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D5A681">
      <w:pPr>
        <w:widowControl/>
        <w:ind w:firstLine="883"/>
        <w:jc w:val="center"/>
        <w:outlineLvl w:val="1"/>
        <w:rPr>
          <w:rFonts w:ascii="Times New Roman" w:hAnsi="Times New Roman"/>
          <w:b/>
          <w:color w:val="000000"/>
          <w:sz w:val="44"/>
          <w:szCs w:val="44"/>
        </w:rPr>
      </w:pPr>
      <w:bookmarkStart w:id="0" w:name="_Toc417992852"/>
    </w:p>
    <w:p w14:paraId="7452E979">
      <w:pPr>
        <w:widowControl/>
        <w:ind w:firstLine="803"/>
        <w:jc w:val="center"/>
        <w:outlineLvl w:val="1"/>
        <w:rPr>
          <w:rFonts w:ascii="Times New Roman" w:hAnsi="Times New Roman"/>
          <w:b/>
          <w:color w:val="000000"/>
          <w:sz w:val="40"/>
          <w:szCs w:val="44"/>
        </w:rPr>
      </w:pPr>
    </w:p>
    <w:p w14:paraId="56020591">
      <w:pPr>
        <w:widowControl/>
        <w:ind w:firstLine="803"/>
        <w:jc w:val="center"/>
        <w:outlineLvl w:val="1"/>
        <w:rPr>
          <w:rFonts w:ascii="Times New Roman" w:hAnsi="Times New Roman"/>
          <w:b/>
          <w:color w:val="000000"/>
          <w:sz w:val="40"/>
          <w:szCs w:val="44"/>
        </w:rPr>
      </w:pPr>
    </w:p>
    <w:p w14:paraId="642F42B7">
      <w:pPr>
        <w:widowControl/>
        <w:jc w:val="center"/>
        <w:outlineLvl w:val="1"/>
        <w:rPr>
          <w:rFonts w:hint="eastAsia" w:ascii="Times New Roman" w:hAnsi="Times New Roman" w:eastAsia="宋体"/>
          <w:b/>
          <w:color w:val="000000"/>
          <w:sz w:val="44"/>
          <w:szCs w:val="44"/>
          <w:lang w:eastAsia="zh-CN"/>
        </w:rPr>
      </w:pPr>
      <w:r>
        <w:rPr>
          <w:rFonts w:hint="eastAsia" w:ascii="Times New Roman" w:hAnsi="Times New Roman"/>
          <w:b/>
          <w:color w:val="000000"/>
          <w:sz w:val="44"/>
          <w:szCs w:val="44"/>
          <w:lang w:eastAsia="zh-CN"/>
        </w:rPr>
        <w:t>2026年秀洲区县道及以上公路小修及应急抢险项目</w:t>
      </w:r>
    </w:p>
    <w:p w14:paraId="7DB63849">
      <w:pPr>
        <w:widowControl/>
        <w:ind w:firstLine="723"/>
        <w:jc w:val="center"/>
        <w:outlineLvl w:val="1"/>
        <w:rPr>
          <w:rFonts w:ascii="Times New Roman" w:hAnsi="Times New Roman"/>
          <w:b/>
          <w:color w:val="000000"/>
          <w:sz w:val="36"/>
          <w:szCs w:val="36"/>
        </w:rPr>
      </w:pPr>
    </w:p>
    <w:p w14:paraId="630D2905">
      <w:pPr>
        <w:widowControl/>
        <w:ind w:firstLine="723"/>
        <w:jc w:val="center"/>
        <w:outlineLvl w:val="1"/>
        <w:rPr>
          <w:rFonts w:ascii="Times New Roman" w:hAnsi="Times New Roman"/>
          <w:b/>
          <w:color w:val="000000"/>
          <w:sz w:val="36"/>
          <w:szCs w:val="36"/>
        </w:rPr>
      </w:pPr>
    </w:p>
    <w:p w14:paraId="6BB0575C">
      <w:pPr>
        <w:widowControl/>
        <w:ind w:firstLine="723"/>
        <w:jc w:val="center"/>
        <w:outlineLvl w:val="1"/>
        <w:rPr>
          <w:rFonts w:ascii="Times New Roman" w:hAnsi="Times New Roman"/>
          <w:b/>
          <w:color w:val="000000"/>
          <w:sz w:val="36"/>
          <w:szCs w:val="36"/>
        </w:rPr>
      </w:pPr>
    </w:p>
    <w:p w14:paraId="564224D0">
      <w:pPr>
        <w:widowControl/>
        <w:ind w:firstLine="723"/>
        <w:jc w:val="center"/>
        <w:outlineLvl w:val="1"/>
        <w:rPr>
          <w:rFonts w:ascii="Times New Roman" w:hAnsi="Times New Roman"/>
          <w:b/>
          <w:color w:val="000000"/>
          <w:sz w:val="36"/>
          <w:szCs w:val="36"/>
        </w:rPr>
      </w:pPr>
    </w:p>
    <w:p w14:paraId="62B4B99D">
      <w:pPr>
        <w:widowControl/>
        <w:ind w:firstLine="723"/>
        <w:jc w:val="center"/>
        <w:outlineLvl w:val="1"/>
        <w:rPr>
          <w:rFonts w:ascii="Times New Roman" w:hAnsi="Times New Roman"/>
          <w:b/>
          <w:color w:val="000000"/>
          <w:sz w:val="36"/>
          <w:szCs w:val="36"/>
        </w:rPr>
      </w:pPr>
      <w:bookmarkStart w:id="646" w:name="_GoBack"/>
      <w:bookmarkEnd w:id="646"/>
    </w:p>
    <w:bookmarkEnd w:id="0"/>
    <w:p w14:paraId="37C514E2">
      <w:pPr>
        <w:widowControl/>
        <w:tabs>
          <w:tab w:val="center" w:pos="4156"/>
          <w:tab w:val="left" w:pos="5880"/>
        </w:tabs>
        <w:spacing w:line="1200" w:lineRule="exact"/>
        <w:ind w:firstLine="1446"/>
        <w:jc w:val="center"/>
        <w:outlineLvl w:val="1"/>
        <w:rPr>
          <w:rFonts w:ascii="Times New Roman" w:hAnsi="Times New Roman" w:cs="Tahoma"/>
          <w:b/>
          <w:bCs/>
          <w:color w:val="000000"/>
          <w:kern w:val="36"/>
          <w:sz w:val="72"/>
          <w:szCs w:val="72"/>
        </w:rPr>
      </w:pPr>
      <w:bookmarkStart w:id="1" w:name="_Toc417992854"/>
      <w:r>
        <w:rPr>
          <w:rFonts w:hint="eastAsia" w:ascii="Times New Roman" w:hAnsi="Times New Roman" w:cs="Tahoma"/>
          <w:b/>
          <w:bCs/>
          <w:color w:val="000000"/>
          <w:kern w:val="36"/>
          <w:sz w:val="72"/>
          <w:szCs w:val="72"/>
        </w:rPr>
        <w:t>招</w:t>
      </w:r>
      <w:bookmarkEnd w:id="1"/>
    </w:p>
    <w:p w14:paraId="2F9A57C7">
      <w:pPr>
        <w:widowControl/>
        <w:spacing w:line="1200" w:lineRule="exact"/>
        <w:ind w:firstLine="1446"/>
        <w:jc w:val="center"/>
        <w:outlineLvl w:val="1"/>
        <w:rPr>
          <w:rFonts w:ascii="Times New Roman" w:hAnsi="Times New Roman"/>
          <w:color w:val="000000"/>
          <w:sz w:val="72"/>
          <w:szCs w:val="72"/>
        </w:rPr>
      </w:pPr>
      <w:bookmarkStart w:id="2" w:name="_Toc417992855"/>
      <w:r>
        <w:rPr>
          <w:rFonts w:hint="eastAsia" w:ascii="Times New Roman" w:hAnsi="Times New Roman" w:cs="Tahoma"/>
          <w:b/>
          <w:bCs/>
          <w:color w:val="000000"/>
          <w:kern w:val="36"/>
          <w:sz w:val="72"/>
          <w:szCs w:val="72"/>
        </w:rPr>
        <w:t>标</w:t>
      </w:r>
      <w:bookmarkEnd w:id="2"/>
    </w:p>
    <w:p w14:paraId="1F04292E">
      <w:pPr>
        <w:spacing w:line="1200" w:lineRule="exact"/>
        <w:ind w:firstLine="1446"/>
        <w:jc w:val="center"/>
        <w:rPr>
          <w:rFonts w:ascii="Times New Roman" w:hAnsi="Times New Roman"/>
          <w:b/>
          <w:color w:val="000000"/>
          <w:sz w:val="72"/>
          <w:szCs w:val="72"/>
        </w:rPr>
      </w:pPr>
      <w:r>
        <w:rPr>
          <w:rFonts w:hint="eastAsia" w:ascii="Times New Roman" w:hAnsi="Times New Roman"/>
          <w:b/>
          <w:color w:val="000000"/>
          <w:sz w:val="72"/>
          <w:szCs w:val="72"/>
        </w:rPr>
        <w:t>文</w:t>
      </w:r>
    </w:p>
    <w:p w14:paraId="475E7771">
      <w:pPr>
        <w:spacing w:line="1200" w:lineRule="exact"/>
        <w:ind w:firstLine="1446"/>
        <w:jc w:val="center"/>
        <w:rPr>
          <w:rFonts w:ascii="Times New Roman" w:hAnsi="Times New Roman"/>
          <w:b/>
          <w:color w:val="000000"/>
          <w:sz w:val="72"/>
          <w:szCs w:val="72"/>
        </w:rPr>
      </w:pPr>
      <w:r>
        <w:rPr>
          <w:rFonts w:hint="eastAsia" w:ascii="Times New Roman" w:hAnsi="Times New Roman"/>
          <w:b/>
          <w:color w:val="000000"/>
          <w:sz w:val="72"/>
          <w:szCs w:val="72"/>
        </w:rPr>
        <w:t>件</w:t>
      </w:r>
    </w:p>
    <w:p w14:paraId="50BC232B">
      <w:pPr>
        <w:snapToGrid w:val="0"/>
        <w:spacing w:line="360" w:lineRule="auto"/>
        <w:ind w:firstLine="893" w:firstLineChars="447"/>
        <w:rPr>
          <w:rFonts w:ascii="Times New Roman" w:hAnsi="Times New Roman"/>
          <w:b/>
          <w:bCs/>
          <w:color w:val="000000"/>
          <w:w w:val="95"/>
          <w:szCs w:val="21"/>
        </w:rPr>
      </w:pPr>
    </w:p>
    <w:p w14:paraId="0792B8FE">
      <w:pPr>
        <w:snapToGrid w:val="0"/>
        <w:spacing w:line="360" w:lineRule="auto"/>
        <w:ind w:firstLine="893" w:firstLineChars="447"/>
        <w:rPr>
          <w:rFonts w:ascii="Times New Roman" w:hAnsi="Times New Roman"/>
          <w:b/>
          <w:bCs/>
          <w:color w:val="000000"/>
          <w:w w:val="95"/>
          <w:szCs w:val="21"/>
        </w:rPr>
      </w:pPr>
    </w:p>
    <w:p w14:paraId="4884D88E">
      <w:pPr>
        <w:snapToGrid w:val="0"/>
        <w:spacing w:line="360" w:lineRule="auto"/>
        <w:ind w:firstLine="893" w:firstLineChars="447"/>
        <w:rPr>
          <w:rFonts w:ascii="Times New Roman" w:hAnsi="Times New Roman"/>
          <w:b/>
          <w:bCs/>
          <w:color w:val="000000"/>
          <w:w w:val="95"/>
          <w:szCs w:val="21"/>
        </w:rPr>
      </w:pPr>
    </w:p>
    <w:p w14:paraId="400D4E7E">
      <w:pPr>
        <w:snapToGrid w:val="0"/>
        <w:spacing w:line="360" w:lineRule="auto"/>
        <w:ind w:firstLine="893" w:firstLineChars="447"/>
        <w:rPr>
          <w:rFonts w:ascii="Times New Roman" w:hAnsi="Times New Roman"/>
          <w:b/>
          <w:bCs/>
          <w:color w:val="000000"/>
          <w:w w:val="95"/>
          <w:szCs w:val="21"/>
        </w:rPr>
      </w:pPr>
    </w:p>
    <w:p w14:paraId="756DDD02">
      <w:pPr>
        <w:pStyle w:val="23"/>
        <w:snapToGrid w:val="0"/>
        <w:spacing w:before="120" w:line="360" w:lineRule="auto"/>
        <w:ind w:firstLine="904" w:firstLineChars="300"/>
        <w:rPr>
          <w:rFonts w:hint="eastAsia" w:ascii="Times New Roman" w:hAnsi="Times New Roman" w:eastAsia="宋体"/>
          <w:b/>
          <w:bCs/>
          <w:color w:val="000000"/>
          <w:w w:val="95"/>
          <w:sz w:val="28"/>
          <w:szCs w:val="28"/>
          <w:lang w:eastAsia="zh-CN"/>
        </w:rPr>
      </w:pPr>
      <w:r>
        <w:rPr>
          <w:rFonts w:hint="eastAsia" w:ascii="Times New Roman" w:hAnsi="Times New Roman"/>
          <w:b/>
          <w:color w:val="000000"/>
          <w:sz w:val="30"/>
          <w:szCs w:val="30"/>
        </w:rPr>
        <w:t>项目编号：</w:t>
      </w:r>
      <w:r>
        <w:rPr>
          <w:rFonts w:hint="eastAsia" w:ascii="Times New Roman" w:hAnsi="Times New Roman"/>
          <w:b/>
          <w:color w:val="000000"/>
          <w:sz w:val="30"/>
          <w:szCs w:val="30"/>
          <w:lang w:eastAsia="zh-CN"/>
        </w:rPr>
        <w:t>QZZXC2026-JX003</w:t>
      </w:r>
    </w:p>
    <w:p w14:paraId="1B2296C7">
      <w:pPr>
        <w:pStyle w:val="23"/>
        <w:snapToGrid w:val="0"/>
        <w:spacing w:before="120" w:line="360" w:lineRule="auto"/>
        <w:ind w:firstLine="904" w:firstLineChars="300"/>
        <w:rPr>
          <w:rFonts w:ascii="Times New Roman" w:hAnsi="Times New Roman"/>
          <w:b/>
          <w:color w:val="000000"/>
          <w:sz w:val="30"/>
          <w:szCs w:val="30"/>
        </w:rPr>
      </w:pPr>
      <w:r>
        <w:rPr>
          <w:rFonts w:hint="eastAsia" w:ascii="Times New Roman" w:hAnsi="Times New Roman"/>
          <w:b/>
          <w:color w:val="000000"/>
          <w:sz w:val="30"/>
          <w:szCs w:val="30"/>
        </w:rPr>
        <w:t>采购人：嘉兴市秀洲区公路与运输管理服务中心</w:t>
      </w:r>
    </w:p>
    <w:p w14:paraId="5E5D9E43">
      <w:pPr>
        <w:pStyle w:val="23"/>
        <w:snapToGrid w:val="0"/>
        <w:spacing w:before="120" w:line="360" w:lineRule="auto"/>
        <w:ind w:firstLine="904" w:firstLineChars="300"/>
        <w:rPr>
          <w:rFonts w:ascii="Times New Roman" w:hAnsi="Times New Roman"/>
          <w:b/>
          <w:color w:val="000000"/>
          <w:sz w:val="30"/>
          <w:szCs w:val="30"/>
        </w:rPr>
      </w:pPr>
      <w:r>
        <w:rPr>
          <w:rFonts w:hint="eastAsia" w:ascii="Times New Roman" w:hAnsi="Times New Roman"/>
          <w:b/>
          <w:color w:val="000000"/>
          <w:sz w:val="30"/>
          <w:szCs w:val="30"/>
        </w:rPr>
        <w:t>代理机构：浙江求真工程管理咨询有限公司</w:t>
      </w:r>
    </w:p>
    <w:p w14:paraId="27C669B4">
      <w:pPr>
        <w:snapToGrid w:val="0"/>
        <w:spacing w:line="360" w:lineRule="auto"/>
        <w:ind w:firstLine="904" w:firstLineChars="300"/>
        <w:rPr>
          <w:rFonts w:ascii="Times New Roman" w:hAnsi="Times New Roman"/>
          <w:b/>
          <w:color w:val="000000"/>
          <w:kern w:val="0"/>
          <w:sz w:val="30"/>
          <w:szCs w:val="30"/>
        </w:rPr>
      </w:pPr>
      <w:r>
        <w:rPr>
          <w:rFonts w:hint="eastAsia" w:ascii="Times New Roman" w:hAnsi="Times New Roman"/>
          <w:b/>
          <w:color w:val="000000"/>
          <w:kern w:val="0"/>
          <w:sz w:val="30"/>
          <w:szCs w:val="30"/>
        </w:rPr>
        <w:t>编制时间：</w:t>
      </w:r>
      <w:r>
        <w:rPr>
          <w:rFonts w:ascii="Times New Roman" w:hAnsi="Times New Roman"/>
          <w:b/>
          <w:color w:val="000000"/>
          <w:kern w:val="0"/>
          <w:sz w:val="30"/>
          <w:szCs w:val="30"/>
        </w:rPr>
        <w:t>202</w:t>
      </w:r>
      <w:r>
        <w:rPr>
          <w:rFonts w:hint="eastAsia" w:ascii="Times New Roman" w:hAnsi="Times New Roman"/>
          <w:b/>
          <w:color w:val="000000"/>
          <w:kern w:val="0"/>
          <w:sz w:val="30"/>
          <w:szCs w:val="30"/>
          <w:lang w:val="en-US" w:eastAsia="zh-CN"/>
        </w:rPr>
        <w:t>6</w:t>
      </w:r>
      <w:r>
        <w:rPr>
          <w:rFonts w:hint="eastAsia" w:ascii="Times New Roman" w:hAnsi="Times New Roman"/>
          <w:b/>
          <w:color w:val="000000"/>
          <w:kern w:val="0"/>
          <w:sz w:val="30"/>
          <w:szCs w:val="30"/>
        </w:rPr>
        <w:t>年</w:t>
      </w:r>
      <w:r>
        <w:rPr>
          <w:rFonts w:hint="eastAsia" w:ascii="Times New Roman" w:hAnsi="Times New Roman"/>
          <w:b/>
          <w:color w:val="000000"/>
          <w:kern w:val="0"/>
          <w:sz w:val="30"/>
          <w:szCs w:val="30"/>
          <w:lang w:val="en-US" w:eastAsia="zh-CN"/>
        </w:rPr>
        <w:t>1</w:t>
      </w:r>
      <w:r>
        <w:rPr>
          <w:rFonts w:hint="eastAsia" w:ascii="Times New Roman" w:hAnsi="Times New Roman"/>
          <w:b/>
          <w:color w:val="000000"/>
          <w:kern w:val="0"/>
          <w:sz w:val="30"/>
          <w:szCs w:val="30"/>
        </w:rPr>
        <w:t>月</w:t>
      </w:r>
    </w:p>
    <w:p w14:paraId="759BABBC">
      <w:pPr>
        <w:widowControl/>
        <w:spacing w:line="360" w:lineRule="auto"/>
        <w:ind w:firstLine="602"/>
        <w:jc w:val="left"/>
        <w:rPr>
          <w:rFonts w:ascii="Times New Roman" w:hAnsi="Times New Roman"/>
          <w:b/>
          <w:color w:val="000000"/>
          <w:kern w:val="0"/>
          <w:sz w:val="30"/>
          <w:szCs w:val="30"/>
        </w:rPr>
        <w:sectPr>
          <w:footerReference r:id="rId3" w:type="default"/>
          <w:pgSz w:w="11906" w:h="16838"/>
          <w:pgMar w:top="1474" w:right="1797" w:bottom="1247" w:left="1797" w:header="851" w:footer="851" w:gutter="0"/>
          <w:cols w:space="720" w:num="1"/>
        </w:sectPr>
      </w:pPr>
    </w:p>
    <w:p w14:paraId="6B510A73">
      <w:pPr>
        <w:snapToGrid w:val="0"/>
        <w:spacing w:line="360" w:lineRule="auto"/>
        <w:ind w:left="384" w:leftChars="183" w:firstLine="24" w:firstLineChars="12"/>
        <w:jc w:val="center"/>
        <w:rPr>
          <w:rFonts w:ascii="Times New Roman" w:hAnsi="Times New Roman"/>
          <w:b/>
          <w:bCs/>
          <w:color w:val="000000"/>
          <w:w w:val="95"/>
          <w:szCs w:val="21"/>
        </w:rPr>
      </w:pPr>
    </w:p>
    <w:p w14:paraId="4D36F189">
      <w:pPr>
        <w:pStyle w:val="278"/>
        <w:tabs>
          <w:tab w:val="right" w:leader="dot" w:pos="8302"/>
        </w:tabs>
        <w:spacing w:line="360" w:lineRule="auto"/>
        <w:ind w:firstLine="420"/>
        <w:rPr>
          <w:rFonts w:ascii="Times New Roman" w:hAnsi="Times New Roman"/>
          <w:color w:val="000000"/>
          <w:szCs w:val="21"/>
        </w:rPr>
      </w:pPr>
    </w:p>
    <w:p w14:paraId="521C046F">
      <w:pPr>
        <w:pStyle w:val="23"/>
        <w:spacing w:before="120" w:line="360" w:lineRule="auto"/>
        <w:ind w:firstLine="1446"/>
        <w:jc w:val="center"/>
        <w:rPr>
          <w:rFonts w:ascii="Times New Roman" w:hAnsi="Times New Roman" w:cs="宋体"/>
          <w:b/>
          <w:color w:val="000000"/>
          <w:sz w:val="72"/>
          <w:szCs w:val="72"/>
        </w:rPr>
      </w:pPr>
      <w:r>
        <w:rPr>
          <w:rFonts w:hint="eastAsia" w:ascii="Times New Roman" w:hAnsi="Times New Roman" w:cs="宋体"/>
          <w:b/>
          <w:color w:val="000000"/>
          <w:sz w:val="72"/>
          <w:szCs w:val="72"/>
        </w:rPr>
        <w:t>目</w:t>
      </w:r>
      <w:r>
        <w:rPr>
          <w:rFonts w:ascii="Times New Roman" w:hAnsi="Times New Roman" w:cs="宋体"/>
          <w:b/>
          <w:color w:val="000000"/>
          <w:sz w:val="72"/>
          <w:szCs w:val="72"/>
        </w:rPr>
        <w:t xml:space="preserve">  </w:t>
      </w:r>
      <w:r>
        <w:rPr>
          <w:rFonts w:hint="eastAsia" w:ascii="Times New Roman" w:hAnsi="Times New Roman" w:cs="宋体"/>
          <w:b/>
          <w:color w:val="000000"/>
          <w:sz w:val="72"/>
          <w:szCs w:val="72"/>
        </w:rPr>
        <w:t>录</w:t>
      </w:r>
    </w:p>
    <w:p w14:paraId="7F64B1DF">
      <w:pPr>
        <w:pStyle w:val="278"/>
        <w:tabs>
          <w:tab w:val="right" w:leader="dot" w:pos="8302"/>
        </w:tabs>
        <w:spacing w:line="360" w:lineRule="auto"/>
        <w:ind w:firstLine="422"/>
        <w:rPr>
          <w:rFonts w:ascii="Times New Roman" w:hAnsi="Times New Roman"/>
          <w:b/>
          <w:color w:val="000000"/>
          <w:szCs w:val="21"/>
        </w:rPr>
      </w:pPr>
    </w:p>
    <w:p w14:paraId="4AED0EA2">
      <w:pPr>
        <w:tabs>
          <w:tab w:val="left" w:pos="5296"/>
        </w:tabs>
        <w:spacing w:line="360" w:lineRule="auto"/>
        <w:ind w:firstLine="422" w:firstLineChars="200"/>
        <w:rPr>
          <w:rFonts w:ascii="Times New Roman" w:hAnsi="Times New Roman"/>
          <w:b/>
          <w:color w:val="000000"/>
          <w:szCs w:val="21"/>
        </w:rPr>
      </w:pPr>
      <w:r>
        <w:rPr>
          <w:rFonts w:ascii="Times New Roman" w:hAnsi="Times New Roman"/>
          <w:b/>
          <w:color w:val="000000"/>
          <w:szCs w:val="21"/>
        </w:rPr>
        <w:tab/>
      </w:r>
    </w:p>
    <w:p w14:paraId="49C05279">
      <w:pPr>
        <w:pStyle w:val="280"/>
        <w:spacing w:line="480" w:lineRule="auto"/>
        <w:ind w:firstLine="424" w:firstLineChars="132"/>
        <w:rPr>
          <w:rFonts w:ascii="Times New Roman" w:hAnsi="Times New Roman"/>
          <w:b/>
          <w:color w:val="000000"/>
          <w:sz w:val="32"/>
          <w:szCs w:val="32"/>
        </w:rPr>
      </w:pPr>
      <w:r>
        <w:rPr>
          <w:rFonts w:ascii="Times New Roman" w:hAnsi="Times New Roman"/>
          <w:b/>
          <w:color w:val="000000"/>
          <w:sz w:val="32"/>
          <w:szCs w:val="32"/>
        </w:rPr>
        <w:fldChar w:fldCharType="begin"/>
      </w:r>
      <w:r>
        <w:rPr>
          <w:rFonts w:ascii="Times New Roman" w:hAnsi="Times New Roman"/>
          <w:b/>
          <w:color w:val="000000"/>
          <w:sz w:val="32"/>
          <w:szCs w:val="32"/>
        </w:rPr>
        <w:instrText xml:space="preserve"> TOC \h \z \u \t "</w:instrText>
      </w:r>
      <w:r>
        <w:rPr>
          <w:rFonts w:hint="eastAsia" w:ascii="Times New Roman" w:hAnsi="Times New Roman"/>
          <w:b/>
          <w:color w:val="000000"/>
          <w:sz w:val="32"/>
          <w:szCs w:val="32"/>
        </w:rPr>
        <w:instrText xml:space="preserve">副标题</w:instrText>
      </w:r>
      <w:r>
        <w:rPr>
          <w:rFonts w:ascii="Times New Roman" w:hAnsi="Times New Roman"/>
          <w:b/>
          <w:color w:val="000000"/>
          <w:sz w:val="32"/>
          <w:szCs w:val="32"/>
        </w:rPr>
        <w:instrText xml:space="preserve">,2,</w:instrText>
      </w:r>
      <w:r>
        <w:rPr>
          <w:rFonts w:hint="eastAsia" w:ascii="Times New Roman" w:hAnsi="Times New Roman"/>
          <w:b/>
          <w:color w:val="000000"/>
          <w:sz w:val="32"/>
          <w:szCs w:val="32"/>
        </w:rPr>
        <w:instrText xml:space="preserve">标题</w:instrText>
      </w:r>
      <w:r>
        <w:rPr>
          <w:rFonts w:ascii="Times New Roman" w:hAnsi="Times New Roman"/>
          <w:b/>
          <w:color w:val="000000"/>
          <w:sz w:val="32"/>
          <w:szCs w:val="32"/>
        </w:rPr>
        <w:instrText xml:space="preserve">,1" </w:instrText>
      </w:r>
      <w:r>
        <w:rPr>
          <w:rFonts w:ascii="Times New Roman" w:hAnsi="Times New Roman"/>
          <w:b/>
          <w:color w:val="000000"/>
          <w:sz w:val="32"/>
          <w:szCs w:val="32"/>
        </w:rPr>
        <w:fldChar w:fldCharType="separate"/>
      </w:r>
      <w:r>
        <w:fldChar w:fldCharType="begin"/>
      </w:r>
      <w:r>
        <w:instrText xml:space="preserve"> HYPERLINK "file:///F:\\陈铭\\135嘉兴市港航管理服务中心海河联运在线项目\\公开招标-嘉兴市港航管理服务中心海河联运在线项目.doc" \l "_Toc11067538" </w:instrText>
      </w:r>
      <w:r>
        <w:fldChar w:fldCharType="separate"/>
      </w:r>
      <w:r>
        <w:rPr>
          <w:rStyle w:val="57"/>
          <w:rFonts w:hint="eastAsia" w:ascii="Times New Roman" w:hAnsi="Times New Roman"/>
          <w:b/>
          <w:color w:val="000000"/>
          <w:sz w:val="32"/>
          <w:szCs w:val="32"/>
        </w:rPr>
        <w:t>第一章</w:t>
      </w:r>
      <w:r>
        <w:rPr>
          <w:rStyle w:val="57"/>
          <w:rFonts w:ascii="Times New Roman" w:hAnsi="Times New Roman"/>
          <w:b/>
          <w:color w:val="000000"/>
          <w:sz w:val="32"/>
          <w:szCs w:val="32"/>
        </w:rPr>
        <w:t xml:space="preserve">  </w:t>
      </w:r>
      <w:r>
        <w:rPr>
          <w:rStyle w:val="57"/>
          <w:rFonts w:hint="eastAsia" w:ascii="Times New Roman" w:hAnsi="Times New Roman"/>
          <w:b/>
          <w:color w:val="000000"/>
          <w:sz w:val="32"/>
          <w:szCs w:val="32"/>
        </w:rPr>
        <w:t>公开招标采购公告</w:t>
      </w:r>
      <w:r>
        <w:rPr>
          <w:rStyle w:val="57"/>
          <w:rFonts w:ascii="Times New Roman" w:hAnsi="Times New Roman"/>
          <w:b/>
          <w:color w:val="000000"/>
          <w:sz w:val="32"/>
          <w:szCs w:val="32"/>
        </w:rPr>
        <w:tab/>
      </w:r>
      <w:r>
        <w:rPr>
          <w:rStyle w:val="57"/>
          <w:rFonts w:ascii="Times New Roman" w:hAnsi="Times New Roman"/>
          <w:b/>
          <w:color w:val="000000"/>
          <w:sz w:val="32"/>
          <w:szCs w:val="32"/>
        </w:rPr>
        <w:fldChar w:fldCharType="begin"/>
      </w:r>
      <w:r>
        <w:rPr>
          <w:rStyle w:val="57"/>
          <w:rFonts w:ascii="Times New Roman" w:hAnsi="Times New Roman"/>
          <w:b/>
          <w:color w:val="000000"/>
          <w:sz w:val="32"/>
          <w:szCs w:val="32"/>
        </w:rPr>
        <w:instrText xml:space="preserve"> PAGEREF _Toc11067538 \h </w:instrText>
      </w:r>
      <w:r>
        <w:rPr>
          <w:rStyle w:val="57"/>
          <w:rFonts w:ascii="Times New Roman" w:hAnsi="Times New Roman"/>
          <w:b/>
          <w:color w:val="000000"/>
          <w:sz w:val="32"/>
          <w:szCs w:val="32"/>
        </w:rPr>
        <w:fldChar w:fldCharType="separate"/>
      </w:r>
      <w:r>
        <w:rPr>
          <w:rStyle w:val="57"/>
          <w:rFonts w:ascii="Times New Roman" w:hAnsi="Times New Roman"/>
          <w:b/>
          <w:color w:val="000000"/>
          <w:sz w:val="32"/>
          <w:szCs w:val="32"/>
        </w:rPr>
        <w:t>3</w:t>
      </w:r>
      <w:r>
        <w:rPr>
          <w:rStyle w:val="57"/>
          <w:rFonts w:ascii="Times New Roman" w:hAnsi="Times New Roman"/>
          <w:b/>
          <w:color w:val="000000"/>
          <w:sz w:val="32"/>
          <w:szCs w:val="32"/>
        </w:rPr>
        <w:fldChar w:fldCharType="end"/>
      </w:r>
      <w:r>
        <w:rPr>
          <w:rStyle w:val="57"/>
          <w:rFonts w:ascii="Times New Roman" w:hAnsi="Times New Roman"/>
          <w:b/>
          <w:color w:val="000000"/>
          <w:sz w:val="32"/>
          <w:szCs w:val="32"/>
        </w:rPr>
        <w:fldChar w:fldCharType="end"/>
      </w:r>
    </w:p>
    <w:p w14:paraId="4CE10667">
      <w:pPr>
        <w:pStyle w:val="280"/>
        <w:spacing w:line="480" w:lineRule="auto"/>
        <w:ind w:firstLine="420" w:firstLineChars="200"/>
        <w:rPr>
          <w:rFonts w:ascii="Times New Roman" w:hAnsi="Times New Roman"/>
          <w:b/>
          <w:color w:val="000000"/>
          <w:sz w:val="32"/>
          <w:szCs w:val="32"/>
        </w:rPr>
      </w:pPr>
      <w:r>
        <w:fldChar w:fldCharType="begin"/>
      </w:r>
      <w:r>
        <w:instrText xml:space="preserve"> HYPERLINK "file:///F:\\陈铭\\135嘉兴市港航管理服务中心海河联运在线项目\\公开招标-嘉兴市港航管理服务中心海河联运在线项目.doc" \l "_Toc11067539" </w:instrText>
      </w:r>
      <w:r>
        <w:fldChar w:fldCharType="separate"/>
      </w:r>
      <w:r>
        <w:rPr>
          <w:rStyle w:val="57"/>
          <w:rFonts w:hint="eastAsia" w:ascii="Times New Roman" w:hAnsi="Times New Roman"/>
          <w:b/>
          <w:color w:val="000000"/>
          <w:sz w:val="32"/>
          <w:szCs w:val="32"/>
        </w:rPr>
        <w:t>第二章</w:t>
      </w:r>
      <w:r>
        <w:rPr>
          <w:rStyle w:val="57"/>
          <w:rFonts w:ascii="Times New Roman" w:hAnsi="Times New Roman"/>
          <w:b/>
          <w:color w:val="000000"/>
          <w:sz w:val="32"/>
          <w:szCs w:val="32"/>
        </w:rPr>
        <w:t xml:space="preserve">  </w:t>
      </w:r>
      <w:r>
        <w:rPr>
          <w:rStyle w:val="57"/>
          <w:rFonts w:hint="eastAsia" w:ascii="Times New Roman" w:hAnsi="Times New Roman"/>
          <w:b/>
          <w:color w:val="000000"/>
          <w:sz w:val="32"/>
          <w:szCs w:val="32"/>
        </w:rPr>
        <w:t>招标需求</w:t>
      </w:r>
      <w:r>
        <w:rPr>
          <w:rStyle w:val="57"/>
          <w:rFonts w:ascii="Times New Roman" w:hAnsi="Times New Roman"/>
          <w:b/>
          <w:color w:val="000000"/>
          <w:sz w:val="32"/>
          <w:szCs w:val="32"/>
        </w:rPr>
        <w:tab/>
      </w:r>
      <w:r>
        <w:rPr>
          <w:rStyle w:val="57"/>
          <w:rFonts w:ascii="Times New Roman" w:hAnsi="Times New Roman"/>
          <w:b/>
          <w:color w:val="000000"/>
          <w:sz w:val="32"/>
          <w:szCs w:val="32"/>
        </w:rPr>
        <w:fldChar w:fldCharType="begin"/>
      </w:r>
      <w:r>
        <w:rPr>
          <w:rStyle w:val="57"/>
          <w:rFonts w:ascii="Times New Roman" w:hAnsi="Times New Roman"/>
          <w:b/>
          <w:color w:val="000000"/>
          <w:sz w:val="32"/>
          <w:szCs w:val="32"/>
        </w:rPr>
        <w:instrText xml:space="preserve"> PAGEREF _Toc11067539 \h </w:instrText>
      </w:r>
      <w:r>
        <w:rPr>
          <w:rStyle w:val="57"/>
          <w:rFonts w:ascii="Times New Roman" w:hAnsi="Times New Roman"/>
          <w:b/>
          <w:color w:val="000000"/>
          <w:sz w:val="32"/>
          <w:szCs w:val="32"/>
        </w:rPr>
        <w:fldChar w:fldCharType="separate"/>
      </w:r>
      <w:r>
        <w:rPr>
          <w:rStyle w:val="57"/>
          <w:rFonts w:ascii="Times New Roman" w:hAnsi="Times New Roman"/>
          <w:b/>
          <w:color w:val="000000"/>
          <w:sz w:val="32"/>
          <w:szCs w:val="32"/>
        </w:rPr>
        <w:t>3</w:t>
      </w:r>
      <w:r>
        <w:rPr>
          <w:rStyle w:val="57"/>
          <w:rFonts w:ascii="Times New Roman" w:hAnsi="Times New Roman"/>
          <w:b/>
          <w:color w:val="000000"/>
          <w:sz w:val="32"/>
          <w:szCs w:val="32"/>
        </w:rPr>
        <w:fldChar w:fldCharType="end"/>
      </w:r>
      <w:r>
        <w:rPr>
          <w:rStyle w:val="57"/>
          <w:rFonts w:ascii="Times New Roman" w:hAnsi="Times New Roman"/>
          <w:b/>
          <w:color w:val="000000"/>
          <w:sz w:val="32"/>
          <w:szCs w:val="32"/>
        </w:rPr>
        <w:fldChar w:fldCharType="end"/>
      </w:r>
    </w:p>
    <w:p w14:paraId="7415BC06">
      <w:pPr>
        <w:pStyle w:val="280"/>
        <w:spacing w:line="480" w:lineRule="auto"/>
        <w:ind w:firstLine="420" w:firstLineChars="200"/>
        <w:rPr>
          <w:rFonts w:ascii="Times New Roman" w:hAnsi="Times New Roman"/>
          <w:b/>
          <w:color w:val="000000"/>
          <w:sz w:val="32"/>
          <w:szCs w:val="32"/>
        </w:rPr>
      </w:pPr>
      <w:r>
        <w:fldChar w:fldCharType="begin"/>
      </w:r>
      <w:r>
        <w:instrText xml:space="preserve"> HYPERLINK "file:///F:\\陈铭\\135嘉兴市港航管理服务中心海河联运在线项目\\公开招标-嘉兴市港航管理服务中心海河联运在线项目.doc" \l "_Toc11067540" </w:instrText>
      </w:r>
      <w:r>
        <w:fldChar w:fldCharType="separate"/>
      </w:r>
      <w:r>
        <w:rPr>
          <w:rStyle w:val="57"/>
          <w:rFonts w:hint="eastAsia" w:ascii="Times New Roman" w:hAnsi="Times New Roman"/>
          <w:b/>
          <w:color w:val="000000"/>
          <w:sz w:val="32"/>
          <w:szCs w:val="32"/>
        </w:rPr>
        <w:t>第三章</w:t>
      </w:r>
      <w:r>
        <w:rPr>
          <w:rStyle w:val="57"/>
          <w:rFonts w:ascii="Times New Roman" w:hAnsi="Times New Roman"/>
          <w:b/>
          <w:color w:val="000000"/>
          <w:sz w:val="32"/>
          <w:szCs w:val="32"/>
        </w:rPr>
        <w:t xml:space="preserve">  </w:t>
      </w:r>
      <w:r>
        <w:rPr>
          <w:rStyle w:val="57"/>
          <w:rFonts w:hint="eastAsia" w:ascii="Times New Roman" w:hAnsi="Times New Roman"/>
          <w:b/>
          <w:color w:val="000000"/>
          <w:sz w:val="32"/>
          <w:szCs w:val="32"/>
        </w:rPr>
        <w:t>投标人须知</w:t>
      </w:r>
      <w:r>
        <w:rPr>
          <w:rStyle w:val="57"/>
          <w:rFonts w:ascii="Times New Roman" w:hAnsi="Times New Roman"/>
          <w:b/>
          <w:color w:val="000000"/>
          <w:sz w:val="32"/>
          <w:szCs w:val="32"/>
        </w:rPr>
        <w:tab/>
      </w:r>
      <w:bookmarkStart w:id="3" w:name="_Hlt142656013"/>
      <w:r>
        <w:rPr>
          <w:rStyle w:val="57"/>
          <w:rFonts w:hint="eastAsia"/>
        </w:rPr>
        <w:fldChar w:fldCharType="begin"/>
      </w:r>
      <w:r>
        <w:rPr>
          <w:rStyle w:val="57"/>
          <w:rFonts w:ascii="Times New Roman" w:hAnsi="Times New Roman"/>
          <w:b/>
          <w:color w:val="000000"/>
          <w:sz w:val="32"/>
          <w:szCs w:val="32"/>
        </w:rPr>
        <w:instrText xml:space="preserve"> PAGEREF _Toc11067540 \h </w:instrText>
      </w:r>
      <w:r>
        <w:rPr>
          <w:rStyle w:val="57"/>
          <w:rFonts w:hint="eastAsia"/>
        </w:rPr>
        <w:fldChar w:fldCharType="separate"/>
      </w:r>
      <w:r>
        <w:rPr>
          <w:rStyle w:val="57"/>
          <w:rFonts w:ascii="Times New Roman" w:hAnsi="Times New Roman"/>
          <w:b/>
          <w:color w:val="000000"/>
          <w:sz w:val="32"/>
          <w:szCs w:val="32"/>
        </w:rPr>
        <w:t>12</w:t>
      </w:r>
      <w:r>
        <w:rPr>
          <w:rStyle w:val="57"/>
          <w:rFonts w:hint="eastAsia"/>
        </w:rPr>
        <w:fldChar w:fldCharType="end"/>
      </w:r>
      <w:bookmarkEnd w:id="3"/>
      <w:r>
        <w:rPr>
          <w:rStyle w:val="57"/>
          <w:rFonts w:hint="eastAsia"/>
        </w:rPr>
        <w:fldChar w:fldCharType="end"/>
      </w:r>
    </w:p>
    <w:p w14:paraId="28FCBF95">
      <w:pPr>
        <w:pStyle w:val="280"/>
        <w:spacing w:line="480" w:lineRule="auto"/>
        <w:ind w:firstLine="420" w:firstLineChars="200"/>
        <w:rPr>
          <w:rFonts w:ascii="Times New Roman" w:hAnsi="Times New Roman"/>
          <w:b/>
          <w:color w:val="000000"/>
          <w:sz w:val="32"/>
          <w:szCs w:val="32"/>
        </w:rPr>
      </w:pPr>
      <w:r>
        <w:fldChar w:fldCharType="begin"/>
      </w:r>
      <w:r>
        <w:instrText xml:space="preserve"> HYPERLINK "file:///F:\\陈铭\\135嘉兴市港航管理服务中心海河联运在线项目\\公开招标-嘉兴市港航管理服务中心海河联运在线项目.doc" \l "_Toc11067541" </w:instrText>
      </w:r>
      <w:r>
        <w:fldChar w:fldCharType="separate"/>
      </w:r>
      <w:r>
        <w:rPr>
          <w:rStyle w:val="57"/>
          <w:rFonts w:hint="eastAsia" w:ascii="Times New Roman" w:hAnsi="Times New Roman"/>
          <w:b/>
          <w:color w:val="000000"/>
          <w:sz w:val="32"/>
          <w:szCs w:val="32"/>
        </w:rPr>
        <w:t>第四章</w:t>
      </w:r>
      <w:r>
        <w:rPr>
          <w:rStyle w:val="57"/>
          <w:rFonts w:ascii="Times New Roman" w:hAnsi="Times New Roman"/>
          <w:b/>
          <w:color w:val="000000"/>
          <w:sz w:val="32"/>
          <w:szCs w:val="32"/>
        </w:rPr>
        <w:t xml:space="preserve">  </w:t>
      </w:r>
      <w:r>
        <w:rPr>
          <w:rStyle w:val="57"/>
          <w:rFonts w:hint="eastAsia" w:ascii="Times New Roman" w:hAnsi="Times New Roman"/>
          <w:b/>
          <w:color w:val="000000"/>
          <w:sz w:val="32"/>
          <w:szCs w:val="32"/>
        </w:rPr>
        <w:t>评标办法及评分标准</w:t>
      </w:r>
      <w:r>
        <w:rPr>
          <w:rStyle w:val="57"/>
          <w:rFonts w:ascii="Times New Roman" w:hAnsi="Times New Roman"/>
          <w:b/>
          <w:color w:val="000000"/>
          <w:sz w:val="32"/>
          <w:szCs w:val="32"/>
        </w:rPr>
        <w:tab/>
      </w:r>
      <w:r>
        <w:rPr>
          <w:rStyle w:val="57"/>
          <w:rFonts w:ascii="Times New Roman" w:hAnsi="Times New Roman"/>
          <w:b/>
          <w:color w:val="000000"/>
          <w:sz w:val="32"/>
          <w:szCs w:val="32"/>
        </w:rPr>
        <w:fldChar w:fldCharType="begin"/>
      </w:r>
      <w:r>
        <w:rPr>
          <w:rStyle w:val="57"/>
          <w:rFonts w:ascii="Times New Roman" w:hAnsi="Times New Roman"/>
          <w:b/>
          <w:color w:val="000000"/>
          <w:sz w:val="32"/>
          <w:szCs w:val="32"/>
        </w:rPr>
        <w:instrText xml:space="preserve"> PAGEREF _Toc11067541 \h </w:instrText>
      </w:r>
      <w:r>
        <w:rPr>
          <w:rStyle w:val="57"/>
          <w:rFonts w:ascii="Times New Roman" w:hAnsi="Times New Roman"/>
          <w:b/>
          <w:color w:val="000000"/>
          <w:sz w:val="32"/>
          <w:szCs w:val="32"/>
        </w:rPr>
        <w:fldChar w:fldCharType="separate"/>
      </w:r>
      <w:r>
        <w:rPr>
          <w:rStyle w:val="57"/>
          <w:rFonts w:ascii="Times New Roman" w:hAnsi="Times New Roman"/>
          <w:b/>
          <w:color w:val="000000"/>
          <w:sz w:val="32"/>
          <w:szCs w:val="32"/>
        </w:rPr>
        <w:t>67</w:t>
      </w:r>
      <w:r>
        <w:rPr>
          <w:rStyle w:val="57"/>
          <w:rFonts w:ascii="Times New Roman" w:hAnsi="Times New Roman"/>
          <w:b/>
          <w:color w:val="000000"/>
          <w:sz w:val="32"/>
          <w:szCs w:val="32"/>
        </w:rPr>
        <w:fldChar w:fldCharType="end"/>
      </w:r>
      <w:r>
        <w:rPr>
          <w:rStyle w:val="57"/>
          <w:rFonts w:ascii="Times New Roman" w:hAnsi="Times New Roman"/>
          <w:b/>
          <w:color w:val="000000"/>
          <w:sz w:val="32"/>
          <w:szCs w:val="32"/>
        </w:rPr>
        <w:fldChar w:fldCharType="end"/>
      </w:r>
    </w:p>
    <w:p w14:paraId="63786327">
      <w:pPr>
        <w:pStyle w:val="280"/>
        <w:spacing w:line="480" w:lineRule="auto"/>
        <w:ind w:firstLine="420" w:firstLineChars="200"/>
        <w:rPr>
          <w:rFonts w:ascii="Times New Roman" w:hAnsi="Times New Roman"/>
          <w:b/>
          <w:color w:val="000000"/>
          <w:sz w:val="32"/>
          <w:szCs w:val="32"/>
        </w:rPr>
      </w:pPr>
      <w:r>
        <w:fldChar w:fldCharType="begin"/>
      </w:r>
      <w:r>
        <w:instrText xml:space="preserve"> HYPERLINK "file:///F:\\陈铭\\135嘉兴市港航管理服务中心海河联运在线项目\\公开招标-嘉兴市港航管理服务中心海河联运在线项目.doc" \l "_Toc11067542" </w:instrText>
      </w:r>
      <w:r>
        <w:fldChar w:fldCharType="separate"/>
      </w:r>
      <w:r>
        <w:rPr>
          <w:rStyle w:val="57"/>
          <w:rFonts w:hint="eastAsia" w:ascii="Times New Roman" w:hAnsi="Times New Roman"/>
          <w:b/>
          <w:color w:val="000000"/>
          <w:sz w:val="32"/>
          <w:szCs w:val="32"/>
        </w:rPr>
        <w:t>第五章</w:t>
      </w:r>
      <w:r>
        <w:rPr>
          <w:rStyle w:val="57"/>
          <w:rFonts w:ascii="Times New Roman" w:hAnsi="Times New Roman"/>
          <w:b/>
          <w:color w:val="000000"/>
          <w:sz w:val="32"/>
          <w:szCs w:val="32"/>
        </w:rPr>
        <w:t xml:space="preserve">  </w:t>
      </w:r>
      <w:bookmarkStart w:id="4" w:name="_Hlt142655887"/>
      <w:bookmarkStart w:id="5" w:name="_Hlt142655888"/>
      <w:r>
        <w:rPr>
          <w:rStyle w:val="57"/>
          <w:rFonts w:hint="eastAsia" w:ascii="Times New Roman" w:hAnsi="Times New Roman"/>
          <w:b/>
          <w:color w:val="000000"/>
          <w:sz w:val="32"/>
          <w:szCs w:val="32"/>
        </w:rPr>
        <w:t>嘉兴市政府采购合同（指引）</w:t>
      </w:r>
      <w:bookmarkStart w:id="6" w:name="_Hlt142655903"/>
      <w:r>
        <w:rPr>
          <w:rStyle w:val="57"/>
          <w:rFonts w:ascii="Times New Roman" w:hAnsi="Times New Roman"/>
          <w:b/>
          <w:color w:val="000000"/>
          <w:sz w:val="32"/>
          <w:szCs w:val="32"/>
        </w:rPr>
        <w:tab/>
      </w:r>
      <w:bookmarkEnd w:id="4"/>
      <w:bookmarkEnd w:id="5"/>
      <w:bookmarkEnd w:id="6"/>
      <w:bookmarkStart w:id="7" w:name="_Hlt142657065"/>
      <w:bookmarkStart w:id="8" w:name="_Hlt142657066"/>
      <w:r>
        <w:rPr>
          <w:rStyle w:val="57"/>
          <w:rFonts w:ascii="Times New Roman" w:hAnsi="Times New Roman"/>
          <w:b/>
          <w:color w:val="000000"/>
          <w:sz w:val="32"/>
          <w:szCs w:val="32"/>
        </w:rPr>
        <w:t>3</w:t>
      </w:r>
      <w:bookmarkEnd w:id="7"/>
      <w:bookmarkEnd w:id="8"/>
      <w:r>
        <w:rPr>
          <w:rStyle w:val="57"/>
          <w:rFonts w:ascii="Times New Roman" w:hAnsi="Times New Roman"/>
          <w:b/>
          <w:color w:val="000000"/>
          <w:sz w:val="32"/>
          <w:szCs w:val="32"/>
        </w:rPr>
        <w:t>7</w:t>
      </w:r>
      <w:r>
        <w:rPr>
          <w:rStyle w:val="57"/>
          <w:rFonts w:ascii="Times New Roman" w:hAnsi="Times New Roman"/>
          <w:b/>
          <w:color w:val="000000"/>
          <w:sz w:val="32"/>
          <w:szCs w:val="32"/>
        </w:rPr>
        <w:fldChar w:fldCharType="end"/>
      </w:r>
    </w:p>
    <w:p w14:paraId="7279A915">
      <w:pPr>
        <w:pStyle w:val="280"/>
        <w:spacing w:line="480" w:lineRule="auto"/>
        <w:ind w:firstLine="420" w:firstLineChars="200"/>
        <w:rPr>
          <w:rFonts w:ascii="Times New Roman" w:hAnsi="Times New Roman"/>
          <w:b/>
          <w:color w:val="000000"/>
          <w:sz w:val="32"/>
          <w:szCs w:val="32"/>
        </w:rPr>
      </w:pPr>
      <w:r>
        <w:fldChar w:fldCharType="begin"/>
      </w:r>
      <w:r>
        <w:instrText xml:space="preserve"> HYPERLINK "file:///F:\\陈铭\\135嘉兴市港航管理服务中心海河联运在线项目\\公开招标-嘉兴市港航管理服务中心海河联运在线项目.doc" \l "_Toc11067543" </w:instrText>
      </w:r>
      <w:r>
        <w:fldChar w:fldCharType="separate"/>
      </w:r>
      <w:r>
        <w:rPr>
          <w:rStyle w:val="57"/>
          <w:rFonts w:hint="eastAsia" w:ascii="Times New Roman" w:hAnsi="Times New Roman"/>
          <w:b/>
          <w:color w:val="000000"/>
          <w:sz w:val="32"/>
          <w:szCs w:val="32"/>
        </w:rPr>
        <w:t>第六章</w:t>
      </w:r>
      <w:r>
        <w:rPr>
          <w:rStyle w:val="57"/>
          <w:rFonts w:ascii="Times New Roman" w:hAnsi="Times New Roman"/>
          <w:b/>
          <w:color w:val="000000"/>
          <w:sz w:val="32"/>
          <w:szCs w:val="32"/>
        </w:rPr>
        <w:t xml:space="preserve">  </w:t>
      </w:r>
      <w:r>
        <w:rPr>
          <w:rStyle w:val="57"/>
          <w:rFonts w:hint="eastAsia" w:ascii="Times New Roman" w:hAnsi="Times New Roman"/>
          <w:b/>
          <w:color w:val="000000"/>
          <w:sz w:val="32"/>
          <w:szCs w:val="32"/>
        </w:rPr>
        <w:t>投标文件格式</w:t>
      </w:r>
      <w:r>
        <w:rPr>
          <w:rStyle w:val="57"/>
          <w:rFonts w:ascii="Times New Roman" w:hAnsi="Times New Roman"/>
          <w:b/>
          <w:color w:val="000000"/>
          <w:sz w:val="32"/>
          <w:szCs w:val="32"/>
        </w:rPr>
        <w:tab/>
      </w:r>
      <w:bookmarkStart w:id="9" w:name="_Hlt142655912"/>
      <w:r>
        <w:rPr>
          <w:rStyle w:val="57"/>
          <w:rFonts w:hint="eastAsia"/>
        </w:rPr>
        <w:fldChar w:fldCharType="begin"/>
      </w:r>
      <w:r>
        <w:rPr>
          <w:rStyle w:val="57"/>
          <w:rFonts w:ascii="Times New Roman" w:hAnsi="Times New Roman"/>
          <w:b/>
          <w:color w:val="000000"/>
          <w:sz w:val="32"/>
          <w:szCs w:val="32"/>
        </w:rPr>
        <w:instrText xml:space="preserve"> PAGEREF _Toc11067543 \h </w:instrText>
      </w:r>
      <w:r>
        <w:rPr>
          <w:rStyle w:val="57"/>
          <w:rFonts w:hint="eastAsia"/>
        </w:rPr>
        <w:fldChar w:fldCharType="separate"/>
      </w:r>
      <w:r>
        <w:rPr>
          <w:rStyle w:val="57"/>
          <w:rFonts w:ascii="Times New Roman" w:hAnsi="Times New Roman"/>
          <w:b/>
          <w:color w:val="000000"/>
          <w:sz w:val="32"/>
          <w:szCs w:val="32"/>
        </w:rPr>
        <w:t>94</w:t>
      </w:r>
      <w:r>
        <w:rPr>
          <w:rStyle w:val="57"/>
          <w:rFonts w:hint="eastAsia"/>
        </w:rPr>
        <w:fldChar w:fldCharType="end"/>
      </w:r>
      <w:bookmarkEnd w:id="9"/>
      <w:r>
        <w:rPr>
          <w:rStyle w:val="57"/>
          <w:rFonts w:hint="eastAsia"/>
        </w:rPr>
        <w:fldChar w:fldCharType="end"/>
      </w:r>
    </w:p>
    <w:p w14:paraId="59CA0228">
      <w:pPr>
        <w:pStyle w:val="38"/>
        <w:spacing w:before="120" w:after="0" w:line="480" w:lineRule="auto"/>
        <w:ind w:firstLine="643" w:firstLineChars="200"/>
        <w:outlineLvl w:val="0"/>
        <w:rPr>
          <w:rFonts w:ascii="Times New Roman" w:hAnsi="Times New Roman"/>
          <w:color w:val="000000"/>
          <w:sz w:val="21"/>
          <w:szCs w:val="21"/>
        </w:rPr>
      </w:pPr>
      <w:r>
        <w:rPr>
          <w:rFonts w:ascii="Times New Roman" w:hAnsi="Times New Roman"/>
          <w:bCs w:val="0"/>
          <w:color w:val="000000"/>
        </w:rPr>
        <w:fldChar w:fldCharType="end"/>
      </w:r>
    </w:p>
    <w:p w14:paraId="57F307B4">
      <w:pPr>
        <w:pStyle w:val="48"/>
        <w:pageBreakBefore w:val="0"/>
        <w:numPr>
          <w:ilvl w:val="0"/>
          <w:numId w:val="7"/>
        </w:numPr>
        <w:kinsoku/>
        <w:overflowPunct/>
        <w:topLinePunct w:val="0"/>
        <w:bidi w:val="0"/>
        <w:spacing w:before="120" w:after="240" w:line="360" w:lineRule="auto"/>
        <w:ind w:firstLine="640"/>
        <w:rPr>
          <w:rFonts w:hint="eastAsia" w:asciiTheme="minorEastAsia" w:hAnsiTheme="minorEastAsia" w:eastAsiaTheme="minorEastAsia" w:cstheme="minorEastAsia"/>
          <w:sz w:val="24"/>
          <w:szCs w:val="24"/>
        </w:rPr>
      </w:pPr>
      <w:r>
        <w:rPr>
          <w:rFonts w:ascii="Times New Roman" w:hAnsi="Times New Roman"/>
          <w:b w:val="0"/>
          <w:bCs w:val="0"/>
          <w:color w:val="000000"/>
          <w:szCs w:val="21"/>
        </w:rPr>
        <w:br w:type="page"/>
      </w:r>
      <w:bookmarkStart w:id="10" w:name="_Toc406402982"/>
      <w:bookmarkStart w:id="11" w:name="_Toc11067538"/>
      <w:r>
        <w:rPr>
          <w:rFonts w:ascii="Times New Roman" w:hAnsi="Times New Roman"/>
          <w:color w:val="000000"/>
        </w:rPr>
        <w:t xml:space="preserve"> </w:t>
      </w:r>
      <w:bookmarkEnd w:id="10"/>
      <w:r>
        <w:rPr>
          <w:rFonts w:hint="eastAsia" w:ascii="Times New Roman" w:hAnsi="Times New Roman"/>
          <w:color w:val="000000"/>
        </w:rPr>
        <w:t>公开招标采购公告</w:t>
      </w:r>
      <w:bookmarkEnd w:id="11"/>
      <w:bookmarkStart w:id="12" w:name="_Toc11067539"/>
      <w:bookmarkStart w:id="13" w:name="_Toc417992857"/>
    </w:p>
    <w:p w14:paraId="5476F810">
      <w:pPr>
        <w:pStyle w:val="46"/>
        <w:keepNext w:val="0"/>
        <w:keepLines w:val="0"/>
        <w:pageBreakBefore w:val="0"/>
        <w:widowControl/>
        <w:suppressLineNumbers w:val="0"/>
        <w:kinsoku/>
        <w:wordWrap/>
        <w:overflowPunct/>
        <w:topLinePunct w:val="0"/>
        <w:autoSpaceDE/>
        <w:autoSpaceDN/>
        <w:bidi w:val="0"/>
        <w:adjustRightInd/>
        <w:snapToGrid/>
        <w:spacing w:before="225" w:beforeAutospacing="0" w:after="225" w:afterAutospacing="0" w:line="360" w:lineRule="auto"/>
        <w:ind w:left="0" w:right="0" w:firstLine="723" w:firstLineChars="300"/>
        <w:rPr>
          <w:rStyle w:val="54"/>
          <w:rFonts w:hint="default" w:asciiTheme="minorEastAsia" w:hAnsiTheme="minorEastAsia" w:eastAsiaTheme="minorEastAsia" w:cstheme="minorEastAsia"/>
          <w:i w:val="0"/>
          <w:iCs w:val="0"/>
          <w:caps w:val="0"/>
          <w:color w:val="000000"/>
          <w:spacing w:val="0"/>
          <w:sz w:val="24"/>
          <w:szCs w:val="24"/>
          <w:lang w:val="en-US" w:eastAsia="zh-CN"/>
        </w:rPr>
      </w:pPr>
      <w:r>
        <w:rPr>
          <w:rStyle w:val="54"/>
          <w:rFonts w:hint="eastAsia" w:asciiTheme="minorEastAsia" w:hAnsiTheme="minorEastAsia" w:eastAsiaTheme="minorEastAsia" w:cstheme="minorEastAsia"/>
          <w:i w:val="0"/>
          <w:iCs w:val="0"/>
          <w:caps w:val="0"/>
          <w:color w:val="000000"/>
          <w:spacing w:val="0"/>
          <w:sz w:val="24"/>
          <w:szCs w:val="24"/>
          <w:lang w:val="en-US" w:eastAsia="zh-CN"/>
        </w:rPr>
        <w:t>项目概况</w:t>
      </w:r>
    </w:p>
    <w:tbl>
      <w:tblPr>
        <w:tblStyle w:val="5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66"/>
      </w:tblGrid>
      <w:tr w14:paraId="757A8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6" w:type="dxa"/>
          </w:tcPr>
          <w:p w14:paraId="53A2ED0B">
            <w:pPr>
              <w:pStyle w:val="46"/>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auto"/>
              <w:ind w:right="0" w:firstLine="480" w:firstLineChars="200"/>
              <w:jc w:val="left"/>
              <w:rPr>
                <w:rFonts w:hint="eastAsia" w:asciiTheme="minorEastAsia" w:hAnsiTheme="minorEastAsia" w:eastAsiaTheme="minorEastAsia" w:cstheme="minorEastAsia"/>
                <w:i w:val="0"/>
                <w:iCs w:val="0"/>
                <w:caps w:val="0"/>
                <w:color w:val="000000"/>
                <w:spacing w:val="0"/>
                <w:sz w:val="24"/>
                <w:szCs w:val="24"/>
                <w:vertAlign w:val="baseline"/>
              </w:rPr>
            </w:pPr>
            <w:r>
              <w:rPr>
                <w:rFonts w:hint="eastAsia" w:asciiTheme="minorEastAsia" w:hAnsiTheme="minorEastAsia" w:eastAsiaTheme="minorEastAsia" w:cstheme="minorEastAsia"/>
                <w:i w:val="0"/>
                <w:iCs w:val="0"/>
                <w:caps w:val="0"/>
                <w:color w:val="000000"/>
                <w:spacing w:val="0"/>
                <w:sz w:val="24"/>
                <w:szCs w:val="24"/>
                <w:lang w:eastAsia="zh-CN"/>
              </w:rPr>
              <w:t>2026年秀洲区县道及以上公路小修及应急抢险项目</w:t>
            </w:r>
            <w:r>
              <w:rPr>
                <w:rFonts w:hint="eastAsia" w:asciiTheme="minorEastAsia" w:hAnsiTheme="minorEastAsia" w:eastAsiaTheme="minorEastAsia" w:cstheme="minorEastAsia"/>
                <w:i w:val="0"/>
                <w:iCs w:val="0"/>
                <w:caps w:val="0"/>
                <w:color w:val="000000"/>
                <w:spacing w:val="0"/>
                <w:sz w:val="24"/>
                <w:szCs w:val="24"/>
              </w:rPr>
              <w:t>招标项目的潜在投标人应在政采云平台线上获取（下载）招标文件，并于202</w:t>
            </w:r>
            <w:r>
              <w:rPr>
                <w:rFonts w:hint="eastAsia" w:asciiTheme="minorEastAsia" w:hAnsiTheme="minorEastAsia" w:eastAsiaTheme="minorEastAsia" w:cstheme="minorEastAsia"/>
                <w:i w:val="0"/>
                <w:iCs w:val="0"/>
                <w:caps w:val="0"/>
                <w:color w:val="000000"/>
                <w:spacing w:val="0"/>
                <w:sz w:val="24"/>
                <w:szCs w:val="24"/>
                <w:lang w:val="en-US" w:eastAsia="zh-CN"/>
              </w:rPr>
              <w:t>6</w:t>
            </w:r>
            <w:r>
              <w:rPr>
                <w:rFonts w:hint="eastAsia" w:asciiTheme="minorEastAsia" w:hAnsiTheme="minorEastAsia" w:eastAsiaTheme="minorEastAsia" w:cstheme="minorEastAsia"/>
                <w:i w:val="0"/>
                <w:iCs w:val="0"/>
                <w:caps w:val="0"/>
                <w:color w:val="000000"/>
                <w:spacing w:val="0"/>
                <w:sz w:val="24"/>
                <w:szCs w:val="24"/>
              </w:rPr>
              <w:t>年</w:t>
            </w:r>
            <w:r>
              <w:rPr>
                <w:rFonts w:hint="eastAsia" w:asciiTheme="minorEastAsia" w:hAnsiTheme="minorEastAsia" w:eastAsiaTheme="minorEastAsia" w:cstheme="minorEastAsia"/>
                <w:i w:val="0"/>
                <w:iCs w:val="0"/>
                <w:caps w:val="0"/>
                <w:color w:val="000000"/>
                <w:spacing w:val="0"/>
                <w:sz w:val="24"/>
                <w:szCs w:val="24"/>
                <w:lang w:val="en-US" w:eastAsia="zh-CN"/>
              </w:rPr>
              <w:t>02</w:t>
            </w:r>
            <w:r>
              <w:rPr>
                <w:rFonts w:hint="eastAsia" w:asciiTheme="minorEastAsia" w:hAnsiTheme="minorEastAsia" w:eastAsiaTheme="minorEastAsia" w:cstheme="minorEastAsia"/>
                <w:i w:val="0"/>
                <w:iCs w:val="0"/>
                <w:caps w:val="0"/>
                <w:color w:val="000000"/>
                <w:spacing w:val="0"/>
                <w:sz w:val="24"/>
                <w:szCs w:val="24"/>
              </w:rPr>
              <w:t>月</w:t>
            </w:r>
            <w:r>
              <w:rPr>
                <w:rFonts w:hint="eastAsia" w:asciiTheme="minorEastAsia" w:hAnsiTheme="minorEastAsia" w:eastAsiaTheme="minorEastAsia" w:cstheme="minorEastAsia"/>
                <w:i w:val="0"/>
                <w:iCs w:val="0"/>
                <w:caps w:val="0"/>
                <w:color w:val="000000"/>
                <w:spacing w:val="0"/>
                <w:sz w:val="24"/>
                <w:szCs w:val="24"/>
                <w:lang w:val="en-US" w:eastAsia="zh-CN"/>
              </w:rPr>
              <w:t>11</w:t>
            </w:r>
            <w:r>
              <w:rPr>
                <w:rFonts w:hint="eastAsia" w:asciiTheme="minorEastAsia" w:hAnsiTheme="minorEastAsia" w:eastAsiaTheme="minorEastAsia" w:cstheme="minorEastAsia"/>
                <w:i w:val="0"/>
                <w:iCs w:val="0"/>
                <w:caps w:val="0"/>
                <w:color w:val="000000"/>
                <w:spacing w:val="0"/>
                <w:sz w:val="24"/>
                <w:szCs w:val="24"/>
              </w:rPr>
              <w:t>日 14:</w:t>
            </w:r>
            <w:r>
              <w:rPr>
                <w:rFonts w:hint="eastAsia" w:asciiTheme="minorEastAsia" w:hAnsiTheme="minorEastAsia" w:eastAsiaTheme="minorEastAsia" w:cstheme="minorEastAsia"/>
                <w:i w:val="0"/>
                <w:iCs w:val="0"/>
                <w:caps w:val="0"/>
                <w:color w:val="000000"/>
                <w:spacing w:val="0"/>
                <w:sz w:val="24"/>
                <w:szCs w:val="24"/>
                <w:lang w:val="en-US" w:eastAsia="zh-CN"/>
              </w:rPr>
              <w:t>3</w:t>
            </w:r>
            <w:r>
              <w:rPr>
                <w:rFonts w:hint="eastAsia" w:asciiTheme="minorEastAsia" w:hAnsiTheme="minorEastAsia" w:eastAsiaTheme="minorEastAsia" w:cstheme="minorEastAsia"/>
                <w:i w:val="0"/>
                <w:iCs w:val="0"/>
                <w:caps w:val="0"/>
                <w:color w:val="000000"/>
                <w:spacing w:val="0"/>
                <w:sz w:val="24"/>
                <w:szCs w:val="24"/>
              </w:rPr>
              <w:t xml:space="preserve">0（北京时间）前递交（上传）投标文件。  </w:t>
            </w:r>
          </w:p>
        </w:tc>
      </w:tr>
    </w:tbl>
    <w:p w14:paraId="07C513D0">
      <w:pPr>
        <w:pStyle w:val="46"/>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auto"/>
        <w:ind w:left="720" w:right="0" w:hanging="720" w:hangingChars="3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000000"/>
          <w:spacing w:val="0"/>
          <w:sz w:val="24"/>
          <w:szCs w:val="24"/>
        </w:rPr>
        <w:t>           </w:t>
      </w:r>
      <w:r>
        <w:rPr>
          <w:rFonts w:hint="eastAsia" w:asciiTheme="minorEastAsia" w:hAnsiTheme="minorEastAsia" w:eastAsiaTheme="minorEastAsia" w:cstheme="minorEastAsia"/>
          <w:i w:val="0"/>
          <w:iCs w:val="0"/>
          <w:caps w:val="0"/>
          <w:color w:val="000000"/>
          <w:spacing w:val="0"/>
          <w:sz w:val="24"/>
          <w:szCs w:val="24"/>
          <w:lang w:val="en-US" w:eastAsia="zh-CN"/>
        </w:rPr>
        <w:t xml:space="preserve">                                           </w:t>
      </w:r>
      <w:r>
        <w:rPr>
          <w:rStyle w:val="54"/>
          <w:rFonts w:hint="eastAsia" w:asciiTheme="minorEastAsia" w:hAnsiTheme="minorEastAsia" w:eastAsiaTheme="minorEastAsia" w:cstheme="minorEastAsia"/>
          <w:i w:val="0"/>
          <w:iCs w:val="0"/>
          <w:caps w:val="0"/>
          <w:color w:val="000000"/>
          <w:spacing w:val="0"/>
          <w:sz w:val="24"/>
          <w:szCs w:val="24"/>
        </w:rPr>
        <w:t xml:space="preserve">       </w:t>
      </w:r>
      <w:r>
        <w:rPr>
          <w:rFonts w:hint="eastAsia" w:asciiTheme="minorEastAsia" w:hAnsiTheme="minorEastAsia" w:eastAsiaTheme="minorEastAsia" w:cstheme="minorEastAsia"/>
          <w:b/>
          <w:bCs/>
          <w:i w:val="0"/>
          <w:iCs w:val="0"/>
          <w:caps w:val="0"/>
          <w:color w:val="000000"/>
          <w:spacing w:val="0"/>
          <w:sz w:val="24"/>
          <w:szCs w:val="24"/>
        </w:rPr>
        <w:t>项目编号</w:t>
      </w:r>
      <w:r>
        <w:rPr>
          <w:rFonts w:hint="eastAsia" w:asciiTheme="minorEastAsia" w:hAnsiTheme="minorEastAsia" w:eastAsiaTheme="minorEastAsia" w:cstheme="minorEastAsia"/>
          <w:i w:val="0"/>
          <w:iCs w:val="0"/>
          <w:caps w:val="0"/>
          <w:color w:val="000000"/>
          <w:spacing w:val="0"/>
          <w:sz w:val="24"/>
          <w:szCs w:val="24"/>
        </w:rPr>
        <w:t>：</w:t>
      </w:r>
      <w:r>
        <w:rPr>
          <w:rFonts w:hint="eastAsia" w:asciiTheme="minorEastAsia" w:hAnsiTheme="minorEastAsia" w:eastAsiaTheme="minorEastAsia" w:cstheme="minorEastAsia"/>
          <w:i w:val="0"/>
          <w:iCs w:val="0"/>
          <w:caps w:val="0"/>
          <w:color w:val="000000"/>
          <w:spacing w:val="0"/>
          <w:sz w:val="24"/>
          <w:szCs w:val="24"/>
          <w:lang w:eastAsia="zh-CN"/>
        </w:rPr>
        <w:t>QZZXC2026-JX003</w:t>
      </w:r>
    </w:p>
    <w:p w14:paraId="18F66F65">
      <w:pPr>
        <w:pStyle w:val="46"/>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auto"/>
        <w:ind w:left="0" w:right="0" w:firstLine="720"/>
        <w:rPr>
          <w:rFonts w:hint="eastAsia" w:asciiTheme="minorEastAsia" w:hAnsiTheme="minorEastAsia" w:eastAsiaTheme="minorEastAsia" w:cstheme="minorEastAsia"/>
          <w:i w:val="0"/>
          <w:iCs w:val="0"/>
          <w:caps w:val="0"/>
          <w:color w:val="000000"/>
          <w:spacing w:val="0"/>
          <w:sz w:val="24"/>
          <w:szCs w:val="24"/>
          <w:highlight w:val="none"/>
          <w:lang w:eastAsia="zh-CN"/>
        </w:rPr>
      </w:pPr>
      <w:r>
        <w:rPr>
          <w:rFonts w:hint="eastAsia" w:asciiTheme="minorEastAsia" w:hAnsiTheme="minorEastAsia" w:eastAsiaTheme="minorEastAsia" w:cstheme="minorEastAsia"/>
          <w:b/>
          <w:bCs/>
          <w:i w:val="0"/>
          <w:iCs w:val="0"/>
          <w:caps w:val="0"/>
          <w:color w:val="000000"/>
          <w:spacing w:val="0"/>
          <w:sz w:val="24"/>
          <w:szCs w:val="24"/>
          <w:highlight w:val="none"/>
        </w:rPr>
        <w:t>项目名称：</w:t>
      </w:r>
      <w:r>
        <w:rPr>
          <w:rFonts w:hint="eastAsia" w:asciiTheme="minorEastAsia" w:hAnsiTheme="minorEastAsia" w:eastAsiaTheme="minorEastAsia" w:cstheme="minorEastAsia"/>
          <w:i w:val="0"/>
          <w:iCs w:val="0"/>
          <w:caps w:val="0"/>
          <w:color w:val="000000"/>
          <w:spacing w:val="0"/>
          <w:sz w:val="24"/>
          <w:szCs w:val="24"/>
          <w:highlight w:val="none"/>
          <w:lang w:eastAsia="zh-CN"/>
        </w:rPr>
        <w:t>2026年秀洲区县道及以上公路小修及应急抢险项目</w:t>
      </w:r>
    </w:p>
    <w:p w14:paraId="7DF25585">
      <w:pPr>
        <w:pStyle w:val="46"/>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auto"/>
        <w:ind w:left="0" w:right="0" w:firstLine="720"/>
        <w:rPr>
          <w:rFonts w:hint="default" w:asciiTheme="minorEastAsia" w:hAnsiTheme="minorEastAsia" w:eastAsiaTheme="minorEastAsia" w:cstheme="minorEastAsia"/>
          <w:sz w:val="24"/>
          <w:szCs w:val="24"/>
          <w:highlight w:val="none"/>
          <w:lang w:val="en-US"/>
        </w:rPr>
      </w:pPr>
      <w:r>
        <w:rPr>
          <w:rFonts w:hint="eastAsia" w:asciiTheme="minorEastAsia" w:hAnsiTheme="minorEastAsia" w:eastAsiaTheme="minorEastAsia" w:cstheme="minorEastAsia"/>
          <w:b/>
          <w:bCs/>
          <w:i w:val="0"/>
          <w:iCs w:val="0"/>
          <w:caps w:val="0"/>
          <w:color w:val="000000"/>
          <w:spacing w:val="0"/>
          <w:sz w:val="24"/>
          <w:szCs w:val="24"/>
          <w:highlight w:val="none"/>
        </w:rPr>
        <w:t>预算金额（元）：</w:t>
      </w:r>
      <w:r>
        <w:rPr>
          <w:rFonts w:hint="eastAsia" w:asciiTheme="minorEastAsia" w:hAnsiTheme="minorEastAsia" w:eastAsiaTheme="minorEastAsia" w:cstheme="minorEastAsia"/>
          <w:i w:val="0"/>
          <w:iCs w:val="0"/>
          <w:caps w:val="0"/>
          <w:color w:val="000000"/>
          <w:spacing w:val="0"/>
          <w:kern w:val="2"/>
          <w:sz w:val="24"/>
          <w:szCs w:val="24"/>
          <w:highlight w:val="none"/>
          <w:lang w:val="en-US" w:eastAsia="zh-CN" w:bidi="ar-SA"/>
        </w:rPr>
        <w:t>9749735</w:t>
      </w:r>
    </w:p>
    <w:p w14:paraId="3B048B79">
      <w:pPr>
        <w:pStyle w:val="23"/>
        <w:keepNext w:val="0"/>
        <w:keepLines w:val="0"/>
        <w:pageBreakBefore w:val="0"/>
        <w:kinsoku/>
        <w:wordWrap/>
        <w:overflowPunct/>
        <w:topLinePunct w:val="0"/>
        <w:autoSpaceDE/>
        <w:autoSpaceDN/>
        <w:bidi w:val="0"/>
        <w:adjustRightInd/>
        <w:snapToGrid/>
        <w:spacing w:line="360" w:lineRule="auto"/>
        <w:jc w:val="left"/>
        <w:rPr>
          <w:rFonts w:hint="eastAsia" w:asciiTheme="minorEastAsia" w:hAnsiTheme="minorEastAsia" w:eastAsiaTheme="minorEastAsia" w:cstheme="minorEastAsia"/>
          <w:i w:val="0"/>
          <w:iCs w:val="0"/>
          <w:caps w:val="0"/>
          <w:color w:val="000000"/>
          <w:spacing w:val="0"/>
          <w:sz w:val="24"/>
          <w:szCs w:val="24"/>
          <w:highlight w:val="none"/>
        </w:rPr>
      </w:pPr>
      <w:r>
        <w:rPr>
          <w:rFonts w:hint="eastAsia" w:asciiTheme="minorEastAsia" w:hAnsiTheme="minorEastAsia" w:eastAsiaTheme="minorEastAsia" w:cstheme="minorEastAsia"/>
          <w:i w:val="0"/>
          <w:iCs w:val="0"/>
          <w:caps w:val="0"/>
          <w:color w:val="000000"/>
          <w:spacing w:val="0"/>
          <w:sz w:val="24"/>
          <w:szCs w:val="24"/>
          <w:highlight w:val="none"/>
        </w:rPr>
        <w:t>   </w:t>
      </w:r>
      <w:r>
        <w:rPr>
          <w:rFonts w:hint="eastAsia" w:asciiTheme="minorEastAsia" w:hAnsiTheme="minorEastAsia" w:eastAsiaTheme="minorEastAsia" w:cstheme="minorEastAsia"/>
          <w:b/>
          <w:bCs/>
          <w:i w:val="0"/>
          <w:iCs w:val="0"/>
          <w:caps w:val="0"/>
          <w:color w:val="000000"/>
          <w:spacing w:val="0"/>
          <w:sz w:val="24"/>
          <w:szCs w:val="24"/>
          <w:highlight w:val="none"/>
        </w:rPr>
        <w:t xml:space="preserve"> 最高限价：</w:t>
      </w:r>
      <w:r>
        <w:rPr>
          <w:rFonts w:hint="eastAsia" w:asciiTheme="minorEastAsia" w:hAnsiTheme="minorEastAsia" w:eastAsiaTheme="minorEastAsia" w:cstheme="minorEastAsia"/>
          <w:i w:val="0"/>
          <w:iCs w:val="0"/>
          <w:caps w:val="0"/>
          <w:color w:val="000000"/>
          <w:spacing w:val="0"/>
          <w:sz w:val="24"/>
          <w:szCs w:val="24"/>
          <w:highlight w:val="none"/>
        </w:rPr>
        <w:t>标项</w:t>
      </w:r>
      <w:r>
        <w:rPr>
          <w:rFonts w:hint="eastAsia" w:asciiTheme="minorEastAsia" w:hAnsiTheme="minorEastAsia" w:eastAsiaTheme="minorEastAsia" w:cstheme="minorEastAsia"/>
          <w:i w:val="0"/>
          <w:iCs w:val="0"/>
          <w:caps w:val="0"/>
          <w:color w:val="000000"/>
          <w:spacing w:val="0"/>
          <w:sz w:val="24"/>
          <w:szCs w:val="24"/>
          <w:highlight w:val="none"/>
          <w:lang w:val="en-US" w:eastAsia="zh-CN"/>
        </w:rPr>
        <w:t>1：5891106</w:t>
      </w:r>
      <w:r>
        <w:rPr>
          <w:rFonts w:hint="eastAsia" w:asciiTheme="minorEastAsia" w:hAnsiTheme="minorEastAsia" w:eastAsiaTheme="minorEastAsia" w:cstheme="minorEastAsia"/>
          <w:i w:val="0"/>
          <w:iCs w:val="0"/>
          <w:caps w:val="0"/>
          <w:color w:val="000000"/>
          <w:spacing w:val="0"/>
          <w:sz w:val="24"/>
          <w:szCs w:val="24"/>
          <w:highlight w:val="none"/>
          <w:lang w:eastAsia="zh-CN"/>
        </w:rPr>
        <w:t>元整、</w:t>
      </w:r>
      <w:r>
        <w:rPr>
          <w:rFonts w:hint="eastAsia" w:asciiTheme="minorEastAsia" w:hAnsiTheme="minorEastAsia" w:eastAsiaTheme="minorEastAsia" w:cstheme="minorEastAsia"/>
          <w:i w:val="0"/>
          <w:iCs w:val="0"/>
          <w:caps w:val="0"/>
          <w:color w:val="000000"/>
          <w:spacing w:val="0"/>
          <w:sz w:val="24"/>
          <w:szCs w:val="24"/>
          <w:highlight w:val="none"/>
        </w:rPr>
        <w:t>标项</w:t>
      </w:r>
      <w:r>
        <w:rPr>
          <w:rFonts w:hint="eastAsia" w:asciiTheme="minorEastAsia" w:hAnsiTheme="minorEastAsia" w:eastAsiaTheme="minorEastAsia" w:cstheme="minorEastAsia"/>
          <w:i w:val="0"/>
          <w:iCs w:val="0"/>
          <w:caps w:val="0"/>
          <w:color w:val="000000"/>
          <w:spacing w:val="0"/>
          <w:sz w:val="24"/>
          <w:szCs w:val="24"/>
          <w:highlight w:val="none"/>
          <w:lang w:val="en-US" w:eastAsia="zh-CN"/>
        </w:rPr>
        <w:t>2</w:t>
      </w:r>
      <w:r>
        <w:rPr>
          <w:rFonts w:hint="eastAsia" w:asciiTheme="minorEastAsia" w:hAnsiTheme="minorEastAsia" w:eastAsiaTheme="minorEastAsia" w:cstheme="minorEastAsia"/>
          <w:i w:val="0"/>
          <w:iCs w:val="0"/>
          <w:caps w:val="0"/>
          <w:color w:val="000000"/>
          <w:spacing w:val="0"/>
          <w:sz w:val="24"/>
          <w:szCs w:val="24"/>
          <w:highlight w:val="none"/>
          <w:lang w:eastAsia="zh-CN"/>
        </w:rPr>
        <w:t>：</w:t>
      </w:r>
      <w:r>
        <w:rPr>
          <w:rFonts w:hint="eastAsia" w:asciiTheme="minorEastAsia" w:hAnsiTheme="minorEastAsia" w:eastAsiaTheme="minorEastAsia" w:cstheme="minorEastAsia"/>
          <w:i w:val="0"/>
          <w:iCs w:val="0"/>
          <w:caps w:val="0"/>
          <w:color w:val="000000"/>
          <w:spacing w:val="0"/>
          <w:sz w:val="24"/>
          <w:szCs w:val="24"/>
          <w:highlight w:val="none"/>
          <w:lang w:val="en-US" w:eastAsia="zh-CN"/>
        </w:rPr>
        <w:t>3858629</w:t>
      </w:r>
      <w:r>
        <w:rPr>
          <w:rFonts w:hint="eastAsia" w:asciiTheme="minorEastAsia" w:hAnsiTheme="minorEastAsia" w:eastAsiaTheme="minorEastAsia" w:cstheme="minorEastAsia"/>
          <w:i w:val="0"/>
          <w:iCs w:val="0"/>
          <w:caps w:val="0"/>
          <w:color w:val="000000"/>
          <w:spacing w:val="0"/>
          <w:sz w:val="24"/>
          <w:szCs w:val="24"/>
          <w:highlight w:val="none"/>
          <w:lang w:eastAsia="zh-CN"/>
        </w:rPr>
        <w:t>元整；</w:t>
      </w:r>
    </w:p>
    <w:p w14:paraId="5ACA5093">
      <w:pPr>
        <w:pStyle w:val="46"/>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auto"/>
        <w:ind w:left="0" w:right="0"/>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i w:val="0"/>
          <w:iCs w:val="0"/>
          <w:caps w:val="0"/>
          <w:color w:val="000000"/>
          <w:spacing w:val="0"/>
          <w:sz w:val="24"/>
          <w:szCs w:val="24"/>
          <w:highlight w:val="none"/>
        </w:rPr>
        <w:t>   </w:t>
      </w:r>
      <w:r>
        <w:rPr>
          <w:rFonts w:hint="eastAsia" w:asciiTheme="minorEastAsia" w:hAnsiTheme="minorEastAsia" w:eastAsiaTheme="minorEastAsia" w:cstheme="minorEastAsia"/>
          <w:b/>
          <w:bCs/>
          <w:i w:val="0"/>
          <w:iCs w:val="0"/>
          <w:caps w:val="0"/>
          <w:color w:val="000000"/>
          <w:spacing w:val="0"/>
          <w:sz w:val="24"/>
          <w:szCs w:val="24"/>
          <w:highlight w:val="none"/>
        </w:rPr>
        <w:t xml:space="preserve"> 采购需求：</w:t>
      </w:r>
    </w:p>
    <w:p w14:paraId="54C06BB1">
      <w:pPr>
        <w:pStyle w:val="46"/>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auto"/>
        <w:ind w:left="0" w:right="0"/>
        <w:rPr>
          <w:rFonts w:hint="eastAsia" w:asciiTheme="minorEastAsia" w:hAnsiTheme="minorEastAsia" w:eastAsiaTheme="minorEastAsia" w:cstheme="minorEastAsia"/>
          <w:i w:val="0"/>
          <w:iCs w:val="0"/>
          <w:caps w:val="0"/>
          <w:color w:val="000000"/>
          <w:spacing w:val="0"/>
          <w:sz w:val="24"/>
          <w:szCs w:val="24"/>
          <w:highlight w:val="none"/>
          <w:lang w:val="en-US" w:eastAsia="zh-CN"/>
        </w:rPr>
      </w:pPr>
      <w:r>
        <w:rPr>
          <w:rFonts w:hint="eastAsia" w:asciiTheme="minorEastAsia" w:hAnsiTheme="minorEastAsia" w:eastAsiaTheme="minorEastAsia" w:cstheme="minorEastAsia"/>
          <w:i w:val="0"/>
          <w:iCs w:val="0"/>
          <w:caps w:val="0"/>
          <w:color w:val="000000"/>
          <w:spacing w:val="0"/>
          <w:sz w:val="24"/>
          <w:szCs w:val="24"/>
          <w:highlight w:val="none"/>
        </w:rPr>
        <w:t>标项</w:t>
      </w:r>
      <w:r>
        <w:rPr>
          <w:rFonts w:hint="eastAsia" w:asciiTheme="minorEastAsia" w:hAnsiTheme="minorEastAsia" w:eastAsiaTheme="minorEastAsia" w:cstheme="minorEastAsia"/>
          <w:i w:val="0"/>
          <w:iCs w:val="0"/>
          <w:caps w:val="0"/>
          <w:color w:val="000000"/>
          <w:spacing w:val="0"/>
          <w:sz w:val="24"/>
          <w:szCs w:val="24"/>
          <w:highlight w:val="none"/>
          <w:lang w:val="en-US" w:eastAsia="zh-CN"/>
        </w:rPr>
        <w:t>1</w:t>
      </w:r>
      <w:r>
        <w:rPr>
          <w:rFonts w:hint="eastAsia" w:asciiTheme="minorEastAsia" w:hAnsiTheme="minorEastAsia" w:eastAsiaTheme="minorEastAsia" w:cstheme="minorEastAsia"/>
          <w:i w:val="0"/>
          <w:iCs w:val="0"/>
          <w:caps w:val="0"/>
          <w:color w:val="000000"/>
          <w:spacing w:val="0"/>
          <w:sz w:val="24"/>
          <w:szCs w:val="24"/>
          <w:highlight w:val="none"/>
        </w:rPr>
        <w:br w:type="textWrapping"/>
      </w:r>
      <w:r>
        <w:rPr>
          <w:rFonts w:hint="eastAsia" w:asciiTheme="minorEastAsia" w:hAnsiTheme="minorEastAsia" w:eastAsiaTheme="minorEastAsia" w:cstheme="minorEastAsia"/>
          <w:i w:val="0"/>
          <w:iCs w:val="0"/>
          <w:caps w:val="0"/>
          <w:color w:val="000000"/>
          <w:spacing w:val="0"/>
          <w:sz w:val="24"/>
          <w:szCs w:val="24"/>
          <w:highlight w:val="none"/>
        </w:rPr>
        <w:t>    标项名称:</w:t>
      </w:r>
      <w:r>
        <w:rPr>
          <w:rFonts w:hint="eastAsia" w:asciiTheme="minorEastAsia" w:hAnsiTheme="minorEastAsia" w:eastAsiaTheme="minorEastAsia" w:cstheme="minorEastAsia"/>
          <w:i w:val="0"/>
          <w:iCs w:val="0"/>
          <w:caps w:val="0"/>
          <w:color w:val="000000"/>
          <w:spacing w:val="0"/>
          <w:sz w:val="24"/>
          <w:szCs w:val="24"/>
          <w:highlight w:val="none"/>
          <w:lang w:eastAsia="zh-CN"/>
        </w:rPr>
        <w:t>2026年秀洲区县道及以上公路小修及应急抢险项目</w:t>
      </w:r>
      <w:r>
        <w:rPr>
          <w:rFonts w:hint="eastAsia" w:asciiTheme="minorEastAsia" w:hAnsiTheme="minorEastAsia" w:eastAsiaTheme="minorEastAsia" w:cstheme="minorEastAsia"/>
          <w:i w:val="0"/>
          <w:iCs w:val="0"/>
          <w:caps w:val="0"/>
          <w:color w:val="000000"/>
          <w:spacing w:val="0"/>
          <w:sz w:val="24"/>
          <w:szCs w:val="24"/>
          <w:highlight w:val="none"/>
        </w:rPr>
        <w:t>第一标段 </w:t>
      </w:r>
      <w:r>
        <w:rPr>
          <w:rFonts w:hint="eastAsia" w:asciiTheme="minorEastAsia" w:hAnsiTheme="minorEastAsia" w:eastAsiaTheme="minorEastAsia" w:cstheme="minorEastAsia"/>
          <w:i w:val="0"/>
          <w:iCs w:val="0"/>
          <w:caps w:val="0"/>
          <w:color w:val="000000"/>
          <w:spacing w:val="0"/>
          <w:sz w:val="24"/>
          <w:szCs w:val="24"/>
          <w:highlight w:val="none"/>
        </w:rPr>
        <w:br w:type="textWrapping"/>
      </w:r>
      <w:r>
        <w:rPr>
          <w:rFonts w:hint="eastAsia" w:asciiTheme="minorEastAsia" w:hAnsiTheme="minorEastAsia" w:eastAsiaTheme="minorEastAsia" w:cstheme="minorEastAsia"/>
          <w:i w:val="0"/>
          <w:iCs w:val="0"/>
          <w:caps w:val="0"/>
          <w:color w:val="000000"/>
          <w:spacing w:val="0"/>
          <w:sz w:val="24"/>
          <w:szCs w:val="24"/>
          <w:highlight w:val="none"/>
        </w:rPr>
        <w:t>    数量: 不限  </w:t>
      </w:r>
      <w:r>
        <w:rPr>
          <w:rFonts w:hint="eastAsia" w:asciiTheme="minorEastAsia" w:hAnsiTheme="minorEastAsia" w:eastAsiaTheme="minorEastAsia" w:cstheme="minorEastAsia"/>
          <w:i w:val="0"/>
          <w:iCs w:val="0"/>
          <w:caps w:val="0"/>
          <w:color w:val="000000"/>
          <w:spacing w:val="0"/>
          <w:sz w:val="24"/>
          <w:szCs w:val="24"/>
          <w:highlight w:val="none"/>
        </w:rPr>
        <w:br w:type="textWrapping"/>
      </w:r>
      <w:r>
        <w:rPr>
          <w:rFonts w:hint="eastAsia" w:asciiTheme="minorEastAsia" w:hAnsiTheme="minorEastAsia" w:eastAsiaTheme="minorEastAsia" w:cstheme="minorEastAsia"/>
          <w:i w:val="0"/>
          <w:iCs w:val="0"/>
          <w:caps w:val="0"/>
          <w:color w:val="000000"/>
          <w:spacing w:val="0"/>
          <w:sz w:val="24"/>
          <w:szCs w:val="24"/>
          <w:highlight w:val="none"/>
        </w:rPr>
        <w:t>    预算金额（元）:</w:t>
      </w:r>
      <w:r>
        <w:rPr>
          <w:rFonts w:hint="eastAsia" w:asciiTheme="minorEastAsia" w:hAnsiTheme="minorEastAsia" w:eastAsiaTheme="minorEastAsia" w:cstheme="minorEastAsia"/>
          <w:i w:val="0"/>
          <w:iCs w:val="0"/>
          <w:caps w:val="0"/>
          <w:color w:val="000000"/>
          <w:spacing w:val="0"/>
          <w:sz w:val="24"/>
          <w:szCs w:val="24"/>
          <w:highlight w:val="none"/>
          <w:lang w:val="en-US" w:eastAsia="zh-CN"/>
        </w:rPr>
        <w:t>5891106</w:t>
      </w:r>
    </w:p>
    <w:p w14:paraId="45FB6A4B">
      <w:pPr>
        <w:pStyle w:val="46"/>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auto"/>
        <w:ind w:left="0" w:right="0"/>
        <w:rPr>
          <w:rFonts w:hint="eastAsia" w:asciiTheme="minorEastAsia" w:hAnsiTheme="minorEastAsia" w:eastAsiaTheme="minorEastAsia" w:cstheme="minorEastAsia"/>
          <w:i w:val="0"/>
          <w:iCs w:val="0"/>
          <w:caps w:val="0"/>
          <w:color w:val="000000"/>
          <w:spacing w:val="0"/>
          <w:sz w:val="24"/>
          <w:szCs w:val="24"/>
          <w:highlight w:val="none"/>
          <w:lang w:val="en-US" w:eastAsia="zh-CN"/>
        </w:rPr>
      </w:pPr>
      <w:r>
        <w:rPr>
          <w:rFonts w:hint="eastAsia" w:asciiTheme="minorEastAsia" w:hAnsiTheme="minorEastAsia" w:eastAsiaTheme="minorEastAsia" w:cstheme="minorEastAsia"/>
          <w:i w:val="0"/>
          <w:iCs w:val="0"/>
          <w:caps w:val="0"/>
          <w:color w:val="000000"/>
          <w:spacing w:val="0"/>
          <w:sz w:val="24"/>
          <w:szCs w:val="24"/>
          <w:highlight w:val="none"/>
        </w:rPr>
        <w:t>    简要规格描述或项目基本概况介绍、用途：</w:t>
      </w:r>
      <w:r>
        <w:rPr>
          <w:rFonts w:hint="eastAsia" w:asciiTheme="minorEastAsia" w:hAnsiTheme="minorEastAsia" w:eastAsiaTheme="minorEastAsia" w:cstheme="minorEastAsia"/>
          <w:i w:val="0"/>
          <w:iCs w:val="0"/>
          <w:caps w:val="0"/>
          <w:color w:val="000000"/>
          <w:spacing w:val="0"/>
          <w:sz w:val="24"/>
          <w:szCs w:val="24"/>
          <w:highlight w:val="none"/>
          <w:lang w:val="en-US" w:eastAsia="zh-CN"/>
        </w:rPr>
        <w:t>2026年秀洲区县道及以上公路小修及应急抢险项目，主要内容包括秀洲区国省道的</w:t>
      </w:r>
      <w:r>
        <w:rPr>
          <w:color w:val="000000"/>
        </w:rPr>
        <w:t>公路路面坑洞维修、路面及基层病害处理、公路路面预养护、桥头跳车的接顺</w:t>
      </w:r>
      <w:r>
        <w:rPr>
          <w:rFonts w:hint="eastAsia" w:ascii="宋体" w:hAnsi="宋体" w:cs="宋体"/>
          <w:sz w:val="24"/>
          <w:szCs w:val="24"/>
          <w:highlight w:val="none"/>
          <w:lang w:eastAsia="zh-CN"/>
        </w:rPr>
        <w:t>、</w:t>
      </w:r>
      <w:r>
        <w:rPr>
          <w:rFonts w:hint="eastAsia" w:ascii="宋体" w:hAnsi="宋体" w:eastAsia="宋体" w:cs="宋体"/>
          <w:sz w:val="24"/>
          <w:szCs w:val="24"/>
          <w:highlight w:val="none"/>
        </w:rPr>
        <w:t>路面灌缝</w:t>
      </w: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窨井</w:t>
      </w:r>
      <w:r>
        <w:rPr>
          <w:rFonts w:hint="eastAsia" w:ascii="宋体" w:hAnsi="宋体" w:eastAsia="宋体" w:cs="宋体"/>
          <w:sz w:val="24"/>
          <w:szCs w:val="24"/>
          <w:highlight w:val="none"/>
        </w:rPr>
        <w:t>以及</w:t>
      </w:r>
      <w:r>
        <w:rPr>
          <w:rFonts w:hint="eastAsia" w:ascii="宋体" w:hAnsi="宋体" w:cs="宋体"/>
          <w:sz w:val="24"/>
          <w:szCs w:val="24"/>
          <w:highlight w:val="none"/>
          <w:lang w:val="en-US" w:eastAsia="zh-CN"/>
        </w:rPr>
        <w:t>管涵</w:t>
      </w:r>
      <w:r>
        <w:rPr>
          <w:rFonts w:hint="eastAsia"/>
          <w:color w:val="000000"/>
        </w:rPr>
        <w:t>，</w:t>
      </w:r>
      <w:r>
        <w:rPr>
          <w:color w:val="000000"/>
        </w:rPr>
        <w:t>不含单独立项的公路大中修</w:t>
      </w:r>
      <w:r>
        <w:rPr>
          <w:rFonts w:hint="eastAsia"/>
          <w:color w:val="000000"/>
          <w:lang w:val="en-US" w:eastAsia="zh-CN"/>
        </w:rPr>
        <w:t>以及</w:t>
      </w:r>
      <w:r>
        <w:rPr>
          <w:rFonts w:hint="eastAsia" w:ascii="宋体" w:hAnsi="宋体" w:cs="宋体"/>
          <w:szCs w:val="21"/>
        </w:rPr>
        <w:t>因各种自然灾害及突发事件引起的公路通行不畅</w:t>
      </w:r>
      <w:r>
        <w:rPr>
          <w:rFonts w:hint="eastAsia" w:ascii="宋体" w:hAnsi="宋体" w:cs="宋体"/>
          <w:szCs w:val="21"/>
          <w:lang w:val="en-US" w:eastAsia="zh-CN"/>
        </w:rPr>
        <w:t>进行应急抢险</w:t>
      </w:r>
      <w:r>
        <w:rPr>
          <w:rFonts w:hint="eastAsia" w:asciiTheme="minorEastAsia" w:hAnsiTheme="minorEastAsia" w:eastAsiaTheme="minorEastAsia" w:cstheme="minorEastAsia"/>
          <w:i w:val="0"/>
          <w:iCs w:val="0"/>
          <w:caps w:val="0"/>
          <w:color w:val="000000"/>
          <w:spacing w:val="0"/>
          <w:sz w:val="24"/>
          <w:szCs w:val="24"/>
          <w:highlight w:val="none"/>
          <w:lang w:val="en-US" w:eastAsia="zh-CN"/>
        </w:rPr>
        <w:t>（具体详见招标需求）。</w:t>
      </w:r>
    </w:p>
    <w:p w14:paraId="4C505D74">
      <w:pPr>
        <w:keepNext w:val="0"/>
        <w:keepLines w:val="0"/>
        <w:pageBreakBefore w:val="0"/>
        <w:kinsoku/>
        <w:wordWrap/>
        <w:overflowPunct/>
        <w:topLinePunct w:val="0"/>
        <w:bidi w:val="0"/>
        <w:spacing w:line="360" w:lineRule="auto"/>
        <w:ind w:firstLine="723" w:firstLineChars="300"/>
        <w:textAlignment w:val="baseline"/>
        <w:rPr>
          <w:rFonts w:hint="eastAsia" w:asciiTheme="minorEastAsia" w:hAnsiTheme="minorEastAsia" w:eastAsiaTheme="minorEastAsia" w:cstheme="minorEastAsia"/>
          <w:b/>
          <w:bCs/>
          <w:i w:val="0"/>
          <w:iCs w:val="0"/>
          <w:caps w:val="0"/>
          <w:color w:val="000000"/>
          <w:spacing w:val="0"/>
          <w:sz w:val="24"/>
          <w:szCs w:val="24"/>
          <w:highlight w:val="none"/>
        </w:rPr>
      </w:pPr>
      <w:r>
        <w:rPr>
          <w:rFonts w:hint="eastAsia" w:asciiTheme="minorEastAsia" w:hAnsiTheme="minorEastAsia" w:eastAsiaTheme="minorEastAsia" w:cstheme="minorEastAsia"/>
          <w:b/>
          <w:bCs/>
          <w:i w:val="0"/>
          <w:iCs w:val="0"/>
          <w:caps w:val="0"/>
          <w:color w:val="000000"/>
          <w:spacing w:val="0"/>
          <w:sz w:val="24"/>
          <w:szCs w:val="24"/>
          <w:highlight w:val="none"/>
        </w:rPr>
        <w:t>备注：同一投标单位同时参加两个标段投标的，投标文件须按标段分别编制及上传。本项目在招投标实施期间所述的标项</w:t>
      </w:r>
      <w:r>
        <w:rPr>
          <w:rFonts w:hint="eastAsia" w:asciiTheme="minorEastAsia" w:hAnsiTheme="minorEastAsia" w:eastAsiaTheme="minorEastAsia" w:cstheme="minorEastAsia"/>
          <w:b/>
          <w:bCs/>
          <w:i w:val="0"/>
          <w:iCs w:val="0"/>
          <w:caps w:val="0"/>
          <w:color w:val="000000"/>
          <w:spacing w:val="0"/>
          <w:sz w:val="24"/>
          <w:szCs w:val="24"/>
          <w:highlight w:val="none"/>
          <w:lang w:val="en-US" w:eastAsia="zh-CN"/>
        </w:rPr>
        <w:t>1</w:t>
      </w:r>
      <w:r>
        <w:rPr>
          <w:rFonts w:hint="eastAsia" w:asciiTheme="minorEastAsia" w:hAnsiTheme="minorEastAsia" w:eastAsiaTheme="minorEastAsia" w:cstheme="minorEastAsia"/>
          <w:b/>
          <w:bCs/>
          <w:i w:val="0"/>
          <w:iCs w:val="0"/>
          <w:caps w:val="0"/>
          <w:color w:val="000000"/>
          <w:spacing w:val="0"/>
          <w:sz w:val="24"/>
          <w:szCs w:val="24"/>
          <w:highlight w:val="none"/>
        </w:rPr>
        <w:t>即为第一标段、标项</w:t>
      </w:r>
      <w:r>
        <w:rPr>
          <w:rFonts w:hint="eastAsia" w:asciiTheme="minorEastAsia" w:hAnsiTheme="minorEastAsia" w:eastAsiaTheme="minorEastAsia" w:cstheme="minorEastAsia"/>
          <w:b/>
          <w:bCs/>
          <w:i w:val="0"/>
          <w:iCs w:val="0"/>
          <w:caps w:val="0"/>
          <w:color w:val="000000"/>
          <w:spacing w:val="0"/>
          <w:sz w:val="24"/>
          <w:szCs w:val="24"/>
          <w:highlight w:val="none"/>
          <w:lang w:val="en-US" w:eastAsia="zh-CN"/>
        </w:rPr>
        <w:t>2</w:t>
      </w:r>
      <w:r>
        <w:rPr>
          <w:rFonts w:hint="eastAsia" w:asciiTheme="minorEastAsia" w:hAnsiTheme="minorEastAsia" w:eastAsiaTheme="minorEastAsia" w:cstheme="minorEastAsia"/>
          <w:b/>
          <w:bCs/>
          <w:i w:val="0"/>
          <w:iCs w:val="0"/>
          <w:caps w:val="0"/>
          <w:color w:val="000000"/>
          <w:spacing w:val="0"/>
          <w:sz w:val="24"/>
          <w:szCs w:val="24"/>
          <w:highlight w:val="none"/>
        </w:rPr>
        <w:t>即为第二标段。 </w:t>
      </w:r>
    </w:p>
    <w:p w14:paraId="62ABB2BE">
      <w:pPr>
        <w:pStyle w:val="46"/>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auto"/>
        <w:ind w:right="0"/>
        <w:rPr>
          <w:rFonts w:hint="eastAsia" w:asciiTheme="minorEastAsia" w:hAnsiTheme="minorEastAsia" w:eastAsiaTheme="minorEastAsia" w:cstheme="minorEastAsia"/>
          <w:i w:val="0"/>
          <w:iCs w:val="0"/>
          <w:caps w:val="0"/>
          <w:color w:val="000000"/>
          <w:spacing w:val="0"/>
          <w:sz w:val="24"/>
          <w:szCs w:val="24"/>
          <w:highlight w:val="none"/>
          <w:lang w:val="en-US" w:eastAsia="zh-CN"/>
        </w:rPr>
      </w:pPr>
      <w:r>
        <w:rPr>
          <w:rFonts w:hint="eastAsia" w:asciiTheme="minorEastAsia" w:hAnsiTheme="minorEastAsia" w:eastAsiaTheme="minorEastAsia" w:cstheme="minorEastAsia"/>
          <w:i w:val="0"/>
          <w:iCs w:val="0"/>
          <w:caps w:val="0"/>
          <w:color w:val="000000"/>
          <w:spacing w:val="0"/>
          <w:sz w:val="24"/>
          <w:szCs w:val="24"/>
          <w:highlight w:val="none"/>
        </w:rPr>
        <w:t>标项</w:t>
      </w:r>
      <w:r>
        <w:rPr>
          <w:rFonts w:hint="eastAsia" w:asciiTheme="minorEastAsia" w:hAnsiTheme="minorEastAsia" w:eastAsiaTheme="minorEastAsia" w:cstheme="minorEastAsia"/>
          <w:i w:val="0"/>
          <w:iCs w:val="0"/>
          <w:caps w:val="0"/>
          <w:color w:val="000000"/>
          <w:spacing w:val="0"/>
          <w:sz w:val="24"/>
          <w:szCs w:val="24"/>
          <w:highlight w:val="none"/>
          <w:lang w:val="en-US" w:eastAsia="zh-CN"/>
        </w:rPr>
        <w:t>2</w:t>
      </w:r>
    </w:p>
    <w:p w14:paraId="4A446760">
      <w:pPr>
        <w:pStyle w:val="46"/>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auto"/>
        <w:ind w:left="0" w:right="0" w:firstLine="480" w:firstLineChars="200"/>
        <w:rPr>
          <w:rFonts w:hint="eastAsia" w:asciiTheme="minorEastAsia" w:hAnsiTheme="minorEastAsia" w:eastAsiaTheme="minorEastAsia" w:cstheme="minorEastAsia"/>
          <w:i w:val="0"/>
          <w:iCs w:val="0"/>
          <w:caps w:val="0"/>
          <w:color w:val="000000"/>
          <w:spacing w:val="0"/>
          <w:sz w:val="24"/>
          <w:szCs w:val="24"/>
          <w:highlight w:val="none"/>
          <w:lang w:eastAsia="zh-CN"/>
        </w:rPr>
      </w:pPr>
      <w:r>
        <w:rPr>
          <w:rFonts w:hint="eastAsia" w:asciiTheme="minorEastAsia" w:hAnsiTheme="minorEastAsia" w:eastAsiaTheme="minorEastAsia" w:cstheme="minorEastAsia"/>
          <w:i w:val="0"/>
          <w:iCs w:val="0"/>
          <w:caps w:val="0"/>
          <w:color w:val="000000"/>
          <w:spacing w:val="0"/>
          <w:sz w:val="24"/>
          <w:szCs w:val="24"/>
          <w:highlight w:val="none"/>
        </w:rPr>
        <w:t> 标项名称:</w:t>
      </w:r>
      <w:r>
        <w:rPr>
          <w:rFonts w:hint="eastAsia" w:asciiTheme="minorEastAsia" w:hAnsiTheme="minorEastAsia" w:eastAsiaTheme="minorEastAsia" w:cstheme="minorEastAsia"/>
          <w:i w:val="0"/>
          <w:iCs w:val="0"/>
          <w:caps w:val="0"/>
          <w:color w:val="000000"/>
          <w:spacing w:val="0"/>
          <w:sz w:val="24"/>
          <w:szCs w:val="24"/>
          <w:highlight w:val="none"/>
          <w:lang w:eastAsia="zh-CN"/>
        </w:rPr>
        <w:t>2026年秀洲区县道及以上公路小修及应急抢险项目</w:t>
      </w:r>
      <w:r>
        <w:rPr>
          <w:rFonts w:hint="eastAsia" w:asciiTheme="minorEastAsia" w:hAnsiTheme="minorEastAsia" w:eastAsiaTheme="minorEastAsia" w:cstheme="minorEastAsia"/>
          <w:i w:val="0"/>
          <w:iCs w:val="0"/>
          <w:caps w:val="0"/>
          <w:color w:val="000000"/>
          <w:spacing w:val="0"/>
          <w:sz w:val="24"/>
          <w:szCs w:val="24"/>
          <w:highlight w:val="none"/>
        </w:rPr>
        <w:t>第二标段 </w:t>
      </w:r>
      <w:r>
        <w:rPr>
          <w:rFonts w:hint="eastAsia" w:asciiTheme="minorEastAsia" w:hAnsiTheme="minorEastAsia" w:eastAsiaTheme="minorEastAsia" w:cstheme="minorEastAsia"/>
          <w:i w:val="0"/>
          <w:iCs w:val="0"/>
          <w:caps w:val="0"/>
          <w:color w:val="000000"/>
          <w:spacing w:val="0"/>
          <w:sz w:val="24"/>
          <w:szCs w:val="24"/>
          <w:highlight w:val="none"/>
        </w:rPr>
        <w:br w:type="textWrapping"/>
      </w:r>
      <w:r>
        <w:rPr>
          <w:rFonts w:hint="eastAsia" w:asciiTheme="minorEastAsia" w:hAnsiTheme="minorEastAsia" w:eastAsiaTheme="minorEastAsia" w:cstheme="minorEastAsia"/>
          <w:i w:val="0"/>
          <w:iCs w:val="0"/>
          <w:caps w:val="0"/>
          <w:color w:val="000000"/>
          <w:spacing w:val="0"/>
          <w:sz w:val="24"/>
          <w:szCs w:val="24"/>
          <w:highlight w:val="none"/>
        </w:rPr>
        <w:t>    数量: 不限  </w:t>
      </w:r>
      <w:r>
        <w:rPr>
          <w:rFonts w:hint="eastAsia" w:asciiTheme="minorEastAsia" w:hAnsiTheme="minorEastAsia" w:eastAsiaTheme="minorEastAsia" w:cstheme="minorEastAsia"/>
          <w:i w:val="0"/>
          <w:iCs w:val="0"/>
          <w:caps w:val="0"/>
          <w:color w:val="000000"/>
          <w:spacing w:val="0"/>
          <w:sz w:val="24"/>
          <w:szCs w:val="24"/>
          <w:highlight w:val="none"/>
        </w:rPr>
        <w:br w:type="textWrapping"/>
      </w:r>
      <w:r>
        <w:rPr>
          <w:rFonts w:hint="eastAsia" w:asciiTheme="minorEastAsia" w:hAnsiTheme="minorEastAsia" w:eastAsiaTheme="minorEastAsia" w:cstheme="minorEastAsia"/>
          <w:i w:val="0"/>
          <w:iCs w:val="0"/>
          <w:caps w:val="0"/>
          <w:color w:val="000000"/>
          <w:spacing w:val="0"/>
          <w:sz w:val="24"/>
          <w:szCs w:val="24"/>
          <w:highlight w:val="none"/>
        </w:rPr>
        <w:t>    预算金额（元）</w:t>
      </w:r>
      <w:r>
        <w:rPr>
          <w:rFonts w:hint="eastAsia" w:asciiTheme="minorEastAsia" w:hAnsiTheme="minorEastAsia" w:eastAsiaTheme="minorEastAsia" w:cstheme="minorEastAsia"/>
          <w:i w:val="0"/>
          <w:iCs w:val="0"/>
          <w:caps w:val="0"/>
          <w:color w:val="000000"/>
          <w:spacing w:val="0"/>
          <w:sz w:val="24"/>
          <w:szCs w:val="24"/>
          <w:highlight w:val="none"/>
          <w:lang w:eastAsia="zh-CN"/>
        </w:rPr>
        <w:t>：</w:t>
      </w:r>
      <w:r>
        <w:rPr>
          <w:rFonts w:hint="eastAsia" w:asciiTheme="minorEastAsia" w:hAnsiTheme="minorEastAsia" w:eastAsiaTheme="minorEastAsia" w:cstheme="minorEastAsia"/>
          <w:i w:val="0"/>
          <w:iCs w:val="0"/>
          <w:caps w:val="0"/>
          <w:color w:val="000000"/>
          <w:spacing w:val="0"/>
          <w:sz w:val="24"/>
          <w:szCs w:val="24"/>
          <w:highlight w:val="none"/>
          <w:lang w:val="en-US" w:eastAsia="zh-CN"/>
        </w:rPr>
        <w:t>3858629</w:t>
      </w:r>
      <w:r>
        <w:rPr>
          <w:rFonts w:hint="eastAsia" w:asciiTheme="minorEastAsia" w:hAnsiTheme="minorEastAsia" w:eastAsiaTheme="minorEastAsia" w:cstheme="minorEastAsia"/>
          <w:i w:val="0"/>
          <w:iCs w:val="0"/>
          <w:caps w:val="0"/>
          <w:color w:val="000000"/>
          <w:spacing w:val="0"/>
          <w:sz w:val="24"/>
          <w:szCs w:val="24"/>
          <w:highlight w:val="none"/>
        </w:rPr>
        <w:t>  </w:t>
      </w:r>
      <w:r>
        <w:rPr>
          <w:rFonts w:hint="eastAsia" w:asciiTheme="minorEastAsia" w:hAnsiTheme="minorEastAsia" w:eastAsiaTheme="minorEastAsia" w:cstheme="minorEastAsia"/>
          <w:i w:val="0"/>
          <w:iCs w:val="0"/>
          <w:caps w:val="0"/>
          <w:color w:val="000000"/>
          <w:spacing w:val="0"/>
          <w:sz w:val="24"/>
          <w:szCs w:val="24"/>
        </w:rPr>
        <w:br w:type="textWrapping"/>
      </w:r>
      <w:r>
        <w:rPr>
          <w:rFonts w:hint="eastAsia" w:asciiTheme="minorEastAsia" w:hAnsiTheme="minorEastAsia" w:eastAsiaTheme="minorEastAsia" w:cstheme="minorEastAsia"/>
          <w:i w:val="0"/>
          <w:iCs w:val="0"/>
          <w:caps w:val="0"/>
          <w:color w:val="000000"/>
          <w:spacing w:val="0"/>
          <w:sz w:val="24"/>
          <w:szCs w:val="24"/>
        </w:rPr>
        <w:t>    简</w:t>
      </w:r>
      <w:r>
        <w:rPr>
          <w:rFonts w:hint="eastAsia" w:asciiTheme="minorEastAsia" w:hAnsiTheme="minorEastAsia" w:eastAsiaTheme="minorEastAsia" w:cstheme="minorEastAsia"/>
          <w:i w:val="0"/>
          <w:iCs w:val="0"/>
          <w:caps w:val="0"/>
          <w:color w:val="000000"/>
          <w:spacing w:val="0"/>
          <w:sz w:val="24"/>
          <w:szCs w:val="24"/>
          <w:highlight w:val="none"/>
          <w:lang w:eastAsia="zh-CN"/>
        </w:rPr>
        <w:t>要规格描述或项目基本概况介绍、用途：</w:t>
      </w:r>
      <w:r>
        <w:rPr>
          <w:rFonts w:hint="eastAsia" w:asciiTheme="minorEastAsia" w:hAnsiTheme="minorEastAsia" w:eastAsiaTheme="minorEastAsia" w:cstheme="minorEastAsia"/>
          <w:i w:val="0"/>
          <w:iCs w:val="0"/>
          <w:caps w:val="0"/>
          <w:color w:val="000000"/>
          <w:spacing w:val="0"/>
          <w:sz w:val="24"/>
          <w:szCs w:val="24"/>
          <w:highlight w:val="none"/>
          <w:lang w:val="en-US" w:eastAsia="zh-CN"/>
        </w:rPr>
        <w:t>2026年秀洲区县道及以上公路小修及应急抢险项目</w:t>
      </w:r>
      <w:r>
        <w:rPr>
          <w:rFonts w:hint="eastAsia" w:asciiTheme="minorEastAsia" w:hAnsiTheme="minorEastAsia" w:eastAsiaTheme="minorEastAsia" w:cstheme="minorEastAsia"/>
          <w:i w:val="0"/>
          <w:iCs w:val="0"/>
          <w:caps w:val="0"/>
          <w:color w:val="000000"/>
          <w:spacing w:val="0"/>
          <w:sz w:val="24"/>
          <w:szCs w:val="24"/>
          <w:highlight w:val="none"/>
          <w:lang w:eastAsia="zh-CN"/>
        </w:rPr>
        <w:t>，</w:t>
      </w:r>
      <w:r>
        <w:rPr>
          <w:rFonts w:hint="eastAsia" w:asciiTheme="minorEastAsia" w:hAnsiTheme="minorEastAsia" w:eastAsiaTheme="minorEastAsia" w:cstheme="minorEastAsia"/>
          <w:i w:val="0"/>
          <w:iCs w:val="0"/>
          <w:caps w:val="0"/>
          <w:color w:val="000000"/>
          <w:spacing w:val="0"/>
          <w:sz w:val="24"/>
          <w:szCs w:val="24"/>
          <w:highlight w:val="none"/>
          <w:lang w:val="en-US" w:eastAsia="zh-CN"/>
        </w:rPr>
        <w:t>主要内容包括秀洲区县道的</w:t>
      </w:r>
      <w:r>
        <w:rPr>
          <w:color w:val="000000"/>
        </w:rPr>
        <w:t>公路路面坑洞维修、路面及基层病害处理、公路路面预养护、桥头跳车的接顺</w:t>
      </w:r>
      <w:r>
        <w:rPr>
          <w:rFonts w:hint="eastAsia" w:ascii="宋体" w:hAnsi="宋体" w:cs="宋体"/>
          <w:sz w:val="24"/>
          <w:szCs w:val="24"/>
          <w:highlight w:val="none"/>
          <w:lang w:eastAsia="zh-CN"/>
        </w:rPr>
        <w:t>、</w:t>
      </w:r>
      <w:r>
        <w:rPr>
          <w:rFonts w:hint="eastAsia" w:ascii="宋体" w:hAnsi="宋体" w:eastAsia="宋体" w:cs="宋体"/>
          <w:sz w:val="24"/>
          <w:szCs w:val="24"/>
          <w:highlight w:val="none"/>
        </w:rPr>
        <w:t>路面灌缝</w:t>
      </w: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窨井</w:t>
      </w:r>
      <w:r>
        <w:rPr>
          <w:rFonts w:hint="eastAsia" w:ascii="宋体" w:hAnsi="宋体" w:eastAsia="宋体" w:cs="宋体"/>
          <w:sz w:val="24"/>
          <w:szCs w:val="24"/>
          <w:highlight w:val="none"/>
        </w:rPr>
        <w:t>以及</w:t>
      </w:r>
      <w:r>
        <w:rPr>
          <w:rFonts w:hint="eastAsia" w:ascii="宋体" w:hAnsi="宋体" w:cs="宋体"/>
          <w:sz w:val="24"/>
          <w:szCs w:val="24"/>
          <w:highlight w:val="none"/>
          <w:lang w:val="en-US" w:eastAsia="zh-CN"/>
        </w:rPr>
        <w:t>管涵</w:t>
      </w:r>
      <w:r>
        <w:rPr>
          <w:rFonts w:hint="eastAsia"/>
          <w:color w:val="000000"/>
        </w:rPr>
        <w:t>，</w:t>
      </w:r>
      <w:r>
        <w:rPr>
          <w:color w:val="000000"/>
        </w:rPr>
        <w:t>不含单独立项的公路大中修</w:t>
      </w:r>
      <w:r>
        <w:rPr>
          <w:rFonts w:hint="eastAsia"/>
          <w:color w:val="000000"/>
          <w:lang w:val="en-US" w:eastAsia="zh-CN"/>
        </w:rPr>
        <w:t>以及</w:t>
      </w:r>
      <w:r>
        <w:rPr>
          <w:rFonts w:hint="eastAsia" w:ascii="宋体" w:hAnsi="宋体" w:cs="宋体"/>
          <w:szCs w:val="21"/>
        </w:rPr>
        <w:t>因各种自然灾害及突发事件引起的公路通行不畅</w:t>
      </w:r>
      <w:r>
        <w:rPr>
          <w:rFonts w:hint="eastAsia" w:ascii="宋体" w:hAnsi="宋体" w:cs="宋体"/>
          <w:szCs w:val="21"/>
          <w:lang w:val="en-US" w:eastAsia="zh-CN"/>
        </w:rPr>
        <w:t>进行应急抢险</w:t>
      </w:r>
      <w:r>
        <w:rPr>
          <w:rFonts w:hint="eastAsia" w:asciiTheme="minorEastAsia" w:hAnsiTheme="minorEastAsia" w:eastAsiaTheme="minorEastAsia" w:cstheme="minorEastAsia"/>
          <w:i w:val="0"/>
          <w:iCs w:val="0"/>
          <w:caps w:val="0"/>
          <w:color w:val="000000"/>
          <w:spacing w:val="0"/>
          <w:sz w:val="24"/>
          <w:szCs w:val="24"/>
          <w:highlight w:val="none"/>
          <w:lang w:val="en-US" w:eastAsia="zh-CN"/>
        </w:rPr>
        <w:t>（具体详见招标需求）</w:t>
      </w:r>
      <w:r>
        <w:rPr>
          <w:rFonts w:hint="eastAsia" w:asciiTheme="minorEastAsia" w:hAnsiTheme="minorEastAsia" w:eastAsiaTheme="minorEastAsia" w:cstheme="minorEastAsia"/>
          <w:i w:val="0"/>
          <w:iCs w:val="0"/>
          <w:caps w:val="0"/>
          <w:color w:val="000000"/>
          <w:spacing w:val="0"/>
          <w:sz w:val="24"/>
          <w:szCs w:val="24"/>
          <w:highlight w:val="none"/>
          <w:lang w:eastAsia="zh-CN"/>
        </w:rPr>
        <w:t>。</w:t>
      </w:r>
    </w:p>
    <w:p w14:paraId="67D72F59">
      <w:pPr>
        <w:pStyle w:val="46"/>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000000"/>
          <w:spacing w:val="0"/>
          <w:sz w:val="24"/>
          <w:szCs w:val="24"/>
          <w:lang w:val="en-US" w:eastAsia="zh-CN"/>
        </w:rPr>
        <w:t xml:space="preserve">    </w:t>
      </w:r>
      <w:r>
        <w:rPr>
          <w:rFonts w:hint="eastAsia" w:asciiTheme="minorEastAsia" w:hAnsiTheme="minorEastAsia" w:eastAsiaTheme="minorEastAsia" w:cstheme="minorEastAsia"/>
          <w:b/>
          <w:bCs/>
          <w:i w:val="0"/>
          <w:iCs w:val="0"/>
          <w:caps w:val="0"/>
          <w:color w:val="000000"/>
          <w:spacing w:val="0"/>
          <w:sz w:val="24"/>
          <w:szCs w:val="24"/>
        </w:rPr>
        <w:t>备注：同一投标单位同时参加两个标段投标的，投标文件须按标段分别编制及上传。本项目在招投标实施期间所述的标项</w:t>
      </w:r>
      <w:r>
        <w:rPr>
          <w:rFonts w:hint="eastAsia" w:asciiTheme="minorEastAsia" w:hAnsiTheme="minorEastAsia" w:eastAsiaTheme="minorEastAsia" w:cstheme="minorEastAsia"/>
          <w:b/>
          <w:bCs/>
          <w:i w:val="0"/>
          <w:iCs w:val="0"/>
          <w:caps w:val="0"/>
          <w:color w:val="000000"/>
          <w:spacing w:val="0"/>
          <w:sz w:val="24"/>
          <w:szCs w:val="24"/>
          <w:lang w:val="en-US" w:eastAsia="zh-CN"/>
        </w:rPr>
        <w:t>1</w:t>
      </w:r>
      <w:r>
        <w:rPr>
          <w:rFonts w:hint="eastAsia" w:asciiTheme="minorEastAsia" w:hAnsiTheme="minorEastAsia" w:eastAsiaTheme="minorEastAsia" w:cstheme="minorEastAsia"/>
          <w:b/>
          <w:bCs/>
          <w:i w:val="0"/>
          <w:iCs w:val="0"/>
          <w:caps w:val="0"/>
          <w:color w:val="000000"/>
          <w:spacing w:val="0"/>
          <w:sz w:val="24"/>
          <w:szCs w:val="24"/>
        </w:rPr>
        <w:t>即为第一标段、标项</w:t>
      </w:r>
      <w:r>
        <w:rPr>
          <w:rFonts w:hint="eastAsia" w:asciiTheme="minorEastAsia" w:hAnsiTheme="minorEastAsia" w:eastAsiaTheme="minorEastAsia" w:cstheme="minorEastAsia"/>
          <w:b/>
          <w:bCs/>
          <w:i w:val="0"/>
          <w:iCs w:val="0"/>
          <w:caps w:val="0"/>
          <w:color w:val="000000"/>
          <w:spacing w:val="0"/>
          <w:sz w:val="24"/>
          <w:szCs w:val="24"/>
          <w:lang w:val="en-US" w:eastAsia="zh-CN"/>
        </w:rPr>
        <w:t>2</w:t>
      </w:r>
      <w:r>
        <w:rPr>
          <w:rFonts w:hint="eastAsia" w:asciiTheme="minorEastAsia" w:hAnsiTheme="minorEastAsia" w:eastAsiaTheme="minorEastAsia" w:cstheme="minorEastAsia"/>
          <w:b/>
          <w:bCs/>
          <w:i w:val="0"/>
          <w:iCs w:val="0"/>
          <w:caps w:val="0"/>
          <w:color w:val="000000"/>
          <w:spacing w:val="0"/>
          <w:sz w:val="24"/>
          <w:szCs w:val="24"/>
        </w:rPr>
        <w:t>即为第二标段。</w:t>
      </w:r>
    </w:p>
    <w:p w14:paraId="515A7F10">
      <w:pPr>
        <w:pStyle w:val="46"/>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auto"/>
        <w:ind w:left="0" w:right="0" w:firstLine="480" w:firstLineChars="200"/>
        <w:rPr>
          <w:rFonts w:hint="eastAsia" w:asciiTheme="minorEastAsia" w:hAnsiTheme="minorEastAsia" w:eastAsiaTheme="minorEastAsia" w:cstheme="minorEastAsia"/>
          <w:i w:val="0"/>
          <w:iCs w:val="0"/>
          <w:caps w:val="0"/>
          <w:color w:val="000000"/>
          <w:spacing w:val="0"/>
          <w:sz w:val="24"/>
          <w:szCs w:val="24"/>
          <w:lang w:val="en-US" w:eastAsia="zh-CN"/>
        </w:rPr>
      </w:pPr>
      <w:r>
        <w:rPr>
          <w:rFonts w:hint="eastAsia" w:asciiTheme="minorEastAsia" w:hAnsiTheme="minorEastAsia" w:eastAsiaTheme="minorEastAsia" w:cstheme="minorEastAsia"/>
          <w:i w:val="0"/>
          <w:iCs w:val="0"/>
          <w:caps w:val="0"/>
          <w:color w:val="000000"/>
          <w:spacing w:val="0"/>
          <w:sz w:val="24"/>
          <w:szCs w:val="24"/>
          <w:lang w:val="en-US" w:eastAsia="zh-CN"/>
        </w:rPr>
        <w:t>合同履约期限：标项1、标项 2：自开工令发布之日起至2026年12月31日止。</w:t>
      </w:r>
    </w:p>
    <w:p w14:paraId="0C3E80FE">
      <w:pPr>
        <w:pStyle w:val="46"/>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auto"/>
        <w:ind w:left="0" w:right="0"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000000"/>
          <w:spacing w:val="0"/>
          <w:sz w:val="24"/>
          <w:szCs w:val="24"/>
        </w:rPr>
        <w:t>本项目（否）接受联合体投标。</w:t>
      </w:r>
    </w:p>
    <w:p w14:paraId="35F98DF5">
      <w:pPr>
        <w:pStyle w:val="46"/>
        <w:keepNext w:val="0"/>
        <w:keepLines w:val="0"/>
        <w:pageBreakBefore w:val="0"/>
        <w:widowControl/>
        <w:suppressLineNumbers w:val="0"/>
        <w:kinsoku/>
        <w:wordWrap/>
        <w:overflowPunct/>
        <w:topLinePunct w:val="0"/>
        <w:autoSpaceDE/>
        <w:autoSpaceDN/>
        <w:bidi w:val="0"/>
        <w:adjustRightInd/>
        <w:snapToGrid/>
        <w:spacing w:before="225" w:beforeAutospacing="0" w:after="225" w:afterAutospacing="0" w:line="360" w:lineRule="auto"/>
        <w:ind w:left="0" w:right="0"/>
        <w:rPr>
          <w:rFonts w:hint="eastAsia" w:asciiTheme="minorEastAsia" w:hAnsiTheme="minorEastAsia" w:eastAsiaTheme="minorEastAsia" w:cstheme="minorEastAsia"/>
          <w:sz w:val="24"/>
          <w:szCs w:val="24"/>
        </w:rPr>
      </w:pPr>
      <w:r>
        <w:rPr>
          <w:rStyle w:val="54"/>
          <w:rFonts w:hint="eastAsia" w:asciiTheme="minorEastAsia" w:hAnsiTheme="minorEastAsia" w:eastAsiaTheme="minorEastAsia" w:cstheme="minorEastAsia"/>
          <w:i w:val="0"/>
          <w:iCs w:val="0"/>
          <w:caps w:val="0"/>
          <w:color w:val="000000"/>
          <w:spacing w:val="0"/>
          <w:sz w:val="24"/>
          <w:szCs w:val="24"/>
        </w:rPr>
        <w:t>二、申请人的资格要求：</w:t>
      </w:r>
    </w:p>
    <w:p w14:paraId="0D679639">
      <w:pPr>
        <w:pStyle w:val="46"/>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auto"/>
        <w:ind w:left="0" w:leftChars="0" w:right="0" w:rightChars="0" w:firstLine="720" w:firstLineChars="300"/>
        <w:rPr>
          <w:rFonts w:hint="eastAsia" w:asciiTheme="minorEastAsia" w:hAnsiTheme="minorEastAsia" w:eastAsiaTheme="minorEastAsia" w:cstheme="minorEastAsia"/>
          <w:i w:val="0"/>
          <w:iCs w:val="0"/>
          <w:caps w:val="0"/>
          <w:color w:val="000000"/>
          <w:spacing w:val="0"/>
          <w:sz w:val="24"/>
          <w:szCs w:val="24"/>
          <w:lang w:val="en-US" w:eastAsia="zh-CN"/>
        </w:rPr>
      </w:pPr>
      <w:r>
        <w:rPr>
          <w:rFonts w:hint="eastAsia" w:asciiTheme="minorEastAsia" w:hAnsiTheme="minorEastAsia" w:eastAsiaTheme="minorEastAsia" w:cstheme="minorEastAsia"/>
          <w:i w:val="0"/>
          <w:iCs w:val="0"/>
          <w:caps w:val="0"/>
          <w:color w:val="000000"/>
          <w:spacing w:val="0"/>
          <w:sz w:val="24"/>
          <w:szCs w:val="24"/>
        </w:rPr>
        <w:t>1.符合《中华人民共和国政府采购法》第二十二条的规定</w:t>
      </w:r>
      <w:r>
        <w:rPr>
          <w:rFonts w:hint="eastAsia" w:asciiTheme="minorEastAsia" w:hAnsiTheme="minorEastAsia" w:eastAsiaTheme="minorEastAsia" w:cstheme="minorEastAsia"/>
          <w:i w:val="0"/>
          <w:iCs w:val="0"/>
          <w:caps w:val="0"/>
          <w:color w:val="000000"/>
          <w:spacing w:val="0"/>
          <w:sz w:val="24"/>
          <w:szCs w:val="24"/>
          <w:lang w:eastAsia="zh-CN"/>
        </w:rPr>
        <w:t>；</w:t>
      </w:r>
      <w:r>
        <w:rPr>
          <w:rFonts w:hint="eastAsia" w:asciiTheme="minorEastAsia" w:hAnsiTheme="minorEastAsia" w:eastAsiaTheme="minorEastAsia" w:cstheme="minorEastAsia"/>
          <w:i w:val="0"/>
          <w:iCs w:val="0"/>
          <w:caps w:val="0"/>
          <w:color w:val="000000"/>
          <w:spacing w:val="0"/>
          <w:sz w:val="24"/>
          <w:szCs w:val="24"/>
        </w:rPr>
        <w:t>未被“信用中国”（www.creditchina.gov.cn）、中国政府采购网（www.ccgp.gov.cn）列入失信被执行人、重大税收违法案件当事人名单、政府采购严重违法失信行为记录名单</w:t>
      </w:r>
      <w:r>
        <w:rPr>
          <w:rFonts w:hint="eastAsia" w:asciiTheme="minorEastAsia" w:hAnsiTheme="minorEastAsia" w:eastAsiaTheme="minorEastAsia" w:cstheme="minorEastAsia"/>
          <w:i w:val="0"/>
          <w:iCs w:val="0"/>
          <w:caps w:val="0"/>
          <w:color w:val="000000"/>
          <w:spacing w:val="0"/>
          <w:sz w:val="24"/>
          <w:szCs w:val="24"/>
          <w:lang w:eastAsia="zh-CN"/>
        </w:rPr>
        <w:t>；</w:t>
      </w:r>
      <w:r>
        <w:rPr>
          <w:rFonts w:hint="eastAsia" w:asciiTheme="minorEastAsia" w:hAnsiTheme="minorEastAsia" w:eastAsiaTheme="minorEastAsia" w:cstheme="minorEastAsia"/>
          <w:i w:val="0"/>
          <w:iCs w:val="0"/>
          <w:caps w:val="0"/>
          <w:color w:val="000000"/>
          <w:spacing w:val="0"/>
          <w:sz w:val="24"/>
          <w:szCs w:val="24"/>
          <w:lang w:val="en-US" w:eastAsia="zh-CN"/>
        </w:rPr>
        <w:t xml:space="preserve"> </w:t>
      </w:r>
    </w:p>
    <w:p w14:paraId="00A3DB8F">
      <w:pPr>
        <w:pStyle w:val="46"/>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auto"/>
        <w:ind w:left="0" w:leftChars="0" w:right="0" w:rightChars="0" w:firstLine="720" w:firstLineChars="300"/>
      </w:pPr>
      <w:r>
        <w:rPr>
          <w:rFonts w:hint="eastAsia" w:asciiTheme="minorEastAsia" w:hAnsiTheme="minorEastAsia" w:eastAsiaTheme="minorEastAsia" w:cstheme="minorEastAsia"/>
          <w:i w:val="0"/>
          <w:iCs w:val="0"/>
          <w:caps w:val="0"/>
          <w:color w:val="000000"/>
          <w:spacing w:val="0"/>
          <w:sz w:val="24"/>
          <w:szCs w:val="24"/>
        </w:rPr>
        <w:t>2.落实政府采购政策需满足的资格要求：</w:t>
      </w:r>
    </w:p>
    <w:sdt>
      <w:sdtPr>
        <w:rPr>
          <w:rFonts w:hint="eastAsia" w:asciiTheme="minorEastAsia" w:hAnsiTheme="minorEastAsia" w:eastAsiaTheme="minorEastAsia" w:cstheme="minorEastAsia"/>
          <w:i w:val="0"/>
          <w:iCs w:val="0"/>
          <w:caps w:val="0"/>
          <w:color w:val="000000"/>
          <w:spacing w:val="0"/>
          <w:sz w:val="24"/>
          <w:szCs w:val="24"/>
        </w:rPr>
        <w:id w:val="147472720"/>
      </w:sdtPr>
      <w:sdtEndPr>
        <w:rPr>
          <w:rFonts w:hint="eastAsia" w:asciiTheme="minorEastAsia" w:hAnsiTheme="minorEastAsia" w:eastAsiaTheme="minorEastAsia" w:cstheme="minorEastAsia"/>
          <w:i w:val="0"/>
          <w:iCs w:val="0"/>
          <w:caps w:val="0"/>
          <w:color w:val="000000"/>
          <w:spacing w:val="0"/>
          <w:sz w:val="24"/>
          <w:szCs w:val="24"/>
        </w:rPr>
      </w:sdtEndPr>
      <w:sdtContent>
        <w:p w14:paraId="4F1EB7A2">
          <w:pPr>
            <w:pStyle w:val="46"/>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auto"/>
            <w:ind w:left="0" w:right="0" w:firstLine="720" w:firstLineChars="300"/>
            <w:rPr>
              <w:rFonts w:hint="eastAsia" w:asciiTheme="minorEastAsia" w:hAnsiTheme="minorEastAsia" w:eastAsiaTheme="minorEastAsia" w:cstheme="minorEastAsia"/>
              <w:i w:val="0"/>
              <w:iCs w:val="0"/>
              <w:caps w:val="0"/>
              <w:color w:val="000000"/>
              <w:spacing w:val="0"/>
              <w:sz w:val="24"/>
              <w:szCs w:val="24"/>
            </w:rPr>
          </w:pPr>
          <w:r>
            <w:rPr>
              <w:rFonts w:hint="eastAsia" w:asciiTheme="minorEastAsia" w:hAnsiTheme="minorEastAsia" w:eastAsiaTheme="minorEastAsia" w:cstheme="minorEastAsia"/>
              <w:i w:val="0"/>
              <w:iCs w:val="0"/>
              <w:caps w:val="0"/>
              <w:color w:val="000000"/>
              <w:spacing w:val="0"/>
              <w:sz w:val="24"/>
              <w:szCs w:val="24"/>
            </w:rPr>
            <w:sym w:font="Wingdings" w:char="00A8"/>
          </w:r>
          <w:r>
            <w:rPr>
              <w:rFonts w:hint="eastAsia" w:asciiTheme="minorEastAsia" w:hAnsiTheme="minorEastAsia" w:eastAsiaTheme="minorEastAsia" w:cstheme="minorEastAsia"/>
              <w:i w:val="0"/>
              <w:iCs w:val="0"/>
              <w:caps w:val="0"/>
              <w:color w:val="000000"/>
              <w:spacing w:val="0"/>
              <w:sz w:val="24"/>
              <w:szCs w:val="24"/>
            </w:rPr>
            <w:t xml:space="preserve">无； </w:t>
          </w:r>
        </w:p>
        <w:p w14:paraId="30F0F618">
          <w:pPr>
            <w:pStyle w:val="46"/>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auto"/>
            <w:ind w:left="0" w:right="0" w:firstLine="720" w:firstLineChars="300"/>
            <w:rPr>
              <w:rFonts w:hint="eastAsia" w:asciiTheme="minorEastAsia" w:hAnsiTheme="minorEastAsia" w:eastAsiaTheme="minorEastAsia" w:cstheme="minorEastAsia"/>
              <w:i w:val="0"/>
              <w:iCs w:val="0"/>
              <w:caps w:val="0"/>
              <w:color w:val="000000"/>
              <w:spacing w:val="0"/>
              <w:sz w:val="24"/>
              <w:szCs w:val="24"/>
            </w:rPr>
          </w:pPr>
          <w:sdt>
            <w:sdtPr>
              <w:rPr>
                <w:rFonts w:hint="eastAsia" w:asciiTheme="minorEastAsia" w:hAnsiTheme="minorEastAsia" w:eastAsiaTheme="minorEastAsia" w:cstheme="minorEastAsia"/>
                <w:i w:val="0"/>
                <w:iCs w:val="0"/>
                <w:caps w:val="0"/>
                <w:color w:val="000000"/>
                <w:spacing w:val="0"/>
                <w:sz w:val="24"/>
                <w:szCs w:val="24"/>
              </w:rPr>
              <w:id w:val="147470274"/>
            </w:sdtPr>
            <w:sdtEndPr>
              <w:rPr>
                <w:rFonts w:hint="eastAsia" w:asciiTheme="minorEastAsia" w:hAnsiTheme="minorEastAsia" w:eastAsiaTheme="minorEastAsia" w:cstheme="minorEastAsia"/>
                <w:i w:val="0"/>
                <w:iCs w:val="0"/>
                <w:caps w:val="0"/>
                <w:color w:val="000000"/>
                <w:spacing w:val="0"/>
                <w:sz w:val="24"/>
                <w:szCs w:val="24"/>
              </w:rPr>
            </w:sdtEndPr>
            <w:sdtContent>
              <w:r>
                <w:rPr>
                  <w:rFonts w:hint="eastAsia" w:asciiTheme="minorEastAsia" w:hAnsiTheme="minorEastAsia" w:eastAsiaTheme="minorEastAsia" w:cstheme="minorEastAsia"/>
                  <w:i w:val="0"/>
                  <w:iCs w:val="0"/>
                  <w:caps w:val="0"/>
                  <w:color w:val="000000"/>
                  <w:spacing w:val="0"/>
                  <w:sz w:val="24"/>
                  <w:szCs w:val="24"/>
                </w:rPr>
                <w:sym w:font="Wingdings" w:char="00FE"/>
              </w:r>
            </w:sdtContent>
          </w:sdt>
          <w:r>
            <w:rPr>
              <w:rFonts w:hint="eastAsia" w:asciiTheme="minorEastAsia" w:hAnsiTheme="minorEastAsia" w:eastAsiaTheme="minorEastAsia" w:cstheme="minorEastAsia"/>
              <w:i w:val="0"/>
              <w:iCs w:val="0"/>
              <w:caps w:val="0"/>
              <w:color w:val="000000"/>
              <w:spacing w:val="0"/>
              <w:sz w:val="24"/>
              <w:szCs w:val="24"/>
            </w:rPr>
            <w:t>专门面向中小企业</w:t>
          </w:r>
        </w:p>
        <w:p w14:paraId="722F6A4F">
          <w:pPr>
            <w:pStyle w:val="46"/>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auto"/>
            <w:ind w:left="0" w:right="0" w:firstLine="720" w:firstLineChars="300"/>
            <w:rPr>
              <w:rFonts w:hint="eastAsia" w:asciiTheme="minorEastAsia" w:hAnsiTheme="minorEastAsia" w:eastAsiaTheme="minorEastAsia" w:cstheme="minorEastAsia"/>
              <w:i w:val="0"/>
              <w:iCs w:val="0"/>
              <w:caps w:val="0"/>
              <w:color w:val="000000"/>
              <w:spacing w:val="0"/>
              <w:sz w:val="24"/>
              <w:szCs w:val="24"/>
            </w:rPr>
          </w:pPr>
          <w:sdt>
            <w:sdtPr>
              <w:rPr>
                <w:rFonts w:hint="eastAsia" w:asciiTheme="minorEastAsia" w:hAnsiTheme="minorEastAsia" w:eastAsiaTheme="minorEastAsia" w:cstheme="minorEastAsia"/>
                <w:i w:val="0"/>
                <w:iCs w:val="0"/>
                <w:caps w:val="0"/>
                <w:color w:val="000000"/>
                <w:spacing w:val="0"/>
                <w:sz w:val="24"/>
                <w:szCs w:val="24"/>
              </w:rPr>
              <w:id w:val="147451375"/>
            </w:sdtPr>
            <w:sdtEndPr>
              <w:rPr>
                <w:rFonts w:hint="eastAsia" w:asciiTheme="minorEastAsia" w:hAnsiTheme="minorEastAsia" w:eastAsiaTheme="minorEastAsia" w:cstheme="minorEastAsia"/>
                <w:i w:val="0"/>
                <w:iCs w:val="0"/>
                <w:caps w:val="0"/>
                <w:color w:val="000000"/>
                <w:spacing w:val="0"/>
                <w:sz w:val="24"/>
                <w:szCs w:val="24"/>
              </w:rPr>
            </w:sdtEndPr>
            <w:sdtContent>
              <w:sdt>
                <w:sdtPr>
                  <w:rPr>
                    <w:rFonts w:hint="eastAsia" w:asciiTheme="minorEastAsia" w:hAnsiTheme="minorEastAsia" w:eastAsiaTheme="minorEastAsia" w:cstheme="minorEastAsia"/>
                    <w:i w:val="0"/>
                    <w:iCs w:val="0"/>
                    <w:caps w:val="0"/>
                    <w:color w:val="000000"/>
                    <w:spacing w:val="0"/>
                    <w:sz w:val="24"/>
                    <w:szCs w:val="24"/>
                  </w:rPr>
                  <w:id w:val="147463635"/>
                </w:sdtPr>
                <w:sdtEndPr>
                  <w:rPr>
                    <w:rFonts w:hint="eastAsia" w:asciiTheme="minorEastAsia" w:hAnsiTheme="minorEastAsia" w:eastAsiaTheme="minorEastAsia" w:cstheme="minorEastAsia"/>
                    <w:i w:val="0"/>
                    <w:iCs w:val="0"/>
                    <w:caps w:val="0"/>
                    <w:color w:val="000000"/>
                    <w:spacing w:val="0"/>
                    <w:sz w:val="24"/>
                    <w:szCs w:val="24"/>
                  </w:rPr>
                </w:sdtEndPr>
                <w:sdtContent>
                  <w:r>
                    <w:rPr>
                      <w:rFonts w:hint="eastAsia" w:asciiTheme="minorEastAsia" w:hAnsiTheme="minorEastAsia" w:eastAsiaTheme="minorEastAsia" w:cstheme="minorEastAsia"/>
                      <w:i w:val="0"/>
                      <w:iCs w:val="0"/>
                      <w:caps w:val="0"/>
                      <w:color w:val="000000"/>
                      <w:spacing w:val="0"/>
                      <w:sz w:val="24"/>
                      <w:szCs w:val="24"/>
                    </w:rPr>
                    <w:sym w:font="Wingdings" w:char="00FE"/>
                  </w:r>
                </w:sdtContent>
              </w:sdt>
            </w:sdtContent>
          </w:sdt>
          <w:r>
            <w:rPr>
              <w:rFonts w:hint="eastAsia" w:asciiTheme="minorEastAsia" w:hAnsiTheme="minorEastAsia" w:eastAsiaTheme="minorEastAsia" w:cstheme="minorEastAsia"/>
              <w:i w:val="0"/>
              <w:iCs w:val="0"/>
              <w:caps w:val="0"/>
              <w:color w:val="000000"/>
              <w:spacing w:val="0"/>
              <w:sz w:val="24"/>
              <w:szCs w:val="24"/>
            </w:rPr>
            <w:t>服务全部由符合政策要求的中小企业承接，提供中小企业声明函；</w:t>
          </w:r>
        </w:p>
        <w:p w14:paraId="090F1DC3">
          <w:pPr>
            <w:pStyle w:val="46"/>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auto"/>
            <w:ind w:left="0" w:right="0" w:firstLine="720" w:firstLineChars="300"/>
            <w:rPr>
              <w:rFonts w:hint="eastAsia" w:asciiTheme="minorEastAsia" w:hAnsiTheme="minorEastAsia" w:eastAsiaTheme="minorEastAsia" w:cstheme="minorEastAsia"/>
              <w:i w:val="0"/>
              <w:iCs w:val="0"/>
              <w:caps w:val="0"/>
              <w:color w:val="000000"/>
              <w:spacing w:val="0"/>
              <w:sz w:val="24"/>
              <w:szCs w:val="24"/>
            </w:rPr>
          </w:pPr>
          <w:sdt>
            <w:sdtPr>
              <w:rPr>
                <w:rFonts w:hint="eastAsia" w:asciiTheme="minorEastAsia" w:hAnsiTheme="minorEastAsia" w:eastAsiaTheme="minorEastAsia" w:cstheme="minorEastAsia"/>
                <w:i w:val="0"/>
                <w:iCs w:val="0"/>
                <w:caps w:val="0"/>
                <w:color w:val="000000"/>
                <w:spacing w:val="0"/>
                <w:sz w:val="24"/>
                <w:szCs w:val="24"/>
              </w:rPr>
              <w:id w:val="147453248"/>
            </w:sdtPr>
            <w:sdtEndPr>
              <w:rPr>
                <w:rFonts w:hint="eastAsia" w:asciiTheme="minorEastAsia" w:hAnsiTheme="minorEastAsia" w:eastAsiaTheme="minorEastAsia" w:cstheme="minorEastAsia"/>
                <w:i w:val="0"/>
                <w:iCs w:val="0"/>
                <w:caps w:val="0"/>
                <w:color w:val="000000"/>
                <w:spacing w:val="0"/>
                <w:sz w:val="24"/>
                <w:szCs w:val="24"/>
              </w:rPr>
            </w:sdtEndPr>
            <w:sdtContent>
              <w:r>
                <w:rPr>
                  <w:rFonts w:hint="eastAsia" w:asciiTheme="minorEastAsia" w:hAnsiTheme="minorEastAsia" w:eastAsiaTheme="minorEastAsia" w:cstheme="minorEastAsia"/>
                  <w:i w:val="0"/>
                  <w:iCs w:val="0"/>
                  <w:caps w:val="0"/>
                  <w:color w:val="000000"/>
                  <w:spacing w:val="0"/>
                  <w:sz w:val="24"/>
                  <w:szCs w:val="24"/>
                </w:rPr>
                <w:sym w:font="Wingdings" w:char="00A8"/>
              </w:r>
            </w:sdtContent>
          </w:sdt>
          <w:sdt>
            <w:sdtPr>
              <w:rPr>
                <w:rFonts w:hint="eastAsia" w:asciiTheme="minorEastAsia" w:hAnsiTheme="minorEastAsia" w:eastAsiaTheme="minorEastAsia" w:cstheme="minorEastAsia"/>
                <w:i w:val="0"/>
                <w:iCs w:val="0"/>
                <w:caps w:val="0"/>
                <w:color w:val="000000"/>
                <w:spacing w:val="0"/>
                <w:sz w:val="24"/>
                <w:szCs w:val="24"/>
              </w:rPr>
              <w:id w:val="147471534"/>
            </w:sdtPr>
            <w:sdtEndPr>
              <w:rPr>
                <w:rFonts w:hint="eastAsia" w:asciiTheme="minorEastAsia" w:hAnsiTheme="minorEastAsia" w:eastAsiaTheme="minorEastAsia" w:cstheme="minorEastAsia"/>
                <w:i w:val="0"/>
                <w:iCs w:val="0"/>
                <w:caps w:val="0"/>
                <w:color w:val="000000"/>
                <w:spacing w:val="0"/>
                <w:sz w:val="24"/>
                <w:szCs w:val="24"/>
              </w:rPr>
            </w:sdtEndPr>
            <w:sdtContent/>
          </w:sdt>
          <w:r>
            <w:rPr>
              <w:rFonts w:hint="eastAsia" w:asciiTheme="minorEastAsia" w:hAnsiTheme="minorEastAsia" w:eastAsiaTheme="minorEastAsia" w:cstheme="minorEastAsia"/>
              <w:i w:val="0"/>
              <w:iCs w:val="0"/>
              <w:caps w:val="0"/>
              <w:color w:val="000000"/>
              <w:spacing w:val="0"/>
              <w:sz w:val="24"/>
              <w:szCs w:val="24"/>
            </w:rPr>
            <w:t>服务全部由符合政策要求的小微企业承接，提供中小企业声明函；</w:t>
          </w:r>
        </w:p>
      </w:sdtContent>
    </w:sdt>
    <w:p w14:paraId="495DC0E4">
      <w:pPr>
        <w:pStyle w:val="46"/>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auto"/>
        <w:ind w:left="0" w:right="0" w:firstLine="720" w:firstLineChars="300"/>
        <w:rPr>
          <w:rFonts w:hint="eastAsia" w:asciiTheme="minorEastAsia" w:hAnsiTheme="minorEastAsia" w:eastAsiaTheme="minorEastAsia" w:cstheme="minorEastAsia"/>
          <w:i w:val="0"/>
          <w:iCs w:val="0"/>
          <w:caps w:val="0"/>
          <w:color w:val="000000"/>
          <w:spacing w:val="0"/>
          <w:sz w:val="24"/>
          <w:szCs w:val="24"/>
        </w:rPr>
      </w:pPr>
      <w:sdt>
        <w:sdtPr>
          <w:rPr>
            <w:rFonts w:hint="eastAsia" w:asciiTheme="minorEastAsia" w:hAnsiTheme="minorEastAsia" w:eastAsiaTheme="minorEastAsia" w:cstheme="minorEastAsia"/>
            <w:i w:val="0"/>
            <w:iCs w:val="0"/>
            <w:caps w:val="0"/>
            <w:color w:val="000000"/>
            <w:spacing w:val="0"/>
            <w:sz w:val="24"/>
            <w:szCs w:val="24"/>
          </w:rPr>
          <w:id w:val="147458423"/>
        </w:sdtPr>
        <w:sdtEndPr>
          <w:rPr>
            <w:rFonts w:hint="eastAsia" w:asciiTheme="minorEastAsia" w:hAnsiTheme="minorEastAsia" w:eastAsiaTheme="minorEastAsia" w:cstheme="minorEastAsia"/>
            <w:i w:val="0"/>
            <w:iCs w:val="0"/>
            <w:caps w:val="0"/>
            <w:color w:val="000000"/>
            <w:spacing w:val="0"/>
            <w:sz w:val="24"/>
            <w:szCs w:val="24"/>
          </w:rPr>
        </w:sdtEndPr>
        <w:sdtContent>
          <w:r>
            <w:rPr>
              <w:rFonts w:hint="eastAsia" w:asciiTheme="minorEastAsia" w:hAnsiTheme="minorEastAsia" w:eastAsiaTheme="minorEastAsia" w:cstheme="minorEastAsia"/>
              <w:i w:val="0"/>
              <w:iCs w:val="0"/>
              <w:caps w:val="0"/>
              <w:color w:val="000000"/>
              <w:spacing w:val="0"/>
              <w:sz w:val="24"/>
              <w:szCs w:val="24"/>
            </w:rPr>
            <w:sym w:font="Wingdings" w:char="00A8"/>
          </w:r>
        </w:sdtContent>
      </w:sdt>
      <w:r>
        <w:rPr>
          <w:rFonts w:hint="eastAsia" w:asciiTheme="minorEastAsia" w:hAnsiTheme="minorEastAsia" w:eastAsiaTheme="minorEastAsia" w:cstheme="minorEastAsia"/>
          <w:i w:val="0"/>
          <w:iCs w:val="0"/>
          <w:caps w:val="0"/>
          <w:color w:val="000000"/>
          <w:spacing w:val="0"/>
          <w:sz w:val="24"/>
          <w:szCs w:val="24"/>
        </w:rPr>
        <w:t>要求以联合体形式参加，提供联合协议和中小企业声明函，联合协议中中小企业合同金额应当达到  %，小微企业合同金额应当达到   %;如果供应商本身提供所有标的均由中小企业制造、承建或承接，视同符合了资格条件，无需再与其他中小企业组成联合体参加政府采购活动，无需提供联合协议；</w:t>
      </w:r>
    </w:p>
    <w:p w14:paraId="7D643F8B">
      <w:pPr>
        <w:pStyle w:val="46"/>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auto"/>
        <w:ind w:left="0" w:right="0" w:firstLine="720" w:firstLineChars="300"/>
        <w:rPr>
          <w:rFonts w:hint="eastAsia" w:asciiTheme="minorEastAsia" w:hAnsiTheme="minorEastAsia" w:eastAsiaTheme="minorEastAsia" w:cstheme="minorEastAsia"/>
          <w:i w:val="0"/>
          <w:iCs w:val="0"/>
          <w:caps w:val="0"/>
          <w:color w:val="000000"/>
          <w:spacing w:val="0"/>
          <w:sz w:val="24"/>
          <w:szCs w:val="24"/>
        </w:rPr>
      </w:pPr>
      <w:sdt>
        <w:sdtPr>
          <w:rPr>
            <w:rFonts w:hint="eastAsia" w:asciiTheme="minorEastAsia" w:hAnsiTheme="minorEastAsia" w:eastAsiaTheme="minorEastAsia" w:cstheme="minorEastAsia"/>
            <w:i w:val="0"/>
            <w:iCs w:val="0"/>
            <w:caps w:val="0"/>
            <w:color w:val="000000"/>
            <w:spacing w:val="0"/>
            <w:sz w:val="24"/>
            <w:szCs w:val="24"/>
          </w:rPr>
          <w:id w:val="147470954"/>
        </w:sdtPr>
        <w:sdtEndPr>
          <w:rPr>
            <w:rFonts w:hint="eastAsia" w:asciiTheme="minorEastAsia" w:hAnsiTheme="minorEastAsia" w:eastAsiaTheme="minorEastAsia" w:cstheme="minorEastAsia"/>
            <w:i w:val="0"/>
            <w:iCs w:val="0"/>
            <w:caps w:val="0"/>
            <w:color w:val="000000"/>
            <w:spacing w:val="0"/>
            <w:sz w:val="24"/>
            <w:szCs w:val="24"/>
          </w:rPr>
        </w:sdtEndPr>
        <w:sdtContent>
          <w:r>
            <w:rPr>
              <w:rFonts w:hint="eastAsia" w:asciiTheme="minorEastAsia" w:hAnsiTheme="minorEastAsia" w:eastAsiaTheme="minorEastAsia" w:cstheme="minorEastAsia"/>
              <w:i w:val="0"/>
              <w:iCs w:val="0"/>
              <w:caps w:val="0"/>
              <w:color w:val="000000"/>
              <w:spacing w:val="0"/>
              <w:sz w:val="24"/>
              <w:szCs w:val="24"/>
            </w:rPr>
            <w:sym w:font="Wingdings" w:char="00A8"/>
          </w:r>
        </w:sdtContent>
      </w:sdt>
      <w:r>
        <w:rPr>
          <w:rFonts w:hint="eastAsia" w:asciiTheme="minorEastAsia" w:hAnsiTheme="minorEastAsia" w:eastAsiaTheme="minorEastAsia" w:cstheme="minorEastAsia"/>
          <w:i w:val="0"/>
          <w:iCs w:val="0"/>
          <w:caps w:val="0"/>
          <w:color w:val="000000"/>
          <w:spacing w:val="0"/>
          <w:sz w:val="24"/>
          <w:szCs w:val="24"/>
        </w:rPr>
        <w:t>要求合同分包，提供分包意向协议和中小企业声明函，分包意向协议中中小企业合同金额应当达到达到  % ，小微企业合同金额应当达到  % ;如果供应商本身提供所有标的均由中小企业制造、承建或承接，视同符合了资格条件，无需再向中小企业分包，无需提供分包意向协议；</w:t>
      </w:r>
    </w:p>
    <w:p w14:paraId="07CA1B17">
      <w:pPr>
        <w:pStyle w:val="46"/>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auto"/>
        <w:ind w:left="0" w:right="0" w:firstLine="720" w:firstLineChars="300"/>
        <w:rPr>
          <w:rFonts w:hint="eastAsia" w:asciiTheme="minorEastAsia" w:hAnsiTheme="minorEastAsia" w:eastAsiaTheme="minorEastAsia" w:cstheme="minorEastAsia"/>
          <w:i w:val="0"/>
          <w:iCs w:val="0"/>
          <w:caps w:val="0"/>
          <w:color w:val="000000"/>
          <w:spacing w:val="0"/>
          <w:sz w:val="24"/>
          <w:szCs w:val="24"/>
        </w:rPr>
      </w:pPr>
      <w:r>
        <w:rPr>
          <w:rFonts w:hint="eastAsia" w:asciiTheme="minorEastAsia" w:hAnsiTheme="minorEastAsia" w:eastAsiaTheme="minorEastAsia" w:cstheme="minorEastAsia"/>
          <w:i w:val="0"/>
          <w:iCs w:val="0"/>
          <w:caps w:val="0"/>
          <w:color w:val="000000"/>
          <w:spacing w:val="0"/>
          <w:sz w:val="24"/>
          <w:szCs w:val="24"/>
        </w:rPr>
        <w:t>3.本项目的特定资格要求：</w:t>
      </w:r>
    </w:p>
    <w:p w14:paraId="37750698">
      <w:pPr>
        <w:snapToGrid w:val="0"/>
        <w:spacing w:line="360" w:lineRule="auto"/>
        <w:ind w:firstLine="480" w:firstLineChars="200"/>
        <w:rPr>
          <w:rFonts w:hint="eastAsia" w:asciiTheme="minorEastAsia" w:hAnsiTheme="minorEastAsia" w:eastAsiaTheme="minorEastAsia" w:cstheme="minorEastAsia"/>
          <w:i w:val="0"/>
          <w:iCs w:val="0"/>
          <w:caps w:val="0"/>
          <w:color w:val="000000"/>
          <w:spacing w:val="0"/>
          <w:kern w:val="2"/>
          <w:sz w:val="24"/>
          <w:szCs w:val="24"/>
          <w:lang w:val="en-US" w:eastAsia="zh-CN" w:bidi="ar-SA"/>
        </w:rPr>
      </w:pPr>
      <w:r>
        <w:rPr>
          <w:rFonts w:hint="eastAsia" w:asciiTheme="minorEastAsia" w:hAnsiTheme="minorEastAsia" w:eastAsiaTheme="minorEastAsia" w:cstheme="minorEastAsia"/>
          <w:i w:val="0"/>
          <w:iCs w:val="0"/>
          <w:caps w:val="0"/>
          <w:color w:val="000000"/>
          <w:spacing w:val="0"/>
          <w:kern w:val="2"/>
          <w:sz w:val="24"/>
          <w:szCs w:val="24"/>
          <w:lang w:val="en-US" w:eastAsia="zh-CN" w:bidi="ar-SA"/>
        </w:rPr>
        <w:t>标项1、标项2：具备公路养护工程三类甲级资质和公路养护工程三类乙级资质，或公路路基路面甲级资质，并在人员、资金等方面具有相应施工能力的企业。</w:t>
      </w:r>
    </w:p>
    <w:p w14:paraId="32A26FF5">
      <w:pPr>
        <w:pStyle w:val="46"/>
        <w:keepNext w:val="0"/>
        <w:keepLines w:val="0"/>
        <w:pageBreakBefore w:val="0"/>
        <w:widowControl/>
        <w:suppressLineNumbers w:val="0"/>
        <w:kinsoku/>
        <w:wordWrap/>
        <w:overflowPunct/>
        <w:topLinePunct w:val="0"/>
        <w:autoSpaceDE/>
        <w:autoSpaceDN/>
        <w:bidi w:val="0"/>
        <w:adjustRightInd/>
        <w:snapToGrid/>
        <w:spacing w:before="255" w:beforeAutospacing="0" w:after="255" w:afterAutospacing="0" w:line="360" w:lineRule="auto"/>
        <w:ind w:left="0" w:right="0"/>
        <w:jc w:val="both"/>
        <w:rPr>
          <w:rFonts w:hint="eastAsia" w:asciiTheme="minorEastAsia" w:hAnsiTheme="minorEastAsia" w:eastAsiaTheme="minorEastAsia" w:cstheme="minorEastAsia"/>
          <w:sz w:val="24"/>
          <w:szCs w:val="24"/>
        </w:rPr>
      </w:pPr>
      <w:r>
        <w:rPr>
          <w:rStyle w:val="54"/>
          <w:rFonts w:hint="eastAsia" w:asciiTheme="minorEastAsia" w:hAnsiTheme="minorEastAsia" w:eastAsiaTheme="minorEastAsia" w:cstheme="minorEastAsia"/>
          <w:i w:val="0"/>
          <w:iCs w:val="0"/>
          <w:caps w:val="0"/>
          <w:color w:val="000000"/>
          <w:spacing w:val="0"/>
          <w:sz w:val="24"/>
          <w:szCs w:val="24"/>
        </w:rPr>
        <w:t>三、获取招标文件</w:t>
      </w:r>
      <w:r>
        <w:rPr>
          <w:rFonts w:hint="eastAsia" w:asciiTheme="minorEastAsia" w:hAnsiTheme="minorEastAsia" w:eastAsiaTheme="minorEastAsia" w:cstheme="minorEastAsia"/>
          <w:i w:val="0"/>
          <w:iCs w:val="0"/>
          <w:caps w:val="0"/>
          <w:color w:val="000000"/>
          <w:spacing w:val="0"/>
          <w:sz w:val="24"/>
          <w:szCs w:val="24"/>
        </w:rPr>
        <w:t> </w:t>
      </w:r>
    </w:p>
    <w:p w14:paraId="773AC4D4">
      <w:pPr>
        <w:pStyle w:val="46"/>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000000"/>
          <w:spacing w:val="0"/>
          <w:sz w:val="24"/>
          <w:szCs w:val="24"/>
        </w:rPr>
        <w:t>    </w:t>
      </w:r>
      <w:r>
        <w:rPr>
          <w:rFonts w:hint="eastAsia" w:asciiTheme="minorEastAsia" w:hAnsiTheme="minorEastAsia" w:eastAsiaTheme="minorEastAsia" w:cstheme="minorEastAsia"/>
          <w:i w:val="0"/>
          <w:iCs w:val="0"/>
          <w:caps w:val="0"/>
          <w:color w:val="000000"/>
          <w:spacing w:val="0"/>
          <w:sz w:val="24"/>
          <w:szCs w:val="24"/>
          <w:u w:val="none"/>
        </w:rPr>
        <w:t>时间：/至202</w:t>
      </w:r>
      <w:r>
        <w:rPr>
          <w:rFonts w:hint="eastAsia" w:asciiTheme="minorEastAsia" w:hAnsiTheme="minorEastAsia" w:eastAsiaTheme="minorEastAsia" w:cstheme="minorEastAsia"/>
          <w:i w:val="0"/>
          <w:iCs w:val="0"/>
          <w:caps w:val="0"/>
          <w:color w:val="000000"/>
          <w:spacing w:val="0"/>
          <w:sz w:val="24"/>
          <w:szCs w:val="24"/>
          <w:u w:val="none"/>
          <w:lang w:val="en-US" w:eastAsia="zh-CN"/>
        </w:rPr>
        <w:t>6</w:t>
      </w:r>
      <w:r>
        <w:rPr>
          <w:rFonts w:hint="eastAsia" w:asciiTheme="minorEastAsia" w:hAnsiTheme="minorEastAsia" w:eastAsiaTheme="minorEastAsia" w:cstheme="minorEastAsia"/>
          <w:i w:val="0"/>
          <w:iCs w:val="0"/>
          <w:caps w:val="0"/>
          <w:color w:val="000000"/>
          <w:spacing w:val="0"/>
          <w:sz w:val="24"/>
          <w:szCs w:val="24"/>
          <w:u w:val="none"/>
        </w:rPr>
        <w:t>年</w:t>
      </w:r>
      <w:r>
        <w:rPr>
          <w:rFonts w:hint="eastAsia" w:asciiTheme="minorEastAsia" w:hAnsiTheme="minorEastAsia" w:eastAsiaTheme="minorEastAsia" w:cstheme="minorEastAsia"/>
          <w:i w:val="0"/>
          <w:iCs w:val="0"/>
          <w:caps w:val="0"/>
          <w:color w:val="000000"/>
          <w:spacing w:val="0"/>
          <w:sz w:val="24"/>
          <w:szCs w:val="24"/>
          <w:u w:val="none"/>
          <w:lang w:val="en-US" w:eastAsia="zh-CN"/>
        </w:rPr>
        <w:t>2</w:t>
      </w:r>
      <w:r>
        <w:rPr>
          <w:rFonts w:hint="eastAsia" w:asciiTheme="minorEastAsia" w:hAnsiTheme="minorEastAsia" w:eastAsiaTheme="minorEastAsia" w:cstheme="minorEastAsia"/>
          <w:i w:val="0"/>
          <w:iCs w:val="0"/>
          <w:caps w:val="0"/>
          <w:color w:val="000000"/>
          <w:spacing w:val="0"/>
          <w:sz w:val="24"/>
          <w:szCs w:val="24"/>
          <w:u w:val="none"/>
        </w:rPr>
        <w:t>月</w:t>
      </w:r>
      <w:r>
        <w:rPr>
          <w:rFonts w:hint="eastAsia" w:asciiTheme="minorEastAsia" w:hAnsiTheme="minorEastAsia" w:eastAsiaTheme="minorEastAsia" w:cstheme="minorEastAsia"/>
          <w:i w:val="0"/>
          <w:iCs w:val="0"/>
          <w:caps w:val="0"/>
          <w:color w:val="000000"/>
          <w:spacing w:val="0"/>
          <w:sz w:val="24"/>
          <w:szCs w:val="24"/>
          <w:u w:val="none"/>
          <w:lang w:val="en-US" w:eastAsia="zh-CN"/>
        </w:rPr>
        <w:t xml:space="preserve">11 </w:t>
      </w:r>
      <w:r>
        <w:rPr>
          <w:rFonts w:hint="eastAsia" w:asciiTheme="minorEastAsia" w:hAnsiTheme="minorEastAsia" w:eastAsiaTheme="minorEastAsia" w:cstheme="minorEastAsia"/>
          <w:i w:val="0"/>
          <w:iCs w:val="0"/>
          <w:caps w:val="0"/>
          <w:color w:val="000000"/>
          <w:spacing w:val="0"/>
          <w:sz w:val="24"/>
          <w:szCs w:val="24"/>
          <w:u w:val="none"/>
        </w:rPr>
        <w:t>日，每天上午00:00至12:00，下午12:00至23:59（北京时间，线上获取法定节假日均可，线下获取文件法定节假日除外）</w:t>
      </w:r>
    </w:p>
    <w:p w14:paraId="767A501E">
      <w:pPr>
        <w:pStyle w:val="46"/>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000000"/>
          <w:spacing w:val="0"/>
          <w:sz w:val="24"/>
          <w:szCs w:val="24"/>
        </w:rPr>
        <w:t>    地点（网址）：政采云平台线上获取 </w:t>
      </w:r>
    </w:p>
    <w:p w14:paraId="55E5E070">
      <w:pPr>
        <w:pStyle w:val="46"/>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000000"/>
          <w:spacing w:val="0"/>
          <w:sz w:val="24"/>
          <w:szCs w:val="24"/>
        </w:rPr>
        <w:t>    方式：供应商登录政采云平台https://www.zcygov.cn/在线申请获取采购文件（进入“项目采购”应用，在获取采购文件菜单中选择项目，申请获取采购文件） </w:t>
      </w:r>
    </w:p>
    <w:p w14:paraId="0B96BF33">
      <w:pPr>
        <w:pStyle w:val="46"/>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000000"/>
          <w:spacing w:val="0"/>
          <w:sz w:val="24"/>
          <w:szCs w:val="24"/>
        </w:rPr>
        <w:t>    售价（元）：0 </w:t>
      </w:r>
    </w:p>
    <w:p w14:paraId="06FA14FA">
      <w:pPr>
        <w:pStyle w:val="46"/>
        <w:keepNext w:val="0"/>
        <w:keepLines w:val="0"/>
        <w:pageBreakBefore w:val="0"/>
        <w:widowControl/>
        <w:suppressLineNumbers w:val="0"/>
        <w:kinsoku/>
        <w:wordWrap/>
        <w:overflowPunct/>
        <w:topLinePunct w:val="0"/>
        <w:autoSpaceDE/>
        <w:autoSpaceDN/>
        <w:bidi w:val="0"/>
        <w:adjustRightInd/>
        <w:snapToGrid/>
        <w:spacing w:before="255" w:beforeAutospacing="0" w:after="255" w:afterAutospacing="0" w:line="360" w:lineRule="auto"/>
        <w:ind w:left="0" w:right="0"/>
        <w:jc w:val="both"/>
        <w:rPr>
          <w:rFonts w:hint="eastAsia" w:asciiTheme="minorEastAsia" w:hAnsiTheme="minorEastAsia" w:eastAsiaTheme="minorEastAsia" w:cstheme="minorEastAsia"/>
          <w:sz w:val="24"/>
          <w:szCs w:val="24"/>
        </w:rPr>
      </w:pPr>
      <w:r>
        <w:rPr>
          <w:rStyle w:val="54"/>
          <w:rFonts w:hint="eastAsia" w:asciiTheme="minorEastAsia" w:hAnsiTheme="minorEastAsia" w:eastAsiaTheme="minorEastAsia" w:cstheme="minorEastAsia"/>
          <w:i w:val="0"/>
          <w:iCs w:val="0"/>
          <w:caps w:val="0"/>
          <w:color w:val="000000"/>
          <w:spacing w:val="0"/>
          <w:sz w:val="24"/>
          <w:szCs w:val="24"/>
        </w:rPr>
        <w:t>四、提交投标文件截止时间、开标时间和地点</w:t>
      </w:r>
    </w:p>
    <w:p w14:paraId="127A1117">
      <w:pPr>
        <w:pStyle w:val="46"/>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000000"/>
          <w:spacing w:val="0"/>
          <w:sz w:val="24"/>
          <w:szCs w:val="24"/>
        </w:rPr>
        <w:t>   </w:t>
      </w:r>
      <w:r>
        <w:rPr>
          <w:rFonts w:hint="eastAsia" w:asciiTheme="minorEastAsia" w:hAnsiTheme="minorEastAsia" w:eastAsiaTheme="minorEastAsia" w:cstheme="minorEastAsia"/>
          <w:i w:val="0"/>
          <w:iCs w:val="0"/>
          <w:caps w:val="0"/>
          <w:color w:val="000000"/>
          <w:spacing w:val="0"/>
          <w:sz w:val="24"/>
          <w:szCs w:val="24"/>
          <w:u w:val="none"/>
        </w:rPr>
        <w:t> 提交投标文件截止时间：202</w:t>
      </w:r>
      <w:r>
        <w:rPr>
          <w:rFonts w:hint="eastAsia" w:asciiTheme="minorEastAsia" w:hAnsiTheme="minorEastAsia" w:eastAsiaTheme="minorEastAsia" w:cstheme="minorEastAsia"/>
          <w:i w:val="0"/>
          <w:iCs w:val="0"/>
          <w:caps w:val="0"/>
          <w:color w:val="000000"/>
          <w:spacing w:val="0"/>
          <w:sz w:val="24"/>
          <w:szCs w:val="24"/>
          <w:u w:val="none"/>
          <w:lang w:val="en-US" w:eastAsia="zh-CN"/>
        </w:rPr>
        <w:t>6</w:t>
      </w:r>
      <w:r>
        <w:rPr>
          <w:rFonts w:hint="eastAsia" w:asciiTheme="minorEastAsia" w:hAnsiTheme="minorEastAsia" w:eastAsiaTheme="minorEastAsia" w:cstheme="minorEastAsia"/>
          <w:i w:val="0"/>
          <w:iCs w:val="0"/>
          <w:caps w:val="0"/>
          <w:color w:val="000000"/>
          <w:spacing w:val="0"/>
          <w:sz w:val="24"/>
          <w:szCs w:val="24"/>
          <w:u w:val="none"/>
        </w:rPr>
        <w:t>年</w:t>
      </w:r>
      <w:r>
        <w:rPr>
          <w:rFonts w:hint="eastAsia" w:asciiTheme="minorEastAsia" w:hAnsiTheme="minorEastAsia" w:eastAsiaTheme="minorEastAsia" w:cstheme="minorEastAsia"/>
          <w:i w:val="0"/>
          <w:iCs w:val="0"/>
          <w:caps w:val="0"/>
          <w:color w:val="000000"/>
          <w:spacing w:val="0"/>
          <w:sz w:val="24"/>
          <w:szCs w:val="24"/>
          <w:u w:val="none"/>
          <w:lang w:val="en-US" w:eastAsia="zh-CN"/>
        </w:rPr>
        <w:t>02</w:t>
      </w:r>
      <w:r>
        <w:rPr>
          <w:rFonts w:hint="eastAsia" w:asciiTheme="minorEastAsia" w:hAnsiTheme="minorEastAsia" w:eastAsiaTheme="minorEastAsia" w:cstheme="minorEastAsia"/>
          <w:i w:val="0"/>
          <w:iCs w:val="0"/>
          <w:caps w:val="0"/>
          <w:color w:val="000000"/>
          <w:spacing w:val="0"/>
          <w:sz w:val="24"/>
          <w:szCs w:val="24"/>
          <w:u w:val="none"/>
        </w:rPr>
        <w:t>月</w:t>
      </w:r>
      <w:r>
        <w:rPr>
          <w:rFonts w:hint="eastAsia" w:asciiTheme="minorEastAsia" w:hAnsiTheme="minorEastAsia" w:eastAsiaTheme="minorEastAsia" w:cstheme="minorEastAsia"/>
          <w:i w:val="0"/>
          <w:iCs w:val="0"/>
          <w:caps w:val="0"/>
          <w:color w:val="000000"/>
          <w:spacing w:val="0"/>
          <w:sz w:val="24"/>
          <w:szCs w:val="24"/>
          <w:u w:val="none"/>
          <w:lang w:val="en-US" w:eastAsia="zh-CN"/>
        </w:rPr>
        <w:t xml:space="preserve"> 11 </w:t>
      </w:r>
      <w:r>
        <w:rPr>
          <w:rFonts w:hint="eastAsia" w:asciiTheme="minorEastAsia" w:hAnsiTheme="minorEastAsia" w:eastAsiaTheme="minorEastAsia" w:cstheme="minorEastAsia"/>
          <w:i w:val="0"/>
          <w:iCs w:val="0"/>
          <w:caps w:val="0"/>
          <w:color w:val="000000"/>
          <w:spacing w:val="0"/>
          <w:sz w:val="24"/>
          <w:szCs w:val="24"/>
          <w:u w:val="none"/>
        </w:rPr>
        <w:t>日 14:</w:t>
      </w:r>
      <w:r>
        <w:rPr>
          <w:rFonts w:hint="eastAsia" w:asciiTheme="minorEastAsia" w:hAnsiTheme="minorEastAsia" w:eastAsiaTheme="minorEastAsia" w:cstheme="minorEastAsia"/>
          <w:i w:val="0"/>
          <w:iCs w:val="0"/>
          <w:caps w:val="0"/>
          <w:color w:val="000000"/>
          <w:spacing w:val="0"/>
          <w:sz w:val="24"/>
          <w:szCs w:val="24"/>
          <w:u w:val="none"/>
          <w:lang w:val="en-US" w:eastAsia="zh-CN"/>
        </w:rPr>
        <w:t>3</w:t>
      </w:r>
      <w:r>
        <w:rPr>
          <w:rFonts w:hint="eastAsia" w:asciiTheme="minorEastAsia" w:hAnsiTheme="minorEastAsia" w:eastAsiaTheme="minorEastAsia" w:cstheme="minorEastAsia"/>
          <w:i w:val="0"/>
          <w:iCs w:val="0"/>
          <w:caps w:val="0"/>
          <w:color w:val="000000"/>
          <w:spacing w:val="0"/>
          <w:sz w:val="24"/>
          <w:szCs w:val="24"/>
          <w:u w:val="none"/>
        </w:rPr>
        <w:t>0（北京时间）</w:t>
      </w:r>
    </w:p>
    <w:p w14:paraId="2B3BDD79">
      <w:pPr>
        <w:pStyle w:val="46"/>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000000"/>
          <w:spacing w:val="0"/>
          <w:sz w:val="24"/>
          <w:szCs w:val="24"/>
        </w:rPr>
        <w:t>   </w:t>
      </w:r>
      <w:r>
        <w:rPr>
          <w:rFonts w:hint="eastAsia" w:asciiTheme="minorEastAsia" w:hAnsiTheme="minorEastAsia" w:eastAsiaTheme="minorEastAsia" w:cstheme="minorEastAsia"/>
          <w:i w:val="0"/>
          <w:iCs w:val="0"/>
          <w:caps w:val="0"/>
          <w:color w:val="000000"/>
          <w:spacing w:val="0"/>
          <w:sz w:val="24"/>
          <w:szCs w:val="24"/>
          <w:u w:val="none"/>
        </w:rPr>
        <w:t> 投标地点（网址）：请登录政采云投标客户端投标</w:t>
      </w:r>
      <w:r>
        <w:rPr>
          <w:rFonts w:hint="eastAsia" w:asciiTheme="minorEastAsia" w:hAnsiTheme="minorEastAsia" w:eastAsiaTheme="minorEastAsia" w:cstheme="minorEastAsia"/>
          <w:i w:val="0"/>
          <w:iCs w:val="0"/>
          <w:caps w:val="0"/>
          <w:color w:val="000000"/>
          <w:spacing w:val="0"/>
          <w:sz w:val="24"/>
          <w:szCs w:val="24"/>
        </w:rPr>
        <w:t> </w:t>
      </w:r>
    </w:p>
    <w:p w14:paraId="3771C6D2">
      <w:pPr>
        <w:pStyle w:val="46"/>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000000"/>
          <w:spacing w:val="0"/>
          <w:sz w:val="24"/>
          <w:szCs w:val="24"/>
          <w:u w:val="none"/>
        </w:rPr>
        <w:t xml:space="preserve">    </w:t>
      </w:r>
      <w:r>
        <w:rPr>
          <w:rFonts w:hint="eastAsia" w:asciiTheme="minorEastAsia" w:hAnsiTheme="minorEastAsia" w:eastAsiaTheme="minorEastAsia" w:cstheme="minorEastAsia"/>
          <w:i w:val="0"/>
          <w:iCs w:val="0"/>
          <w:caps w:val="0"/>
          <w:color w:val="000000"/>
          <w:spacing w:val="0"/>
          <w:sz w:val="24"/>
          <w:szCs w:val="24"/>
          <w:u w:val="none"/>
          <w:lang w:val="en-US" w:eastAsia="zh-CN"/>
        </w:rPr>
        <w:t xml:space="preserve"> </w:t>
      </w:r>
      <w:r>
        <w:rPr>
          <w:rFonts w:hint="eastAsia" w:asciiTheme="minorEastAsia" w:hAnsiTheme="minorEastAsia" w:eastAsiaTheme="minorEastAsia" w:cstheme="minorEastAsia"/>
          <w:i w:val="0"/>
          <w:iCs w:val="0"/>
          <w:caps w:val="0"/>
          <w:color w:val="000000"/>
          <w:spacing w:val="0"/>
          <w:sz w:val="24"/>
          <w:szCs w:val="24"/>
          <w:u w:val="none"/>
        </w:rPr>
        <w:t>开标时间：202</w:t>
      </w:r>
      <w:r>
        <w:rPr>
          <w:rFonts w:hint="eastAsia" w:asciiTheme="minorEastAsia" w:hAnsiTheme="minorEastAsia" w:eastAsiaTheme="minorEastAsia" w:cstheme="minorEastAsia"/>
          <w:i w:val="0"/>
          <w:iCs w:val="0"/>
          <w:caps w:val="0"/>
          <w:color w:val="000000"/>
          <w:spacing w:val="0"/>
          <w:sz w:val="24"/>
          <w:szCs w:val="24"/>
          <w:u w:val="none"/>
          <w:lang w:val="en-US" w:eastAsia="zh-CN"/>
        </w:rPr>
        <w:t>6</w:t>
      </w:r>
      <w:r>
        <w:rPr>
          <w:rFonts w:hint="eastAsia" w:asciiTheme="minorEastAsia" w:hAnsiTheme="minorEastAsia" w:eastAsiaTheme="minorEastAsia" w:cstheme="minorEastAsia"/>
          <w:i w:val="0"/>
          <w:iCs w:val="0"/>
          <w:caps w:val="0"/>
          <w:color w:val="000000"/>
          <w:spacing w:val="0"/>
          <w:sz w:val="24"/>
          <w:szCs w:val="24"/>
          <w:u w:val="none"/>
        </w:rPr>
        <w:t>年</w:t>
      </w:r>
      <w:r>
        <w:rPr>
          <w:rFonts w:hint="eastAsia" w:asciiTheme="minorEastAsia" w:hAnsiTheme="minorEastAsia" w:eastAsiaTheme="minorEastAsia" w:cstheme="minorEastAsia"/>
          <w:i w:val="0"/>
          <w:iCs w:val="0"/>
          <w:caps w:val="0"/>
          <w:color w:val="000000"/>
          <w:spacing w:val="0"/>
          <w:sz w:val="24"/>
          <w:szCs w:val="24"/>
          <w:u w:val="none"/>
          <w:lang w:val="en-US" w:eastAsia="zh-CN"/>
        </w:rPr>
        <w:t>02</w:t>
      </w:r>
      <w:r>
        <w:rPr>
          <w:rFonts w:hint="eastAsia" w:asciiTheme="minorEastAsia" w:hAnsiTheme="minorEastAsia" w:eastAsiaTheme="minorEastAsia" w:cstheme="minorEastAsia"/>
          <w:i w:val="0"/>
          <w:iCs w:val="0"/>
          <w:caps w:val="0"/>
          <w:color w:val="000000"/>
          <w:spacing w:val="0"/>
          <w:sz w:val="24"/>
          <w:szCs w:val="24"/>
          <w:u w:val="none"/>
        </w:rPr>
        <w:t>月</w:t>
      </w:r>
      <w:r>
        <w:rPr>
          <w:rFonts w:hint="eastAsia" w:asciiTheme="minorEastAsia" w:hAnsiTheme="minorEastAsia" w:eastAsiaTheme="minorEastAsia" w:cstheme="minorEastAsia"/>
          <w:i w:val="0"/>
          <w:iCs w:val="0"/>
          <w:caps w:val="0"/>
          <w:color w:val="000000"/>
          <w:spacing w:val="0"/>
          <w:sz w:val="24"/>
          <w:szCs w:val="24"/>
          <w:u w:val="none"/>
          <w:lang w:val="en-US" w:eastAsia="zh-CN"/>
        </w:rPr>
        <w:t xml:space="preserve">11 </w:t>
      </w:r>
      <w:r>
        <w:rPr>
          <w:rFonts w:hint="eastAsia" w:asciiTheme="minorEastAsia" w:hAnsiTheme="minorEastAsia" w:eastAsiaTheme="minorEastAsia" w:cstheme="minorEastAsia"/>
          <w:i w:val="0"/>
          <w:iCs w:val="0"/>
          <w:caps w:val="0"/>
          <w:color w:val="000000"/>
          <w:spacing w:val="0"/>
          <w:sz w:val="24"/>
          <w:szCs w:val="24"/>
          <w:u w:val="none"/>
        </w:rPr>
        <w:t>日 14:</w:t>
      </w:r>
      <w:r>
        <w:rPr>
          <w:rFonts w:hint="eastAsia" w:asciiTheme="minorEastAsia" w:hAnsiTheme="minorEastAsia" w:eastAsiaTheme="minorEastAsia" w:cstheme="minorEastAsia"/>
          <w:i w:val="0"/>
          <w:iCs w:val="0"/>
          <w:caps w:val="0"/>
          <w:color w:val="000000"/>
          <w:spacing w:val="0"/>
          <w:sz w:val="24"/>
          <w:szCs w:val="24"/>
          <w:u w:val="none"/>
          <w:lang w:val="en-US" w:eastAsia="zh-CN"/>
        </w:rPr>
        <w:t>3</w:t>
      </w:r>
      <w:r>
        <w:rPr>
          <w:rFonts w:hint="eastAsia" w:asciiTheme="minorEastAsia" w:hAnsiTheme="minorEastAsia" w:eastAsiaTheme="minorEastAsia" w:cstheme="minorEastAsia"/>
          <w:i w:val="0"/>
          <w:iCs w:val="0"/>
          <w:caps w:val="0"/>
          <w:color w:val="000000"/>
          <w:spacing w:val="0"/>
          <w:sz w:val="24"/>
          <w:szCs w:val="24"/>
          <w:u w:val="none"/>
        </w:rPr>
        <w:t>0</w:t>
      </w:r>
      <w:r>
        <w:rPr>
          <w:rFonts w:hint="eastAsia" w:asciiTheme="minorEastAsia" w:hAnsiTheme="minorEastAsia" w:eastAsiaTheme="minorEastAsia" w:cstheme="minorEastAsia"/>
          <w:i w:val="0"/>
          <w:iCs w:val="0"/>
          <w:caps w:val="0"/>
          <w:color w:val="000000"/>
          <w:spacing w:val="0"/>
          <w:sz w:val="24"/>
          <w:szCs w:val="24"/>
        </w:rPr>
        <w:t> </w:t>
      </w:r>
    </w:p>
    <w:p w14:paraId="1E0B35CC">
      <w:pPr>
        <w:pStyle w:val="46"/>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000000"/>
          <w:spacing w:val="0"/>
          <w:sz w:val="24"/>
          <w:szCs w:val="24"/>
          <w:u w:val="none"/>
        </w:rPr>
        <w:t xml:space="preserve">    </w:t>
      </w:r>
      <w:r>
        <w:rPr>
          <w:rFonts w:hint="eastAsia" w:asciiTheme="minorEastAsia" w:hAnsiTheme="minorEastAsia" w:eastAsiaTheme="minorEastAsia" w:cstheme="minorEastAsia"/>
          <w:i w:val="0"/>
          <w:iCs w:val="0"/>
          <w:caps w:val="0"/>
          <w:color w:val="000000"/>
          <w:spacing w:val="0"/>
          <w:sz w:val="24"/>
          <w:szCs w:val="24"/>
          <w:u w:val="none"/>
          <w:lang w:val="en-US" w:eastAsia="zh-CN"/>
        </w:rPr>
        <w:t xml:space="preserve"> </w:t>
      </w:r>
      <w:r>
        <w:rPr>
          <w:rFonts w:hint="eastAsia" w:asciiTheme="minorEastAsia" w:hAnsiTheme="minorEastAsia" w:eastAsiaTheme="minorEastAsia" w:cstheme="minorEastAsia"/>
          <w:i w:val="0"/>
          <w:iCs w:val="0"/>
          <w:caps w:val="0"/>
          <w:color w:val="000000"/>
          <w:spacing w:val="0"/>
          <w:sz w:val="24"/>
          <w:szCs w:val="24"/>
          <w:u w:val="none"/>
        </w:rPr>
        <w:t>开标地点（网址）：政采云线上开标</w:t>
      </w:r>
      <w:r>
        <w:rPr>
          <w:rFonts w:hint="eastAsia" w:asciiTheme="minorEastAsia" w:hAnsiTheme="minorEastAsia" w:eastAsiaTheme="minorEastAsia" w:cstheme="minorEastAsia"/>
          <w:i w:val="0"/>
          <w:iCs w:val="0"/>
          <w:caps w:val="0"/>
          <w:color w:val="000000"/>
          <w:spacing w:val="0"/>
          <w:sz w:val="24"/>
          <w:szCs w:val="24"/>
        </w:rPr>
        <w:t>  </w:t>
      </w:r>
    </w:p>
    <w:p w14:paraId="5FD202AC">
      <w:pPr>
        <w:pStyle w:val="46"/>
        <w:keepNext w:val="0"/>
        <w:keepLines w:val="0"/>
        <w:pageBreakBefore w:val="0"/>
        <w:widowControl/>
        <w:suppressLineNumbers w:val="0"/>
        <w:kinsoku/>
        <w:wordWrap/>
        <w:overflowPunct/>
        <w:topLinePunct w:val="0"/>
        <w:autoSpaceDE/>
        <w:autoSpaceDN/>
        <w:bidi w:val="0"/>
        <w:adjustRightInd/>
        <w:snapToGrid/>
        <w:spacing w:before="255" w:beforeAutospacing="0" w:after="255" w:afterAutospacing="0" w:line="360" w:lineRule="auto"/>
        <w:ind w:left="0" w:right="0"/>
        <w:jc w:val="both"/>
        <w:rPr>
          <w:rFonts w:hint="eastAsia" w:asciiTheme="minorEastAsia" w:hAnsiTheme="minorEastAsia" w:eastAsiaTheme="minorEastAsia" w:cstheme="minorEastAsia"/>
          <w:sz w:val="24"/>
          <w:szCs w:val="24"/>
        </w:rPr>
      </w:pPr>
      <w:r>
        <w:rPr>
          <w:rStyle w:val="54"/>
          <w:rFonts w:hint="eastAsia" w:asciiTheme="minorEastAsia" w:hAnsiTheme="minorEastAsia" w:eastAsiaTheme="minorEastAsia" w:cstheme="minorEastAsia"/>
          <w:i w:val="0"/>
          <w:iCs w:val="0"/>
          <w:caps w:val="0"/>
          <w:color w:val="000000"/>
          <w:spacing w:val="0"/>
          <w:sz w:val="24"/>
          <w:szCs w:val="24"/>
        </w:rPr>
        <w:t>五、公告期限</w:t>
      </w:r>
      <w:r>
        <w:rPr>
          <w:rFonts w:hint="eastAsia" w:asciiTheme="minorEastAsia" w:hAnsiTheme="minorEastAsia" w:eastAsiaTheme="minorEastAsia" w:cstheme="minorEastAsia"/>
          <w:i w:val="0"/>
          <w:iCs w:val="0"/>
          <w:caps w:val="0"/>
          <w:color w:val="000000"/>
          <w:spacing w:val="0"/>
          <w:sz w:val="24"/>
          <w:szCs w:val="24"/>
        </w:rPr>
        <w:t> </w:t>
      </w:r>
    </w:p>
    <w:p w14:paraId="14227BA3">
      <w:pPr>
        <w:pStyle w:val="46"/>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000000"/>
          <w:spacing w:val="0"/>
          <w:sz w:val="24"/>
          <w:szCs w:val="24"/>
        </w:rPr>
        <w:t>    自本公告发布之日起5个工作日。</w:t>
      </w:r>
    </w:p>
    <w:p w14:paraId="5B2F4163">
      <w:pPr>
        <w:pStyle w:val="46"/>
        <w:keepNext w:val="0"/>
        <w:keepLines w:val="0"/>
        <w:pageBreakBefore w:val="0"/>
        <w:widowControl/>
        <w:suppressLineNumbers w:val="0"/>
        <w:kinsoku/>
        <w:wordWrap/>
        <w:overflowPunct/>
        <w:topLinePunct w:val="0"/>
        <w:autoSpaceDE/>
        <w:autoSpaceDN/>
        <w:bidi w:val="0"/>
        <w:adjustRightInd/>
        <w:snapToGrid/>
        <w:spacing w:before="255" w:beforeAutospacing="0" w:after="255" w:afterAutospacing="0" w:line="360" w:lineRule="auto"/>
        <w:ind w:left="0" w:right="0"/>
        <w:jc w:val="both"/>
        <w:rPr>
          <w:rFonts w:hint="eastAsia" w:asciiTheme="minorEastAsia" w:hAnsiTheme="minorEastAsia" w:eastAsiaTheme="minorEastAsia" w:cstheme="minorEastAsia"/>
          <w:sz w:val="24"/>
          <w:szCs w:val="24"/>
        </w:rPr>
      </w:pPr>
      <w:r>
        <w:rPr>
          <w:rStyle w:val="54"/>
          <w:rFonts w:hint="eastAsia" w:asciiTheme="minorEastAsia" w:hAnsiTheme="minorEastAsia" w:eastAsiaTheme="minorEastAsia" w:cstheme="minorEastAsia"/>
          <w:i w:val="0"/>
          <w:iCs w:val="0"/>
          <w:caps w:val="0"/>
          <w:color w:val="000000"/>
          <w:spacing w:val="0"/>
          <w:sz w:val="24"/>
          <w:szCs w:val="24"/>
        </w:rPr>
        <w:t>六、其他补充事宜</w:t>
      </w:r>
    </w:p>
    <w:p w14:paraId="47B3B672">
      <w:pPr>
        <w:pStyle w:val="46"/>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000000"/>
          <w:spacing w:val="0"/>
          <w:sz w:val="24"/>
          <w:szCs w:val="24"/>
        </w:rPr>
        <w:t>    1.《浙江省财政厅关于进一步发挥政府采购政策功能全力推动经济稳进提质的通知》 （浙财采监（2022）3号）、《浙江省财政厅关于进一步促进政府采购公平竞争打造最优营商环境的通知》（浙财采监（2021）22号）</w:t>
      </w:r>
      <w:r>
        <w:rPr>
          <w:rFonts w:hint="eastAsia" w:asciiTheme="minorEastAsia" w:hAnsiTheme="minorEastAsia" w:eastAsiaTheme="minorEastAsia" w:cstheme="minorEastAsia"/>
          <w:i w:val="0"/>
          <w:iCs w:val="0"/>
          <w:caps w:val="0"/>
          <w:color w:val="000000"/>
          <w:spacing w:val="0"/>
          <w:sz w:val="24"/>
          <w:szCs w:val="24"/>
          <w:lang w:eastAsia="zh-CN"/>
        </w:rPr>
        <w:t>、</w:t>
      </w:r>
      <w:r>
        <w:rPr>
          <w:rFonts w:hint="eastAsia" w:asciiTheme="minorEastAsia" w:hAnsiTheme="minorEastAsia" w:eastAsiaTheme="minorEastAsia" w:cstheme="minorEastAsia"/>
          <w:i w:val="0"/>
          <w:iCs w:val="0"/>
          <w:caps w:val="0"/>
          <w:color w:val="000000"/>
          <w:spacing w:val="0"/>
          <w:sz w:val="24"/>
          <w:szCs w:val="24"/>
        </w:rPr>
        <w:t>《浙江省财政厅关于进一步加大政府采购支持中小企业力度助力扎实稳住经济的通知》（浙财采监（2022）8号）已分别于2022年1月29日和2022年2月1日开始实施，此前有关规定与上述文件内容不一致的，按上述文件要求执行。</w:t>
      </w:r>
    </w:p>
    <w:p w14:paraId="30E80FBB">
      <w:pPr>
        <w:pStyle w:val="46"/>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000000"/>
          <w:spacing w:val="0"/>
          <w:sz w:val="24"/>
          <w:szCs w:val="24"/>
        </w:rPr>
        <w:t>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683DA399">
      <w:pPr>
        <w:pStyle w:val="46"/>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000000"/>
          <w:spacing w:val="0"/>
          <w:sz w:val="24"/>
          <w:szCs w:val="24"/>
        </w:rPr>
        <w:t>    3.供应商认为采购文件使自己的权益受到损害的，可以自获取采购文件之日或者采购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r>
        <w:rPr>
          <w:rFonts w:hint="eastAsia" w:asciiTheme="minorEastAsia" w:hAnsiTheme="minorEastAsia" w:eastAsiaTheme="minorEastAsia" w:cstheme="minorEastAsia"/>
          <w:i w:val="0"/>
          <w:iCs w:val="0"/>
          <w:caps w:val="0"/>
          <w:color w:val="000000"/>
          <w:spacing w:val="0"/>
          <w:sz w:val="24"/>
          <w:szCs w:val="24"/>
        </w:rPr>
        <w:br w:type="textWrapping"/>
      </w:r>
      <w:r>
        <w:rPr>
          <w:rFonts w:hint="eastAsia" w:asciiTheme="minorEastAsia" w:hAnsiTheme="minorEastAsia" w:eastAsiaTheme="minorEastAsia" w:cstheme="minorEastAsia"/>
          <w:i w:val="0"/>
          <w:iCs w:val="0"/>
          <w:caps w:val="0"/>
          <w:color w:val="000000"/>
          <w:spacing w:val="0"/>
          <w:sz w:val="24"/>
          <w:szCs w:val="24"/>
        </w:rPr>
        <w:t>    4.其他事项：为支持和促进中小企业发展，进一步发挥政府采购政策功能，鼓励供应商使用保险/保函替代保证金及进行预付款增信，支持供应商基于中标项目进行应收账款融资。中标供应商若想了解或使用相关服务，可通过政采云平台或其他渠道进行咨询。政采云金融热线400-903-9583，也可登录政采云平台查看相应政策文件及各相关服务方案∶</w:t>
      </w:r>
      <w:r>
        <w:rPr>
          <w:rFonts w:hint="eastAsia" w:asciiTheme="minorEastAsia" w:hAnsiTheme="minorEastAsia" w:eastAsiaTheme="minorEastAsia" w:cstheme="minorEastAsia"/>
          <w:i w:val="0"/>
          <w:iCs w:val="0"/>
          <w:caps w:val="0"/>
          <w:color w:val="000000"/>
          <w:spacing w:val="0"/>
          <w:sz w:val="24"/>
          <w:szCs w:val="24"/>
        </w:rPr>
        <w:br w:type="textWrapping"/>
      </w:r>
      <w:r>
        <w:rPr>
          <w:rFonts w:hint="eastAsia" w:asciiTheme="minorEastAsia" w:hAnsiTheme="minorEastAsia" w:eastAsiaTheme="minorEastAsia" w:cstheme="minorEastAsia"/>
          <w:i w:val="0"/>
          <w:iCs w:val="0"/>
          <w:caps w:val="0"/>
          <w:color w:val="000000"/>
          <w:spacing w:val="0"/>
          <w:sz w:val="24"/>
          <w:szCs w:val="24"/>
        </w:rPr>
        <w:t>https://jinrong.zcygov.cn/finance-service/#/home。</w:t>
      </w:r>
    </w:p>
    <w:p w14:paraId="3A064B6D">
      <w:pPr>
        <w:pStyle w:val="46"/>
        <w:keepNext w:val="0"/>
        <w:keepLines w:val="0"/>
        <w:pageBreakBefore w:val="0"/>
        <w:widowControl/>
        <w:suppressLineNumbers w:val="0"/>
        <w:kinsoku/>
        <w:wordWrap/>
        <w:overflowPunct/>
        <w:topLinePunct w:val="0"/>
        <w:autoSpaceDE/>
        <w:autoSpaceDN/>
        <w:bidi w:val="0"/>
        <w:adjustRightInd/>
        <w:snapToGrid/>
        <w:spacing w:before="255" w:beforeAutospacing="0" w:after="255" w:afterAutospacing="0" w:line="360" w:lineRule="auto"/>
        <w:ind w:left="0" w:right="0"/>
        <w:jc w:val="both"/>
        <w:rPr>
          <w:rFonts w:hint="eastAsia" w:asciiTheme="minorEastAsia" w:hAnsiTheme="minorEastAsia" w:eastAsiaTheme="minorEastAsia" w:cstheme="minorEastAsia"/>
          <w:sz w:val="24"/>
          <w:szCs w:val="24"/>
        </w:rPr>
      </w:pPr>
      <w:r>
        <w:rPr>
          <w:rStyle w:val="54"/>
          <w:rFonts w:hint="eastAsia" w:asciiTheme="minorEastAsia" w:hAnsiTheme="minorEastAsia" w:eastAsiaTheme="minorEastAsia" w:cstheme="minorEastAsia"/>
          <w:i w:val="0"/>
          <w:iCs w:val="0"/>
          <w:caps w:val="0"/>
          <w:color w:val="000000"/>
          <w:spacing w:val="0"/>
          <w:sz w:val="24"/>
          <w:szCs w:val="24"/>
        </w:rPr>
        <w:t>七、对本次采购提出询问、质疑、投诉，请按以下方式联系</w:t>
      </w:r>
    </w:p>
    <w:p w14:paraId="6DCDE772">
      <w:pPr>
        <w:pStyle w:val="46"/>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000000"/>
          <w:spacing w:val="0"/>
          <w:sz w:val="24"/>
          <w:szCs w:val="24"/>
        </w:rPr>
        <w:t>    1.采购人信息</w:t>
      </w:r>
    </w:p>
    <w:p w14:paraId="30199DB2">
      <w:pPr>
        <w:pStyle w:val="46"/>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000000"/>
          <w:spacing w:val="0"/>
          <w:sz w:val="24"/>
          <w:szCs w:val="24"/>
        </w:rPr>
        <w:t>    名    称：嘉兴市秀洲区公路与运输管理服务中心 </w:t>
      </w:r>
    </w:p>
    <w:p w14:paraId="499037E6">
      <w:pPr>
        <w:pStyle w:val="46"/>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000000"/>
          <w:spacing w:val="0"/>
          <w:sz w:val="24"/>
          <w:szCs w:val="24"/>
        </w:rPr>
        <w:t>    地    址：嘉兴市秀洲区新平路117号 </w:t>
      </w:r>
    </w:p>
    <w:p w14:paraId="7A6F3EFE">
      <w:pPr>
        <w:pStyle w:val="46"/>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000000"/>
          <w:spacing w:val="0"/>
          <w:sz w:val="24"/>
          <w:szCs w:val="24"/>
        </w:rPr>
        <w:t>    传   </w:t>
      </w:r>
      <w:r>
        <w:rPr>
          <w:rFonts w:hint="eastAsia" w:asciiTheme="minorEastAsia" w:hAnsiTheme="minorEastAsia" w:eastAsiaTheme="minorEastAsia" w:cstheme="minorEastAsia"/>
          <w:i w:val="0"/>
          <w:iCs w:val="0"/>
          <w:caps w:val="0"/>
          <w:color w:val="000000"/>
          <w:spacing w:val="0"/>
          <w:sz w:val="24"/>
          <w:szCs w:val="24"/>
          <w:lang w:val="en-US" w:eastAsia="zh-CN"/>
        </w:rPr>
        <w:t xml:space="preserve"> </w:t>
      </w:r>
      <w:r>
        <w:rPr>
          <w:rFonts w:hint="eastAsia" w:asciiTheme="minorEastAsia" w:hAnsiTheme="minorEastAsia" w:eastAsiaTheme="minorEastAsia" w:cstheme="minorEastAsia"/>
          <w:i w:val="0"/>
          <w:iCs w:val="0"/>
          <w:caps w:val="0"/>
          <w:color w:val="000000"/>
          <w:spacing w:val="0"/>
          <w:sz w:val="24"/>
          <w:szCs w:val="24"/>
        </w:rPr>
        <w:t xml:space="preserve"> 真：  /</w:t>
      </w:r>
    </w:p>
    <w:p w14:paraId="0F61CEC1">
      <w:pPr>
        <w:pStyle w:val="46"/>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000000"/>
          <w:spacing w:val="0"/>
          <w:sz w:val="24"/>
          <w:szCs w:val="24"/>
        </w:rPr>
        <w:t>    项目联系人（询问）：</w:t>
      </w:r>
      <w:r>
        <w:rPr>
          <w:rFonts w:hint="eastAsia" w:asciiTheme="minorEastAsia" w:hAnsiTheme="minorEastAsia" w:eastAsiaTheme="minorEastAsia" w:cstheme="minorEastAsia"/>
          <w:color w:val="000000"/>
        </w:rPr>
        <w:t>张先生</w:t>
      </w:r>
      <w:r>
        <w:rPr>
          <w:rFonts w:hint="eastAsia" w:asciiTheme="minorEastAsia" w:hAnsiTheme="minorEastAsia" w:eastAsiaTheme="minorEastAsia" w:cstheme="minorEastAsia"/>
          <w:i w:val="0"/>
          <w:iCs w:val="0"/>
          <w:caps w:val="0"/>
          <w:color w:val="000000"/>
          <w:spacing w:val="0"/>
          <w:sz w:val="24"/>
          <w:szCs w:val="24"/>
        </w:rPr>
        <w:t>  </w:t>
      </w:r>
    </w:p>
    <w:p w14:paraId="33B4288D">
      <w:pPr>
        <w:pStyle w:val="46"/>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auto"/>
        <w:ind w:left="0" w:right="0"/>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i w:val="0"/>
          <w:iCs w:val="0"/>
          <w:caps w:val="0"/>
          <w:color w:val="000000"/>
          <w:spacing w:val="0"/>
          <w:sz w:val="24"/>
          <w:szCs w:val="24"/>
        </w:rPr>
        <w:t>    项目</w:t>
      </w:r>
      <w:r>
        <w:rPr>
          <w:rFonts w:hint="eastAsia" w:asciiTheme="minorEastAsia" w:hAnsiTheme="minorEastAsia" w:eastAsiaTheme="minorEastAsia" w:cstheme="minorEastAsia"/>
          <w:color w:val="000000"/>
        </w:rPr>
        <w:t>联系方式（询问）：0573-83599975 </w:t>
      </w:r>
    </w:p>
    <w:p w14:paraId="4B59A0C3">
      <w:pPr>
        <w:pStyle w:val="46"/>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auto"/>
        <w:ind w:left="0" w:right="0"/>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    质疑联系人：</w:t>
      </w:r>
      <w:r>
        <w:rPr>
          <w:rFonts w:hint="eastAsia" w:asciiTheme="minorEastAsia" w:hAnsiTheme="minorEastAsia" w:eastAsiaTheme="minorEastAsia" w:cstheme="minorEastAsia"/>
          <w:color w:val="000000"/>
          <w:lang w:val="en-US" w:eastAsia="zh-CN"/>
        </w:rPr>
        <w:t>沈女士</w:t>
      </w:r>
      <w:r>
        <w:rPr>
          <w:rFonts w:hint="eastAsia" w:asciiTheme="minorEastAsia" w:hAnsiTheme="minorEastAsia" w:eastAsiaTheme="minorEastAsia" w:cstheme="minorEastAsia"/>
          <w:color w:val="000000"/>
        </w:rPr>
        <w:t>    </w:t>
      </w:r>
    </w:p>
    <w:p w14:paraId="61BD2C18">
      <w:pPr>
        <w:pStyle w:val="46"/>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auto"/>
        <w:ind w:left="0" w:right="0"/>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    质疑联系方式：0573-83599975 </w:t>
      </w:r>
    </w:p>
    <w:p w14:paraId="7C298163">
      <w:pPr>
        <w:pStyle w:val="46"/>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000000"/>
          <w:spacing w:val="0"/>
          <w:sz w:val="24"/>
          <w:szCs w:val="24"/>
        </w:rPr>
        <w:t>   </w:t>
      </w:r>
      <w:r>
        <w:rPr>
          <w:rFonts w:hint="eastAsia" w:asciiTheme="minorEastAsia" w:hAnsiTheme="minorEastAsia" w:eastAsiaTheme="minorEastAsia" w:cstheme="minorEastAsia"/>
          <w:i w:val="0"/>
          <w:iCs w:val="0"/>
          <w:caps w:val="0"/>
          <w:color w:val="000000"/>
          <w:spacing w:val="0"/>
          <w:sz w:val="24"/>
          <w:szCs w:val="24"/>
        </w:rPr>
        <w:br w:type="textWrapping"/>
      </w:r>
      <w:r>
        <w:rPr>
          <w:rFonts w:hint="eastAsia" w:asciiTheme="minorEastAsia" w:hAnsiTheme="minorEastAsia" w:eastAsiaTheme="minorEastAsia" w:cstheme="minorEastAsia"/>
          <w:i w:val="0"/>
          <w:iCs w:val="0"/>
          <w:caps w:val="0"/>
          <w:color w:val="000000"/>
          <w:spacing w:val="0"/>
          <w:sz w:val="24"/>
          <w:szCs w:val="24"/>
        </w:rPr>
        <w:t>    2.采购代理机构信息            </w:t>
      </w:r>
    </w:p>
    <w:p w14:paraId="4FDFB913">
      <w:pPr>
        <w:pStyle w:val="46"/>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000000"/>
          <w:spacing w:val="0"/>
          <w:sz w:val="24"/>
          <w:szCs w:val="24"/>
        </w:rPr>
        <w:t>    名称：浙江求真工程管理咨询有限公司             </w:t>
      </w:r>
    </w:p>
    <w:p w14:paraId="7053A426">
      <w:pPr>
        <w:pStyle w:val="46"/>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000000"/>
          <w:spacing w:val="0"/>
          <w:sz w:val="24"/>
          <w:szCs w:val="24"/>
        </w:rPr>
        <w:t xml:space="preserve">  </w:t>
      </w:r>
      <w:r>
        <w:rPr>
          <w:rFonts w:hint="eastAsia" w:asciiTheme="minorEastAsia" w:hAnsiTheme="minorEastAsia" w:eastAsiaTheme="minorEastAsia" w:cstheme="minorEastAsia"/>
          <w:i w:val="0"/>
          <w:iCs w:val="0"/>
          <w:caps w:val="0"/>
          <w:color w:val="000000"/>
          <w:spacing w:val="0"/>
          <w:sz w:val="24"/>
          <w:szCs w:val="24"/>
          <w:lang w:val="en-US" w:eastAsia="zh-CN"/>
        </w:rPr>
        <w:t xml:space="preserve">   </w:t>
      </w:r>
      <w:r>
        <w:rPr>
          <w:rFonts w:hint="eastAsia" w:asciiTheme="minorEastAsia" w:hAnsiTheme="minorEastAsia" w:eastAsiaTheme="minorEastAsia" w:cstheme="minorEastAsia"/>
          <w:i w:val="0"/>
          <w:iCs w:val="0"/>
          <w:caps w:val="0"/>
          <w:color w:val="000000"/>
          <w:spacing w:val="0"/>
          <w:sz w:val="24"/>
          <w:szCs w:val="24"/>
        </w:rPr>
        <w:t>地址：秀洲区洪波路1200号万豪广场12楼1204室             </w:t>
      </w:r>
    </w:p>
    <w:p w14:paraId="576EEA50">
      <w:pPr>
        <w:pStyle w:val="46"/>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000000"/>
          <w:spacing w:val="0"/>
          <w:sz w:val="24"/>
          <w:szCs w:val="24"/>
        </w:rPr>
        <w:t>    传    真：    /         </w:t>
      </w:r>
    </w:p>
    <w:p w14:paraId="22A6C47B">
      <w:pPr>
        <w:pStyle w:val="46"/>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000000"/>
          <w:spacing w:val="0"/>
          <w:sz w:val="24"/>
          <w:szCs w:val="24"/>
        </w:rPr>
        <w:t>    项目联系人（询问）：周女士              </w:t>
      </w:r>
    </w:p>
    <w:p w14:paraId="039D4972">
      <w:pPr>
        <w:pStyle w:val="46"/>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000000"/>
          <w:spacing w:val="0"/>
          <w:sz w:val="24"/>
          <w:szCs w:val="24"/>
        </w:rPr>
        <w:t>    项目联系方式（询问）：15824313890  </w:t>
      </w:r>
    </w:p>
    <w:p w14:paraId="204BAE41">
      <w:pPr>
        <w:pStyle w:val="46"/>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000000"/>
          <w:spacing w:val="0"/>
          <w:sz w:val="24"/>
          <w:szCs w:val="24"/>
        </w:rPr>
        <w:t>    质疑联系人：沈佳             </w:t>
      </w:r>
    </w:p>
    <w:p w14:paraId="1BE1E3ED">
      <w:pPr>
        <w:pStyle w:val="46"/>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000000"/>
          <w:spacing w:val="0"/>
          <w:sz w:val="24"/>
          <w:szCs w:val="24"/>
        </w:rPr>
        <w:t>    质疑联系方式：18805732310 　　　　　　     </w:t>
      </w:r>
    </w:p>
    <w:p w14:paraId="466A9311">
      <w:pPr>
        <w:pStyle w:val="46"/>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000000"/>
          <w:spacing w:val="0"/>
          <w:sz w:val="24"/>
          <w:szCs w:val="24"/>
        </w:rPr>
        <w:t>   </w:t>
      </w:r>
      <w:r>
        <w:rPr>
          <w:rFonts w:hint="eastAsia" w:asciiTheme="minorEastAsia" w:hAnsiTheme="minorEastAsia" w:eastAsiaTheme="minorEastAsia" w:cstheme="minorEastAsia"/>
          <w:i w:val="0"/>
          <w:iCs w:val="0"/>
          <w:caps w:val="0"/>
          <w:color w:val="000000"/>
          <w:spacing w:val="0"/>
          <w:sz w:val="24"/>
          <w:szCs w:val="24"/>
        </w:rPr>
        <w:br w:type="textWrapping"/>
      </w:r>
      <w:r>
        <w:rPr>
          <w:rFonts w:hint="eastAsia" w:asciiTheme="minorEastAsia" w:hAnsiTheme="minorEastAsia" w:eastAsiaTheme="minorEastAsia" w:cstheme="minorEastAsia"/>
          <w:i w:val="0"/>
          <w:iCs w:val="0"/>
          <w:caps w:val="0"/>
          <w:color w:val="000000"/>
          <w:spacing w:val="0"/>
          <w:sz w:val="24"/>
          <w:szCs w:val="24"/>
        </w:rPr>
        <w:t>    3.</w:t>
      </w:r>
      <w:r>
        <w:rPr>
          <w:rStyle w:val="59"/>
          <w:rFonts w:hint="eastAsia" w:asciiTheme="minorEastAsia" w:hAnsiTheme="minorEastAsia" w:eastAsiaTheme="minorEastAsia" w:cstheme="minorEastAsia"/>
          <w:i w:val="0"/>
          <w:iCs w:val="0"/>
          <w:caps w:val="0"/>
          <w:color w:val="000000"/>
          <w:spacing w:val="0"/>
          <w:sz w:val="24"/>
          <w:szCs w:val="24"/>
        </w:rPr>
        <w:t>同级政府采购监督管理部门</w:t>
      </w:r>
    </w:p>
    <w:p w14:paraId="082B45C0">
      <w:pPr>
        <w:pStyle w:val="46"/>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000000"/>
          <w:spacing w:val="0"/>
          <w:sz w:val="24"/>
          <w:szCs w:val="24"/>
        </w:rPr>
        <w:t>    名    称：嘉兴市秀洲区财政局</w:t>
      </w:r>
    </w:p>
    <w:p w14:paraId="2E8EDFB5">
      <w:pPr>
        <w:pStyle w:val="46"/>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000000"/>
          <w:spacing w:val="0"/>
          <w:sz w:val="24"/>
          <w:szCs w:val="24"/>
        </w:rPr>
        <w:t>    地    址：/</w:t>
      </w:r>
    </w:p>
    <w:p w14:paraId="424BE995">
      <w:pPr>
        <w:pStyle w:val="46"/>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000000"/>
          <w:spacing w:val="0"/>
          <w:sz w:val="24"/>
          <w:szCs w:val="24"/>
        </w:rPr>
        <w:t>    传    真：/</w:t>
      </w:r>
    </w:p>
    <w:p w14:paraId="7BF14732">
      <w:pPr>
        <w:pStyle w:val="46"/>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auto"/>
        <w:ind w:left="0" w:right="0"/>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i w:val="0"/>
          <w:iCs w:val="0"/>
          <w:caps w:val="0"/>
          <w:color w:val="000000"/>
          <w:spacing w:val="0"/>
          <w:sz w:val="24"/>
          <w:szCs w:val="24"/>
        </w:rPr>
        <w:t>    联 系 人：</w:t>
      </w:r>
      <w:r>
        <w:rPr>
          <w:rFonts w:hint="eastAsia" w:asciiTheme="minorEastAsia" w:hAnsiTheme="minorEastAsia" w:eastAsiaTheme="minorEastAsia" w:cstheme="minorEastAsia"/>
          <w:i w:val="0"/>
          <w:iCs w:val="0"/>
          <w:caps w:val="0"/>
          <w:color w:val="000000"/>
          <w:spacing w:val="0"/>
          <w:sz w:val="24"/>
          <w:szCs w:val="24"/>
          <w:lang w:val="en-US" w:eastAsia="zh-CN"/>
        </w:rPr>
        <w:t>方先生</w:t>
      </w:r>
    </w:p>
    <w:p w14:paraId="09E849D0">
      <w:pPr>
        <w:pStyle w:val="46"/>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000000"/>
          <w:spacing w:val="0"/>
          <w:sz w:val="24"/>
          <w:szCs w:val="24"/>
        </w:rPr>
        <w:t>    监督投诉电话：0573-82720085</w:t>
      </w:r>
    </w:p>
    <w:p w14:paraId="33F34EF2">
      <w:pPr>
        <w:pStyle w:val="46"/>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000000"/>
          <w:spacing w:val="0"/>
          <w:kern w:val="0"/>
          <w:sz w:val="24"/>
          <w:szCs w:val="24"/>
          <w:lang w:val="en-US" w:eastAsia="zh-CN" w:bidi="ar"/>
        </w:rPr>
        <w:t> </w:t>
      </w:r>
    </w:p>
    <w:p w14:paraId="78399CE2">
      <w:pPr>
        <w:pStyle w:val="46"/>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auto"/>
        <w:ind w:left="0" w:right="0"/>
        <w:rPr>
          <w:rFonts w:hint="eastAsia" w:asciiTheme="minorEastAsia" w:hAnsiTheme="minorEastAsia" w:eastAsiaTheme="minorEastAsia" w:cstheme="minorEastAsia"/>
          <w:sz w:val="24"/>
          <w:szCs w:val="24"/>
        </w:rPr>
      </w:pPr>
    </w:p>
    <w:p w14:paraId="61269E46">
      <w:pPr>
        <w:keepNext w:val="0"/>
        <w:keepLines w:val="0"/>
        <w:pageBreakBefore w:val="0"/>
        <w:widowControl/>
        <w:suppressLineNumbers w:val="0"/>
        <w:kinsoku/>
        <w:wordWrap/>
        <w:overflowPunct/>
        <w:topLinePunct w:val="0"/>
        <w:autoSpaceDE/>
        <w:autoSpaceDN/>
        <w:bidi w:val="0"/>
        <w:adjustRightInd/>
        <w:snapToGrid/>
        <w:spacing w:line="360" w:lineRule="auto"/>
        <w:ind w:left="0" w:firstLine="0"/>
        <w:jc w:val="left"/>
        <w:rPr>
          <w:rFonts w:hint="eastAsia" w:asciiTheme="minorEastAsia" w:hAnsiTheme="minorEastAsia" w:eastAsiaTheme="minorEastAsia" w:cstheme="minorEastAsia"/>
          <w:i w:val="0"/>
          <w:iCs w:val="0"/>
          <w:caps w:val="0"/>
          <w:color w:val="000000"/>
          <w:spacing w:val="0"/>
          <w:sz w:val="24"/>
          <w:szCs w:val="24"/>
        </w:rPr>
      </w:pPr>
      <w:r>
        <w:rPr>
          <w:rFonts w:hint="eastAsia" w:asciiTheme="minorEastAsia" w:hAnsiTheme="minorEastAsia" w:eastAsiaTheme="minorEastAsia" w:cstheme="minorEastAsia"/>
          <w:i w:val="0"/>
          <w:iCs w:val="0"/>
          <w:caps w:val="0"/>
          <w:color w:val="000000"/>
          <w:spacing w:val="0"/>
          <w:kern w:val="0"/>
          <w:sz w:val="24"/>
          <w:szCs w:val="24"/>
          <w:lang w:val="en-US" w:eastAsia="zh-CN" w:bidi="ar"/>
        </w:rPr>
        <w:t>若对项目采购电子交易系统操作有疑问，可登录政采云（https://www.zcygov.cn/），点击右侧咨询小采，获取采小蜜智能服务管家帮助，或拨打政采云服务热线95763获取热线服务帮助。       </w:t>
      </w:r>
    </w:p>
    <w:p w14:paraId="581968C1">
      <w:pPr>
        <w:keepNext w:val="0"/>
        <w:keepLines w:val="0"/>
        <w:pageBreakBefore w:val="0"/>
        <w:widowControl/>
        <w:suppressLineNumbers w:val="0"/>
        <w:kinsoku/>
        <w:wordWrap/>
        <w:overflowPunct/>
        <w:topLinePunct w:val="0"/>
        <w:autoSpaceDE/>
        <w:autoSpaceDN/>
        <w:bidi w:val="0"/>
        <w:adjustRightInd/>
        <w:snapToGrid/>
        <w:spacing w:line="360" w:lineRule="auto"/>
        <w:ind w:left="0" w:firstLine="0"/>
        <w:jc w:val="left"/>
        <w:rPr>
          <w:rFonts w:hint="eastAsia" w:asciiTheme="minorEastAsia" w:hAnsiTheme="minorEastAsia" w:eastAsiaTheme="minorEastAsia" w:cstheme="minorEastAsia"/>
          <w:i w:val="0"/>
          <w:iCs w:val="0"/>
          <w:caps w:val="0"/>
          <w:color w:val="000000"/>
          <w:spacing w:val="0"/>
          <w:sz w:val="24"/>
          <w:szCs w:val="24"/>
        </w:rPr>
      </w:pPr>
      <w:r>
        <w:rPr>
          <w:rFonts w:hint="eastAsia" w:asciiTheme="minorEastAsia" w:hAnsiTheme="minorEastAsia" w:eastAsiaTheme="minorEastAsia" w:cstheme="minorEastAsia"/>
          <w:i w:val="0"/>
          <w:iCs w:val="0"/>
          <w:caps w:val="0"/>
          <w:color w:val="000000"/>
          <w:spacing w:val="0"/>
          <w:kern w:val="0"/>
          <w:sz w:val="24"/>
          <w:szCs w:val="24"/>
          <w:lang w:val="en-US" w:eastAsia="zh-CN" w:bidi="ar"/>
        </w:rPr>
        <w:t>CA问题联系电话（人工）：汇信CA 400-888-4636；天谷CA 400-087-8198。</w:t>
      </w:r>
    </w:p>
    <w:p w14:paraId="220EBD79">
      <w:pPr>
        <w:keepNext w:val="0"/>
        <w:keepLines w:val="0"/>
        <w:pageBreakBefore w:val="0"/>
        <w:widowControl/>
        <w:suppressLineNumbers w:val="0"/>
        <w:kinsoku/>
        <w:wordWrap/>
        <w:overflowPunct/>
        <w:topLinePunct w:val="0"/>
        <w:autoSpaceDE/>
        <w:autoSpaceDN/>
        <w:bidi w:val="0"/>
        <w:adjustRightInd/>
        <w:snapToGrid/>
        <w:spacing w:line="360" w:lineRule="auto"/>
        <w:ind w:left="0" w:firstLine="0"/>
        <w:jc w:val="left"/>
        <w:rPr>
          <w:rFonts w:hint="eastAsia" w:ascii="仿宋" w:hAnsi="仿宋" w:eastAsia="仿宋" w:cs="仿宋"/>
          <w:i w:val="0"/>
          <w:iCs w:val="0"/>
          <w:caps w:val="0"/>
          <w:color w:val="000000"/>
          <w:spacing w:val="0"/>
          <w:sz w:val="24"/>
          <w:szCs w:val="24"/>
        </w:rPr>
      </w:pPr>
    </w:p>
    <w:p w14:paraId="773870C8">
      <w:pPr>
        <w:pageBreakBefore w:val="0"/>
        <w:kinsoku/>
        <w:overflowPunct/>
        <w:topLinePunct w:val="0"/>
        <w:bidi w:val="0"/>
        <w:spacing w:line="360" w:lineRule="auto"/>
        <w:rPr>
          <w:rFonts w:hint="eastAsia" w:ascii="Times New Roman" w:hAnsi="Times New Roman"/>
          <w:color w:val="000000"/>
        </w:rPr>
      </w:pPr>
      <w:r>
        <w:rPr>
          <w:rFonts w:hint="eastAsia" w:ascii="Times New Roman" w:hAnsi="Times New Roman"/>
          <w:color w:val="000000"/>
        </w:rPr>
        <w:br w:type="page"/>
      </w:r>
    </w:p>
    <w:p w14:paraId="6E67B708">
      <w:pPr>
        <w:pStyle w:val="48"/>
        <w:pageBreakBefore w:val="0"/>
        <w:kinsoku/>
        <w:overflowPunct/>
        <w:topLinePunct w:val="0"/>
        <w:bidi w:val="0"/>
        <w:spacing w:before="120" w:line="360" w:lineRule="auto"/>
        <w:ind w:firstLine="643"/>
        <w:rPr>
          <w:rFonts w:ascii="Times New Roman" w:hAnsi="Times New Roman"/>
          <w:color w:val="000000"/>
        </w:rPr>
      </w:pPr>
      <w:r>
        <w:rPr>
          <w:rFonts w:hint="eastAsia" w:ascii="Times New Roman" w:hAnsi="Times New Roman"/>
          <w:color w:val="000000"/>
        </w:rPr>
        <w:t>第二章</w:t>
      </w:r>
      <w:r>
        <w:rPr>
          <w:rFonts w:ascii="Times New Roman" w:hAnsi="Times New Roman"/>
          <w:color w:val="000000"/>
        </w:rPr>
        <w:t xml:space="preserve">  </w:t>
      </w:r>
      <w:r>
        <w:rPr>
          <w:rFonts w:hint="eastAsia" w:ascii="Times New Roman" w:hAnsi="Times New Roman"/>
          <w:color w:val="000000"/>
        </w:rPr>
        <w:t>招标需求</w:t>
      </w:r>
      <w:bookmarkEnd w:id="12"/>
      <w:bookmarkEnd w:id="13"/>
      <w:bookmarkStart w:id="14" w:name="_Toc4900"/>
      <w:bookmarkStart w:id="15" w:name="_Toc417992872"/>
    </w:p>
    <w:bookmarkEnd w:id="14"/>
    <w:p w14:paraId="553083F7">
      <w:pPr>
        <w:keepNext w:val="0"/>
        <w:keepLines w:val="0"/>
        <w:pageBreakBefore w:val="0"/>
        <w:kinsoku/>
        <w:wordWrap/>
        <w:overflowPunct/>
        <w:topLinePunct w:val="0"/>
        <w:bidi w:val="0"/>
        <w:spacing w:line="360" w:lineRule="auto"/>
        <w:ind w:firstLine="482" w:firstLineChars="200"/>
        <w:jc w:val="left"/>
        <w:rPr>
          <w:rFonts w:hint="eastAsia"/>
          <w:b/>
          <w:sz w:val="24"/>
          <w:szCs w:val="24"/>
        </w:rPr>
      </w:pPr>
      <w:r>
        <w:rPr>
          <w:rFonts w:hint="eastAsia"/>
          <w:b/>
          <w:sz w:val="24"/>
          <w:szCs w:val="24"/>
        </w:rPr>
        <w:t>一、采购内容</w:t>
      </w:r>
    </w:p>
    <w:tbl>
      <w:tblPr>
        <w:tblStyle w:val="51"/>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7"/>
        <w:gridCol w:w="4221"/>
        <w:gridCol w:w="918"/>
        <w:gridCol w:w="756"/>
        <w:gridCol w:w="1432"/>
        <w:gridCol w:w="564"/>
      </w:tblGrid>
      <w:tr w14:paraId="7939B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767" w:type="dxa"/>
            <w:tcBorders>
              <w:top w:val="single" w:color="auto" w:sz="4" w:space="0"/>
              <w:left w:val="single" w:color="auto" w:sz="4" w:space="0"/>
              <w:bottom w:val="single" w:color="auto" w:sz="4" w:space="0"/>
              <w:right w:val="single" w:color="auto" w:sz="4" w:space="0"/>
            </w:tcBorders>
            <w:noWrap w:val="0"/>
            <w:vAlign w:val="center"/>
          </w:tcPr>
          <w:p w14:paraId="67332FB0">
            <w:pPr>
              <w:pStyle w:val="20"/>
              <w:keepNext w:val="0"/>
              <w:keepLines w:val="0"/>
              <w:pageBreakBefore w:val="0"/>
              <w:kinsoku/>
              <w:wordWrap/>
              <w:overflowPunct/>
              <w:topLinePunct w:val="0"/>
              <w:bidi w:val="0"/>
              <w:spacing w:after="0" w:line="360" w:lineRule="auto"/>
              <w:rPr>
                <w:rFonts w:hint="eastAsia" w:ascii="宋体" w:hAnsi="宋体" w:cs="宋体"/>
                <w:sz w:val="24"/>
                <w:szCs w:val="24"/>
              </w:rPr>
            </w:pPr>
            <w:r>
              <w:rPr>
                <w:rFonts w:hint="eastAsia" w:ascii="宋体" w:hAnsi="宋体" w:cs="宋体"/>
                <w:sz w:val="24"/>
                <w:szCs w:val="24"/>
              </w:rPr>
              <w:t>标项</w:t>
            </w:r>
          </w:p>
        </w:tc>
        <w:tc>
          <w:tcPr>
            <w:tcW w:w="4221" w:type="dxa"/>
            <w:tcBorders>
              <w:top w:val="single" w:color="auto" w:sz="4" w:space="0"/>
              <w:left w:val="single" w:color="auto" w:sz="4" w:space="0"/>
              <w:bottom w:val="single" w:color="auto" w:sz="4" w:space="0"/>
              <w:right w:val="single" w:color="auto" w:sz="4" w:space="0"/>
            </w:tcBorders>
            <w:noWrap w:val="0"/>
            <w:vAlign w:val="center"/>
          </w:tcPr>
          <w:p w14:paraId="73FBA320">
            <w:pPr>
              <w:pStyle w:val="20"/>
              <w:keepNext w:val="0"/>
              <w:keepLines w:val="0"/>
              <w:pageBreakBefore w:val="0"/>
              <w:kinsoku/>
              <w:wordWrap/>
              <w:overflowPunct/>
              <w:topLinePunct w:val="0"/>
              <w:bidi w:val="0"/>
              <w:spacing w:after="0" w:line="360" w:lineRule="auto"/>
              <w:ind w:firstLine="420"/>
              <w:jc w:val="center"/>
              <w:rPr>
                <w:rFonts w:hint="eastAsia" w:ascii="宋体" w:hAnsi="宋体" w:cs="宋体"/>
                <w:sz w:val="24"/>
                <w:szCs w:val="24"/>
              </w:rPr>
            </w:pPr>
            <w:r>
              <w:rPr>
                <w:rFonts w:hint="eastAsia" w:ascii="宋体" w:hAnsi="宋体" w:cs="宋体"/>
                <w:sz w:val="24"/>
                <w:szCs w:val="24"/>
              </w:rPr>
              <w:t>标项名称</w:t>
            </w:r>
          </w:p>
        </w:tc>
        <w:tc>
          <w:tcPr>
            <w:tcW w:w="918" w:type="dxa"/>
            <w:tcBorders>
              <w:top w:val="single" w:color="auto" w:sz="4" w:space="0"/>
              <w:left w:val="single" w:color="auto" w:sz="4" w:space="0"/>
              <w:bottom w:val="single" w:color="auto" w:sz="4" w:space="0"/>
              <w:right w:val="single" w:color="auto" w:sz="4" w:space="0"/>
            </w:tcBorders>
            <w:noWrap w:val="0"/>
            <w:vAlign w:val="center"/>
          </w:tcPr>
          <w:p w14:paraId="40D6FED7">
            <w:pPr>
              <w:pStyle w:val="20"/>
              <w:keepNext w:val="0"/>
              <w:keepLines w:val="0"/>
              <w:pageBreakBefore w:val="0"/>
              <w:kinsoku/>
              <w:wordWrap/>
              <w:overflowPunct/>
              <w:topLinePunct w:val="0"/>
              <w:bidi w:val="0"/>
              <w:spacing w:after="0" w:line="360" w:lineRule="auto"/>
              <w:rPr>
                <w:rFonts w:hint="eastAsia" w:ascii="宋体" w:hAnsi="宋体" w:cs="宋体"/>
                <w:sz w:val="24"/>
                <w:szCs w:val="24"/>
              </w:rPr>
            </w:pPr>
            <w:r>
              <w:rPr>
                <w:rFonts w:hint="eastAsia" w:ascii="宋体" w:hAnsi="宋体" w:cs="宋体"/>
                <w:sz w:val="24"/>
                <w:szCs w:val="24"/>
              </w:rPr>
              <w:t>单位</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01238FB4">
            <w:pPr>
              <w:pStyle w:val="20"/>
              <w:keepNext w:val="0"/>
              <w:keepLines w:val="0"/>
              <w:pageBreakBefore w:val="0"/>
              <w:kinsoku/>
              <w:wordWrap/>
              <w:overflowPunct/>
              <w:topLinePunct w:val="0"/>
              <w:bidi w:val="0"/>
              <w:spacing w:after="0" w:line="360" w:lineRule="auto"/>
              <w:rPr>
                <w:rFonts w:hint="eastAsia" w:ascii="宋体" w:hAnsi="宋体" w:cs="宋体"/>
                <w:sz w:val="24"/>
                <w:szCs w:val="24"/>
              </w:rPr>
            </w:pPr>
            <w:r>
              <w:rPr>
                <w:rFonts w:hint="eastAsia" w:ascii="宋体" w:hAnsi="宋体" w:cs="宋体"/>
                <w:sz w:val="24"/>
                <w:szCs w:val="24"/>
              </w:rPr>
              <w:t>数量</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40F63E05">
            <w:pPr>
              <w:pStyle w:val="20"/>
              <w:keepNext w:val="0"/>
              <w:keepLines w:val="0"/>
              <w:pageBreakBefore w:val="0"/>
              <w:kinsoku/>
              <w:wordWrap/>
              <w:overflowPunct/>
              <w:topLinePunct w:val="0"/>
              <w:bidi w:val="0"/>
              <w:spacing w:after="0" w:line="360" w:lineRule="auto"/>
              <w:jc w:val="center"/>
              <w:rPr>
                <w:rFonts w:hint="eastAsia" w:ascii="宋体" w:hAnsi="宋体" w:cs="宋体"/>
                <w:sz w:val="24"/>
                <w:szCs w:val="24"/>
              </w:rPr>
            </w:pPr>
            <w:r>
              <w:rPr>
                <w:rFonts w:hint="eastAsia" w:ascii="宋体" w:hAnsi="宋体" w:cs="宋体"/>
                <w:sz w:val="24"/>
                <w:szCs w:val="24"/>
              </w:rPr>
              <w:t>预算金额（元）</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44C7EB64">
            <w:pPr>
              <w:pStyle w:val="20"/>
              <w:keepNext w:val="0"/>
              <w:keepLines w:val="0"/>
              <w:pageBreakBefore w:val="0"/>
              <w:kinsoku/>
              <w:wordWrap/>
              <w:overflowPunct/>
              <w:topLinePunct w:val="0"/>
              <w:bidi w:val="0"/>
              <w:spacing w:after="0" w:line="360" w:lineRule="auto"/>
              <w:rPr>
                <w:rFonts w:hint="eastAsia" w:ascii="宋体" w:hAnsi="宋体" w:cs="宋体"/>
                <w:sz w:val="24"/>
                <w:szCs w:val="24"/>
              </w:rPr>
            </w:pPr>
            <w:r>
              <w:rPr>
                <w:rFonts w:hint="eastAsia" w:ascii="宋体" w:hAnsi="宋体" w:cs="宋体"/>
                <w:sz w:val="24"/>
                <w:szCs w:val="24"/>
              </w:rPr>
              <w:t>备注</w:t>
            </w:r>
          </w:p>
        </w:tc>
      </w:tr>
      <w:tr w14:paraId="7AAC6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767" w:type="dxa"/>
            <w:tcBorders>
              <w:top w:val="single" w:color="auto" w:sz="4" w:space="0"/>
              <w:left w:val="single" w:color="auto" w:sz="4" w:space="0"/>
              <w:bottom w:val="single" w:color="auto" w:sz="4" w:space="0"/>
              <w:right w:val="single" w:color="auto" w:sz="4" w:space="0"/>
            </w:tcBorders>
            <w:noWrap w:val="0"/>
            <w:vAlign w:val="center"/>
          </w:tcPr>
          <w:p w14:paraId="4AF9BDB0">
            <w:pPr>
              <w:pStyle w:val="20"/>
              <w:keepNext w:val="0"/>
              <w:keepLines w:val="0"/>
              <w:pageBreakBefore w:val="0"/>
              <w:kinsoku/>
              <w:wordWrap/>
              <w:overflowPunct/>
              <w:topLinePunct w:val="0"/>
              <w:bidi w:val="0"/>
              <w:spacing w:after="0" w:line="360" w:lineRule="auto"/>
              <w:ind w:firstLine="240" w:firstLineChars="100"/>
              <w:jc w:val="both"/>
              <w:rPr>
                <w:rFonts w:hint="eastAsia" w:ascii="宋体" w:hAnsi="宋体" w:cs="宋体"/>
                <w:sz w:val="24"/>
                <w:szCs w:val="24"/>
              </w:rPr>
            </w:pPr>
            <w:r>
              <w:rPr>
                <w:rFonts w:hint="eastAsia" w:ascii="宋体" w:hAnsi="宋体" w:cs="宋体"/>
                <w:sz w:val="24"/>
                <w:szCs w:val="24"/>
              </w:rPr>
              <w:t>1</w:t>
            </w:r>
          </w:p>
        </w:tc>
        <w:tc>
          <w:tcPr>
            <w:tcW w:w="4221" w:type="dxa"/>
            <w:tcBorders>
              <w:top w:val="single" w:color="auto" w:sz="4" w:space="0"/>
              <w:left w:val="single" w:color="auto" w:sz="4" w:space="0"/>
              <w:bottom w:val="single" w:color="auto" w:sz="4" w:space="0"/>
              <w:right w:val="single" w:color="auto" w:sz="4" w:space="0"/>
            </w:tcBorders>
            <w:noWrap w:val="0"/>
            <w:vAlign w:val="center"/>
          </w:tcPr>
          <w:p w14:paraId="1207CE2C">
            <w:pPr>
              <w:pStyle w:val="20"/>
              <w:keepNext w:val="0"/>
              <w:keepLines w:val="0"/>
              <w:pageBreakBefore w:val="0"/>
              <w:kinsoku/>
              <w:wordWrap/>
              <w:overflowPunct/>
              <w:topLinePunct w:val="0"/>
              <w:bidi w:val="0"/>
              <w:spacing w:after="0" w:line="360" w:lineRule="auto"/>
              <w:ind w:firstLine="420"/>
              <w:rPr>
                <w:rFonts w:hint="eastAsia" w:ascii="宋体" w:hAnsi="宋体" w:cs="宋体"/>
                <w:sz w:val="24"/>
                <w:szCs w:val="24"/>
              </w:rPr>
            </w:pPr>
            <w:r>
              <w:rPr>
                <w:rFonts w:hint="eastAsia" w:ascii="宋体" w:hAnsi="宋体" w:cs="宋体"/>
                <w:sz w:val="24"/>
                <w:szCs w:val="24"/>
                <w:lang w:val="en-US" w:eastAsia="zh-CN"/>
              </w:rPr>
              <w:t>2026年秀洲区县道及以上公路小修及应急抢险项目</w:t>
            </w:r>
            <w:r>
              <w:rPr>
                <w:rFonts w:hint="eastAsia" w:ascii="宋体" w:hAnsi="宋体" w:cs="宋体"/>
                <w:sz w:val="24"/>
                <w:szCs w:val="24"/>
              </w:rPr>
              <w:t>（</w:t>
            </w:r>
            <w:r>
              <w:rPr>
                <w:rFonts w:hint="eastAsia" w:ascii="宋体" w:hAnsi="宋体" w:cs="宋体"/>
                <w:sz w:val="24"/>
                <w:szCs w:val="24"/>
                <w:lang w:val="en-US" w:eastAsia="zh-CN"/>
              </w:rPr>
              <w:t>第一标段</w:t>
            </w:r>
            <w:r>
              <w:rPr>
                <w:rFonts w:hint="eastAsia" w:ascii="宋体" w:hAnsi="宋体" w:cs="宋体"/>
                <w:sz w:val="24"/>
                <w:szCs w:val="24"/>
              </w:rPr>
              <w:t>）</w:t>
            </w:r>
          </w:p>
        </w:tc>
        <w:tc>
          <w:tcPr>
            <w:tcW w:w="918" w:type="dxa"/>
            <w:tcBorders>
              <w:top w:val="single" w:color="auto" w:sz="4" w:space="0"/>
              <w:left w:val="single" w:color="auto" w:sz="4" w:space="0"/>
              <w:bottom w:val="single" w:color="auto" w:sz="4" w:space="0"/>
              <w:right w:val="single" w:color="auto" w:sz="4" w:space="0"/>
            </w:tcBorders>
            <w:noWrap w:val="0"/>
            <w:vAlign w:val="center"/>
          </w:tcPr>
          <w:p w14:paraId="59A71E09">
            <w:pPr>
              <w:pStyle w:val="20"/>
              <w:keepNext w:val="0"/>
              <w:keepLines w:val="0"/>
              <w:pageBreakBefore w:val="0"/>
              <w:kinsoku/>
              <w:wordWrap/>
              <w:overflowPunct/>
              <w:topLinePunct w:val="0"/>
              <w:bidi w:val="0"/>
              <w:spacing w:after="0" w:line="360" w:lineRule="auto"/>
              <w:ind w:firstLine="240" w:firstLineChars="100"/>
              <w:jc w:val="both"/>
              <w:rPr>
                <w:rFonts w:ascii="宋体" w:hAnsi="宋体" w:cs="宋体"/>
                <w:sz w:val="24"/>
                <w:szCs w:val="24"/>
              </w:rPr>
            </w:pPr>
            <w:r>
              <w:rPr>
                <w:rFonts w:hint="eastAsia" w:ascii="宋体" w:hAnsi="宋体" w:cs="宋体"/>
                <w:sz w:val="24"/>
                <w:szCs w:val="24"/>
              </w:rPr>
              <w:t>项</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69F0A5AF">
            <w:pPr>
              <w:pStyle w:val="20"/>
              <w:keepNext w:val="0"/>
              <w:keepLines w:val="0"/>
              <w:pageBreakBefore w:val="0"/>
              <w:kinsoku/>
              <w:wordWrap/>
              <w:overflowPunct/>
              <w:topLinePunct w:val="0"/>
              <w:bidi w:val="0"/>
              <w:spacing w:after="0" w:line="360" w:lineRule="auto"/>
              <w:ind w:firstLine="420"/>
              <w:jc w:val="center"/>
              <w:rPr>
                <w:rFonts w:ascii="宋体" w:hAnsi="宋体" w:cs="宋体"/>
                <w:sz w:val="24"/>
                <w:szCs w:val="24"/>
              </w:rPr>
            </w:pPr>
            <w:r>
              <w:rPr>
                <w:rFonts w:hint="eastAsia" w:ascii="宋体" w:hAnsi="宋体" w:cs="宋体"/>
                <w:sz w:val="24"/>
                <w:szCs w:val="24"/>
              </w:rPr>
              <w:t>1</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357C000E">
            <w:pPr>
              <w:pStyle w:val="20"/>
              <w:keepNext w:val="0"/>
              <w:keepLines w:val="0"/>
              <w:pageBreakBefore w:val="0"/>
              <w:kinsoku/>
              <w:wordWrap/>
              <w:overflowPunct/>
              <w:topLinePunct w:val="0"/>
              <w:bidi w:val="0"/>
              <w:spacing w:after="0" w:line="360" w:lineRule="auto"/>
              <w:jc w:val="both"/>
              <w:rPr>
                <w:rFonts w:hint="eastAsia" w:ascii="宋体" w:hAnsi="宋体" w:cs="宋体"/>
                <w:sz w:val="24"/>
                <w:szCs w:val="24"/>
              </w:rPr>
            </w:pPr>
            <w:r>
              <w:rPr>
                <w:rFonts w:hint="eastAsia" w:asciiTheme="minorEastAsia" w:hAnsiTheme="minorEastAsia" w:eastAsiaTheme="minorEastAsia" w:cstheme="minorEastAsia"/>
                <w:i w:val="0"/>
                <w:iCs w:val="0"/>
                <w:caps w:val="0"/>
                <w:color w:val="000000"/>
                <w:spacing w:val="0"/>
                <w:sz w:val="24"/>
                <w:szCs w:val="24"/>
                <w:highlight w:val="none"/>
                <w:lang w:val="en-US" w:eastAsia="zh-CN"/>
              </w:rPr>
              <w:t>5891106</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02A470C0">
            <w:pPr>
              <w:pStyle w:val="20"/>
              <w:keepNext w:val="0"/>
              <w:keepLines w:val="0"/>
              <w:pageBreakBefore w:val="0"/>
              <w:kinsoku/>
              <w:wordWrap/>
              <w:overflowPunct/>
              <w:topLinePunct w:val="0"/>
              <w:bidi w:val="0"/>
              <w:spacing w:after="0" w:line="360" w:lineRule="auto"/>
              <w:ind w:firstLine="420"/>
              <w:rPr>
                <w:rFonts w:hint="eastAsia" w:ascii="宋体" w:hAnsi="宋体" w:cs="宋体"/>
                <w:sz w:val="24"/>
                <w:szCs w:val="24"/>
              </w:rPr>
            </w:pPr>
          </w:p>
        </w:tc>
      </w:tr>
      <w:tr w14:paraId="45661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767" w:type="dxa"/>
            <w:tcBorders>
              <w:top w:val="single" w:color="auto" w:sz="4" w:space="0"/>
              <w:left w:val="single" w:color="auto" w:sz="4" w:space="0"/>
              <w:bottom w:val="single" w:color="auto" w:sz="4" w:space="0"/>
              <w:right w:val="single" w:color="auto" w:sz="4" w:space="0"/>
            </w:tcBorders>
            <w:noWrap w:val="0"/>
            <w:vAlign w:val="center"/>
          </w:tcPr>
          <w:p w14:paraId="1BF24965">
            <w:pPr>
              <w:pStyle w:val="20"/>
              <w:keepNext w:val="0"/>
              <w:keepLines w:val="0"/>
              <w:pageBreakBefore w:val="0"/>
              <w:kinsoku/>
              <w:wordWrap/>
              <w:overflowPunct/>
              <w:topLinePunct w:val="0"/>
              <w:bidi w:val="0"/>
              <w:spacing w:after="0" w:line="360" w:lineRule="auto"/>
              <w:ind w:firstLine="240" w:firstLineChars="100"/>
              <w:jc w:val="both"/>
              <w:rPr>
                <w:rFonts w:hint="eastAsia" w:ascii="宋体" w:hAnsi="宋体" w:cs="宋体"/>
                <w:sz w:val="24"/>
                <w:szCs w:val="24"/>
              </w:rPr>
            </w:pPr>
            <w:r>
              <w:rPr>
                <w:rFonts w:hint="eastAsia" w:ascii="宋体" w:hAnsi="宋体" w:cs="宋体"/>
                <w:sz w:val="24"/>
                <w:szCs w:val="24"/>
              </w:rPr>
              <w:t>2</w:t>
            </w:r>
          </w:p>
        </w:tc>
        <w:tc>
          <w:tcPr>
            <w:tcW w:w="4221" w:type="dxa"/>
            <w:tcBorders>
              <w:top w:val="single" w:color="auto" w:sz="4" w:space="0"/>
              <w:left w:val="single" w:color="auto" w:sz="4" w:space="0"/>
              <w:bottom w:val="single" w:color="auto" w:sz="4" w:space="0"/>
              <w:right w:val="single" w:color="auto" w:sz="4" w:space="0"/>
            </w:tcBorders>
            <w:noWrap w:val="0"/>
            <w:vAlign w:val="top"/>
          </w:tcPr>
          <w:p w14:paraId="793EAB70">
            <w:pPr>
              <w:pStyle w:val="20"/>
              <w:keepNext w:val="0"/>
              <w:keepLines w:val="0"/>
              <w:pageBreakBefore w:val="0"/>
              <w:kinsoku/>
              <w:wordWrap/>
              <w:overflowPunct/>
              <w:topLinePunct w:val="0"/>
              <w:bidi w:val="0"/>
              <w:spacing w:after="0" w:line="360" w:lineRule="auto"/>
              <w:ind w:firstLine="420"/>
              <w:rPr>
                <w:rFonts w:hint="eastAsia" w:ascii="宋体" w:hAnsi="宋体" w:cs="宋体"/>
                <w:sz w:val="24"/>
                <w:szCs w:val="24"/>
              </w:rPr>
            </w:pPr>
            <w:r>
              <w:rPr>
                <w:rFonts w:hint="eastAsia" w:ascii="宋体" w:hAnsi="宋体" w:cs="宋体"/>
                <w:sz w:val="24"/>
                <w:szCs w:val="24"/>
                <w:lang w:val="en-US" w:eastAsia="zh-CN"/>
              </w:rPr>
              <w:t>2026年秀洲区县道及以上公路小修及应急抢险项目</w:t>
            </w:r>
            <w:r>
              <w:rPr>
                <w:rFonts w:hint="eastAsia" w:ascii="宋体" w:hAnsi="宋体" w:cs="宋体"/>
                <w:sz w:val="24"/>
                <w:szCs w:val="24"/>
              </w:rPr>
              <w:t>（</w:t>
            </w:r>
            <w:r>
              <w:rPr>
                <w:rFonts w:hint="eastAsia" w:ascii="宋体" w:hAnsi="宋体" w:cs="宋体"/>
                <w:sz w:val="24"/>
                <w:szCs w:val="24"/>
                <w:lang w:val="en-US" w:eastAsia="zh-CN"/>
              </w:rPr>
              <w:t>第二标段</w:t>
            </w:r>
            <w:r>
              <w:rPr>
                <w:rFonts w:hint="eastAsia" w:ascii="宋体" w:hAnsi="宋体" w:cs="宋体"/>
                <w:sz w:val="24"/>
                <w:szCs w:val="24"/>
              </w:rPr>
              <w:t>）</w:t>
            </w:r>
          </w:p>
        </w:tc>
        <w:tc>
          <w:tcPr>
            <w:tcW w:w="918" w:type="dxa"/>
            <w:tcBorders>
              <w:top w:val="single" w:color="auto" w:sz="4" w:space="0"/>
              <w:left w:val="single" w:color="auto" w:sz="4" w:space="0"/>
              <w:bottom w:val="single" w:color="auto" w:sz="4" w:space="0"/>
              <w:right w:val="single" w:color="auto" w:sz="4" w:space="0"/>
            </w:tcBorders>
            <w:noWrap w:val="0"/>
            <w:vAlign w:val="center"/>
          </w:tcPr>
          <w:p w14:paraId="4FC6E3E3">
            <w:pPr>
              <w:pStyle w:val="20"/>
              <w:keepNext w:val="0"/>
              <w:keepLines w:val="0"/>
              <w:pageBreakBefore w:val="0"/>
              <w:kinsoku/>
              <w:wordWrap/>
              <w:overflowPunct/>
              <w:topLinePunct w:val="0"/>
              <w:bidi w:val="0"/>
              <w:spacing w:after="0" w:line="360" w:lineRule="auto"/>
              <w:ind w:firstLine="240" w:firstLineChars="100"/>
              <w:jc w:val="both"/>
              <w:rPr>
                <w:rFonts w:hint="eastAsia" w:ascii="宋体" w:hAnsi="宋体" w:cs="宋体"/>
                <w:sz w:val="24"/>
                <w:szCs w:val="24"/>
              </w:rPr>
            </w:pPr>
            <w:r>
              <w:rPr>
                <w:rFonts w:hint="eastAsia" w:ascii="宋体" w:hAnsi="宋体" w:cs="宋体"/>
                <w:sz w:val="24"/>
                <w:szCs w:val="24"/>
              </w:rPr>
              <w:t>项</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40AAACC2">
            <w:pPr>
              <w:pStyle w:val="20"/>
              <w:keepNext w:val="0"/>
              <w:keepLines w:val="0"/>
              <w:pageBreakBefore w:val="0"/>
              <w:kinsoku/>
              <w:wordWrap/>
              <w:overflowPunct/>
              <w:topLinePunct w:val="0"/>
              <w:bidi w:val="0"/>
              <w:spacing w:after="0" w:line="360" w:lineRule="auto"/>
              <w:ind w:firstLine="420"/>
              <w:jc w:val="center"/>
              <w:rPr>
                <w:rFonts w:hint="eastAsia" w:ascii="宋体" w:hAnsi="宋体" w:cs="宋体"/>
                <w:sz w:val="24"/>
                <w:szCs w:val="24"/>
              </w:rPr>
            </w:pPr>
            <w:r>
              <w:rPr>
                <w:rFonts w:hint="eastAsia" w:ascii="宋体" w:hAnsi="宋体" w:cs="宋体"/>
                <w:sz w:val="24"/>
                <w:szCs w:val="24"/>
              </w:rPr>
              <w:t>1</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7C51CE57">
            <w:pPr>
              <w:pStyle w:val="20"/>
              <w:keepNext w:val="0"/>
              <w:keepLines w:val="0"/>
              <w:pageBreakBefore w:val="0"/>
              <w:kinsoku/>
              <w:wordWrap/>
              <w:overflowPunct/>
              <w:topLinePunct w:val="0"/>
              <w:bidi w:val="0"/>
              <w:spacing w:after="0" w:line="360" w:lineRule="auto"/>
              <w:jc w:val="both"/>
              <w:rPr>
                <w:rFonts w:hint="eastAsia" w:ascii="宋体" w:hAnsi="宋体" w:eastAsia="宋体" w:cs="宋体"/>
                <w:sz w:val="24"/>
                <w:szCs w:val="24"/>
                <w:lang w:eastAsia="zh-CN"/>
              </w:rPr>
            </w:pPr>
            <w:r>
              <w:rPr>
                <w:rFonts w:hint="eastAsia" w:ascii="宋体" w:hAnsi="宋体" w:cs="宋体"/>
                <w:sz w:val="24"/>
                <w:szCs w:val="24"/>
                <w:lang w:eastAsia="zh-CN"/>
              </w:rPr>
              <w:t>3858629</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241D83DB">
            <w:pPr>
              <w:pStyle w:val="20"/>
              <w:keepNext w:val="0"/>
              <w:keepLines w:val="0"/>
              <w:pageBreakBefore w:val="0"/>
              <w:kinsoku/>
              <w:wordWrap/>
              <w:overflowPunct/>
              <w:topLinePunct w:val="0"/>
              <w:bidi w:val="0"/>
              <w:spacing w:after="0" w:line="360" w:lineRule="auto"/>
              <w:ind w:firstLine="420"/>
              <w:rPr>
                <w:rFonts w:hint="eastAsia" w:ascii="宋体" w:hAnsi="宋体" w:cs="宋体"/>
                <w:sz w:val="24"/>
                <w:szCs w:val="24"/>
              </w:rPr>
            </w:pPr>
          </w:p>
        </w:tc>
      </w:tr>
    </w:tbl>
    <w:p w14:paraId="5C0EADE6">
      <w:pPr>
        <w:widowControl/>
        <w:spacing w:line="420" w:lineRule="atLeast"/>
        <w:ind w:firstLine="480" w:firstLineChars="20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标项</w:t>
      </w:r>
      <w:r>
        <w:rPr>
          <w:rFonts w:hint="eastAsia" w:ascii="宋体" w:hAnsi="宋体" w:eastAsia="宋体" w:cs="宋体"/>
          <w:sz w:val="24"/>
          <w:szCs w:val="24"/>
          <w:highlight w:val="none"/>
          <w:lang w:val="en-US" w:eastAsia="zh-CN"/>
        </w:rPr>
        <w:t>1：主要内容包括秀洲区国省道的</w:t>
      </w:r>
      <w:r>
        <w:rPr>
          <w:rFonts w:hint="eastAsia" w:ascii="宋体" w:hAnsi="宋体" w:eastAsia="宋体" w:cs="宋体"/>
          <w:sz w:val="24"/>
          <w:szCs w:val="24"/>
          <w:highlight w:val="none"/>
        </w:rPr>
        <w:t>公路路面坑洞维修、路面及基层病害处理、公路路面预养护、桥头跳车的接顺</w:t>
      </w:r>
      <w:r>
        <w:rPr>
          <w:rFonts w:hint="eastAsia" w:ascii="宋体" w:hAnsi="宋体" w:cs="宋体"/>
          <w:sz w:val="24"/>
          <w:szCs w:val="24"/>
          <w:highlight w:val="none"/>
          <w:lang w:eastAsia="zh-CN"/>
        </w:rPr>
        <w:t>、</w:t>
      </w:r>
      <w:r>
        <w:rPr>
          <w:rFonts w:hint="eastAsia" w:ascii="宋体" w:hAnsi="宋体" w:eastAsia="宋体" w:cs="宋体"/>
          <w:sz w:val="24"/>
          <w:szCs w:val="24"/>
          <w:highlight w:val="none"/>
        </w:rPr>
        <w:t>路面灌缝</w:t>
      </w: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窨井</w:t>
      </w:r>
      <w:r>
        <w:rPr>
          <w:rFonts w:hint="eastAsia" w:ascii="宋体" w:hAnsi="宋体" w:eastAsia="宋体" w:cs="宋体"/>
          <w:sz w:val="24"/>
          <w:szCs w:val="24"/>
          <w:highlight w:val="none"/>
        </w:rPr>
        <w:t>以及</w:t>
      </w:r>
      <w:r>
        <w:rPr>
          <w:rFonts w:hint="eastAsia" w:ascii="宋体" w:hAnsi="宋体" w:cs="宋体"/>
          <w:sz w:val="24"/>
          <w:szCs w:val="24"/>
          <w:highlight w:val="none"/>
          <w:lang w:val="en-US" w:eastAsia="zh-CN"/>
        </w:rPr>
        <w:t>管涵</w:t>
      </w:r>
      <w:r>
        <w:rPr>
          <w:rFonts w:hint="eastAsia" w:ascii="宋体" w:hAnsi="宋体" w:eastAsia="宋体" w:cs="宋体"/>
          <w:sz w:val="24"/>
          <w:szCs w:val="24"/>
          <w:highlight w:val="none"/>
        </w:rPr>
        <w:t>，不含单独立项的公路大中修</w:t>
      </w:r>
      <w:r>
        <w:rPr>
          <w:rFonts w:hint="eastAsia" w:ascii="宋体" w:hAnsi="宋体" w:eastAsia="宋体" w:cs="宋体"/>
          <w:sz w:val="24"/>
          <w:szCs w:val="24"/>
          <w:highlight w:val="none"/>
          <w:lang w:val="en-US" w:eastAsia="zh-CN"/>
        </w:rPr>
        <w:t>以及</w:t>
      </w:r>
      <w:r>
        <w:rPr>
          <w:rFonts w:hint="eastAsia" w:ascii="宋体" w:hAnsi="宋体" w:eastAsia="宋体" w:cs="宋体"/>
          <w:sz w:val="24"/>
          <w:szCs w:val="24"/>
          <w:highlight w:val="none"/>
        </w:rPr>
        <w:t>因各种自然灾害及突发事件引起的公路通行不畅</w:t>
      </w:r>
      <w:r>
        <w:rPr>
          <w:rFonts w:hint="eastAsia" w:ascii="宋体" w:hAnsi="宋体" w:eastAsia="宋体" w:cs="宋体"/>
          <w:sz w:val="24"/>
          <w:szCs w:val="24"/>
          <w:highlight w:val="none"/>
          <w:lang w:val="en-US" w:eastAsia="zh-CN"/>
        </w:rPr>
        <w:t>进行应急抢险（具体详见招标需求）。</w:t>
      </w:r>
    </w:p>
    <w:p w14:paraId="5D4B4516">
      <w:pPr>
        <w:pStyle w:val="46"/>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auto"/>
        <w:ind w:left="0" w:right="0" w:firstLine="480" w:firstLineChars="200"/>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标项2：</w:t>
      </w:r>
      <w:r>
        <w:rPr>
          <w:rFonts w:hint="eastAsia" w:asciiTheme="minorEastAsia" w:hAnsiTheme="minorEastAsia" w:eastAsiaTheme="minorEastAsia" w:cstheme="minorEastAsia"/>
          <w:i w:val="0"/>
          <w:iCs w:val="0"/>
          <w:caps w:val="0"/>
          <w:color w:val="000000"/>
          <w:spacing w:val="0"/>
          <w:sz w:val="24"/>
          <w:szCs w:val="24"/>
          <w:highlight w:val="none"/>
          <w:lang w:val="en-US" w:eastAsia="zh-CN"/>
        </w:rPr>
        <w:t>主要内容包括秀洲区县道的</w:t>
      </w:r>
      <w:r>
        <w:rPr>
          <w:color w:val="000000"/>
        </w:rPr>
        <w:t>公路路面坑洞维修、路面及基层病害处理、公路路面预养护、</w:t>
      </w:r>
      <w:r>
        <w:rPr>
          <w:rFonts w:hint="eastAsia" w:ascii="宋体" w:hAnsi="宋体" w:eastAsia="宋体" w:cs="宋体"/>
          <w:sz w:val="24"/>
          <w:szCs w:val="24"/>
          <w:highlight w:val="none"/>
        </w:rPr>
        <w:t>桥头跳车的接顺</w:t>
      </w:r>
      <w:r>
        <w:rPr>
          <w:rFonts w:hint="eastAsia" w:ascii="宋体" w:hAnsi="宋体" w:cs="宋体"/>
          <w:sz w:val="24"/>
          <w:szCs w:val="24"/>
          <w:highlight w:val="none"/>
          <w:lang w:eastAsia="zh-CN"/>
        </w:rPr>
        <w:t>、</w:t>
      </w:r>
      <w:r>
        <w:rPr>
          <w:rFonts w:hint="eastAsia" w:ascii="宋体" w:hAnsi="宋体" w:eastAsia="宋体" w:cs="宋体"/>
          <w:sz w:val="24"/>
          <w:szCs w:val="24"/>
          <w:highlight w:val="none"/>
        </w:rPr>
        <w:t>路面灌缝</w:t>
      </w: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窨井</w:t>
      </w:r>
      <w:r>
        <w:rPr>
          <w:rFonts w:hint="eastAsia" w:ascii="宋体" w:hAnsi="宋体" w:eastAsia="宋体" w:cs="宋体"/>
          <w:sz w:val="24"/>
          <w:szCs w:val="24"/>
          <w:highlight w:val="none"/>
        </w:rPr>
        <w:t>以及</w:t>
      </w:r>
      <w:r>
        <w:rPr>
          <w:rFonts w:hint="eastAsia" w:ascii="宋体" w:hAnsi="宋体" w:cs="宋体"/>
          <w:sz w:val="24"/>
          <w:szCs w:val="24"/>
          <w:highlight w:val="none"/>
          <w:lang w:val="en-US" w:eastAsia="zh-CN"/>
        </w:rPr>
        <w:t>管涵，</w:t>
      </w:r>
      <w:r>
        <w:rPr>
          <w:color w:val="000000"/>
        </w:rPr>
        <w:t>不含单独立项的公路大中修</w:t>
      </w:r>
      <w:r>
        <w:rPr>
          <w:rFonts w:hint="eastAsia"/>
          <w:color w:val="000000"/>
          <w:lang w:val="en-US" w:eastAsia="zh-CN"/>
        </w:rPr>
        <w:t>以及</w:t>
      </w:r>
      <w:r>
        <w:rPr>
          <w:rFonts w:hint="eastAsia" w:ascii="宋体" w:hAnsi="宋体" w:cs="宋体"/>
          <w:szCs w:val="21"/>
        </w:rPr>
        <w:t>因各种自然灾害及突发事件引起的公路通行不畅</w:t>
      </w:r>
      <w:r>
        <w:rPr>
          <w:rFonts w:hint="eastAsia" w:ascii="宋体" w:hAnsi="宋体" w:cs="宋体"/>
          <w:szCs w:val="21"/>
          <w:lang w:val="en-US" w:eastAsia="zh-CN"/>
        </w:rPr>
        <w:t>进行应急抢险</w:t>
      </w:r>
      <w:r>
        <w:rPr>
          <w:rFonts w:hint="eastAsia" w:asciiTheme="minorEastAsia" w:hAnsiTheme="minorEastAsia" w:eastAsiaTheme="minorEastAsia" w:cstheme="minorEastAsia"/>
          <w:i w:val="0"/>
          <w:iCs w:val="0"/>
          <w:caps w:val="0"/>
          <w:color w:val="000000"/>
          <w:spacing w:val="0"/>
          <w:sz w:val="24"/>
          <w:szCs w:val="24"/>
          <w:highlight w:val="none"/>
          <w:lang w:val="en-US" w:eastAsia="zh-CN"/>
        </w:rPr>
        <w:t>（具体详见招标需求）。</w:t>
      </w:r>
    </w:p>
    <w:p w14:paraId="6C1A6AA6">
      <w:pPr>
        <w:pStyle w:val="46"/>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auto"/>
        <w:ind w:left="0" w:right="0" w:firstLine="482" w:firstLineChars="200"/>
        <w:rPr>
          <w:rFonts w:hint="eastAsia" w:asciiTheme="minorEastAsia" w:hAnsiTheme="minorEastAsia" w:eastAsiaTheme="minorEastAsia" w:cstheme="minorEastAsia"/>
          <w:i w:val="0"/>
          <w:iCs w:val="0"/>
          <w:caps w:val="0"/>
          <w:color w:val="000000"/>
          <w:spacing w:val="0"/>
          <w:sz w:val="24"/>
          <w:szCs w:val="24"/>
          <w:lang w:val="en-US" w:eastAsia="zh-CN"/>
        </w:rPr>
      </w:pPr>
      <w:r>
        <w:rPr>
          <w:rStyle w:val="59"/>
          <w:rFonts w:hint="eastAsia" w:ascii="宋体" w:hAnsi="宋体" w:cs="宋体"/>
          <w:b/>
          <w:bCs/>
          <w:kern w:val="0"/>
          <w:sz w:val="24"/>
          <w:szCs w:val="24"/>
        </w:rPr>
        <w:t>第一标段</w:t>
      </w:r>
      <w:r>
        <w:rPr>
          <w:rStyle w:val="59"/>
          <w:rFonts w:hint="eastAsia" w:ascii="宋体" w:hAnsi="宋体" w:cs="宋体"/>
          <w:b/>
          <w:bCs/>
          <w:kern w:val="0"/>
          <w:sz w:val="24"/>
          <w:szCs w:val="24"/>
          <w:lang w:eastAsia="zh-CN"/>
        </w:rPr>
        <w:t>、</w:t>
      </w:r>
      <w:r>
        <w:rPr>
          <w:rStyle w:val="59"/>
          <w:rFonts w:hint="eastAsia" w:ascii="宋体" w:hAnsi="宋体" w:cs="宋体"/>
          <w:b/>
          <w:bCs/>
          <w:kern w:val="0"/>
          <w:sz w:val="24"/>
          <w:szCs w:val="24"/>
        </w:rPr>
        <w:t>第二标段</w:t>
      </w:r>
      <w:r>
        <w:rPr>
          <w:rStyle w:val="59"/>
          <w:rFonts w:hint="eastAsia" w:ascii="宋体" w:hAnsi="宋体" w:cs="宋体"/>
          <w:b/>
          <w:bCs/>
          <w:kern w:val="0"/>
          <w:sz w:val="24"/>
          <w:szCs w:val="24"/>
          <w:lang w:val="en-US" w:eastAsia="zh-CN"/>
        </w:rPr>
        <w:t>：</w:t>
      </w:r>
      <w:r>
        <w:rPr>
          <w:rStyle w:val="59"/>
          <w:rFonts w:hint="eastAsia" w:ascii="宋体" w:hAnsi="宋体" w:cs="宋体"/>
          <w:kern w:val="0"/>
          <w:sz w:val="24"/>
          <w:szCs w:val="24"/>
          <w:lang w:val="en-US" w:eastAsia="zh-CN"/>
        </w:rPr>
        <w:t>自开工令发布之日起至2026年12月31日止</w:t>
      </w:r>
      <w:r>
        <w:rPr>
          <w:rFonts w:hint="eastAsia" w:asciiTheme="minorEastAsia" w:hAnsiTheme="minorEastAsia" w:eastAsiaTheme="minorEastAsia" w:cstheme="minorEastAsia"/>
          <w:i w:val="0"/>
          <w:iCs w:val="0"/>
          <w:caps w:val="0"/>
          <w:color w:val="000000"/>
          <w:spacing w:val="0"/>
          <w:sz w:val="24"/>
          <w:szCs w:val="24"/>
          <w:lang w:val="en-US" w:eastAsia="zh-CN"/>
        </w:rPr>
        <w:t>。</w:t>
      </w:r>
    </w:p>
    <w:p w14:paraId="7A03EF79">
      <w:pPr>
        <w:keepNext w:val="0"/>
        <w:keepLines w:val="0"/>
        <w:pageBreakBefore w:val="0"/>
        <w:numPr>
          <w:ilvl w:val="0"/>
          <w:numId w:val="8"/>
        </w:numPr>
        <w:kinsoku/>
        <w:wordWrap/>
        <w:overflowPunct/>
        <w:topLinePunct w:val="0"/>
        <w:bidi w:val="0"/>
        <w:spacing w:line="360" w:lineRule="auto"/>
        <w:ind w:left="600" w:leftChars="0" w:firstLine="0" w:firstLineChars="0"/>
        <w:jc w:val="left"/>
        <w:rPr>
          <w:rFonts w:hint="eastAsia"/>
          <w:b/>
          <w:sz w:val="24"/>
          <w:szCs w:val="24"/>
        </w:rPr>
      </w:pPr>
      <w:r>
        <w:rPr>
          <w:rFonts w:hint="eastAsia"/>
          <w:b/>
          <w:sz w:val="24"/>
          <w:szCs w:val="24"/>
        </w:rPr>
        <w:t>项目要求</w:t>
      </w:r>
    </w:p>
    <w:p w14:paraId="465AF52B">
      <w:pPr>
        <w:keepNext w:val="0"/>
        <w:keepLines w:val="0"/>
        <w:pageBreakBefore w:val="0"/>
        <w:kinsoku/>
        <w:wordWrap/>
        <w:overflowPunct/>
        <w:topLinePunct w:val="0"/>
        <w:bidi w:val="0"/>
        <w:spacing w:line="360" w:lineRule="auto"/>
        <w:ind w:firstLine="723" w:firstLineChars="300"/>
        <w:textAlignment w:val="baseline"/>
        <w:rPr>
          <w:rStyle w:val="59"/>
          <w:rFonts w:hint="eastAsia" w:ascii="宋体" w:hAnsi="宋体" w:eastAsia="宋体" w:cs="宋体"/>
          <w:kern w:val="0"/>
          <w:sz w:val="24"/>
          <w:szCs w:val="24"/>
          <w:lang w:val="en-US" w:eastAsia="zh-CN"/>
        </w:rPr>
      </w:pPr>
      <w:r>
        <w:rPr>
          <w:rStyle w:val="59"/>
          <w:rFonts w:hint="eastAsia" w:ascii="宋体" w:hAnsi="宋体" w:eastAsia="宋体" w:cs="宋体"/>
          <w:b/>
          <w:bCs/>
          <w:kern w:val="0"/>
          <w:sz w:val="24"/>
          <w:szCs w:val="24"/>
          <w:lang w:val="en-US" w:eastAsia="zh-CN"/>
        </w:rPr>
        <w:t>A：</w:t>
      </w:r>
      <w:r>
        <w:rPr>
          <w:rStyle w:val="59"/>
          <w:rFonts w:hint="eastAsia" w:ascii="宋体" w:hAnsi="宋体" w:eastAsia="宋体" w:cs="宋体"/>
          <w:kern w:val="0"/>
          <w:sz w:val="24"/>
          <w:szCs w:val="24"/>
          <w:lang w:val="en-US" w:eastAsia="zh-CN"/>
        </w:rPr>
        <w:t>人员要求：</w:t>
      </w:r>
    </w:p>
    <w:p w14:paraId="33FE26C5">
      <w:pPr>
        <w:widowControl/>
        <w:spacing w:line="420" w:lineRule="atLeast"/>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项目经理：</w:t>
      </w:r>
      <w:r>
        <w:rPr>
          <w:rFonts w:hint="eastAsia" w:ascii="宋体" w:hAnsi="宋体" w:eastAsia="宋体" w:cs="宋体"/>
          <w:sz w:val="24"/>
          <w:szCs w:val="24"/>
          <w:highlight w:val="none"/>
        </w:rPr>
        <w:t>1、有工程师及以上技术职称；</w:t>
      </w:r>
    </w:p>
    <w:p w14:paraId="4B10C916">
      <w:pPr>
        <w:widowControl/>
        <w:spacing w:line="420" w:lineRule="atLeast"/>
        <w:ind w:firstLine="480" w:firstLineChars="20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2、拟委任项目经理投标截止日未在其他在建合同工程中任项目经理（包括设计施工总承包项目中的施工负责人）。</w:t>
      </w:r>
    </w:p>
    <w:p w14:paraId="4430B3F5">
      <w:pPr>
        <w:keepNext w:val="0"/>
        <w:keepLines w:val="0"/>
        <w:pageBreakBefore w:val="0"/>
        <w:kinsoku/>
        <w:wordWrap/>
        <w:overflowPunct/>
        <w:topLinePunct w:val="0"/>
        <w:bidi w:val="0"/>
        <w:spacing w:line="360" w:lineRule="auto"/>
        <w:ind w:firstLine="723" w:firstLineChars="300"/>
        <w:textAlignment w:val="baseline"/>
        <w:rPr>
          <w:rStyle w:val="59"/>
          <w:rFonts w:hint="eastAsia" w:ascii="宋体" w:hAnsi="宋体" w:eastAsia="宋体" w:cs="宋体"/>
          <w:kern w:val="0"/>
          <w:sz w:val="24"/>
          <w:szCs w:val="24"/>
          <w:lang w:val="en-US" w:eastAsia="zh-CN"/>
        </w:rPr>
      </w:pPr>
      <w:r>
        <w:rPr>
          <w:rStyle w:val="59"/>
          <w:rFonts w:hint="eastAsia" w:ascii="宋体" w:hAnsi="宋体" w:eastAsia="宋体" w:cs="宋体"/>
          <w:b/>
          <w:bCs/>
          <w:kern w:val="0"/>
          <w:sz w:val="24"/>
          <w:szCs w:val="24"/>
          <w:lang w:val="en-US" w:eastAsia="zh-CN"/>
        </w:rPr>
        <w:t>B：</w:t>
      </w:r>
      <w:r>
        <w:rPr>
          <w:rStyle w:val="59"/>
          <w:rFonts w:hint="eastAsia" w:ascii="宋体" w:hAnsi="宋体" w:eastAsia="宋体" w:cs="宋体"/>
          <w:kern w:val="0"/>
          <w:sz w:val="24"/>
          <w:szCs w:val="24"/>
          <w:lang w:val="en-US" w:eastAsia="zh-CN"/>
        </w:rPr>
        <w:t>质量目标：合格 。</w:t>
      </w:r>
    </w:p>
    <w:p w14:paraId="32100A71">
      <w:pPr>
        <w:keepNext w:val="0"/>
        <w:keepLines w:val="0"/>
        <w:pageBreakBefore w:val="0"/>
        <w:kinsoku/>
        <w:wordWrap/>
        <w:overflowPunct/>
        <w:topLinePunct w:val="0"/>
        <w:bidi w:val="0"/>
        <w:spacing w:line="360" w:lineRule="auto"/>
        <w:ind w:firstLine="723" w:firstLineChars="300"/>
        <w:textAlignment w:val="baseline"/>
        <w:rPr>
          <w:rStyle w:val="59"/>
          <w:rFonts w:hint="eastAsia" w:ascii="宋体" w:hAnsi="宋体" w:eastAsia="宋体" w:cs="宋体"/>
          <w:kern w:val="0"/>
          <w:sz w:val="24"/>
          <w:szCs w:val="24"/>
          <w:lang w:val="en-US" w:eastAsia="zh-CN"/>
        </w:rPr>
      </w:pPr>
      <w:r>
        <w:rPr>
          <w:rStyle w:val="59"/>
          <w:rFonts w:hint="eastAsia" w:ascii="宋体" w:hAnsi="宋体" w:eastAsia="宋体" w:cs="宋体"/>
          <w:b/>
          <w:bCs/>
          <w:kern w:val="0"/>
          <w:sz w:val="24"/>
          <w:szCs w:val="24"/>
          <w:lang w:val="en-US" w:eastAsia="zh-CN"/>
        </w:rPr>
        <w:t>C：</w:t>
      </w:r>
      <w:r>
        <w:rPr>
          <w:rStyle w:val="59"/>
          <w:rFonts w:hint="eastAsia" w:ascii="宋体" w:hAnsi="宋体" w:cs="宋体"/>
          <w:kern w:val="0"/>
          <w:sz w:val="24"/>
          <w:szCs w:val="24"/>
          <w:lang w:val="en-US" w:eastAsia="zh-CN"/>
        </w:rPr>
        <w:t>施工</w:t>
      </w:r>
      <w:r>
        <w:rPr>
          <w:rStyle w:val="59"/>
          <w:rFonts w:hint="eastAsia" w:ascii="宋体" w:hAnsi="宋体" w:eastAsia="宋体" w:cs="宋体"/>
          <w:kern w:val="0"/>
          <w:sz w:val="24"/>
          <w:szCs w:val="24"/>
          <w:lang w:val="en-US" w:eastAsia="zh-CN"/>
        </w:rPr>
        <w:t>要求：</w:t>
      </w:r>
    </w:p>
    <w:p w14:paraId="7EDE491E">
      <w:pPr>
        <w:widowControl/>
        <w:numPr>
          <w:ilvl w:val="0"/>
          <w:numId w:val="9"/>
        </w:numPr>
        <w:spacing w:line="420" w:lineRule="atLeast"/>
        <w:ind w:firstLine="482" w:firstLineChars="200"/>
        <w:jc w:val="left"/>
        <w:rPr>
          <w:rFonts w:hint="eastAsia" w:ascii="宋体" w:hAnsi="宋体" w:cs="宋体"/>
          <w:b/>
          <w:bCs/>
          <w:sz w:val="24"/>
          <w:szCs w:val="24"/>
          <w:highlight w:val="none"/>
          <w:lang w:val="en-US" w:eastAsia="zh-CN"/>
        </w:rPr>
      </w:pPr>
      <w:r>
        <w:rPr>
          <w:rFonts w:hint="eastAsia" w:ascii="宋体" w:hAnsi="宋体" w:eastAsia="宋体" w:cs="宋体"/>
          <w:b/>
          <w:bCs/>
          <w:sz w:val="24"/>
          <w:szCs w:val="24"/>
          <w:highlight w:val="none"/>
          <w:lang w:val="en-US" w:eastAsia="zh-CN"/>
        </w:rPr>
        <w:t>小修工程</w:t>
      </w:r>
      <w:r>
        <w:rPr>
          <w:rFonts w:hint="eastAsia" w:ascii="宋体" w:hAnsi="宋体" w:cs="宋体"/>
          <w:b/>
          <w:bCs/>
          <w:sz w:val="24"/>
          <w:szCs w:val="24"/>
          <w:highlight w:val="none"/>
          <w:lang w:val="en-US" w:eastAsia="zh-CN"/>
        </w:rPr>
        <w:t>:</w:t>
      </w:r>
    </w:p>
    <w:p w14:paraId="7E683ABB">
      <w:pPr>
        <w:widowControl/>
        <w:numPr>
          <w:ilvl w:val="0"/>
          <w:numId w:val="0"/>
        </w:numPr>
        <w:spacing w:line="420" w:lineRule="atLeast"/>
        <w:ind w:firstLine="480" w:firstLineChars="20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 按照《公路养护安全作业规程》的要求，配备必要的养护安全作业设备、设施及标识。供应商项目部管理人员应在签订合同后一周内向采购人备案，备案材料应包含任命文件、人员简历及相关资格证明材料。备案人员还应包括项目现场负责人、安全负责人、台账资料负责人。承包人应按照合同承诺和实际作业需要，配置养护人员。</w:t>
      </w:r>
    </w:p>
    <w:p w14:paraId="1F3B7709">
      <w:pPr>
        <w:widowControl/>
        <w:spacing w:line="420" w:lineRule="atLeast"/>
        <w:ind w:firstLine="480" w:firstLineChars="20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2.为安全管理和提高警示作用，养护机械应符合以下要求：</w:t>
      </w:r>
    </w:p>
    <w:p w14:paraId="2B5A1747">
      <w:pPr>
        <w:widowControl/>
        <w:spacing w:line="420" w:lineRule="atLeast"/>
        <w:ind w:firstLine="480" w:firstLineChars="20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（1）专为公路养护施工作业车辆应符合以下规定：</w:t>
      </w:r>
    </w:p>
    <w:p w14:paraId="44B22F1C">
      <w:pPr>
        <w:widowControl/>
        <w:spacing w:line="420" w:lineRule="atLeast"/>
        <w:ind w:firstLine="480" w:firstLineChars="20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a施工车辆车身应统一喷涂桔黄色作为安全示警标识。且按标准安装黄色示警灯；</w:t>
      </w:r>
    </w:p>
    <w:p w14:paraId="1340D672">
      <w:pPr>
        <w:widowControl/>
        <w:spacing w:line="420" w:lineRule="atLeast"/>
        <w:ind w:firstLine="480" w:firstLineChars="20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b施工车辆驾驶室顶部明显处应设置黄色示警灯，对于特殊车辆（驾驶室高度不足），应在其最高部位顶部明显处实施设置，且在车箱板尾部两侧最高处各增设一个黄色示警灯；</w:t>
      </w:r>
    </w:p>
    <w:p w14:paraId="30CE36CF">
      <w:pPr>
        <w:widowControl/>
        <w:spacing w:line="420" w:lineRule="atLeast"/>
        <w:ind w:firstLine="480" w:firstLineChars="20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c对于配备车箱板的施工车辆要在后车箱板悬挂移动性施工作业标志，且标志背面斜插二面红色示警旗，车箱高栏处悬挂施工指示标志（自卸车除外）。</w:t>
      </w:r>
    </w:p>
    <w:p w14:paraId="4669F55C">
      <w:pPr>
        <w:widowControl/>
        <w:spacing w:line="420" w:lineRule="atLeast"/>
        <w:ind w:firstLine="480" w:firstLineChars="20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（2）对于临时性雇用维修服务施工车辆应符合以下规定：</w:t>
      </w:r>
    </w:p>
    <w:p w14:paraId="143A0DB7">
      <w:pPr>
        <w:widowControl/>
        <w:spacing w:line="420" w:lineRule="atLeast"/>
        <w:ind w:firstLine="480" w:firstLineChars="20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施工车辆驾驶室顶部明显处应设置黄色示警灯，对于特殊车辆（驾驶室高度不足），应在其最高部位顶部明显处实施设置，且在车箱板尾部两侧最高处各增设一个黄色示警灯。</w:t>
      </w:r>
    </w:p>
    <w:p w14:paraId="5F05DF71">
      <w:pPr>
        <w:widowControl/>
        <w:spacing w:line="420" w:lineRule="atLeast"/>
        <w:ind w:firstLine="480" w:firstLineChars="20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（3）其他非公路养护施工作业车辆应按有关规定粘贴反光膜或粉刷油漆，悬挂施工作业标志，配置施工作业标志灯。</w:t>
      </w:r>
    </w:p>
    <w:p w14:paraId="29337A46">
      <w:pPr>
        <w:widowControl/>
        <w:spacing w:line="420" w:lineRule="atLeast"/>
        <w:ind w:firstLine="480" w:firstLineChars="20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（4）所有的养护机械在作业前进行检查，保证上路作业和操作期间技术状况良好。</w:t>
      </w:r>
    </w:p>
    <w:p w14:paraId="7EDE999C">
      <w:pPr>
        <w:widowControl/>
        <w:spacing w:line="420" w:lineRule="atLeast"/>
        <w:ind w:firstLine="480" w:firstLineChars="20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养护期间一旦发生与本项目相关安全责任事故时，由供应商负责人负责协调处理事故各项事宜。</w:t>
      </w:r>
    </w:p>
    <w:p w14:paraId="706E9778">
      <w:pPr>
        <w:widowControl/>
        <w:spacing w:line="420" w:lineRule="atLeast"/>
        <w:ind w:firstLine="480" w:firstLineChars="20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4.发包人有权向承包人课以违约金，具体约定如下：</w:t>
      </w:r>
    </w:p>
    <w:p w14:paraId="72804F18">
      <w:pPr>
        <w:widowControl/>
        <w:spacing w:line="420" w:lineRule="atLeast"/>
        <w:ind w:firstLine="480" w:firstLineChars="20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（1）供应商未建立规定台账资料的每发现一次扣款2000元，未及时提交资料台账每延期1天扣100元，发现资料不真实、不齐全的每处扣100元。</w:t>
      </w:r>
    </w:p>
    <w:p w14:paraId="25D01E3B">
      <w:pPr>
        <w:widowControl/>
        <w:spacing w:line="420" w:lineRule="atLeast"/>
        <w:ind w:firstLine="480" w:firstLineChars="20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（2）供应商未经采购人审批擅自变更计划或者没有按照计划执行工作，每发现一次扣款1000元；没有完成计划内容而导致延期的（人力不可抗拒因素除外），每处扣款1000元。</w:t>
      </w:r>
    </w:p>
    <w:p w14:paraId="43C7D53C">
      <w:pPr>
        <w:widowControl/>
        <w:spacing w:line="420" w:lineRule="atLeast"/>
        <w:ind w:firstLine="480" w:firstLineChars="20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（3）未按采购人提出的整改意见整改的或整改不到位的，每发现一次课以违约金2000元；拒不整改的，按合同违约处理。</w:t>
      </w:r>
    </w:p>
    <w:p w14:paraId="0E76C446">
      <w:pPr>
        <w:widowControl/>
        <w:spacing w:line="420" w:lineRule="atLeast"/>
        <w:ind w:firstLine="480" w:firstLineChars="20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按照采购人认可的计划，由于供应商自身原因造成工作延期的，对供应商每处课以2000元违约金；对采购人提出的赶工措施不切实落实整改的，视情每次承包人课以3000-5000元违约金；按照采购人认可的进度计划，由于供应商自身原因造成的连续三个月严重滞后，则对供应商课以合同价1%的违约金处罚。</w:t>
      </w:r>
    </w:p>
    <w:p w14:paraId="24A31F2A">
      <w:pPr>
        <w:widowControl/>
        <w:spacing w:line="420" w:lineRule="atLeast"/>
        <w:ind w:firstLine="480" w:firstLineChars="20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（5）供应商未按规定开展日常小修工作，导致第三方责任事故，由供应商自行负责处理。</w:t>
      </w:r>
    </w:p>
    <w:p w14:paraId="18650C5A">
      <w:pPr>
        <w:widowControl/>
        <w:spacing w:line="420" w:lineRule="atLeast"/>
        <w:ind w:firstLine="480" w:firstLineChars="20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（6）养护作业未做到随产随清：其中公路及桥涵小修施工产生的建筑垃圾未在24小时内完成进行清理，每发现一次扣1000元。</w:t>
      </w:r>
    </w:p>
    <w:p w14:paraId="5D543F8F">
      <w:pPr>
        <w:widowControl/>
        <w:spacing w:line="420" w:lineRule="atLeast"/>
        <w:ind w:firstLine="480" w:firstLineChars="20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7）供应商上报的计量中审核出有弄虚作假、虚报计量情况的，视情节对承包人按该项虚报部分上报计量金额10%～100%处罚；存在计算错误的，按该页计量表中错误项目上报计量金额的5%处罚。所有罚款均在承包人当期计量中扣除。</w:t>
      </w:r>
    </w:p>
    <w:p w14:paraId="54A8BC74">
      <w:pPr>
        <w:widowControl/>
        <w:spacing w:line="420" w:lineRule="atLeast"/>
        <w:ind w:firstLine="480" w:firstLineChars="20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上述（1）-（6）违约金应在支付供应商的款项中扣除，扣除违约金支配权归采购人所有。其他未尽事项，按采购人相关管理规定执行。</w:t>
      </w:r>
    </w:p>
    <w:p w14:paraId="4CB1F830">
      <w:pPr>
        <w:spacing w:line="420" w:lineRule="exact"/>
        <w:ind w:firstLine="482" w:firstLineChars="200"/>
        <w:rPr>
          <w:rFonts w:hint="eastAsia" w:ascii="宋体" w:hAnsi="宋体" w:cs="宋体"/>
          <w:b/>
          <w:bCs/>
          <w:sz w:val="24"/>
          <w:szCs w:val="24"/>
          <w:highlight w:val="none"/>
          <w:lang w:val="en-US" w:eastAsia="zh-CN"/>
        </w:rPr>
      </w:pPr>
      <w:r>
        <w:rPr>
          <w:rFonts w:hint="eastAsia" w:ascii="宋体" w:hAnsi="宋体" w:cs="宋体"/>
          <w:b/>
          <w:bCs/>
          <w:sz w:val="24"/>
          <w:szCs w:val="24"/>
          <w:highlight w:val="none"/>
          <w:lang w:val="en-US" w:eastAsia="zh-CN"/>
        </w:rPr>
        <w:t>b、应急抢修：</w:t>
      </w:r>
    </w:p>
    <w:p w14:paraId="7A4F6DCE">
      <w:pPr>
        <w:widowControl/>
        <w:spacing w:line="420" w:lineRule="atLeast"/>
        <w:ind w:firstLine="480" w:firstLineChars="20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 需及时排除因各种自然灾害及突发事件引起的公路通行不畅，按照《公路养护安全作业规程》的要求，配备必要的养护安全作业设备、设施及标识。应急抢险设备至少配置养护作业车2辆、油锯4把、水泵4组、发电机2组，挖掘机2台，其他小型工器具若干。应急抢险分队必须按要求上岗作业，保持人员的稳定性，按照发包人的指示做好应急抢险工作；在应急抢险工作中，注意保留实施前后的影像资料，并做好各类工程资料的留存和及时归档。供应商项目部管理人员应在签订合同后一周内向采购人备案，备案材料应包含任命文件、人员简历及相关资格证明材料。备案人员还应包括项目现场负责人、安全负责人、台账资料负责人。供应商应按照合同承诺和实际作业需要，配置养护人员（应急抢险人员），并建立养护人员（应急抢险人员）花名册。花名册内容应包括姓名、年龄、身份证号码、联系方式、作业路线、工种等，在第一次养护项目部会议前上报业主备案。承包人所组建的应急分队成员必须保持联系电话24小时通畅，随叫随到。</w:t>
      </w:r>
    </w:p>
    <w:p w14:paraId="5D8CD4A0">
      <w:pPr>
        <w:widowControl/>
        <w:spacing w:line="420" w:lineRule="atLeast"/>
        <w:ind w:firstLine="480" w:firstLineChars="20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2.应急抢险范围：遭受冰雪、强降雨、台风等恶劣天气或公路交通安全事故期间及其他影响交通安全畅通情行。</w:t>
      </w:r>
    </w:p>
    <w:p w14:paraId="48D4E44E">
      <w:pPr>
        <w:widowControl/>
        <w:spacing w:line="420" w:lineRule="atLeast"/>
        <w:ind w:firstLine="480" w:firstLineChars="20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 应急抢险工作时间：恶劣天气期间以及晚上（晚上6点至第二天上午7点），提前做好冷补沥青、碎石、煤渣、工业盐等常用应急抢险物资的储备工作；恶劣天气、突发事件期间建立24小时值班制度，值班地点为嘉兴公路站；恶劣天气应急响应时间不超过20分钟，普通应急处理不超过40分钟。</w:t>
      </w:r>
    </w:p>
    <w:p w14:paraId="509F9C6D">
      <w:pPr>
        <w:widowControl/>
        <w:spacing w:line="420" w:lineRule="atLeast"/>
        <w:ind w:firstLine="480" w:firstLineChars="20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4．采购人指令要求承包人提供抢险物资和机械的承包人需无条件的配合。</w:t>
      </w:r>
    </w:p>
    <w:p w14:paraId="667E1FDE">
      <w:pPr>
        <w:widowControl/>
        <w:spacing w:line="420" w:lineRule="atLeast"/>
        <w:ind w:firstLine="480" w:firstLineChars="20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 采购人将根据需要定期及不定期对应急分队进行演练，承包人应积极配合。</w:t>
      </w:r>
    </w:p>
    <w:p w14:paraId="3C736B1F">
      <w:pPr>
        <w:widowControl/>
        <w:spacing w:line="420" w:lineRule="atLeast"/>
        <w:ind w:firstLine="480" w:firstLineChars="20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 供应商需无条件的配合各类迎检及应急抢险工作，并按需要配备汽吊、挖机、推土机及装载机等机械以备急需。</w:t>
      </w:r>
    </w:p>
    <w:p w14:paraId="76CBA671">
      <w:pPr>
        <w:widowControl/>
        <w:spacing w:line="420" w:lineRule="atLeast"/>
        <w:ind w:firstLine="480" w:firstLineChars="20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7.所有人员必须购买意外伤害保险等。所有车辆必须购买车辆强制保险，必须提供每人与车辆的保单与合同文本。在养护作业施工过程中发生任何安全事故均由供应商独立承担责任，具体参见合同文本。</w:t>
      </w:r>
    </w:p>
    <w:p w14:paraId="7DDFAA55">
      <w:pPr>
        <w:widowControl/>
        <w:spacing w:line="420" w:lineRule="atLeast"/>
        <w:ind w:firstLine="480" w:firstLineChars="20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8.供应商应建立公路、桥梁及各类公路设施破损、缺失情况报告制度及管理人员岗位责任制度。</w:t>
      </w:r>
    </w:p>
    <w:p w14:paraId="621FF56D">
      <w:pPr>
        <w:widowControl/>
        <w:spacing w:line="420" w:lineRule="atLeast"/>
        <w:ind w:firstLine="480" w:firstLineChars="20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9.供应商组建一支应急抢险队伍，成员不少于20人，年龄均在</w:t>
      </w:r>
      <w:r>
        <w:rPr>
          <w:rFonts w:hint="eastAsia" w:ascii="宋体" w:hAnsi="宋体" w:cs="宋体"/>
          <w:sz w:val="24"/>
          <w:szCs w:val="24"/>
          <w:highlight w:val="none"/>
          <w:lang w:val="en-US" w:eastAsia="zh-CN"/>
        </w:rPr>
        <w:t>6</w:t>
      </w:r>
      <w:r>
        <w:rPr>
          <w:rFonts w:hint="eastAsia" w:ascii="宋体" w:hAnsi="宋体" w:eastAsia="宋体" w:cs="宋体"/>
          <w:sz w:val="24"/>
          <w:szCs w:val="24"/>
          <w:highlight w:val="none"/>
          <w:lang w:val="en-US" w:eastAsia="zh-CN"/>
        </w:rPr>
        <w:t>0周岁以内，具有一定的养护作业经验，确定队长和队员及联系方式，于项目部成立时上报发包人。至少2人有车辆驾驶证，1人有特种设备操作证（装载机），按照《公路养护安全作业规程》（JTG H30-2015）的要求，配备必要的养护安全作业设备、设施及标识，并至少配备巡查抢险车一辆，巡查抢险车具有警示灯及反光标识。</w:t>
      </w:r>
    </w:p>
    <w:p w14:paraId="247AB00E">
      <w:pPr>
        <w:widowControl/>
        <w:spacing w:line="420" w:lineRule="atLeast"/>
        <w:ind w:firstLine="480" w:firstLineChars="20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10.三防抢险等：做好三防抢险、突发事件的处理、迎检等联动工作；</w:t>
      </w:r>
    </w:p>
    <w:p w14:paraId="0E0652E3">
      <w:pPr>
        <w:widowControl/>
        <w:spacing w:line="420" w:lineRule="atLeast"/>
        <w:ind w:firstLine="480" w:firstLineChars="20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a在台风、旱涝、冰雪等各种恶劣天气、自然灾害及突发事件后，查看路况，及时向发包人汇报；</w:t>
      </w:r>
    </w:p>
    <w:p w14:paraId="7D38D04D">
      <w:pPr>
        <w:widowControl/>
        <w:spacing w:line="420" w:lineRule="atLeast"/>
        <w:ind w:firstLine="480" w:firstLineChars="20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b对于供应商组建的应急分队，采购人将定期及不定期进行演练，以确保应急分队整体素质，期间承包人应积极配合，全力参与随叫随到。</w:t>
      </w:r>
    </w:p>
    <w:p w14:paraId="393AF91E">
      <w:pPr>
        <w:widowControl/>
        <w:spacing w:line="420" w:lineRule="atLeast"/>
        <w:ind w:firstLine="480" w:firstLineChars="200"/>
        <w:jc w:val="left"/>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11.</w:t>
      </w:r>
      <w:r>
        <w:rPr>
          <w:rFonts w:hint="eastAsia" w:ascii="宋体" w:hAnsi="宋体" w:eastAsia="宋体" w:cs="宋体"/>
          <w:sz w:val="24"/>
          <w:szCs w:val="24"/>
          <w:highlight w:val="none"/>
          <w:lang w:val="en-US" w:eastAsia="zh-CN"/>
        </w:rPr>
        <w:t>应急抢险期间一旦发生与本项目相关安全责任事故时，由供应商负责人负责协调处理事故各项事宜。</w:t>
      </w:r>
    </w:p>
    <w:p w14:paraId="6711F13E">
      <w:pPr>
        <w:widowControl/>
        <w:spacing w:line="420" w:lineRule="atLeast"/>
        <w:ind w:firstLine="480" w:firstLineChars="200"/>
        <w:jc w:val="left"/>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12.</w:t>
      </w:r>
      <w:r>
        <w:rPr>
          <w:rFonts w:hint="eastAsia" w:ascii="宋体" w:hAnsi="宋体" w:eastAsia="宋体" w:cs="宋体"/>
          <w:sz w:val="24"/>
          <w:szCs w:val="24"/>
          <w:highlight w:val="none"/>
          <w:lang w:val="en-US" w:eastAsia="zh-CN"/>
        </w:rPr>
        <w:t>采购人有权向承包人课以违约金，具体约定如下：</w:t>
      </w:r>
    </w:p>
    <w:p w14:paraId="05A73C7B">
      <w:pPr>
        <w:widowControl/>
        <w:spacing w:line="420" w:lineRule="atLeast"/>
        <w:ind w:firstLine="480" w:firstLineChars="20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供应商未建立规定台账资料的每发现一次扣款2000元，未及时提交资料台账的每延期1天扣100元，发现资料不真实、不齐全的每处扣100元；</w:t>
      </w:r>
    </w:p>
    <w:p w14:paraId="50481146">
      <w:pPr>
        <w:widowControl/>
        <w:spacing w:line="420" w:lineRule="atLeast"/>
        <w:ind w:firstLine="480" w:firstLineChars="20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供应商未按规定上报人员备案材料、花名册的，课以违约金1000元；未按规定上报养护人员变更的，课以违约金1000元。</w:t>
      </w:r>
    </w:p>
    <w:p w14:paraId="7D2B0A08">
      <w:pPr>
        <w:widowControl/>
        <w:spacing w:line="420" w:lineRule="atLeast"/>
        <w:ind w:firstLine="480" w:firstLineChars="20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（3）供应商未经发包人审批擅自变更计划或者没有按照计划执行工作，每发现一次扣款1000元；没有完成计划内容而导致延期的（人力不可抗拒因素除外），每处扣款1000元；延期上报计划每延期1天扣100元。</w:t>
      </w:r>
    </w:p>
    <w:p w14:paraId="3224BFBB">
      <w:pPr>
        <w:widowControl/>
        <w:spacing w:line="420" w:lineRule="atLeast"/>
        <w:ind w:firstLine="480" w:firstLineChars="20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（4）供应商未按规定上报路况巡查报告的，每发生一次课以500元违约金，情节严重且无切实整改措施的，按合同违约处理；存在的路况问题，供应商未在路况巡查报告中上报的，每发现一次课以违约金500元。</w:t>
      </w:r>
    </w:p>
    <w:p w14:paraId="6D30D55C">
      <w:pPr>
        <w:widowControl/>
        <w:spacing w:line="420" w:lineRule="atLeast"/>
        <w:ind w:firstLine="480" w:firstLineChars="20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（5）供应商未经发包人同意私自使用发包人设备物资的扣款1000元，如发生损坏或灭失的应照价赔偿。</w:t>
      </w:r>
    </w:p>
    <w:p w14:paraId="7F9F8300">
      <w:pPr>
        <w:widowControl/>
        <w:spacing w:line="420" w:lineRule="atLeast"/>
        <w:ind w:firstLine="480" w:firstLineChars="20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（6）供应商未按规定开展养护作业的，每发现一次课以违约金1000元；未按采购人提出的整改意见整改的或整改不到位的，每发现一次课以违约金2000元；拒不整改的，按合同违约处理。</w:t>
      </w:r>
    </w:p>
    <w:p w14:paraId="7D5BBAE8">
      <w:pPr>
        <w:widowControl/>
        <w:spacing w:line="420" w:lineRule="atLeast"/>
        <w:ind w:firstLine="480" w:firstLineChars="20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（7）供应商未按规定建立养护设备及物资使用台账的，或未及时统计养护设备、物资出入库和使用情况，每项内容课以违约金扣1000元。</w:t>
      </w:r>
    </w:p>
    <w:p w14:paraId="2D911303">
      <w:pPr>
        <w:widowControl/>
        <w:spacing w:line="420" w:lineRule="atLeast"/>
        <w:ind w:firstLine="480" w:firstLineChars="20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（8）未能及时上报计划（或统计）材料或材料不符合规定而退回，则每延期一天课以100元的违约金。材料被退回的，从退回之日起计算。</w:t>
      </w:r>
    </w:p>
    <w:p w14:paraId="185CDA10">
      <w:pPr>
        <w:widowControl/>
        <w:spacing w:line="420" w:lineRule="atLeast"/>
        <w:ind w:firstLine="480" w:firstLineChars="20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9）按照采购人认可的计划，由于供应商自身原因造成工作延期的，对供应商每处课以2000元违约金；对采购人提出的赶工措施不切实落实整改的，视情每次供应商课以3000-5000元违约金；按照采购人认可的进度计划，由于供应商自身原因造成的连续三个月严重滞后，则对供应商课以合同价1%的违约金处罚并当季考核70分以下。</w:t>
      </w:r>
    </w:p>
    <w:p w14:paraId="1AFC7302">
      <w:pPr>
        <w:widowControl/>
        <w:spacing w:line="420" w:lineRule="atLeast"/>
        <w:ind w:firstLine="480" w:firstLineChars="20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（10）供应商未按规定开展应急抢险工作，导致第三方责任事故，由供应商自行负责处理。</w:t>
      </w:r>
    </w:p>
    <w:p w14:paraId="0E438A43">
      <w:pPr>
        <w:widowControl/>
        <w:spacing w:line="420" w:lineRule="atLeast"/>
        <w:ind w:firstLine="480" w:firstLineChars="20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11）供应商上报的计量中审核出有弄虚作假、虚报计量情况的，视情节对承包人按该项虚报部分上报计量金额10%～100%处罚；存在计算错误的，按该页计量表中错误项目上报计量金额的5%处罚。所有罚款均在承包人当期计量中扣除。</w:t>
      </w:r>
    </w:p>
    <w:p w14:paraId="4EB12554">
      <w:pPr>
        <w:widowControl/>
        <w:spacing w:line="420" w:lineRule="atLeast"/>
        <w:ind w:firstLine="480" w:firstLineChars="20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上述（1）-（11）违约金应在支付供应商的款项中扣除，扣除违约金支配权归采购人所有。其他未尽事项，按采购人相关管理规定执行。</w:t>
      </w:r>
    </w:p>
    <w:p w14:paraId="6A3D9EE4">
      <w:pPr>
        <w:keepNext w:val="0"/>
        <w:keepLines w:val="0"/>
        <w:pageBreakBefore w:val="0"/>
        <w:kinsoku/>
        <w:wordWrap/>
        <w:overflowPunct/>
        <w:topLinePunct w:val="0"/>
        <w:bidi w:val="0"/>
        <w:snapToGrid w:val="0"/>
        <w:spacing w:line="360" w:lineRule="auto"/>
        <w:ind w:firstLine="482" w:firstLineChars="200"/>
        <w:rPr>
          <w:rFonts w:hint="eastAsia" w:ascii="Times New Roman" w:hAnsi="Times New Roman"/>
          <w:b/>
          <w:sz w:val="24"/>
          <w:szCs w:val="24"/>
        </w:rPr>
      </w:pPr>
      <w:bookmarkStart w:id="16" w:name="_Toc87888463"/>
      <w:r>
        <w:rPr>
          <w:rFonts w:hint="eastAsia" w:ascii="Times New Roman" w:hAnsi="Times New Roman"/>
          <w:b/>
          <w:sz w:val="24"/>
          <w:szCs w:val="24"/>
          <w:lang w:val="en-US" w:eastAsia="zh-CN"/>
        </w:rPr>
        <w:t>三</w:t>
      </w:r>
      <w:r>
        <w:rPr>
          <w:rFonts w:hint="eastAsia" w:ascii="Times New Roman" w:hAnsi="Times New Roman"/>
          <w:b/>
          <w:sz w:val="24"/>
          <w:szCs w:val="24"/>
        </w:rPr>
        <w:t>、计量与支付</w:t>
      </w:r>
      <w:bookmarkEnd w:id="16"/>
    </w:p>
    <w:p w14:paraId="2AFEA07F">
      <w:pPr>
        <w:keepNext w:val="0"/>
        <w:keepLines w:val="0"/>
        <w:pageBreakBefore w:val="0"/>
        <w:kinsoku/>
        <w:wordWrap/>
        <w:overflowPunct/>
        <w:topLinePunct w:val="0"/>
        <w:bidi w:val="0"/>
        <w:snapToGrid w:val="0"/>
        <w:spacing w:line="360" w:lineRule="auto"/>
        <w:ind w:firstLine="482" w:firstLineChars="200"/>
        <w:rPr>
          <w:rFonts w:hint="eastAsia" w:ascii="Times New Roman" w:hAnsi="Times New Roman" w:eastAsia="宋体"/>
          <w:b/>
          <w:sz w:val="24"/>
          <w:szCs w:val="24"/>
          <w:lang w:val="en-US" w:eastAsia="zh-CN"/>
        </w:rPr>
      </w:pPr>
      <w:r>
        <w:rPr>
          <w:rFonts w:hint="eastAsia" w:ascii="Times New Roman" w:hAnsi="Times New Roman"/>
          <w:b/>
          <w:sz w:val="24"/>
          <w:szCs w:val="24"/>
          <w:lang w:val="en-US" w:eastAsia="zh-CN"/>
        </w:rPr>
        <w:t>小修工程计量：</w:t>
      </w:r>
    </w:p>
    <w:p w14:paraId="4EBAD3F2">
      <w:pPr>
        <w:widowControl/>
        <w:spacing w:line="420" w:lineRule="atLeast"/>
        <w:ind w:firstLine="480" w:firstLineChars="20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按照合同文件、业主相关文件要求，发包人对公路小修实际计量情况组织一次验收，考核验收完成后方可计量支付。承包人凭养护作业任务单、养护作业验收单计量，需要现场确认工程数量的作业，计量时还应附有发包人签认的工程数量确认单。不符合有关规定和计量要求的项目将不予支付。</w:t>
      </w:r>
    </w:p>
    <w:p w14:paraId="1BE4C630">
      <w:pPr>
        <w:widowControl/>
        <w:spacing w:line="420" w:lineRule="atLeast"/>
        <w:ind w:firstLine="480" w:firstLineChars="20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承包人应按发包人指令开展公路小修作业，在指令范围外作业的工作量将不予计量。</w:t>
      </w:r>
    </w:p>
    <w:p w14:paraId="6E040F93">
      <w:pPr>
        <w:widowControl/>
        <w:spacing w:line="420" w:lineRule="atLeast"/>
        <w:ind w:firstLine="480" w:firstLineChars="20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大面积小修（单块50平方米以上或单条线路总面积不少于500平方米）作业计量验收规定：小修施工厚度以发包人现场测量为准，且测量点数不低于每百平方米3个，取加权平均厚度为计量厚度；小修面积以发包人组织计量验收为准。小面积小修作业计量验收规定：厚度：根据承包人施工图片台账等资料，按实计算；小修面积以发包人组织计量验收为准。</w:t>
      </w:r>
    </w:p>
    <w:p w14:paraId="18E27A84">
      <w:pPr>
        <w:keepNext w:val="0"/>
        <w:keepLines w:val="0"/>
        <w:pageBreakBefore w:val="0"/>
        <w:kinsoku/>
        <w:wordWrap/>
        <w:overflowPunct/>
        <w:topLinePunct w:val="0"/>
        <w:bidi w:val="0"/>
        <w:snapToGrid w:val="0"/>
        <w:spacing w:line="360" w:lineRule="auto"/>
        <w:ind w:firstLine="482" w:firstLineChars="200"/>
        <w:rPr>
          <w:rFonts w:hint="eastAsia" w:ascii="Times New Roman" w:hAnsi="Times New Roman" w:cs="Times New Roman"/>
          <w:b/>
          <w:sz w:val="24"/>
          <w:szCs w:val="24"/>
          <w:lang w:val="en-US" w:eastAsia="zh-CN"/>
        </w:rPr>
      </w:pPr>
      <w:r>
        <w:rPr>
          <w:rFonts w:hint="eastAsia" w:ascii="Times New Roman" w:hAnsi="Times New Roman" w:cs="Times New Roman"/>
          <w:b/>
          <w:sz w:val="24"/>
          <w:szCs w:val="24"/>
          <w:lang w:val="en-US" w:eastAsia="zh-CN"/>
        </w:rPr>
        <w:t>应急抢修计量：</w:t>
      </w:r>
    </w:p>
    <w:p w14:paraId="7FFC6BEC">
      <w:pPr>
        <w:keepNext w:val="0"/>
        <w:keepLines w:val="0"/>
        <w:pageBreakBefore w:val="0"/>
        <w:kinsoku/>
        <w:wordWrap/>
        <w:overflowPunct/>
        <w:topLinePunct w:val="0"/>
        <w:bidi w:val="0"/>
        <w:snapToGrid w:val="0"/>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应急抢险日常应急处置（非恶劣天气下白天的公路应急突发事件处置及配合迎检工作等）人工费、突发事件的应急抢险（恶劣天气、突发事件以及夜间的交通事故、路面清理等抢险工作）费用、部分县道交通流量调查费用，分别按实际发生的数量乘以人工费单价计算，人工费单价包含交通工具以及小型机具的使用、劳务费、规费、税金、保险、管理费等一切费用。人工费工日按8小时计算，不足4小时按0.5工日计量，超过4小时不足8小时按1工日计量。</w:t>
      </w:r>
    </w:p>
    <w:p w14:paraId="783A95EA">
      <w:pPr>
        <w:widowControl/>
        <w:spacing w:line="420" w:lineRule="atLeast"/>
        <w:ind w:firstLine="480" w:firstLineChars="200"/>
        <w:jc w:val="left"/>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（2）应急保畅及设备的使用费按月计量。承担全区公路应急保畅应急电话值班（至少2人电话24小时畅通），无条件的配合各类迎检及应急抢险机械设备。</w:t>
      </w:r>
    </w:p>
    <w:p w14:paraId="616C9D38">
      <w:pPr>
        <w:spacing w:line="420" w:lineRule="exact"/>
        <w:ind w:firstLine="482" w:firstLineChars="200"/>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支付：</w:t>
      </w:r>
    </w:p>
    <w:p w14:paraId="653352E4">
      <w:pPr>
        <w:keepNext w:val="0"/>
        <w:keepLines w:val="0"/>
        <w:pageBreakBefore w:val="0"/>
        <w:kinsoku/>
        <w:wordWrap/>
        <w:overflowPunct/>
        <w:topLinePunct w:val="0"/>
        <w:bidi w:val="0"/>
        <w:snapToGrid w:val="0"/>
        <w:spacing w:line="360" w:lineRule="auto"/>
        <w:ind w:firstLine="480" w:firstLineChars="200"/>
        <w:rPr>
          <w:rStyle w:val="59"/>
          <w:rFonts w:hint="eastAsia" w:ascii="宋体" w:hAnsi="宋体" w:cs="宋体"/>
          <w:kern w:val="0"/>
          <w:sz w:val="24"/>
          <w:szCs w:val="24"/>
          <w:lang w:val="en-US" w:eastAsia="zh-CN"/>
        </w:rPr>
      </w:pPr>
      <w:r>
        <w:rPr>
          <w:rStyle w:val="59"/>
          <w:rFonts w:hint="eastAsia" w:ascii="宋体" w:hAnsi="宋体" w:cs="宋体"/>
          <w:kern w:val="0"/>
          <w:sz w:val="24"/>
          <w:szCs w:val="24"/>
          <w:lang w:val="en-US" w:eastAsia="zh-CN"/>
        </w:rPr>
        <w:t>小修工程支付：</w:t>
      </w:r>
    </w:p>
    <w:p w14:paraId="154C30C7">
      <w:pPr>
        <w:widowControl/>
        <w:spacing w:line="420" w:lineRule="atLeast"/>
        <w:ind w:firstLine="480" w:firstLineChars="20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根据实际完成并经发包人验收合格的工程量乘以相应细目单价，按计量支付。质保期为三个月，质保期内出现施工质量问题无条件返工，不及时整改的在下期计量中扣除。注：上述具体支付时间以财政拨款为准。</w:t>
      </w:r>
    </w:p>
    <w:p w14:paraId="06D68140">
      <w:pPr>
        <w:keepNext w:val="0"/>
        <w:keepLines w:val="0"/>
        <w:pageBreakBefore w:val="0"/>
        <w:kinsoku/>
        <w:wordWrap/>
        <w:overflowPunct/>
        <w:topLinePunct w:val="0"/>
        <w:bidi w:val="0"/>
        <w:snapToGrid w:val="0"/>
        <w:spacing w:line="360" w:lineRule="auto"/>
        <w:ind w:firstLine="480" w:firstLineChars="200"/>
        <w:rPr>
          <w:rStyle w:val="59"/>
          <w:rFonts w:hint="eastAsia" w:ascii="宋体" w:hAnsi="宋体" w:cs="宋体"/>
          <w:kern w:val="0"/>
          <w:sz w:val="24"/>
          <w:szCs w:val="24"/>
          <w:lang w:val="en-US" w:eastAsia="zh-CN"/>
        </w:rPr>
      </w:pPr>
    </w:p>
    <w:p w14:paraId="7970FE88">
      <w:pPr>
        <w:keepNext w:val="0"/>
        <w:keepLines w:val="0"/>
        <w:pageBreakBefore w:val="0"/>
        <w:kinsoku/>
        <w:wordWrap/>
        <w:overflowPunct/>
        <w:topLinePunct w:val="0"/>
        <w:bidi w:val="0"/>
        <w:snapToGrid w:val="0"/>
        <w:spacing w:line="360" w:lineRule="auto"/>
        <w:ind w:firstLine="482" w:firstLineChars="200"/>
        <w:rPr>
          <w:rFonts w:hint="eastAsia" w:ascii="Times New Roman" w:hAnsi="Times New Roman" w:cs="Times New Roman"/>
          <w:b/>
          <w:sz w:val="24"/>
          <w:szCs w:val="24"/>
          <w:lang w:val="en-US" w:eastAsia="zh-CN"/>
        </w:rPr>
      </w:pPr>
      <w:r>
        <w:rPr>
          <w:rFonts w:hint="eastAsia" w:ascii="Times New Roman" w:hAnsi="Times New Roman" w:cs="Times New Roman"/>
          <w:b/>
          <w:sz w:val="24"/>
          <w:szCs w:val="24"/>
          <w:lang w:val="en-US" w:eastAsia="zh-CN"/>
        </w:rPr>
        <w:t>应急抢修支付：</w:t>
      </w:r>
    </w:p>
    <w:p w14:paraId="0CF6CBC7">
      <w:pPr>
        <w:widowControl/>
        <w:spacing w:line="420" w:lineRule="atLeast"/>
        <w:ind w:firstLine="480" w:firstLineChars="20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根据实际完成并经发包人确认的工程量乘以相应细目单价，按月计量，按季支付。注：上述具体支付时间以财政拨款为准。</w:t>
      </w:r>
    </w:p>
    <w:p w14:paraId="70EEEE9A">
      <w:pPr>
        <w:spacing w:line="420" w:lineRule="exact"/>
        <w:ind w:firstLine="480" w:firstLineChars="200"/>
        <w:rPr>
          <w:rStyle w:val="59"/>
          <w:rFonts w:hint="eastAsia" w:ascii="宋体" w:hAnsi="宋体" w:eastAsia="宋体" w:cs="宋体"/>
          <w:kern w:val="0"/>
          <w:sz w:val="24"/>
          <w:szCs w:val="24"/>
          <w:lang w:val="en-US" w:eastAsia="zh-CN"/>
        </w:rPr>
      </w:pPr>
    </w:p>
    <w:p w14:paraId="0EEAA076">
      <w:pPr>
        <w:keepNext w:val="0"/>
        <w:keepLines w:val="0"/>
        <w:pageBreakBefore w:val="0"/>
        <w:kinsoku/>
        <w:wordWrap/>
        <w:overflowPunct/>
        <w:topLinePunct w:val="0"/>
        <w:bidi w:val="0"/>
        <w:snapToGrid w:val="0"/>
        <w:spacing w:line="360" w:lineRule="auto"/>
        <w:ind w:firstLine="482" w:firstLineChars="200"/>
        <w:rPr>
          <w:rFonts w:hint="eastAsia" w:ascii="Times New Roman" w:hAnsi="Times New Roman" w:eastAsia="宋体"/>
          <w:b/>
          <w:sz w:val="24"/>
          <w:szCs w:val="24"/>
          <w:lang w:eastAsia="zh-CN"/>
        </w:rPr>
      </w:pPr>
      <w:r>
        <w:rPr>
          <w:rFonts w:hint="eastAsia" w:ascii="Times New Roman" w:hAnsi="Times New Roman"/>
          <w:b/>
          <w:sz w:val="24"/>
          <w:szCs w:val="24"/>
          <w:lang w:val="en-US" w:eastAsia="zh-CN"/>
        </w:rPr>
        <w:t>四</w:t>
      </w:r>
      <w:r>
        <w:rPr>
          <w:rFonts w:hint="eastAsia" w:ascii="Times New Roman" w:hAnsi="Times New Roman"/>
          <w:b/>
          <w:sz w:val="24"/>
          <w:szCs w:val="24"/>
        </w:rPr>
        <w:t>、报价要求</w:t>
      </w:r>
      <w:r>
        <w:rPr>
          <w:rFonts w:hint="eastAsia" w:ascii="Times New Roman" w:hAnsi="Times New Roman"/>
          <w:b/>
          <w:sz w:val="24"/>
          <w:szCs w:val="24"/>
          <w:lang w:eastAsia="zh-CN"/>
        </w:rPr>
        <w:t>：</w:t>
      </w:r>
    </w:p>
    <w:p w14:paraId="2D626AAF">
      <w:pPr>
        <w:keepNext w:val="0"/>
        <w:keepLines w:val="0"/>
        <w:pageBreakBefore w:val="0"/>
        <w:kinsoku/>
        <w:wordWrap/>
        <w:overflowPunct/>
        <w:topLinePunct w:val="0"/>
        <w:autoSpaceDE w:val="0"/>
        <w:autoSpaceDN w:val="0"/>
        <w:bidi w:val="0"/>
        <w:adjustRightInd w:val="0"/>
        <w:spacing w:line="360" w:lineRule="auto"/>
        <w:ind w:firstLine="480" w:firstLineChars="200"/>
        <w:rPr>
          <w:rStyle w:val="59"/>
          <w:rFonts w:hint="eastAsia" w:ascii="宋体" w:hAnsi="宋体" w:cs="宋体"/>
          <w:kern w:val="0"/>
          <w:sz w:val="24"/>
          <w:szCs w:val="24"/>
        </w:rPr>
      </w:pPr>
      <w:r>
        <w:rPr>
          <w:rStyle w:val="59"/>
          <w:rFonts w:hint="eastAsia" w:ascii="宋体" w:hAnsi="宋体" w:cs="宋体"/>
          <w:kern w:val="0"/>
          <w:sz w:val="24"/>
          <w:szCs w:val="24"/>
        </w:rPr>
        <w:t>本工程报价采用全费用单价，包括项目实施所需的一切材料、人工、标准附件、备品备件、专用工具、包装、运输、装卸、保险、货到就位以及安装、调试、培训、保修、利润、税金等完成合同所需的一切本身和不可或缺的所有工作开支、政策性文件规定及合同包含的所有风险、责任等各项全部费用并承担一切风险责任。</w:t>
      </w:r>
    </w:p>
    <w:p w14:paraId="071870AF">
      <w:pPr>
        <w:keepNext w:val="0"/>
        <w:keepLines w:val="0"/>
        <w:pageBreakBefore w:val="0"/>
        <w:kinsoku/>
        <w:wordWrap/>
        <w:overflowPunct/>
        <w:topLinePunct w:val="0"/>
        <w:bidi w:val="0"/>
        <w:snapToGrid w:val="0"/>
        <w:spacing w:line="360" w:lineRule="auto"/>
        <w:ind w:firstLine="482" w:firstLineChars="200"/>
        <w:rPr>
          <w:rFonts w:ascii="Times New Roman" w:hAnsi="Times New Roman"/>
          <w:b/>
          <w:sz w:val="24"/>
          <w:szCs w:val="24"/>
        </w:rPr>
      </w:pPr>
      <w:r>
        <w:rPr>
          <w:rFonts w:hint="eastAsia" w:ascii="Times New Roman" w:hAnsi="Times New Roman"/>
          <w:b/>
          <w:sz w:val="24"/>
          <w:szCs w:val="24"/>
          <w:lang w:val="en-US" w:eastAsia="zh-CN"/>
        </w:rPr>
        <w:t>五</w:t>
      </w:r>
      <w:r>
        <w:rPr>
          <w:rFonts w:hint="eastAsia" w:ascii="Times New Roman" w:hAnsi="Times New Roman"/>
          <w:b/>
          <w:sz w:val="24"/>
          <w:szCs w:val="24"/>
        </w:rPr>
        <w:t>、付款条件</w:t>
      </w:r>
    </w:p>
    <w:p w14:paraId="7013FAF3">
      <w:pPr>
        <w:keepNext w:val="0"/>
        <w:keepLines w:val="0"/>
        <w:pageBreakBefore w:val="0"/>
        <w:kinsoku/>
        <w:wordWrap/>
        <w:overflowPunct/>
        <w:topLinePunct w:val="0"/>
        <w:autoSpaceDE w:val="0"/>
        <w:autoSpaceDN w:val="0"/>
        <w:bidi w:val="0"/>
        <w:adjustRightInd w:val="0"/>
        <w:spacing w:line="360" w:lineRule="auto"/>
        <w:ind w:firstLine="480" w:firstLineChars="200"/>
        <w:rPr>
          <w:rStyle w:val="59"/>
          <w:rFonts w:ascii="宋体" w:hAnsi="宋体" w:cs="宋体"/>
          <w:kern w:val="0"/>
          <w:sz w:val="24"/>
          <w:szCs w:val="24"/>
          <w:highlight w:val="none"/>
        </w:rPr>
      </w:pPr>
      <w:r>
        <w:rPr>
          <w:rStyle w:val="59"/>
          <w:rFonts w:hint="eastAsia" w:ascii="宋体" w:hAnsi="宋体" w:cs="宋体"/>
          <w:kern w:val="0"/>
          <w:sz w:val="24"/>
          <w:szCs w:val="24"/>
        </w:rPr>
        <w:t>根据《浙江省财政厅关于进一步发挥政府采购政策功能全力推动经济稳进提质的通知》[浙财采监〔2022〕3号]规定：进一步提高政府采购预付款比例。采购单位应当在政府采购合同中约定预付款，对中小企业合同预付款比例原则上不低于合同金额的40%，不高于合同金额的70%；项目分年安排预算的，每年预付款比例不低于项目年底计划支付资金额的40%，不高于年度计划支付资金额的70%；采购项目实施以人工投入为主的，可适当降低预付款比例，但不得低于20%。对供应商为大型企业的项目或者以人工投入为主且实行按月定期结算支付款项的项目，预付款比例可低于上述比例或者不约定预付款。在签订合同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7</w:t>
      </w:r>
      <w:r>
        <w:rPr>
          <w:rStyle w:val="59"/>
          <w:rFonts w:hint="eastAsia" w:ascii="宋体" w:hAnsi="宋体" w:cs="宋体"/>
          <w:kern w:val="0"/>
          <w:sz w:val="24"/>
          <w:szCs w:val="24"/>
          <w:highlight w:val="none"/>
        </w:rPr>
        <w:t>个工作日内支付。政府采购工程以及与工程建设有关的货物、服务，采用招标方式采购的，预付款从其相关规定。</w:t>
      </w:r>
    </w:p>
    <w:p w14:paraId="0D7034E7">
      <w:pPr>
        <w:keepNext w:val="0"/>
        <w:keepLines w:val="0"/>
        <w:pageBreakBefore w:val="0"/>
        <w:kinsoku/>
        <w:wordWrap/>
        <w:overflowPunct/>
        <w:topLinePunct w:val="0"/>
        <w:autoSpaceDE w:val="0"/>
        <w:autoSpaceDN w:val="0"/>
        <w:bidi w:val="0"/>
        <w:adjustRightInd w:val="0"/>
        <w:spacing w:line="360" w:lineRule="auto"/>
        <w:ind w:firstLine="480" w:firstLineChars="200"/>
        <w:rPr>
          <w:rStyle w:val="59"/>
          <w:rFonts w:ascii="宋体" w:hAnsi="宋体" w:cs="宋体"/>
          <w:kern w:val="0"/>
          <w:sz w:val="24"/>
          <w:szCs w:val="24"/>
          <w:highlight w:val="none"/>
        </w:rPr>
      </w:pPr>
      <w:r>
        <w:rPr>
          <w:rStyle w:val="59"/>
          <w:rFonts w:hint="eastAsia" w:ascii="宋体" w:hAnsi="宋体" w:cs="宋体"/>
          <w:kern w:val="0"/>
          <w:sz w:val="24"/>
          <w:szCs w:val="24"/>
          <w:highlight w:val="none"/>
        </w:rPr>
        <w:t>每个</w:t>
      </w:r>
      <w:r>
        <w:rPr>
          <w:rStyle w:val="59"/>
          <w:rFonts w:hint="eastAsia" w:ascii="宋体" w:hAnsi="宋体" w:cs="宋体"/>
          <w:kern w:val="0"/>
          <w:sz w:val="24"/>
          <w:szCs w:val="24"/>
          <w:highlight w:val="none"/>
          <w:lang w:val="en-US" w:eastAsia="zh-CN"/>
        </w:rPr>
        <w:t>标项</w:t>
      </w:r>
      <w:r>
        <w:rPr>
          <w:rStyle w:val="59"/>
          <w:rFonts w:hint="eastAsia" w:ascii="宋体" w:hAnsi="宋体" w:cs="宋体"/>
          <w:kern w:val="0"/>
          <w:sz w:val="24"/>
          <w:szCs w:val="24"/>
          <w:highlight w:val="none"/>
        </w:rPr>
        <w:t>的单价以中标单位该项报价作为支付工程款的结算依据。</w:t>
      </w:r>
    </w:p>
    <w:p w14:paraId="716888B1">
      <w:pPr>
        <w:pStyle w:val="23"/>
        <w:keepNext w:val="0"/>
        <w:keepLines w:val="0"/>
        <w:pageBreakBefore w:val="0"/>
        <w:numPr>
          <w:ilvl w:val="0"/>
          <w:numId w:val="10"/>
        </w:numPr>
        <w:kinsoku/>
        <w:wordWrap/>
        <w:overflowPunct/>
        <w:topLinePunct w:val="0"/>
        <w:bidi w:val="0"/>
        <w:spacing w:line="360" w:lineRule="auto"/>
        <w:ind w:firstLine="482" w:firstLineChars="200"/>
        <w:rPr>
          <w:rFonts w:hint="eastAsia" w:ascii="Calibri" w:hAnsi="宋体" w:cs="宋体"/>
          <w:b/>
          <w:kern w:val="2"/>
          <w:sz w:val="24"/>
          <w:szCs w:val="24"/>
          <w:highlight w:val="none"/>
          <w:lang w:val="en-US" w:eastAsia="zh-CN" w:bidi="ar-SA"/>
        </w:rPr>
      </w:pPr>
      <w:bookmarkStart w:id="17" w:name="_Toc180568591"/>
      <w:bookmarkStart w:id="18" w:name="_Toc179792966"/>
      <w:bookmarkStart w:id="19" w:name="_Toc180920459"/>
      <w:bookmarkStart w:id="20" w:name="_Toc287853500"/>
      <w:bookmarkStart w:id="21" w:name="_Toc224736543"/>
      <w:bookmarkStart w:id="22" w:name="_Toc179792510"/>
      <w:bookmarkStart w:id="23" w:name="_Toc180565104"/>
      <w:bookmarkStart w:id="24" w:name="_Toc179952905"/>
      <w:bookmarkStart w:id="25" w:name="_Toc282779659"/>
      <w:bookmarkStart w:id="26" w:name="_Toc283794347"/>
      <w:bookmarkStart w:id="27" w:name="_Toc169592732"/>
      <w:bookmarkStart w:id="28" w:name="_Toc288546800"/>
      <w:bookmarkStart w:id="29" w:name="_Toc282779150"/>
      <w:bookmarkStart w:id="30" w:name="_Toc179793407"/>
      <w:bookmarkStart w:id="31" w:name="_Toc169588328"/>
      <w:bookmarkStart w:id="32" w:name="_Toc282787614"/>
      <w:bookmarkStart w:id="33" w:name="_Toc288491676"/>
      <w:bookmarkStart w:id="34" w:name="_Toc179965860"/>
      <w:bookmarkStart w:id="35" w:name="_Toc172340654"/>
      <w:bookmarkStart w:id="36" w:name="_Toc179855517"/>
      <w:r>
        <w:rPr>
          <w:rFonts w:hint="eastAsia" w:ascii="Calibri" w:hAnsi="宋体" w:cs="宋体"/>
          <w:b/>
          <w:kern w:val="2"/>
          <w:sz w:val="24"/>
          <w:szCs w:val="24"/>
          <w:highlight w:val="none"/>
          <w:lang w:val="en-US" w:eastAsia="zh-CN" w:bidi="ar-SA"/>
        </w:rPr>
        <w:t>工程量清单</w:t>
      </w:r>
    </w:p>
    <w:p w14:paraId="3FE83226">
      <w:pPr>
        <w:pStyle w:val="23"/>
        <w:keepNext w:val="0"/>
        <w:keepLines w:val="0"/>
        <w:pageBreakBefore w:val="0"/>
        <w:kinsoku/>
        <w:wordWrap/>
        <w:overflowPunct/>
        <w:topLinePunct w:val="0"/>
        <w:bidi w:val="0"/>
        <w:spacing w:line="360" w:lineRule="auto"/>
        <w:ind w:firstLine="482" w:firstLineChars="200"/>
        <w:rPr>
          <w:rFonts w:hint="default" w:ascii="Calibri" w:hAnsi="宋体" w:cs="宋体"/>
          <w:b/>
          <w:kern w:val="2"/>
          <w:sz w:val="24"/>
          <w:szCs w:val="24"/>
          <w:highlight w:val="none"/>
          <w:lang w:val="en-US" w:eastAsia="zh-CN" w:bidi="ar-SA"/>
        </w:rPr>
      </w:pPr>
      <w:r>
        <w:rPr>
          <w:rFonts w:hint="eastAsia" w:ascii="Calibri" w:hAnsi="宋体" w:eastAsia="宋体" w:cs="宋体"/>
          <w:b/>
          <w:kern w:val="2"/>
          <w:sz w:val="24"/>
          <w:szCs w:val="24"/>
          <w:highlight w:val="none"/>
          <w:lang w:val="en-US" w:eastAsia="zh-CN" w:bidi="ar-SA"/>
        </w:rPr>
        <w:t>第一标段：</w:t>
      </w:r>
      <w:r>
        <w:rPr>
          <w:rStyle w:val="59"/>
          <w:rFonts w:hint="eastAsia" w:ascii="宋体" w:hAnsi="宋体" w:eastAsia="宋体" w:cs="宋体"/>
          <w:b w:val="0"/>
          <w:bCs w:val="0"/>
          <w:kern w:val="0"/>
          <w:sz w:val="24"/>
          <w:szCs w:val="24"/>
          <w:highlight w:val="none"/>
        </w:rPr>
        <w:t>工程量清单</w:t>
      </w:r>
    </w:p>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14:paraId="74042D8B">
      <w:pPr>
        <w:outlineLvl w:val="0"/>
        <w:rPr>
          <w:rFonts w:hint="eastAsia" w:ascii="宋体" w:hAnsi="宋体"/>
          <w:b/>
          <w:bCs/>
          <w:sz w:val="24"/>
        </w:rPr>
      </w:pPr>
      <w:bookmarkStart w:id="37" w:name="_Toc496620377"/>
      <w:bookmarkStart w:id="38" w:name="_Toc87531971"/>
      <w:bookmarkStart w:id="39" w:name="_Toc11067540"/>
      <w:r>
        <w:rPr>
          <w:rFonts w:hint="eastAsia" w:ascii="宋体" w:hAnsi="宋体"/>
          <w:b/>
          <w:bCs/>
          <w:sz w:val="24"/>
        </w:rPr>
        <w:t>1．工程量清单说明</w:t>
      </w:r>
      <w:bookmarkEnd w:id="37"/>
      <w:bookmarkEnd w:id="38"/>
    </w:p>
    <w:p w14:paraId="3CBE0042">
      <w:pPr>
        <w:widowControl/>
        <w:numPr>
          <w:ilvl w:val="0"/>
          <w:numId w:val="11"/>
        </w:numPr>
        <w:shd w:val="clear" w:color="FFFFFF" w:fill="FFFFFF"/>
        <w:tabs>
          <w:tab w:val="left" w:pos="360"/>
        </w:tabs>
        <w:spacing w:line="420" w:lineRule="exact"/>
        <w:ind w:firstLine="420" w:firstLineChars="200"/>
        <w:jc w:val="left"/>
        <w:rPr>
          <w:kern w:val="0"/>
          <w:szCs w:val="21"/>
        </w:rPr>
      </w:pPr>
      <w:bookmarkStart w:id="40" w:name="_Toc373147109"/>
      <w:bookmarkStart w:id="41" w:name="_Toc282784935"/>
      <w:bookmarkStart w:id="42" w:name="_Toc282787615"/>
      <w:bookmarkStart w:id="43" w:name="_Toc288546289"/>
      <w:bookmarkStart w:id="44" w:name="_Toc373399869"/>
      <w:bookmarkStart w:id="45" w:name="_Toc288546801"/>
      <w:bookmarkStart w:id="46" w:name="_Toc20795"/>
      <w:bookmarkStart w:id="47" w:name="_Toc373132375"/>
      <w:bookmarkStart w:id="48" w:name="_Toc373494744"/>
      <w:bookmarkStart w:id="49" w:name="_Toc282779151"/>
      <w:bookmarkStart w:id="50" w:name="_Toc372886131"/>
      <w:bookmarkStart w:id="51" w:name="_Toc282779660"/>
      <w:bookmarkStart w:id="52" w:name="_Toc373401438"/>
      <w:bookmarkStart w:id="53" w:name="_Toc372902097"/>
      <w:bookmarkStart w:id="54" w:name="_Toc373348552"/>
      <w:bookmarkStart w:id="55" w:name="_Toc288491677"/>
      <w:bookmarkStart w:id="56" w:name="_Toc372885951"/>
      <w:bookmarkStart w:id="57" w:name="_Toc283794348"/>
      <w:bookmarkStart w:id="58" w:name="_Toc287853501"/>
      <w:r>
        <w:rPr>
          <w:rFonts w:eastAsia="黑体"/>
          <w:kern w:val="0"/>
          <w:szCs w:val="21"/>
        </w:rPr>
        <w:t>1.1</w:t>
      </w:r>
      <w:r>
        <w:rPr>
          <w:rFonts w:hint="eastAsia" w:ascii="黑体" w:eastAsia="黑体"/>
          <w:kern w:val="0"/>
          <w:szCs w:val="21"/>
        </w:rPr>
        <w:t xml:space="preserve">  </w:t>
      </w:r>
      <w:r>
        <w:rPr>
          <w:rFonts w:hint="eastAsia" w:ascii="宋体" w:hAnsi="宋体"/>
          <w:kern w:val="0"/>
          <w:szCs w:val="21"/>
        </w:rPr>
        <w:t>本</w:t>
      </w:r>
      <w:r>
        <w:rPr>
          <w:rFonts w:ascii="宋体" w:hAnsi="宋体"/>
          <w:kern w:val="0"/>
          <w:szCs w:val="21"/>
        </w:rPr>
        <w:t>工程量清单</w:t>
      </w:r>
      <w:r>
        <w:rPr>
          <w:rFonts w:hint="eastAsia" w:ascii="宋体" w:hAnsi="宋体"/>
          <w:kern w:val="0"/>
          <w:szCs w:val="21"/>
        </w:rPr>
        <w:t>是根据招标文件中包括的、有合同约束力的图纸以及有关工程量清单的国家标准、地方标准、行业标准、合同条款中约定的工程量计算规则编制；</w:t>
      </w:r>
      <w:r>
        <w:rPr>
          <w:rFonts w:hAnsi="宋体"/>
          <w:kern w:val="0"/>
          <w:szCs w:val="21"/>
        </w:rPr>
        <w:t>依据浙江省《交通养护工程工程量清单计价规范》（</w:t>
      </w:r>
      <w:r>
        <w:rPr>
          <w:kern w:val="0"/>
          <w:szCs w:val="21"/>
        </w:rPr>
        <w:t>DB33/T751-2009</w:t>
      </w:r>
      <w:r>
        <w:rPr>
          <w:rFonts w:hAnsi="宋体"/>
          <w:kern w:val="0"/>
          <w:szCs w:val="21"/>
        </w:rPr>
        <w:t>）</w:t>
      </w:r>
      <w:r>
        <w:rPr>
          <w:rFonts w:hAnsi="宋体"/>
          <w:bCs/>
          <w:kern w:val="0"/>
          <w:szCs w:val="21"/>
        </w:rPr>
        <w:t>第一部分</w:t>
      </w:r>
      <w:r>
        <w:rPr>
          <w:rFonts w:hint="eastAsia"/>
          <w:bCs/>
          <w:kern w:val="0"/>
          <w:szCs w:val="21"/>
        </w:rPr>
        <w:t xml:space="preserve"> “</w:t>
      </w:r>
      <w:r>
        <w:rPr>
          <w:rFonts w:hAnsi="宋体"/>
          <w:bCs/>
          <w:kern w:val="0"/>
          <w:szCs w:val="21"/>
        </w:rPr>
        <w:t>公路小修保养工程工程量清单计价规范</w:t>
      </w:r>
      <w:r>
        <w:rPr>
          <w:rFonts w:hint="eastAsia"/>
          <w:bCs/>
          <w:kern w:val="0"/>
          <w:szCs w:val="21"/>
        </w:rPr>
        <w:t>”</w:t>
      </w:r>
      <w:r>
        <w:rPr>
          <w:rFonts w:hAnsi="宋体"/>
          <w:bCs/>
          <w:kern w:val="0"/>
          <w:szCs w:val="21"/>
        </w:rPr>
        <w:t xml:space="preserve"> 中</w:t>
      </w:r>
      <w:r>
        <w:rPr>
          <w:rFonts w:hint="eastAsia" w:hAnsi="宋体"/>
          <w:bCs/>
          <w:kern w:val="0"/>
          <w:szCs w:val="21"/>
        </w:rPr>
        <w:t>的</w:t>
      </w:r>
      <w:r>
        <w:rPr>
          <w:rFonts w:hAnsi="宋体"/>
          <w:kern w:val="0"/>
          <w:szCs w:val="21"/>
        </w:rPr>
        <w:t>工程量清单计价、工程量清单计价格式和计价要求等进行编制</w:t>
      </w:r>
      <w:r>
        <w:rPr>
          <w:rFonts w:hint="eastAsia" w:hAnsi="宋体"/>
          <w:kern w:val="0"/>
          <w:szCs w:val="21"/>
        </w:rPr>
        <w:t>。</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5AB518A7">
      <w:pPr>
        <w:spacing w:line="420" w:lineRule="exact"/>
        <w:ind w:firstLine="420" w:firstLineChars="200"/>
        <w:jc w:val="left"/>
        <w:rPr>
          <w:rFonts w:hint="eastAsia"/>
          <w:szCs w:val="21"/>
        </w:rPr>
      </w:pPr>
      <w:r>
        <w:rPr>
          <w:szCs w:val="21"/>
        </w:rPr>
        <w:t>1.2  本工程量清单应与招标文件中的投标人须知、通用合同条款、</w:t>
      </w:r>
      <w:r>
        <w:rPr>
          <w:rFonts w:hint="eastAsia"/>
          <w:szCs w:val="21"/>
        </w:rPr>
        <w:t>项目</w:t>
      </w:r>
      <w:r>
        <w:rPr>
          <w:szCs w:val="21"/>
        </w:rPr>
        <w:t>专用合同条款、技术规范等一起阅读和理解</w:t>
      </w:r>
      <w:r>
        <w:rPr>
          <w:rFonts w:hint="eastAsia"/>
          <w:szCs w:val="21"/>
        </w:rPr>
        <w:t>。</w:t>
      </w:r>
    </w:p>
    <w:p w14:paraId="449D134E">
      <w:pPr>
        <w:spacing w:line="420" w:lineRule="exact"/>
        <w:ind w:firstLine="420" w:firstLineChars="200"/>
        <w:rPr>
          <w:rFonts w:hint="eastAsia"/>
          <w:szCs w:val="21"/>
        </w:rPr>
      </w:pPr>
      <w:r>
        <w:rPr>
          <w:szCs w:val="21"/>
        </w:rPr>
        <w:t>1.3  本工程量清单中所列</w:t>
      </w:r>
      <w:r>
        <w:rPr>
          <w:rFonts w:hint="eastAsia"/>
          <w:szCs w:val="21"/>
        </w:rPr>
        <w:t>“一类项目”（指工程量清单第1000章中项目名称）</w:t>
      </w:r>
      <w:r>
        <w:rPr>
          <w:szCs w:val="21"/>
        </w:rPr>
        <w:t>工程量是</w:t>
      </w:r>
      <w:r>
        <w:rPr>
          <w:rFonts w:hint="eastAsia"/>
          <w:szCs w:val="21"/>
        </w:rPr>
        <w:t>根据实际情况确定的工程数量；“二类项目”（指工程量清单第100章</w:t>
      </w:r>
      <w:r>
        <w:rPr>
          <w:szCs w:val="21"/>
        </w:rPr>
        <w:t>~</w:t>
      </w:r>
      <w:r>
        <w:rPr>
          <w:rFonts w:hint="eastAsia"/>
          <w:szCs w:val="21"/>
        </w:rPr>
        <w:t>第700章中子目名称）工程量为暂定的工程数量，是</w:t>
      </w:r>
      <w:r>
        <w:rPr>
          <w:szCs w:val="21"/>
        </w:rPr>
        <w:t>估算的或</w:t>
      </w:r>
      <w:r>
        <w:rPr>
          <w:rFonts w:hint="eastAsia"/>
          <w:szCs w:val="21"/>
        </w:rPr>
        <w:t>是</w:t>
      </w:r>
      <w:r>
        <w:rPr>
          <w:szCs w:val="21"/>
        </w:rPr>
        <w:t>预计的数量，仅作为投标报价的共同基础，不能作为最终结算与支付的依据</w:t>
      </w:r>
      <w:r>
        <w:rPr>
          <w:rFonts w:hint="eastAsia"/>
          <w:szCs w:val="21"/>
        </w:rPr>
        <w:t>，</w:t>
      </w:r>
      <w:r>
        <w:rPr>
          <w:szCs w:val="21"/>
        </w:rPr>
        <w:t>实际支付应按</w:t>
      </w:r>
      <w:r>
        <w:rPr>
          <w:rFonts w:hint="eastAsia"/>
          <w:szCs w:val="21"/>
        </w:rPr>
        <w:t>承包人</w:t>
      </w:r>
      <w:r>
        <w:rPr>
          <w:szCs w:val="21"/>
        </w:rPr>
        <w:t>完成的实际工程量，由承包人按技术规范规定的计量方法，以</w:t>
      </w:r>
      <w:r>
        <w:rPr>
          <w:rFonts w:hint="eastAsia"/>
          <w:szCs w:val="21"/>
        </w:rPr>
        <w:t>发包</w:t>
      </w:r>
      <w:r>
        <w:rPr>
          <w:szCs w:val="21"/>
        </w:rPr>
        <w:t>人认可的尺寸、断面计量，按本工程量清单的单价和总额价计算支付金额；或者根据具体情况，按合同条款第15.4款的规定，由</w:t>
      </w:r>
      <w:r>
        <w:rPr>
          <w:rFonts w:hint="eastAsia"/>
          <w:szCs w:val="21"/>
        </w:rPr>
        <w:t>发包</w:t>
      </w:r>
      <w:r>
        <w:rPr>
          <w:szCs w:val="21"/>
        </w:rPr>
        <w:t>人确定的单价或总额价计算支付额。</w:t>
      </w:r>
    </w:p>
    <w:p w14:paraId="2B8AD8FE">
      <w:pPr>
        <w:spacing w:line="420" w:lineRule="exact"/>
        <w:ind w:firstLine="420" w:firstLineChars="200"/>
        <w:rPr>
          <w:rFonts w:hint="eastAsia"/>
          <w:szCs w:val="21"/>
        </w:rPr>
      </w:pPr>
      <w:r>
        <w:rPr>
          <w:rFonts w:hint="eastAsia"/>
          <w:szCs w:val="21"/>
        </w:rPr>
        <w:t xml:space="preserve">1.4  </w:t>
      </w:r>
      <w:r>
        <w:rPr>
          <w:szCs w:val="21"/>
        </w:rPr>
        <w:t>工程量清单</w:t>
      </w:r>
      <w:r>
        <w:rPr>
          <w:rFonts w:hint="eastAsia"/>
          <w:szCs w:val="21"/>
        </w:rPr>
        <w:t>各章是按第七章“技术规范”的相应章次编号的，“技术规范” 中计量与支付条款中的“支付子目”里所标注的“相应计价规范子目”栏的子目编号，即与</w:t>
      </w:r>
      <w:r>
        <w:rPr>
          <w:rFonts w:hAnsi="宋体"/>
          <w:szCs w:val="21"/>
        </w:rPr>
        <w:t>《交通养护工程工程量清单计价规范》</w:t>
      </w:r>
      <w:r>
        <w:rPr>
          <w:rFonts w:hAnsi="宋体"/>
          <w:bCs/>
          <w:szCs w:val="21"/>
        </w:rPr>
        <w:t>第一部分中</w:t>
      </w:r>
      <w:r>
        <w:rPr>
          <w:rFonts w:hint="eastAsia"/>
          <w:bCs/>
          <w:szCs w:val="21"/>
        </w:rPr>
        <w:t>“</w:t>
      </w:r>
      <w:r>
        <w:rPr>
          <w:rFonts w:hAnsi="宋体"/>
          <w:bCs/>
          <w:szCs w:val="21"/>
        </w:rPr>
        <w:t>公路小修保养工程工程量清单计价规范</w:t>
      </w:r>
      <w:r>
        <w:rPr>
          <w:rFonts w:hint="eastAsia"/>
          <w:bCs/>
          <w:szCs w:val="21"/>
        </w:rPr>
        <w:t>”</w:t>
      </w:r>
      <w:r>
        <w:rPr>
          <w:rFonts w:hint="eastAsia"/>
          <w:szCs w:val="21"/>
        </w:rPr>
        <w:t>的相应细目号相衔接。因此，工程量清单中各章工程子目的范围与计量等应与“技术规范”及</w:t>
      </w:r>
      <w:r>
        <w:rPr>
          <w:rFonts w:hint="eastAsia"/>
          <w:bCs/>
          <w:szCs w:val="21"/>
        </w:rPr>
        <w:t>“</w:t>
      </w:r>
      <w:r>
        <w:rPr>
          <w:rFonts w:hAnsi="宋体"/>
          <w:bCs/>
          <w:szCs w:val="21"/>
        </w:rPr>
        <w:t>公路小修保养工程工程量清单计价规范</w:t>
      </w:r>
      <w:r>
        <w:rPr>
          <w:rFonts w:hint="eastAsia"/>
          <w:bCs/>
          <w:szCs w:val="21"/>
        </w:rPr>
        <w:t>”</w:t>
      </w:r>
      <w:r>
        <w:rPr>
          <w:rFonts w:hint="eastAsia"/>
          <w:szCs w:val="21"/>
        </w:rPr>
        <w:t>的相应细目的范围、计量与支付条款结合起来理解或解释。</w:t>
      </w:r>
    </w:p>
    <w:p w14:paraId="5406F9B8">
      <w:pPr>
        <w:spacing w:line="420" w:lineRule="exact"/>
        <w:ind w:firstLine="420" w:firstLineChars="200"/>
        <w:rPr>
          <w:rFonts w:hint="eastAsia"/>
          <w:szCs w:val="21"/>
        </w:rPr>
      </w:pPr>
      <w:r>
        <w:rPr>
          <w:rFonts w:hint="eastAsia"/>
          <w:szCs w:val="21"/>
        </w:rPr>
        <w:t>1.5  对养护作业和材料的一般说明或规定，未重复写入工程量清单内，在给工程量</w:t>
      </w:r>
      <w:r>
        <w:rPr>
          <w:szCs w:val="21"/>
        </w:rPr>
        <w:t>清单</w:t>
      </w:r>
      <w:r>
        <w:rPr>
          <w:rFonts w:hint="eastAsia"/>
          <w:szCs w:val="21"/>
        </w:rPr>
        <w:t>各子目标价前，应参阅第七章“技术规范”的有关内容。</w:t>
      </w:r>
    </w:p>
    <w:p w14:paraId="152F8FC5">
      <w:pPr>
        <w:spacing w:line="420" w:lineRule="exact"/>
        <w:ind w:firstLine="420" w:firstLineChars="200"/>
        <w:rPr>
          <w:rFonts w:hint="eastAsia"/>
          <w:szCs w:val="21"/>
        </w:rPr>
      </w:pPr>
      <w:r>
        <w:rPr>
          <w:rFonts w:hint="eastAsia"/>
          <w:szCs w:val="21"/>
        </w:rPr>
        <w:t xml:space="preserve">1.6  </w:t>
      </w:r>
      <w:r>
        <w:rPr>
          <w:szCs w:val="21"/>
        </w:rPr>
        <w:t>工程量清单</w:t>
      </w:r>
      <w:r>
        <w:rPr>
          <w:rFonts w:hint="eastAsia"/>
          <w:szCs w:val="21"/>
        </w:rPr>
        <w:t>中所列工程量的变动，丝毫不会降低或影响合同条款的效力，也不免除承包人按规定的标准进行施工和修复缺陷的责任。</w:t>
      </w:r>
    </w:p>
    <w:p w14:paraId="1C8BF83D">
      <w:pPr>
        <w:spacing w:line="420" w:lineRule="exact"/>
        <w:ind w:firstLine="420" w:firstLineChars="200"/>
        <w:rPr>
          <w:rFonts w:hint="eastAsia" w:ascii="宋体" w:hAnsi="宋体"/>
          <w:szCs w:val="21"/>
        </w:rPr>
      </w:pPr>
    </w:p>
    <w:p w14:paraId="44F7610B">
      <w:pPr>
        <w:outlineLvl w:val="0"/>
        <w:rPr>
          <w:rFonts w:hint="eastAsia" w:ascii="宋体" w:hAnsi="宋体"/>
          <w:b/>
          <w:bCs/>
          <w:sz w:val="24"/>
        </w:rPr>
      </w:pPr>
      <w:bookmarkStart w:id="59" w:name="_Toc496620378"/>
      <w:bookmarkStart w:id="60" w:name="_Toc87531972"/>
      <w:r>
        <w:rPr>
          <w:rFonts w:hint="eastAsia" w:ascii="宋体" w:hAnsi="宋体"/>
          <w:b/>
          <w:bCs/>
          <w:sz w:val="24"/>
        </w:rPr>
        <w:t>2．投标报价说明</w:t>
      </w:r>
      <w:bookmarkEnd w:id="59"/>
      <w:bookmarkEnd w:id="60"/>
    </w:p>
    <w:p w14:paraId="2E1B4ACB">
      <w:pPr>
        <w:spacing w:line="420" w:lineRule="exact"/>
        <w:ind w:firstLine="420" w:firstLineChars="200"/>
        <w:rPr>
          <w:rFonts w:hint="eastAsia" w:ascii="宋体" w:hAnsi="宋体"/>
          <w:szCs w:val="21"/>
        </w:rPr>
      </w:pPr>
      <w:r>
        <w:rPr>
          <w:rFonts w:hint="eastAsia" w:ascii="宋体" w:hAnsi="宋体"/>
          <w:szCs w:val="21"/>
        </w:rPr>
        <w:t>2.1  工程量清单中的每一子目须填入单价或价格，且只允许有一个报价。</w:t>
      </w:r>
    </w:p>
    <w:p w14:paraId="4E79B2E9">
      <w:pPr>
        <w:spacing w:line="420" w:lineRule="exact"/>
        <w:ind w:firstLine="420" w:firstLineChars="200"/>
        <w:rPr>
          <w:rFonts w:hint="eastAsia" w:ascii="宋体" w:hAnsi="宋体"/>
          <w:szCs w:val="21"/>
        </w:rPr>
      </w:pPr>
      <w:r>
        <w:rPr>
          <w:rFonts w:hint="eastAsia" w:ascii="宋体" w:hAnsi="宋体"/>
          <w:szCs w:val="21"/>
        </w:rPr>
        <w:t>2.2  除非合同另有规定，工程量清单中有标价的单价和总额价均已包括了为实施和完成合同工程所需的劳务、材料、机械、质检（自检）、安装、缺陷修复、管理、保险、税费、利润等费用，以及合同明示或暗示的所有责任、义务和一般风险。</w:t>
      </w:r>
    </w:p>
    <w:p w14:paraId="7F101FC1">
      <w:pPr>
        <w:spacing w:line="420" w:lineRule="exact"/>
        <w:ind w:firstLine="420" w:firstLineChars="200"/>
        <w:rPr>
          <w:rFonts w:hint="eastAsia" w:ascii="宋体" w:hAnsi="宋体"/>
          <w:szCs w:val="21"/>
        </w:rPr>
      </w:pPr>
      <w:r>
        <w:rPr>
          <w:rFonts w:hint="eastAsia" w:ascii="宋体" w:hAnsi="宋体"/>
          <w:szCs w:val="21"/>
        </w:rPr>
        <w:t>2.3  工程量清单中投标人没有填入单价或价格的子目，其费用视为已分摊在工程量清单中其他相关子目的单价或价格之中。承包人必须按监理人指令完成工程量清单中未填人单价或价格的子目，但不能得到结算与支付。</w:t>
      </w:r>
    </w:p>
    <w:p w14:paraId="73E30DBF">
      <w:pPr>
        <w:spacing w:line="420" w:lineRule="exact"/>
        <w:ind w:firstLine="420" w:firstLineChars="200"/>
        <w:rPr>
          <w:rFonts w:hint="eastAsia" w:ascii="宋体" w:hAnsi="宋体"/>
          <w:szCs w:val="21"/>
        </w:rPr>
      </w:pPr>
      <w:r>
        <w:rPr>
          <w:rFonts w:hint="eastAsia" w:ascii="宋体" w:hAnsi="宋体"/>
          <w:szCs w:val="21"/>
        </w:rPr>
        <w:t>2.4  符合合同条款规定的全部费用应认为已被计入有标价的工程量清单所列各子目之中，未列子目不予计量的工作，其费用应视为已分摊在本合同工程的有关子目的单价或总额价之中。</w:t>
      </w:r>
    </w:p>
    <w:p w14:paraId="55258936">
      <w:pPr>
        <w:spacing w:line="420" w:lineRule="exact"/>
        <w:ind w:firstLine="420" w:firstLineChars="200"/>
        <w:rPr>
          <w:rFonts w:hint="eastAsia" w:ascii="宋体" w:hAnsi="宋体"/>
          <w:szCs w:val="21"/>
        </w:rPr>
      </w:pPr>
      <w:r>
        <w:rPr>
          <w:rFonts w:hint="eastAsia" w:ascii="宋体" w:hAnsi="宋体"/>
          <w:szCs w:val="21"/>
        </w:rPr>
        <w:t>2.5  承包人用于本合同工程的各类装备的提供、运输、维护、拆卸、拼装等支付的费用，已包括在工程量清单的单价与总额价之中。</w:t>
      </w:r>
    </w:p>
    <w:p w14:paraId="11256125">
      <w:pPr>
        <w:spacing w:line="420" w:lineRule="exact"/>
        <w:ind w:firstLine="420" w:firstLineChars="200"/>
        <w:rPr>
          <w:rFonts w:hint="eastAsia" w:ascii="宋体" w:hAnsi="宋体"/>
          <w:szCs w:val="21"/>
        </w:rPr>
      </w:pPr>
      <w:r>
        <w:rPr>
          <w:rFonts w:hint="eastAsia" w:ascii="宋体" w:hAnsi="宋体"/>
          <w:szCs w:val="21"/>
        </w:rPr>
        <w:t>2.6  工程量清单中各项金额均以人民币（元）结算。</w:t>
      </w:r>
    </w:p>
    <w:p w14:paraId="0D229306">
      <w:pPr>
        <w:spacing w:line="420" w:lineRule="exact"/>
        <w:ind w:firstLine="420" w:firstLineChars="200"/>
        <w:rPr>
          <w:rFonts w:hint="eastAsia" w:ascii="宋体" w:hAnsi="宋体"/>
          <w:szCs w:val="21"/>
        </w:rPr>
      </w:pPr>
      <w:r>
        <w:rPr>
          <w:rFonts w:hint="eastAsia" w:ascii="宋体" w:hAnsi="宋体"/>
          <w:szCs w:val="21"/>
        </w:rPr>
        <w:t>2.7  暂列金额（不含计日工总额）的数量及拟用子目的说明：</w:t>
      </w:r>
      <w:r>
        <w:rPr>
          <w:rFonts w:hint="eastAsia" w:ascii="宋体" w:hAnsi="宋体"/>
          <w:szCs w:val="21"/>
          <w:u w:val="single"/>
        </w:rPr>
        <w:t xml:space="preserve"> </w:t>
      </w:r>
      <w:bookmarkStart w:id="61" w:name="OLE_LINK3"/>
      <w:bookmarkStart w:id="62" w:name="OLE_LINK1"/>
      <w:r>
        <w:rPr>
          <w:rFonts w:hint="eastAsia" w:ascii="宋体" w:hAnsi="宋体"/>
          <w:szCs w:val="21"/>
          <w:u w:val="single"/>
        </w:rPr>
        <w:t>暂列金额的数量为第100章至</w:t>
      </w:r>
      <w:r>
        <w:rPr>
          <w:rFonts w:hint="eastAsia" w:ascii="宋体" w:hAnsi="宋体"/>
          <w:szCs w:val="21"/>
          <w:u w:val="single"/>
          <w:lang w:val="en-US" w:eastAsia="zh-CN"/>
        </w:rPr>
        <w:t>4</w:t>
      </w:r>
      <w:r>
        <w:rPr>
          <w:rFonts w:hint="eastAsia" w:ascii="宋体" w:hAnsi="宋体"/>
          <w:szCs w:val="21"/>
          <w:u w:val="single"/>
        </w:rPr>
        <w:t>00章工程量清单合计的3</w:t>
      </w:r>
      <w:r>
        <w:rPr>
          <w:rFonts w:hint="eastAsia" w:ascii="宋体" w:hAnsi="宋体"/>
          <w:b/>
          <w:szCs w:val="21"/>
          <w:u w:val="single"/>
        </w:rPr>
        <w:t>％</w:t>
      </w:r>
      <w:bookmarkEnd w:id="61"/>
      <w:bookmarkEnd w:id="62"/>
      <w:r>
        <w:rPr>
          <w:rFonts w:hint="eastAsia" w:ascii="宋体" w:hAnsi="宋体"/>
          <w:szCs w:val="21"/>
          <w:u w:val="single"/>
        </w:rPr>
        <w:t xml:space="preserve">，除合同另有规定外，应由发包人按合同条款第15条的规定，结合工程具体情况，报经发包人批准后指令全部或部分地使用，或者根本不予动用  </w:t>
      </w:r>
      <w:r>
        <w:rPr>
          <w:rFonts w:hint="eastAsia" w:ascii="宋体" w:hAnsi="宋体"/>
          <w:szCs w:val="21"/>
        </w:rPr>
        <w:t>。</w:t>
      </w:r>
    </w:p>
    <w:p w14:paraId="17FE0568">
      <w:pPr>
        <w:spacing w:line="420" w:lineRule="exact"/>
        <w:ind w:firstLine="420" w:firstLineChars="200"/>
        <w:rPr>
          <w:rFonts w:hint="eastAsia" w:ascii="宋体" w:hAnsi="宋体"/>
          <w:szCs w:val="21"/>
          <w:u w:val="single"/>
        </w:rPr>
      </w:pPr>
    </w:p>
    <w:p w14:paraId="770285E2">
      <w:pPr>
        <w:outlineLvl w:val="0"/>
        <w:rPr>
          <w:rFonts w:hint="eastAsia" w:ascii="宋体" w:hAnsi="宋体"/>
          <w:b/>
          <w:bCs/>
          <w:sz w:val="24"/>
        </w:rPr>
      </w:pPr>
      <w:bookmarkStart w:id="63" w:name="_Toc87531973"/>
      <w:bookmarkStart w:id="64" w:name="_Toc496620379"/>
      <w:r>
        <w:rPr>
          <w:rFonts w:hint="eastAsia" w:ascii="宋体" w:hAnsi="宋体"/>
          <w:b/>
          <w:bCs/>
          <w:sz w:val="24"/>
        </w:rPr>
        <w:t>3．其他说明</w:t>
      </w:r>
      <w:bookmarkEnd w:id="63"/>
      <w:bookmarkEnd w:id="64"/>
    </w:p>
    <w:p w14:paraId="39E4043F">
      <w:pPr>
        <w:spacing w:line="420" w:lineRule="exact"/>
        <w:ind w:firstLine="420" w:firstLineChars="200"/>
        <w:rPr>
          <w:rFonts w:hint="eastAsia" w:ascii="宋体" w:hAnsi="宋体"/>
          <w:szCs w:val="21"/>
        </w:rPr>
      </w:pPr>
      <w:r>
        <w:rPr>
          <w:rFonts w:hint="eastAsia" w:ascii="宋体" w:hAnsi="宋体"/>
          <w:szCs w:val="21"/>
        </w:rPr>
        <w:t>3.1工程量清单中的任何遗漏，不应免除承包人根据图纸规定完成单项工程的义务。</w:t>
      </w:r>
    </w:p>
    <w:p w14:paraId="71432CF8">
      <w:pPr>
        <w:spacing w:line="420" w:lineRule="exact"/>
        <w:ind w:firstLine="420" w:firstLineChars="200"/>
        <w:rPr>
          <w:rFonts w:hint="eastAsia" w:ascii="宋体" w:hAnsi="宋体"/>
          <w:szCs w:val="21"/>
        </w:rPr>
      </w:pPr>
      <w:bookmarkStart w:id="65" w:name="_Toc465179148"/>
      <w:bookmarkStart w:id="66" w:name="_Toc465178787"/>
      <w:bookmarkStart w:id="67" w:name="_Toc465178067"/>
      <w:r>
        <w:rPr>
          <w:rFonts w:hint="eastAsia" w:ascii="宋体" w:hAnsi="宋体"/>
          <w:szCs w:val="21"/>
        </w:rPr>
        <w:t>3.2 安全生产费应不低于投标价（不含安全生产费、建筑工程一切险保险费）的2%，交通安全管理费包含在安全生产费内，不单独计列。</w:t>
      </w:r>
      <w:bookmarkEnd w:id="65"/>
      <w:bookmarkEnd w:id="66"/>
      <w:bookmarkEnd w:id="67"/>
    </w:p>
    <w:p w14:paraId="15A8173A">
      <w:pPr>
        <w:spacing w:line="420" w:lineRule="exact"/>
        <w:ind w:firstLine="420" w:firstLineChars="200"/>
        <w:rPr>
          <w:rFonts w:hint="default" w:ascii="宋体" w:hAnsi="宋体" w:eastAsia="宋体"/>
          <w:szCs w:val="21"/>
          <w:lang w:val="en-US" w:eastAsia="zh-CN"/>
        </w:rPr>
      </w:pPr>
      <w:r>
        <w:rPr>
          <w:rFonts w:hint="eastAsia" w:ascii="宋体" w:hAnsi="宋体"/>
          <w:szCs w:val="21"/>
        </w:rPr>
        <w:t>3.3工程一切险的投保金额为工程量清单中各章合计金额（不含安全生产费、建筑工程一切险保险费的费用），保险费率暂定为3‰；安全生产责任险</w:t>
      </w:r>
      <w:r>
        <w:rPr>
          <w:rFonts w:hint="eastAsia" w:ascii="宋体" w:hAnsi="宋体"/>
          <w:szCs w:val="21"/>
          <w:lang w:val="en-US" w:eastAsia="zh-CN"/>
        </w:rPr>
        <w:t>计入安全生产费，不单列。</w:t>
      </w:r>
    </w:p>
    <w:p w14:paraId="0554A4AC">
      <w:pPr>
        <w:spacing w:line="420" w:lineRule="exact"/>
        <w:ind w:firstLine="420" w:firstLineChars="200"/>
        <w:rPr>
          <w:rFonts w:hint="eastAsia" w:ascii="宋体" w:hAnsi="宋体"/>
          <w:szCs w:val="21"/>
        </w:rPr>
      </w:pPr>
      <w:bookmarkStart w:id="68" w:name="_Toc465178068"/>
      <w:bookmarkStart w:id="69" w:name="_Toc465178788"/>
      <w:bookmarkStart w:id="70" w:name="_Toc465179149"/>
      <w:r>
        <w:rPr>
          <w:rFonts w:hint="eastAsia" w:ascii="宋体" w:hAnsi="宋体"/>
          <w:szCs w:val="21"/>
        </w:rPr>
        <w:t>3.4 在签订合同协议书前，招标人对中标人投标文件中的明显不平衡报价，在总价保持不变的前提下，应双方协商调整至双方认可的合理范围。</w:t>
      </w:r>
      <w:bookmarkEnd w:id="68"/>
      <w:bookmarkEnd w:id="69"/>
      <w:bookmarkEnd w:id="70"/>
    </w:p>
    <w:p w14:paraId="50FBDDD1">
      <w:pPr>
        <w:spacing w:line="420" w:lineRule="exact"/>
        <w:ind w:firstLine="420" w:firstLineChars="200"/>
        <w:rPr>
          <w:rFonts w:hint="eastAsia" w:ascii="宋体" w:hAnsi="宋体"/>
          <w:szCs w:val="21"/>
        </w:rPr>
      </w:pPr>
      <w:r>
        <w:rPr>
          <w:rFonts w:hint="eastAsia" w:ascii="宋体" w:hAnsi="宋体"/>
          <w:szCs w:val="21"/>
        </w:rPr>
        <w:t>3.5在签订合同协议书前，中标人应向招标人提供交通运输部《公路工程基本建设项目概算预算编制办法》规定的书面及电子版资料各一套。</w:t>
      </w:r>
    </w:p>
    <w:p w14:paraId="39A414F0">
      <w:pPr>
        <w:spacing w:line="420" w:lineRule="exact"/>
        <w:ind w:firstLine="420" w:firstLineChars="200"/>
        <w:rPr>
          <w:rFonts w:hint="eastAsia" w:ascii="宋体" w:hAnsi="宋体"/>
          <w:szCs w:val="21"/>
        </w:rPr>
      </w:pPr>
      <w:r>
        <w:rPr>
          <w:rFonts w:hint="eastAsia" w:ascii="宋体" w:hAnsi="宋体"/>
          <w:szCs w:val="21"/>
        </w:rPr>
        <w:t>3.6本项目中的</w:t>
      </w:r>
      <w:r>
        <w:rPr>
          <w:rFonts w:ascii="宋体" w:hAnsi="宋体"/>
          <w:szCs w:val="21"/>
        </w:rPr>
        <w:t>大面积小修</w:t>
      </w:r>
      <w:r>
        <w:rPr>
          <w:rFonts w:hint="eastAsia" w:ascii="宋体" w:hAnsi="宋体"/>
          <w:szCs w:val="21"/>
        </w:rPr>
        <w:t>是指</w:t>
      </w:r>
      <w:r>
        <w:rPr>
          <w:rFonts w:ascii="宋体" w:hAnsi="宋体"/>
          <w:szCs w:val="21"/>
        </w:rPr>
        <w:t>单块50平方米以上或单条线路总面积不少于500平方米</w:t>
      </w:r>
      <w:r>
        <w:rPr>
          <w:rFonts w:hint="eastAsia" w:ascii="宋体" w:hAnsi="宋体"/>
          <w:szCs w:val="21"/>
        </w:rPr>
        <w:t>的小修。</w:t>
      </w:r>
    </w:p>
    <w:p w14:paraId="5487460E">
      <w:pPr>
        <w:spacing w:line="420" w:lineRule="exact"/>
        <w:ind w:firstLine="422" w:firstLineChars="200"/>
        <w:rPr>
          <w:rFonts w:hint="eastAsia" w:ascii="宋体" w:hAnsi="宋体"/>
          <w:b/>
          <w:szCs w:val="21"/>
        </w:rPr>
      </w:pPr>
      <w:r>
        <w:rPr>
          <w:rFonts w:hint="eastAsia" w:ascii="宋体" w:hAnsi="宋体"/>
          <w:b/>
          <w:szCs w:val="21"/>
        </w:rPr>
        <w:t>3.7</w:t>
      </w:r>
      <w:r>
        <w:rPr>
          <w:rFonts w:ascii="宋体" w:hAnsi="宋体"/>
          <w:b/>
          <w:szCs w:val="21"/>
        </w:rPr>
        <w:t>水泥混凝土路面维修</w:t>
      </w:r>
      <w:r>
        <w:rPr>
          <w:rFonts w:hint="eastAsia" w:ascii="宋体" w:hAnsi="宋体"/>
          <w:b/>
          <w:szCs w:val="21"/>
        </w:rPr>
        <w:t>已</w:t>
      </w:r>
      <w:r>
        <w:rPr>
          <w:rFonts w:ascii="宋体" w:hAnsi="宋体"/>
          <w:b/>
          <w:szCs w:val="21"/>
        </w:rPr>
        <w:t>包括施工安全、运行维护，挖、凿破损混凝土，</w:t>
      </w:r>
      <w:r>
        <w:rPr>
          <w:rFonts w:hint="eastAsia" w:ascii="宋体" w:hAnsi="宋体"/>
          <w:b/>
          <w:szCs w:val="21"/>
        </w:rPr>
        <w:t>废料外运，</w:t>
      </w:r>
      <w:r>
        <w:rPr>
          <w:rFonts w:ascii="宋体" w:hAnsi="宋体"/>
          <w:b/>
          <w:szCs w:val="21"/>
        </w:rPr>
        <w:t>周边凿毛、冲洗、配料、拌和、填筑、捣固、养生等相关作业所必须的费用</w:t>
      </w:r>
      <w:r>
        <w:rPr>
          <w:rFonts w:hint="eastAsia" w:ascii="宋体" w:hAnsi="宋体"/>
          <w:b/>
          <w:szCs w:val="21"/>
        </w:rPr>
        <w:t>。</w:t>
      </w:r>
    </w:p>
    <w:p w14:paraId="2C0E1F7A">
      <w:pPr>
        <w:spacing w:line="420" w:lineRule="exact"/>
        <w:ind w:firstLine="422" w:firstLineChars="200"/>
        <w:rPr>
          <w:rFonts w:ascii="宋体" w:hAnsi="宋体"/>
          <w:b/>
          <w:szCs w:val="21"/>
        </w:rPr>
      </w:pPr>
      <w:r>
        <w:rPr>
          <w:rFonts w:hint="eastAsia" w:ascii="宋体" w:hAnsi="宋体"/>
          <w:b/>
          <w:szCs w:val="21"/>
        </w:rPr>
        <w:t>3.8沥青路面小修、沥青混凝土路面大面积小修已</w:t>
      </w:r>
      <w:r>
        <w:rPr>
          <w:rFonts w:ascii="宋体" w:hAnsi="宋体"/>
          <w:b/>
          <w:szCs w:val="21"/>
        </w:rPr>
        <w:t>包括施工安全、运行维护，铣刨，废料外运，清扫，</w:t>
      </w:r>
      <w:r>
        <w:rPr>
          <w:rFonts w:hint="eastAsia" w:ascii="宋体" w:hAnsi="宋体"/>
          <w:b/>
          <w:szCs w:val="21"/>
        </w:rPr>
        <w:t>裂</w:t>
      </w:r>
      <w:r>
        <w:rPr>
          <w:rFonts w:ascii="宋体" w:hAnsi="宋体"/>
          <w:b/>
          <w:szCs w:val="21"/>
        </w:rPr>
        <w:t>缝</w:t>
      </w:r>
      <w:r>
        <w:rPr>
          <w:rFonts w:hint="eastAsia" w:ascii="宋体" w:hAnsi="宋体"/>
          <w:b/>
          <w:szCs w:val="21"/>
        </w:rPr>
        <w:t>封闭，沥青切割封边，沥青混合料的制备及其拌和、运输</w:t>
      </w:r>
      <w:r>
        <w:rPr>
          <w:rFonts w:ascii="宋体" w:hAnsi="宋体"/>
          <w:b/>
          <w:szCs w:val="21"/>
        </w:rPr>
        <w:t>，摊铺，碾压，养生，清理现场等相关作业所必须的费用。</w:t>
      </w:r>
    </w:p>
    <w:p w14:paraId="5D93C5D4">
      <w:pPr>
        <w:spacing w:line="420" w:lineRule="exact"/>
        <w:ind w:firstLine="422" w:firstLineChars="200"/>
        <w:rPr>
          <w:rFonts w:hint="eastAsia" w:ascii="宋体" w:hAnsi="宋体"/>
          <w:b/>
          <w:szCs w:val="21"/>
        </w:rPr>
      </w:pPr>
      <w:r>
        <w:rPr>
          <w:rFonts w:hint="eastAsia" w:ascii="宋体" w:hAnsi="宋体"/>
          <w:b/>
          <w:szCs w:val="21"/>
        </w:rPr>
        <w:t>3.9裂缝灌缝，包括</w:t>
      </w:r>
      <w:r>
        <w:rPr>
          <w:rFonts w:ascii="宋体" w:hAnsi="宋体"/>
          <w:b/>
          <w:szCs w:val="21"/>
        </w:rPr>
        <w:t>施工安全、运行维护，清扫裂缝，熬油，运输，喷灯加温，灌缝，撒砂填充，熨平，清理现场等相关作业所必须的费用</w:t>
      </w:r>
      <w:r>
        <w:rPr>
          <w:rFonts w:hint="eastAsia" w:ascii="宋体" w:hAnsi="宋体"/>
          <w:b/>
          <w:szCs w:val="21"/>
        </w:rPr>
        <w:t>。</w:t>
      </w:r>
    </w:p>
    <w:p w14:paraId="5CAA921A">
      <w:pPr>
        <w:spacing w:line="420" w:lineRule="exact"/>
        <w:ind w:firstLine="422" w:firstLineChars="200"/>
        <w:rPr>
          <w:rFonts w:hint="eastAsia" w:ascii="宋体" w:hAnsi="宋体"/>
          <w:b/>
          <w:szCs w:val="21"/>
        </w:rPr>
      </w:pPr>
      <w:r>
        <w:rPr>
          <w:rFonts w:hint="eastAsia" w:ascii="宋体" w:hAnsi="宋体"/>
          <w:b/>
          <w:szCs w:val="21"/>
        </w:rPr>
        <w:t>3.10维修用碎石</w:t>
      </w:r>
      <w:r>
        <w:rPr>
          <w:rFonts w:ascii="宋体" w:hAnsi="宋体"/>
          <w:b/>
          <w:szCs w:val="21"/>
        </w:rPr>
        <w:t>包括施工安全、运行维护，</w:t>
      </w:r>
      <w:r>
        <w:rPr>
          <w:rFonts w:hint="eastAsia" w:ascii="宋体" w:hAnsi="宋体"/>
          <w:b/>
          <w:szCs w:val="21"/>
        </w:rPr>
        <w:t>病害部位的开槽、挖除、清底</w:t>
      </w:r>
      <w:r>
        <w:rPr>
          <w:rFonts w:ascii="宋体" w:hAnsi="宋体"/>
          <w:b/>
          <w:szCs w:val="21"/>
        </w:rPr>
        <w:t>，废料外运，配料，铺筑，</w:t>
      </w:r>
      <w:r>
        <w:rPr>
          <w:rFonts w:hint="eastAsia" w:ascii="宋体" w:hAnsi="宋体"/>
          <w:b/>
          <w:szCs w:val="21"/>
        </w:rPr>
        <w:t>摊平、压实</w:t>
      </w:r>
      <w:r>
        <w:rPr>
          <w:rFonts w:ascii="宋体" w:hAnsi="宋体"/>
          <w:b/>
          <w:szCs w:val="21"/>
        </w:rPr>
        <w:t>，清理现场等相关作业所必须的费用。</w:t>
      </w:r>
    </w:p>
    <w:p w14:paraId="34A64DF8">
      <w:pPr>
        <w:spacing w:line="420" w:lineRule="exact"/>
        <w:ind w:firstLine="422" w:firstLineChars="200"/>
        <w:rPr>
          <w:rFonts w:hint="eastAsia" w:ascii="宋体" w:hAnsi="宋体"/>
          <w:b/>
          <w:szCs w:val="21"/>
        </w:rPr>
      </w:pPr>
      <w:r>
        <w:rPr>
          <w:rFonts w:hint="eastAsia" w:ascii="宋体" w:hAnsi="宋体"/>
          <w:b/>
          <w:szCs w:val="21"/>
        </w:rPr>
        <w:t>3.11基层维修</w:t>
      </w:r>
      <w:r>
        <w:rPr>
          <w:rFonts w:ascii="宋体" w:hAnsi="宋体"/>
          <w:b/>
          <w:szCs w:val="21"/>
        </w:rPr>
        <w:t>包括施工安全、运行维护，</w:t>
      </w:r>
      <w:r>
        <w:rPr>
          <w:rFonts w:hint="eastAsia" w:ascii="宋体" w:hAnsi="宋体"/>
          <w:b/>
          <w:szCs w:val="21"/>
        </w:rPr>
        <w:t>开槽、挖除、清底</w:t>
      </w:r>
      <w:r>
        <w:rPr>
          <w:rFonts w:ascii="宋体" w:hAnsi="宋体"/>
          <w:b/>
          <w:szCs w:val="21"/>
        </w:rPr>
        <w:t>，废料外运，清扫，整平路面，洒水，配料，拌和，铺筑，养生，清理现场等相关作业所必须的费用。</w:t>
      </w:r>
    </w:p>
    <w:p w14:paraId="08BA34D0">
      <w:pPr>
        <w:spacing w:line="420" w:lineRule="exact"/>
        <w:ind w:firstLine="422" w:firstLineChars="200"/>
        <w:rPr>
          <w:rFonts w:hint="eastAsia" w:ascii="宋体" w:hAnsi="宋体"/>
          <w:b/>
          <w:szCs w:val="21"/>
        </w:rPr>
      </w:pPr>
      <w:r>
        <w:rPr>
          <w:rFonts w:hint="eastAsia" w:ascii="宋体" w:hAnsi="宋体"/>
          <w:b/>
          <w:szCs w:val="21"/>
        </w:rPr>
        <w:t>3.12人行道彩砖维修</w:t>
      </w:r>
      <w:r>
        <w:rPr>
          <w:rFonts w:ascii="宋体" w:hAnsi="宋体"/>
          <w:b/>
          <w:szCs w:val="21"/>
        </w:rPr>
        <w:t>包括施工安全、运行维护，挖</w:t>
      </w:r>
      <w:r>
        <w:rPr>
          <w:rFonts w:hint="eastAsia" w:ascii="宋体" w:hAnsi="宋体"/>
          <w:b/>
          <w:szCs w:val="21"/>
        </w:rPr>
        <w:t>除</w:t>
      </w:r>
      <w:r>
        <w:rPr>
          <w:rFonts w:ascii="宋体" w:hAnsi="宋体"/>
          <w:b/>
          <w:szCs w:val="21"/>
        </w:rPr>
        <w:t>破损</w:t>
      </w:r>
      <w:r>
        <w:rPr>
          <w:rFonts w:hint="eastAsia" w:ascii="宋体" w:hAnsi="宋体"/>
          <w:b/>
          <w:szCs w:val="21"/>
        </w:rPr>
        <w:t>彩砖及基层</w:t>
      </w:r>
      <w:r>
        <w:rPr>
          <w:rFonts w:ascii="宋体" w:hAnsi="宋体"/>
          <w:b/>
          <w:szCs w:val="21"/>
        </w:rPr>
        <w:t>，</w:t>
      </w:r>
      <w:r>
        <w:rPr>
          <w:rFonts w:hint="eastAsia" w:ascii="宋体" w:hAnsi="宋体"/>
          <w:b/>
          <w:szCs w:val="21"/>
        </w:rPr>
        <w:t>废料外运，</w:t>
      </w:r>
      <w:r>
        <w:rPr>
          <w:rFonts w:ascii="宋体" w:hAnsi="宋体"/>
          <w:b/>
          <w:szCs w:val="21"/>
        </w:rPr>
        <w:t>清扫，整平路面，</w:t>
      </w:r>
      <w:r>
        <w:rPr>
          <w:rFonts w:hint="eastAsia" w:ascii="宋体" w:hAnsi="宋体"/>
          <w:b/>
          <w:szCs w:val="21"/>
        </w:rPr>
        <w:t>水泥砂浆</w:t>
      </w:r>
      <w:r>
        <w:rPr>
          <w:rFonts w:ascii="宋体" w:hAnsi="宋体"/>
          <w:b/>
          <w:szCs w:val="21"/>
        </w:rPr>
        <w:t>拌和，</w:t>
      </w:r>
      <w:r>
        <w:rPr>
          <w:rFonts w:hint="eastAsia" w:ascii="宋体" w:hAnsi="宋体"/>
          <w:b/>
          <w:szCs w:val="21"/>
        </w:rPr>
        <w:t>彩砖铺设</w:t>
      </w:r>
      <w:r>
        <w:rPr>
          <w:rFonts w:ascii="宋体" w:hAnsi="宋体"/>
          <w:b/>
          <w:szCs w:val="21"/>
        </w:rPr>
        <w:t>，清理现场等相关作业所必须的费用</w:t>
      </w:r>
      <w:r>
        <w:rPr>
          <w:rFonts w:hint="eastAsia" w:ascii="宋体" w:hAnsi="宋体"/>
          <w:b/>
          <w:szCs w:val="21"/>
        </w:rPr>
        <w:t>。</w:t>
      </w:r>
    </w:p>
    <w:p w14:paraId="71D0F2A2">
      <w:pPr>
        <w:spacing w:line="420" w:lineRule="exact"/>
        <w:ind w:firstLine="422" w:firstLineChars="200"/>
        <w:rPr>
          <w:rFonts w:hint="eastAsia" w:ascii="宋体" w:hAnsi="宋体"/>
          <w:b/>
          <w:szCs w:val="21"/>
        </w:rPr>
      </w:pPr>
      <w:r>
        <w:rPr>
          <w:rFonts w:hint="eastAsia" w:ascii="宋体" w:hAnsi="宋体"/>
          <w:b/>
          <w:szCs w:val="21"/>
        </w:rPr>
        <w:t>3.13地聚合物注浆包括施工安全、运行维护，钻孔，场地清理，制备地聚合物浆液，清孔，插拔注浆管，压浆，清洗压浆设备，清理现场等相关作业所必须的费用。</w:t>
      </w:r>
    </w:p>
    <w:p w14:paraId="648011B4">
      <w:pPr>
        <w:spacing w:line="420" w:lineRule="exact"/>
        <w:ind w:firstLine="422" w:firstLineChars="200"/>
        <w:rPr>
          <w:rFonts w:ascii="宋体" w:hAnsi="宋体"/>
          <w:b/>
          <w:szCs w:val="21"/>
        </w:rPr>
      </w:pPr>
      <w:r>
        <w:rPr>
          <w:rFonts w:hint="eastAsia" w:ascii="宋体" w:hAnsi="宋体"/>
          <w:b/>
          <w:szCs w:val="21"/>
        </w:rPr>
        <w:t>3.</w:t>
      </w:r>
      <w:r>
        <w:rPr>
          <w:rFonts w:hint="eastAsia" w:ascii="宋体" w:hAnsi="宋体"/>
          <w:b/>
          <w:szCs w:val="21"/>
          <w:lang w:val="en-US" w:eastAsia="zh-CN"/>
        </w:rPr>
        <w:t>14</w:t>
      </w:r>
      <w:r>
        <w:rPr>
          <w:rFonts w:hint="eastAsia" w:ascii="宋体" w:hAnsi="宋体"/>
          <w:b/>
          <w:szCs w:val="21"/>
        </w:rPr>
        <w:t>冷补沥青混凝土已</w:t>
      </w:r>
      <w:r>
        <w:rPr>
          <w:rFonts w:ascii="宋体" w:hAnsi="宋体"/>
          <w:b/>
          <w:szCs w:val="21"/>
        </w:rPr>
        <w:t>包括施工安全、运行维护，铣刨，废料外运，清扫，洒粘层，</w:t>
      </w:r>
      <w:r>
        <w:rPr>
          <w:rFonts w:hint="eastAsia" w:ascii="宋体" w:hAnsi="宋体"/>
          <w:b/>
          <w:szCs w:val="21"/>
        </w:rPr>
        <w:t>裂</w:t>
      </w:r>
      <w:r>
        <w:rPr>
          <w:rFonts w:ascii="宋体" w:hAnsi="宋体"/>
          <w:b/>
          <w:szCs w:val="21"/>
        </w:rPr>
        <w:t>缝</w:t>
      </w:r>
      <w:r>
        <w:rPr>
          <w:rFonts w:hint="eastAsia" w:ascii="宋体" w:hAnsi="宋体"/>
          <w:b/>
          <w:szCs w:val="21"/>
        </w:rPr>
        <w:t>封闭，沥青切割封边，沥青混合料的制备及其拌和、运输</w:t>
      </w:r>
      <w:r>
        <w:rPr>
          <w:rFonts w:ascii="宋体" w:hAnsi="宋体"/>
          <w:b/>
          <w:szCs w:val="21"/>
        </w:rPr>
        <w:t>，摊铺，碾压，养生，清理现场等相关作业所必须的费用。</w:t>
      </w:r>
    </w:p>
    <w:p w14:paraId="4157B791">
      <w:pPr>
        <w:spacing w:line="420" w:lineRule="exact"/>
        <w:ind w:firstLine="422" w:firstLineChars="200"/>
        <w:rPr>
          <w:rFonts w:hint="eastAsia" w:ascii="宋体" w:hAnsi="宋体"/>
          <w:b/>
          <w:szCs w:val="21"/>
        </w:rPr>
      </w:pPr>
      <w:r>
        <w:rPr>
          <w:rFonts w:hint="eastAsia" w:ascii="宋体" w:hAnsi="宋体"/>
          <w:b/>
          <w:szCs w:val="21"/>
        </w:rPr>
        <w:t>3.1</w:t>
      </w:r>
      <w:r>
        <w:rPr>
          <w:rFonts w:hint="eastAsia" w:ascii="宋体" w:hAnsi="宋体"/>
          <w:b/>
          <w:szCs w:val="21"/>
          <w:lang w:val="en-US" w:eastAsia="zh-CN"/>
        </w:rPr>
        <w:t>5</w:t>
      </w:r>
      <w:r>
        <w:rPr>
          <w:rFonts w:hint="eastAsia" w:ascii="宋体" w:hAnsi="宋体"/>
          <w:b/>
          <w:szCs w:val="21"/>
        </w:rPr>
        <w:t xml:space="preserve"> 针对安全生产责任险，承包人应根据《中华人民共和国安全生产法》（2021 修订版）、《浙江省人民政府办公厅转发省安监局等部门关于在高危行业全面推进安全生产责任保险的通知》（浙政办发〔2017〕146号）、《关于进一步推进我省安全生产责任保险规范化工作的通知》（浙应急法规〔2020〕9号）和《省交通运输厅关于加强公路水运工程疫情防控和安全生产费用保障的指导意见》（浙交〔2022〕116 号）等文件要求办理安全生产责任保险，并包括在价格清单的单价及总额价中，发包人不再另行支付。安全生产责任保险覆盖第三者责任险及人身意外伤害险。其中第三者责任险的投保金额最低为</w:t>
      </w:r>
      <w:r>
        <w:rPr>
          <w:rFonts w:hint="eastAsia" w:ascii="宋体" w:hAnsi="宋体"/>
          <w:b/>
          <w:szCs w:val="21"/>
          <w:lang w:val="en-US" w:eastAsia="zh-CN"/>
        </w:rPr>
        <w:t>5</w:t>
      </w:r>
      <w:r>
        <w:rPr>
          <w:rFonts w:hint="eastAsia" w:ascii="宋体" w:hAnsi="宋体"/>
          <w:b/>
          <w:szCs w:val="21"/>
        </w:rPr>
        <w:t>00万元，保险费率暂定为5‰。</w:t>
      </w:r>
    </w:p>
    <w:p w14:paraId="6C0F3743">
      <w:pPr>
        <w:spacing w:line="420" w:lineRule="exact"/>
        <w:ind w:firstLine="422" w:firstLineChars="200"/>
        <w:rPr>
          <w:rFonts w:hint="eastAsia" w:ascii="宋体" w:hAnsi="宋体"/>
          <w:b/>
          <w:szCs w:val="21"/>
        </w:rPr>
      </w:pPr>
      <w:r>
        <w:rPr>
          <w:rFonts w:hint="eastAsia" w:ascii="宋体" w:hAnsi="宋体"/>
          <w:b/>
          <w:szCs w:val="21"/>
        </w:rPr>
        <w:t>3.1</w:t>
      </w:r>
      <w:r>
        <w:rPr>
          <w:rFonts w:hint="eastAsia" w:ascii="宋体" w:hAnsi="宋体"/>
          <w:b/>
          <w:szCs w:val="21"/>
          <w:lang w:val="en-US" w:eastAsia="zh-CN"/>
        </w:rPr>
        <w:t xml:space="preserve">6 </w:t>
      </w:r>
      <w:r>
        <w:rPr>
          <w:rFonts w:hint="eastAsia" w:ascii="宋体" w:hAnsi="宋体"/>
          <w:b/>
          <w:szCs w:val="21"/>
        </w:rPr>
        <w:t>工伤保险由承包人按照《浙江省人力资源和社会保障厅等六部门转发人力资源社会保障部等六部门关于铁路、公路、水运、水利、能源、机场工程建设项目参加工伤保险工作的通知》（浙人社发〔2018〕29号）进行投保，保费视为已经包含在相应工程的报价中，发包人不另行支付。</w:t>
      </w:r>
    </w:p>
    <w:p w14:paraId="3992DBCA">
      <w:pPr>
        <w:spacing w:line="420" w:lineRule="exact"/>
        <w:ind w:firstLine="420" w:firstLineChars="200"/>
        <w:rPr>
          <w:rFonts w:hint="eastAsia" w:ascii="宋体" w:hAnsi="宋体"/>
          <w:szCs w:val="21"/>
        </w:rPr>
      </w:pPr>
    </w:p>
    <w:p w14:paraId="22AE9E72">
      <w:pPr>
        <w:spacing w:line="420" w:lineRule="exact"/>
        <w:ind w:firstLine="420" w:firstLineChars="200"/>
        <w:rPr>
          <w:rFonts w:hint="eastAsia" w:ascii="宋体" w:hAnsi="宋体"/>
          <w:szCs w:val="21"/>
        </w:rPr>
      </w:pPr>
    </w:p>
    <w:p w14:paraId="4B6DC913">
      <w:pPr>
        <w:spacing w:line="420" w:lineRule="exact"/>
        <w:ind w:firstLine="420" w:firstLineChars="200"/>
        <w:rPr>
          <w:rFonts w:hint="eastAsia" w:ascii="宋体" w:hAnsi="宋体"/>
          <w:szCs w:val="21"/>
        </w:rPr>
      </w:pPr>
    </w:p>
    <w:p w14:paraId="27FFC12C">
      <w:pPr>
        <w:spacing w:line="420" w:lineRule="exact"/>
        <w:ind w:firstLine="420" w:firstLineChars="200"/>
        <w:rPr>
          <w:rFonts w:hint="eastAsia" w:ascii="宋体" w:hAnsi="宋体"/>
          <w:szCs w:val="21"/>
        </w:rPr>
      </w:pPr>
    </w:p>
    <w:p w14:paraId="2733BABF">
      <w:pPr>
        <w:spacing w:line="420" w:lineRule="exact"/>
        <w:ind w:firstLine="420" w:firstLineChars="200"/>
        <w:rPr>
          <w:rFonts w:hint="eastAsia" w:ascii="宋体" w:hAnsi="宋体"/>
          <w:szCs w:val="21"/>
        </w:rPr>
      </w:pPr>
    </w:p>
    <w:p w14:paraId="0B2C9679">
      <w:pPr>
        <w:spacing w:line="360" w:lineRule="auto"/>
        <w:outlineLvl w:val="0"/>
        <w:rPr>
          <w:rFonts w:hint="eastAsia" w:ascii="宋体" w:hAnsi="宋体"/>
          <w:b/>
          <w:bCs/>
          <w:sz w:val="24"/>
        </w:rPr>
      </w:pPr>
      <w:bookmarkStart w:id="71" w:name="_Toc496620380"/>
      <w:bookmarkStart w:id="72" w:name="_Toc87531974"/>
      <w:r>
        <w:rPr>
          <w:rFonts w:hint="eastAsia" w:ascii="宋体" w:hAnsi="宋体"/>
          <w:b/>
          <w:bCs/>
          <w:sz w:val="24"/>
        </w:rPr>
        <w:br w:type="page"/>
      </w:r>
      <w:bookmarkEnd w:id="71"/>
      <w:bookmarkEnd w:id="72"/>
    </w:p>
    <w:p w14:paraId="3A376B59">
      <w:pPr>
        <w:spacing w:before="240" w:beforeLines="100" w:after="240" w:afterLines="100"/>
        <w:jc w:val="center"/>
        <w:rPr>
          <w:rFonts w:hint="eastAsia" w:ascii="黑体" w:hAnsi="宋体" w:eastAsia="黑体"/>
          <w:sz w:val="30"/>
          <w:szCs w:val="30"/>
        </w:rPr>
      </w:pPr>
      <w:r>
        <w:rPr>
          <w:rFonts w:hint="eastAsia" w:ascii="黑体" w:hAnsi="宋体" w:eastAsia="黑体"/>
          <w:sz w:val="30"/>
          <w:szCs w:val="30"/>
        </w:rPr>
        <w:t>工程量清单</w:t>
      </w:r>
    </w:p>
    <w:p w14:paraId="19BA571B">
      <w:pPr>
        <w:pStyle w:val="50"/>
        <w:ind w:left="0" w:leftChars="0" w:firstLine="0" w:firstLine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标项</w:t>
      </w: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w:t>
      </w:r>
      <w:r>
        <w:rPr>
          <w:rFonts w:hint="eastAsia" w:asciiTheme="minorEastAsia" w:hAnsiTheme="minorEastAsia" w:cstheme="minorEastAsia"/>
          <w:sz w:val="24"/>
          <w:szCs w:val="24"/>
          <w:lang w:eastAsia="zh-CN"/>
        </w:rPr>
        <w:t>2026年秀洲区县道及以上公路小修及应急抢险项目</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第一</w:t>
      </w:r>
      <w:r>
        <w:rPr>
          <w:rFonts w:hint="eastAsia" w:asciiTheme="minorEastAsia" w:hAnsiTheme="minorEastAsia" w:eastAsiaTheme="minorEastAsia" w:cstheme="minorEastAsia"/>
          <w:sz w:val="24"/>
          <w:szCs w:val="24"/>
          <w:lang w:eastAsia="zh-CN"/>
        </w:rPr>
        <w:t>标段）</w:t>
      </w:r>
    </w:p>
    <w:p w14:paraId="00212051">
      <w:pPr>
        <w:pStyle w:val="50"/>
        <w:ind w:left="0" w:leftChars="0" w:firstLine="0" w:firstLine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货币单位：人民币元</w:t>
      </w:r>
    </w:p>
    <w:tbl>
      <w:tblPr>
        <w:tblStyle w:val="51"/>
        <w:tblW w:w="9162" w:type="dxa"/>
        <w:tblInd w:w="-7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0" w:type="dxa"/>
        </w:tblCellMar>
      </w:tblPr>
      <w:tblGrid>
        <w:gridCol w:w="822"/>
        <w:gridCol w:w="4533"/>
        <w:gridCol w:w="855"/>
        <w:gridCol w:w="918"/>
        <w:gridCol w:w="973"/>
        <w:gridCol w:w="1061"/>
      </w:tblGrid>
      <w:tr w14:paraId="4E2CF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9162" w:type="dxa"/>
            <w:gridSpan w:val="6"/>
            <w:tcBorders>
              <w:top w:val="single" w:color="auto" w:sz="12" w:space="0"/>
              <w:left w:val="single" w:color="auto" w:sz="12" w:space="0"/>
              <w:bottom w:val="single" w:color="auto" w:sz="6" w:space="0"/>
              <w:right w:val="single" w:color="auto" w:sz="12" w:space="0"/>
            </w:tcBorders>
            <w:noWrap w:val="0"/>
            <w:vAlign w:val="center"/>
          </w:tcPr>
          <w:p w14:paraId="79DC7188">
            <w:pPr>
              <w:ind w:firstLine="103" w:firstLineChars="49"/>
              <w:jc w:val="center"/>
              <w:rPr>
                <w:rFonts w:hint="eastAsia" w:ascii="宋体" w:hAnsi="宋体"/>
                <w:b/>
                <w:bCs/>
              </w:rPr>
            </w:pPr>
            <w:r>
              <w:rPr>
                <w:rFonts w:hint="eastAsia" w:ascii="宋体" w:hAnsi="宋体"/>
                <w:b/>
                <w:bCs/>
              </w:rPr>
              <w:t>清单      第100章      总  则</w:t>
            </w:r>
          </w:p>
        </w:tc>
      </w:tr>
      <w:tr w14:paraId="32F70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4F3402F9">
            <w:pPr>
              <w:jc w:val="center"/>
              <w:rPr>
                <w:rFonts w:hint="eastAsia" w:ascii="宋体" w:hAnsi="宋体"/>
                <w:szCs w:val="21"/>
              </w:rPr>
            </w:pPr>
            <w:r>
              <w:rPr>
                <w:rFonts w:hint="eastAsia" w:ascii="宋体" w:hAnsi="宋体"/>
                <w:szCs w:val="21"/>
              </w:rPr>
              <w:t>子目号</w:t>
            </w:r>
          </w:p>
        </w:tc>
        <w:tc>
          <w:tcPr>
            <w:tcW w:w="4533" w:type="dxa"/>
            <w:tcBorders>
              <w:top w:val="single" w:color="auto" w:sz="6" w:space="0"/>
              <w:left w:val="single" w:color="auto" w:sz="6" w:space="0"/>
              <w:bottom w:val="single" w:color="auto" w:sz="6" w:space="0"/>
              <w:right w:val="single" w:color="auto" w:sz="6" w:space="0"/>
            </w:tcBorders>
            <w:noWrap w:val="0"/>
            <w:vAlign w:val="center"/>
          </w:tcPr>
          <w:p w14:paraId="00F15078">
            <w:pPr>
              <w:jc w:val="center"/>
              <w:rPr>
                <w:rFonts w:hint="eastAsia" w:ascii="宋体" w:hAnsi="宋体"/>
                <w:szCs w:val="21"/>
              </w:rPr>
            </w:pPr>
            <w:r>
              <w:rPr>
                <w:rFonts w:hint="eastAsia" w:ascii="宋体" w:hAnsi="宋体"/>
                <w:szCs w:val="21"/>
              </w:rPr>
              <w:t>子  目  名  称</w:t>
            </w:r>
          </w:p>
        </w:tc>
        <w:tc>
          <w:tcPr>
            <w:tcW w:w="855" w:type="dxa"/>
            <w:tcBorders>
              <w:top w:val="single" w:color="auto" w:sz="6" w:space="0"/>
              <w:left w:val="single" w:color="auto" w:sz="6" w:space="0"/>
              <w:bottom w:val="single" w:color="auto" w:sz="6" w:space="0"/>
              <w:right w:val="single" w:color="auto" w:sz="6" w:space="0"/>
            </w:tcBorders>
            <w:noWrap w:val="0"/>
            <w:vAlign w:val="center"/>
          </w:tcPr>
          <w:p w14:paraId="116656F2">
            <w:pPr>
              <w:jc w:val="center"/>
              <w:rPr>
                <w:rFonts w:hint="eastAsia" w:ascii="宋体" w:hAnsi="宋体"/>
                <w:szCs w:val="21"/>
              </w:rPr>
            </w:pPr>
            <w:r>
              <w:rPr>
                <w:rFonts w:hint="eastAsia" w:ascii="宋体" w:hAnsi="宋体"/>
                <w:szCs w:val="21"/>
              </w:rPr>
              <w:t>单位</w:t>
            </w:r>
          </w:p>
        </w:tc>
        <w:tc>
          <w:tcPr>
            <w:tcW w:w="918" w:type="dxa"/>
            <w:tcBorders>
              <w:top w:val="single" w:color="auto" w:sz="6" w:space="0"/>
              <w:left w:val="single" w:color="auto" w:sz="6" w:space="0"/>
              <w:bottom w:val="single" w:color="auto" w:sz="6" w:space="0"/>
              <w:right w:val="single" w:color="auto" w:sz="6" w:space="0"/>
            </w:tcBorders>
            <w:noWrap w:val="0"/>
            <w:vAlign w:val="center"/>
          </w:tcPr>
          <w:p w14:paraId="26FDEB5B">
            <w:pPr>
              <w:jc w:val="center"/>
              <w:rPr>
                <w:rFonts w:hint="eastAsia" w:ascii="宋体" w:hAnsi="宋体"/>
                <w:szCs w:val="21"/>
              </w:rPr>
            </w:pPr>
            <w:r>
              <w:rPr>
                <w:rFonts w:hint="eastAsia" w:ascii="宋体" w:hAnsi="宋体"/>
                <w:szCs w:val="21"/>
              </w:rPr>
              <w:t>数量</w:t>
            </w:r>
          </w:p>
        </w:tc>
        <w:tc>
          <w:tcPr>
            <w:tcW w:w="973" w:type="dxa"/>
            <w:tcBorders>
              <w:top w:val="single" w:color="auto" w:sz="6" w:space="0"/>
              <w:left w:val="single" w:color="auto" w:sz="6" w:space="0"/>
              <w:bottom w:val="single" w:color="auto" w:sz="6" w:space="0"/>
              <w:right w:val="single" w:color="auto" w:sz="6" w:space="0"/>
            </w:tcBorders>
            <w:noWrap w:val="0"/>
            <w:vAlign w:val="center"/>
          </w:tcPr>
          <w:p w14:paraId="582FC6F1">
            <w:pPr>
              <w:jc w:val="center"/>
              <w:rPr>
                <w:rFonts w:hint="eastAsia" w:ascii="宋体" w:hAnsi="宋体"/>
                <w:szCs w:val="21"/>
              </w:rPr>
            </w:pPr>
            <w:r>
              <w:rPr>
                <w:rFonts w:hint="eastAsia" w:ascii="宋体" w:hAnsi="宋体"/>
                <w:szCs w:val="21"/>
              </w:rPr>
              <w:t>单价</w:t>
            </w: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639A0844">
            <w:pPr>
              <w:jc w:val="center"/>
              <w:rPr>
                <w:rFonts w:hint="eastAsia" w:ascii="宋体" w:hAnsi="宋体"/>
              </w:rPr>
            </w:pPr>
            <w:r>
              <w:rPr>
                <w:rFonts w:hint="eastAsia" w:ascii="宋体" w:hAnsi="宋体"/>
              </w:rPr>
              <w:t>合价</w:t>
            </w:r>
          </w:p>
        </w:tc>
      </w:tr>
      <w:tr w14:paraId="56781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179F7ADF">
            <w:pPr>
              <w:keepNext w:val="0"/>
              <w:keepLines w:val="0"/>
              <w:widowControl/>
              <w:suppressLineNumbers w:val="0"/>
              <w:jc w:val="center"/>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101</w:t>
            </w:r>
          </w:p>
        </w:tc>
        <w:tc>
          <w:tcPr>
            <w:tcW w:w="4533" w:type="dxa"/>
            <w:tcBorders>
              <w:top w:val="single" w:color="auto" w:sz="6" w:space="0"/>
              <w:left w:val="single" w:color="auto" w:sz="6" w:space="0"/>
              <w:bottom w:val="single" w:color="auto" w:sz="6" w:space="0"/>
              <w:right w:val="single" w:color="auto" w:sz="6" w:space="0"/>
            </w:tcBorders>
            <w:noWrap w:val="0"/>
            <w:vAlign w:val="center"/>
          </w:tcPr>
          <w:p w14:paraId="7D9F25AA">
            <w:pPr>
              <w:keepNext w:val="0"/>
              <w:keepLines w:val="0"/>
              <w:widowControl/>
              <w:suppressLineNumbers w:val="0"/>
              <w:jc w:val="left"/>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通则</w:t>
            </w:r>
          </w:p>
        </w:tc>
        <w:tc>
          <w:tcPr>
            <w:tcW w:w="855" w:type="dxa"/>
            <w:tcBorders>
              <w:top w:val="single" w:color="auto" w:sz="6" w:space="0"/>
              <w:left w:val="single" w:color="auto" w:sz="6" w:space="0"/>
              <w:bottom w:val="single" w:color="auto" w:sz="6" w:space="0"/>
              <w:right w:val="single" w:color="auto" w:sz="6" w:space="0"/>
            </w:tcBorders>
            <w:noWrap w:val="0"/>
            <w:vAlign w:val="center"/>
          </w:tcPr>
          <w:p w14:paraId="50CB22A7">
            <w:pPr>
              <w:jc w:val="center"/>
              <w:rPr>
                <w:rFonts w:hint="eastAsia" w:ascii="宋体" w:hAnsi="宋体"/>
                <w:sz w:val="21"/>
                <w:szCs w:val="21"/>
              </w:rPr>
            </w:pPr>
          </w:p>
        </w:tc>
        <w:tc>
          <w:tcPr>
            <w:tcW w:w="918" w:type="dxa"/>
            <w:tcBorders>
              <w:top w:val="single" w:color="auto" w:sz="6" w:space="0"/>
              <w:left w:val="single" w:color="auto" w:sz="6" w:space="0"/>
              <w:bottom w:val="single" w:color="auto" w:sz="6" w:space="0"/>
              <w:right w:val="single" w:color="auto" w:sz="6" w:space="0"/>
            </w:tcBorders>
            <w:noWrap w:val="0"/>
            <w:vAlign w:val="center"/>
          </w:tcPr>
          <w:p w14:paraId="4345FE81">
            <w:pPr>
              <w:jc w:val="right"/>
              <w:rPr>
                <w:rFonts w:hint="eastAsia" w:ascii="宋体" w:hAnsi="宋体"/>
                <w:sz w:val="21"/>
                <w:szCs w:val="21"/>
              </w:rPr>
            </w:pPr>
          </w:p>
        </w:tc>
        <w:tc>
          <w:tcPr>
            <w:tcW w:w="973" w:type="dxa"/>
            <w:tcBorders>
              <w:top w:val="single" w:color="auto" w:sz="6" w:space="0"/>
              <w:left w:val="single" w:color="auto" w:sz="6" w:space="0"/>
              <w:bottom w:val="single" w:color="auto" w:sz="6" w:space="0"/>
              <w:right w:val="single" w:color="auto" w:sz="6" w:space="0"/>
            </w:tcBorders>
            <w:noWrap w:val="0"/>
            <w:vAlign w:val="center"/>
          </w:tcPr>
          <w:p w14:paraId="38662458">
            <w:pPr>
              <w:jc w:val="center"/>
              <w:rPr>
                <w:rFonts w:ascii="宋体" w:hAnsi="宋体"/>
                <w:szCs w:val="21"/>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0B01B398">
            <w:pPr>
              <w:jc w:val="center"/>
              <w:rPr>
                <w:rFonts w:hint="eastAsia" w:ascii="宋体" w:hAnsi="宋体"/>
              </w:rPr>
            </w:pPr>
          </w:p>
        </w:tc>
      </w:tr>
      <w:tr w14:paraId="6AB10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326F67DF">
            <w:pPr>
              <w:keepNext w:val="0"/>
              <w:keepLines w:val="0"/>
              <w:widowControl/>
              <w:suppressLineNumbers w:val="0"/>
              <w:jc w:val="center"/>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101-1</w:t>
            </w:r>
          </w:p>
        </w:tc>
        <w:tc>
          <w:tcPr>
            <w:tcW w:w="4533" w:type="dxa"/>
            <w:tcBorders>
              <w:top w:val="single" w:color="auto" w:sz="6" w:space="0"/>
              <w:left w:val="single" w:color="auto" w:sz="6" w:space="0"/>
              <w:bottom w:val="single" w:color="auto" w:sz="6" w:space="0"/>
              <w:right w:val="single" w:color="auto" w:sz="6" w:space="0"/>
            </w:tcBorders>
            <w:noWrap w:val="0"/>
            <w:vAlign w:val="center"/>
          </w:tcPr>
          <w:p w14:paraId="4AACBABA">
            <w:pPr>
              <w:keepNext w:val="0"/>
              <w:keepLines w:val="0"/>
              <w:widowControl/>
              <w:suppressLineNumbers w:val="0"/>
              <w:jc w:val="left"/>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保险费</w:t>
            </w:r>
          </w:p>
        </w:tc>
        <w:tc>
          <w:tcPr>
            <w:tcW w:w="855" w:type="dxa"/>
            <w:tcBorders>
              <w:top w:val="single" w:color="auto" w:sz="6" w:space="0"/>
              <w:left w:val="single" w:color="auto" w:sz="6" w:space="0"/>
              <w:bottom w:val="single" w:color="auto" w:sz="6" w:space="0"/>
              <w:right w:val="single" w:color="auto" w:sz="6" w:space="0"/>
            </w:tcBorders>
            <w:noWrap w:val="0"/>
            <w:vAlign w:val="center"/>
          </w:tcPr>
          <w:p w14:paraId="60103D9C">
            <w:pPr>
              <w:jc w:val="center"/>
              <w:rPr>
                <w:rFonts w:hint="eastAsia" w:ascii="宋体" w:hAnsi="宋体"/>
                <w:sz w:val="21"/>
                <w:szCs w:val="21"/>
              </w:rPr>
            </w:pPr>
          </w:p>
        </w:tc>
        <w:tc>
          <w:tcPr>
            <w:tcW w:w="918" w:type="dxa"/>
            <w:tcBorders>
              <w:top w:val="single" w:color="auto" w:sz="6" w:space="0"/>
              <w:left w:val="single" w:color="auto" w:sz="6" w:space="0"/>
              <w:bottom w:val="single" w:color="auto" w:sz="6" w:space="0"/>
              <w:right w:val="single" w:color="auto" w:sz="6" w:space="0"/>
            </w:tcBorders>
            <w:noWrap w:val="0"/>
            <w:vAlign w:val="center"/>
          </w:tcPr>
          <w:p w14:paraId="53830084">
            <w:pPr>
              <w:jc w:val="right"/>
              <w:rPr>
                <w:rFonts w:hint="eastAsia" w:ascii="宋体" w:hAnsi="宋体"/>
                <w:sz w:val="21"/>
                <w:szCs w:val="21"/>
              </w:rPr>
            </w:pPr>
          </w:p>
        </w:tc>
        <w:tc>
          <w:tcPr>
            <w:tcW w:w="973" w:type="dxa"/>
            <w:tcBorders>
              <w:top w:val="single" w:color="auto" w:sz="6" w:space="0"/>
              <w:left w:val="single" w:color="auto" w:sz="6" w:space="0"/>
              <w:bottom w:val="single" w:color="auto" w:sz="6" w:space="0"/>
              <w:right w:val="single" w:color="auto" w:sz="6" w:space="0"/>
            </w:tcBorders>
            <w:noWrap w:val="0"/>
            <w:vAlign w:val="center"/>
          </w:tcPr>
          <w:p w14:paraId="7BCA4D14">
            <w:pPr>
              <w:jc w:val="center"/>
              <w:rPr>
                <w:rFonts w:hint="eastAsia" w:ascii="宋体" w:hAnsi="宋体"/>
                <w:szCs w:val="21"/>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4E154B56">
            <w:pPr>
              <w:jc w:val="center"/>
              <w:rPr>
                <w:rFonts w:hint="eastAsia" w:ascii="宋体" w:hAnsi="宋体"/>
              </w:rPr>
            </w:pPr>
          </w:p>
        </w:tc>
      </w:tr>
      <w:tr w14:paraId="41A87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3602B637">
            <w:pPr>
              <w:keepNext w:val="0"/>
              <w:keepLines w:val="0"/>
              <w:widowControl/>
              <w:suppressLineNumbers w:val="0"/>
              <w:jc w:val="center"/>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-a</w:t>
            </w:r>
          </w:p>
        </w:tc>
        <w:tc>
          <w:tcPr>
            <w:tcW w:w="4533" w:type="dxa"/>
            <w:tcBorders>
              <w:top w:val="single" w:color="auto" w:sz="6" w:space="0"/>
              <w:left w:val="single" w:color="auto" w:sz="6" w:space="0"/>
              <w:bottom w:val="single" w:color="auto" w:sz="6" w:space="0"/>
              <w:right w:val="single" w:color="auto" w:sz="6" w:space="0"/>
            </w:tcBorders>
            <w:noWrap w:val="0"/>
            <w:vAlign w:val="center"/>
          </w:tcPr>
          <w:p w14:paraId="5694EDC7">
            <w:pPr>
              <w:keepNext w:val="0"/>
              <w:keepLines w:val="0"/>
              <w:widowControl/>
              <w:suppressLineNumbers w:val="0"/>
              <w:jc w:val="left"/>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按合同条款规定，提供建筑工程一切险</w:t>
            </w:r>
          </w:p>
        </w:tc>
        <w:tc>
          <w:tcPr>
            <w:tcW w:w="855" w:type="dxa"/>
            <w:tcBorders>
              <w:top w:val="single" w:color="auto" w:sz="6" w:space="0"/>
              <w:left w:val="single" w:color="auto" w:sz="6" w:space="0"/>
              <w:bottom w:val="single" w:color="auto" w:sz="6" w:space="0"/>
              <w:right w:val="single" w:color="auto" w:sz="6" w:space="0"/>
            </w:tcBorders>
            <w:noWrap w:val="0"/>
            <w:vAlign w:val="center"/>
          </w:tcPr>
          <w:p w14:paraId="5DA77DD3">
            <w:pPr>
              <w:keepNext w:val="0"/>
              <w:keepLines w:val="0"/>
              <w:widowControl/>
              <w:suppressLineNumbers w:val="0"/>
              <w:jc w:val="center"/>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总额</w:t>
            </w:r>
          </w:p>
        </w:tc>
        <w:tc>
          <w:tcPr>
            <w:tcW w:w="918" w:type="dxa"/>
            <w:tcBorders>
              <w:top w:val="single" w:color="auto" w:sz="6" w:space="0"/>
              <w:left w:val="single" w:color="auto" w:sz="6" w:space="0"/>
              <w:bottom w:val="single" w:color="auto" w:sz="6" w:space="0"/>
              <w:right w:val="single" w:color="auto" w:sz="6" w:space="0"/>
            </w:tcBorders>
            <w:noWrap w:val="0"/>
            <w:vAlign w:val="center"/>
          </w:tcPr>
          <w:p w14:paraId="780515E0">
            <w:pPr>
              <w:keepNext w:val="0"/>
              <w:keepLines w:val="0"/>
              <w:widowControl/>
              <w:suppressLineNumbers w:val="0"/>
              <w:jc w:val="right"/>
              <w:textAlignment w:val="center"/>
              <w:rPr>
                <w:rFonts w:hint="eastAsia" w:ascii="宋体" w:hAnsi="宋体"/>
                <w:sz w:val="21"/>
                <w:szCs w:val="21"/>
              </w:rPr>
            </w:pPr>
            <w:r>
              <w:rPr>
                <w:rFonts w:hint="default" w:ascii="Arial Narrow" w:hAnsi="Arial Narrow" w:eastAsia="Arial Narrow" w:cs="Arial Narrow"/>
                <w:i w:val="0"/>
                <w:iCs w:val="0"/>
                <w:color w:val="000000"/>
                <w:kern w:val="0"/>
                <w:sz w:val="21"/>
                <w:szCs w:val="21"/>
                <w:u w:val="none"/>
                <w:lang w:val="en-US" w:eastAsia="zh-CN" w:bidi="ar"/>
              </w:rPr>
              <w:t>1</w:t>
            </w:r>
          </w:p>
        </w:tc>
        <w:tc>
          <w:tcPr>
            <w:tcW w:w="973" w:type="dxa"/>
            <w:tcBorders>
              <w:top w:val="single" w:color="auto" w:sz="6" w:space="0"/>
              <w:left w:val="single" w:color="auto" w:sz="6" w:space="0"/>
              <w:bottom w:val="single" w:color="auto" w:sz="6" w:space="0"/>
              <w:right w:val="single" w:color="auto" w:sz="6" w:space="0"/>
            </w:tcBorders>
            <w:noWrap w:val="0"/>
            <w:vAlign w:val="center"/>
          </w:tcPr>
          <w:p w14:paraId="388D8D05">
            <w:pPr>
              <w:jc w:val="center"/>
              <w:rPr>
                <w:rFonts w:hint="eastAsia" w:ascii="宋体" w:hAnsi="宋体"/>
                <w:szCs w:val="21"/>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3239E94E">
            <w:pPr>
              <w:jc w:val="center"/>
              <w:rPr>
                <w:rFonts w:hint="eastAsia" w:ascii="宋体" w:hAnsi="宋体"/>
              </w:rPr>
            </w:pPr>
          </w:p>
        </w:tc>
      </w:tr>
      <w:tr w14:paraId="00E71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0054DA40">
            <w:pPr>
              <w:keepNext w:val="0"/>
              <w:keepLines w:val="0"/>
              <w:widowControl/>
              <w:suppressLineNumbers w:val="0"/>
              <w:jc w:val="center"/>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102</w:t>
            </w:r>
          </w:p>
        </w:tc>
        <w:tc>
          <w:tcPr>
            <w:tcW w:w="4533" w:type="dxa"/>
            <w:tcBorders>
              <w:top w:val="single" w:color="auto" w:sz="6" w:space="0"/>
              <w:left w:val="single" w:color="auto" w:sz="6" w:space="0"/>
              <w:bottom w:val="single" w:color="auto" w:sz="6" w:space="0"/>
              <w:right w:val="single" w:color="auto" w:sz="6" w:space="0"/>
            </w:tcBorders>
            <w:noWrap w:val="0"/>
            <w:vAlign w:val="center"/>
          </w:tcPr>
          <w:p w14:paraId="0BF42F3E">
            <w:pPr>
              <w:keepNext w:val="0"/>
              <w:keepLines w:val="0"/>
              <w:widowControl/>
              <w:suppressLineNumbers w:val="0"/>
              <w:jc w:val="left"/>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工程管理</w:t>
            </w:r>
          </w:p>
        </w:tc>
        <w:tc>
          <w:tcPr>
            <w:tcW w:w="855" w:type="dxa"/>
            <w:tcBorders>
              <w:top w:val="single" w:color="auto" w:sz="6" w:space="0"/>
              <w:left w:val="single" w:color="auto" w:sz="6" w:space="0"/>
              <w:bottom w:val="single" w:color="auto" w:sz="6" w:space="0"/>
              <w:right w:val="single" w:color="auto" w:sz="6" w:space="0"/>
            </w:tcBorders>
            <w:noWrap w:val="0"/>
            <w:vAlign w:val="center"/>
          </w:tcPr>
          <w:p w14:paraId="207DA5E4">
            <w:pPr>
              <w:jc w:val="center"/>
              <w:rPr>
                <w:rFonts w:hint="eastAsia" w:ascii="宋体" w:hAnsi="宋体"/>
                <w:sz w:val="21"/>
                <w:szCs w:val="21"/>
              </w:rPr>
            </w:pPr>
          </w:p>
        </w:tc>
        <w:tc>
          <w:tcPr>
            <w:tcW w:w="918" w:type="dxa"/>
            <w:tcBorders>
              <w:top w:val="single" w:color="auto" w:sz="6" w:space="0"/>
              <w:left w:val="single" w:color="auto" w:sz="6" w:space="0"/>
              <w:bottom w:val="single" w:color="auto" w:sz="6" w:space="0"/>
              <w:right w:val="single" w:color="auto" w:sz="6" w:space="0"/>
            </w:tcBorders>
            <w:noWrap w:val="0"/>
            <w:vAlign w:val="center"/>
          </w:tcPr>
          <w:p w14:paraId="0E2EEEAF">
            <w:pPr>
              <w:jc w:val="right"/>
              <w:rPr>
                <w:rFonts w:hint="eastAsia" w:ascii="宋体" w:hAnsi="宋体"/>
                <w:sz w:val="21"/>
                <w:szCs w:val="21"/>
              </w:rPr>
            </w:pPr>
          </w:p>
        </w:tc>
        <w:tc>
          <w:tcPr>
            <w:tcW w:w="973" w:type="dxa"/>
            <w:tcBorders>
              <w:top w:val="single" w:color="auto" w:sz="6" w:space="0"/>
              <w:left w:val="single" w:color="auto" w:sz="6" w:space="0"/>
              <w:bottom w:val="single" w:color="auto" w:sz="6" w:space="0"/>
              <w:right w:val="single" w:color="auto" w:sz="6" w:space="0"/>
            </w:tcBorders>
            <w:noWrap w:val="0"/>
            <w:vAlign w:val="center"/>
          </w:tcPr>
          <w:p w14:paraId="61873EBA">
            <w:pPr>
              <w:jc w:val="center"/>
              <w:rPr>
                <w:rFonts w:hint="eastAsia" w:ascii="宋体" w:hAnsi="宋体"/>
                <w:szCs w:val="21"/>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2BE21909">
            <w:pPr>
              <w:jc w:val="center"/>
              <w:rPr>
                <w:rFonts w:hint="eastAsia" w:ascii="宋体" w:hAnsi="宋体"/>
              </w:rPr>
            </w:pPr>
          </w:p>
        </w:tc>
      </w:tr>
      <w:tr w14:paraId="73DD4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7EBB6C6F">
            <w:pPr>
              <w:keepNext w:val="0"/>
              <w:keepLines w:val="0"/>
              <w:widowControl/>
              <w:suppressLineNumbers w:val="0"/>
              <w:jc w:val="center"/>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102-1</w:t>
            </w:r>
          </w:p>
        </w:tc>
        <w:tc>
          <w:tcPr>
            <w:tcW w:w="4533" w:type="dxa"/>
            <w:tcBorders>
              <w:top w:val="single" w:color="auto" w:sz="6" w:space="0"/>
              <w:left w:val="single" w:color="auto" w:sz="6" w:space="0"/>
              <w:bottom w:val="single" w:color="auto" w:sz="6" w:space="0"/>
              <w:right w:val="single" w:color="auto" w:sz="6" w:space="0"/>
            </w:tcBorders>
            <w:noWrap w:val="0"/>
            <w:vAlign w:val="center"/>
          </w:tcPr>
          <w:p w14:paraId="68A30574">
            <w:pPr>
              <w:keepNext w:val="0"/>
              <w:keepLines w:val="0"/>
              <w:widowControl/>
              <w:suppressLineNumbers w:val="0"/>
              <w:jc w:val="left"/>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档案资料编制费</w:t>
            </w:r>
          </w:p>
        </w:tc>
        <w:tc>
          <w:tcPr>
            <w:tcW w:w="855" w:type="dxa"/>
            <w:tcBorders>
              <w:top w:val="single" w:color="auto" w:sz="6" w:space="0"/>
              <w:left w:val="single" w:color="auto" w:sz="6" w:space="0"/>
              <w:bottom w:val="single" w:color="auto" w:sz="6" w:space="0"/>
              <w:right w:val="single" w:color="auto" w:sz="6" w:space="0"/>
            </w:tcBorders>
            <w:noWrap w:val="0"/>
            <w:vAlign w:val="center"/>
          </w:tcPr>
          <w:p w14:paraId="30806C03">
            <w:pPr>
              <w:keepNext w:val="0"/>
              <w:keepLines w:val="0"/>
              <w:widowControl/>
              <w:suppressLineNumbers w:val="0"/>
              <w:jc w:val="center"/>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总额</w:t>
            </w:r>
          </w:p>
        </w:tc>
        <w:tc>
          <w:tcPr>
            <w:tcW w:w="918" w:type="dxa"/>
            <w:tcBorders>
              <w:top w:val="single" w:color="auto" w:sz="6" w:space="0"/>
              <w:left w:val="single" w:color="auto" w:sz="6" w:space="0"/>
              <w:bottom w:val="single" w:color="auto" w:sz="6" w:space="0"/>
              <w:right w:val="single" w:color="auto" w:sz="6" w:space="0"/>
            </w:tcBorders>
            <w:noWrap w:val="0"/>
            <w:vAlign w:val="center"/>
          </w:tcPr>
          <w:p w14:paraId="7DD4832C">
            <w:pPr>
              <w:keepNext w:val="0"/>
              <w:keepLines w:val="0"/>
              <w:widowControl/>
              <w:suppressLineNumbers w:val="0"/>
              <w:jc w:val="right"/>
              <w:textAlignment w:val="center"/>
              <w:rPr>
                <w:rFonts w:hint="eastAsia" w:ascii="宋体" w:hAnsi="宋体"/>
                <w:sz w:val="21"/>
                <w:szCs w:val="21"/>
              </w:rPr>
            </w:pPr>
            <w:r>
              <w:rPr>
                <w:rFonts w:hint="default" w:ascii="Arial Narrow" w:hAnsi="Arial Narrow" w:eastAsia="Arial Narrow" w:cs="Arial Narrow"/>
                <w:i w:val="0"/>
                <w:iCs w:val="0"/>
                <w:color w:val="000000"/>
                <w:kern w:val="0"/>
                <w:sz w:val="21"/>
                <w:szCs w:val="21"/>
                <w:u w:val="none"/>
                <w:lang w:val="en-US" w:eastAsia="zh-CN" w:bidi="ar"/>
              </w:rPr>
              <w:t>1</w:t>
            </w:r>
          </w:p>
        </w:tc>
        <w:tc>
          <w:tcPr>
            <w:tcW w:w="973" w:type="dxa"/>
            <w:tcBorders>
              <w:top w:val="single" w:color="auto" w:sz="6" w:space="0"/>
              <w:left w:val="single" w:color="auto" w:sz="6" w:space="0"/>
              <w:bottom w:val="single" w:color="auto" w:sz="6" w:space="0"/>
              <w:right w:val="single" w:color="auto" w:sz="6" w:space="0"/>
            </w:tcBorders>
            <w:noWrap w:val="0"/>
            <w:vAlign w:val="center"/>
          </w:tcPr>
          <w:p w14:paraId="61FF9726">
            <w:pPr>
              <w:jc w:val="center"/>
              <w:rPr>
                <w:rFonts w:hint="eastAsia" w:ascii="宋体" w:hAnsi="宋体"/>
                <w:szCs w:val="21"/>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1F98DBA6">
            <w:pPr>
              <w:jc w:val="center"/>
              <w:rPr>
                <w:rFonts w:hint="eastAsia" w:ascii="宋体" w:hAnsi="宋体"/>
              </w:rPr>
            </w:pPr>
          </w:p>
        </w:tc>
      </w:tr>
      <w:tr w14:paraId="59500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23D8FF65">
            <w:pPr>
              <w:keepNext w:val="0"/>
              <w:keepLines w:val="0"/>
              <w:widowControl/>
              <w:suppressLineNumbers w:val="0"/>
              <w:jc w:val="center"/>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102-2</w:t>
            </w:r>
          </w:p>
        </w:tc>
        <w:tc>
          <w:tcPr>
            <w:tcW w:w="4533" w:type="dxa"/>
            <w:tcBorders>
              <w:top w:val="single" w:color="auto" w:sz="6" w:space="0"/>
              <w:left w:val="single" w:color="auto" w:sz="6" w:space="0"/>
              <w:bottom w:val="single" w:color="auto" w:sz="6" w:space="0"/>
              <w:right w:val="single" w:color="auto" w:sz="6" w:space="0"/>
            </w:tcBorders>
            <w:noWrap w:val="0"/>
            <w:vAlign w:val="center"/>
          </w:tcPr>
          <w:p w14:paraId="19D83A80">
            <w:pPr>
              <w:keepNext w:val="0"/>
              <w:keepLines w:val="0"/>
              <w:widowControl/>
              <w:suppressLineNumbers w:val="0"/>
              <w:jc w:val="left"/>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施工环保费</w:t>
            </w:r>
          </w:p>
        </w:tc>
        <w:tc>
          <w:tcPr>
            <w:tcW w:w="855" w:type="dxa"/>
            <w:tcBorders>
              <w:top w:val="single" w:color="auto" w:sz="6" w:space="0"/>
              <w:left w:val="single" w:color="auto" w:sz="6" w:space="0"/>
              <w:bottom w:val="single" w:color="auto" w:sz="6" w:space="0"/>
              <w:right w:val="single" w:color="auto" w:sz="6" w:space="0"/>
            </w:tcBorders>
            <w:noWrap w:val="0"/>
            <w:vAlign w:val="center"/>
          </w:tcPr>
          <w:p w14:paraId="3ED950E2">
            <w:pPr>
              <w:keepNext w:val="0"/>
              <w:keepLines w:val="0"/>
              <w:widowControl/>
              <w:suppressLineNumbers w:val="0"/>
              <w:jc w:val="center"/>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总额</w:t>
            </w:r>
          </w:p>
        </w:tc>
        <w:tc>
          <w:tcPr>
            <w:tcW w:w="918" w:type="dxa"/>
            <w:tcBorders>
              <w:top w:val="single" w:color="auto" w:sz="6" w:space="0"/>
              <w:left w:val="single" w:color="auto" w:sz="6" w:space="0"/>
              <w:bottom w:val="single" w:color="auto" w:sz="6" w:space="0"/>
              <w:right w:val="single" w:color="auto" w:sz="6" w:space="0"/>
            </w:tcBorders>
            <w:noWrap w:val="0"/>
            <w:vAlign w:val="center"/>
          </w:tcPr>
          <w:p w14:paraId="4C4FFACE">
            <w:pPr>
              <w:keepNext w:val="0"/>
              <w:keepLines w:val="0"/>
              <w:widowControl/>
              <w:suppressLineNumbers w:val="0"/>
              <w:jc w:val="right"/>
              <w:textAlignment w:val="center"/>
              <w:rPr>
                <w:rFonts w:hint="eastAsia" w:ascii="宋体" w:hAnsi="宋体"/>
                <w:sz w:val="21"/>
                <w:szCs w:val="21"/>
              </w:rPr>
            </w:pPr>
            <w:r>
              <w:rPr>
                <w:rFonts w:hint="default" w:ascii="Arial Narrow" w:hAnsi="Arial Narrow" w:eastAsia="Arial Narrow" w:cs="Arial Narrow"/>
                <w:i w:val="0"/>
                <w:iCs w:val="0"/>
                <w:color w:val="000000"/>
                <w:kern w:val="0"/>
                <w:sz w:val="21"/>
                <w:szCs w:val="21"/>
                <w:u w:val="none"/>
                <w:lang w:val="en-US" w:eastAsia="zh-CN" w:bidi="ar"/>
              </w:rPr>
              <w:t>1</w:t>
            </w:r>
          </w:p>
        </w:tc>
        <w:tc>
          <w:tcPr>
            <w:tcW w:w="973" w:type="dxa"/>
            <w:tcBorders>
              <w:top w:val="single" w:color="auto" w:sz="6" w:space="0"/>
              <w:left w:val="single" w:color="auto" w:sz="6" w:space="0"/>
              <w:bottom w:val="single" w:color="auto" w:sz="6" w:space="0"/>
              <w:right w:val="single" w:color="auto" w:sz="6" w:space="0"/>
            </w:tcBorders>
            <w:noWrap w:val="0"/>
            <w:vAlign w:val="center"/>
          </w:tcPr>
          <w:p w14:paraId="4002AA4D">
            <w:pPr>
              <w:jc w:val="center"/>
              <w:rPr>
                <w:rFonts w:hint="eastAsia" w:ascii="宋体" w:hAnsi="宋体"/>
                <w:szCs w:val="21"/>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1C14AEA1">
            <w:pPr>
              <w:jc w:val="center"/>
              <w:rPr>
                <w:rFonts w:hint="eastAsia" w:ascii="宋体" w:hAnsi="宋体"/>
              </w:rPr>
            </w:pPr>
          </w:p>
        </w:tc>
      </w:tr>
      <w:tr w14:paraId="68D57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36217FFD">
            <w:pPr>
              <w:keepNext w:val="0"/>
              <w:keepLines w:val="0"/>
              <w:widowControl/>
              <w:suppressLineNumbers w:val="0"/>
              <w:jc w:val="center"/>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102-4</w:t>
            </w:r>
          </w:p>
        </w:tc>
        <w:tc>
          <w:tcPr>
            <w:tcW w:w="4533" w:type="dxa"/>
            <w:tcBorders>
              <w:top w:val="single" w:color="auto" w:sz="6" w:space="0"/>
              <w:left w:val="single" w:color="auto" w:sz="6" w:space="0"/>
              <w:bottom w:val="single" w:color="auto" w:sz="6" w:space="0"/>
              <w:right w:val="single" w:color="auto" w:sz="6" w:space="0"/>
            </w:tcBorders>
            <w:noWrap w:val="0"/>
            <w:vAlign w:val="center"/>
          </w:tcPr>
          <w:p w14:paraId="6E570E6F">
            <w:pPr>
              <w:keepNext w:val="0"/>
              <w:keepLines w:val="0"/>
              <w:widowControl/>
              <w:suppressLineNumbers w:val="0"/>
              <w:jc w:val="left"/>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安全生产费</w:t>
            </w:r>
          </w:p>
        </w:tc>
        <w:tc>
          <w:tcPr>
            <w:tcW w:w="855" w:type="dxa"/>
            <w:tcBorders>
              <w:top w:val="single" w:color="auto" w:sz="6" w:space="0"/>
              <w:left w:val="single" w:color="auto" w:sz="6" w:space="0"/>
              <w:bottom w:val="single" w:color="auto" w:sz="6" w:space="0"/>
              <w:right w:val="single" w:color="auto" w:sz="6" w:space="0"/>
            </w:tcBorders>
            <w:noWrap w:val="0"/>
            <w:vAlign w:val="center"/>
          </w:tcPr>
          <w:p w14:paraId="03692553">
            <w:pPr>
              <w:keepNext w:val="0"/>
              <w:keepLines w:val="0"/>
              <w:widowControl/>
              <w:suppressLineNumbers w:val="0"/>
              <w:jc w:val="center"/>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总额</w:t>
            </w:r>
          </w:p>
        </w:tc>
        <w:tc>
          <w:tcPr>
            <w:tcW w:w="918" w:type="dxa"/>
            <w:tcBorders>
              <w:top w:val="single" w:color="auto" w:sz="6" w:space="0"/>
              <w:left w:val="single" w:color="auto" w:sz="6" w:space="0"/>
              <w:bottom w:val="single" w:color="auto" w:sz="6" w:space="0"/>
              <w:right w:val="single" w:color="auto" w:sz="6" w:space="0"/>
            </w:tcBorders>
            <w:noWrap w:val="0"/>
            <w:vAlign w:val="center"/>
          </w:tcPr>
          <w:p w14:paraId="6070ACBD">
            <w:pPr>
              <w:keepNext w:val="0"/>
              <w:keepLines w:val="0"/>
              <w:widowControl/>
              <w:suppressLineNumbers w:val="0"/>
              <w:jc w:val="right"/>
              <w:textAlignment w:val="center"/>
              <w:rPr>
                <w:rFonts w:hint="eastAsia" w:ascii="宋体" w:hAnsi="宋体"/>
                <w:sz w:val="21"/>
                <w:szCs w:val="21"/>
              </w:rPr>
            </w:pPr>
            <w:r>
              <w:rPr>
                <w:rFonts w:hint="default" w:ascii="Arial Narrow" w:hAnsi="Arial Narrow" w:eastAsia="Arial Narrow" w:cs="Arial Narrow"/>
                <w:i w:val="0"/>
                <w:iCs w:val="0"/>
                <w:color w:val="000000"/>
                <w:kern w:val="0"/>
                <w:sz w:val="21"/>
                <w:szCs w:val="21"/>
                <w:u w:val="none"/>
                <w:lang w:val="en-US" w:eastAsia="zh-CN" w:bidi="ar"/>
              </w:rPr>
              <w:t>1</w:t>
            </w:r>
          </w:p>
        </w:tc>
        <w:tc>
          <w:tcPr>
            <w:tcW w:w="973" w:type="dxa"/>
            <w:tcBorders>
              <w:top w:val="single" w:color="auto" w:sz="6" w:space="0"/>
              <w:left w:val="single" w:color="auto" w:sz="6" w:space="0"/>
              <w:bottom w:val="single" w:color="auto" w:sz="6" w:space="0"/>
              <w:right w:val="single" w:color="auto" w:sz="6" w:space="0"/>
            </w:tcBorders>
            <w:noWrap w:val="0"/>
            <w:vAlign w:val="center"/>
          </w:tcPr>
          <w:p w14:paraId="18CD4CDA">
            <w:pPr>
              <w:jc w:val="center"/>
              <w:rPr>
                <w:rFonts w:hint="eastAsia" w:ascii="宋体" w:hAnsi="宋体"/>
                <w:szCs w:val="21"/>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08EBD3F9">
            <w:pPr>
              <w:jc w:val="center"/>
              <w:rPr>
                <w:rFonts w:hint="eastAsia" w:ascii="宋体" w:hAnsi="宋体"/>
              </w:rPr>
            </w:pPr>
          </w:p>
        </w:tc>
      </w:tr>
      <w:tr w14:paraId="0F4DF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70BA2CCB">
            <w:pPr>
              <w:keepNext w:val="0"/>
              <w:keepLines w:val="0"/>
              <w:widowControl/>
              <w:suppressLineNumbers w:val="0"/>
              <w:jc w:val="center"/>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104</w:t>
            </w:r>
          </w:p>
        </w:tc>
        <w:tc>
          <w:tcPr>
            <w:tcW w:w="4533" w:type="dxa"/>
            <w:tcBorders>
              <w:top w:val="single" w:color="auto" w:sz="6" w:space="0"/>
              <w:left w:val="single" w:color="auto" w:sz="6" w:space="0"/>
              <w:bottom w:val="single" w:color="auto" w:sz="6" w:space="0"/>
              <w:right w:val="single" w:color="auto" w:sz="6" w:space="0"/>
            </w:tcBorders>
            <w:noWrap w:val="0"/>
            <w:vAlign w:val="center"/>
          </w:tcPr>
          <w:p w14:paraId="041C15E8">
            <w:pPr>
              <w:keepNext w:val="0"/>
              <w:keepLines w:val="0"/>
              <w:widowControl/>
              <w:suppressLineNumbers w:val="0"/>
              <w:jc w:val="left"/>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承包人驻地建设</w:t>
            </w:r>
          </w:p>
        </w:tc>
        <w:tc>
          <w:tcPr>
            <w:tcW w:w="855" w:type="dxa"/>
            <w:tcBorders>
              <w:top w:val="single" w:color="auto" w:sz="6" w:space="0"/>
              <w:left w:val="single" w:color="auto" w:sz="6" w:space="0"/>
              <w:bottom w:val="single" w:color="auto" w:sz="6" w:space="0"/>
              <w:right w:val="single" w:color="auto" w:sz="6" w:space="0"/>
            </w:tcBorders>
            <w:noWrap w:val="0"/>
            <w:vAlign w:val="center"/>
          </w:tcPr>
          <w:p w14:paraId="032ED5F0">
            <w:pPr>
              <w:jc w:val="center"/>
              <w:rPr>
                <w:rFonts w:hint="eastAsia" w:ascii="宋体" w:hAnsi="宋体"/>
                <w:sz w:val="21"/>
                <w:szCs w:val="21"/>
              </w:rPr>
            </w:pPr>
          </w:p>
        </w:tc>
        <w:tc>
          <w:tcPr>
            <w:tcW w:w="918" w:type="dxa"/>
            <w:tcBorders>
              <w:top w:val="single" w:color="auto" w:sz="6" w:space="0"/>
              <w:left w:val="single" w:color="auto" w:sz="6" w:space="0"/>
              <w:bottom w:val="single" w:color="auto" w:sz="6" w:space="0"/>
              <w:right w:val="single" w:color="auto" w:sz="6" w:space="0"/>
            </w:tcBorders>
            <w:noWrap w:val="0"/>
            <w:vAlign w:val="center"/>
          </w:tcPr>
          <w:p w14:paraId="4065EA77">
            <w:pPr>
              <w:jc w:val="right"/>
              <w:rPr>
                <w:rFonts w:hint="eastAsia" w:ascii="宋体" w:hAnsi="宋体"/>
                <w:sz w:val="21"/>
                <w:szCs w:val="21"/>
              </w:rPr>
            </w:pPr>
          </w:p>
        </w:tc>
        <w:tc>
          <w:tcPr>
            <w:tcW w:w="973" w:type="dxa"/>
            <w:tcBorders>
              <w:top w:val="single" w:color="auto" w:sz="6" w:space="0"/>
              <w:left w:val="single" w:color="auto" w:sz="6" w:space="0"/>
              <w:bottom w:val="single" w:color="auto" w:sz="6" w:space="0"/>
              <w:right w:val="single" w:color="auto" w:sz="6" w:space="0"/>
            </w:tcBorders>
            <w:noWrap w:val="0"/>
            <w:vAlign w:val="center"/>
          </w:tcPr>
          <w:p w14:paraId="54DBC0B6">
            <w:pPr>
              <w:jc w:val="center"/>
              <w:rPr>
                <w:rFonts w:hint="eastAsia" w:ascii="宋体" w:hAnsi="宋体"/>
                <w:szCs w:val="21"/>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0904AF7F">
            <w:pPr>
              <w:jc w:val="center"/>
              <w:rPr>
                <w:rFonts w:hint="eastAsia" w:ascii="宋体" w:hAnsi="宋体"/>
              </w:rPr>
            </w:pPr>
          </w:p>
        </w:tc>
      </w:tr>
      <w:tr w14:paraId="6DC67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2B7D80AE">
            <w:pPr>
              <w:keepNext w:val="0"/>
              <w:keepLines w:val="0"/>
              <w:widowControl/>
              <w:suppressLineNumbers w:val="0"/>
              <w:jc w:val="center"/>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104-1</w:t>
            </w:r>
          </w:p>
        </w:tc>
        <w:tc>
          <w:tcPr>
            <w:tcW w:w="4533" w:type="dxa"/>
            <w:tcBorders>
              <w:top w:val="single" w:color="auto" w:sz="6" w:space="0"/>
              <w:left w:val="single" w:color="auto" w:sz="6" w:space="0"/>
              <w:bottom w:val="single" w:color="auto" w:sz="6" w:space="0"/>
              <w:right w:val="single" w:color="auto" w:sz="6" w:space="0"/>
            </w:tcBorders>
            <w:noWrap w:val="0"/>
            <w:vAlign w:val="center"/>
          </w:tcPr>
          <w:p w14:paraId="6A85A4A2">
            <w:pPr>
              <w:keepNext w:val="0"/>
              <w:keepLines w:val="0"/>
              <w:widowControl/>
              <w:suppressLineNumbers w:val="0"/>
              <w:jc w:val="left"/>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承包人驻地建设</w:t>
            </w:r>
          </w:p>
        </w:tc>
        <w:tc>
          <w:tcPr>
            <w:tcW w:w="855" w:type="dxa"/>
            <w:tcBorders>
              <w:top w:val="single" w:color="auto" w:sz="6" w:space="0"/>
              <w:left w:val="single" w:color="auto" w:sz="6" w:space="0"/>
              <w:bottom w:val="single" w:color="auto" w:sz="6" w:space="0"/>
              <w:right w:val="single" w:color="auto" w:sz="6" w:space="0"/>
            </w:tcBorders>
            <w:noWrap w:val="0"/>
            <w:vAlign w:val="center"/>
          </w:tcPr>
          <w:p w14:paraId="114ABFC1">
            <w:pPr>
              <w:keepNext w:val="0"/>
              <w:keepLines w:val="0"/>
              <w:widowControl/>
              <w:suppressLineNumbers w:val="0"/>
              <w:jc w:val="center"/>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总额</w:t>
            </w:r>
          </w:p>
        </w:tc>
        <w:tc>
          <w:tcPr>
            <w:tcW w:w="918" w:type="dxa"/>
            <w:tcBorders>
              <w:top w:val="single" w:color="auto" w:sz="6" w:space="0"/>
              <w:left w:val="single" w:color="auto" w:sz="6" w:space="0"/>
              <w:bottom w:val="single" w:color="auto" w:sz="6" w:space="0"/>
              <w:right w:val="single" w:color="auto" w:sz="6" w:space="0"/>
            </w:tcBorders>
            <w:noWrap w:val="0"/>
            <w:vAlign w:val="center"/>
          </w:tcPr>
          <w:p w14:paraId="1F965139">
            <w:pPr>
              <w:keepNext w:val="0"/>
              <w:keepLines w:val="0"/>
              <w:widowControl/>
              <w:suppressLineNumbers w:val="0"/>
              <w:jc w:val="right"/>
              <w:textAlignment w:val="center"/>
              <w:rPr>
                <w:rFonts w:hint="eastAsia" w:ascii="宋体" w:hAnsi="宋体"/>
                <w:sz w:val="21"/>
                <w:szCs w:val="21"/>
              </w:rPr>
            </w:pPr>
            <w:r>
              <w:rPr>
                <w:rFonts w:hint="default" w:ascii="Arial Narrow" w:hAnsi="Arial Narrow" w:eastAsia="Arial Narrow" w:cs="Arial Narrow"/>
                <w:i w:val="0"/>
                <w:iCs w:val="0"/>
                <w:color w:val="000000"/>
                <w:kern w:val="0"/>
                <w:sz w:val="21"/>
                <w:szCs w:val="21"/>
                <w:u w:val="none"/>
                <w:lang w:val="en-US" w:eastAsia="zh-CN" w:bidi="ar"/>
              </w:rPr>
              <w:t>1</w:t>
            </w:r>
          </w:p>
        </w:tc>
        <w:tc>
          <w:tcPr>
            <w:tcW w:w="973" w:type="dxa"/>
            <w:tcBorders>
              <w:top w:val="single" w:color="auto" w:sz="6" w:space="0"/>
              <w:left w:val="single" w:color="auto" w:sz="6" w:space="0"/>
              <w:bottom w:val="single" w:color="auto" w:sz="6" w:space="0"/>
              <w:right w:val="single" w:color="auto" w:sz="6" w:space="0"/>
            </w:tcBorders>
            <w:noWrap w:val="0"/>
            <w:vAlign w:val="center"/>
          </w:tcPr>
          <w:p w14:paraId="21628BDD">
            <w:pPr>
              <w:jc w:val="center"/>
              <w:rPr>
                <w:rFonts w:hint="eastAsia" w:ascii="宋体" w:hAnsi="宋体"/>
                <w:szCs w:val="21"/>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4995F810">
            <w:pPr>
              <w:jc w:val="center"/>
              <w:rPr>
                <w:rFonts w:hint="eastAsia" w:ascii="宋体" w:hAnsi="宋体"/>
                <w:b/>
              </w:rPr>
            </w:pPr>
          </w:p>
        </w:tc>
      </w:tr>
      <w:tr w14:paraId="50E7B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22EF9E11">
            <w:pPr>
              <w:keepNext w:val="0"/>
              <w:keepLines w:val="0"/>
              <w:widowControl/>
              <w:suppressLineNumbers w:val="0"/>
              <w:jc w:val="center"/>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105</w:t>
            </w:r>
          </w:p>
        </w:tc>
        <w:tc>
          <w:tcPr>
            <w:tcW w:w="4533" w:type="dxa"/>
            <w:tcBorders>
              <w:top w:val="single" w:color="auto" w:sz="6" w:space="0"/>
              <w:left w:val="single" w:color="auto" w:sz="6" w:space="0"/>
              <w:bottom w:val="single" w:color="auto" w:sz="6" w:space="0"/>
              <w:right w:val="single" w:color="auto" w:sz="6" w:space="0"/>
            </w:tcBorders>
            <w:noWrap w:val="0"/>
            <w:vAlign w:val="center"/>
          </w:tcPr>
          <w:p w14:paraId="7AD45397">
            <w:pPr>
              <w:keepNext w:val="0"/>
              <w:keepLines w:val="0"/>
              <w:widowControl/>
              <w:suppressLineNumbers w:val="0"/>
              <w:jc w:val="left"/>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巡查费</w:t>
            </w:r>
          </w:p>
        </w:tc>
        <w:tc>
          <w:tcPr>
            <w:tcW w:w="855" w:type="dxa"/>
            <w:tcBorders>
              <w:top w:val="single" w:color="auto" w:sz="6" w:space="0"/>
              <w:left w:val="single" w:color="auto" w:sz="6" w:space="0"/>
              <w:bottom w:val="single" w:color="auto" w:sz="6" w:space="0"/>
              <w:right w:val="single" w:color="auto" w:sz="6" w:space="0"/>
            </w:tcBorders>
            <w:noWrap w:val="0"/>
            <w:vAlign w:val="center"/>
          </w:tcPr>
          <w:p w14:paraId="55CDD20A">
            <w:pPr>
              <w:jc w:val="center"/>
              <w:rPr>
                <w:rFonts w:hint="eastAsia" w:ascii="宋体" w:hAnsi="宋体"/>
                <w:sz w:val="21"/>
                <w:szCs w:val="21"/>
              </w:rPr>
            </w:pPr>
          </w:p>
        </w:tc>
        <w:tc>
          <w:tcPr>
            <w:tcW w:w="918" w:type="dxa"/>
            <w:tcBorders>
              <w:top w:val="single" w:color="auto" w:sz="6" w:space="0"/>
              <w:left w:val="single" w:color="auto" w:sz="6" w:space="0"/>
              <w:bottom w:val="single" w:color="auto" w:sz="6" w:space="0"/>
              <w:right w:val="single" w:color="auto" w:sz="6" w:space="0"/>
            </w:tcBorders>
            <w:noWrap w:val="0"/>
            <w:vAlign w:val="center"/>
          </w:tcPr>
          <w:p w14:paraId="346366F0">
            <w:pPr>
              <w:jc w:val="right"/>
              <w:rPr>
                <w:rFonts w:hint="eastAsia" w:ascii="宋体" w:hAnsi="宋体"/>
                <w:sz w:val="21"/>
                <w:szCs w:val="21"/>
              </w:rPr>
            </w:pPr>
          </w:p>
        </w:tc>
        <w:tc>
          <w:tcPr>
            <w:tcW w:w="973" w:type="dxa"/>
            <w:tcBorders>
              <w:top w:val="single" w:color="auto" w:sz="6" w:space="0"/>
              <w:left w:val="single" w:color="auto" w:sz="6" w:space="0"/>
              <w:bottom w:val="single" w:color="auto" w:sz="6" w:space="0"/>
              <w:right w:val="single" w:color="auto" w:sz="6" w:space="0"/>
            </w:tcBorders>
            <w:noWrap w:val="0"/>
            <w:vAlign w:val="center"/>
          </w:tcPr>
          <w:p w14:paraId="02B0A395">
            <w:pPr>
              <w:jc w:val="center"/>
              <w:rPr>
                <w:rFonts w:hint="eastAsia" w:ascii="宋体" w:hAnsi="宋体"/>
                <w:szCs w:val="21"/>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586A4329">
            <w:pPr>
              <w:jc w:val="center"/>
              <w:rPr>
                <w:rFonts w:hint="eastAsia" w:ascii="宋体" w:hAnsi="宋体"/>
                <w:b/>
              </w:rPr>
            </w:pPr>
          </w:p>
        </w:tc>
      </w:tr>
      <w:tr w14:paraId="38E02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6D907133">
            <w:pPr>
              <w:keepNext w:val="0"/>
              <w:keepLines w:val="0"/>
              <w:widowControl/>
              <w:suppressLineNumbers w:val="0"/>
              <w:jc w:val="center"/>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105-1</w:t>
            </w:r>
          </w:p>
        </w:tc>
        <w:tc>
          <w:tcPr>
            <w:tcW w:w="4533" w:type="dxa"/>
            <w:tcBorders>
              <w:top w:val="single" w:color="auto" w:sz="6" w:space="0"/>
              <w:left w:val="single" w:color="auto" w:sz="6" w:space="0"/>
              <w:bottom w:val="single" w:color="auto" w:sz="6" w:space="0"/>
              <w:right w:val="single" w:color="auto" w:sz="6" w:space="0"/>
            </w:tcBorders>
            <w:noWrap w:val="0"/>
            <w:vAlign w:val="center"/>
          </w:tcPr>
          <w:p w14:paraId="35FFC74C">
            <w:pPr>
              <w:keepNext w:val="0"/>
              <w:keepLines w:val="0"/>
              <w:widowControl/>
              <w:suppressLineNumbers w:val="0"/>
              <w:jc w:val="left"/>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汽车巡查费（1辆）</w:t>
            </w:r>
          </w:p>
        </w:tc>
        <w:tc>
          <w:tcPr>
            <w:tcW w:w="855" w:type="dxa"/>
            <w:tcBorders>
              <w:top w:val="single" w:color="auto" w:sz="6" w:space="0"/>
              <w:left w:val="single" w:color="auto" w:sz="6" w:space="0"/>
              <w:bottom w:val="single" w:color="auto" w:sz="6" w:space="0"/>
              <w:right w:val="single" w:color="auto" w:sz="6" w:space="0"/>
            </w:tcBorders>
            <w:noWrap w:val="0"/>
            <w:vAlign w:val="center"/>
          </w:tcPr>
          <w:p w14:paraId="46383D5A">
            <w:pPr>
              <w:keepNext w:val="0"/>
              <w:keepLines w:val="0"/>
              <w:widowControl/>
              <w:suppressLineNumbers w:val="0"/>
              <w:jc w:val="center"/>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月</w:t>
            </w:r>
          </w:p>
        </w:tc>
        <w:tc>
          <w:tcPr>
            <w:tcW w:w="918" w:type="dxa"/>
            <w:tcBorders>
              <w:top w:val="single" w:color="auto" w:sz="6" w:space="0"/>
              <w:left w:val="single" w:color="auto" w:sz="6" w:space="0"/>
              <w:bottom w:val="single" w:color="auto" w:sz="6" w:space="0"/>
              <w:right w:val="single" w:color="auto" w:sz="6" w:space="0"/>
            </w:tcBorders>
            <w:noWrap w:val="0"/>
            <w:vAlign w:val="center"/>
          </w:tcPr>
          <w:p w14:paraId="5E1D0CAF">
            <w:pPr>
              <w:keepNext w:val="0"/>
              <w:keepLines w:val="0"/>
              <w:widowControl/>
              <w:suppressLineNumbers w:val="0"/>
              <w:jc w:val="right"/>
              <w:textAlignment w:val="center"/>
              <w:rPr>
                <w:rFonts w:hint="default" w:ascii="宋体" w:hAnsi="宋体"/>
                <w:sz w:val="21"/>
                <w:szCs w:val="21"/>
                <w:lang w:val="en-US"/>
              </w:rPr>
            </w:pPr>
            <w:r>
              <w:rPr>
                <w:rFonts w:hint="default" w:ascii="Arial Narrow" w:hAnsi="Arial Narrow" w:eastAsia="Arial Narrow" w:cs="Arial Narrow"/>
                <w:i w:val="0"/>
                <w:iCs w:val="0"/>
                <w:color w:val="000000"/>
                <w:kern w:val="0"/>
                <w:sz w:val="21"/>
                <w:szCs w:val="21"/>
                <w:u w:val="none"/>
                <w:lang w:val="en-US" w:eastAsia="zh-CN" w:bidi="ar"/>
              </w:rPr>
              <w:t>10</w:t>
            </w:r>
          </w:p>
        </w:tc>
        <w:tc>
          <w:tcPr>
            <w:tcW w:w="973" w:type="dxa"/>
            <w:tcBorders>
              <w:top w:val="single" w:color="auto" w:sz="6" w:space="0"/>
              <w:left w:val="single" w:color="auto" w:sz="6" w:space="0"/>
              <w:bottom w:val="single" w:color="auto" w:sz="6" w:space="0"/>
              <w:right w:val="single" w:color="auto" w:sz="6" w:space="0"/>
            </w:tcBorders>
            <w:noWrap w:val="0"/>
            <w:vAlign w:val="center"/>
          </w:tcPr>
          <w:p w14:paraId="00023073">
            <w:pPr>
              <w:jc w:val="center"/>
              <w:rPr>
                <w:rFonts w:hint="eastAsia" w:ascii="宋体" w:hAnsi="宋体"/>
                <w:szCs w:val="21"/>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43EC0A2F">
            <w:pPr>
              <w:jc w:val="center"/>
              <w:rPr>
                <w:rFonts w:hint="eastAsia" w:ascii="宋体" w:hAnsi="宋体"/>
                <w:b/>
              </w:rPr>
            </w:pPr>
          </w:p>
        </w:tc>
      </w:tr>
      <w:tr w14:paraId="6AF8E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2072870B">
            <w:pPr>
              <w:keepNext w:val="0"/>
              <w:keepLines w:val="0"/>
              <w:widowControl/>
              <w:suppressLineNumbers w:val="0"/>
              <w:jc w:val="center"/>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107</w:t>
            </w:r>
          </w:p>
        </w:tc>
        <w:tc>
          <w:tcPr>
            <w:tcW w:w="4533" w:type="dxa"/>
            <w:tcBorders>
              <w:top w:val="single" w:color="auto" w:sz="6" w:space="0"/>
              <w:left w:val="single" w:color="auto" w:sz="6" w:space="0"/>
              <w:bottom w:val="single" w:color="auto" w:sz="6" w:space="0"/>
              <w:right w:val="single" w:color="auto" w:sz="6" w:space="0"/>
            </w:tcBorders>
            <w:noWrap w:val="0"/>
            <w:vAlign w:val="center"/>
          </w:tcPr>
          <w:p w14:paraId="397847C0">
            <w:pPr>
              <w:keepNext w:val="0"/>
              <w:keepLines w:val="0"/>
              <w:widowControl/>
              <w:suppressLineNumbers w:val="0"/>
              <w:jc w:val="left"/>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应急抢修</w:t>
            </w:r>
          </w:p>
        </w:tc>
        <w:tc>
          <w:tcPr>
            <w:tcW w:w="855" w:type="dxa"/>
            <w:tcBorders>
              <w:top w:val="single" w:color="auto" w:sz="6" w:space="0"/>
              <w:left w:val="single" w:color="auto" w:sz="6" w:space="0"/>
              <w:bottom w:val="single" w:color="auto" w:sz="6" w:space="0"/>
              <w:right w:val="single" w:color="auto" w:sz="6" w:space="0"/>
            </w:tcBorders>
            <w:noWrap w:val="0"/>
            <w:vAlign w:val="center"/>
          </w:tcPr>
          <w:p w14:paraId="4648ABBB">
            <w:pPr>
              <w:jc w:val="center"/>
              <w:rPr>
                <w:rFonts w:hint="eastAsia" w:ascii="宋体" w:hAnsi="宋体"/>
                <w:sz w:val="21"/>
                <w:szCs w:val="21"/>
              </w:rPr>
            </w:pPr>
          </w:p>
        </w:tc>
        <w:tc>
          <w:tcPr>
            <w:tcW w:w="918" w:type="dxa"/>
            <w:tcBorders>
              <w:top w:val="single" w:color="auto" w:sz="6" w:space="0"/>
              <w:left w:val="single" w:color="auto" w:sz="6" w:space="0"/>
              <w:bottom w:val="single" w:color="auto" w:sz="6" w:space="0"/>
              <w:right w:val="single" w:color="auto" w:sz="6" w:space="0"/>
            </w:tcBorders>
            <w:noWrap w:val="0"/>
            <w:vAlign w:val="center"/>
          </w:tcPr>
          <w:p w14:paraId="772DDA6B">
            <w:pPr>
              <w:jc w:val="right"/>
              <w:rPr>
                <w:rFonts w:hint="eastAsia" w:ascii="宋体" w:hAnsi="宋体"/>
                <w:sz w:val="21"/>
                <w:szCs w:val="21"/>
              </w:rPr>
            </w:pPr>
          </w:p>
        </w:tc>
        <w:tc>
          <w:tcPr>
            <w:tcW w:w="973" w:type="dxa"/>
            <w:tcBorders>
              <w:top w:val="single" w:color="auto" w:sz="6" w:space="0"/>
              <w:left w:val="single" w:color="auto" w:sz="6" w:space="0"/>
              <w:bottom w:val="single" w:color="auto" w:sz="6" w:space="0"/>
              <w:right w:val="single" w:color="auto" w:sz="6" w:space="0"/>
            </w:tcBorders>
            <w:noWrap w:val="0"/>
            <w:vAlign w:val="center"/>
          </w:tcPr>
          <w:p w14:paraId="736C52EA">
            <w:pPr>
              <w:jc w:val="center"/>
              <w:rPr>
                <w:rFonts w:hint="eastAsia" w:ascii="宋体" w:hAnsi="宋体"/>
                <w:szCs w:val="21"/>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2139FBED">
            <w:pPr>
              <w:jc w:val="center"/>
              <w:rPr>
                <w:rFonts w:hint="eastAsia" w:ascii="宋体" w:hAnsi="宋体"/>
                <w:b/>
              </w:rPr>
            </w:pPr>
          </w:p>
        </w:tc>
      </w:tr>
      <w:tr w14:paraId="30FBA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6B3D0B56">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107-1</w:t>
            </w:r>
          </w:p>
        </w:tc>
        <w:tc>
          <w:tcPr>
            <w:tcW w:w="4533" w:type="dxa"/>
            <w:tcBorders>
              <w:top w:val="single" w:color="auto" w:sz="6" w:space="0"/>
              <w:left w:val="single" w:color="auto" w:sz="6" w:space="0"/>
              <w:bottom w:val="single" w:color="auto" w:sz="6" w:space="0"/>
              <w:right w:val="single" w:color="auto" w:sz="6" w:space="0"/>
            </w:tcBorders>
            <w:noWrap w:val="0"/>
            <w:vAlign w:val="center"/>
          </w:tcPr>
          <w:p w14:paraId="13AA50D9">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应急处置人工</w:t>
            </w:r>
          </w:p>
        </w:tc>
        <w:tc>
          <w:tcPr>
            <w:tcW w:w="855" w:type="dxa"/>
            <w:tcBorders>
              <w:top w:val="single" w:color="auto" w:sz="6" w:space="0"/>
              <w:left w:val="single" w:color="auto" w:sz="6" w:space="0"/>
              <w:bottom w:val="single" w:color="auto" w:sz="6" w:space="0"/>
              <w:right w:val="single" w:color="auto" w:sz="6" w:space="0"/>
            </w:tcBorders>
            <w:noWrap w:val="0"/>
            <w:vAlign w:val="center"/>
          </w:tcPr>
          <w:p w14:paraId="1913331B">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工日</w:t>
            </w:r>
          </w:p>
        </w:tc>
        <w:tc>
          <w:tcPr>
            <w:tcW w:w="918" w:type="dxa"/>
            <w:tcBorders>
              <w:top w:val="single" w:color="auto" w:sz="6" w:space="0"/>
              <w:left w:val="single" w:color="auto" w:sz="6" w:space="0"/>
              <w:bottom w:val="single" w:color="auto" w:sz="6" w:space="0"/>
              <w:right w:val="single" w:color="auto" w:sz="6" w:space="0"/>
            </w:tcBorders>
            <w:noWrap w:val="0"/>
            <w:vAlign w:val="center"/>
          </w:tcPr>
          <w:p w14:paraId="69CE52ED">
            <w:pPr>
              <w:keepNext w:val="0"/>
              <w:keepLines w:val="0"/>
              <w:widowControl/>
              <w:suppressLineNumbers w:val="0"/>
              <w:jc w:val="right"/>
              <w:textAlignment w:val="center"/>
              <w:rPr>
                <w:rFonts w:hint="eastAsia" w:ascii="宋体" w:hAnsi="宋体" w:cs="宋体"/>
                <w:kern w:val="0"/>
                <w:sz w:val="21"/>
                <w:szCs w:val="21"/>
              </w:rPr>
            </w:pPr>
            <w:r>
              <w:rPr>
                <w:rFonts w:hint="default" w:ascii="Arial Narrow" w:hAnsi="Arial Narrow" w:eastAsia="Arial Narrow" w:cs="Arial Narrow"/>
                <w:i w:val="0"/>
                <w:iCs w:val="0"/>
                <w:color w:val="000000"/>
                <w:kern w:val="0"/>
                <w:sz w:val="21"/>
                <w:szCs w:val="21"/>
                <w:u w:val="none"/>
                <w:lang w:val="en-US" w:eastAsia="zh-CN" w:bidi="ar"/>
              </w:rPr>
              <w:t>450</w:t>
            </w:r>
          </w:p>
        </w:tc>
        <w:tc>
          <w:tcPr>
            <w:tcW w:w="973" w:type="dxa"/>
            <w:tcBorders>
              <w:top w:val="single" w:color="auto" w:sz="6" w:space="0"/>
              <w:left w:val="single" w:color="auto" w:sz="6" w:space="0"/>
              <w:bottom w:val="single" w:color="auto" w:sz="6" w:space="0"/>
              <w:right w:val="single" w:color="auto" w:sz="6" w:space="0"/>
            </w:tcBorders>
            <w:noWrap w:val="0"/>
            <w:vAlign w:val="center"/>
          </w:tcPr>
          <w:p w14:paraId="081E3EA0">
            <w:pPr>
              <w:jc w:val="center"/>
              <w:rPr>
                <w:rFonts w:hint="eastAsia" w:ascii="宋体" w:hAnsi="宋体"/>
                <w:szCs w:val="21"/>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4363227A">
            <w:pPr>
              <w:jc w:val="center"/>
              <w:rPr>
                <w:rFonts w:hint="eastAsia" w:ascii="宋体" w:hAnsi="宋体"/>
                <w:b/>
              </w:rPr>
            </w:pPr>
          </w:p>
        </w:tc>
      </w:tr>
      <w:tr w14:paraId="37FCA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3222FDEE">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107-2</w:t>
            </w:r>
          </w:p>
        </w:tc>
        <w:tc>
          <w:tcPr>
            <w:tcW w:w="4533" w:type="dxa"/>
            <w:tcBorders>
              <w:top w:val="single" w:color="auto" w:sz="6" w:space="0"/>
              <w:left w:val="single" w:color="auto" w:sz="6" w:space="0"/>
              <w:bottom w:val="single" w:color="auto" w:sz="6" w:space="0"/>
              <w:right w:val="single" w:color="auto" w:sz="6" w:space="0"/>
            </w:tcBorders>
            <w:noWrap w:val="0"/>
            <w:vAlign w:val="center"/>
          </w:tcPr>
          <w:p w14:paraId="58AD1A45">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应急保畅及设备的使用费</w:t>
            </w:r>
          </w:p>
        </w:tc>
        <w:tc>
          <w:tcPr>
            <w:tcW w:w="855" w:type="dxa"/>
            <w:tcBorders>
              <w:top w:val="single" w:color="auto" w:sz="6" w:space="0"/>
              <w:left w:val="single" w:color="auto" w:sz="6" w:space="0"/>
              <w:bottom w:val="single" w:color="auto" w:sz="6" w:space="0"/>
              <w:right w:val="single" w:color="auto" w:sz="6" w:space="0"/>
            </w:tcBorders>
            <w:noWrap w:val="0"/>
            <w:vAlign w:val="center"/>
          </w:tcPr>
          <w:p w14:paraId="2B043FE3">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月</w:t>
            </w:r>
          </w:p>
        </w:tc>
        <w:tc>
          <w:tcPr>
            <w:tcW w:w="918" w:type="dxa"/>
            <w:tcBorders>
              <w:top w:val="single" w:color="auto" w:sz="6" w:space="0"/>
              <w:left w:val="single" w:color="auto" w:sz="6" w:space="0"/>
              <w:bottom w:val="single" w:color="auto" w:sz="6" w:space="0"/>
              <w:right w:val="single" w:color="auto" w:sz="6" w:space="0"/>
            </w:tcBorders>
            <w:noWrap w:val="0"/>
            <w:vAlign w:val="center"/>
          </w:tcPr>
          <w:p w14:paraId="68A2998C">
            <w:pPr>
              <w:keepNext w:val="0"/>
              <w:keepLines w:val="0"/>
              <w:widowControl/>
              <w:suppressLineNumbers w:val="0"/>
              <w:jc w:val="right"/>
              <w:textAlignment w:val="center"/>
              <w:rPr>
                <w:rFonts w:hint="default" w:ascii="宋体" w:hAnsi="宋体" w:cs="宋体"/>
                <w:kern w:val="0"/>
                <w:sz w:val="21"/>
                <w:szCs w:val="21"/>
                <w:lang w:val="en-US"/>
              </w:rPr>
            </w:pPr>
            <w:r>
              <w:rPr>
                <w:rFonts w:hint="default" w:ascii="Arial Narrow" w:hAnsi="Arial Narrow" w:eastAsia="Arial Narrow" w:cs="Arial Narrow"/>
                <w:i w:val="0"/>
                <w:iCs w:val="0"/>
                <w:color w:val="000000"/>
                <w:kern w:val="0"/>
                <w:sz w:val="21"/>
                <w:szCs w:val="21"/>
                <w:u w:val="none"/>
                <w:lang w:val="en-US" w:eastAsia="zh-CN" w:bidi="ar"/>
              </w:rPr>
              <w:t>10</w:t>
            </w:r>
          </w:p>
        </w:tc>
        <w:tc>
          <w:tcPr>
            <w:tcW w:w="973" w:type="dxa"/>
            <w:tcBorders>
              <w:top w:val="single" w:color="auto" w:sz="6" w:space="0"/>
              <w:left w:val="single" w:color="auto" w:sz="6" w:space="0"/>
              <w:bottom w:val="single" w:color="auto" w:sz="6" w:space="0"/>
              <w:right w:val="single" w:color="auto" w:sz="6" w:space="0"/>
            </w:tcBorders>
            <w:noWrap w:val="0"/>
            <w:vAlign w:val="center"/>
          </w:tcPr>
          <w:p w14:paraId="1FE458B2">
            <w:pPr>
              <w:jc w:val="center"/>
              <w:rPr>
                <w:rFonts w:hint="eastAsia" w:ascii="宋体" w:hAnsi="宋体"/>
                <w:szCs w:val="21"/>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05950724">
            <w:pPr>
              <w:jc w:val="center"/>
              <w:rPr>
                <w:rFonts w:hint="eastAsia" w:ascii="宋体" w:hAnsi="宋体"/>
                <w:b/>
              </w:rPr>
            </w:pPr>
          </w:p>
        </w:tc>
      </w:tr>
      <w:tr w14:paraId="57E6F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15CCC3AF">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107-3</w:t>
            </w:r>
          </w:p>
        </w:tc>
        <w:tc>
          <w:tcPr>
            <w:tcW w:w="4533" w:type="dxa"/>
            <w:tcBorders>
              <w:top w:val="single" w:color="auto" w:sz="6" w:space="0"/>
              <w:left w:val="single" w:color="auto" w:sz="6" w:space="0"/>
              <w:bottom w:val="single" w:color="auto" w:sz="6" w:space="0"/>
              <w:right w:val="single" w:color="auto" w:sz="6" w:space="0"/>
            </w:tcBorders>
            <w:noWrap w:val="0"/>
            <w:vAlign w:val="center"/>
          </w:tcPr>
          <w:p w14:paraId="5802B4B2">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应急物资</w:t>
            </w:r>
          </w:p>
        </w:tc>
        <w:tc>
          <w:tcPr>
            <w:tcW w:w="855" w:type="dxa"/>
            <w:tcBorders>
              <w:top w:val="single" w:color="auto" w:sz="6" w:space="0"/>
              <w:left w:val="single" w:color="auto" w:sz="6" w:space="0"/>
              <w:bottom w:val="single" w:color="auto" w:sz="6" w:space="0"/>
              <w:right w:val="single" w:color="auto" w:sz="6" w:space="0"/>
            </w:tcBorders>
            <w:noWrap w:val="0"/>
            <w:vAlign w:val="center"/>
          </w:tcPr>
          <w:p w14:paraId="0C314D17">
            <w:pPr>
              <w:jc w:val="center"/>
              <w:rPr>
                <w:rFonts w:hint="eastAsia" w:ascii="宋体" w:hAnsi="宋体" w:cs="宋体"/>
                <w:kern w:val="0"/>
                <w:sz w:val="21"/>
                <w:szCs w:val="21"/>
              </w:rPr>
            </w:pPr>
          </w:p>
        </w:tc>
        <w:tc>
          <w:tcPr>
            <w:tcW w:w="918" w:type="dxa"/>
            <w:tcBorders>
              <w:top w:val="single" w:color="auto" w:sz="6" w:space="0"/>
              <w:left w:val="single" w:color="auto" w:sz="6" w:space="0"/>
              <w:bottom w:val="single" w:color="auto" w:sz="6" w:space="0"/>
              <w:right w:val="single" w:color="auto" w:sz="6" w:space="0"/>
            </w:tcBorders>
            <w:noWrap w:val="0"/>
            <w:vAlign w:val="center"/>
          </w:tcPr>
          <w:p w14:paraId="2484DDF3">
            <w:pPr>
              <w:jc w:val="right"/>
              <w:rPr>
                <w:rFonts w:hint="eastAsia" w:ascii="宋体" w:hAnsi="宋体" w:cs="宋体"/>
                <w:kern w:val="0"/>
                <w:sz w:val="21"/>
                <w:szCs w:val="21"/>
              </w:rPr>
            </w:pPr>
          </w:p>
        </w:tc>
        <w:tc>
          <w:tcPr>
            <w:tcW w:w="973" w:type="dxa"/>
            <w:tcBorders>
              <w:top w:val="single" w:color="auto" w:sz="6" w:space="0"/>
              <w:left w:val="single" w:color="auto" w:sz="6" w:space="0"/>
              <w:bottom w:val="single" w:color="auto" w:sz="6" w:space="0"/>
              <w:right w:val="single" w:color="auto" w:sz="6" w:space="0"/>
            </w:tcBorders>
            <w:noWrap w:val="0"/>
            <w:vAlign w:val="center"/>
          </w:tcPr>
          <w:p w14:paraId="0AEAAAD4">
            <w:pPr>
              <w:jc w:val="center"/>
              <w:rPr>
                <w:rFonts w:hint="eastAsia" w:ascii="宋体" w:hAnsi="宋体"/>
                <w:szCs w:val="21"/>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2BBD4DA7">
            <w:pPr>
              <w:jc w:val="center"/>
              <w:rPr>
                <w:rFonts w:hint="eastAsia" w:ascii="宋体" w:hAnsi="宋体"/>
                <w:b/>
              </w:rPr>
            </w:pPr>
          </w:p>
        </w:tc>
      </w:tr>
      <w:tr w14:paraId="71350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3D5B638D">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-a</w:t>
            </w:r>
          </w:p>
        </w:tc>
        <w:tc>
          <w:tcPr>
            <w:tcW w:w="4533" w:type="dxa"/>
            <w:tcBorders>
              <w:top w:val="single" w:color="auto" w:sz="6" w:space="0"/>
              <w:left w:val="single" w:color="auto" w:sz="6" w:space="0"/>
              <w:bottom w:val="single" w:color="auto" w:sz="6" w:space="0"/>
              <w:right w:val="single" w:color="auto" w:sz="6" w:space="0"/>
            </w:tcBorders>
            <w:noWrap w:val="0"/>
            <w:vAlign w:val="center"/>
          </w:tcPr>
          <w:p w14:paraId="1102B015">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融雪剂</w:t>
            </w:r>
          </w:p>
        </w:tc>
        <w:tc>
          <w:tcPr>
            <w:tcW w:w="855" w:type="dxa"/>
            <w:tcBorders>
              <w:top w:val="single" w:color="auto" w:sz="6" w:space="0"/>
              <w:left w:val="single" w:color="auto" w:sz="6" w:space="0"/>
              <w:bottom w:val="single" w:color="auto" w:sz="6" w:space="0"/>
              <w:right w:val="single" w:color="auto" w:sz="6" w:space="0"/>
            </w:tcBorders>
            <w:noWrap w:val="0"/>
            <w:vAlign w:val="center"/>
          </w:tcPr>
          <w:p w14:paraId="77BD4566">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吨</w:t>
            </w:r>
          </w:p>
        </w:tc>
        <w:tc>
          <w:tcPr>
            <w:tcW w:w="918" w:type="dxa"/>
            <w:tcBorders>
              <w:top w:val="single" w:color="auto" w:sz="6" w:space="0"/>
              <w:left w:val="single" w:color="auto" w:sz="6" w:space="0"/>
              <w:bottom w:val="single" w:color="auto" w:sz="6" w:space="0"/>
              <w:right w:val="single" w:color="auto" w:sz="6" w:space="0"/>
            </w:tcBorders>
            <w:noWrap w:val="0"/>
            <w:vAlign w:val="center"/>
          </w:tcPr>
          <w:p w14:paraId="52E330E8">
            <w:pPr>
              <w:keepNext w:val="0"/>
              <w:keepLines w:val="0"/>
              <w:widowControl/>
              <w:suppressLineNumbers w:val="0"/>
              <w:jc w:val="right"/>
              <w:textAlignment w:val="center"/>
              <w:rPr>
                <w:rFonts w:hint="eastAsia" w:ascii="宋体" w:hAnsi="宋体" w:cs="宋体"/>
                <w:kern w:val="0"/>
                <w:sz w:val="21"/>
                <w:szCs w:val="21"/>
              </w:rPr>
            </w:pPr>
            <w:r>
              <w:rPr>
                <w:rFonts w:hint="default" w:ascii="Arial Narrow" w:hAnsi="Arial Narrow" w:eastAsia="Arial Narrow" w:cs="Arial Narrow"/>
                <w:i w:val="0"/>
                <w:iCs w:val="0"/>
                <w:color w:val="000000"/>
                <w:kern w:val="0"/>
                <w:sz w:val="21"/>
                <w:szCs w:val="21"/>
                <w:u w:val="none"/>
                <w:lang w:val="en-US" w:eastAsia="zh-CN" w:bidi="ar"/>
              </w:rPr>
              <w:t>25</w:t>
            </w:r>
          </w:p>
        </w:tc>
        <w:tc>
          <w:tcPr>
            <w:tcW w:w="973" w:type="dxa"/>
            <w:tcBorders>
              <w:top w:val="single" w:color="auto" w:sz="6" w:space="0"/>
              <w:left w:val="single" w:color="auto" w:sz="6" w:space="0"/>
              <w:bottom w:val="single" w:color="auto" w:sz="6" w:space="0"/>
              <w:right w:val="single" w:color="auto" w:sz="6" w:space="0"/>
            </w:tcBorders>
            <w:noWrap w:val="0"/>
            <w:vAlign w:val="center"/>
          </w:tcPr>
          <w:p w14:paraId="6A0F1F0D">
            <w:pPr>
              <w:jc w:val="center"/>
              <w:rPr>
                <w:rFonts w:hint="eastAsia" w:ascii="宋体" w:hAnsi="宋体"/>
                <w:szCs w:val="21"/>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29120A98">
            <w:pPr>
              <w:jc w:val="center"/>
              <w:rPr>
                <w:rFonts w:hint="eastAsia" w:ascii="宋体" w:hAnsi="宋体"/>
                <w:b/>
              </w:rPr>
            </w:pPr>
          </w:p>
        </w:tc>
      </w:tr>
      <w:tr w14:paraId="6EF2A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66678381">
            <w:pPr>
              <w:keepNext w:val="0"/>
              <w:keepLines w:val="0"/>
              <w:widowControl/>
              <w:suppressLineNumbers w:val="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-b</w:t>
            </w:r>
          </w:p>
        </w:tc>
        <w:tc>
          <w:tcPr>
            <w:tcW w:w="4533" w:type="dxa"/>
            <w:tcBorders>
              <w:top w:val="single" w:color="auto" w:sz="6" w:space="0"/>
              <w:left w:val="single" w:color="auto" w:sz="6" w:space="0"/>
              <w:bottom w:val="single" w:color="auto" w:sz="6" w:space="0"/>
              <w:right w:val="single" w:color="auto" w:sz="6" w:space="0"/>
            </w:tcBorders>
            <w:noWrap w:val="0"/>
            <w:vAlign w:val="center"/>
          </w:tcPr>
          <w:p w14:paraId="47D2A9D5">
            <w:pPr>
              <w:keepNext w:val="0"/>
              <w:keepLines w:val="0"/>
              <w:widowControl/>
              <w:suppressLineNumbers w:val="0"/>
              <w:jc w:val="left"/>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草包</w:t>
            </w:r>
          </w:p>
        </w:tc>
        <w:tc>
          <w:tcPr>
            <w:tcW w:w="855" w:type="dxa"/>
            <w:tcBorders>
              <w:top w:val="single" w:color="auto" w:sz="6" w:space="0"/>
              <w:left w:val="single" w:color="auto" w:sz="6" w:space="0"/>
              <w:bottom w:val="single" w:color="auto" w:sz="6" w:space="0"/>
              <w:right w:val="single" w:color="auto" w:sz="6" w:space="0"/>
            </w:tcBorders>
            <w:noWrap w:val="0"/>
            <w:vAlign w:val="center"/>
          </w:tcPr>
          <w:p w14:paraId="758343BF">
            <w:pPr>
              <w:keepNext w:val="0"/>
              <w:keepLines w:val="0"/>
              <w:widowControl/>
              <w:suppressLineNumbers w:val="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个</w:t>
            </w:r>
          </w:p>
        </w:tc>
        <w:tc>
          <w:tcPr>
            <w:tcW w:w="918" w:type="dxa"/>
            <w:tcBorders>
              <w:top w:val="single" w:color="auto" w:sz="6" w:space="0"/>
              <w:left w:val="single" w:color="auto" w:sz="6" w:space="0"/>
              <w:bottom w:val="single" w:color="auto" w:sz="6" w:space="0"/>
              <w:right w:val="single" w:color="auto" w:sz="6" w:space="0"/>
            </w:tcBorders>
            <w:noWrap w:val="0"/>
            <w:vAlign w:val="center"/>
          </w:tcPr>
          <w:p w14:paraId="5CDB16D3">
            <w:pPr>
              <w:keepNext w:val="0"/>
              <w:keepLines w:val="0"/>
              <w:widowControl/>
              <w:suppressLineNumbers w:val="0"/>
              <w:jc w:val="right"/>
              <w:textAlignment w:val="center"/>
              <w:rPr>
                <w:rFonts w:hint="eastAsia" w:ascii="宋体" w:hAnsi="宋体"/>
                <w:sz w:val="21"/>
                <w:szCs w:val="21"/>
              </w:rPr>
            </w:pPr>
            <w:r>
              <w:rPr>
                <w:rFonts w:hint="default" w:ascii="Arial Narrow" w:hAnsi="Arial Narrow" w:eastAsia="Arial Narrow" w:cs="Arial Narrow"/>
                <w:i w:val="0"/>
                <w:iCs w:val="0"/>
                <w:color w:val="000000"/>
                <w:kern w:val="0"/>
                <w:sz w:val="21"/>
                <w:szCs w:val="21"/>
                <w:u w:val="none"/>
                <w:lang w:val="en-US" w:eastAsia="zh-CN" w:bidi="ar"/>
              </w:rPr>
              <w:t>1500</w:t>
            </w:r>
          </w:p>
        </w:tc>
        <w:tc>
          <w:tcPr>
            <w:tcW w:w="973" w:type="dxa"/>
            <w:tcBorders>
              <w:top w:val="single" w:color="auto" w:sz="6" w:space="0"/>
              <w:left w:val="single" w:color="auto" w:sz="6" w:space="0"/>
              <w:bottom w:val="single" w:color="auto" w:sz="6" w:space="0"/>
              <w:right w:val="single" w:color="auto" w:sz="6" w:space="0"/>
            </w:tcBorders>
            <w:noWrap w:val="0"/>
            <w:vAlign w:val="center"/>
          </w:tcPr>
          <w:p w14:paraId="2BAFDEF6">
            <w:pPr>
              <w:jc w:val="center"/>
              <w:rPr>
                <w:rFonts w:hint="eastAsia" w:ascii="宋体" w:hAnsi="宋体"/>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59FF0CFB">
            <w:pPr>
              <w:jc w:val="center"/>
              <w:rPr>
                <w:rFonts w:hint="eastAsia" w:ascii="宋体" w:hAnsi="宋体"/>
              </w:rPr>
            </w:pPr>
          </w:p>
        </w:tc>
      </w:tr>
    </w:tbl>
    <w:p w14:paraId="4BCC373A">
      <w:pPr>
        <w:spacing w:before="240" w:beforeLines="100" w:after="240" w:afterLines="100"/>
        <w:jc w:val="center"/>
        <w:rPr>
          <w:rFonts w:hint="eastAsia" w:ascii="黑体" w:hAnsi="宋体" w:eastAsia="黑体"/>
          <w:sz w:val="30"/>
          <w:szCs w:val="30"/>
        </w:rPr>
      </w:pPr>
    </w:p>
    <w:p w14:paraId="4A8C9500">
      <w:pPr>
        <w:spacing w:before="240" w:beforeLines="100" w:after="240" w:afterLines="100"/>
        <w:jc w:val="center"/>
        <w:rPr>
          <w:rFonts w:hint="eastAsia" w:ascii="黑体" w:hAnsi="宋体" w:eastAsia="黑体"/>
          <w:sz w:val="30"/>
          <w:szCs w:val="30"/>
        </w:rPr>
      </w:pPr>
    </w:p>
    <w:p w14:paraId="16C1D538">
      <w:pPr>
        <w:spacing w:before="240" w:beforeLines="100" w:after="240" w:afterLines="100"/>
        <w:jc w:val="center"/>
        <w:rPr>
          <w:rFonts w:hint="eastAsia" w:ascii="黑体" w:hAnsi="宋体" w:eastAsia="黑体"/>
          <w:sz w:val="30"/>
          <w:szCs w:val="30"/>
        </w:rPr>
      </w:pPr>
    </w:p>
    <w:p w14:paraId="5E103786">
      <w:pPr>
        <w:spacing w:before="240" w:beforeLines="100" w:after="240" w:afterLines="100"/>
        <w:jc w:val="center"/>
        <w:rPr>
          <w:rFonts w:hint="eastAsia" w:ascii="黑体" w:hAnsi="宋体" w:eastAsia="黑体"/>
          <w:sz w:val="30"/>
          <w:szCs w:val="30"/>
        </w:rPr>
      </w:pPr>
      <w:r>
        <w:rPr>
          <w:rFonts w:hint="eastAsia" w:ascii="黑体" w:hAnsi="宋体" w:eastAsia="黑体"/>
          <w:sz w:val="30"/>
          <w:szCs w:val="30"/>
        </w:rPr>
        <w:t>工程量清单</w:t>
      </w:r>
    </w:p>
    <w:p w14:paraId="7D996D3A">
      <w:pPr>
        <w:pStyle w:val="50"/>
        <w:ind w:left="0" w:leftChars="0" w:firstLine="0" w:firstLine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标项</w:t>
      </w: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w:t>
      </w:r>
      <w:r>
        <w:rPr>
          <w:rFonts w:hint="eastAsia" w:asciiTheme="minorEastAsia" w:hAnsiTheme="minorEastAsia" w:cstheme="minorEastAsia"/>
          <w:sz w:val="24"/>
          <w:szCs w:val="24"/>
          <w:lang w:eastAsia="zh-CN"/>
        </w:rPr>
        <w:t>2026年秀洲区县道及以上公路小修及应急抢险项目</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第一</w:t>
      </w:r>
      <w:r>
        <w:rPr>
          <w:rFonts w:hint="eastAsia" w:asciiTheme="minorEastAsia" w:hAnsiTheme="minorEastAsia" w:eastAsiaTheme="minorEastAsia" w:cstheme="minorEastAsia"/>
          <w:sz w:val="24"/>
          <w:szCs w:val="24"/>
          <w:lang w:eastAsia="zh-CN"/>
        </w:rPr>
        <w:t>标段）</w:t>
      </w:r>
    </w:p>
    <w:p w14:paraId="311FB50A">
      <w:pPr>
        <w:pStyle w:val="50"/>
        <w:ind w:left="0" w:leftChars="0" w:firstLine="0" w:firstLine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货币单位：人民币元</w:t>
      </w:r>
    </w:p>
    <w:tbl>
      <w:tblPr>
        <w:tblStyle w:val="51"/>
        <w:tblW w:w="0" w:type="auto"/>
        <w:tblInd w:w="-7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0" w:type="dxa"/>
        </w:tblCellMar>
      </w:tblPr>
      <w:tblGrid>
        <w:gridCol w:w="822"/>
        <w:gridCol w:w="4533"/>
        <w:gridCol w:w="855"/>
        <w:gridCol w:w="918"/>
        <w:gridCol w:w="973"/>
        <w:gridCol w:w="1061"/>
      </w:tblGrid>
      <w:tr w14:paraId="730E8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9162" w:type="dxa"/>
            <w:gridSpan w:val="6"/>
            <w:tcBorders>
              <w:top w:val="single" w:color="auto" w:sz="12" w:space="0"/>
              <w:left w:val="single" w:color="auto" w:sz="12" w:space="0"/>
              <w:bottom w:val="single" w:color="auto" w:sz="6" w:space="0"/>
              <w:right w:val="single" w:color="auto" w:sz="12" w:space="0"/>
            </w:tcBorders>
            <w:noWrap w:val="0"/>
            <w:vAlign w:val="center"/>
          </w:tcPr>
          <w:p w14:paraId="3301BB92">
            <w:pPr>
              <w:ind w:firstLine="103" w:firstLineChars="49"/>
              <w:jc w:val="center"/>
              <w:rPr>
                <w:rFonts w:hint="eastAsia" w:ascii="宋体" w:hAnsi="宋体"/>
                <w:b/>
                <w:bCs/>
              </w:rPr>
            </w:pPr>
            <w:r>
              <w:rPr>
                <w:rFonts w:hint="eastAsia" w:ascii="宋体" w:hAnsi="宋体"/>
                <w:b/>
                <w:bCs/>
              </w:rPr>
              <w:t>清单      第100章      总  则</w:t>
            </w:r>
          </w:p>
        </w:tc>
      </w:tr>
      <w:tr w14:paraId="32FA5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25896362">
            <w:pPr>
              <w:jc w:val="center"/>
              <w:rPr>
                <w:rFonts w:hint="eastAsia" w:ascii="宋体" w:hAnsi="宋体"/>
                <w:szCs w:val="21"/>
              </w:rPr>
            </w:pPr>
            <w:r>
              <w:rPr>
                <w:rFonts w:hint="eastAsia" w:ascii="宋体" w:hAnsi="宋体"/>
                <w:szCs w:val="21"/>
              </w:rPr>
              <w:t>子目号</w:t>
            </w:r>
          </w:p>
        </w:tc>
        <w:tc>
          <w:tcPr>
            <w:tcW w:w="4533" w:type="dxa"/>
            <w:tcBorders>
              <w:top w:val="single" w:color="auto" w:sz="6" w:space="0"/>
              <w:left w:val="single" w:color="auto" w:sz="6" w:space="0"/>
              <w:bottom w:val="single" w:color="auto" w:sz="6" w:space="0"/>
              <w:right w:val="single" w:color="auto" w:sz="6" w:space="0"/>
            </w:tcBorders>
            <w:noWrap w:val="0"/>
            <w:vAlign w:val="center"/>
          </w:tcPr>
          <w:p w14:paraId="53B6FC9D">
            <w:pPr>
              <w:jc w:val="center"/>
              <w:rPr>
                <w:rFonts w:hint="eastAsia" w:ascii="宋体" w:hAnsi="宋体"/>
                <w:szCs w:val="21"/>
              </w:rPr>
            </w:pPr>
            <w:r>
              <w:rPr>
                <w:rFonts w:hint="eastAsia" w:ascii="宋体" w:hAnsi="宋体"/>
                <w:szCs w:val="21"/>
              </w:rPr>
              <w:t>子  目  名  称</w:t>
            </w:r>
          </w:p>
        </w:tc>
        <w:tc>
          <w:tcPr>
            <w:tcW w:w="855" w:type="dxa"/>
            <w:tcBorders>
              <w:top w:val="single" w:color="auto" w:sz="6" w:space="0"/>
              <w:left w:val="single" w:color="auto" w:sz="6" w:space="0"/>
              <w:bottom w:val="single" w:color="auto" w:sz="6" w:space="0"/>
              <w:right w:val="single" w:color="auto" w:sz="6" w:space="0"/>
            </w:tcBorders>
            <w:noWrap w:val="0"/>
            <w:vAlign w:val="center"/>
          </w:tcPr>
          <w:p w14:paraId="157AF8F1">
            <w:pPr>
              <w:jc w:val="center"/>
              <w:rPr>
                <w:rFonts w:hint="eastAsia" w:ascii="宋体" w:hAnsi="宋体"/>
                <w:szCs w:val="21"/>
              </w:rPr>
            </w:pPr>
            <w:r>
              <w:rPr>
                <w:rFonts w:hint="eastAsia" w:ascii="宋体" w:hAnsi="宋体"/>
                <w:szCs w:val="21"/>
              </w:rPr>
              <w:t>单位</w:t>
            </w:r>
          </w:p>
        </w:tc>
        <w:tc>
          <w:tcPr>
            <w:tcW w:w="918" w:type="dxa"/>
            <w:tcBorders>
              <w:top w:val="single" w:color="auto" w:sz="6" w:space="0"/>
              <w:left w:val="single" w:color="auto" w:sz="6" w:space="0"/>
              <w:bottom w:val="single" w:color="auto" w:sz="6" w:space="0"/>
              <w:right w:val="single" w:color="auto" w:sz="6" w:space="0"/>
            </w:tcBorders>
            <w:noWrap w:val="0"/>
            <w:vAlign w:val="center"/>
          </w:tcPr>
          <w:p w14:paraId="08B2F1A7">
            <w:pPr>
              <w:jc w:val="center"/>
              <w:rPr>
                <w:rFonts w:hint="eastAsia" w:ascii="宋体" w:hAnsi="宋体"/>
                <w:szCs w:val="21"/>
              </w:rPr>
            </w:pPr>
            <w:r>
              <w:rPr>
                <w:rFonts w:hint="eastAsia" w:ascii="宋体" w:hAnsi="宋体"/>
                <w:szCs w:val="21"/>
              </w:rPr>
              <w:t>数量</w:t>
            </w:r>
          </w:p>
        </w:tc>
        <w:tc>
          <w:tcPr>
            <w:tcW w:w="973" w:type="dxa"/>
            <w:tcBorders>
              <w:top w:val="single" w:color="auto" w:sz="6" w:space="0"/>
              <w:left w:val="single" w:color="auto" w:sz="6" w:space="0"/>
              <w:bottom w:val="single" w:color="auto" w:sz="6" w:space="0"/>
              <w:right w:val="single" w:color="auto" w:sz="6" w:space="0"/>
            </w:tcBorders>
            <w:noWrap w:val="0"/>
            <w:vAlign w:val="center"/>
          </w:tcPr>
          <w:p w14:paraId="12529E5A">
            <w:pPr>
              <w:jc w:val="center"/>
              <w:rPr>
                <w:rFonts w:hint="eastAsia" w:ascii="宋体" w:hAnsi="宋体"/>
                <w:szCs w:val="21"/>
              </w:rPr>
            </w:pPr>
            <w:r>
              <w:rPr>
                <w:rFonts w:hint="eastAsia" w:ascii="宋体" w:hAnsi="宋体"/>
                <w:szCs w:val="21"/>
              </w:rPr>
              <w:t>单价</w:t>
            </w: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13E7AFCE">
            <w:pPr>
              <w:jc w:val="center"/>
              <w:rPr>
                <w:rFonts w:hint="eastAsia" w:ascii="宋体" w:hAnsi="宋体"/>
              </w:rPr>
            </w:pPr>
            <w:r>
              <w:rPr>
                <w:rFonts w:hint="eastAsia" w:ascii="宋体" w:hAnsi="宋体"/>
              </w:rPr>
              <w:t>合价</w:t>
            </w:r>
          </w:p>
        </w:tc>
      </w:tr>
      <w:tr w14:paraId="14ABD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339D49E8">
            <w:pPr>
              <w:keepNext w:val="0"/>
              <w:keepLines w:val="0"/>
              <w:widowControl/>
              <w:suppressLineNumbers w:val="0"/>
              <w:jc w:val="center"/>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-c</w:t>
            </w:r>
          </w:p>
        </w:tc>
        <w:tc>
          <w:tcPr>
            <w:tcW w:w="4533" w:type="dxa"/>
            <w:tcBorders>
              <w:top w:val="single" w:color="auto" w:sz="6" w:space="0"/>
              <w:left w:val="single" w:color="auto" w:sz="6" w:space="0"/>
              <w:bottom w:val="single" w:color="auto" w:sz="6" w:space="0"/>
              <w:right w:val="single" w:color="auto" w:sz="6" w:space="0"/>
            </w:tcBorders>
            <w:noWrap w:val="0"/>
            <w:vAlign w:val="center"/>
          </w:tcPr>
          <w:p w14:paraId="2BF9413D">
            <w:pPr>
              <w:keepNext w:val="0"/>
              <w:keepLines w:val="0"/>
              <w:widowControl/>
              <w:suppressLineNumbers w:val="0"/>
              <w:jc w:val="left"/>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石粉</w:t>
            </w:r>
          </w:p>
        </w:tc>
        <w:tc>
          <w:tcPr>
            <w:tcW w:w="855" w:type="dxa"/>
            <w:tcBorders>
              <w:top w:val="single" w:color="auto" w:sz="6" w:space="0"/>
              <w:left w:val="single" w:color="auto" w:sz="6" w:space="0"/>
              <w:bottom w:val="single" w:color="auto" w:sz="6" w:space="0"/>
              <w:right w:val="single" w:color="auto" w:sz="6" w:space="0"/>
            </w:tcBorders>
            <w:noWrap w:val="0"/>
            <w:vAlign w:val="center"/>
          </w:tcPr>
          <w:p w14:paraId="44CE8E3B">
            <w:pPr>
              <w:keepNext w:val="0"/>
              <w:keepLines w:val="0"/>
              <w:widowControl/>
              <w:suppressLineNumbers w:val="0"/>
              <w:jc w:val="center"/>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吨</w:t>
            </w:r>
          </w:p>
        </w:tc>
        <w:tc>
          <w:tcPr>
            <w:tcW w:w="918" w:type="dxa"/>
            <w:tcBorders>
              <w:top w:val="single" w:color="auto" w:sz="6" w:space="0"/>
              <w:left w:val="single" w:color="auto" w:sz="6" w:space="0"/>
              <w:bottom w:val="single" w:color="auto" w:sz="6" w:space="0"/>
              <w:right w:val="single" w:color="auto" w:sz="6" w:space="0"/>
            </w:tcBorders>
            <w:noWrap w:val="0"/>
            <w:vAlign w:val="center"/>
          </w:tcPr>
          <w:p w14:paraId="78AB2D1B">
            <w:pPr>
              <w:keepNext w:val="0"/>
              <w:keepLines w:val="0"/>
              <w:widowControl/>
              <w:suppressLineNumbers w:val="0"/>
              <w:jc w:val="right"/>
              <w:textAlignment w:val="center"/>
              <w:rPr>
                <w:rFonts w:hint="eastAsia" w:ascii="宋体" w:hAnsi="宋体"/>
                <w:sz w:val="21"/>
                <w:szCs w:val="21"/>
              </w:rPr>
            </w:pPr>
            <w:r>
              <w:rPr>
                <w:rFonts w:hint="default" w:ascii="Arial Narrow" w:hAnsi="Arial Narrow" w:eastAsia="Arial Narrow" w:cs="Arial Narrow"/>
                <w:i w:val="0"/>
                <w:iCs w:val="0"/>
                <w:color w:val="000000"/>
                <w:kern w:val="0"/>
                <w:sz w:val="21"/>
                <w:szCs w:val="21"/>
                <w:u w:val="none"/>
                <w:lang w:val="en-US" w:eastAsia="zh-CN" w:bidi="ar"/>
              </w:rPr>
              <w:t>15</w:t>
            </w:r>
          </w:p>
        </w:tc>
        <w:tc>
          <w:tcPr>
            <w:tcW w:w="973" w:type="dxa"/>
            <w:tcBorders>
              <w:top w:val="single" w:color="auto" w:sz="6" w:space="0"/>
              <w:left w:val="single" w:color="auto" w:sz="6" w:space="0"/>
              <w:bottom w:val="single" w:color="auto" w:sz="6" w:space="0"/>
              <w:right w:val="single" w:color="auto" w:sz="6" w:space="0"/>
            </w:tcBorders>
            <w:noWrap w:val="0"/>
            <w:vAlign w:val="center"/>
          </w:tcPr>
          <w:p w14:paraId="7E9B8801">
            <w:pPr>
              <w:jc w:val="center"/>
              <w:rPr>
                <w:rFonts w:ascii="宋体" w:hAnsi="宋体"/>
                <w:sz w:val="21"/>
                <w:szCs w:val="21"/>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75D8EC38">
            <w:pPr>
              <w:jc w:val="center"/>
              <w:rPr>
                <w:rFonts w:hint="eastAsia" w:ascii="宋体" w:hAnsi="宋体"/>
              </w:rPr>
            </w:pPr>
          </w:p>
        </w:tc>
      </w:tr>
      <w:tr w14:paraId="4F518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0CC6D2CC">
            <w:pPr>
              <w:keepNext w:val="0"/>
              <w:keepLines w:val="0"/>
              <w:widowControl/>
              <w:suppressLineNumbers w:val="0"/>
              <w:jc w:val="center"/>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-d</w:t>
            </w:r>
          </w:p>
        </w:tc>
        <w:tc>
          <w:tcPr>
            <w:tcW w:w="4533" w:type="dxa"/>
            <w:tcBorders>
              <w:top w:val="single" w:color="auto" w:sz="6" w:space="0"/>
              <w:left w:val="single" w:color="auto" w:sz="6" w:space="0"/>
              <w:bottom w:val="single" w:color="auto" w:sz="6" w:space="0"/>
              <w:right w:val="single" w:color="auto" w:sz="6" w:space="0"/>
            </w:tcBorders>
            <w:noWrap w:val="0"/>
            <w:vAlign w:val="center"/>
          </w:tcPr>
          <w:p w14:paraId="71FF42D6">
            <w:pPr>
              <w:keepNext w:val="0"/>
              <w:keepLines w:val="0"/>
              <w:widowControl/>
              <w:suppressLineNumbers w:val="0"/>
              <w:jc w:val="left"/>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铁锹</w:t>
            </w:r>
          </w:p>
        </w:tc>
        <w:tc>
          <w:tcPr>
            <w:tcW w:w="855" w:type="dxa"/>
            <w:tcBorders>
              <w:top w:val="single" w:color="auto" w:sz="6" w:space="0"/>
              <w:left w:val="single" w:color="auto" w:sz="6" w:space="0"/>
              <w:bottom w:val="single" w:color="auto" w:sz="6" w:space="0"/>
              <w:right w:val="single" w:color="auto" w:sz="6" w:space="0"/>
            </w:tcBorders>
            <w:noWrap w:val="0"/>
            <w:vAlign w:val="center"/>
          </w:tcPr>
          <w:p w14:paraId="411D4FAA">
            <w:pPr>
              <w:keepNext w:val="0"/>
              <w:keepLines w:val="0"/>
              <w:widowControl/>
              <w:suppressLineNumbers w:val="0"/>
              <w:jc w:val="center"/>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把</w:t>
            </w:r>
          </w:p>
        </w:tc>
        <w:tc>
          <w:tcPr>
            <w:tcW w:w="918" w:type="dxa"/>
            <w:tcBorders>
              <w:top w:val="single" w:color="auto" w:sz="6" w:space="0"/>
              <w:left w:val="single" w:color="auto" w:sz="6" w:space="0"/>
              <w:bottom w:val="single" w:color="auto" w:sz="6" w:space="0"/>
              <w:right w:val="single" w:color="auto" w:sz="6" w:space="0"/>
            </w:tcBorders>
            <w:noWrap w:val="0"/>
            <w:vAlign w:val="center"/>
          </w:tcPr>
          <w:p w14:paraId="621EA673">
            <w:pPr>
              <w:keepNext w:val="0"/>
              <w:keepLines w:val="0"/>
              <w:widowControl/>
              <w:suppressLineNumbers w:val="0"/>
              <w:jc w:val="right"/>
              <w:textAlignment w:val="center"/>
              <w:rPr>
                <w:rFonts w:hint="eastAsia" w:ascii="宋体" w:hAnsi="宋体"/>
                <w:sz w:val="21"/>
                <w:szCs w:val="21"/>
              </w:rPr>
            </w:pPr>
            <w:r>
              <w:rPr>
                <w:rFonts w:hint="default" w:ascii="Arial Narrow" w:hAnsi="Arial Narrow" w:eastAsia="Arial Narrow" w:cs="Arial Narrow"/>
                <w:i w:val="0"/>
                <w:iCs w:val="0"/>
                <w:color w:val="000000"/>
                <w:kern w:val="0"/>
                <w:sz w:val="21"/>
                <w:szCs w:val="21"/>
                <w:u w:val="none"/>
                <w:lang w:val="en-US" w:eastAsia="zh-CN" w:bidi="ar"/>
              </w:rPr>
              <w:t>25</w:t>
            </w:r>
          </w:p>
        </w:tc>
        <w:tc>
          <w:tcPr>
            <w:tcW w:w="973" w:type="dxa"/>
            <w:tcBorders>
              <w:top w:val="single" w:color="auto" w:sz="6" w:space="0"/>
              <w:left w:val="single" w:color="auto" w:sz="6" w:space="0"/>
              <w:bottom w:val="single" w:color="auto" w:sz="6" w:space="0"/>
              <w:right w:val="single" w:color="auto" w:sz="6" w:space="0"/>
            </w:tcBorders>
            <w:noWrap w:val="0"/>
            <w:vAlign w:val="center"/>
          </w:tcPr>
          <w:p w14:paraId="68E90B3D">
            <w:pPr>
              <w:jc w:val="center"/>
              <w:rPr>
                <w:rFonts w:hint="eastAsia" w:ascii="宋体" w:hAnsi="宋体"/>
                <w:sz w:val="21"/>
                <w:szCs w:val="21"/>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3E0B546B">
            <w:pPr>
              <w:jc w:val="center"/>
              <w:rPr>
                <w:rFonts w:hint="eastAsia" w:ascii="宋体" w:hAnsi="宋体"/>
              </w:rPr>
            </w:pPr>
          </w:p>
        </w:tc>
      </w:tr>
      <w:tr w14:paraId="2E7D4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6A8238AA">
            <w:pPr>
              <w:keepNext w:val="0"/>
              <w:keepLines w:val="0"/>
              <w:widowControl/>
              <w:suppressLineNumbers w:val="0"/>
              <w:jc w:val="center"/>
              <w:textAlignment w:val="center"/>
              <w:rPr>
                <w:rFonts w:hint="eastAsia" w:ascii="宋体" w:hAnsi="宋体"/>
                <w:sz w:val="21"/>
                <w:szCs w:val="21"/>
              </w:rPr>
            </w:pPr>
          </w:p>
        </w:tc>
        <w:tc>
          <w:tcPr>
            <w:tcW w:w="4533" w:type="dxa"/>
            <w:tcBorders>
              <w:top w:val="single" w:color="auto" w:sz="6" w:space="0"/>
              <w:left w:val="single" w:color="auto" w:sz="6" w:space="0"/>
              <w:bottom w:val="single" w:color="auto" w:sz="6" w:space="0"/>
              <w:right w:val="single" w:color="auto" w:sz="6" w:space="0"/>
            </w:tcBorders>
            <w:noWrap w:val="0"/>
            <w:vAlign w:val="center"/>
          </w:tcPr>
          <w:p w14:paraId="72B38A23">
            <w:pPr>
              <w:keepNext w:val="0"/>
              <w:keepLines w:val="0"/>
              <w:widowControl/>
              <w:suppressLineNumbers w:val="0"/>
              <w:jc w:val="left"/>
              <w:textAlignment w:val="center"/>
              <w:rPr>
                <w:rFonts w:hint="eastAsia" w:ascii="宋体" w:hAnsi="宋体"/>
                <w:sz w:val="21"/>
                <w:szCs w:val="21"/>
              </w:rPr>
            </w:pPr>
          </w:p>
        </w:tc>
        <w:tc>
          <w:tcPr>
            <w:tcW w:w="855" w:type="dxa"/>
            <w:tcBorders>
              <w:top w:val="single" w:color="auto" w:sz="6" w:space="0"/>
              <w:left w:val="single" w:color="auto" w:sz="6" w:space="0"/>
              <w:bottom w:val="single" w:color="auto" w:sz="6" w:space="0"/>
              <w:right w:val="single" w:color="auto" w:sz="6" w:space="0"/>
            </w:tcBorders>
            <w:noWrap w:val="0"/>
            <w:vAlign w:val="center"/>
          </w:tcPr>
          <w:p w14:paraId="1BA78680">
            <w:pPr>
              <w:keepNext w:val="0"/>
              <w:keepLines w:val="0"/>
              <w:widowControl/>
              <w:suppressLineNumbers w:val="0"/>
              <w:jc w:val="center"/>
              <w:textAlignment w:val="center"/>
              <w:rPr>
                <w:rFonts w:hint="eastAsia" w:ascii="宋体" w:hAnsi="宋体"/>
                <w:sz w:val="21"/>
                <w:szCs w:val="21"/>
              </w:rPr>
            </w:pPr>
          </w:p>
        </w:tc>
        <w:tc>
          <w:tcPr>
            <w:tcW w:w="918" w:type="dxa"/>
            <w:tcBorders>
              <w:top w:val="single" w:color="auto" w:sz="6" w:space="0"/>
              <w:left w:val="single" w:color="auto" w:sz="6" w:space="0"/>
              <w:bottom w:val="single" w:color="auto" w:sz="6" w:space="0"/>
              <w:right w:val="single" w:color="auto" w:sz="6" w:space="0"/>
            </w:tcBorders>
            <w:noWrap w:val="0"/>
            <w:vAlign w:val="center"/>
          </w:tcPr>
          <w:p w14:paraId="7C399182">
            <w:pPr>
              <w:keepNext w:val="0"/>
              <w:keepLines w:val="0"/>
              <w:widowControl/>
              <w:suppressLineNumbers w:val="0"/>
              <w:jc w:val="right"/>
              <w:textAlignment w:val="center"/>
              <w:rPr>
                <w:rFonts w:hint="eastAsia" w:ascii="宋体" w:hAnsi="宋体"/>
                <w:sz w:val="21"/>
                <w:szCs w:val="21"/>
              </w:rPr>
            </w:pPr>
          </w:p>
        </w:tc>
        <w:tc>
          <w:tcPr>
            <w:tcW w:w="973" w:type="dxa"/>
            <w:tcBorders>
              <w:top w:val="single" w:color="auto" w:sz="6" w:space="0"/>
              <w:left w:val="single" w:color="auto" w:sz="6" w:space="0"/>
              <w:bottom w:val="single" w:color="auto" w:sz="6" w:space="0"/>
              <w:right w:val="single" w:color="auto" w:sz="6" w:space="0"/>
            </w:tcBorders>
            <w:noWrap w:val="0"/>
            <w:vAlign w:val="center"/>
          </w:tcPr>
          <w:p w14:paraId="60C4B3B9">
            <w:pPr>
              <w:jc w:val="center"/>
              <w:rPr>
                <w:rFonts w:hint="eastAsia" w:ascii="宋体" w:hAnsi="宋体"/>
                <w:sz w:val="21"/>
                <w:szCs w:val="21"/>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16321CF3">
            <w:pPr>
              <w:jc w:val="center"/>
              <w:rPr>
                <w:rFonts w:hint="eastAsia" w:ascii="宋体" w:hAnsi="宋体"/>
              </w:rPr>
            </w:pPr>
          </w:p>
        </w:tc>
      </w:tr>
      <w:tr w14:paraId="398B7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6D13B168">
            <w:pPr>
              <w:keepNext w:val="0"/>
              <w:keepLines w:val="0"/>
              <w:widowControl/>
              <w:suppressLineNumbers w:val="0"/>
              <w:jc w:val="center"/>
              <w:textAlignment w:val="center"/>
              <w:rPr>
                <w:rFonts w:hint="eastAsia" w:ascii="宋体" w:hAnsi="宋体"/>
                <w:szCs w:val="21"/>
              </w:rPr>
            </w:pPr>
          </w:p>
        </w:tc>
        <w:tc>
          <w:tcPr>
            <w:tcW w:w="4533" w:type="dxa"/>
            <w:tcBorders>
              <w:top w:val="single" w:color="auto" w:sz="6" w:space="0"/>
              <w:left w:val="single" w:color="auto" w:sz="6" w:space="0"/>
              <w:bottom w:val="single" w:color="auto" w:sz="6" w:space="0"/>
              <w:right w:val="single" w:color="auto" w:sz="6" w:space="0"/>
            </w:tcBorders>
            <w:noWrap w:val="0"/>
            <w:vAlign w:val="center"/>
          </w:tcPr>
          <w:p w14:paraId="636FDD83">
            <w:pPr>
              <w:keepNext w:val="0"/>
              <w:keepLines w:val="0"/>
              <w:widowControl/>
              <w:suppressLineNumbers w:val="0"/>
              <w:jc w:val="left"/>
              <w:textAlignment w:val="center"/>
              <w:rPr>
                <w:rFonts w:hint="eastAsia" w:ascii="宋体" w:hAnsi="宋体"/>
                <w:szCs w:val="21"/>
              </w:rPr>
            </w:pPr>
          </w:p>
        </w:tc>
        <w:tc>
          <w:tcPr>
            <w:tcW w:w="855" w:type="dxa"/>
            <w:tcBorders>
              <w:top w:val="single" w:color="auto" w:sz="6" w:space="0"/>
              <w:left w:val="single" w:color="auto" w:sz="6" w:space="0"/>
              <w:bottom w:val="single" w:color="auto" w:sz="6" w:space="0"/>
              <w:right w:val="single" w:color="auto" w:sz="6" w:space="0"/>
            </w:tcBorders>
            <w:noWrap w:val="0"/>
            <w:vAlign w:val="center"/>
          </w:tcPr>
          <w:p w14:paraId="6B0A8FE3">
            <w:pPr>
              <w:jc w:val="center"/>
              <w:rPr>
                <w:rFonts w:hint="eastAsia" w:ascii="宋体" w:hAnsi="宋体"/>
                <w:szCs w:val="21"/>
              </w:rPr>
            </w:pPr>
          </w:p>
        </w:tc>
        <w:tc>
          <w:tcPr>
            <w:tcW w:w="918" w:type="dxa"/>
            <w:tcBorders>
              <w:top w:val="single" w:color="auto" w:sz="6" w:space="0"/>
              <w:left w:val="single" w:color="auto" w:sz="6" w:space="0"/>
              <w:bottom w:val="single" w:color="auto" w:sz="6" w:space="0"/>
              <w:right w:val="single" w:color="auto" w:sz="6" w:space="0"/>
            </w:tcBorders>
            <w:noWrap w:val="0"/>
            <w:vAlign w:val="center"/>
          </w:tcPr>
          <w:p w14:paraId="624F098A">
            <w:pPr>
              <w:jc w:val="right"/>
              <w:rPr>
                <w:rFonts w:hint="eastAsia" w:ascii="宋体" w:hAnsi="宋体"/>
                <w:szCs w:val="21"/>
              </w:rPr>
            </w:pPr>
          </w:p>
        </w:tc>
        <w:tc>
          <w:tcPr>
            <w:tcW w:w="973" w:type="dxa"/>
            <w:tcBorders>
              <w:top w:val="single" w:color="auto" w:sz="6" w:space="0"/>
              <w:left w:val="single" w:color="auto" w:sz="6" w:space="0"/>
              <w:bottom w:val="single" w:color="auto" w:sz="6" w:space="0"/>
              <w:right w:val="single" w:color="auto" w:sz="6" w:space="0"/>
            </w:tcBorders>
            <w:noWrap w:val="0"/>
            <w:vAlign w:val="center"/>
          </w:tcPr>
          <w:p w14:paraId="4673607C">
            <w:pPr>
              <w:jc w:val="center"/>
              <w:rPr>
                <w:rFonts w:hint="eastAsia" w:ascii="宋体" w:hAnsi="宋体"/>
                <w:szCs w:val="21"/>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42FD69F1">
            <w:pPr>
              <w:jc w:val="center"/>
              <w:rPr>
                <w:rFonts w:hint="eastAsia" w:ascii="宋体" w:hAnsi="宋体"/>
              </w:rPr>
            </w:pPr>
          </w:p>
        </w:tc>
      </w:tr>
      <w:tr w14:paraId="25F29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1F8E2D31">
            <w:pPr>
              <w:keepNext w:val="0"/>
              <w:keepLines w:val="0"/>
              <w:widowControl/>
              <w:suppressLineNumbers w:val="0"/>
              <w:jc w:val="center"/>
              <w:textAlignment w:val="center"/>
              <w:rPr>
                <w:rFonts w:hint="eastAsia" w:ascii="宋体" w:hAnsi="宋体"/>
                <w:szCs w:val="21"/>
              </w:rPr>
            </w:pPr>
          </w:p>
        </w:tc>
        <w:tc>
          <w:tcPr>
            <w:tcW w:w="4533" w:type="dxa"/>
            <w:tcBorders>
              <w:top w:val="single" w:color="auto" w:sz="6" w:space="0"/>
              <w:left w:val="single" w:color="auto" w:sz="6" w:space="0"/>
              <w:bottom w:val="single" w:color="auto" w:sz="6" w:space="0"/>
              <w:right w:val="single" w:color="auto" w:sz="6" w:space="0"/>
            </w:tcBorders>
            <w:noWrap w:val="0"/>
            <w:vAlign w:val="center"/>
          </w:tcPr>
          <w:p w14:paraId="0700544B">
            <w:pPr>
              <w:keepNext w:val="0"/>
              <w:keepLines w:val="0"/>
              <w:widowControl/>
              <w:suppressLineNumbers w:val="0"/>
              <w:jc w:val="left"/>
              <w:textAlignment w:val="center"/>
              <w:rPr>
                <w:rFonts w:hint="eastAsia" w:ascii="宋体" w:hAnsi="宋体"/>
                <w:szCs w:val="21"/>
              </w:rPr>
            </w:pPr>
          </w:p>
        </w:tc>
        <w:tc>
          <w:tcPr>
            <w:tcW w:w="855" w:type="dxa"/>
            <w:tcBorders>
              <w:top w:val="single" w:color="auto" w:sz="6" w:space="0"/>
              <w:left w:val="single" w:color="auto" w:sz="6" w:space="0"/>
              <w:bottom w:val="single" w:color="auto" w:sz="6" w:space="0"/>
              <w:right w:val="single" w:color="auto" w:sz="6" w:space="0"/>
            </w:tcBorders>
            <w:noWrap w:val="0"/>
            <w:vAlign w:val="center"/>
          </w:tcPr>
          <w:p w14:paraId="58DBF74D">
            <w:pPr>
              <w:keepNext w:val="0"/>
              <w:keepLines w:val="0"/>
              <w:widowControl/>
              <w:suppressLineNumbers w:val="0"/>
              <w:jc w:val="center"/>
              <w:textAlignment w:val="center"/>
              <w:rPr>
                <w:rFonts w:hint="eastAsia" w:ascii="宋体" w:hAnsi="宋体"/>
                <w:szCs w:val="21"/>
              </w:rPr>
            </w:pPr>
          </w:p>
        </w:tc>
        <w:tc>
          <w:tcPr>
            <w:tcW w:w="918" w:type="dxa"/>
            <w:tcBorders>
              <w:top w:val="single" w:color="auto" w:sz="6" w:space="0"/>
              <w:left w:val="single" w:color="auto" w:sz="6" w:space="0"/>
              <w:bottom w:val="single" w:color="auto" w:sz="6" w:space="0"/>
              <w:right w:val="single" w:color="auto" w:sz="6" w:space="0"/>
            </w:tcBorders>
            <w:noWrap w:val="0"/>
            <w:vAlign w:val="center"/>
          </w:tcPr>
          <w:p w14:paraId="46714CAB">
            <w:pPr>
              <w:keepNext w:val="0"/>
              <w:keepLines w:val="0"/>
              <w:widowControl/>
              <w:suppressLineNumbers w:val="0"/>
              <w:jc w:val="right"/>
              <w:textAlignment w:val="center"/>
              <w:rPr>
                <w:rFonts w:hint="eastAsia" w:ascii="宋体" w:hAnsi="宋体"/>
                <w:szCs w:val="21"/>
              </w:rPr>
            </w:pPr>
          </w:p>
        </w:tc>
        <w:tc>
          <w:tcPr>
            <w:tcW w:w="973" w:type="dxa"/>
            <w:tcBorders>
              <w:top w:val="single" w:color="auto" w:sz="6" w:space="0"/>
              <w:left w:val="single" w:color="auto" w:sz="6" w:space="0"/>
              <w:bottom w:val="single" w:color="auto" w:sz="6" w:space="0"/>
              <w:right w:val="single" w:color="auto" w:sz="6" w:space="0"/>
            </w:tcBorders>
            <w:noWrap w:val="0"/>
            <w:vAlign w:val="center"/>
          </w:tcPr>
          <w:p w14:paraId="3FB31335">
            <w:pPr>
              <w:jc w:val="center"/>
              <w:rPr>
                <w:rFonts w:hint="eastAsia" w:ascii="宋体" w:hAnsi="宋体"/>
                <w:szCs w:val="21"/>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58F04152">
            <w:pPr>
              <w:jc w:val="center"/>
              <w:rPr>
                <w:rFonts w:hint="eastAsia" w:ascii="宋体" w:hAnsi="宋体"/>
              </w:rPr>
            </w:pPr>
          </w:p>
        </w:tc>
      </w:tr>
      <w:tr w14:paraId="483BF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6DEE873B">
            <w:pPr>
              <w:keepNext w:val="0"/>
              <w:keepLines w:val="0"/>
              <w:widowControl/>
              <w:suppressLineNumbers w:val="0"/>
              <w:jc w:val="center"/>
              <w:textAlignment w:val="center"/>
              <w:rPr>
                <w:rFonts w:hint="eastAsia" w:ascii="宋体" w:hAnsi="宋体"/>
                <w:szCs w:val="21"/>
              </w:rPr>
            </w:pPr>
          </w:p>
        </w:tc>
        <w:tc>
          <w:tcPr>
            <w:tcW w:w="4533" w:type="dxa"/>
            <w:tcBorders>
              <w:top w:val="single" w:color="auto" w:sz="6" w:space="0"/>
              <w:left w:val="single" w:color="auto" w:sz="6" w:space="0"/>
              <w:bottom w:val="single" w:color="auto" w:sz="6" w:space="0"/>
              <w:right w:val="single" w:color="auto" w:sz="6" w:space="0"/>
            </w:tcBorders>
            <w:noWrap w:val="0"/>
            <w:vAlign w:val="center"/>
          </w:tcPr>
          <w:p w14:paraId="3C95BC1F">
            <w:pPr>
              <w:keepNext w:val="0"/>
              <w:keepLines w:val="0"/>
              <w:widowControl/>
              <w:suppressLineNumbers w:val="0"/>
              <w:jc w:val="left"/>
              <w:textAlignment w:val="center"/>
              <w:rPr>
                <w:rFonts w:hint="eastAsia" w:ascii="宋体" w:hAnsi="宋体"/>
                <w:szCs w:val="21"/>
              </w:rPr>
            </w:pPr>
          </w:p>
        </w:tc>
        <w:tc>
          <w:tcPr>
            <w:tcW w:w="855" w:type="dxa"/>
            <w:tcBorders>
              <w:top w:val="single" w:color="auto" w:sz="6" w:space="0"/>
              <w:left w:val="single" w:color="auto" w:sz="6" w:space="0"/>
              <w:bottom w:val="single" w:color="auto" w:sz="6" w:space="0"/>
              <w:right w:val="single" w:color="auto" w:sz="6" w:space="0"/>
            </w:tcBorders>
            <w:noWrap w:val="0"/>
            <w:vAlign w:val="center"/>
          </w:tcPr>
          <w:p w14:paraId="054F0342">
            <w:pPr>
              <w:keepNext w:val="0"/>
              <w:keepLines w:val="0"/>
              <w:widowControl/>
              <w:suppressLineNumbers w:val="0"/>
              <w:jc w:val="center"/>
              <w:textAlignment w:val="center"/>
              <w:rPr>
                <w:rFonts w:hint="eastAsia" w:ascii="宋体" w:hAnsi="宋体"/>
                <w:szCs w:val="21"/>
              </w:rPr>
            </w:pPr>
          </w:p>
        </w:tc>
        <w:tc>
          <w:tcPr>
            <w:tcW w:w="918" w:type="dxa"/>
            <w:tcBorders>
              <w:top w:val="single" w:color="auto" w:sz="6" w:space="0"/>
              <w:left w:val="single" w:color="auto" w:sz="6" w:space="0"/>
              <w:bottom w:val="single" w:color="auto" w:sz="6" w:space="0"/>
              <w:right w:val="single" w:color="auto" w:sz="6" w:space="0"/>
            </w:tcBorders>
            <w:noWrap w:val="0"/>
            <w:vAlign w:val="center"/>
          </w:tcPr>
          <w:p w14:paraId="53F97357">
            <w:pPr>
              <w:keepNext w:val="0"/>
              <w:keepLines w:val="0"/>
              <w:widowControl/>
              <w:suppressLineNumbers w:val="0"/>
              <w:jc w:val="right"/>
              <w:textAlignment w:val="center"/>
              <w:rPr>
                <w:rFonts w:hint="eastAsia" w:ascii="宋体" w:hAnsi="宋体"/>
                <w:szCs w:val="21"/>
              </w:rPr>
            </w:pPr>
          </w:p>
        </w:tc>
        <w:tc>
          <w:tcPr>
            <w:tcW w:w="973" w:type="dxa"/>
            <w:tcBorders>
              <w:top w:val="single" w:color="auto" w:sz="6" w:space="0"/>
              <w:left w:val="single" w:color="auto" w:sz="6" w:space="0"/>
              <w:bottom w:val="single" w:color="auto" w:sz="6" w:space="0"/>
              <w:right w:val="single" w:color="auto" w:sz="6" w:space="0"/>
            </w:tcBorders>
            <w:noWrap w:val="0"/>
            <w:vAlign w:val="center"/>
          </w:tcPr>
          <w:p w14:paraId="3ACF0F6A">
            <w:pPr>
              <w:jc w:val="center"/>
              <w:rPr>
                <w:rFonts w:hint="eastAsia" w:ascii="宋体" w:hAnsi="宋体"/>
                <w:szCs w:val="21"/>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5E8A0233">
            <w:pPr>
              <w:jc w:val="center"/>
              <w:rPr>
                <w:rFonts w:hint="eastAsia" w:ascii="宋体" w:hAnsi="宋体"/>
              </w:rPr>
            </w:pPr>
          </w:p>
        </w:tc>
      </w:tr>
      <w:tr w14:paraId="58731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543535C8">
            <w:pPr>
              <w:keepNext w:val="0"/>
              <w:keepLines w:val="0"/>
              <w:widowControl/>
              <w:suppressLineNumbers w:val="0"/>
              <w:jc w:val="center"/>
              <w:textAlignment w:val="center"/>
              <w:rPr>
                <w:rFonts w:hint="eastAsia" w:ascii="宋体" w:hAnsi="宋体"/>
                <w:szCs w:val="21"/>
              </w:rPr>
            </w:pPr>
          </w:p>
        </w:tc>
        <w:tc>
          <w:tcPr>
            <w:tcW w:w="4533" w:type="dxa"/>
            <w:tcBorders>
              <w:top w:val="single" w:color="auto" w:sz="6" w:space="0"/>
              <w:left w:val="single" w:color="auto" w:sz="6" w:space="0"/>
              <w:bottom w:val="single" w:color="auto" w:sz="6" w:space="0"/>
              <w:right w:val="single" w:color="auto" w:sz="6" w:space="0"/>
            </w:tcBorders>
            <w:noWrap w:val="0"/>
            <w:vAlign w:val="center"/>
          </w:tcPr>
          <w:p w14:paraId="5CE3B73C">
            <w:pPr>
              <w:keepNext w:val="0"/>
              <w:keepLines w:val="0"/>
              <w:widowControl/>
              <w:suppressLineNumbers w:val="0"/>
              <w:jc w:val="left"/>
              <w:textAlignment w:val="center"/>
              <w:rPr>
                <w:rFonts w:hint="eastAsia" w:ascii="宋体" w:hAnsi="宋体"/>
                <w:szCs w:val="21"/>
              </w:rPr>
            </w:pPr>
          </w:p>
        </w:tc>
        <w:tc>
          <w:tcPr>
            <w:tcW w:w="855" w:type="dxa"/>
            <w:tcBorders>
              <w:top w:val="single" w:color="auto" w:sz="6" w:space="0"/>
              <w:left w:val="single" w:color="auto" w:sz="6" w:space="0"/>
              <w:bottom w:val="single" w:color="auto" w:sz="6" w:space="0"/>
              <w:right w:val="single" w:color="auto" w:sz="6" w:space="0"/>
            </w:tcBorders>
            <w:noWrap w:val="0"/>
            <w:vAlign w:val="center"/>
          </w:tcPr>
          <w:p w14:paraId="1CFC7510">
            <w:pPr>
              <w:keepNext w:val="0"/>
              <w:keepLines w:val="0"/>
              <w:widowControl/>
              <w:suppressLineNumbers w:val="0"/>
              <w:jc w:val="center"/>
              <w:textAlignment w:val="center"/>
              <w:rPr>
                <w:rFonts w:hint="eastAsia" w:ascii="宋体" w:hAnsi="宋体"/>
                <w:szCs w:val="21"/>
              </w:rPr>
            </w:pPr>
          </w:p>
        </w:tc>
        <w:tc>
          <w:tcPr>
            <w:tcW w:w="918" w:type="dxa"/>
            <w:tcBorders>
              <w:top w:val="single" w:color="auto" w:sz="6" w:space="0"/>
              <w:left w:val="single" w:color="auto" w:sz="6" w:space="0"/>
              <w:bottom w:val="single" w:color="auto" w:sz="6" w:space="0"/>
              <w:right w:val="single" w:color="auto" w:sz="6" w:space="0"/>
            </w:tcBorders>
            <w:noWrap w:val="0"/>
            <w:vAlign w:val="center"/>
          </w:tcPr>
          <w:p w14:paraId="6F6CE5C6">
            <w:pPr>
              <w:keepNext w:val="0"/>
              <w:keepLines w:val="0"/>
              <w:widowControl/>
              <w:suppressLineNumbers w:val="0"/>
              <w:jc w:val="right"/>
              <w:textAlignment w:val="center"/>
              <w:rPr>
                <w:rFonts w:hint="eastAsia" w:ascii="宋体" w:hAnsi="宋体"/>
                <w:szCs w:val="21"/>
              </w:rPr>
            </w:pPr>
          </w:p>
        </w:tc>
        <w:tc>
          <w:tcPr>
            <w:tcW w:w="973" w:type="dxa"/>
            <w:tcBorders>
              <w:top w:val="single" w:color="auto" w:sz="6" w:space="0"/>
              <w:left w:val="single" w:color="auto" w:sz="6" w:space="0"/>
              <w:bottom w:val="single" w:color="auto" w:sz="6" w:space="0"/>
              <w:right w:val="single" w:color="auto" w:sz="6" w:space="0"/>
            </w:tcBorders>
            <w:noWrap w:val="0"/>
            <w:vAlign w:val="center"/>
          </w:tcPr>
          <w:p w14:paraId="79C87C40">
            <w:pPr>
              <w:jc w:val="center"/>
              <w:rPr>
                <w:rFonts w:hint="eastAsia" w:ascii="宋体" w:hAnsi="宋体"/>
                <w:szCs w:val="21"/>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7F6377C4">
            <w:pPr>
              <w:jc w:val="center"/>
              <w:rPr>
                <w:rFonts w:hint="eastAsia" w:ascii="宋体" w:hAnsi="宋体"/>
              </w:rPr>
            </w:pPr>
          </w:p>
        </w:tc>
      </w:tr>
      <w:tr w14:paraId="37490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37A91DE2">
            <w:pPr>
              <w:keepNext w:val="0"/>
              <w:keepLines w:val="0"/>
              <w:widowControl/>
              <w:suppressLineNumbers w:val="0"/>
              <w:jc w:val="center"/>
              <w:textAlignment w:val="center"/>
              <w:rPr>
                <w:rFonts w:hint="eastAsia" w:ascii="宋体" w:hAnsi="宋体"/>
                <w:szCs w:val="21"/>
              </w:rPr>
            </w:pPr>
          </w:p>
        </w:tc>
        <w:tc>
          <w:tcPr>
            <w:tcW w:w="4533" w:type="dxa"/>
            <w:tcBorders>
              <w:top w:val="single" w:color="auto" w:sz="6" w:space="0"/>
              <w:left w:val="single" w:color="auto" w:sz="6" w:space="0"/>
              <w:bottom w:val="single" w:color="auto" w:sz="6" w:space="0"/>
              <w:right w:val="single" w:color="auto" w:sz="6" w:space="0"/>
            </w:tcBorders>
            <w:noWrap w:val="0"/>
            <w:vAlign w:val="center"/>
          </w:tcPr>
          <w:p w14:paraId="079BA028">
            <w:pPr>
              <w:keepNext w:val="0"/>
              <w:keepLines w:val="0"/>
              <w:widowControl/>
              <w:suppressLineNumbers w:val="0"/>
              <w:jc w:val="left"/>
              <w:textAlignment w:val="center"/>
              <w:rPr>
                <w:rFonts w:hint="eastAsia" w:ascii="宋体" w:hAnsi="宋体"/>
                <w:szCs w:val="21"/>
              </w:rPr>
            </w:pPr>
          </w:p>
        </w:tc>
        <w:tc>
          <w:tcPr>
            <w:tcW w:w="855" w:type="dxa"/>
            <w:tcBorders>
              <w:top w:val="single" w:color="auto" w:sz="6" w:space="0"/>
              <w:left w:val="single" w:color="auto" w:sz="6" w:space="0"/>
              <w:bottom w:val="single" w:color="auto" w:sz="6" w:space="0"/>
              <w:right w:val="single" w:color="auto" w:sz="6" w:space="0"/>
            </w:tcBorders>
            <w:noWrap w:val="0"/>
            <w:vAlign w:val="center"/>
          </w:tcPr>
          <w:p w14:paraId="0EC697D3">
            <w:pPr>
              <w:jc w:val="center"/>
              <w:rPr>
                <w:rFonts w:hint="eastAsia" w:ascii="宋体" w:hAnsi="宋体"/>
                <w:szCs w:val="21"/>
              </w:rPr>
            </w:pPr>
          </w:p>
        </w:tc>
        <w:tc>
          <w:tcPr>
            <w:tcW w:w="918" w:type="dxa"/>
            <w:tcBorders>
              <w:top w:val="single" w:color="auto" w:sz="6" w:space="0"/>
              <w:left w:val="single" w:color="auto" w:sz="6" w:space="0"/>
              <w:bottom w:val="single" w:color="auto" w:sz="6" w:space="0"/>
              <w:right w:val="single" w:color="auto" w:sz="6" w:space="0"/>
            </w:tcBorders>
            <w:noWrap w:val="0"/>
            <w:vAlign w:val="center"/>
          </w:tcPr>
          <w:p w14:paraId="0A8E7F4D">
            <w:pPr>
              <w:jc w:val="right"/>
              <w:rPr>
                <w:rFonts w:hint="eastAsia" w:ascii="宋体" w:hAnsi="宋体"/>
                <w:szCs w:val="21"/>
              </w:rPr>
            </w:pPr>
          </w:p>
        </w:tc>
        <w:tc>
          <w:tcPr>
            <w:tcW w:w="973" w:type="dxa"/>
            <w:tcBorders>
              <w:top w:val="single" w:color="auto" w:sz="6" w:space="0"/>
              <w:left w:val="single" w:color="auto" w:sz="6" w:space="0"/>
              <w:bottom w:val="single" w:color="auto" w:sz="6" w:space="0"/>
              <w:right w:val="single" w:color="auto" w:sz="6" w:space="0"/>
            </w:tcBorders>
            <w:noWrap w:val="0"/>
            <w:vAlign w:val="center"/>
          </w:tcPr>
          <w:p w14:paraId="63EF59C5">
            <w:pPr>
              <w:jc w:val="center"/>
              <w:rPr>
                <w:rFonts w:hint="eastAsia" w:ascii="宋体" w:hAnsi="宋体"/>
                <w:szCs w:val="21"/>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299D4078">
            <w:pPr>
              <w:jc w:val="center"/>
              <w:rPr>
                <w:rFonts w:hint="eastAsia" w:ascii="宋体" w:hAnsi="宋体"/>
              </w:rPr>
            </w:pPr>
          </w:p>
        </w:tc>
      </w:tr>
      <w:tr w14:paraId="36EB2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45F5A9A3">
            <w:pPr>
              <w:keepNext w:val="0"/>
              <w:keepLines w:val="0"/>
              <w:widowControl/>
              <w:suppressLineNumbers w:val="0"/>
              <w:jc w:val="center"/>
              <w:textAlignment w:val="center"/>
              <w:rPr>
                <w:rFonts w:hint="eastAsia" w:ascii="宋体" w:hAnsi="宋体"/>
                <w:szCs w:val="21"/>
              </w:rPr>
            </w:pPr>
          </w:p>
        </w:tc>
        <w:tc>
          <w:tcPr>
            <w:tcW w:w="4533" w:type="dxa"/>
            <w:tcBorders>
              <w:top w:val="single" w:color="auto" w:sz="6" w:space="0"/>
              <w:left w:val="single" w:color="auto" w:sz="6" w:space="0"/>
              <w:bottom w:val="single" w:color="auto" w:sz="6" w:space="0"/>
              <w:right w:val="single" w:color="auto" w:sz="6" w:space="0"/>
            </w:tcBorders>
            <w:noWrap w:val="0"/>
            <w:vAlign w:val="center"/>
          </w:tcPr>
          <w:p w14:paraId="6E2E608F">
            <w:pPr>
              <w:keepNext w:val="0"/>
              <w:keepLines w:val="0"/>
              <w:widowControl/>
              <w:suppressLineNumbers w:val="0"/>
              <w:jc w:val="left"/>
              <w:textAlignment w:val="center"/>
              <w:rPr>
                <w:rFonts w:hint="eastAsia" w:ascii="宋体" w:hAnsi="宋体"/>
                <w:szCs w:val="21"/>
              </w:rPr>
            </w:pPr>
          </w:p>
        </w:tc>
        <w:tc>
          <w:tcPr>
            <w:tcW w:w="855" w:type="dxa"/>
            <w:tcBorders>
              <w:top w:val="single" w:color="auto" w:sz="6" w:space="0"/>
              <w:left w:val="single" w:color="auto" w:sz="6" w:space="0"/>
              <w:bottom w:val="single" w:color="auto" w:sz="6" w:space="0"/>
              <w:right w:val="single" w:color="auto" w:sz="6" w:space="0"/>
            </w:tcBorders>
            <w:noWrap w:val="0"/>
            <w:vAlign w:val="center"/>
          </w:tcPr>
          <w:p w14:paraId="2CEBFF41">
            <w:pPr>
              <w:keepNext w:val="0"/>
              <w:keepLines w:val="0"/>
              <w:widowControl/>
              <w:suppressLineNumbers w:val="0"/>
              <w:jc w:val="center"/>
              <w:textAlignment w:val="center"/>
              <w:rPr>
                <w:rFonts w:hint="eastAsia" w:ascii="宋体" w:hAnsi="宋体"/>
                <w:szCs w:val="21"/>
              </w:rPr>
            </w:pPr>
          </w:p>
        </w:tc>
        <w:tc>
          <w:tcPr>
            <w:tcW w:w="918" w:type="dxa"/>
            <w:tcBorders>
              <w:top w:val="single" w:color="auto" w:sz="6" w:space="0"/>
              <w:left w:val="single" w:color="auto" w:sz="6" w:space="0"/>
              <w:bottom w:val="single" w:color="auto" w:sz="6" w:space="0"/>
              <w:right w:val="single" w:color="auto" w:sz="6" w:space="0"/>
            </w:tcBorders>
            <w:noWrap w:val="0"/>
            <w:vAlign w:val="center"/>
          </w:tcPr>
          <w:p w14:paraId="3CB4191F">
            <w:pPr>
              <w:keepNext w:val="0"/>
              <w:keepLines w:val="0"/>
              <w:widowControl/>
              <w:suppressLineNumbers w:val="0"/>
              <w:jc w:val="right"/>
              <w:textAlignment w:val="center"/>
              <w:rPr>
                <w:rFonts w:hint="eastAsia" w:ascii="宋体" w:hAnsi="宋体"/>
                <w:szCs w:val="21"/>
              </w:rPr>
            </w:pPr>
          </w:p>
        </w:tc>
        <w:tc>
          <w:tcPr>
            <w:tcW w:w="973" w:type="dxa"/>
            <w:tcBorders>
              <w:top w:val="single" w:color="auto" w:sz="6" w:space="0"/>
              <w:left w:val="single" w:color="auto" w:sz="6" w:space="0"/>
              <w:bottom w:val="single" w:color="auto" w:sz="6" w:space="0"/>
              <w:right w:val="single" w:color="auto" w:sz="6" w:space="0"/>
            </w:tcBorders>
            <w:noWrap w:val="0"/>
            <w:vAlign w:val="center"/>
          </w:tcPr>
          <w:p w14:paraId="692CC81C">
            <w:pPr>
              <w:jc w:val="center"/>
              <w:rPr>
                <w:rFonts w:hint="eastAsia" w:ascii="宋体" w:hAnsi="宋体"/>
                <w:szCs w:val="21"/>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0B8FF251">
            <w:pPr>
              <w:jc w:val="center"/>
              <w:rPr>
                <w:rFonts w:hint="eastAsia" w:ascii="宋体" w:hAnsi="宋体"/>
                <w:b/>
              </w:rPr>
            </w:pPr>
          </w:p>
        </w:tc>
      </w:tr>
      <w:tr w14:paraId="47944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4DE7AF1F">
            <w:pPr>
              <w:keepNext w:val="0"/>
              <w:keepLines w:val="0"/>
              <w:widowControl/>
              <w:suppressLineNumbers w:val="0"/>
              <w:jc w:val="center"/>
              <w:textAlignment w:val="center"/>
              <w:rPr>
                <w:rFonts w:hint="eastAsia" w:ascii="宋体" w:hAnsi="宋体"/>
                <w:szCs w:val="21"/>
              </w:rPr>
            </w:pPr>
          </w:p>
        </w:tc>
        <w:tc>
          <w:tcPr>
            <w:tcW w:w="4533" w:type="dxa"/>
            <w:tcBorders>
              <w:top w:val="single" w:color="auto" w:sz="6" w:space="0"/>
              <w:left w:val="single" w:color="auto" w:sz="6" w:space="0"/>
              <w:bottom w:val="single" w:color="auto" w:sz="6" w:space="0"/>
              <w:right w:val="single" w:color="auto" w:sz="6" w:space="0"/>
            </w:tcBorders>
            <w:noWrap w:val="0"/>
            <w:vAlign w:val="center"/>
          </w:tcPr>
          <w:p w14:paraId="0DEF8C91">
            <w:pPr>
              <w:keepNext w:val="0"/>
              <w:keepLines w:val="0"/>
              <w:widowControl/>
              <w:suppressLineNumbers w:val="0"/>
              <w:jc w:val="left"/>
              <w:textAlignment w:val="center"/>
              <w:rPr>
                <w:rFonts w:hint="eastAsia" w:ascii="宋体" w:hAnsi="宋体"/>
                <w:szCs w:val="21"/>
              </w:rPr>
            </w:pPr>
          </w:p>
        </w:tc>
        <w:tc>
          <w:tcPr>
            <w:tcW w:w="855" w:type="dxa"/>
            <w:tcBorders>
              <w:top w:val="single" w:color="auto" w:sz="6" w:space="0"/>
              <w:left w:val="single" w:color="auto" w:sz="6" w:space="0"/>
              <w:bottom w:val="single" w:color="auto" w:sz="6" w:space="0"/>
              <w:right w:val="single" w:color="auto" w:sz="6" w:space="0"/>
            </w:tcBorders>
            <w:noWrap w:val="0"/>
            <w:vAlign w:val="center"/>
          </w:tcPr>
          <w:p w14:paraId="5EF05983">
            <w:pPr>
              <w:jc w:val="center"/>
              <w:rPr>
                <w:rFonts w:hint="eastAsia" w:ascii="宋体" w:hAnsi="宋体"/>
                <w:szCs w:val="21"/>
              </w:rPr>
            </w:pPr>
          </w:p>
        </w:tc>
        <w:tc>
          <w:tcPr>
            <w:tcW w:w="918" w:type="dxa"/>
            <w:tcBorders>
              <w:top w:val="single" w:color="auto" w:sz="6" w:space="0"/>
              <w:left w:val="single" w:color="auto" w:sz="6" w:space="0"/>
              <w:bottom w:val="single" w:color="auto" w:sz="6" w:space="0"/>
              <w:right w:val="single" w:color="auto" w:sz="6" w:space="0"/>
            </w:tcBorders>
            <w:noWrap w:val="0"/>
            <w:vAlign w:val="center"/>
          </w:tcPr>
          <w:p w14:paraId="57954316">
            <w:pPr>
              <w:jc w:val="right"/>
              <w:rPr>
                <w:rFonts w:hint="eastAsia" w:ascii="宋体" w:hAnsi="宋体"/>
                <w:szCs w:val="21"/>
              </w:rPr>
            </w:pPr>
          </w:p>
        </w:tc>
        <w:tc>
          <w:tcPr>
            <w:tcW w:w="973" w:type="dxa"/>
            <w:tcBorders>
              <w:top w:val="single" w:color="auto" w:sz="6" w:space="0"/>
              <w:left w:val="single" w:color="auto" w:sz="6" w:space="0"/>
              <w:bottom w:val="single" w:color="auto" w:sz="6" w:space="0"/>
              <w:right w:val="single" w:color="auto" w:sz="6" w:space="0"/>
            </w:tcBorders>
            <w:noWrap w:val="0"/>
            <w:vAlign w:val="center"/>
          </w:tcPr>
          <w:p w14:paraId="0F8B68B3">
            <w:pPr>
              <w:jc w:val="center"/>
              <w:rPr>
                <w:rFonts w:hint="eastAsia" w:ascii="宋体" w:hAnsi="宋体"/>
                <w:szCs w:val="21"/>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5B4E86E9">
            <w:pPr>
              <w:jc w:val="center"/>
              <w:rPr>
                <w:rFonts w:hint="eastAsia" w:ascii="宋体" w:hAnsi="宋体"/>
                <w:b/>
              </w:rPr>
            </w:pPr>
          </w:p>
        </w:tc>
      </w:tr>
      <w:tr w14:paraId="79CE2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43B23629">
            <w:pPr>
              <w:keepNext w:val="0"/>
              <w:keepLines w:val="0"/>
              <w:widowControl/>
              <w:suppressLineNumbers w:val="0"/>
              <w:jc w:val="center"/>
              <w:textAlignment w:val="center"/>
              <w:rPr>
                <w:rFonts w:hint="eastAsia" w:ascii="宋体" w:hAnsi="宋体"/>
                <w:szCs w:val="21"/>
              </w:rPr>
            </w:pPr>
          </w:p>
        </w:tc>
        <w:tc>
          <w:tcPr>
            <w:tcW w:w="4533" w:type="dxa"/>
            <w:tcBorders>
              <w:top w:val="single" w:color="auto" w:sz="6" w:space="0"/>
              <w:left w:val="single" w:color="auto" w:sz="6" w:space="0"/>
              <w:bottom w:val="single" w:color="auto" w:sz="6" w:space="0"/>
              <w:right w:val="single" w:color="auto" w:sz="6" w:space="0"/>
            </w:tcBorders>
            <w:noWrap w:val="0"/>
            <w:vAlign w:val="center"/>
          </w:tcPr>
          <w:p w14:paraId="7B931229">
            <w:pPr>
              <w:keepNext w:val="0"/>
              <w:keepLines w:val="0"/>
              <w:widowControl/>
              <w:suppressLineNumbers w:val="0"/>
              <w:jc w:val="left"/>
              <w:textAlignment w:val="center"/>
              <w:rPr>
                <w:rFonts w:hint="eastAsia" w:ascii="宋体" w:hAnsi="宋体"/>
                <w:szCs w:val="21"/>
              </w:rPr>
            </w:pPr>
          </w:p>
        </w:tc>
        <w:tc>
          <w:tcPr>
            <w:tcW w:w="855" w:type="dxa"/>
            <w:tcBorders>
              <w:top w:val="single" w:color="auto" w:sz="6" w:space="0"/>
              <w:left w:val="single" w:color="auto" w:sz="6" w:space="0"/>
              <w:bottom w:val="single" w:color="auto" w:sz="6" w:space="0"/>
              <w:right w:val="single" w:color="auto" w:sz="6" w:space="0"/>
            </w:tcBorders>
            <w:noWrap w:val="0"/>
            <w:vAlign w:val="center"/>
          </w:tcPr>
          <w:p w14:paraId="531E33A7">
            <w:pPr>
              <w:keepNext w:val="0"/>
              <w:keepLines w:val="0"/>
              <w:widowControl/>
              <w:suppressLineNumbers w:val="0"/>
              <w:jc w:val="center"/>
              <w:textAlignment w:val="center"/>
              <w:rPr>
                <w:rFonts w:hint="eastAsia" w:ascii="宋体" w:hAnsi="宋体"/>
                <w:szCs w:val="21"/>
              </w:rPr>
            </w:pPr>
          </w:p>
        </w:tc>
        <w:tc>
          <w:tcPr>
            <w:tcW w:w="918" w:type="dxa"/>
            <w:tcBorders>
              <w:top w:val="single" w:color="auto" w:sz="6" w:space="0"/>
              <w:left w:val="single" w:color="auto" w:sz="6" w:space="0"/>
              <w:bottom w:val="single" w:color="auto" w:sz="6" w:space="0"/>
              <w:right w:val="single" w:color="auto" w:sz="6" w:space="0"/>
            </w:tcBorders>
            <w:noWrap w:val="0"/>
            <w:vAlign w:val="center"/>
          </w:tcPr>
          <w:p w14:paraId="48CD83A7">
            <w:pPr>
              <w:keepNext w:val="0"/>
              <w:keepLines w:val="0"/>
              <w:widowControl/>
              <w:suppressLineNumbers w:val="0"/>
              <w:jc w:val="right"/>
              <w:textAlignment w:val="center"/>
              <w:rPr>
                <w:rFonts w:hint="eastAsia" w:ascii="宋体" w:hAnsi="宋体"/>
                <w:szCs w:val="21"/>
              </w:rPr>
            </w:pPr>
          </w:p>
        </w:tc>
        <w:tc>
          <w:tcPr>
            <w:tcW w:w="973" w:type="dxa"/>
            <w:tcBorders>
              <w:top w:val="single" w:color="auto" w:sz="6" w:space="0"/>
              <w:left w:val="single" w:color="auto" w:sz="6" w:space="0"/>
              <w:bottom w:val="single" w:color="auto" w:sz="6" w:space="0"/>
              <w:right w:val="single" w:color="auto" w:sz="6" w:space="0"/>
            </w:tcBorders>
            <w:noWrap w:val="0"/>
            <w:vAlign w:val="center"/>
          </w:tcPr>
          <w:p w14:paraId="3B9A104A">
            <w:pPr>
              <w:jc w:val="center"/>
              <w:rPr>
                <w:rFonts w:hint="eastAsia" w:ascii="宋体" w:hAnsi="宋体"/>
                <w:szCs w:val="21"/>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5AF1C4E6">
            <w:pPr>
              <w:jc w:val="center"/>
              <w:rPr>
                <w:rFonts w:hint="eastAsia" w:ascii="宋体" w:hAnsi="宋体"/>
                <w:b/>
              </w:rPr>
            </w:pPr>
          </w:p>
        </w:tc>
      </w:tr>
      <w:tr w14:paraId="02CCB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4D1DFFFE">
            <w:pPr>
              <w:keepNext w:val="0"/>
              <w:keepLines w:val="0"/>
              <w:widowControl/>
              <w:suppressLineNumbers w:val="0"/>
              <w:jc w:val="center"/>
              <w:textAlignment w:val="center"/>
              <w:rPr>
                <w:rFonts w:hint="eastAsia" w:ascii="宋体" w:hAnsi="宋体"/>
                <w:szCs w:val="21"/>
              </w:rPr>
            </w:pPr>
          </w:p>
        </w:tc>
        <w:tc>
          <w:tcPr>
            <w:tcW w:w="4533" w:type="dxa"/>
            <w:tcBorders>
              <w:top w:val="single" w:color="auto" w:sz="6" w:space="0"/>
              <w:left w:val="single" w:color="auto" w:sz="6" w:space="0"/>
              <w:bottom w:val="single" w:color="auto" w:sz="6" w:space="0"/>
              <w:right w:val="single" w:color="auto" w:sz="6" w:space="0"/>
            </w:tcBorders>
            <w:noWrap w:val="0"/>
            <w:vAlign w:val="center"/>
          </w:tcPr>
          <w:p w14:paraId="1AF71361">
            <w:pPr>
              <w:keepNext w:val="0"/>
              <w:keepLines w:val="0"/>
              <w:widowControl/>
              <w:suppressLineNumbers w:val="0"/>
              <w:jc w:val="left"/>
              <w:textAlignment w:val="center"/>
              <w:rPr>
                <w:rFonts w:hint="eastAsia" w:ascii="宋体" w:hAnsi="宋体"/>
                <w:szCs w:val="21"/>
              </w:rPr>
            </w:pPr>
          </w:p>
        </w:tc>
        <w:tc>
          <w:tcPr>
            <w:tcW w:w="855" w:type="dxa"/>
            <w:tcBorders>
              <w:top w:val="single" w:color="auto" w:sz="6" w:space="0"/>
              <w:left w:val="single" w:color="auto" w:sz="6" w:space="0"/>
              <w:bottom w:val="single" w:color="auto" w:sz="6" w:space="0"/>
              <w:right w:val="single" w:color="auto" w:sz="6" w:space="0"/>
            </w:tcBorders>
            <w:noWrap w:val="0"/>
            <w:vAlign w:val="center"/>
          </w:tcPr>
          <w:p w14:paraId="22BFB705">
            <w:pPr>
              <w:jc w:val="center"/>
              <w:rPr>
                <w:rFonts w:hint="eastAsia" w:ascii="宋体" w:hAnsi="宋体"/>
                <w:szCs w:val="21"/>
              </w:rPr>
            </w:pPr>
          </w:p>
        </w:tc>
        <w:tc>
          <w:tcPr>
            <w:tcW w:w="918" w:type="dxa"/>
            <w:tcBorders>
              <w:top w:val="single" w:color="auto" w:sz="6" w:space="0"/>
              <w:left w:val="single" w:color="auto" w:sz="6" w:space="0"/>
              <w:bottom w:val="single" w:color="auto" w:sz="6" w:space="0"/>
              <w:right w:val="single" w:color="auto" w:sz="6" w:space="0"/>
            </w:tcBorders>
            <w:noWrap w:val="0"/>
            <w:vAlign w:val="center"/>
          </w:tcPr>
          <w:p w14:paraId="1BD0B212">
            <w:pPr>
              <w:jc w:val="right"/>
              <w:rPr>
                <w:rFonts w:hint="eastAsia" w:ascii="宋体" w:hAnsi="宋体"/>
                <w:szCs w:val="21"/>
              </w:rPr>
            </w:pPr>
          </w:p>
        </w:tc>
        <w:tc>
          <w:tcPr>
            <w:tcW w:w="973" w:type="dxa"/>
            <w:tcBorders>
              <w:top w:val="single" w:color="auto" w:sz="6" w:space="0"/>
              <w:left w:val="single" w:color="auto" w:sz="6" w:space="0"/>
              <w:bottom w:val="single" w:color="auto" w:sz="6" w:space="0"/>
              <w:right w:val="single" w:color="auto" w:sz="6" w:space="0"/>
            </w:tcBorders>
            <w:noWrap w:val="0"/>
            <w:vAlign w:val="center"/>
          </w:tcPr>
          <w:p w14:paraId="4A2B37C6">
            <w:pPr>
              <w:jc w:val="center"/>
              <w:rPr>
                <w:rFonts w:hint="eastAsia" w:ascii="宋体" w:hAnsi="宋体"/>
                <w:szCs w:val="21"/>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1145ADD0">
            <w:pPr>
              <w:jc w:val="center"/>
              <w:rPr>
                <w:rFonts w:hint="eastAsia" w:ascii="宋体" w:hAnsi="宋体"/>
                <w:b/>
              </w:rPr>
            </w:pPr>
          </w:p>
        </w:tc>
      </w:tr>
      <w:tr w14:paraId="13C24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5C8752BD">
            <w:pPr>
              <w:keepNext w:val="0"/>
              <w:keepLines w:val="0"/>
              <w:widowControl/>
              <w:suppressLineNumbers w:val="0"/>
              <w:jc w:val="center"/>
              <w:textAlignment w:val="center"/>
              <w:rPr>
                <w:rFonts w:hint="eastAsia" w:ascii="宋体" w:hAnsi="宋体" w:cs="宋体"/>
                <w:kern w:val="0"/>
                <w:szCs w:val="21"/>
              </w:rPr>
            </w:pPr>
          </w:p>
        </w:tc>
        <w:tc>
          <w:tcPr>
            <w:tcW w:w="4533" w:type="dxa"/>
            <w:tcBorders>
              <w:top w:val="single" w:color="auto" w:sz="6" w:space="0"/>
              <w:left w:val="single" w:color="auto" w:sz="6" w:space="0"/>
              <w:bottom w:val="single" w:color="auto" w:sz="6" w:space="0"/>
              <w:right w:val="single" w:color="auto" w:sz="6" w:space="0"/>
            </w:tcBorders>
            <w:noWrap w:val="0"/>
            <w:vAlign w:val="center"/>
          </w:tcPr>
          <w:p w14:paraId="1BB52A76">
            <w:pPr>
              <w:keepNext w:val="0"/>
              <w:keepLines w:val="0"/>
              <w:widowControl/>
              <w:suppressLineNumbers w:val="0"/>
              <w:jc w:val="left"/>
              <w:textAlignment w:val="center"/>
              <w:rPr>
                <w:rFonts w:hint="eastAsia" w:ascii="宋体" w:hAnsi="宋体" w:cs="宋体"/>
                <w:kern w:val="0"/>
                <w:szCs w:val="21"/>
              </w:rPr>
            </w:pPr>
          </w:p>
        </w:tc>
        <w:tc>
          <w:tcPr>
            <w:tcW w:w="855" w:type="dxa"/>
            <w:tcBorders>
              <w:top w:val="single" w:color="auto" w:sz="6" w:space="0"/>
              <w:left w:val="single" w:color="auto" w:sz="6" w:space="0"/>
              <w:bottom w:val="single" w:color="auto" w:sz="6" w:space="0"/>
              <w:right w:val="single" w:color="auto" w:sz="6" w:space="0"/>
            </w:tcBorders>
            <w:noWrap w:val="0"/>
            <w:vAlign w:val="center"/>
          </w:tcPr>
          <w:p w14:paraId="21E4BC63">
            <w:pPr>
              <w:keepNext w:val="0"/>
              <w:keepLines w:val="0"/>
              <w:widowControl/>
              <w:suppressLineNumbers w:val="0"/>
              <w:jc w:val="center"/>
              <w:textAlignment w:val="center"/>
              <w:rPr>
                <w:rFonts w:hint="eastAsia" w:ascii="宋体" w:hAnsi="宋体" w:cs="宋体"/>
                <w:kern w:val="0"/>
                <w:szCs w:val="21"/>
              </w:rPr>
            </w:pPr>
          </w:p>
        </w:tc>
        <w:tc>
          <w:tcPr>
            <w:tcW w:w="918" w:type="dxa"/>
            <w:tcBorders>
              <w:top w:val="single" w:color="auto" w:sz="6" w:space="0"/>
              <w:left w:val="single" w:color="auto" w:sz="6" w:space="0"/>
              <w:bottom w:val="single" w:color="auto" w:sz="6" w:space="0"/>
              <w:right w:val="single" w:color="auto" w:sz="6" w:space="0"/>
            </w:tcBorders>
            <w:noWrap w:val="0"/>
            <w:vAlign w:val="center"/>
          </w:tcPr>
          <w:p w14:paraId="794CFA6D">
            <w:pPr>
              <w:keepNext w:val="0"/>
              <w:keepLines w:val="0"/>
              <w:widowControl/>
              <w:suppressLineNumbers w:val="0"/>
              <w:jc w:val="right"/>
              <w:textAlignment w:val="center"/>
              <w:rPr>
                <w:rFonts w:hint="eastAsia" w:ascii="宋体" w:hAnsi="宋体" w:cs="宋体"/>
                <w:kern w:val="0"/>
                <w:szCs w:val="21"/>
              </w:rPr>
            </w:pPr>
          </w:p>
        </w:tc>
        <w:tc>
          <w:tcPr>
            <w:tcW w:w="973" w:type="dxa"/>
            <w:tcBorders>
              <w:top w:val="single" w:color="auto" w:sz="6" w:space="0"/>
              <w:left w:val="single" w:color="auto" w:sz="6" w:space="0"/>
              <w:bottom w:val="single" w:color="auto" w:sz="6" w:space="0"/>
              <w:right w:val="single" w:color="auto" w:sz="6" w:space="0"/>
            </w:tcBorders>
            <w:noWrap w:val="0"/>
            <w:vAlign w:val="center"/>
          </w:tcPr>
          <w:p w14:paraId="0F471E2A">
            <w:pPr>
              <w:jc w:val="center"/>
              <w:rPr>
                <w:rFonts w:hint="eastAsia" w:ascii="宋体" w:hAnsi="宋体"/>
                <w:szCs w:val="21"/>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0502AFE6">
            <w:pPr>
              <w:jc w:val="center"/>
              <w:rPr>
                <w:rFonts w:hint="eastAsia" w:ascii="宋体" w:hAnsi="宋体"/>
                <w:b/>
              </w:rPr>
            </w:pPr>
          </w:p>
        </w:tc>
      </w:tr>
      <w:tr w14:paraId="04BDB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3185FD1B">
            <w:pPr>
              <w:keepNext w:val="0"/>
              <w:keepLines w:val="0"/>
              <w:widowControl/>
              <w:suppressLineNumbers w:val="0"/>
              <w:jc w:val="center"/>
              <w:textAlignment w:val="center"/>
              <w:rPr>
                <w:rFonts w:hint="eastAsia" w:ascii="宋体" w:hAnsi="宋体" w:cs="宋体"/>
                <w:kern w:val="0"/>
                <w:szCs w:val="21"/>
              </w:rPr>
            </w:pPr>
          </w:p>
        </w:tc>
        <w:tc>
          <w:tcPr>
            <w:tcW w:w="4533" w:type="dxa"/>
            <w:tcBorders>
              <w:top w:val="single" w:color="auto" w:sz="6" w:space="0"/>
              <w:left w:val="single" w:color="auto" w:sz="6" w:space="0"/>
              <w:bottom w:val="single" w:color="auto" w:sz="6" w:space="0"/>
              <w:right w:val="single" w:color="auto" w:sz="6" w:space="0"/>
            </w:tcBorders>
            <w:noWrap w:val="0"/>
            <w:vAlign w:val="center"/>
          </w:tcPr>
          <w:p w14:paraId="7A77514D">
            <w:pPr>
              <w:keepNext w:val="0"/>
              <w:keepLines w:val="0"/>
              <w:widowControl/>
              <w:suppressLineNumbers w:val="0"/>
              <w:jc w:val="left"/>
              <w:textAlignment w:val="center"/>
              <w:rPr>
                <w:rFonts w:hint="eastAsia" w:ascii="宋体" w:hAnsi="宋体" w:cs="宋体"/>
                <w:kern w:val="0"/>
                <w:szCs w:val="21"/>
              </w:rPr>
            </w:pPr>
          </w:p>
        </w:tc>
        <w:tc>
          <w:tcPr>
            <w:tcW w:w="855" w:type="dxa"/>
            <w:tcBorders>
              <w:top w:val="single" w:color="auto" w:sz="6" w:space="0"/>
              <w:left w:val="single" w:color="auto" w:sz="6" w:space="0"/>
              <w:bottom w:val="single" w:color="auto" w:sz="6" w:space="0"/>
              <w:right w:val="single" w:color="auto" w:sz="6" w:space="0"/>
            </w:tcBorders>
            <w:noWrap w:val="0"/>
            <w:vAlign w:val="center"/>
          </w:tcPr>
          <w:p w14:paraId="128ED4CA">
            <w:pPr>
              <w:keepNext w:val="0"/>
              <w:keepLines w:val="0"/>
              <w:widowControl/>
              <w:suppressLineNumbers w:val="0"/>
              <w:jc w:val="center"/>
              <w:textAlignment w:val="center"/>
              <w:rPr>
                <w:rFonts w:hint="eastAsia" w:ascii="宋体" w:hAnsi="宋体" w:cs="宋体"/>
                <w:kern w:val="0"/>
                <w:szCs w:val="21"/>
              </w:rPr>
            </w:pPr>
          </w:p>
        </w:tc>
        <w:tc>
          <w:tcPr>
            <w:tcW w:w="918" w:type="dxa"/>
            <w:tcBorders>
              <w:top w:val="single" w:color="auto" w:sz="6" w:space="0"/>
              <w:left w:val="single" w:color="auto" w:sz="6" w:space="0"/>
              <w:bottom w:val="single" w:color="auto" w:sz="6" w:space="0"/>
              <w:right w:val="single" w:color="auto" w:sz="6" w:space="0"/>
            </w:tcBorders>
            <w:noWrap w:val="0"/>
            <w:vAlign w:val="center"/>
          </w:tcPr>
          <w:p w14:paraId="2F7E90BE">
            <w:pPr>
              <w:keepNext w:val="0"/>
              <w:keepLines w:val="0"/>
              <w:widowControl/>
              <w:suppressLineNumbers w:val="0"/>
              <w:jc w:val="right"/>
              <w:textAlignment w:val="center"/>
              <w:rPr>
                <w:rFonts w:hint="eastAsia" w:ascii="宋体" w:hAnsi="宋体" w:cs="宋体"/>
                <w:kern w:val="0"/>
                <w:szCs w:val="21"/>
              </w:rPr>
            </w:pPr>
          </w:p>
        </w:tc>
        <w:tc>
          <w:tcPr>
            <w:tcW w:w="973" w:type="dxa"/>
            <w:tcBorders>
              <w:top w:val="single" w:color="auto" w:sz="6" w:space="0"/>
              <w:left w:val="single" w:color="auto" w:sz="6" w:space="0"/>
              <w:bottom w:val="single" w:color="auto" w:sz="6" w:space="0"/>
              <w:right w:val="single" w:color="auto" w:sz="6" w:space="0"/>
            </w:tcBorders>
            <w:noWrap w:val="0"/>
            <w:vAlign w:val="center"/>
          </w:tcPr>
          <w:p w14:paraId="5D802BB5">
            <w:pPr>
              <w:jc w:val="center"/>
              <w:rPr>
                <w:rFonts w:hint="eastAsia" w:ascii="宋体" w:hAnsi="宋体"/>
                <w:szCs w:val="21"/>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60573622">
            <w:pPr>
              <w:jc w:val="center"/>
              <w:rPr>
                <w:rFonts w:hint="eastAsia" w:ascii="宋体" w:hAnsi="宋体"/>
                <w:b/>
              </w:rPr>
            </w:pPr>
          </w:p>
        </w:tc>
      </w:tr>
      <w:tr w14:paraId="4EDCE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164436C0">
            <w:pPr>
              <w:keepNext w:val="0"/>
              <w:keepLines w:val="0"/>
              <w:widowControl/>
              <w:suppressLineNumbers w:val="0"/>
              <w:jc w:val="center"/>
              <w:textAlignment w:val="center"/>
              <w:rPr>
                <w:rFonts w:hint="eastAsia" w:ascii="宋体" w:hAnsi="宋体" w:cs="宋体"/>
                <w:kern w:val="0"/>
                <w:szCs w:val="21"/>
              </w:rPr>
            </w:pPr>
          </w:p>
        </w:tc>
        <w:tc>
          <w:tcPr>
            <w:tcW w:w="4533" w:type="dxa"/>
            <w:tcBorders>
              <w:top w:val="single" w:color="auto" w:sz="6" w:space="0"/>
              <w:left w:val="single" w:color="auto" w:sz="6" w:space="0"/>
              <w:bottom w:val="single" w:color="auto" w:sz="6" w:space="0"/>
              <w:right w:val="single" w:color="auto" w:sz="6" w:space="0"/>
            </w:tcBorders>
            <w:noWrap w:val="0"/>
            <w:vAlign w:val="center"/>
          </w:tcPr>
          <w:p w14:paraId="2E384981">
            <w:pPr>
              <w:keepNext w:val="0"/>
              <w:keepLines w:val="0"/>
              <w:widowControl/>
              <w:suppressLineNumbers w:val="0"/>
              <w:jc w:val="left"/>
              <w:textAlignment w:val="center"/>
              <w:rPr>
                <w:rFonts w:hint="eastAsia" w:ascii="宋体" w:hAnsi="宋体" w:cs="宋体"/>
                <w:kern w:val="0"/>
                <w:szCs w:val="21"/>
              </w:rPr>
            </w:pPr>
          </w:p>
        </w:tc>
        <w:tc>
          <w:tcPr>
            <w:tcW w:w="855" w:type="dxa"/>
            <w:tcBorders>
              <w:top w:val="single" w:color="auto" w:sz="6" w:space="0"/>
              <w:left w:val="single" w:color="auto" w:sz="6" w:space="0"/>
              <w:bottom w:val="single" w:color="auto" w:sz="6" w:space="0"/>
              <w:right w:val="single" w:color="auto" w:sz="6" w:space="0"/>
            </w:tcBorders>
            <w:noWrap w:val="0"/>
            <w:vAlign w:val="center"/>
          </w:tcPr>
          <w:p w14:paraId="2C1381F3">
            <w:pPr>
              <w:jc w:val="center"/>
              <w:rPr>
                <w:rFonts w:hint="eastAsia" w:ascii="宋体" w:hAnsi="宋体" w:cs="宋体"/>
                <w:kern w:val="0"/>
                <w:szCs w:val="21"/>
              </w:rPr>
            </w:pPr>
          </w:p>
        </w:tc>
        <w:tc>
          <w:tcPr>
            <w:tcW w:w="918" w:type="dxa"/>
            <w:tcBorders>
              <w:top w:val="single" w:color="auto" w:sz="6" w:space="0"/>
              <w:left w:val="single" w:color="auto" w:sz="6" w:space="0"/>
              <w:bottom w:val="single" w:color="auto" w:sz="6" w:space="0"/>
              <w:right w:val="single" w:color="auto" w:sz="6" w:space="0"/>
            </w:tcBorders>
            <w:noWrap w:val="0"/>
            <w:vAlign w:val="center"/>
          </w:tcPr>
          <w:p w14:paraId="4E49AD42">
            <w:pPr>
              <w:jc w:val="right"/>
              <w:rPr>
                <w:rFonts w:hint="eastAsia" w:ascii="宋体" w:hAnsi="宋体" w:cs="宋体"/>
                <w:kern w:val="0"/>
                <w:szCs w:val="21"/>
              </w:rPr>
            </w:pPr>
          </w:p>
        </w:tc>
        <w:tc>
          <w:tcPr>
            <w:tcW w:w="973" w:type="dxa"/>
            <w:tcBorders>
              <w:top w:val="single" w:color="auto" w:sz="6" w:space="0"/>
              <w:left w:val="single" w:color="auto" w:sz="6" w:space="0"/>
              <w:bottom w:val="single" w:color="auto" w:sz="6" w:space="0"/>
              <w:right w:val="single" w:color="auto" w:sz="6" w:space="0"/>
            </w:tcBorders>
            <w:noWrap w:val="0"/>
            <w:vAlign w:val="center"/>
          </w:tcPr>
          <w:p w14:paraId="706767B2">
            <w:pPr>
              <w:jc w:val="center"/>
              <w:rPr>
                <w:rFonts w:hint="eastAsia" w:ascii="宋体" w:hAnsi="宋体"/>
                <w:szCs w:val="21"/>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3FB544EF">
            <w:pPr>
              <w:jc w:val="center"/>
              <w:rPr>
                <w:rFonts w:hint="eastAsia" w:ascii="宋体" w:hAnsi="宋体"/>
                <w:b/>
              </w:rPr>
            </w:pPr>
          </w:p>
        </w:tc>
      </w:tr>
      <w:tr w14:paraId="4F04C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3AFFCEF8">
            <w:pPr>
              <w:keepNext w:val="0"/>
              <w:keepLines w:val="0"/>
              <w:widowControl/>
              <w:suppressLineNumbers w:val="0"/>
              <w:jc w:val="center"/>
              <w:textAlignment w:val="center"/>
              <w:rPr>
                <w:rFonts w:hint="eastAsia" w:ascii="宋体" w:hAnsi="宋体" w:cs="宋体"/>
                <w:kern w:val="0"/>
                <w:szCs w:val="21"/>
              </w:rPr>
            </w:pPr>
          </w:p>
        </w:tc>
        <w:tc>
          <w:tcPr>
            <w:tcW w:w="4533" w:type="dxa"/>
            <w:tcBorders>
              <w:top w:val="single" w:color="auto" w:sz="6" w:space="0"/>
              <w:left w:val="single" w:color="auto" w:sz="6" w:space="0"/>
              <w:bottom w:val="single" w:color="auto" w:sz="6" w:space="0"/>
              <w:right w:val="single" w:color="auto" w:sz="6" w:space="0"/>
            </w:tcBorders>
            <w:noWrap w:val="0"/>
            <w:vAlign w:val="center"/>
          </w:tcPr>
          <w:p w14:paraId="5DFB4DA1">
            <w:pPr>
              <w:keepNext w:val="0"/>
              <w:keepLines w:val="0"/>
              <w:widowControl/>
              <w:suppressLineNumbers w:val="0"/>
              <w:jc w:val="left"/>
              <w:textAlignment w:val="center"/>
              <w:rPr>
                <w:rFonts w:hint="eastAsia" w:ascii="宋体" w:hAnsi="宋体" w:cs="宋体"/>
                <w:kern w:val="0"/>
                <w:szCs w:val="21"/>
              </w:rPr>
            </w:pPr>
          </w:p>
        </w:tc>
        <w:tc>
          <w:tcPr>
            <w:tcW w:w="855" w:type="dxa"/>
            <w:tcBorders>
              <w:top w:val="single" w:color="auto" w:sz="6" w:space="0"/>
              <w:left w:val="single" w:color="auto" w:sz="6" w:space="0"/>
              <w:bottom w:val="single" w:color="auto" w:sz="6" w:space="0"/>
              <w:right w:val="single" w:color="auto" w:sz="6" w:space="0"/>
            </w:tcBorders>
            <w:noWrap w:val="0"/>
            <w:vAlign w:val="center"/>
          </w:tcPr>
          <w:p w14:paraId="00BE494E">
            <w:pPr>
              <w:keepNext w:val="0"/>
              <w:keepLines w:val="0"/>
              <w:widowControl/>
              <w:suppressLineNumbers w:val="0"/>
              <w:jc w:val="center"/>
              <w:textAlignment w:val="center"/>
              <w:rPr>
                <w:rFonts w:hint="eastAsia" w:ascii="宋体" w:hAnsi="宋体" w:cs="宋体"/>
                <w:kern w:val="0"/>
                <w:szCs w:val="21"/>
              </w:rPr>
            </w:pPr>
          </w:p>
        </w:tc>
        <w:tc>
          <w:tcPr>
            <w:tcW w:w="918" w:type="dxa"/>
            <w:tcBorders>
              <w:top w:val="single" w:color="auto" w:sz="6" w:space="0"/>
              <w:left w:val="single" w:color="auto" w:sz="6" w:space="0"/>
              <w:bottom w:val="single" w:color="auto" w:sz="6" w:space="0"/>
              <w:right w:val="single" w:color="auto" w:sz="6" w:space="0"/>
            </w:tcBorders>
            <w:noWrap w:val="0"/>
            <w:vAlign w:val="center"/>
          </w:tcPr>
          <w:p w14:paraId="55D26712">
            <w:pPr>
              <w:keepNext w:val="0"/>
              <w:keepLines w:val="0"/>
              <w:widowControl/>
              <w:suppressLineNumbers w:val="0"/>
              <w:jc w:val="right"/>
              <w:textAlignment w:val="center"/>
              <w:rPr>
                <w:rFonts w:hint="eastAsia" w:ascii="宋体" w:hAnsi="宋体" w:cs="宋体"/>
                <w:kern w:val="0"/>
                <w:szCs w:val="21"/>
              </w:rPr>
            </w:pPr>
          </w:p>
        </w:tc>
        <w:tc>
          <w:tcPr>
            <w:tcW w:w="973" w:type="dxa"/>
            <w:tcBorders>
              <w:top w:val="single" w:color="auto" w:sz="6" w:space="0"/>
              <w:left w:val="single" w:color="auto" w:sz="6" w:space="0"/>
              <w:bottom w:val="single" w:color="auto" w:sz="6" w:space="0"/>
              <w:right w:val="single" w:color="auto" w:sz="6" w:space="0"/>
            </w:tcBorders>
            <w:noWrap w:val="0"/>
            <w:vAlign w:val="center"/>
          </w:tcPr>
          <w:p w14:paraId="17A4C2C1">
            <w:pPr>
              <w:jc w:val="center"/>
              <w:rPr>
                <w:rFonts w:hint="eastAsia" w:ascii="宋体" w:hAnsi="宋体"/>
                <w:szCs w:val="21"/>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5A268D72">
            <w:pPr>
              <w:jc w:val="center"/>
              <w:rPr>
                <w:rFonts w:hint="eastAsia" w:ascii="宋体" w:hAnsi="宋体"/>
                <w:b/>
              </w:rPr>
            </w:pPr>
          </w:p>
        </w:tc>
      </w:tr>
      <w:tr w14:paraId="5D870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341D70BF">
            <w:pPr>
              <w:keepNext w:val="0"/>
              <w:keepLines w:val="0"/>
              <w:widowControl/>
              <w:suppressLineNumbers w:val="0"/>
              <w:jc w:val="center"/>
              <w:textAlignment w:val="center"/>
              <w:rPr>
                <w:rFonts w:hint="eastAsia" w:ascii="宋体" w:hAnsi="宋体" w:cs="宋体"/>
                <w:szCs w:val="21"/>
              </w:rPr>
            </w:pPr>
          </w:p>
        </w:tc>
        <w:tc>
          <w:tcPr>
            <w:tcW w:w="4533" w:type="dxa"/>
            <w:tcBorders>
              <w:top w:val="single" w:color="auto" w:sz="6" w:space="0"/>
              <w:left w:val="single" w:color="auto" w:sz="6" w:space="0"/>
              <w:bottom w:val="single" w:color="auto" w:sz="6" w:space="0"/>
              <w:right w:val="single" w:color="auto" w:sz="6" w:space="0"/>
            </w:tcBorders>
            <w:noWrap w:val="0"/>
            <w:vAlign w:val="center"/>
          </w:tcPr>
          <w:p w14:paraId="00D8BEE7">
            <w:pPr>
              <w:keepNext w:val="0"/>
              <w:keepLines w:val="0"/>
              <w:widowControl/>
              <w:suppressLineNumbers w:val="0"/>
              <w:jc w:val="left"/>
              <w:textAlignment w:val="center"/>
              <w:rPr>
                <w:rFonts w:hint="eastAsia" w:ascii="宋体" w:hAnsi="宋体" w:cs="宋体"/>
                <w:szCs w:val="21"/>
              </w:rPr>
            </w:pPr>
          </w:p>
        </w:tc>
        <w:tc>
          <w:tcPr>
            <w:tcW w:w="855" w:type="dxa"/>
            <w:tcBorders>
              <w:top w:val="single" w:color="auto" w:sz="6" w:space="0"/>
              <w:left w:val="single" w:color="auto" w:sz="6" w:space="0"/>
              <w:bottom w:val="single" w:color="auto" w:sz="6" w:space="0"/>
              <w:right w:val="single" w:color="auto" w:sz="6" w:space="0"/>
            </w:tcBorders>
            <w:noWrap w:val="0"/>
            <w:vAlign w:val="center"/>
          </w:tcPr>
          <w:p w14:paraId="0B8A5362">
            <w:pPr>
              <w:keepNext w:val="0"/>
              <w:keepLines w:val="0"/>
              <w:widowControl/>
              <w:suppressLineNumbers w:val="0"/>
              <w:jc w:val="center"/>
              <w:textAlignment w:val="center"/>
              <w:rPr>
                <w:rFonts w:hint="eastAsia" w:ascii="宋体" w:hAnsi="宋体" w:cs="宋体"/>
                <w:szCs w:val="21"/>
              </w:rPr>
            </w:pPr>
          </w:p>
        </w:tc>
        <w:tc>
          <w:tcPr>
            <w:tcW w:w="918" w:type="dxa"/>
            <w:tcBorders>
              <w:top w:val="single" w:color="auto" w:sz="6" w:space="0"/>
              <w:left w:val="single" w:color="auto" w:sz="6" w:space="0"/>
              <w:bottom w:val="single" w:color="auto" w:sz="6" w:space="0"/>
              <w:right w:val="single" w:color="auto" w:sz="6" w:space="0"/>
            </w:tcBorders>
            <w:noWrap w:val="0"/>
            <w:vAlign w:val="center"/>
          </w:tcPr>
          <w:p w14:paraId="63F3212F">
            <w:pPr>
              <w:keepNext w:val="0"/>
              <w:keepLines w:val="0"/>
              <w:widowControl/>
              <w:suppressLineNumbers w:val="0"/>
              <w:jc w:val="right"/>
              <w:textAlignment w:val="center"/>
              <w:rPr>
                <w:rFonts w:hint="eastAsia" w:ascii="宋体" w:hAnsi="宋体"/>
              </w:rPr>
            </w:pPr>
          </w:p>
        </w:tc>
        <w:tc>
          <w:tcPr>
            <w:tcW w:w="973" w:type="dxa"/>
            <w:tcBorders>
              <w:top w:val="single" w:color="auto" w:sz="6" w:space="0"/>
              <w:left w:val="single" w:color="auto" w:sz="6" w:space="0"/>
              <w:bottom w:val="single" w:color="auto" w:sz="6" w:space="0"/>
              <w:right w:val="single" w:color="auto" w:sz="6" w:space="0"/>
            </w:tcBorders>
            <w:noWrap w:val="0"/>
            <w:vAlign w:val="center"/>
          </w:tcPr>
          <w:p w14:paraId="4176D50B">
            <w:pPr>
              <w:jc w:val="center"/>
              <w:rPr>
                <w:rFonts w:hint="eastAsia" w:ascii="宋体" w:hAnsi="宋体"/>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2F24B02C">
            <w:pPr>
              <w:jc w:val="center"/>
              <w:rPr>
                <w:rFonts w:hint="eastAsia" w:ascii="宋体" w:hAnsi="宋体"/>
              </w:rPr>
            </w:pPr>
          </w:p>
        </w:tc>
      </w:tr>
      <w:tr w14:paraId="725E1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9162" w:type="dxa"/>
            <w:gridSpan w:val="6"/>
            <w:tcBorders>
              <w:top w:val="single" w:color="auto" w:sz="6" w:space="0"/>
              <w:left w:val="single" w:color="auto" w:sz="12" w:space="0"/>
              <w:bottom w:val="single" w:color="auto" w:sz="12" w:space="0"/>
              <w:right w:val="single" w:color="auto" w:sz="12" w:space="0"/>
            </w:tcBorders>
            <w:noWrap w:val="0"/>
            <w:vAlign w:val="center"/>
          </w:tcPr>
          <w:p w14:paraId="17820B63">
            <w:pPr>
              <w:ind w:firstLine="1973" w:firstLineChars="936"/>
              <w:rPr>
                <w:rFonts w:hint="eastAsia" w:ascii="宋体" w:hAnsi="宋体"/>
                <w:b/>
                <w:bCs/>
                <w:u w:val="single"/>
              </w:rPr>
            </w:pPr>
            <w:r>
              <w:rPr>
                <w:rFonts w:hint="eastAsia" w:ascii="宋体" w:hAnsi="宋体"/>
                <w:b/>
                <w:bCs/>
              </w:rPr>
              <w:t>清单100章合计   人民币</w:t>
            </w:r>
            <w:r>
              <w:rPr>
                <w:rFonts w:hint="eastAsia" w:ascii="宋体" w:hAnsi="宋体"/>
                <w:b/>
                <w:bCs/>
                <w:u w:val="single"/>
              </w:rPr>
              <w:t xml:space="preserve">           </w:t>
            </w:r>
            <w:r>
              <w:rPr>
                <w:rFonts w:hint="eastAsia" w:ascii="宋体" w:hAnsi="宋体"/>
                <w:b/>
                <w:bCs/>
              </w:rPr>
              <w:t>元</w:t>
            </w:r>
          </w:p>
        </w:tc>
      </w:tr>
    </w:tbl>
    <w:p w14:paraId="3647C146">
      <w:pPr>
        <w:spacing w:before="240" w:beforeLines="100" w:after="240" w:afterLines="100"/>
        <w:jc w:val="center"/>
        <w:rPr>
          <w:rFonts w:hint="eastAsia" w:ascii="黑体" w:hAnsi="宋体" w:eastAsia="黑体"/>
          <w:sz w:val="30"/>
          <w:szCs w:val="30"/>
        </w:rPr>
      </w:pPr>
    </w:p>
    <w:p w14:paraId="2C5E4D90">
      <w:pPr>
        <w:spacing w:before="240" w:beforeLines="100" w:after="240" w:afterLines="100"/>
        <w:jc w:val="center"/>
        <w:rPr>
          <w:rFonts w:hint="eastAsia" w:ascii="黑体" w:hAnsi="宋体" w:eastAsia="黑体"/>
          <w:sz w:val="30"/>
          <w:szCs w:val="30"/>
        </w:rPr>
      </w:pPr>
    </w:p>
    <w:p w14:paraId="6E7100DC">
      <w:pPr>
        <w:spacing w:before="240" w:beforeLines="100" w:after="240" w:afterLines="100"/>
        <w:jc w:val="center"/>
        <w:rPr>
          <w:rFonts w:hint="eastAsia" w:ascii="黑体" w:hAnsi="宋体" w:eastAsia="黑体"/>
          <w:sz w:val="30"/>
          <w:szCs w:val="30"/>
        </w:rPr>
      </w:pPr>
      <w:r>
        <w:rPr>
          <w:rFonts w:hint="eastAsia" w:ascii="黑体" w:hAnsi="宋体" w:eastAsia="黑体"/>
          <w:sz w:val="30"/>
          <w:szCs w:val="30"/>
        </w:rPr>
        <w:t>工程量清单</w:t>
      </w:r>
    </w:p>
    <w:p w14:paraId="393B1484">
      <w:pPr>
        <w:pStyle w:val="50"/>
        <w:ind w:left="0" w:leftChars="0" w:firstLine="0" w:firstLine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标项</w:t>
      </w: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w:t>
      </w:r>
      <w:r>
        <w:rPr>
          <w:rFonts w:hint="eastAsia" w:asciiTheme="minorEastAsia" w:hAnsiTheme="minorEastAsia" w:cstheme="minorEastAsia"/>
          <w:sz w:val="24"/>
          <w:szCs w:val="24"/>
          <w:lang w:eastAsia="zh-CN"/>
        </w:rPr>
        <w:t>2026年秀洲区县道及以上公路小修及应急抢险项目</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第一</w:t>
      </w:r>
      <w:r>
        <w:rPr>
          <w:rFonts w:hint="eastAsia" w:asciiTheme="minorEastAsia" w:hAnsiTheme="minorEastAsia" w:eastAsiaTheme="minorEastAsia" w:cstheme="minorEastAsia"/>
          <w:sz w:val="24"/>
          <w:szCs w:val="24"/>
          <w:lang w:eastAsia="zh-CN"/>
        </w:rPr>
        <w:t>标段）</w:t>
      </w:r>
    </w:p>
    <w:p w14:paraId="5E11D00B">
      <w:pPr>
        <w:pStyle w:val="50"/>
        <w:ind w:left="0" w:leftChars="0" w:firstLine="0" w:firstLineChars="0"/>
        <w:rPr>
          <w:rFonts w:hint="eastAsia" w:ascii="黑体" w:hAnsi="宋体" w:eastAsia="黑体"/>
          <w:sz w:val="30"/>
          <w:szCs w:val="30"/>
        </w:rPr>
      </w:pPr>
      <w:r>
        <w:rPr>
          <w:rFonts w:hint="eastAsia" w:asciiTheme="minorEastAsia" w:hAnsiTheme="minorEastAsia" w:eastAsiaTheme="minorEastAsia" w:cstheme="minorEastAsia"/>
          <w:sz w:val="24"/>
          <w:szCs w:val="24"/>
        </w:rPr>
        <w:t>货币单位：人民币元</w:t>
      </w:r>
    </w:p>
    <w:tbl>
      <w:tblPr>
        <w:tblStyle w:val="51"/>
        <w:tblW w:w="946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40"/>
        <w:gridCol w:w="4572"/>
        <w:gridCol w:w="899"/>
        <w:gridCol w:w="899"/>
        <w:gridCol w:w="1079"/>
        <w:gridCol w:w="1079"/>
      </w:tblGrid>
      <w:tr w14:paraId="776A47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68" w:type="dxa"/>
            <w:gridSpan w:val="6"/>
            <w:noWrap w:val="0"/>
            <w:vAlign w:val="center"/>
          </w:tcPr>
          <w:p w14:paraId="145BADAD">
            <w:pPr>
              <w:ind w:firstLine="103" w:firstLineChars="49"/>
              <w:jc w:val="center"/>
              <w:rPr>
                <w:rFonts w:ascii="宋体" w:hAnsi="宋体"/>
                <w:b/>
                <w:bCs/>
              </w:rPr>
            </w:pPr>
            <w:r>
              <w:rPr>
                <w:rFonts w:hint="eastAsia" w:ascii="宋体" w:hAnsi="宋体"/>
                <w:b/>
                <w:bCs/>
              </w:rPr>
              <w:t>清单      第200章      路  基</w:t>
            </w:r>
          </w:p>
        </w:tc>
      </w:tr>
      <w:tr w14:paraId="6E977E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4903C45E">
            <w:pPr>
              <w:widowControl/>
              <w:jc w:val="left"/>
              <w:rPr>
                <w:rFonts w:ascii="宋体" w:hAnsi="宋体" w:cs="宋体"/>
                <w:kern w:val="0"/>
                <w:szCs w:val="21"/>
              </w:rPr>
            </w:pPr>
            <w:r>
              <w:rPr>
                <w:rFonts w:hint="eastAsia" w:ascii="宋体" w:hAnsi="宋体" w:cs="宋体"/>
                <w:kern w:val="0"/>
                <w:szCs w:val="21"/>
              </w:rPr>
              <w:t>子目号</w:t>
            </w:r>
          </w:p>
        </w:tc>
        <w:tc>
          <w:tcPr>
            <w:tcW w:w="4572" w:type="dxa"/>
            <w:noWrap w:val="0"/>
            <w:vAlign w:val="center"/>
          </w:tcPr>
          <w:p w14:paraId="7D267D82">
            <w:pPr>
              <w:widowControl/>
              <w:jc w:val="center"/>
              <w:rPr>
                <w:rFonts w:ascii="宋体" w:hAnsi="宋体" w:cs="宋体"/>
                <w:kern w:val="0"/>
                <w:szCs w:val="21"/>
              </w:rPr>
            </w:pPr>
            <w:r>
              <w:rPr>
                <w:rFonts w:hint="eastAsia" w:ascii="宋体" w:hAnsi="宋体" w:cs="宋体"/>
                <w:kern w:val="0"/>
                <w:szCs w:val="21"/>
              </w:rPr>
              <w:t>子  目  名  称</w:t>
            </w:r>
          </w:p>
        </w:tc>
        <w:tc>
          <w:tcPr>
            <w:tcW w:w="899" w:type="dxa"/>
            <w:noWrap w:val="0"/>
            <w:vAlign w:val="center"/>
          </w:tcPr>
          <w:p w14:paraId="4A0C6451">
            <w:pPr>
              <w:widowControl/>
              <w:jc w:val="center"/>
              <w:rPr>
                <w:rFonts w:ascii="宋体" w:hAnsi="宋体" w:cs="宋体"/>
                <w:kern w:val="0"/>
                <w:szCs w:val="21"/>
              </w:rPr>
            </w:pPr>
            <w:r>
              <w:rPr>
                <w:rFonts w:hint="eastAsia" w:ascii="宋体" w:hAnsi="宋体" w:cs="宋体"/>
                <w:kern w:val="0"/>
                <w:szCs w:val="21"/>
              </w:rPr>
              <w:t>单位</w:t>
            </w:r>
          </w:p>
        </w:tc>
        <w:tc>
          <w:tcPr>
            <w:tcW w:w="899" w:type="dxa"/>
            <w:noWrap w:val="0"/>
            <w:vAlign w:val="center"/>
          </w:tcPr>
          <w:p w14:paraId="176407FF">
            <w:pPr>
              <w:widowControl/>
              <w:jc w:val="center"/>
              <w:rPr>
                <w:rFonts w:ascii="宋体" w:hAnsi="宋体" w:cs="宋体"/>
                <w:kern w:val="0"/>
                <w:szCs w:val="21"/>
              </w:rPr>
            </w:pPr>
            <w:r>
              <w:rPr>
                <w:rFonts w:hint="eastAsia" w:ascii="宋体" w:hAnsi="宋体" w:cs="宋体"/>
                <w:kern w:val="0"/>
                <w:szCs w:val="21"/>
              </w:rPr>
              <w:t>数量</w:t>
            </w:r>
          </w:p>
        </w:tc>
        <w:tc>
          <w:tcPr>
            <w:tcW w:w="1079" w:type="dxa"/>
            <w:noWrap w:val="0"/>
            <w:vAlign w:val="center"/>
          </w:tcPr>
          <w:p w14:paraId="6C21E56B">
            <w:pPr>
              <w:widowControl/>
              <w:jc w:val="center"/>
              <w:rPr>
                <w:rFonts w:ascii="宋体" w:hAnsi="宋体" w:cs="宋体"/>
                <w:kern w:val="0"/>
                <w:szCs w:val="21"/>
              </w:rPr>
            </w:pPr>
            <w:r>
              <w:rPr>
                <w:rFonts w:hint="eastAsia" w:ascii="宋体" w:hAnsi="宋体" w:cs="宋体"/>
                <w:kern w:val="0"/>
                <w:szCs w:val="21"/>
              </w:rPr>
              <w:t>单价</w:t>
            </w:r>
          </w:p>
        </w:tc>
        <w:tc>
          <w:tcPr>
            <w:tcW w:w="1079" w:type="dxa"/>
            <w:noWrap w:val="0"/>
            <w:vAlign w:val="center"/>
          </w:tcPr>
          <w:p w14:paraId="751A9589">
            <w:pPr>
              <w:widowControl/>
              <w:jc w:val="center"/>
              <w:rPr>
                <w:rFonts w:ascii="宋体" w:hAnsi="宋体" w:cs="宋体"/>
                <w:kern w:val="0"/>
                <w:szCs w:val="21"/>
              </w:rPr>
            </w:pPr>
            <w:r>
              <w:rPr>
                <w:rFonts w:hint="eastAsia" w:ascii="宋体" w:hAnsi="宋体" w:cs="宋体"/>
                <w:kern w:val="0"/>
                <w:szCs w:val="21"/>
              </w:rPr>
              <w:t>合价</w:t>
            </w:r>
          </w:p>
        </w:tc>
      </w:tr>
      <w:tr w14:paraId="6D5C61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5028BA82">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202</w:t>
            </w:r>
          </w:p>
        </w:tc>
        <w:tc>
          <w:tcPr>
            <w:tcW w:w="4572" w:type="dxa"/>
            <w:noWrap w:val="0"/>
            <w:vAlign w:val="center"/>
          </w:tcPr>
          <w:p w14:paraId="576E3C91">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维修</w:t>
            </w:r>
          </w:p>
        </w:tc>
        <w:tc>
          <w:tcPr>
            <w:tcW w:w="899" w:type="dxa"/>
            <w:noWrap w:val="0"/>
            <w:vAlign w:val="center"/>
          </w:tcPr>
          <w:p w14:paraId="7F047295">
            <w:pPr>
              <w:jc w:val="center"/>
              <w:rPr>
                <w:rFonts w:hint="eastAsia" w:ascii="宋体" w:hAnsi="宋体" w:cs="宋体"/>
                <w:kern w:val="0"/>
                <w:sz w:val="21"/>
                <w:szCs w:val="21"/>
              </w:rPr>
            </w:pPr>
          </w:p>
        </w:tc>
        <w:tc>
          <w:tcPr>
            <w:tcW w:w="899" w:type="dxa"/>
            <w:noWrap w:val="0"/>
            <w:vAlign w:val="center"/>
          </w:tcPr>
          <w:p w14:paraId="601CA58B">
            <w:pPr>
              <w:jc w:val="right"/>
              <w:rPr>
                <w:rFonts w:hint="eastAsia" w:ascii="宋体" w:hAnsi="宋体" w:cs="宋体"/>
                <w:kern w:val="0"/>
                <w:sz w:val="21"/>
                <w:szCs w:val="21"/>
              </w:rPr>
            </w:pPr>
          </w:p>
        </w:tc>
        <w:tc>
          <w:tcPr>
            <w:tcW w:w="1079" w:type="dxa"/>
            <w:noWrap w:val="0"/>
            <w:vAlign w:val="center"/>
          </w:tcPr>
          <w:p w14:paraId="1B639ADF">
            <w:pPr>
              <w:widowControl/>
              <w:jc w:val="center"/>
              <w:rPr>
                <w:rFonts w:hint="eastAsia" w:ascii="宋体" w:hAnsi="宋体" w:cs="宋体"/>
                <w:kern w:val="0"/>
                <w:szCs w:val="21"/>
              </w:rPr>
            </w:pPr>
          </w:p>
        </w:tc>
        <w:tc>
          <w:tcPr>
            <w:tcW w:w="1079" w:type="dxa"/>
            <w:noWrap w:val="0"/>
            <w:vAlign w:val="center"/>
          </w:tcPr>
          <w:p w14:paraId="4FCAC03A">
            <w:pPr>
              <w:widowControl/>
              <w:jc w:val="center"/>
              <w:rPr>
                <w:rFonts w:hint="eastAsia" w:ascii="宋体" w:hAnsi="宋体" w:cs="宋体"/>
                <w:kern w:val="0"/>
                <w:szCs w:val="21"/>
              </w:rPr>
            </w:pPr>
          </w:p>
        </w:tc>
      </w:tr>
      <w:tr w14:paraId="3E1987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440C274B">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202-8</w:t>
            </w:r>
          </w:p>
        </w:tc>
        <w:tc>
          <w:tcPr>
            <w:tcW w:w="4572" w:type="dxa"/>
            <w:noWrap w:val="0"/>
            <w:vAlign w:val="center"/>
          </w:tcPr>
          <w:p w14:paraId="733971BE">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宕渣</w:t>
            </w:r>
          </w:p>
        </w:tc>
        <w:tc>
          <w:tcPr>
            <w:tcW w:w="899" w:type="dxa"/>
            <w:noWrap w:val="0"/>
            <w:vAlign w:val="center"/>
          </w:tcPr>
          <w:p w14:paraId="3F556E8E">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m3</w:t>
            </w:r>
          </w:p>
        </w:tc>
        <w:tc>
          <w:tcPr>
            <w:tcW w:w="899" w:type="dxa"/>
            <w:noWrap w:val="0"/>
            <w:vAlign w:val="center"/>
          </w:tcPr>
          <w:p w14:paraId="5CBC8652">
            <w:pPr>
              <w:keepNext w:val="0"/>
              <w:keepLines w:val="0"/>
              <w:widowControl/>
              <w:suppressLineNumbers w:val="0"/>
              <w:jc w:val="right"/>
              <w:textAlignment w:val="center"/>
              <w:rPr>
                <w:rFonts w:ascii="宋体" w:hAnsi="宋体" w:cs="宋体"/>
                <w:kern w:val="0"/>
                <w:sz w:val="21"/>
                <w:szCs w:val="21"/>
              </w:rPr>
            </w:pPr>
            <w:r>
              <w:rPr>
                <w:rFonts w:hint="default" w:ascii="Arial Narrow" w:hAnsi="Arial Narrow" w:eastAsia="Arial Narrow" w:cs="Arial Narrow"/>
                <w:i w:val="0"/>
                <w:iCs w:val="0"/>
                <w:color w:val="000000"/>
                <w:kern w:val="0"/>
                <w:sz w:val="21"/>
                <w:szCs w:val="21"/>
                <w:u w:val="none"/>
                <w:lang w:val="en-US" w:eastAsia="zh-CN" w:bidi="ar"/>
              </w:rPr>
              <w:t>500</w:t>
            </w:r>
          </w:p>
        </w:tc>
        <w:tc>
          <w:tcPr>
            <w:tcW w:w="1079" w:type="dxa"/>
            <w:noWrap w:val="0"/>
            <w:vAlign w:val="center"/>
          </w:tcPr>
          <w:p w14:paraId="7EDA85EF">
            <w:pPr>
              <w:widowControl/>
              <w:jc w:val="center"/>
              <w:rPr>
                <w:rFonts w:hint="eastAsia" w:ascii="宋体" w:hAnsi="宋体" w:cs="宋体"/>
                <w:kern w:val="0"/>
                <w:szCs w:val="21"/>
              </w:rPr>
            </w:pPr>
          </w:p>
        </w:tc>
        <w:tc>
          <w:tcPr>
            <w:tcW w:w="1079" w:type="dxa"/>
            <w:noWrap w:val="0"/>
            <w:vAlign w:val="center"/>
          </w:tcPr>
          <w:p w14:paraId="453BA455">
            <w:pPr>
              <w:widowControl/>
              <w:jc w:val="center"/>
              <w:rPr>
                <w:rFonts w:ascii="宋体" w:hAnsi="宋体" w:cs="宋体"/>
                <w:kern w:val="0"/>
                <w:szCs w:val="21"/>
              </w:rPr>
            </w:pPr>
          </w:p>
        </w:tc>
      </w:tr>
      <w:tr w14:paraId="729E23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6254E946">
            <w:pPr>
              <w:jc w:val="center"/>
              <w:rPr>
                <w:rFonts w:ascii="宋体" w:hAnsi="宋体" w:cs="Arial"/>
                <w:sz w:val="18"/>
                <w:szCs w:val="18"/>
              </w:rPr>
            </w:pPr>
          </w:p>
        </w:tc>
        <w:tc>
          <w:tcPr>
            <w:tcW w:w="4572" w:type="dxa"/>
            <w:noWrap w:val="0"/>
            <w:vAlign w:val="center"/>
          </w:tcPr>
          <w:p w14:paraId="14A15806">
            <w:pPr>
              <w:rPr>
                <w:rFonts w:ascii="宋体" w:hAnsi="宋体" w:cs="Arial"/>
                <w:sz w:val="18"/>
                <w:szCs w:val="18"/>
              </w:rPr>
            </w:pPr>
          </w:p>
        </w:tc>
        <w:tc>
          <w:tcPr>
            <w:tcW w:w="899" w:type="dxa"/>
            <w:noWrap w:val="0"/>
            <w:vAlign w:val="center"/>
          </w:tcPr>
          <w:p w14:paraId="6004BECF">
            <w:pPr>
              <w:jc w:val="center"/>
              <w:rPr>
                <w:rFonts w:ascii="宋体" w:hAnsi="宋体" w:cs="Arial"/>
                <w:sz w:val="18"/>
                <w:szCs w:val="18"/>
              </w:rPr>
            </w:pPr>
          </w:p>
        </w:tc>
        <w:tc>
          <w:tcPr>
            <w:tcW w:w="899" w:type="dxa"/>
            <w:noWrap w:val="0"/>
            <w:vAlign w:val="center"/>
          </w:tcPr>
          <w:p w14:paraId="1CD5E5AC">
            <w:pPr>
              <w:jc w:val="right"/>
              <w:rPr>
                <w:rFonts w:ascii="宋体" w:hAnsi="宋体" w:cs="Arial"/>
                <w:sz w:val="16"/>
                <w:szCs w:val="16"/>
              </w:rPr>
            </w:pPr>
          </w:p>
        </w:tc>
        <w:tc>
          <w:tcPr>
            <w:tcW w:w="1079" w:type="dxa"/>
            <w:noWrap w:val="0"/>
            <w:vAlign w:val="center"/>
          </w:tcPr>
          <w:p w14:paraId="622DE93F">
            <w:pPr>
              <w:widowControl/>
              <w:jc w:val="center"/>
              <w:rPr>
                <w:rFonts w:ascii="宋体" w:hAnsi="宋体" w:cs="宋体"/>
                <w:kern w:val="0"/>
                <w:szCs w:val="21"/>
              </w:rPr>
            </w:pPr>
          </w:p>
        </w:tc>
        <w:tc>
          <w:tcPr>
            <w:tcW w:w="1079" w:type="dxa"/>
            <w:noWrap w:val="0"/>
            <w:vAlign w:val="center"/>
          </w:tcPr>
          <w:p w14:paraId="4EA13061">
            <w:pPr>
              <w:widowControl/>
              <w:jc w:val="center"/>
              <w:rPr>
                <w:rFonts w:ascii="宋体" w:hAnsi="宋体" w:cs="宋体"/>
                <w:kern w:val="0"/>
                <w:szCs w:val="21"/>
              </w:rPr>
            </w:pPr>
          </w:p>
        </w:tc>
      </w:tr>
      <w:tr w14:paraId="370E2F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1F59773A">
            <w:pPr>
              <w:jc w:val="center"/>
              <w:rPr>
                <w:rFonts w:ascii="宋体" w:hAnsi="宋体" w:cs="Arial"/>
                <w:sz w:val="18"/>
                <w:szCs w:val="18"/>
              </w:rPr>
            </w:pPr>
          </w:p>
        </w:tc>
        <w:tc>
          <w:tcPr>
            <w:tcW w:w="4572" w:type="dxa"/>
            <w:noWrap w:val="0"/>
            <w:vAlign w:val="center"/>
          </w:tcPr>
          <w:p w14:paraId="5C5E6402">
            <w:pPr>
              <w:rPr>
                <w:rFonts w:ascii="宋体" w:hAnsi="宋体" w:cs="Arial"/>
                <w:sz w:val="18"/>
                <w:szCs w:val="18"/>
              </w:rPr>
            </w:pPr>
          </w:p>
        </w:tc>
        <w:tc>
          <w:tcPr>
            <w:tcW w:w="899" w:type="dxa"/>
            <w:noWrap w:val="0"/>
            <w:vAlign w:val="center"/>
          </w:tcPr>
          <w:p w14:paraId="3117C915">
            <w:pPr>
              <w:jc w:val="center"/>
              <w:rPr>
                <w:rFonts w:ascii="宋体" w:hAnsi="宋体" w:cs="Arial"/>
                <w:sz w:val="18"/>
                <w:szCs w:val="18"/>
              </w:rPr>
            </w:pPr>
          </w:p>
        </w:tc>
        <w:tc>
          <w:tcPr>
            <w:tcW w:w="899" w:type="dxa"/>
            <w:noWrap w:val="0"/>
            <w:vAlign w:val="center"/>
          </w:tcPr>
          <w:p w14:paraId="67A2688B">
            <w:pPr>
              <w:jc w:val="right"/>
              <w:rPr>
                <w:rFonts w:ascii="宋体" w:hAnsi="宋体" w:cs="Arial"/>
                <w:sz w:val="16"/>
                <w:szCs w:val="16"/>
              </w:rPr>
            </w:pPr>
          </w:p>
        </w:tc>
        <w:tc>
          <w:tcPr>
            <w:tcW w:w="1079" w:type="dxa"/>
            <w:noWrap w:val="0"/>
            <w:vAlign w:val="center"/>
          </w:tcPr>
          <w:p w14:paraId="18DF58F6">
            <w:pPr>
              <w:widowControl/>
              <w:jc w:val="center"/>
              <w:rPr>
                <w:rFonts w:ascii="宋体" w:hAnsi="宋体" w:cs="宋体"/>
                <w:kern w:val="0"/>
                <w:szCs w:val="21"/>
              </w:rPr>
            </w:pPr>
          </w:p>
        </w:tc>
        <w:tc>
          <w:tcPr>
            <w:tcW w:w="1079" w:type="dxa"/>
            <w:noWrap w:val="0"/>
            <w:vAlign w:val="center"/>
          </w:tcPr>
          <w:p w14:paraId="5F012787">
            <w:pPr>
              <w:widowControl/>
              <w:jc w:val="center"/>
              <w:rPr>
                <w:rFonts w:ascii="宋体" w:hAnsi="宋体" w:cs="宋体"/>
                <w:kern w:val="0"/>
                <w:szCs w:val="21"/>
              </w:rPr>
            </w:pPr>
          </w:p>
        </w:tc>
      </w:tr>
      <w:tr w14:paraId="2E976A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6526CE70">
            <w:pPr>
              <w:jc w:val="center"/>
              <w:rPr>
                <w:rFonts w:ascii="宋体" w:hAnsi="宋体" w:cs="Arial"/>
                <w:sz w:val="18"/>
                <w:szCs w:val="18"/>
              </w:rPr>
            </w:pPr>
          </w:p>
        </w:tc>
        <w:tc>
          <w:tcPr>
            <w:tcW w:w="4572" w:type="dxa"/>
            <w:noWrap w:val="0"/>
            <w:vAlign w:val="center"/>
          </w:tcPr>
          <w:p w14:paraId="3A642DE7">
            <w:pPr>
              <w:rPr>
                <w:rFonts w:ascii="宋体" w:hAnsi="宋体" w:cs="Arial"/>
                <w:sz w:val="18"/>
                <w:szCs w:val="18"/>
              </w:rPr>
            </w:pPr>
          </w:p>
        </w:tc>
        <w:tc>
          <w:tcPr>
            <w:tcW w:w="899" w:type="dxa"/>
            <w:noWrap w:val="0"/>
            <w:vAlign w:val="center"/>
          </w:tcPr>
          <w:p w14:paraId="5E0CC39A">
            <w:pPr>
              <w:jc w:val="center"/>
              <w:rPr>
                <w:rFonts w:ascii="宋体" w:hAnsi="宋体" w:cs="Arial"/>
                <w:sz w:val="18"/>
                <w:szCs w:val="18"/>
              </w:rPr>
            </w:pPr>
          </w:p>
        </w:tc>
        <w:tc>
          <w:tcPr>
            <w:tcW w:w="899" w:type="dxa"/>
            <w:noWrap w:val="0"/>
            <w:vAlign w:val="center"/>
          </w:tcPr>
          <w:p w14:paraId="52402667">
            <w:pPr>
              <w:jc w:val="right"/>
              <w:rPr>
                <w:rFonts w:ascii="宋体" w:hAnsi="宋体" w:cs="Arial"/>
                <w:sz w:val="16"/>
                <w:szCs w:val="16"/>
              </w:rPr>
            </w:pPr>
          </w:p>
        </w:tc>
        <w:tc>
          <w:tcPr>
            <w:tcW w:w="1079" w:type="dxa"/>
            <w:noWrap w:val="0"/>
            <w:vAlign w:val="center"/>
          </w:tcPr>
          <w:p w14:paraId="3C655E22">
            <w:pPr>
              <w:widowControl/>
              <w:jc w:val="center"/>
              <w:rPr>
                <w:rFonts w:ascii="宋体" w:hAnsi="宋体" w:cs="宋体"/>
                <w:kern w:val="0"/>
                <w:szCs w:val="21"/>
              </w:rPr>
            </w:pPr>
          </w:p>
        </w:tc>
        <w:tc>
          <w:tcPr>
            <w:tcW w:w="1079" w:type="dxa"/>
            <w:noWrap w:val="0"/>
            <w:vAlign w:val="center"/>
          </w:tcPr>
          <w:p w14:paraId="2CBF07EF">
            <w:pPr>
              <w:widowControl/>
              <w:jc w:val="center"/>
              <w:rPr>
                <w:rFonts w:ascii="宋体" w:hAnsi="宋体" w:cs="宋体"/>
                <w:kern w:val="0"/>
                <w:szCs w:val="21"/>
              </w:rPr>
            </w:pPr>
          </w:p>
        </w:tc>
      </w:tr>
      <w:tr w14:paraId="51BED6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2AB61489">
            <w:pPr>
              <w:jc w:val="center"/>
              <w:rPr>
                <w:rFonts w:ascii="宋体" w:hAnsi="宋体" w:cs="Arial"/>
                <w:sz w:val="18"/>
                <w:szCs w:val="18"/>
              </w:rPr>
            </w:pPr>
          </w:p>
        </w:tc>
        <w:tc>
          <w:tcPr>
            <w:tcW w:w="4572" w:type="dxa"/>
            <w:noWrap w:val="0"/>
            <w:vAlign w:val="center"/>
          </w:tcPr>
          <w:p w14:paraId="544C705C">
            <w:pPr>
              <w:rPr>
                <w:rFonts w:ascii="宋体" w:hAnsi="宋体" w:cs="Arial"/>
                <w:sz w:val="18"/>
                <w:szCs w:val="18"/>
              </w:rPr>
            </w:pPr>
          </w:p>
        </w:tc>
        <w:tc>
          <w:tcPr>
            <w:tcW w:w="899" w:type="dxa"/>
            <w:noWrap w:val="0"/>
            <w:vAlign w:val="center"/>
          </w:tcPr>
          <w:p w14:paraId="2E792D06">
            <w:pPr>
              <w:jc w:val="center"/>
              <w:rPr>
                <w:rFonts w:ascii="宋体" w:hAnsi="宋体" w:cs="Arial"/>
                <w:sz w:val="18"/>
                <w:szCs w:val="18"/>
              </w:rPr>
            </w:pPr>
          </w:p>
        </w:tc>
        <w:tc>
          <w:tcPr>
            <w:tcW w:w="899" w:type="dxa"/>
            <w:noWrap w:val="0"/>
            <w:vAlign w:val="center"/>
          </w:tcPr>
          <w:p w14:paraId="505E6F75">
            <w:pPr>
              <w:jc w:val="right"/>
              <w:rPr>
                <w:rFonts w:ascii="宋体" w:hAnsi="宋体" w:cs="Arial"/>
                <w:sz w:val="16"/>
                <w:szCs w:val="16"/>
              </w:rPr>
            </w:pPr>
          </w:p>
        </w:tc>
        <w:tc>
          <w:tcPr>
            <w:tcW w:w="1079" w:type="dxa"/>
            <w:noWrap w:val="0"/>
            <w:vAlign w:val="center"/>
          </w:tcPr>
          <w:p w14:paraId="3B3692D7">
            <w:pPr>
              <w:widowControl/>
              <w:jc w:val="center"/>
              <w:rPr>
                <w:rFonts w:ascii="宋体" w:hAnsi="宋体" w:cs="宋体"/>
                <w:kern w:val="0"/>
                <w:szCs w:val="21"/>
              </w:rPr>
            </w:pPr>
          </w:p>
        </w:tc>
        <w:tc>
          <w:tcPr>
            <w:tcW w:w="1079" w:type="dxa"/>
            <w:noWrap w:val="0"/>
            <w:vAlign w:val="center"/>
          </w:tcPr>
          <w:p w14:paraId="49A6F69D">
            <w:pPr>
              <w:widowControl/>
              <w:jc w:val="center"/>
              <w:rPr>
                <w:rFonts w:ascii="宋体" w:hAnsi="宋体" w:cs="宋体"/>
                <w:kern w:val="0"/>
                <w:szCs w:val="21"/>
              </w:rPr>
            </w:pPr>
          </w:p>
        </w:tc>
      </w:tr>
      <w:tr w14:paraId="2BF410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78D80ABF">
            <w:pPr>
              <w:jc w:val="center"/>
              <w:rPr>
                <w:rFonts w:ascii="宋体" w:hAnsi="宋体" w:cs="Arial"/>
                <w:sz w:val="18"/>
                <w:szCs w:val="18"/>
              </w:rPr>
            </w:pPr>
          </w:p>
        </w:tc>
        <w:tc>
          <w:tcPr>
            <w:tcW w:w="4572" w:type="dxa"/>
            <w:noWrap w:val="0"/>
            <w:vAlign w:val="center"/>
          </w:tcPr>
          <w:p w14:paraId="315CDA7D">
            <w:pPr>
              <w:rPr>
                <w:rFonts w:ascii="宋体" w:hAnsi="宋体" w:cs="Arial"/>
                <w:sz w:val="18"/>
                <w:szCs w:val="18"/>
              </w:rPr>
            </w:pPr>
          </w:p>
        </w:tc>
        <w:tc>
          <w:tcPr>
            <w:tcW w:w="899" w:type="dxa"/>
            <w:noWrap w:val="0"/>
            <w:vAlign w:val="center"/>
          </w:tcPr>
          <w:p w14:paraId="5CABB1C2">
            <w:pPr>
              <w:jc w:val="center"/>
              <w:rPr>
                <w:rFonts w:ascii="宋体" w:hAnsi="宋体" w:cs="Arial"/>
                <w:sz w:val="18"/>
                <w:szCs w:val="18"/>
              </w:rPr>
            </w:pPr>
          </w:p>
        </w:tc>
        <w:tc>
          <w:tcPr>
            <w:tcW w:w="899" w:type="dxa"/>
            <w:noWrap w:val="0"/>
            <w:vAlign w:val="center"/>
          </w:tcPr>
          <w:p w14:paraId="21CDA01B">
            <w:pPr>
              <w:jc w:val="right"/>
              <w:rPr>
                <w:rFonts w:ascii="宋体" w:hAnsi="宋体" w:cs="Arial"/>
                <w:sz w:val="16"/>
                <w:szCs w:val="16"/>
              </w:rPr>
            </w:pPr>
          </w:p>
        </w:tc>
        <w:tc>
          <w:tcPr>
            <w:tcW w:w="1079" w:type="dxa"/>
            <w:noWrap w:val="0"/>
            <w:vAlign w:val="center"/>
          </w:tcPr>
          <w:p w14:paraId="6A3ACE6F">
            <w:pPr>
              <w:widowControl/>
              <w:jc w:val="center"/>
              <w:rPr>
                <w:rFonts w:ascii="宋体" w:hAnsi="宋体" w:cs="宋体"/>
                <w:kern w:val="0"/>
                <w:szCs w:val="21"/>
              </w:rPr>
            </w:pPr>
          </w:p>
        </w:tc>
        <w:tc>
          <w:tcPr>
            <w:tcW w:w="1079" w:type="dxa"/>
            <w:noWrap w:val="0"/>
            <w:vAlign w:val="center"/>
          </w:tcPr>
          <w:p w14:paraId="1B8EF4A5">
            <w:pPr>
              <w:widowControl/>
              <w:jc w:val="center"/>
              <w:rPr>
                <w:rFonts w:ascii="宋体" w:hAnsi="宋体" w:cs="宋体"/>
                <w:kern w:val="0"/>
                <w:szCs w:val="21"/>
              </w:rPr>
            </w:pPr>
          </w:p>
        </w:tc>
      </w:tr>
      <w:tr w14:paraId="2436A9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08DDE5CA">
            <w:pPr>
              <w:jc w:val="center"/>
              <w:rPr>
                <w:rFonts w:ascii="宋体" w:hAnsi="宋体" w:cs="Arial"/>
                <w:sz w:val="18"/>
                <w:szCs w:val="18"/>
              </w:rPr>
            </w:pPr>
          </w:p>
        </w:tc>
        <w:tc>
          <w:tcPr>
            <w:tcW w:w="4572" w:type="dxa"/>
            <w:noWrap w:val="0"/>
            <w:vAlign w:val="center"/>
          </w:tcPr>
          <w:p w14:paraId="1E74AFDA">
            <w:pPr>
              <w:rPr>
                <w:rFonts w:ascii="宋体" w:hAnsi="宋体" w:cs="Arial"/>
                <w:sz w:val="18"/>
                <w:szCs w:val="18"/>
              </w:rPr>
            </w:pPr>
          </w:p>
        </w:tc>
        <w:tc>
          <w:tcPr>
            <w:tcW w:w="899" w:type="dxa"/>
            <w:noWrap w:val="0"/>
            <w:vAlign w:val="center"/>
          </w:tcPr>
          <w:p w14:paraId="42E52323">
            <w:pPr>
              <w:jc w:val="center"/>
              <w:rPr>
                <w:rFonts w:ascii="宋体" w:hAnsi="宋体" w:cs="Arial"/>
                <w:sz w:val="18"/>
                <w:szCs w:val="18"/>
              </w:rPr>
            </w:pPr>
          </w:p>
        </w:tc>
        <w:tc>
          <w:tcPr>
            <w:tcW w:w="899" w:type="dxa"/>
            <w:noWrap w:val="0"/>
            <w:vAlign w:val="center"/>
          </w:tcPr>
          <w:p w14:paraId="66987CB5">
            <w:pPr>
              <w:jc w:val="right"/>
              <w:rPr>
                <w:rFonts w:ascii="宋体" w:hAnsi="宋体" w:cs="Arial"/>
                <w:sz w:val="16"/>
                <w:szCs w:val="16"/>
              </w:rPr>
            </w:pPr>
          </w:p>
        </w:tc>
        <w:tc>
          <w:tcPr>
            <w:tcW w:w="1079" w:type="dxa"/>
            <w:noWrap w:val="0"/>
            <w:vAlign w:val="center"/>
          </w:tcPr>
          <w:p w14:paraId="072F6C63">
            <w:pPr>
              <w:widowControl/>
              <w:jc w:val="center"/>
              <w:rPr>
                <w:rFonts w:ascii="宋体" w:hAnsi="宋体" w:cs="宋体"/>
                <w:kern w:val="0"/>
                <w:szCs w:val="21"/>
              </w:rPr>
            </w:pPr>
          </w:p>
        </w:tc>
        <w:tc>
          <w:tcPr>
            <w:tcW w:w="1079" w:type="dxa"/>
            <w:noWrap w:val="0"/>
            <w:vAlign w:val="center"/>
          </w:tcPr>
          <w:p w14:paraId="7A1AFAD0">
            <w:pPr>
              <w:widowControl/>
              <w:jc w:val="center"/>
              <w:rPr>
                <w:rFonts w:ascii="宋体" w:hAnsi="宋体" w:cs="宋体"/>
                <w:kern w:val="0"/>
                <w:szCs w:val="21"/>
              </w:rPr>
            </w:pPr>
          </w:p>
        </w:tc>
      </w:tr>
      <w:tr w14:paraId="3D6517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16595CFE">
            <w:pPr>
              <w:jc w:val="center"/>
              <w:rPr>
                <w:rFonts w:ascii="宋体" w:hAnsi="宋体" w:cs="Arial"/>
                <w:sz w:val="18"/>
                <w:szCs w:val="18"/>
              </w:rPr>
            </w:pPr>
          </w:p>
        </w:tc>
        <w:tc>
          <w:tcPr>
            <w:tcW w:w="4572" w:type="dxa"/>
            <w:noWrap w:val="0"/>
            <w:vAlign w:val="center"/>
          </w:tcPr>
          <w:p w14:paraId="14BE92BF">
            <w:pPr>
              <w:rPr>
                <w:rFonts w:ascii="宋体" w:hAnsi="宋体" w:cs="Arial"/>
                <w:sz w:val="18"/>
                <w:szCs w:val="18"/>
              </w:rPr>
            </w:pPr>
          </w:p>
        </w:tc>
        <w:tc>
          <w:tcPr>
            <w:tcW w:w="899" w:type="dxa"/>
            <w:noWrap w:val="0"/>
            <w:vAlign w:val="center"/>
          </w:tcPr>
          <w:p w14:paraId="0D9BAFEC">
            <w:pPr>
              <w:jc w:val="center"/>
              <w:rPr>
                <w:rFonts w:ascii="宋体" w:hAnsi="宋体" w:cs="Arial"/>
                <w:sz w:val="18"/>
                <w:szCs w:val="18"/>
              </w:rPr>
            </w:pPr>
          </w:p>
        </w:tc>
        <w:tc>
          <w:tcPr>
            <w:tcW w:w="899" w:type="dxa"/>
            <w:noWrap w:val="0"/>
            <w:vAlign w:val="center"/>
          </w:tcPr>
          <w:p w14:paraId="68F2CB25">
            <w:pPr>
              <w:jc w:val="right"/>
              <w:rPr>
                <w:rFonts w:ascii="宋体" w:hAnsi="宋体" w:cs="Arial"/>
                <w:sz w:val="16"/>
                <w:szCs w:val="16"/>
              </w:rPr>
            </w:pPr>
          </w:p>
        </w:tc>
        <w:tc>
          <w:tcPr>
            <w:tcW w:w="1079" w:type="dxa"/>
            <w:noWrap w:val="0"/>
            <w:vAlign w:val="center"/>
          </w:tcPr>
          <w:p w14:paraId="700A9CE4">
            <w:pPr>
              <w:widowControl/>
              <w:jc w:val="center"/>
              <w:rPr>
                <w:rFonts w:ascii="宋体" w:hAnsi="宋体" w:cs="宋体"/>
                <w:kern w:val="0"/>
                <w:szCs w:val="21"/>
              </w:rPr>
            </w:pPr>
          </w:p>
        </w:tc>
        <w:tc>
          <w:tcPr>
            <w:tcW w:w="1079" w:type="dxa"/>
            <w:noWrap w:val="0"/>
            <w:vAlign w:val="center"/>
          </w:tcPr>
          <w:p w14:paraId="2028544C">
            <w:pPr>
              <w:widowControl/>
              <w:jc w:val="center"/>
              <w:rPr>
                <w:rFonts w:ascii="宋体" w:hAnsi="宋体" w:cs="宋体"/>
                <w:kern w:val="0"/>
                <w:szCs w:val="21"/>
              </w:rPr>
            </w:pPr>
          </w:p>
        </w:tc>
      </w:tr>
      <w:tr w14:paraId="66765D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1B962093">
            <w:pPr>
              <w:jc w:val="center"/>
              <w:rPr>
                <w:rFonts w:ascii="宋体" w:hAnsi="宋体" w:cs="Arial"/>
                <w:sz w:val="18"/>
                <w:szCs w:val="18"/>
              </w:rPr>
            </w:pPr>
          </w:p>
        </w:tc>
        <w:tc>
          <w:tcPr>
            <w:tcW w:w="4572" w:type="dxa"/>
            <w:noWrap w:val="0"/>
            <w:vAlign w:val="center"/>
          </w:tcPr>
          <w:p w14:paraId="2774C564">
            <w:pPr>
              <w:rPr>
                <w:rFonts w:ascii="宋体" w:hAnsi="宋体" w:cs="Arial"/>
                <w:sz w:val="18"/>
                <w:szCs w:val="18"/>
              </w:rPr>
            </w:pPr>
          </w:p>
        </w:tc>
        <w:tc>
          <w:tcPr>
            <w:tcW w:w="899" w:type="dxa"/>
            <w:noWrap w:val="0"/>
            <w:vAlign w:val="center"/>
          </w:tcPr>
          <w:p w14:paraId="33D33558">
            <w:pPr>
              <w:jc w:val="center"/>
              <w:rPr>
                <w:rFonts w:ascii="宋体" w:hAnsi="宋体" w:cs="Arial"/>
                <w:sz w:val="18"/>
                <w:szCs w:val="18"/>
              </w:rPr>
            </w:pPr>
          </w:p>
        </w:tc>
        <w:tc>
          <w:tcPr>
            <w:tcW w:w="899" w:type="dxa"/>
            <w:noWrap w:val="0"/>
            <w:vAlign w:val="center"/>
          </w:tcPr>
          <w:p w14:paraId="08CBCC78">
            <w:pPr>
              <w:jc w:val="right"/>
              <w:rPr>
                <w:rFonts w:ascii="宋体" w:hAnsi="宋体" w:cs="Arial"/>
                <w:sz w:val="16"/>
                <w:szCs w:val="16"/>
              </w:rPr>
            </w:pPr>
          </w:p>
        </w:tc>
        <w:tc>
          <w:tcPr>
            <w:tcW w:w="1079" w:type="dxa"/>
            <w:noWrap w:val="0"/>
            <w:vAlign w:val="center"/>
          </w:tcPr>
          <w:p w14:paraId="3916C3C8">
            <w:pPr>
              <w:widowControl/>
              <w:jc w:val="center"/>
              <w:rPr>
                <w:rFonts w:ascii="宋体" w:hAnsi="宋体" w:cs="宋体"/>
                <w:kern w:val="0"/>
                <w:szCs w:val="21"/>
              </w:rPr>
            </w:pPr>
          </w:p>
        </w:tc>
        <w:tc>
          <w:tcPr>
            <w:tcW w:w="1079" w:type="dxa"/>
            <w:noWrap w:val="0"/>
            <w:vAlign w:val="center"/>
          </w:tcPr>
          <w:p w14:paraId="3D42812C">
            <w:pPr>
              <w:widowControl/>
              <w:jc w:val="center"/>
              <w:rPr>
                <w:rFonts w:ascii="宋体" w:hAnsi="宋体" w:cs="宋体"/>
                <w:kern w:val="0"/>
                <w:szCs w:val="21"/>
              </w:rPr>
            </w:pPr>
          </w:p>
        </w:tc>
      </w:tr>
      <w:tr w14:paraId="33D2BA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424CA490">
            <w:pPr>
              <w:jc w:val="center"/>
              <w:rPr>
                <w:rFonts w:ascii="宋体" w:hAnsi="宋体" w:cs="Arial"/>
                <w:sz w:val="18"/>
                <w:szCs w:val="18"/>
              </w:rPr>
            </w:pPr>
          </w:p>
        </w:tc>
        <w:tc>
          <w:tcPr>
            <w:tcW w:w="4572" w:type="dxa"/>
            <w:noWrap w:val="0"/>
            <w:vAlign w:val="center"/>
          </w:tcPr>
          <w:p w14:paraId="616A7003">
            <w:pPr>
              <w:rPr>
                <w:rFonts w:ascii="宋体" w:hAnsi="宋体" w:cs="Arial"/>
                <w:sz w:val="18"/>
                <w:szCs w:val="18"/>
              </w:rPr>
            </w:pPr>
          </w:p>
        </w:tc>
        <w:tc>
          <w:tcPr>
            <w:tcW w:w="899" w:type="dxa"/>
            <w:noWrap w:val="0"/>
            <w:vAlign w:val="center"/>
          </w:tcPr>
          <w:p w14:paraId="24B51A46">
            <w:pPr>
              <w:jc w:val="center"/>
              <w:rPr>
                <w:rFonts w:ascii="宋体" w:hAnsi="宋体" w:cs="Arial"/>
                <w:sz w:val="18"/>
                <w:szCs w:val="18"/>
              </w:rPr>
            </w:pPr>
          </w:p>
        </w:tc>
        <w:tc>
          <w:tcPr>
            <w:tcW w:w="899" w:type="dxa"/>
            <w:noWrap w:val="0"/>
            <w:vAlign w:val="center"/>
          </w:tcPr>
          <w:p w14:paraId="56E382BC">
            <w:pPr>
              <w:jc w:val="right"/>
              <w:rPr>
                <w:rFonts w:ascii="宋体" w:hAnsi="宋体" w:cs="Arial"/>
                <w:sz w:val="16"/>
                <w:szCs w:val="16"/>
              </w:rPr>
            </w:pPr>
          </w:p>
        </w:tc>
        <w:tc>
          <w:tcPr>
            <w:tcW w:w="1079" w:type="dxa"/>
            <w:noWrap w:val="0"/>
            <w:vAlign w:val="center"/>
          </w:tcPr>
          <w:p w14:paraId="13C0D5C5">
            <w:pPr>
              <w:widowControl/>
              <w:jc w:val="center"/>
              <w:rPr>
                <w:rFonts w:ascii="宋体" w:hAnsi="宋体" w:cs="宋体"/>
                <w:kern w:val="0"/>
                <w:szCs w:val="21"/>
              </w:rPr>
            </w:pPr>
          </w:p>
        </w:tc>
        <w:tc>
          <w:tcPr>
            <w:tcW w:w="1079" w:type="dxa"/>
            <w:noWrap w:val="0"/>
            <w:vAlign w:val="center"/>
          </w:tcPr>
          <w:p w14:paraId="3AE81FDF">
            <w:pPr>
              <w:widowControl/>
              <w:jc w:val="center"/>
              <w:rPr>
                <w:rFonts w:ascii="宋体" w:hAnsi="宋体" w:cs="宋体"/>
                <w:kern w:val="0"/>
                <w:szCs w:val="21"/>
              </w:rPr>
            </w:pPr>
          </w:p>
        </w:tc>
      </w:tr>
      <w:tr w14:paraId="3DE5AE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29C601D7">
            <w:pPr>
              <w:jc w:val="center"/>
              <w:rPr>
                <w:rFonts w:ascii="宋体" w:hAnsi="宋体" w:cs="Arial"/>
                <w:sz w:val="18"/>
                <w:szCs w:val="18"/>
              </w:rPr>
            </w:pPr>
          </w:p>
        </w:tc>
        <w:tc>
          <w:tcPr>
            <w:tcW w:w="4572" w:type="dxa"/>
            <w:noWrap w:val="0"/>
            <w:vAlign w:val="center"/>
          </w:tcPr>
          <w:p w14:paraId="74C9073C">
            <w:pPr>
              <w:rPr>
                <w:rFonts w:ascii="宋体" w:hAnsi="宋体" w:cs="Arial"/>
                <w:sz w:val="18"/>
                <w:szCs w:val="18"/>
              </w:rPr>
            </w:pPr>
          </w:p>
        </w:tc>
        <w:tc>
          <w:tcPr>
            <w:tcW w:w="899" w:type="dxa"/>
            <w:noWrap w:val="0"/>
            <w:vAlign w:val="center"/>
          </w:tcPr>
          <w:p w14:paraId="6A62D2B7">
            <w:pPr>
              <w:jc w:val="center"/>
              <w:rPr>
                <w:rFonts w:ascii="宋体" w:hAnsi="宋体" w:cs="Arial"/>
                <w:sz w:val="18"/>
                <w:szCs w:val="18"/>
              </w:rPr>
            </w:pPr>
          </w:p>
        </w:tc>
        <w:tc>
          <w:tcPr>
            <w:tcW w:w="899" w:type="dxa"/>
            <w:noWrap w:val="0"/>
            <w:vAlign w:val="center"/>
          </w:tcPr>
          <w:p w14:paraId="3002E29A">
            <w:pPr>
              <w:jc w:val="right"/>
              <w:rPr>
                <w:rFonts w:ascii="宋体" w:hAnsi="宋体" w:cs="Arial"/>
                <w:sz w:val="16"/>
                <w:szCs w:val="16"/>
              </w:rPr>
            </w:pPr>
          </w:p>
        </w:tc>
        <w:tc>
          <w:tcPr>
            <w:tcW w:w="1079" w:type="dxa"/>
            <w:noWrap w:val="0"/>
            <w:vAlign w:val="center"/>
          </w:tcPr>
          <w:p w14:paraId="0F0C8997">
            <w:pPr>
              <w:widowControl/>
              <w:jc w:val="center"/>
              <w:rPr>
                <w:rFonts w:ascii="宋体" w:hAnsi="宋体" w:cs="宋体"/>
                <w:kern w:val="0"/>
                <w:szCs w:val="21"/>
              </w:rPr>
            </w:pPr>
          </w:p>
        </w:tc>
        <w:tc>
          <w:tcPr>
            <w:tcW w:w="1079" w:type="dxa"/>
            <w:noWrap w:val="0"/>
            <w:vAlign w:val="center"/>
          </w:tcPr>
          <w:p w14:paraId="060984C6">
            <w:pPr>
              <w:widowControl/>
              <w:jc w:val="center"/>
              <w:rPr>
                <w:rFonts w:ascii="宋体" w:hAnsi="宋体" w:cs="宋体"/>
                <w:kern w:val="0"/>
                <w:szCs w:val="21"/>
              </w:rPr>
            </w:pPr>
          </w:p>
        </w:tc>
      </w:tr>
      <w:tr w14:paraId="626DEB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3295E9F6">
            <w:pPr>
              <w:jc w:val="center"/>
              <w:rPr>
                <w:rFonts w:ascii="宋体" w:hAnsi="宋体" w:cs="Arial"/>
                <w:sz w:val="18"/>
                <w:szCs w:val="18"/>
              </w:rPr>
            </w:pPr>
          </w:p>
        </w:tc>
        <w:tc>
          <w:tcPr>
            <w:tcW w:w="4572" w:type="dxa"/>
            <w:noWrap w:val="0"/>
            <w:vAlign w:val="center"/>
          </w:tcPr>
          <w:p w14:paraId="27F40BAE">
            <w:pPr>
              <w:rPr>
                <w:rFonts w:ascii="宋体" w:hAnsi="宋体" w:cs="Arial"/>
                <w:sz w:val="18"/>
                <w:szCs w:val="18"/>
              </w:rPr>
            </w:pPr>
          </w:p>
        </w:tc>
        <w:tc>
          <w:tcPr>
            <w:tcW w:w="899" w:type="dxa"/>
            <w:noWrap w:val="0"/>
            <w:vAlign w:val="center"/>
          </w:tcPr>
          <w:p w14:paraId="1669ED05">
            <w:pPr>
              <w:jc w:val="center"/>
              <w:rPr>
                <w:rFonts w:ascii="宋体" w:hAnsi="宋体" w:cs="Arial"/>
                <w:sz w:val="18"/>
                <w:szCs w:val="18"/>
              </w:rPr>
            </w:pPr>
          </w:p>
        </w:tc>
        <w:tc>
          <w:tcPr>
            <w:tcW w:w="899" w:type="dxa"/>
            <w:noWrap w:val="0"/>
            <w:vAlign w:val="center"/>
          </w:tcPr>
          <w:p w14:paraId="4801EEA3">
            <w:pPr>
              <w:jc w:val="right"/>
              <w:rPr>
                <w:rFonts w:ascii="宋体" w:hAnsi="宋体" w:cs="Arial"/>
                <w:sz w:val="16"/>
                <w:szCs w:val="16"/>
              </w:rPr>
            </w:pPr>
          </w:p>
        </w:tc>
        <w:tc>
          <w:tcPr>
            <w:tcW w:w="1079" w:type="dxa"/>
            <w:noWrap w:val="0"/>
            <w:vAlign w:val="center"/>
          </w:tcPr>
          <w:p w14:paraId="24CF99B3">
            <w:pPr>
              <w:widowControl/>
              <w:jc w:val="center"/>
              <w:rPr>
                <w:rFonts w:ascii="宋体" w:hAnsi="宋体" w:cs="宋体"/>
                <w:kern w:val="0"/>
                <w:szCs w:val="21"/>
              </w:rPr>
            </w:pPr>
          </w:p>
        </w:tc>
        <w:tc>
          <w:tcPr>
            <w:tcW w:w="1079" w:type="dxa"/>
            <w:noWrap w:val="0"/>
            <w:vAlign w:val="center"/>
          </w:tcPr>
          <w:p w14:paraId="3DA8D4DA">
            <w:pPr>
              <w:widowControl/>
              <w:jc w:val="center"/>
              <w:rPr>
                <w:rFonts w:ascii="宋体" w:hAnsi="宋体" w:cs="宋体"/>
                <w:kern w:val="0"/>
                <w:szCs w:val="21"/>
              </w:rPr>
            </w:pPr>
          </w:p>
        </w:tc>
      </w:tr>
      <w:tr w14:paraId="07CFF2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466AB73F">
            <w:pPr>
              <w:jc w:val="center"/>
              <w:rPr>
                <w:rFonts w:ascii="宋体" w:hAnsi="宋体" w:cs="Arial"/>
                <w:sz w:val="18"/>
                <w:szCs w:val="18"/>
              </w:rPr>
            </w:pPr>
          </w:p>
        </w:tc>
        <w:tc>
          <w:tcPr>
            <w:tcW w:w="4572" w:type="dxa"/>
            <w:noWrap w:val="0"/>
            <w:vAlign w:val="center"/>
          </w:tcPr>
          <w:p w14:paraId="61819631">
            <w:pPr>
              <w:rPr>
                <w:rFonts w:ascii="宋体" w:hAnsi="宋体" w:cs="Arial"/>
                <w:sz w:val="18"/>
                <w:szCs w:val="18"/>
              </w:rPr>
            </w:pPr>
          </w:p>
        </w:tc>
        <w:tc>
          <w:tcPr>
            <w:tcW w:w="899" w:type="dxa"/>
            <w:noWrap w:val="0"/>
            <w:vAlign w:val="center"/>
          </w:tcPr>
          <w:p w14:paraId="506E27DA">
            <w:pPr>
              <w:jc w:val="center"/>
              <w:rPr>
                <w:rFonts w:ascii="宋体" w:hAnsi="宋体" w:cs="Arial"/>
                <w:sz w:val="18"/>
                <w:szCs w:val="18"/>
              </w:rPr>
            </w:pPr>
          </w:p>
        </w:tc>
        <w:tc>
          <w:tcPr>
            <w:tcW w:w="899" w:type="dxa"/>
            <w:noWrap w:val="0"/>
            <w:vAlign w:val="center"/>
          </w:tcPr>
          <w:p w14:paraId="19C19576">
            <w:pPr>
              <w:jc w:val="right"/>
              <w:rPr>
                <w:rFonts w:ascii="宋体" w:hAnsi="宋体" w:cs="Arial"/>
                <w:sz w:val="16"/>
                <w:szCs w:val="16"/>
              </w:rPr>
            </w:pPr>
          </w:p>
        </w:tc>
        <w:tc>
          <w:tcPr>
            <w:tcW w:w="1079" w:type="dxa"/>
            <w:noWrap w:val="0"/>
            <w:vAlign w:val="center"/>
          </w:tcPr>
          <w:p w14:paraId="4C2B5F73">
            <w:pPr>
              <w:widowControl/>
              <w:jc w:val="center"/>
              <w:rPr>
                <w:rFonts w:ascii="宋体" w:hAnsi="宋体" w:cs="宋体"/>
                <w:kern w:val="0"/>
                <w:szCs w:val="21"/>
              </w:rPr>
            </w:pPr>
          </w:p>
        </w:tc>
        <w:tc>
          <w:tcPr>
            <w:tcW w:w="1079" w:type="dxa"/>
            <w:noWrap w:val="0"/>
            <w:vAlign w:val="center"/>
          </w:tcPr>
          <w:p w14:paraId="3366E909">
            <w:pPr>
              <w:widowControl/>
              <w:jc w:val="center"/>
              <w:rPr>
                <w:rFonts w:ascii="宋体" w:hAnsi="宋体" w:cs="宋体"/>
                <w:kern w:val="0"/>
                <w:szCs w:val="21"/>
              </w:rPr>
            </w:pPr>
          </w:p>
        </w:tc>
      </w:tr>
      <w:tr w14:paraId="1C42BD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07B9006F">
            <w:pPr>
              <w:jc w:val="center"/>
              <w:rPr>
                <w:rFonts w:ascii="宋体" w:hAnsi="宋体" w:cs="Arial"/>
                <w:sz w:val="18"/>
                <w:szCs w:val="18"/>
              </w:rPr>
            </w:pPr>
          </w:p>
        </w:tc>
        <w:tc>
          <w:tcPr>
            <w:tcW w:w="4572" w:type="dxa"/>
            <w:noWrap w:val="0"/>
            <w:vAlign w:val="center"/>
          </w:tcPr>
          <w:p w14:paraId="5B46501B">
            <w:pPr>
              <w:rPr>
                <w:rFonts w:ascii="宋体" w:hAnsi="宋体" w:cs="Arial"/>
                <w:sz w:val="18"/>
                <w:szCs w:val="18"/>
              </w:rPr>
            </w:pPr>
          </w:p>
        </w:tc>
        <w:tc>
          <w:tcPr>
            <w:tcW w:w="899" w:type="dxa"/>
            <w:noWrap w:val="0"/>
            <w:vAlign w:val="center"/>
          </w:tcPr>
          <w:p w14:paraId="4659233D">
            <w:pPr>
              <w:jc w:val="center"/>
              <w:rPr>
                <w:rFonts w:ascii="宋体" w:hAnsi="宋体" w:cs="Arial"/>
                <w:sz w:val="18"/>
                <w:szCs w:val="18"/>
              </w:rPr>
            </w:pPr>
          </w:p>
        </w:tc>
        <w:tc>
          <w:tcPr>
            <w:tcW w:w="899" w:type="dxa"/>
            <w:noWrap w:val="0"/>
            <w:vAlign w:val="center"/>
          </w:tcPr>
          <w:p w14:paraId="60D12E47">
            <w:pPr>
              <w:jc w:val="right"/>
              <w:rPr>
                <w:rFonts w:ascii="宋体" w:hAnsi="宋体" w:cs="Arial"/>
                <w:sz w:val="16"/>
                <w:szCs w:val="16"/>
              </w:rPr>
            </w:pPr>
          </w:p>
        </w:tc>
        <w:tc>
          <w:tcPr>
            <w:tcW w:w="1079" w:type="dxa"/>
            <w:noWrap w:val="0"/>
            <w:vAlign w:val="center"/>
          </w:tcPr>
          <w:p w14:paraId="39EAA612">
            <w:pPr>
              <w:widowControl/>
              <w:jc w:val="center"/>
              <w:rPr>
                <w:rFonts w:ascii="宋体" w:hAnsi="宋体" w:cs="宋体"/>
                <w:kern w:val="0"/>
                <w:szCs w:val="21"/>
              </w:rPr>
            </w:pPr>
          </w:p>
        </w:tc>
        <w:tc>
          <w:tcPr>
            <w:tcW w:w="1079" w:type="dxa"/>
            <w:noWrap w:val="0"/>
            <w:vAlign w:val="center"/>
          </w:tcPr>
          <w:p w14:paraId="346778EF">
            <w:pPr>
              <w:widowControl/>
              <w:jc w:val="center"/>
              <w:rPr>
                <w:rFonts w:ascii="宋体" w:hAnsi="宋体" w:cs="宋体"/>
                <w:kern w:val="0"/>
                <w:szCs w:val="21"/>
              </w:rPr>
            </w:pPr>
          </w:p>
        </w:tc>
      </w:tr>
      <w:tr w14:paraId="399AEE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68" w:type="dxa"/>
            <w:gridSpan w:val="6"/>
            <w:noWrap w:val="0"/>
            <w:vAlign w:val="center"/>
          </w:tcPr>
          <w:p w14:paraId="6241A333">
            <w:pPr>
              <w:widowControl/>
              <w:jc w:val="center"/>
              <w:rPr>
                <w:rFonts w:ascii="宋体" w:hAnsi="宋体" w:cs="宋体"/>
                <w:b/>
                <w:kern w:val="0"/>
                <w:szCs w:val="21"/>
              </w:rPr>
            </w:pPr>
            <w:r>
              <w:rPr>
                <w:rFonts w:hint="eastAsia" w:ascii="宋体" w:hAnsi="宋体" w:cs="宋体"/>
                <w:b/>
                <w:kern w:val="0"/>
                <w:szCs w:val="21"/>
              </w:rPr>
              <w:t>清单200章合计   人民币</w:t>
            </w:r>
            <w:r>
              <w:rPr>
                <w:rFonts w:hint="eastAsia" w:ascii="宋体" w:hAnsi="宋体" w:cs="宋体"/>
                <w:b/>
                <w:kern w:val="0"/>
                <w:szCs w:val="21"/>
                <w:u w:val="single"/>
              </w:rPr>
              <w:t xml:space="preserve">       </w:t>
            </w:r>
            <w:r>
              <w:rPr>
                <w:rFonts w:hint="eastAsia" w:ascii="宋体" w:hAnsi="宋体" w:cs="宋体"/>
                <w:b/>
                <w:kern w:val="0"/>
                <w:szCs w:val="21"/>
              </w:rPr>
              <w:t>元</w:t>
            </w:r>
          </w:p>
        </w:tc>
      </w:tr>
    </w:tbl>
    <w:p w14:paraId="3899D7DF">
      <w:pPr>
        <w:spacing w:before="240" w:beforeLines="100" w:after="240" w:afterLines="100"/>
        <w:jc w:val="center"/>
        <w:rPr>
          <w:rFonts w:hint="eastAsia" w:ascii="黑体" w:hAnsi="宋体" w:eastAsia="黑体"/>
          <w:sz w:val="30"/>
          <w:szCs w:val="30"/>
        </w:rPr>
      </w:pPr>
    </w:p>
    <w:p w14:paraId="02F91F58">
      <w:pPr>
        <w:spacing w:before="240" w:beforeLines="100" w:after="240" w:afterLines="100"/>
        <w:jc w:val="center"/>
        <w:rPr>
          <w:rFonts w:hint="eastAsia" w:ascii="黑体" w:hAnsi="宋体" w:eastAsia="黑体"/>
          <w:sz w:val="30"/>
          <w:szCs w:val="30"/>
        </w:rPr>
      </w:pPr>
      <w:r>
        <w:rPr>
          <w:rFonts w:ascii="黑体" w:hAnsi="宋体" w:eastAsia="黑体"/>
          <w:sz w:val="30"/>
          <w:szCs w:val="30"/>
        </w:rPr>
        <w:br w:type="page"/>
      </w:r>
      <w:r>
        <w:rPr>
          <w:rFonts w:hint="eastAsia" w:ascii="黑体" w:hAnsi="宋体" w:eastAsia="黑体"/>
          <w:sz w:val="30"/>
          <w:szCs w:val="30"/>
        </w:rPr>
        <w:t>工程量清单</w:t>
      </w:r>
    </w:p>
    <w:p w14:paraId="52614071">
      <w:pPr>
        <w:pStyle w:val="50"/>
        <w:ind w:left="0" w:leftChars="0" w:firstLine="0" w:firstLine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标项</w:t>
      </w: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w:t>
      </w:r>
      <w:r>
        <w:rPr>
          <w:rFonts w:hint="eastAsia" w:asciiTheme="minorEastAsia" w:hAnsiTheme="minorEastAsia" w:cstheme="minorEastAsia"/>
          <w:sz w:val="24"/>
          <w:szCs w:val="24"/>
          <w:lang w:eastAsia="zh-CN"/>
        </w:rPr>
        <w:t>2026年秀洲区县道及以上公路小修及应急抢险项目</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第一</w:t>
      </w:r>
      <w:r>
        <w:rPr>
          <w:rFonts w:hint="eastAsia" w:asciiTheme="minorEastAsia" w:hAnsiTheme="minorEastAsia" w:eastAsiaTheme="minorEastAsia" w:cstheme="minorEastAsia"/>
          <w:sz w:val="24"/>
          <w:szCs w:val="24"/>
          <w:lang w:eastAsia="zh-CN"/>
        </w:rPr>
        <w:t>标段）</w:t>
      </w:r>
    </w:p>
    <w:p w14:paraId="5613641F">
      <w:pPr>
        <w:pStyle w:val="50"/>
        <w:ind w:left="0" w:leftChars="0" w:firstLine="0" w:firstLineChars="0"/>
        <w:rPr>
          <w:rFonts w:hint="eastAsia"/>
        </w:rPr>
      </w:pPr>
      <w:r>
        <w:rPr>
          <w:rFonts w:hint="eastAsia" w:asciiTheme="minorEastAsia" w:hAnsiTheme="minorEastAsia" w:eastAsiaTheme="minorEastAsia" w:cstheme="minorEastAsia"/>
          <w:sz w:val="24"/>
          <w:szCs w:val="24"/>
        </w:rPr>
        <w:t>货币单位：人民币元</w:t>
      </w:r>
      <w:r>
        <w:tab/>
      </w:r>
    </w:p>
    <w:tbl>
      <w:tblPr>
        <w:tblStyle w:val="51"/>
        <w:tblW w:w="946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40"/>
        <w:gridCol w:w="4572"/>
        <w:gridCol w:w="899"/>
        <w:gridCol w:w="899"/>
        <w:gridCol w:w="1079"/>
        <w:gridCol w:w="1079"/>
      </w:tblGrid>
      <w:tr w14:paraId="5B5895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68" w:type="dxa"/>
            <w:gridSpan w:val="6"/>
            <w:noWrap w:val="0"/>
            <w:vAlign w:val="center"/>
          </w:tcPr>
          <w:p w14:paraId="6F637995">
            <w:pPr>
              <w:ind w:firstLine="103" w:firstLineChars="49"/>
              <w:jc w:val="center"/>
              <w:rPr>
                <w:rFonts w:ascii="宋体" w:hAnsi="宋体"/>
                <w:b/>
                <w:bCs/>
              </w:rPr>
            </w:pPr>
            <w:r>
              <w:rPr>
                <w:rFonts w:hint="eastAsia" w:ascii="宋体" w:hAnsi="宋体"/>
                <w:b/>
                <w:bCs/>
              </w:rPr>
              <w:t>清单      第300章      路  面</w:t>
            </w:r>
          </w:p>
        </w:tc>
      </w:tr>
      <w:tr w14:paraId="114992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72932BDA">
            <w:pPr>
              <w:widowControl/>
              <w:jc w:val="left"/>
              <w:rPr>
                <w:rFonts w:ascii="宋体" w:hAnsi="宋体" w:cs="宋体"/>
                <w:kern w:val="0"/>
                <w:szCs w:val="21"/>
              </w:rPr>
            </w:pPr>
            <w:r>
              <w:rPr>
                <w:rFonts w:hint="eastAsia" w:ascii="宋体" w:hAnsi="宋体" w:cs="宋体"/>
                <w:kern w:val="0"/>
                <w:szCs w:val="21"/>
              </w:rPr>
              <w:t>子目号</w:t>
            </w:r>
          </w:p>
        </w:tc>
        <w:tc>
          <w:tcPr>
            <w:tcW w:w="4572" w:type="dxa"/>
            <w:noWrap w:val="0"/>
            <w:vAlign w:val="center"/>
          </w:tcPr>
          <w:p w14:paraId="75D20498">
            <w:pPr>
              <w:widowControl/>
              <w:jc w:val="center"/>
              <w:rPr>
                <w:rFonts w:ascii="宋体" w:hAnsi="宋体" w:cs="宋体"/>
                <w:kern w:val="0"/>
                <w:szCs w:val="21"/>
              </w:rPr>
            </w:pPr>
            <w:r>
              <w:rPr>
                <w:rFonts w:hint="eastAsia" w:ascii="宋体" w:hAnsi="宋体" w:cs="宋体"/>
                <w:kern w:val="0"/>
                <w:szCs w:val="21"/>
              </w:rPr>
              <w:t>子  目  名  称</w:t>
            </w:r>
          </w:p>
        </w:tc>
        <w:tc>
          <w:tcPr>
            <w:tcW w:w="899" w:type="dxa"/>
            <w:noWrap w:val="0"/>
            <w:vAlign w:val="center"/>
          </w:tcPr>
          <w:p w14:paraId="3BDCA797">
            <w:pPr>
              <w:widowControl/>
              <w:jc w:val="center"/>
              <w:rPr>
                <w:rFonts w:ascii="宋体" w:hAnsi="宋体" w:cs="宋体"/>
                <w:kern w:val="0"/>
                <w:szCs w:val="21"/>
              </w:rPr>
            </w:pPr>
            <w:r>
              <w:rPr>
                <w:rFonts w:hint="eastAsia" w:ascii="宋体" w:hAnsi="宋体" w:cs="宋体"/>
                <w:kern w:val="0"/>
                <w:szCs w:val="21"/>
              </w:rPr>
              <w:t>单位</w:t>
            </w:r>
          </w:p>
        </w:tc>
        <w:tc>
          <w:tcPr>
            <w:tcW w:w="899" w:type="dxa"/>
            <w:noWrap w:val="0"/>
            <w:vAlign w:val="center"/>
          </w:tcPr>
          <w:p w14:paraId="1F77EDA6">
            <w:pPr>
              <w:widowControl/>
              <w:jc w:val="center"/>
              <w:rPr>
                <w:rFonts w:ascii="宋体" w:hAnsi="宋体" w:cs="宋体"/>
                <w:kern w:val="0"/>
                <w:szCs w:val="21"/>
              </w:rPr>
            </w:pPr>
            <w:r>
              <w:rPr>
                <w:rFonts w:hint="eastAsia" w:ascii="宋体" w:hAnsi="宋体" w:cs="宋体"/>
                <w:kern w:val="0"/>
                <w:szCs w:val="21"/>
              </w:rPr>
              <w:t>数量</w:t>
            </w:r>
          </w:p>
        </w:tc>
        <w:tc>
          <w:tcPr>
            <w:tcW w:w="1079" w:type="dxa"/>
            <w:noWrap w:val="0"/>
            <w:vAlign w:val="center"/>
          </w:tcPr>
          <w:p w14:paraId="21F4897B">
            <w:pPr>
              <w:widowControl/>
              <w:jc w:val="center"/>
              <w:rPr>
                <w:rFonts w:ascii="宋体" w:hAnsi="宋体" w:cs="宋体"/>
                <w:kern w:val="0"/>
                <w:szCs w:val="21"/>
              </w:rPr>
            </w:pPr>
            <w:r>
              <w:rPr>
                <w:rFonts w:hint="eastAsia" w:ascii="宋体" w:hAnsi="宋体" w:cs="宋体"/>
                <w:kern w:val="0"/>
                <w:szCs w:val="21"/>
              </w:rPr>
              <w:t>单价</w:t>
            </w:r>
          </w:p>
        </w:tc>
        <w:tc>
          <w:tcPr>
            <w:tcW w:w="1079" w:type="dxa"/>
            <w:noWrap w:val="0"/>
            <w:vAlign w:val="center"/>
          </w:tcPr>
          <w:p w14:paraId="7691C442">
            <w:pPr>
              <w:widowControl/>
              <w:jc w:val="center"/>
              <w:rPr>
                <w:rFonts w:ascii="宋体" w:hAnsi="宋体" w:cs="宋体"/>
                <w:kern w:val="0"/>
                <w:szCs w:val="21"/>
              </w:rPr>
            </w:pPr>
            <w:r>
              <w:rPr>
                <w:rFonts w:hint="eastAsia" w:ascii="宋体" w:hAnsi="宋体" w:cs="宋体"/>
                <w:kern w:val="0"/>
                <w:szCs w:val="21"/>
              </w:rPr>
              <w:t>合价</w:t>
            </w:r>
          </w:p>
        </w:tc>
      </w:tr>
      <w:tr w14:paraId="68E7B1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4F35CFA5">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302</w:t>
            </w:r>
          </w:p>
        </w:tc>
        <w:tc>
          <w:tcPr>
            <w:tcW w:w="4572" w:type="dxa"/>
            <w:noWrap w:val="0"/>
            <w:vAlign w:val="center"/>
          </w:tcPr>
          <w:p w14:paraId="4B3C62C7">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维修</w:t>
            </w:r>
          </w:p>
        </w:tc>
        <w:tc>
          <w:tcPr>
            <w:tcW w:w="899" w:type="dxa"/>
            <w:noWrap w:val="0"/>
            <w:vAlign w:val="center"/>
          </w:tcPr>
          <w:p w14:paraId="26817EE7">
            <w:pPr>
              <w:jc w:val="center"/>
              <w:rPr>
                <w:rFonts w:hint="eastAsia" w:ascii="宋体" w:hAnsi="宋体" w:cs="宋体"/>
                <w:kern w:val="0"/>
                <w:sz w:val="21"/>
                <w:szCs w:val="21"/>
              </w:rPr>
            </w:pPr>
          </w:p>
        </w:tc>
        <w:tc>
          <w:tcPr>
            <w:tcW w:w="899" w:type="dxa"/>
            <w:noWrap w:val="0"/>
            <w:vAlign w:val="center"/>
          </w:tcPr>
          <w:p w14:paraId="06C4660B">
            <w:pPr>
              <w:jc w:val="right"/>
              <w:rPr>
                <w:rFonts w:hint="eastAsia" w:ascii="宋体" w:hAnsi="宋体" w:cs="宋体"/>
                <w:kern w:val="0"/>
                <w:sz w:val="21"/>
                <w:szCs w:val="21"/>
              </w:rPr>
            </w:pPr>
          </w:p>
        </w:tc>
        <w:tc>
          <w:tcPr>
            <w:tcW w:w="1079" w:type="dxa"/>
            <w:noWrap w:val="0"/>
            <w:vAlign w:val="center"/>
          </w:tcPr>
          <w:p w14:paraId="7176CA36">
            <w:pPr>
              <w:widowControl/>
              <w:jc w:val="center"/>
              <w:rPr>
                <w:rFonts w:hint="eastAsia" w:ascii="宋体" w:hAnsi="宋体" w:cs="宋体"/>
                <w:kern w:val="0"/>
                <w:szCs w:val="21"/>
              </w:rPr>
            </w:pPr>
          </w:p>
        </w:tc>
        <w:tc>
          <w:tcPr>
            <w:tcW w:w="1079" w:type="dxa"/>
            <w:noWrap w:val="0"/>
            <w:vAlign w:val="center"/>
          </w:tcPr>
          <w:p w14:paraId="3D3CA200">
            <w:pPr>
              <w:widowControl/>
              <w:jc w:val="center"/>
              <w:rPr>
                <w:rFonts w:hint="eastAsia" w:ascii="宋体" w:hAnsi="宋体" w:cs="宋体"/>
                <w:kern w:val="0"/>
                <w:szCs w:val="21"/>
              </w:rPr>
            </w:pPr>
          </w:p>
        </w:tc>
      </w:tr>
      <w:tr w14:paraId="551BCF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1A563EF0">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302-1</w:t>
            </w:r>
          </w:p>
        </w:tc>
        <w:tc>
          <w:tcPr>
            <w:tcW w:w="4572" w:type="dxa"/>
            <w:noWrap w:val="0"/>
            <w:vAlign w:val="center"/>
          </w:tcPr>
          <w:p w14:paraId="0961D014">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破板修复</w:t>
            </w:r>
          </w:p>
        </w:tc>
        <w:tc>
          <w:tcPr>
            <w:tcW w:w="899" w:type="dxa"/>
            <w:noWrap w:val="0"/>
            <w:vAlign w:val="center"/>
          </w:tcPr>
          <w:p w14:paraId="4084B90E">
            <w:pPr>
              <w:jc w:val="center"/>
              <w:rPr>
                <w:rFonts w:hint="eastAsia" w:ascii="宋体" w:hAnsi="宋体" w:cs="宋体"/>
                <w:kern w:val="0"/>
                <w:sz w:val="21"/>
                <w:szCs w:val="21"/>
              </w:rPr>
            </w:pPr>
          </w:p>
        </w:tc>
        <w:tc>
          <w:tcPr>
            <w:tcW w:w="899" w:type="dxa"/>
            <w:noWrap w:val="0"/>
            <w:vAlign w:val="center"/>
          </w:tcPr>
          <w:p w14:paraId="0E044905">
            <w:pPr>
              <w:jc w:val="right"/>
              <w:rPr>
                <w:rFonts w:hint="eastAsia" w:ascii="宋体" w:hAnsi="宋体" w:cs="宋体"/>
                <w:kern w:val="0"/>
                <w:sz w:val="21"/>
                <w:szCs w:val="21"/>
              </w:rPr>
            </w:pPr>
          </w:p>
        </w:tc>
        <w:tc>
          <w:tcPr>
            <w:tcW w:w="1079" w:type="dxa"/>
            <w:noWrap w:val="0"/>
            <w:vAlign w:val="center"/>
          </w:tcPr>
          <w:p w14:paraId="5ECFE2CE">
            <w:pPr>
              <w:widowControl/>
              <w:jc w:val="center"/>
              <w:rPr>
                <w:rFonts w:hint="eastAsia" w:ascii="宋体" w:hAnsi="宋体" w:cs="宋体"/>
                <w:kern w:val="0"/>
                <w:szCs w:val="21"/>
              </w:rPr>
            </w:pPr>
          </w:p>
        </w:tc>
        <w:tc>
          <w:tcPr>
            <w:tcW w:w="1079" w:type="dxa"/>
            <w:noWrap w:val="0"/>
            <w:vAlign w:val="center"/>
          </w:tcPr>
          <w:p w14:paraId="613B3DA6">
            <w:pPr>
              <w:widowControl/>
              <w:jc w:val="center"/>
              <w:rPr>
                <w:rFonts w:hint="eastAsia" w:ascii="宋体" w:hAnsi="宋体" w:cs="宋体"/>
                <w:kern w:val="0"/>
                <w:szCs w:val="21"/>
              </w:rPr>
            </w:pPr>
          </w:p>
        </w:tc>
      </w:tr>
      <w:tr w14:paraId="290994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34267B21">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-a</w:t>
            </w:r>
          </w:p>
        </w:tc>
        <w:tc>
          <w:tcPr>
            <w:tcW w:w="4572" w:type="dxa"/>
            <w:noWrap w:val="0"/>
            <w:vAlign w:val="center"/>
          </w:tcPr>
          <w:p w14:paraId="59E402BC">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C40混凝土修复</w:t>
            </w:r>
          </w:p>
        </w:tc>
        <w:tc>
          <w:tcPr>
            <w:tcW w:w="899" w:type="dxa"/>
            <w:noWrap w:val="0"/>
            <w:vAlign w:val="center"/>
          </w:tcPr>
          <w:p w14:paraId="65A258F3">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m3</w:t>
            </w:r>
          </w:p>
        </w:tc>
        <w:tc>
          <w:tcPr>
            <w:tcW w:w="899" w:type="dxa"/>
            <w:noWrap w:val="0"/>
            <w:vAlign w:val="center"/>
          </w:tcPr>
          <w:p w14:paraId="6EE7CAEF">
            <w:pPr>
              <w:keepNext w:val="0"/>
              <w:keepLines w:val="0"/>
              <w:widowControl/>
              <w:suppressLineNumbers w:val="0"/>
              <w:jc w:val="right"/>
              <w:textAlignment w:val="center"/>
              <w:rPr>
                <w:rFonts w:hint="eastAsia" w:ascii="宋体" w:hAnsi="宋体" w:cs="宋体"/>
                <w:kern w:val="0"/>
                <w:sz w:val="21"/>
                <w:szCs w:val="21"/>
              </w:rPr>
            </w:pPr>
            <w:r>
              <w:rPr>
                <w:rFonts w:hint="default" w:ascii="Arial Narrow" w:hAnsi="Arial Narrow" w:eastAsia="Arial Narrow" w:cs="Arial Narrow"/>
                <w:i w:val="0"/>
                <w:iCs w:val="0"/>
                <w:color w:val="000000"/>
                <w:kern w:val="0"/>
                <w:sz w:val="21"/>
                <w:szCs w:val="21"/>
                <w:u w:val="none"/>
                <w:lang w:val="en-US" w:eastAsia="zh-CN" w:bidi="ar"/>
              </w:rPr>
              <w:t>100</w:t>
            </w:r>
          </w:p>
        </w:tc>
        <w:tc>
          <w:tcPr>
            <w:tcW w:w="1079" w:type="dxa"/>
            <w:noWrap w:val="0"/>
            <w:vAlign w:val="center"/>
          </w:tcPr>
          <w:p w14:paraId="3415FE40">
            <w:pPr>
              <w:widowControl/>
              <w:jc w:val="center"/>
              <w:rPr>
                <w:rFonts w:hint="eastAsia" w:ascii="宋体" w:hAnsi="宋体" w:cs="宋体"/>
                <w:kern w:val="0"/>
                <w:szCs w:val="21"/>
              </w:rPr>
            </w:pPr>
          </w:p>
        </w:tc>
        <w:tc>
          <w:tcPr>
            <w:tcW w:w="1079" w:type="dxa"/>
            <w:noWrap w:val="0"/>
            <w:vAlign w:val="center"/>
          </w:tcPr>
          <w:p w14:paraId="066694B3">
            <w:pPr>
              <w:widowControl/>
              <w:jc w:val="center"/>
              <w:rPr>
                <w:rFonts w:hint="eastAsia" w:ascii="宋体" w:hAnsi="宋体" w:cs="宋体"/>
                <w:kern w:val="0"/>
                <w:szCs w:val="21"/>
              </w:rPr>
            </w:pPr>
          </w:p>
        </w:tc>
      </w:tr>
      <w:tr w14:paraId="03E771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6E7E34AD">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-b</w:t>
            </w:r>
          </w:p>
        </w:tc>
        <w:tc>
          <w:tcPr>
            <w:tcW w:w="4572" w:type="dxa"/>
            <w:noWrap w:val="0"/>
            <w:vAlign w:val="center"/>
          </w:tcPr>
          <w:p w14:paraId="75FF5E99">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沥青混凝土路面局部小修（AC-13C)</w:t>
            </w:r>
          </w:p>
        </w:tc>
        <w:tc>
          <w:tcPr>
            <w:tcW w:w="899" w:type="dxa"/>
            <w:noWrap w:val="0"/>
            <w:vAlign w:val="center"/>
          </w:tcPr>
          <w:p w14:paraId="1347B5E3">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m3</w:t>
            </w:r>
          </w:p>
        </w:tc>
        <w:tc>
          <w:tcPr>
            <w:tcW w:w="899" w:type="dxa"/>
            <w:noWrap w:val="0"/>
            <w:vAlign w:val="center"/>
          </w:tcPr>
          <w:p w14:paraId="4C010D8C">
            <w:pPr>
              <w:keepNext w:val="0"/>
              <w:keepLines w:val="0"/>
              <w:widowControl/>
              <w:suppressLineNumbers w:val="0"/>
              <w:jc w:val="right"/>
              <w:textAlignment w:val="center"/>
              <w:rPr>
                <w:rFonts w:hint="eastAsia" w:ascii="宋体" w:hAnsi="宋体" w:cs="宋体"/>
                <w:kern w:val="0"/>
                <w:sz w:val="21"/>
                <w:szCs w:val="21"/>
              </w:rPr>
            </w:pPr>
            <w:r>
              <w:rPr>
                <w:rFonts w:hint="default" w:ascii="Arial Narrow" w:hAnsi="Arial Narrow" w:eastAsia="Arial Narrow" w:cs="Arial Narrow"/>
                <w:i w:val="0"/>
                <w:iCs w:val="0"/>
                <w:color w:val="000000"/>
                <w:kern w:val="0"/>
                <w:sz w:val="21"/>
                <w:szCs w:val="21"/>
                <w:u w:val="none"/>
                <w:lang w:val="en-US" w:eastAsia="zh-CN" w:bidi="ar"/>
              </w:rPr>
              <w:t>420</w:t>
            </w:r>
          </w:p>
        </w:tc>
        <w:tc>
          <w:tcPr>
            <w:tcW w:w="1079" w:type="dxa"/>
            <w:noWrap w:val="0"/>
            <w:vAlign w:val="center"/>
          </w:tcPr>
          <w:p w14:paraId="13B21F23">
            <w:pPr>
              <w:widowControl/>
              <w:jc w:val="center"/>
              <w:rPr>
                <w:rFonts w:hint="eastAsia" w:ascii="宋体" w:hAnsi="宋体" w:cs="宋体"/>
                <w:kern w:val="0"/>
                <w:szCs w:val="21"/>
              </w:rPr>
            </w:pPr>
          </w:p>
        </w:tc>
        <w:tc>
          <w:tcPr>
            <w:tcW w:w="1079" w:type="dxa"/>
            <w:noWrap w:val="0"/>
            <w:vAlign w:val="center"/>
          </w:tcPr>
          <w:p w14:paraId="05C2E3E5">
            <w:pPr>
              <w:widowControl/>
              <w:jc w:val="center"/>
              <w:rPr>
                <w:rFonts w:hint="eastAsia" w:ascii="宋体" w:hAnsi="宋体" w:cs="宋体"/>
                <w:kern w:val="0"/>
                <w:szCs w:val="21"/>
              </w:rPr>
            </w:pPr>
          </w:p>
        </w:tc>
      </w:tr>
      <w:tr w14:paraId="318CE6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219D4B89">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-c</w:t>
            </w:r>
          </w:p>
        </w:tc>
        <w:tc>
          <w:tcPr>
            <w:tcW w:w="4572" w:type="dxa"/>
            <w:noWrap w:val="0"/>
            <w:vAlign w:val="center"/>
          </w:tcPr>
          <w:p w14:paraId="7FCCCEE4">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沥青混凝土路面大面积小修</w:t>
            </w:r>
          </w:p>
        </w:tc>
        <w:tc>
          <w:tcPr>
            <w:tcW w:w="899" w:type="dxa"/>
            <w:noWrap w:val="0"/>
            <w:vAlign w:val="center"/>
          </w:tcPr>
          <w:p w14:paraId="51D9AD6A">
            <w:pPr>
              <w:jc w:val="center"/>
              <w:rPr>
                <w:rFonts w:hint="eastAsia" w:ascii="宋体" w:hAnsi="宋体" w:cs="宋体"/>
                <w:kern w:val="0"/>
                <w:sz w:val="21"/>
                <w:szCs w:val="21"/>
              </w:rPr>
            </w:pPr>
          </w:p>
        </w:tc>
        <w:tc>
          <w:tcPr>
            <w:tcW w:w="899" w:type="dxa"/>
            <w:noWrap w:val="0"/>
            <w:vAlign w:val="center"/>
          </w:tcPr>
          <w:p w14:paraId="56324580">
            <w:pPr>
              <w:jc w:val="right"/>
              <w:rPr>
                <w:rFonts w:hint="eastAsia" w:ascii="宋体" w:hAnsi="宋体" w:cs="宋体"/>
                <w:kern w:val="0"/>
                <w:sz w:val="21"/>
                <w:szCs w:val="21"/>
              </w:rPr>
            </w:pPr>
          </w:p>
        </w:tc>
        <w:tc>
          <w:tcPr>
            <w:tcW w:w="1079" w:type="dxa"/>
            <w:noWrap w:val="0"/>
            <w:vAlign w:val="center"/>
          </w:tcPr>
          <w:p w14:paraId="42096E36">
            <w:pPr>
              <w:widowControl/>
              <w:jc w:val="center"/>
              <w:rPr>
                <w:rFonts w:hint="eastAsia" w:ascii="宋体" w:hAnsi="宋体" w:cs="宋体"/>
                <w:kern w:val="0"/>
                <w:szCs w:val="21"/>
              </w:rPr>
            </w:pPr>
          </w:p>
        </w:tc>
        <w:tc>
          <w:tcPr>
            <w:tcW w:w="1079" w:type="dxa"/>
            <w:noWrap w:val="0"/>
            <w:vAlign w:val="center"/>
          </w:tcPr>
          <w:p w14:paraId="21B31DC6">
            <w:pPr>
              <w:widowControl/>
              <w:jc w:val="center"/>
              <w:rPr>
                <w:rFonts w:hint="eastAsia" w:ascii="宋体" w:hAnsi="宋体" w:cs="宋体"/>
                <w:kern w:val="0"/>
                <w:szCs w:val="21"/>
              </w:rPr>
            </w:pPr>
          </w:p>
        </w:tc>
      </w:tr>
      <w:tr w14:paraId="0CC47A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59BA4EF3">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-c1</w:t>
            </w:r>
          </w:p>
        </w:tc>
        <w:tc>
          <w:tcPr>
            <w:tcW w:w="4572" w:type="dxa"/>
            <w:noWrap w:val="0"/>
            <w:vAlign w:val="center"/>
          </w:tcPr>
          <w:p w14:paraId="3A04544F">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普通热拌沥青混凝土（AC-13C)</w:t>
            </w:r>
          </w:p>
        </w:tc>
        <w:tc>
          <w:tcPr>
            <w:tcW w:w="899" w:type="dxa"/>
            <w:noWrap w:val="0"/>
            <w:vAlign w:val="center"/>
          </w:tcPr>
          <w:p w14:paraId="2E43DCEC">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m3</w:t>
            </w:r>
          </w:p>
        </w:tc>
        <w:tc>
          <w:tcPr>
            <w:tcW w:w="899" w:type="dxa"/>
            <w:noWrap w:val="0"/>
            <w:vAlign w:val="center"/>
          </w:tcPr>
          <w:p w14:paraId="2C445931">
            <w:pPr>
              <w:keepNext w:val="0"/>
              <w:keepLines w:val="0"/>
              <w:widowControl/>
              <w:suppressLineNumbers w:val="0"/>
              <w:jc w:val="right"/>
              <w:textAlignment w:val="center"/>
              <w:rPr>
                <w:rFonts w:hint="eastAsia" w:ascii="宋体" w:hAnsi="宋体" w:cs="宋体"/>
                <w:kern w:val="0"/>
                <w:sz w:val="21"/>
                <w:szCs w:val="21"/>
              </w:rPr>
            </w:pPr>
            <w:r>
              <w:rPr>
                <w:rFonts w:hint="default" w:ascii="Arial Narrow" w:hAnsi="Arial Narrow" w:eastAsia="Arial Narrow" w:cs="Arial Narrow"/>
                <w:i w:val="0"/>
                <w:iCs w:val="0"/>
                <w:color w:val="000000"/>
                <w:kern w:val="0"/>
                <w:sz w:val="21"/>
                <w:szCs w:val="21"/>
                <w:u w:val="none"/>
                <w:lang w:val="en-US" w:eastAsia="zh-CN" w:bidi="ar"/>
              </w:rPr>
              <w:t>780</w:t>
            </w:r>
          </w:p>
        </w:tc>
        <w:tc>
          <w:tcPr>
            <w:tcW w:w="1079" w:type="dxa"/>
            <w:noWrap w:val="0"/>
            <w:vAlign w:val="center"/>
          </w:tcPr>
          <w:p w14:paraId="2ECFDCCC">
            <w:pPr>
              <w:widowControl/>
              <w:jc w:val="center"/>
              <w:rPr>
                <w:rFonts w:hint="eastAsia" w:ascii="宋体" w:hAnsi="宋体" w:cs="宋体"/>
                <w:kern w:val="0"/>
                <w:szCs w:val="21"/>
              </w:rPr>
            </w:pPr>
          </w:p>
        </w:tc>
        <w:tc>
          <w:tcPr>
            <w:tcW w:w="1079" w:type="dxa"/>
            <w:noWrap w:val="0"/>
            <w:vAlign w:val="center"/>
          </w:tcPr>
          <w:p w14:paraId="63605524">
            <w:pPr>
              <w:widowControl/>
              <w:jc w:val="center"/>
              <w:rPr>
                <w:rFonts w:hint="eastAsia" w:ascii="宋体" w:hAnsi="宋体" w:cs="宋体"/>
                <w:kern w:val="0"/>
                <w:szCs w:val="21"/>
              </w:rPr>
            </w:pPr>
          </w:p>
        </w:tc>
      </w:tr>
      <w:tr w14:paraId="54363C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379D27DB">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-c2</w:t>
            </w:r>
          </w:p>
        </w:tc>
        <w:tc>
          <w:tcPr>
            <w:tcW w:w="4572" w:type="dxa"/>
            <w:noWrap w:val="0"/>
            <w:vAlign w:val="center"/>
          </w:tcPr>
          <w:p w14:paraId="622E71A2">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普通热拌沥青混凝土(AC-20C)</w:t>
            </w:r>
          </w:p>
        </w:tc>
        <w:tc>
          <w:tcPr>
            <w:tcW w:w="899" w:type="dxa"/>
            <w:noWrap w:val="0"/>
            <w:vAlign w:val="center"/>
          </w:tcPr>
          <w:p w14:paraId="5D8A715E">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m3</w:t>
            </w:r>
          </w:p>
        </w:tc>
        <w:tc>
          <w:tcPr>
            <w:tcW w:w="899" w:type="dxa"/>
            <w:noWrap w:val="0"/>
            <w:vAlign w:val="center"/>
          </w:tcPr>
          <w:p w14:paraId="20EFECA0">
            <w:pPr>
              <w:keepNext w:val="0"/>
              <w:keepLines w:val="0"/>
              <w:widowControl/>
              <w:suppressLineNumbers w:val="0"/>
              <w:jc w:val="right"/>
              <w:textAlignment w:val="center"/>
              <w:rPr>
                <w:rFonts w:hint="eastAsia" w:ascii="宋体" w:hAnsi="宋体" w:cs="宋体"/>
                <w:kern w:val="0"/>
                <w:sz w:val="21"/>
                <w:szCs w:val="21"/>
              </w:rPr>
            </w:pPr>
            <w:r>
              <w:rPr>
                <w:rFonts w:hint="default" w:ascii="Arial Narrow" w:hAnsi="Arial Narrow" w:eastAsia="Arial Narrow" w:cs="Arial Narrow"/>
                <w:i w:val="0"/>
                <w:iCs w:val="0"/>
                <w:color w:val="000000"/>
                <w:kern w:val="0"/>
                <w:sz w:val="21"/>
                <w:szCs w:val="21"/>
                <w:u w:val="none"/>
                <w:lang w:val="en-US" w:eastAsia="zh-CN" w:bidi="ar"/>
              </w:rPr>
              <w:t>450</w:t>
            </w:r>
          </w:p>
        </w:tc>
        <w:tc>
          <w:tcPr>
            <w:tcW w:w="1079" w:type="dxa"/>
            <w:noWrap w:val="0"/>
            <w:vAlign w:val="center"/>
          </w:tcPr>
          <w:p w14:paraId="7A63EA15">
            <w:pPr>
              <w:widowControl/>
              <w:jc w:val="center"/>
              <w:rPr>
                <w:rFonts w:hint="eastAsia" w:ascii="宋体" w:hAnsi="宋体" w:cs="宋体"/>
                <w:kern w:val="0"/>
                <w:szCs w:val="21"/>
              </w:rPr>
            </w:pPr>
          </w:p>
        </w:tc>
        <w:tc>
          <w:tcPr>
            <w:tcW w:w="1079" w:type="dxa"/>
            <w:noWrap w:val="0"/>
            <w:vAlign w:val="center"/>
          </w:tcPr>
          <w:p w14:paraId="7E094D4A">
            <w:pPr>
              <w:widowControl/>
              <w:jc w:val="center"/>
              <w:rPr>
                <w:rFonts w:hint="eastAsia" w:ascii="宋体" w:hAnsi="宋体" w:cs="宋体"/>
                <w:kern w:val="0"/>
                <w:szCs w:val="21"/>
              </w:rPr>
            </w:pPr>
          </w:p>
        </w:tc>
      </w:tr>
      <w:tr w14:paraId="1A8801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70C4FAA7">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-c3</w:t>
            </w:r>
          </w:p>
        </w:tc>
        <w:tc>
          <w:tcPr>
            <w:tcW w:w="4572" w:type="dxa"/>
            <w:noWrap w:val="0"/>
            <w:vAlign w:val="center"/>
          </w:tcPr>
          <w:p w14:paraId="1525E412">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普通热拌沥青混凝土(ATB-25)</w:t>
            </w:r>
          </w:p>
        </w:tc>
        <w:tc>
          <w:tcPr>
            <w:tcW w:w="899" w:type="dxa"/>
            <w:noWrap w:val="0"/>
            <w:vAlign w:val="center"/>
          </w:tcPr>
          <w:p w14:paraId="19A5D121">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m3</w:t>
            </w:r>
          </w:p>
        </w:tc>
        <w:tc>
          <w:tcPr>
            <w:tcW w:w="899" w:type="dxa"/>
            <w:noWrap w:val="0"/>
            <w:vAlign w:val="center"/>
          </w:tcPr>
          <w:p w14:paraId="2159F067">
            <w:pPr>
              <w:keepNext w:val="0"/>
              <w:keepLines w:val="0"/>
              <w:widowControl/>
              <w:suppressLineNumbers w:val="0"/>
              <w:jc w:val="right"/>
              <w:textAlignment w:val="center"/>
              <w:rPr>
                <w:rFonts w:hint="eastAsia" w:ascii="宋体" w:hAnsi="宋体" w:cs="宋体"/>
                <w:kern w:val="0"/>
                <w:sz w:val="21"/>
                <w:szCs w:val="21"/>
              </w:rPr>
            </w:pPr>
            <w:r>
              <w:rPr>
                <w:rFonts w:hint="default" w:ascii="Arial Narrow" w:hAnsi="Arial Narrow" w:eastAsia="Arial Narrow" w:cs="Arial Narrow"/>
                <w:i w:val="0"/>
                <w:iCs w:val="0"/>
                <w:color w:val="000000"/>
                <w:kern w:val="0"/>
                <w:sz w:val="21"/>
                <w:szCs w:val="21"/>
                <w:u w:val="none"/>
                <w:lang w:val="en-US" w:eastAsia="zh-CN" w:bidi="ar"/>
              </w:rPr>
              <w:t>220</w:t>
            </w:r>
          </w:p>
        </w:tc>
        <w:tc>
          <w:tcPr>
            <w:tcW w:w="1079" w:type="dxa"/>
            <w:noWrap w:val="0"/>
            <w:vAlign w:val="center"/>
          </w:tcPr>
          <w:p w14:paraId="3AFAE487">
            <w:pPr>
              <w:widowControl/>
              <w:jc w:val="center"/>
              <w:rPr>
                <w:rFonts w:hint="eastAsia" w:ascii="宋体" w:hAnsi="宋体" w:cs="宋体"/>
                <w:kern w:val="0"/>
                <w:szCs w:val="21"/>
              </w:rPr>
            </w:pPr>
          </w:p>
        </w:tc>
        <w:tc>
          <w:tcPr>
            <w:tcW w:w="1079" w:type="dxa"/>
            <w:noWrap w:val="0"/>
            <w:vAlign w:val="center"/>
          </w:tcPr>
          <w:p w14:paraId="741478CE">
            <w:pPr>
              <w:widowControl/>
              <w:jc w:val="center"/>
              <w:rPr>
                <w:rFonts w:hint="eastAsia" w:ascii="宋体" w:hAnsi="宋体" w:cs="宋体"/>
                <w:kern w:val="0"/>
                <w:szCs w:val="21"/>
              </w:rPr>
            </w:pPr>
          </w:p>
        </w:tc>
      </w:tr>
      <w:tr w14:paraId="5764A2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5D168EFD">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-c4</w:t>
            </w:r>
          </w:p>
        </w:tc>
        <w:tc>
          <w:tcPr>
            <w:tcW w:w="4572" w:type="dxa"/>
            <w:noWrap w:val="0"/>
            <w:vAlign w:val="center"/>
          </w:tcPr>
          <w:p w14:paraId="08B0FC8E">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改性沥青混凝土(AC-13C SBS)</w:t>
            </w:r>
          </w:p>
        </w:tc>
        <w:tc>
          <w:tcPr>
            <w:tcW w:w="899" w:type="dxa"/>
            <w:noWrap w:val="0"/>
            <w:vAlign w:val="center"/>
          </w:tcPr>
          <w:p w14:paraId="41DA2B11">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m3</w:t>
            </w:r>
          </w:p>
        </w:tc>
        <w:tc>
          <w:tcPr>
            <w:tcW w:w="899" w:type="dxa"/>
            <w:noWrap w:val="0"/>
            <w:vAlign w:val="center"/>
          </w:tcPr>
          <w:p w14:paraId="3EB8DF5C">
            <w:pPr>
              <w:keepNext w:val="0"/>
              <w:keepLines w:val="0"/>
              <w:widowControl/>
              <w:suppressLineNumbers w:val="0"/>
              <w:jc w:val="right"/>
              <w:textAlignment w:val="center"/>
              <w:rPr>
                <w:rFonts w:hint="eastAsia" w:ascii="宋体" w:hAnsi="宋体" w:cs="宋体"/>
                <w:kern w:val="0"/>
                <w:sz w:val="21"/>
                <w:szCs w:val="21"/>
              </w:rPr>
            </w:pPr>
            <w:r>
              <w:rPr>
                <w:rFonts w:hint="default" w:ascii="Arial Narrow" w:hAnsi="Arial Narrow" w:eastAsia="Arial Narrow" w:cs="Arial Narrow"/>
                <w:i w:val="0"/>
                <w:iCs w:val="0"/>
                <w:color w:val="000000"/>
                <w:kern w:val="0"/>
                <w:sz w:val="21"/>
                <w:szCs w:val="21"/>
                <w:u w:val="none"/>
                <w:lang w:val="en-US" w:eastAsia="zh-CN" w:bidi="ar"/>
              </w:rPr>
              <w:t>220</w:t>
            </w:r>
          </w:p>
        </w:tc>
        <w:tc>
          <w:tcPr>
            <w:tcW w:w="1079" w:type="dxa"/>
            <w:noWrap w:val="0"/>
            <w:vAlign w:val="center"/>
          </w:tcPr>
          <w:p w14:paraId="621DF836">
            <w:pPr>
              <w:widowControl/>
              <w:jc w:val="center"/>
              <w:rPr>
                <w:rFonts w:hint="eastAsia" w:ascii="宋体" w:hAnsi="宋体" w:cs="宋体"/>
                <w:kern w:val="0"/>
                <w:szCs w:val="21"/>
              </w:rPr>
            </w:pPr>
          </w:p>
        </w:tc>
        <w:tc>
          <w:tcPr>
            <w:tcW w:w="1079" w:type="dxa"/>
            <w:noWrap w:val="0"/>
            <w:vAlign w:val="center"/>
          </w:tcPr>
          <w:p w14:paraId="017FCD85">
            <w:pPr>
              <w:widowControl/>
              <w:jc w:val="center"/>
              <w:rPr>
                <w:rFonts w:hint="eastAsia" w:ascii="宋体" w:hAnsi="宋体" w:cs="宋体"/>
                <w:kern w:val="0"/>
                <w:szCs w:val="21"/>
              </w:rPr>
            </w:pPr>
          </w:p>
        </w:tc>
      </w:tr>
      <w:tr w14:paraId="04C7B0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0AF463B3">
            <w:pPr>
              <w:keepNext w:val="0"/>
              <w:keepLines w:val="0"/>
              <w:widowControl/>
              <w:suppressLineNumbers w:val="0"/>
              <w:jc w:val="center"/>
              <w:textAlignment w:val="center"/>
              <w:rPr>
                <w:rFonts w:hint="eastAsia" w:ascii="宋体" w:hAnsi="宋体" w:eastAsia="宋体" w:cs="宋体"/>
                <w:kern w:val="0"/>
                <w:sz w:val="21"/>
                <w:szCs w:val="21"/>
                <w:lang w:eastAsia="zh-CN"/>
              </w:rPr>
            </w:pPr>
            <w:r>
              <w:rPr>
                <w:rFonts w:hint="eastAsia" w:ascii="宋体" w:hAnsi="宋体" w:eastAsia="宋体" w:cs="宋体"/>
                <w:i w:val="0"/>
                <w:iCs w:val="0"/>
                <w:color w:val="000000"/>
                <w:kern w:val="0"/>
                <w:sz w:val="21"/>
                <w:szCs w:val="21"/>
                <w:u w:val="none"/>
                <w:lang w:val="en-US" w:eastAsia="zh-CN" w:bidi="ar"/>
              </w:rPr>
              <w:t>-c5</w:t>
            </w:r>
          </w:p>
        </w:tc>
        <w:tc>
          <w:tcPr>
            <w:tcW w:w="4572" w:type="dxa"/>
            <w:noWrap w:val="0"/>
            <w:vAlign w:val="center"/>
          </w:tcPr>
          <w:p w14:paraId="31B3F7F3">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改性沥青混凝土(SMA-13）</w:t>
            </w:r>
          </w:p>
        </w:tc>
        <w:tc>
          <w:tcPr>
            <w:tcW w:w="899" w:type="dxa"/>
            <w:noWrap w:val="0"/>
            <w:vAlign w:val="center"/>
          </w:tcPr>
          <w:p w14:paraId="4F5BB489">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m3</w:t>
            </w:r>
          </w:p>
        </w:tc>
        <w:tc>
          <w:tcPr>
            <w:tcW w:w="899" w:type="dxa"/>
            <w:noWrap w:val="0"/>
            <w:vAlign w:val="center"/>
          </w:tcPr>
          <w:p w14:paraId="24B80D63">
            <w:pPr>
              <w:keepNext w:val="0"/>
              <w:keepLines w:val="0"/>
              <w:widowControl/>
              <w:suppressLineNumbers w:val="0"/>
              <w:jc w:val="right"/>
              <w:textAlignment w:val="center"/>
              <w:rPr>
                <w:rFonts w:hint="eastAsia" w:ascii="宋体" w:hAnsi="宋体" w:cs="宋体"/>
                <w:kern w:val="0"/>
                <w:sz w:val="21"/>
                <w:szCs w:val="21"/>
              </w:rPr>
            </w:pPr>
            <w:r>
              <w:rPr>
                <w:rFonts w:hint="default" w:ascii="Arial Narrow" w:hAnsi="Arial Narrow" w:eastAsia="Arial Narrow" w:cs="Arial Narrow"/>
                <w:i w:val="0"/>
                <w:iCs w:val="0"/>
                <w:color w:val="000000"/>
                <w:kern w:val="0"/>
                <w:sz w:val="21"/>
                <w:szCs w:val="21"/>
                <w:u w:val="none"/>
                <w:lang w:val="en-US" w:eastAsia="zh-CN" w:bidi="ar"/>
              </w:rPr>
              <w:t>100</w:t>
            </w:r>
          </w:p>
        </w:tc>
        <w:tc>
          <w:tcPr>
            <w:tcW w:w="1079" w:type="dxa"/>
            <w:noWrap w:val="0"/>
            <w:vAlign w:val="center"/>
          </w:tcPr>
          <w:p w14:paraId="698DC5A0">
            <w:pPr>
              <w:widowControl/>
              <w:jc w:val="center"/>
              <w:rPr>
                <w:rFonts w:hint="eastAsia" w:ascii="宋体" w:hAnsi="宋体" w:cs="宋体"/>
                <w:kern w:val="0"/>
                <w:szCs w:val="21"/>
              </w:rPr>
            </w:pPr>
          </w:p>
        </w:tc>
        <w:tc>
          <w:tcPr>
            <w:tcW w:w="1079" w:type="dxa"/>
            <w:noWrap w:val="0"/>
            <w:vAlign w:val="center"/>
          </w:tcPr>
          <w:p w14:paraId="0C5657C3">
            <w:pPr>
              <w:widowControl/>
              <w:jc w:val="center"/>
              <w:rPr>
                <w:rFonts w:hint="eastAsia" w:ascii="宋体" w:hAnsi="宋体" w:cs="宋体"/>
                <w:kern w:val="0"/>
                <w:szCs w:val="21"/>
              </w:rPr>
            </w:pPr>
          </w:p>
        </w:tc>
      </w:tr>
      <w:tr w14:paraId="0A7ABB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525701D0">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-d</w:t>
            </w:r>
          </w:p>
        </w:tc>
        <w:tc>
          <w:tcPr>
            <w:tcW w:w="4572" w:type="dxa"/>
            <w:noWrap w:val="0"/>
            <w:vAlign w:val="center"/>
          </w:tcPr>
          <w:p w14:paraId="3294CAF0">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乳化沥青粘层</w:t>
            </w:r>
          </w:p>
        </w:tc>
        <w:tc>
          <w:tcPr>
            <w:tcW w:w="899" w:type="dxa"/>
            <w:noWrap w:val="0"/>
            <w:vAlign w:val="center"/>
          </w:tcPr>
          <w:p w14:paraId="1B1D57EE">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m2</w:t>
            </w:r>
          </w:p>
        </w:tc>
        <w:tc>
          <w:tcPr>
            <w:tcW w:w="899" w:type="dxa"/>
            <w:noWrap w:val="0"/>
            <w:vAlign w:val="center"/>
          </w:tcPr>
          <w:p w14:paraId="65F2E6A2">
            <w:pPr>
              <w:keepNext w:val="0"/>
              <w:keepLines w:val="0"/>
              <w:widowControl/>
              <w:suppressLineNumbers w:val="0"/>
              <w:jc w:val="right"/>
              <w:textAlignment w:val="center"/>
              <w:rPr>
                <w:rFonts w:hint="eastAsia" w:ascii="宋体" w:hAnsi="宋体" w:cs="宋体"/>
                <w:kern w:val="0"/>
                <w:sz w:val="21"/>
                <w:szCs w:val="21"/>
              </w:rPr>
            </w:pPr>
            <w:r>
              <w:rPr>
                <w:rFonts w:hint="default" w:ascii="Arial Narrow" w:hAnsi="Arial Narrow" w:eastAsia="Arial Narrow" w:cs="Arial Narrow"/>
                <w:i w:val="0"/>
                <w:iCs w:val="0"/>
                <w:color w:val="000000"/>
                <w:kern w:val="0"/>
                <w:sz w:val="21"/>
                <w:szCs w:val="21"/>
                <w:u w:val="none"/>
                <w:lang w:val="en-US" w:eastAsia="zh-CN" w:bidi="ar"/>
              </w:rPr>
              <w:t>17500</w:t>
            </w:r>
          </w:p>
        </w:tc>
        <w:tc>
          <w:tcPr>
            <w:tcW w:w="1079" w:type="dxa"/>
            <w:noWrap w:val="0"/>
            <w:vAlign w:val="center"/>
          </w:tcPr>
          <w:p w14:paraId="4A8977E7">
            <w:pPr>
              <w:widowControl/>
              <w:jc w:val="center"/>
              <w:rPr>
                <w:rFonts w:hint="eastAsia" w:ascii="宋体" w:hAnsi="宋体" w:cs="宋体"/>
                <w:kern w:val="0"/>
                <w:szCs w:val="21"/>
              </w:rPr>
            </w:pPr>
          </w:p>
        </w:tc>
        <w:tc>
          <w:tcPr>
            <w:tcW w:w="1079" w:type="dxa"/>
            <w:noWrap w:val="0"/>
            <w:vAlign w:val="center"/>
          </w:tcPr>
          <w:p w14:paraId="4CDBDCC3">
            <w:pPr>
              <w:widowControl/>
              <w:jc w:val="center"/>
              <w:rPr>
                <w:rFonts w:hint="eastAsia" w:ascii="宋体" w:hAnsi="宋体" w:cs="宋体"/>
                <w:kern w:val="0"/>
                <w:szCs w:val="21"/>
              </w:rPr>
            </w:pPr>
          </w:p>
        </w:tc>
      </w:tr>
      <w:tr w14:paraId="66D4DA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46A062A6">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-e</w:t>
            </w:r>
          </w:p>
        </w:tc>
        <w:tc>
          <w:tcPr>
            <w:tcW w:w="4572" w:type="dxa"/>
            <w:noWrap w:val="0"/>
            <w:vAlign w:val="center"/>
          </w:tcPr>
          <w:p w14:paraId="678FBBF3">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冷补沥青混凝土</w:t>
            </w:r>
          </w:p>
        </w:tc>
        <w:tc>
          <w:tcPr>
            <w:tcW w:w="899" w:type="dxa"/>
            <w:noWrap w:val="0"/>
            <w:vAlign w:val="center"/>
          </w:tcPr>
          <w:p w14:paraId="73A6B127">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m3</w:t>
            </w:r>
          </w:p>
        </w:tc>
        <w:tc>
          <w:tcPr>
            <w:tcW w:w="899" w:type="dxa"/>
            <w:noWrap w:val="0"/>
            <w:vAlign w:val="center"/>
          </w:tcPr>
          <w:p w14:paraId="440D8A76">
            <w:pPr>
              <w:keepNext w:val="0"/>
              <w:keepLines w:val="0"/>
              <w:widowControl/>
              <w:suppressLineNumbers w:val="0"/>
              <w:jc w:val="right"/>
              <w:textAlignment w:val="center"/>
              <w:rPr>
                <w:rFonts w:hint="eastAsia" w:ascii="宋体" w:hAnsi="宋体" w:cs="宋体"/>
                <w:kern w:val="0"/>
                <w:sz w:val="21"/>
                <w:szCs w:val="21"/>
              </w:rPr>
            </w:pPr>
            <w:r>
              <w:rPr>
                <w:rFonts w:hint="default" w:ascii="Arial Narrow" w:hAnsi="Arial Narrow" w:eastAsia="Arial Narrow" w:cs="Arial Narrow"/>
                <w:i w:val="0"/>
                <w:iCs w:val="0"/>
                <w:color w:val="000000"/>
                <w:kern w:val="0"/>
                <w:sz w:val="21"/>
                <w:szCs w:val="21"/>
                <w:u w:val="none"/>
                <w:lang w:val="en-US" w:eastAsia="zh-CN" w:bidi="ar"/>
              </w:rPr>
              <w:t>180</w:t>
            </w:r>
          </w:p>
        </w:tc>
        <w:tc>
          <w:tcPr>
            <w:tcW w:w="1079" w:type="dxa"/>
            <w:noWrap w:val="0"/>
            <w:vAlign w:val="center"/>
          </w:tcPr>
          <w:p w14:paraId="46868FAE">
            <w:pPr>
              <w:widowControl/>
              <w:jc w:val="center"/>
              <w:rPr>
                <w:rFonts w:hint="eastAsia" w:ascii="宋体" w:hAnsi="宋体" w:cs="宋体"/>
                <w:kern w:val="0"/>
                <w:szCs w:val="21"/>
              </w:rPr>
            </w:pPr>
          </w:p>
        </w:tc>
        <w:tc>
          <w:tcPr>
            <w:tcW w:w="1079" w:type="dxa"/>
            <w:noWrap w:val="0"/>
            <w:vAlign w:val="center"/>
          </w:tcPr>
          <w:p w14:paraId="405BF43F">
            <w:pPr>
              <w:widowControl/>
              <w:jc w:val="center"/>
              <w:rPr>
                <w:rFonts w:hint="eastAsia" w:ascii="宋体" w:hAnsi="宋体" w:cs="宋体"/>
                <w:kern w:val="0"/>
                <w:szCs w:val="21"/>
              </w:rPr>
            </w:pPr>
          </w:p>
        </w:tc>
      </w:tr>
      <w:tr w14:paraId="25011A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2CE1F93A">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-f</w:t>
            </w:r>
          </w:p>
        </w:tc>
        <w:tc>
          <w:tcPr>
            <w:tcW w:w="4572" w:type="dxa"/>
            <w:noWrap w:val="0"/>
            <w:vAlign w:val="center"/>
          </w:tcPr>
          <w:p w14:paraId="2D536897">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灌入式沥青砼（SBS）</w:t>
            </w:r>
          </w:p>
        </w:tc>
        <w:tc>
          <w:tcPr>
            <w:tcW w:w="899" w:type="dxa"/>
            <w:noWrap w:val="0"/>
            <w:vAlign w:val="center"/>
          </w:tcPr>
          <w:p w14:paraId="5B5650DD">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m3</w:t>
            </w:r>
          </w:p>
        </w:tc>
        <w:tc>
          <w:tcPr>
            <w:tcW w:w="899" w:type="dxa"/>
            <w:noWrap w:val="0"/>
            <w:vAlign w:val="center"/>
          </w:tcPr>
          <w:p w14:paraId="70AF2437">
            <w:pPr>
              <w:keepNext w:val="0"/>
              <w:keepLines w:val="0"/>
              <w:widowControl/>
              <w:suppressLineNumbers w:val="0"/>
              <w:jc w:val="right"/>
              <w:textAlignment w:val="center"/>
              <w:rPr>
                <w:rFonts w:hint="eastAsia" w:ascii="宋体" w:hAnsi="宋体" w:cs="宋体"/>
                <w:kern w:val="0"/>
                <w:sz w:val="21"/>
                <w:szCs w:val="21"/>
              </w:rPr>
            </w:pPr>
            <w:r>
              <w:rPr>
                <w:rFonts w:hint="default" w:ascii="Arial Narrow" w:hAnsi="Arial Narrow" w:eastAsia="Arial Narrow" w:cs="Arial Narrow"/>
                <w:i w:val="0"/>
                <w:iCs w:val="0"/>
                <w:color w:val="000000"/>
                <w:kern w:val="0"/>
                <w:sz w:val="21"/>
                <w:szCs w:val="21"/>
                <w:u w:val="none"/>
                <w:lang w:val="en-US" w:eastAsia="zh-CN" w:bidi="ar"/>
              </w:rPr>
              <w:t>50</w:t>
            </w:r>
          </w:p>
        </w:tc>
        <w:tc>
          <w:tcPr>
            <w:tcW w:w="1079" w:type="dxa"/>
            <w:noWrap w:val="0"/>
            <w:vAlign w:val="center"/>
          </w:tcPr>
          <w:p w14:paraId="05632BA8">
            <w:pPr>
              <w:widowControl/>
              <w:jc w:val="center"/>
              <w:rPr>
                <w:rFonts w:hint="eastAsia" w:ascii="宋体" w:hAnsi="宋体" w:cs="宋体"/>
                <w:kern w:val="0"/>
                <w:szCs w:val="21"/>
              </w:rPr>
            </w:pPr>
          </w:p>
        </w:tc>
        <w:tc>
          <w:tcPr>
            <w:tcW w:w="1079" w:type="dxa"/>
            <w:noWrap w:val="0"/>
            <w:vAlign w:val="center"/>
          </w:tcPr>
          <w:p w14:paraId="1C2527B1">
            <w:pPr>
              <w:widowControl/>
              <w:jc w:val="center"/>
              <w:rPr>
                <w:rFonts w:hint="eastAsia" w:ascii="宋体" w:hAnsi="宋体" w:cs="宋体"/>
                <w:kern w:val="0"/>
                <w:szCs w:val="21"/>
              </w:rPr>
            </w:pPr>
          </w:p>
        </w:tc>
      </w:tr>
      <w:tr w14:paraId="4353F1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18F572D8">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-g</w:t>
            </w:r>
          </w:p>
        </w:tc>
        <w:tc>
          <w:tcPr>
            <w:tcW w:w="4572" w:type="dxa"/>
            <w:noWrap w:val="0"/>
            <w:vAlign w:val="center"/>
          </w:tcPr>
          <w:p w14:paraId="53C78EE0">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1cm渗固磨耗层</w:t>
            </w:r>
          </w:p>
        </w:tc>
        <w:tc>
          <w:tcPr>
            <w:tcW w:w="899" w:type="dxa"/>
            <w:noWrap w:val="0"/>
            <w:vAlign w:val="center"/>
          </w:tcPr>
          <w:p w14:paraId="60467AF5">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m2</w:t>
            </w:r>
          </w:p>
        </w:tc>
        <w:tc>
          <w:tcPr>
            <w:tcW w:w="899" w:type="dxa"/>
            <w:noWrap w:val="0"/>
            <w:vAlign w:val="center"/>
          </w:tcPr>
          <w:p w14:paraId="329828D0">
            <w:pPr>
              <w:keepNext w:val="0"/>
              <w:keepLines w:val="0"/>
              <w:widowControl/>
              <w:suppressLineNumbers w:val="0"/>
              <w:jc w:val="right"/>
              <w:textAlignment w:val="center"/>
              <w:rPr>
                <w:rFonts w:hint="eastAsia" w:ascii="宋体" w:hAnsi="宋体" w:cs="宋体"/>
                <w:kern w:val="0"/>
                <w:sz w:val="21"/>
                <w:szCs w:val="21"/>
              </w:rPr>
            </w:pPr>
            <w:r>
              <w:rPr>
                <w:rFonts w:hint="default" w:ascii="Arial Narrow" w:hAnsi="Arial Narrow" w:eastAsia="Arial Narrow" w:cs="Arial Narrow"/>
                <w:i w:val="0"/>
                <w:iCs w:val="0"/>
                <w:color w:val="000000"/>
                <w:kern w:val="0"/>
                <w:sz w:val="21"/>
                <w:szCs w:val="21"/>
                <w:u w:val="none"/>
                <w:lang w:val="en-US" w:eastAsia="zh-CN" w:bidi="ar"/>
              </w:rPr>
              <w:t>300</w:t>
            </w:r>
          </w:p>
        </w:tc>
        <w:tc>
          <w:tcPr>
            <w:tcW w:w="1079" w:type="dxa"/>
            <w:noWrap w:val="0"/>
            <w:vAlign w:val="center"/>
          </w:tcPr>
          <w:p w14:paraId="4C201236">
            <w:pPr>
              <w:widowControl/>
              <w:jc w:val="center"/>
              <w:rPr>
                <w:rFonts w:hint="eastAsia" w:ascii="宋体" w:hAnsi="宋体" w:cs="宋体"/>
                <w:kern w:val="0"/>
                <w:szCs w:val="21"/>
              </w:rPr>
            </w:pPr>
          </w:p>
        </w:tc>
        <w:tc>
          <w:tcPr>
            <w:tcW w:w="1079" w:type="dxa"/>
            <w:noWrap w:val="0"/>
            <w:vAlign w:val="center"/>
          </w:tcPr>
          <w:p w14:paraId="0E5DE4AC">
            <w:pPr>
              <w:widowControl/>
              <w:jc w:val="center"/>
              <w:rPr>
                <w:rFonts w:hint="eastAsia" w:ascii="宋体" w:hAnsi="宋体" w:cs="宋体"/>
                <w:kern w:val="0"/>
                <w:szCs w:val="21"/>
              </w:rPr>
            </w:pPr>
          </w:p>
        </w:tc>
      </w:tr>
      <w:tr w14:paraId="7CA101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7FC8F6A3">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-h</w:t>
            </w:r>
          </w:p>
        </w:tc>
        <w:tc>
          <w:tcPr>
            <w:tcW w:w="4572" w:type="dxa"/>
            <w:noWrap w:val="0"/>
            <w:vAlign w:val="center"/>
          </w:tcPr>
          <w:p w14:paraId="3A8D9ECA">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1.5cm超薄沥青磨耗层</w:t>
            </w:r>
          </w:p>
        </w:tc>
        <w:tc>
          <w:tcPr>
            <w:tcW w:w="899" w:type="dxa"/>
            <w:noWrap w:val="0"/>
            <w:vAlign w:val="center"/>
          </w:tcPr>
          <w:p w14:paraId="669F7D0E">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m2</w:t>
            </w:r>
          </w:p>
        </w:tc>
        <w:tc>
          <w:tcPr>
            <w:tcW w:w="899" w:type="dxa"/>
            <w:noWrap w:val="0"/>
            <w:vAlign w:val="center"/>
          </w:tcPr>
          <w:p w14:paraId="770E925D">
            <w:pPr>
              <w:keepNext w:val="0"/>
              <w:keepLines w:val="0"/>
              <w:widowControl/>
              <w:suppressLineNumbers w:val="0"/>
              <w:jc w:val="right"/>
              <w:textAlignment w:val="center"/>
              <w:rPr>
                <w:rFonts w:hint="eastAsia" w:ascii="宋体" w:hAnsi="宋体" w:cs="宋体"/>
                <w:kern w:val="0"/>
                <w:sz w:val="21"/>
                <w:szCs w:val="21"/>
              </w:rPr>
            </w:pPr>
            <w:r>
              <w:rPr>
                <w:rFonts w:hint="default" w:ascii="Arial Narrow" w:hAnsi="Arial Narrow" w:eastAsia="Arial Narrow" w:cs="Arial Narrow"/>
                <w:i w:val="0"/>
                <w:iCs w:val="0"/>
                <w:color w:val="000000"/>
                <w:kern w:val="0"/>
                <w:sz w:val="21"/>
                <w:szCs w:val="21"/>
                <w:u w:val="none"/>
                <w:lang w:val="en-US" w:eastAsia="zh-CN" w:bidi="ar"/>
              </w:rPr>
              <w:t>300</w:t>
            </w:r>
          </w:p>
        </w:tc>
        <w:tc>
          <w:tcPr>
            <w:tcW w:w="1079" w:type="dxa"/>
            <w:noWrap w:val="0"/>
            <w:vAlign w:val="center"/>
          </w:tcPr>
          <w:p w14:paraId="23CCE3FA">
            <w:pPr>
              <w:widowControl/>
              <w:jc w:val="center"/>
              <w:rPr>
                <w:rFonts w:hint="eastAsia" w:ascii="宋体" w:hAnsi="宋体" w:cs="宋体"/>
                <w:kern w:val="0"/>
                <w:szCs w:val="21"/>
              </w:rPr>
            </w:pPr>
          </w:p>
        </w:tc>
        <w:tc>
          <w:tcPr>
            <w:tcW w:w="1079" w:type="dxa"/>
            <w:noWrap w:val="0"/>
            <w:vAlign w:val="center"/>
          </w:tcPr>
          <w:p w14:paraId="52D6C587">
            <w:pPr>
              <w:widowControl/>
              <w:jc w:val="center"/>
              <w:rPr>
                <w:rFonts w:hint="eastAsia" w:ascii="宋体" w:hAnsi="宋体" w:cs="宋体"/>
                <w:kern w:val="0"/>
                <w:szCs w:val="21"/>
              </w:rPr>
            </w:pPr>
          </w:p>
        </w:tc>
      </w:tr>
      <w:tr w14:paraId="577AFF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39" w:hRule="atLeast"/>
        </w:trPr>
        <w:tc>
          <w:tcPr>
            <w:tcW w:w="940" w:type="dxa"/>
            <w:noWrap w:val="0"/>
            <w:vAlign w:val="center"/>
          </w:tcPr>
          <w:p w14:paraId="54E9E209">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302-2</w:t>
            </w:r>
          </w:p>
        </w:tc>
        <w:tc>
          <w:tcPr>
            <w:tcW w:w="4572" w:type="dxa"/>
            <w:noWrap w:val="0"/>
            <w:vAlign w:val="center"/>
          </w:tcPr>
          <w:p w14:paraId="0C7DCC7E">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地聚合物注浆</w:t>
            </w:r>
          </w:p>
        </w:tc>
        <w:tc>
          <w:tcPr>
            <w:tcW w:w="899" w:type="dxa"/>
            <w:noWrap w:val="0"/>
            <w:vAlign w:val="center"/>
          </w:tcPr>
          <w:p w14:paraId="5E03E90D">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m2</w:t>
            </w:r>
          </w:p>
        </w:tc>
        <w:tc>
          <w:tcPr>
            <w:tcW w:w="899" w:type="dxa"/>
            <w:noWrap w:val="0"/>
            <w:vAlign w:val="center"/>
          </w:tcPr>
          <w:p w14:paraId="55AE8A32">
            <w:pPr>
              <w:keepNext w:val="0"/>
              <w:keepLines w:val="0"/>
              <w:widowControl/>
              <w:suppressLineNumbers w:val="0"/>
              <w:jc w:val="right"/>
              <w:textAlignment w:val="center"/>
              <w:rPr>
                <w:rFonts w:hint="eastAsia" w:ascii="宋体" w:hAnsi="宋体" w:cs="宋体"/>
                <w:kern w:val="0"/>
                <w:sz w:val="21"/>
                <w:szCs w:val="21"/>
              </w:rPr>
            </w:pPr>
            <w:r>
              <w:rPr>
                <w:rFonts w:hint="default" w:ascii="Arial Narrow" w:hAnsi="Arial Narrow" w:eastAsia="Arial Narrow" w:cs="Arial Narrow"/>
                <w:i w:val="0"/>
                <w:iCs w:val="0"/>
                <w:color w:val="000000"/>
                <w:kern w:val="0"/>
                <w:sz w:val="21"/>
                <w:szCs w:val="21"/>
                <w:u w:val="none"/>
                <w:lang w:val="en-US" w:eastAsia="zh-CN" w:bidi="ar"/>
              </w:rPr>
              <w:t>500</w:t>
            </w:r>
          </w:p>
        </w:tc>
        <w:tc>
          <w:tcPr>
            <w:tcW w:w="1079" w:type="dxa"/>
            <w:noWrap w:val="0"/>
            <w:vAlign w:val="center"/>
          </w:tcPr>
          <w:p w14:paraId="55077848">
            <w:pPr>
              <w:widowControl/>
              <w:jc w:val="center"/>
              <w:rPr>
                <w:rFonts w:hint="eastAsia" w:ascii="宋体" w:hAnsi="宋体" w:cs="宋体"/>
                <w:kern w:val="0"/>
                <w:szCs w:val="21"/>
              </w:rPr>
            </w:pPr>
          </w:p>
        </w:tc>
        <w:tc>
          <w:tcPr>
            <w:tcW w:w="1079" w:type="dxa"/>
            <w:noWrap w:val="0"/>
            <w:vAlign w:val="center"/>
          </w:tcPr>
          <w:p w14:paraId="10F014B5">
            <w:pPr>
              <w:widowControl/>
              <w:jc w:val="center"/>
              <w:rPr>
                <w:rFonts w:hint="eastAsia" w:ascii="宋体" w:hAnsi="宋体" w:cs="宋体"/>
                <w:kern w:val="0"/>
                <w:szCs w:val="21"/>
              </w:rPr>
            </w:pPr>
          </w:p>
        </w:tc>
      </w:tr>
      <w:tr w14:paraId="0F956F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1ECEE09B">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303</w:t>
            </w:r>
          </w:p>
        </w:tc>
        <w:tc>
          <w:tcPr>
            <w:tcW w:w="4572" w:type="dxa"/>
            <w:noWrap w:val="0"/>
            <w:vAlign w:val="center"/>
          </w:tcPr>
          <w:p w14:paraId="7A14DB70">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沥青混凝土路面维修</w:t>
            </w:r>
          </w:p>
        </w:tc>
        <w:tc>
          <w:tcPr>
            <w:tcW w:w="899" w:type="dxa"/>
            <w:noWrap w:val="0"/>
            <w:vAlign w:val="center"/>
          </w:tcPr>
          <w:p w14:paraId="39B980A3">
            <w:pPr>
              <w:jc w:val="center"/>
              <w:rPr>
                <w:rFonts w:hint="eastAsia" w:ascii="宋体" w:hAnsi="宋体" w:cs="宋体"/>
                <w:kern w:val="0"/>
                <w:sz w:val="21"/>
                <w:szCs w:val="21"/>
              </w:rPr>
            </w:pPr>
          </w:p>
        </w:tc>
        <w:tc>
          <w:tcPr>
            <w:tcW w:w="899" w:type="dxa"/>
            <w:noWrap w:val="0"/>
            <w:vAlign w:val="center"/>
          </w:tcPr>
          <w:p w14:paraId="2B090043">
            <w:pPr>
              <w:jc w:val="right"/>
              <w:rPr>
                <w:rFonts w:hint="eastAsia" w:ascii="宋体" w:hAnsi="宋体" w:cs="宋体"/>
                <w:kern w:val="0"/>
                <w:sz w:val="21"/>
                <w:szCs w:val="21"/>
              </w:rPr>
            </w:pPr>
          </w:p>
        </w:tc>
        <w:tc>
          <w:tcPr>
            <w:tcW w:w="1079" w:type="dxa"/>
            <w:noWrap w:val="0"/>
            <w:vAlign w:val="center"/>
          </w:tcPr>
          <w:p w14:paraId="3C86861D">
            <w:pPr>
              <w:widowControl/>
              <w:jc w:val="center"/>
              <w:rPr>
                <w:rFonts w:hint="eastAsia" w:ascii="宋体" w:hAnsi="宋体" w:cs="宋体"/>
                <w:kern w:val="0"/>
                <w:szCs w:val="21"/>
              </w:rPr>
            </w:pPr>
          </w:p>
        </w:tc>
        <w:tc>
          <w:tcPr>
            <w:tcW w:w="1079" w:type="dxa"/>
            <w:noWrap w:val="0"/>
            <w:vAlign w:val="center"/>
          </w:tcPr>
          <w:p w14:paraId="28337245">
            <w:pPr>
              <w:widowControl/>
              <w:jc w:val="center"/>
              <w:rPr>
                <w:rFonts w:hint="eastAsia" w:ascii="宋体" w:hAnsi="宋体" w:cs="宋体"/>
                <w:kern w:val="0"/>
                <w:szCs w:val="21"/>
              </w:rPr>
            </w:pPr>
          </w:p>
        </w:tc>
      </w:tr>
      <w:tr w14:paraId="56A748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34C414FE">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303-1</w:t>
            </w:r>
          </w:p>
        </w:tc>
        <w:tc>
          <w:tcPr>
            <w:tcW w:w="4572" w:type="dxa"/>
            <w:noWrap w:val="0"/>
            <w:vAlign w:val="center"/>
          </w:tcPr>
          <w:p w14:paraId="295113C5">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纵横向裂缝维修</w:t>
            </w:r>
          </w:p>
        </w:tc>
        <w:tc>
          <w:tcPr>
            <w:tcW w:w="899" w:type="dxa"/>
            <w:noWrap w:val="0"/>
            <w:vAlign w:val="center"/>
          </w:tcPr>
          <w:p w14:paraId="70B8CBFB">
            <w:pPr>
              <w:jc w:val="center"/>
              <w:rPr>
                <w:rFonts w:hint="eastAsia" w:ascii="宋体" w:hAnsi="宋体" w:cs="宋体"/>
                <w:kern w:val="0"/>
                <w:sz w:val="21"/>
                <w:szCs w:val="21"/>
              </w:rPr>
            </w:pPr>
          </w:p>
        </w:tc>
        <w:tc>
          <w:tcPr>
            <w:tcW w:w="899" w:type="dxa"/>
            <w:noWrap w:val="0"/>
            <w:vAlign w:val="center"/>
          </w:tcPr>
          <w:p w14:paraId="275D53BC">
            <w:pPr>
              <w:jc w:val="right"/>
              <w:rPr>
                <w:rFonts w:hint="eastAsia" w:ascii="宋体" w:hAnsi="宋体" w:cs="宋体"/>
                <w:kern w:val="0"/>
                <w:sz w:val="21"/>
                <w:szCs w:val="21"/>
              </w:rPr>
            </w:pPr>
          </w:p>
        </w:tc>
        <w:tc>
          <w:tcPr>
            <w:tcW w:w="1079" w:type="dxa"/>
            <w:noWrap w:val="0"/>
            <w:vAlign w:val="center"/>
          </w:tcPr>
          <w:p w14:paraId="74475E6F">
            <w:pPr>
              <w:widowControl/>
              <w:jc w:val="center"/>
              <w:rPr>
                <w:rFonts w:hint="eastAsia" w:ascii="宋体" w:hAnsi="宋体" w:cs="宋体"/>
                <w:kern w:val="0"/>
                <w:szCs w:val="21"/>
              </w:rPr>
            </w:pPr>
          </w:p>
        </w:tc>
        <w:tc>
          <w:tcPr>
            <w:tcW w:w="1079" w:type="dxa"/>
            <w:noWrap w:val="0"/>
            <w:vAlign w:val="center"/>
          </w:tcPr>
          <w:p w14:paraId="60891C47">
            <w:pPr>
              <w:widowControl/>
              <w:jc w:val="center"/>
              <w:rPr>
                <w:rFonts w:hint="eastAsia" w:ascii="宋体" w:hAnsi="宋体" w:cs="宋体"/>
                <w:kern w:val="0"/>
                <w:szCs w:val="21"/>
              </w:rPr>
            </w:pPr>
          </w:p>
        </w:tc>
      </w:tr>
      <w:tr w14:paraId="48657F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3EA59604">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-a</w:t>
            </w:r>
          </w:p>
        </w:tc>
        <w:tc>
          <w:tcPr>
            <w:tcW w:w="4572" w:type="dxa"/>
            <w:noWrap w:val="0"/>
            <w:vAlign w:val="center"/>
          </w:tcPr>
          <w:p w14:paraId="310582A0">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裂缝灌缝</w:t>
            </w:r>
          </w:p>
        </w:tc>
        <w:tc>
          <w:tcPr>
            <w:tcW w:w="899" w:type="dxa"/>
            <w:noWrap w:val="0"/>
            <w:vAlign w:val="center"/>
          </w:tcPr>
          <w:p w14:paraId="3D6DC602">
            <w:pPr>
              <w:jc w:val="center"/>
              <w:rPr>
                <w:rFonts w:hint="eastAsia" w:ascii="宋体" w:hAnsi="宋体" w:cs="宋体"/>
                <w:kern w:val="0"/>
                <w:sz w:val="21"/>
                <w:szCs w:val="21"/>
              </w:rPr>
            </w:pPr>
          </w:p>
        </w:tc>
        <w:tc>
          <w:tcPr>
            <w:tcW w:w="899" w:type="dxa"/>
            <w:noWrap w:val="0"/>
            <w:vAlign w:val="center"/>
          </w:tcPr>
          <w:p w14:paraId="63254664">
            <w:pPr>
              <w:jc w:val="right"/>
              <w:rPr>
                <w:rFonts w:hint="eastAsia" w:ascii="宋体" w:hAnsi="宋体" w:cs="宋体"/>
                <w:kern w:val="0"/>
                <w:sz w:val="21"/>
                <w:szCs w:val="21"/>
              </w:rPr>
            </w:pPr>
          </w:p>
        </w:tc>
        <w:tc>
          <w:tcPr>
            <w:tcW w:w="1079" w:type="dxa"/>
            <w:noWrap w:val="0"/>
            <w:vAlign w:val="center"/>
          </w:tcPr>
          <w:p w14:paraId="3636D7D8">
            <w:pPr>
              <w:widowControl/>
              <w:jc w:val="center"/>
              <w:rPr>
                <w:rFonts w:hint="eastAsia" w:ascii="宋体" w:hAnsi="宋体" w:cs="宋体"/>
                <w:kern w:val="0"/>
                <w:szCs w:val="21"/>
              </w:rPr>
            </w:pPr>
          </w:p>
        </w:tc>
        <w:tc>
          <w:tcPr>
            <w:tcW w:w="1079" w:type="dxa"/>
            <w:noWrap w:val="0"/>
            <w:vAlign w:val="center"/>
          </w:tcPr>
          <w:p w14:paraId="7C48F370">
            <w:pPr>
              <w:widowControl/>
              <w:jc w:val="center"/>
              <w:rPr>
                <w:rFonts w:hint="eastAsia" w:ascii="宋体" w:hAnsi="宋体" w:cs="宋体"/>
                <w:kern w:val="0"/>
                <w:szCs w:val="21"/>
              </w:rPr>
            </w:pPr>
          </w:p>
        </w:tc>
      </w:tr>
    </w:tbl>
    <w:p w14:paraId="2A45E3B3">
      <w:pPr>
        <w:spacing w:before="240" w:beforeLines="100" w:after="240" w:afterLines="100"/>
        <w:jc w:val="center"/>
        <w:rPr>
          <w:rFonts w:hint="eastAsia" w:ascii="黑体" w:hAnsi="宋体" w:eastAsia="黑体"/>
          <w:sz w:val="30"/>
          <w:szCs w:val="30"/>
        </w:rPr>
      </w:pPr>
      <w:bookmarkStart w:id="73" w:name="_Toc465178790"/>
      <w:bookmarkStart w:id="74" w:name="_Toc87531976"/>
      <w:bookmarkStart w:id="75" w:name="_Toc465179151"/>
      <w:bookmarkStart w:id="76" w:name="_Toc465178070"/>
      <w:bookmarkStart w:id="77" w:name="_Toc27352"/>
      <w:bookmarkStart w:id="78" w:name="_Toc435864322"/>
      <w:bookmarkStart w:id="79" w:name="_Toc496620382"/>
    </w:p>
    <w:p w14:paraId="675FFF2D">
      <w:pPr>
        <w:spacing w:before="240" w:beforeLines="100" w:after="240" w:afterLines="100"/>
        <w:jc w:val="center"/>
        <w:rPr>
          <w:rFonts w:hint="eastAsia" w:ascii="黑体" w:hAnsi="宋体" w:eastAsia="黑体"/>
          <w:sz w:val="30"/>
          <w:szCs w:val="30"/>
        </w:rPr>
      </w:pPr>
      <w:r>
        <w:rPr>
          <w:rFonts w:hint="eastAsia" w:ascii="黑体" w:hAnsi="宋体" w:eastAsia="黑体"/>
          <w:sz w:val="30"/>
          <w:szCs w:val="30"/>
        </w:rPr>
        <w:t>工程量清单</w:t>
      </w:r>
    </w:p>
    <w:p w14:paraId="3A37F4D1">
      <w:pPr>
        <w:pStyle w:val="50"/>
        <w:ind w:left="0" w:leftChars="0" w:firstLine="0" w:firstLine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标项</w:t>
      </w: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w:t>
      </w:r>
      <w:r>
        <w:rPr>
          <w:rFonts w:hint="eastAsia" w:asciiTheme="minorEastAsia" w:hAnsiTheme="minorEastAsia" w:cstheme="minorEastAsia"/>
          <w:sz w:val="24"/>
          <w:szCs w:val="24"/>
          <w:lang w:eastAsia="zh-CN"/>
        </w:rPr>
        <w:t>2026年秀洲区县道及以上公路小修及应急抢险项目</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第一</w:t>
      </w:r>
      <w:r>
        <w:rPr>
          <w:rFonts w:hint="eastAsia" w:asciiTheme="minorEastAsia" w:hAnsiTheme="minorEastAsia" w:eastAsiaTheme="minorEastAsia" w:cstheme="minorEastAsia"/>
          <w:sz w:val="24"/>
          <w:szCs w:val="24"/>
          <w:lang w:eastAsia="zh-CN"/>
        </w:rPr>
        <w:t>标段）</w:t>
      </w:r>
    </w:p>
    <w:p w14:paraId="2E2C2186">
      <w:pPr>
        <w:pStyle w:val="50"/>
        <w:ind w:left="0" w:leftChars="0" w:firstLine="0" w:firstLineChars="0"/>
        <w:rPr>
          <w:rFonts w:hint="eastAsia" w:ascii="黑体" w:hAnsi="宋体" w:eastAsia="黑体"/>
          <w:sz w:val="30"/>
          <w:szCs w:val="30"/>
        </w:rPr>
      </w:pPr>
      <w:r>
        <w:rPr>
          <w:rFonts w:hint="eastAsia" w:asciiTheme="minorEastAsia" w:hAnsiTheme="minorEastAsia" w:eastAsiaTheme="minorEastAsia" w:cstheme="minorEastAsia"/>
          <w:sz w:val="24"/>
          <w:szCs w:val="24"/>
        </w:rPr>
        <w:t>货币单位：人民币元</w:t>
      </w:r>
    </w:p>
    <w:tbl>
      <w:tblPr>
        <w:tblStyle w:val="51"/>
        <w:tblW w:w="946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40"/>
        <w:gridCol w:w="4572"/>
        <w:gridCol w:w="899"/>
        <w:gridCol w:w="899"/>
        <w:gridCol w:w="1079"/>
        <w:gridCol w:w="1079"/>
      </w:tblGrid>
      <w:tr w14:paraId="55F269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68" w:type="dxa"/>
            <w:gridSpan w:val="6"/>
            <w:noWrap w:val="0"/>
            <w:vAlign w:val="center"/>
          </w:tcPr>
          <w:p w14:paraId="0FB0E2A8">
            <w:pPr>
              <w:tabs>
                <w:tab w:val="left" w:pos="3885"/>
              </w:tabs>
              <w:rPr>
                <w:rFonts w:ascii="宋体" w:hAnsi="宋体"/>
                <w:b/>
                <w:bCs/>
              </w:rPr>
            </w:pPr>
            <w:r>
              <w:tab/>
            </w:r>
            <w:r>
              <w:rPr>
                <w:rFonts w:hint="eastAsia" w:ascii="宋体" w:hAnsi="宋体"/>
                <w:b/>
                <w:bCs/>
              </w:rPr>
              <w:t>清单      第300章      路  面</w:t>
            </w:r>
          </w:p>
        </w:tc>
      </w:tr>
      <w:tr w14:paraId="6F4612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0759DA1F">
            <w:pPr>
              <w:widowControl/>
              <w:jc w:val="left"/>
              <w:rPr>
                <w:rFonts w:ascii="宋体" w:hAnsi="宋体" w:cs="宋体"/>
                <w:kern w:val="0"/>
                <w:szCs w:val="21"/>
              </w:rPr>
            </w:pPr>
            <w:r>
              <w:rPr>
                <w:rFonts w:hint="eastAsia" w:ascii="宋体" w:hAnsi="宋体" w:cs="宋体"/>
                <w:kern w:val="0"/>
                <w:szCs w:val="21"/>
              </w:rPr>
              <w:t>子目号</w:t>
            </w:r>
          </w:p>
        </w:tc>
        <w:tc>
          <w:tcPr>
            <w:tcW w:w="4572" w:type="dxa"/>
            <w:noWrap w:val="0"/>
            <w:vAlign w:val="center"/>
          </w:tcPr>
          <w:p w14:paraId="1D51318B">
            <w:pPr>
              <w:widowControl/>
              <w:jc w:val="center"/>
              <w:rPr>
                <w:rFonts w:ascii="宋体" w:hAnsi="宋体" w:cs="宋体"/>
                <w:kern w:val="0"/>
                <w:szCs w:val="21"/>
              </w:rPr>
            </w:pPr>
            <w:r>
              <w:rPr>
                <w:rFonts w:hint="eastAsia" w:ascii="宋体" w:hAnsi="宋体" w:cs="宋体"/>
                <w:kern w:val="0"/>
                <w:szCs w:val="21"/>
              </w:rPr>
              <w:t>子  目  名  称</w:t>
            </w:r>
          </w:p>
        </w:tc>
        <w:tc>
          <w:tcPr>
            <w:tcW w:w="899" w:type="dxa"/>
            <w:noWrap w:val="0"/>
            <w:vAlign w:val="center"/>
          </w:tcPr>
          <w:p w14:paraId="26B82911">
            <w:pPr>
              <w:widowControl/>
              <w:jc w:val="center"/>
              <w:rPr>
                <w:rFonts w:ascii="宋体" w:hAnsi="宋体" w:cs="宋体"/>
                <w:kern w:val="0"/>
                <w:szCs w:val="21"/>
              </w:rPr>
            </w:pPr>
            <w:r>
              <w:rPr>
                <w:rFonts w:hint="eastAsia" w:ascii="宋体" w:hAnsi="宋体" w:cs="宋体"/>
                <w:kern w:val="0"/>
                <w:szCs w:val="21"/>
              </w:rPr>
              <w:t>单位</w:t>
            </w:r>
          </w:p>
        </w:tc>
        <w:tc>
          <w:tcPr>
            <w:tcW w:w="899" w:type="dxa"/>
            <w:noWrap w:val="0"/>
            <w:vAlign w:val="center"/>
          </w:tcPr>
          <w:p w14:paraId="03903991">
            <w:pPr>
              <w:widowControl/>
              <w:jc w:val="center"/>
              <w:rPr>
                <w:rFonts w:ascii="宋体" w:hAnsi="宋体" w:cs="宋体"/>
                <w:kern w:val="0"/>
                <w:szCs w:val="21"/>
              </w:rPr>
            </w:pPr>
            <w:r>
              <w:rPr>
                <w:rFonts w:hint="eastAsia" w:ascii="宋体" w:hAnsi="宋体" w:cs="宋体"/>
                <w:kern w:val="0"/>
                <w:szCs w:val="21"/>
              </w:rPr>
              <w:t>数量</w:t>
            </w:r>
          </w:p>
        </w:tc>
        <w:tc>
          <w:tcPr>
            <w:tcW w:w="1079" w:type="dxa"/>
            <w:noWrap w:val="0"/>
            <w:vAlign w:val="center"/>
          </w:tcPr>
          <w:p w14:paraId="26F05665">
            <w:pPr>
              <w:widowControl/>
              <w:jc w:val="center"/>
              <w:rPr>
                <w:rFonts w:ascii="宋体" w:hAnsi="宋体" w:cs="宋体"/>
                <w:kern w:val="0"/>
                <w:szCs w:val="21"/>
              </w:rPr>
            </w:pPr>
            <w:r>
              <w:rPr>
                <w:rFonts w:hint="eastAsia" w:ascii="宋体" w:hAnsi="宋体" w:cs="宋体"/>
                <w:kern w:val="0"/>
                <w:szCs w:val="21"/>
              </w:rPr>
              <w:t>单价</w:t>
            </w:r>
          </w:p>
        </w:tc>
        <w:tc>
          <w:tcPr>
            <w:tcW w:w="1079" w:type="dxa"/>
            <w:noWrap w:val="0"/>
            <w:vAlign w:val="center"/>
          </w:tcPr>
          <w:p w14:paraId="22302BE1">
            <w:pPr>
              <w:widowControl/>
              <w:jc w:val="center"/>
              <w:rPr>
                <w:rFonts w:ascii="宋体" w:hAnsi="宋体" w:cs="宋体"/>
                <w:kern w:val="0"/>
                <w:szCs w:val="21"/>
              </w:rPr>
            </w:pPr>
            <w:r>
              <w:rPr>
                <w:rFonts w:hint="eastAsia" w:ascii="宋体" w:hAnsi="宋体" w:cs="宋体"/>
                <w:kern w:val="0"/>
                <w:szCs w:val="21"/>
              </w:rPr>
              <w:t>合价</w:t>
            </w:r>
          </w:p>
        </w:tc>
      </w:tr>
      <w:tr w14:paraId="05553E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4EB16B95">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-1</w:t>
            </w:r>
          </w:p>
        </w:tc>
        <w:tc>
          <w:tcPr>
            <w:tcW w:w="4572" w:type="dxa"/>
            <w:noWrap w:val="0"/>
            <w:vAlign w:val="center"/>
          </w:tcPr>
          <w:p w14:paraId="06181C68">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沥青路面灌缝(四新技术)</w:t>
            </w:r>
          </w:p>
        </w:tc>
        <w:tc>
          <w:tcPr>
            <w:tcW w:w="899" w:type="dxa"/>
            <w:noWrap w:val="0"/>
            <w:vAlign w:val="center"/>
          </w:tcPr>
          <w:p w14:paraId="774514C9">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m</w:t>
            </w:r>
          </w:p>
        </w:tc>
        <w:tc>
          <w:tcPr>
            <w:tcW w:w="899" w:type="dxa"/>
            <w:noWrap w:val="0"/>
            <w:vAlign w:val="center"/>
          </w:tcPr>
          <w:p w14:paraId="64B63A1D">
            <w:pPr>
              <w:keepNext w:val="0"/>
              <w:keepLines w:val="0"/>
              <w:widowControl/>
              <w:suppressLineNumbers w:val="0"/>
              <w:jc w:val="right"/>
              <w:textAlignment w:val="center"/>
              <w:rPr>
                <w:rFonts w:hint="eastAsia" w:ascii="宋体" w:hAnsi="宋体" w:cs="宋体"/>
                <w:kern w:val="0"/>
                <w:sz w:val="21"/>
                <w:szCs w:val="21"/>
              </w:rPr>
            </w:pPr>
            <w:r>
              <w:rPr>
                <w:rFonts w:hint="default" w:ascii="Arial Narrow" w:hAnsi="Arial Narrow" w:eastAsia="Arial Narrow" w:cs="Arial Narrow"/>
                <w:i w:val="0"/>
                <w:iCs w:val="0"/>
                <w:color w:val="000000"/>
                <w:kern w:val="0"/>
                <w:sz w:val="21"/>
                <w:szCs w:val="21"/>
                <w:u w:val="none"/>
                <w:lang w:val="en-US" w:eastAsia="zh-CN" w:bidi="ar"/>
              </w:rPr>
              <w:t>8500</w:t>
            </w:r>
          </w:p>
        </w:tc>
        <w:tc>
          <w:tcPr>
            <w:tcW w:w="1079" w:type="dxa"/>
            <w:noWrap w:val="0"/>
            <w:vAlign w:val="center"/>
          </w:tcPr>
          <w:p w14:paraId="124B5143">
            <w:pPr>
              <w:widowControl/>
              <w:jc w:val="center"/>
              <w:rPr>
                <w:rFonts w:hint="eastAsia" w:ascii="宋体" w:hAnsi="宋体" w:cs="宋体"/>
                <w:kern w:val="0"/>
                <w:szCs w:val="21"/>
              </w:rPr>
            </w:pPr>
          </w:p>
        </w:tc>
        <w:tc>
          <w:tcPr>
            <w:tcW w:w="1079" w:type="dxa"/>
            <w:noWrap w:val="0"/>
            <w:vAlign w:val="center"/>
          </w:tcPr>
          <w:p w14:paraId="10ED6628">
            <w:pPr>
              <w:widowControl/>
              <w:jc w:val="center"/>
              <w:rPr>
                <w:rFonts w:hint="eastAsia" w:ascii="宋体" w:hAnsi="宋体" w:cs="宋体"/>
                <w:kern w:val="0"/>
                <w:szCs w:val="21"/>
              </w:rPr>
            </w:pPr>
          </w:p>
        </w:tc>
      </w:tr>
      <w:tr w14:paraId="2B91D8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3F602D80">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-2</w:t>
            </w:r>
          </w:p>
        </w:tc>
        <w:tc>
          <w:tcPr>
            <w:tcW w:w="4572" w:type="dxa"/>
            <w:noWrap w:val="0"/>
            <w:vAlign w:val="center"/>
          </w:tcPr>
          <w:p w14:paraId="14724552">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沥青路面裂缝灌缝（普通灌缝）</w:t>
            </w:r>
          </w:p>
        </w:tc>
        <w:tc>
          <w:tcPr>
            <w:tcW w:w="899" w:type="dxa"/>
            <w:noWrap w:val="0"/>
            <w:vAlign w:val="center"/>
          </w:tcPr>
          <w:p w14:paraId="780108CF">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m</w:t>
            </w:r>
          </w:p>
        </w:tc>
        <w:tc>
          <w:tcPr>
            <w:tcW w:w="899" w:type="dxa"/>
            <w:noWrap w:val="0"/>
            <w:vAlign w:val="center"/>
          </w:tcPr>
          <w:p w14:paraId="2C693CB5">
            <w:pPr>
              <w:keepNext w:val="0"/>
              <w:keepLines w:val="0"/>
              <w:widowControl/>
              <w:suppressLineNumbers w:val="0"/>
              <w:jc w:val="right"/>
              <w:textAlignment w:val="center"/>
              <w:rPr>
                <w:rFonts w:hint="eastAsia" w:ascii="宋体" w:hAnsi="宋体" w:cs="宋体"/>
                <w:kern w:val="0"/>
                <w:sz w:val="21"/>
                <w:szCs w:val="21"/>
              </w:rPr>
            </w:pPr>
            <w:r>
              <w:rPr>
                <w:rFonts w:hint="default" w:ascii="Arial Narrow" w:hAnsi="Arial Narrow" w:eastAsia="Arial Narrow" w:cs="Arial Narrow"/>
                <w:i w:val="0"/>
                <w:iCs w:val="0"/>
                <w:color w:val="000000"/>
                <w:kern w:val="0"/>
                <w:sz w:val="21"/>
                <w:szCs w:val="21"/>
                <w:u w:val="none"/>
                <w:lang w:val="en-US" w:eastAsia="zh-CN" w:bidi="ar"/>
              </w:rPr>
              <w:t>13500</w:t>
            </w:r>
          </w:p>
        </w:tc>
        <w:tc>
          <w:tcPr>
            <w:tcW w:w="1079" w:type="dxa"/>
            <w:noWrap w:val="0"/>
            <w:vAlign w:val="center"/>
          </w:tcPr>
          <w:p w14:paraId="2619DBD6">
            <w:pPr>
              <w:widowControl/>
              <w:jc w:val="center"/>
              <w:rPr>
                <w:rFonts w:hint="eastAsia" w:ascii="宋体" w:hAnsi="宋体" w:cs="宋体"/>
                <w:kern w:val="0"/>
                <w:szCs w:val="21"/>
              </w:rPr>
            </w:pPr>
          </w:p>
        </w:tc>
        <w:tc>
          <w:tcPr>
            <w:tcW w:w="1079" w:type="dxa"/>
            <w:noWrap w:val="0"/>
            <w:vAlign w:val="center"/>
          </w:tcPr>
          <w:p w14:paraId="3FC76283">
            <w:pPr>
              <w:widowControl/>
              <w:jc w:val="center"/>
              <w:rPr>
                <w:rFonts w:hint="eastAsia" w:ascii="宋体" w:hAnsi="宋体" w:cs="宋体"/>
                <w:kern w:val="0"/>
                <w:szCs w:val="21"/>
              </w:rPr>
            </w:pPr>
          </w:p>
        </w:tc>
      </w:tr>
      <w:tr w14:paraId="7A4431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000DD4BF">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304</w:t>
            </w:r>
          </w:p>
        </w:tc>
        <w:tc>
          <w:tcPr>
            <w:tcW w:w="4572" w:type="dxa"/>
            <w:noWrap w:val="0"/>
            <w:vAlign w:val="center"/>
          </w:tcPr>
          <w:p w14:paraId="45617F30">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结构物接顺及其它路面维修</w:t>
            </w:r>
          </w:p>
        </w:tc>
        <w:tc>
          <w:tcPr>
            <w:tcW w:w="899" w:type="dxa"/>
            <w:noWrap w:val="0"/>
            <w:vAlign w:val="center"/>
          </w:tcPr>
          <w:p w14:paraId="0B20BA26">
            <w:pPr>
              <w:jc w:val="center"/>
              <w:rPr>
                <w:rFonts w:hint="eastAsia" w:ascii="宋体" w:hAnsi="宋体" w:cs="宋体"/>
                <w:kern w:val="0"/>
                <w:sz w:val="21"/>
                <w:szCs w:val="21"/>
              </w:rPr>
            </w:pPr>
          </w:p>
        </w:tc>
        <w:tc>
          <w:tcPr>
            <w:tcW w:w="899" w:type="dxa"/>
            <w:noWrap w:val="0"/>
            <w:vAlign w:val="center"/>
          </w:tcPr>
          <w:p w14:paraId="448CDF9C">
            <w:pPr>
              <w:jc w:val="right"/>
              <w:rPr>
                <w:rFonts w:hint="eastAsia" w:ascii="宋体" w:hAnsi="宋体" w:cs="宋体"/>
                <w:kern w:val="0"/>
                <w:sz w:val="21"/>
                <w:szCs w:val="21"/>
              </w:rPr>
            </w:pPr>
          </w:p>
        </w:tc>
        <w:tc>
          <w:tcPr>
            <w:tcW w:w="1079" w:type="dxa"/>
            <w:noWrap w:val="0"/>
            <w:vAlign w:val="center"/>
          </w:tcPr>
          <w:p w14:paraId="7B182871">
            <w:pPr>
              <w:widowControl/>
              <w:jc w:val="center"/>
              <w:rPr>
                <w:rFonts w:hint="eastAsia" w:ascii="宋体" w:hAnsi="宋体" w:cs="宋体"/>
                <w:kern w:val="0"/>
                <w:szCs w:val="21"/>
              </w:rPr>
            </w:pPr>
          </w:p>
        </w:tc>
        <w:tc>
          <w:tcPr>
            <w:tcW w:w="1079" w:type="dxa"/>
            <w:noWrap w:val="0"/>
            <w:vAlign w:val="center"/>
          </w:tcPr>
          <w:p w14:paraId="3E4DF472">
            <w:pPr>
              <w:widowControl/>
              <w:jc w:val="center"/>
              <w:rPr>
                <w:rFonts w:hint="eastAsia" w:ascii="宋体" w:hAnsi="宋体" w:cs="宋体"/>
                <w:kern w:val="0"/>
                <w:szCs w:val="21"/>
              </w:rPr>
            </w:pPr>
          </w:p>
        </w:tc>
      </w:tr>
      <w:tr w14:paraId="12D927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3A6312E3">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304-1</w:t>
            </w:r>
          </w:p>
        </w:tc>
        <w:tc>
          <w:tcPr>
            <w:tcW w:w="4572" w:type="dxa"/>
            <w:noWrap w:val="0"/>
            <w:vAlign w:val="center"/>
          </w:tcPr>
          <w:p w14:paraId="0F4EFE01">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碎石</w:t>
            </w:r>
          </w:p>
        </w:tc>
        <w:tc>
          <w:tcPr>
            <w:tcW w:w="899" w:type="dxa"/>
            <w:noWrap w:val="0"/>
            <w:vAlign w:val="center"/>
          </w:tcPr>
          <w:p w14:paraId="643DD1B6">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m3</w:t>
            </w:r>
          </w:p>
        </w:tc>
        <w:tc>
          <w:tcPr>
            <w:tcW w:w="899" w:type="dxa"/>
            <w:noWrap w:val="0"/>
            <w:vAlign w:val="center"/>
          </w:tcPr>
          <w:p w14:paraId="77B68F34">
            <w:pPr>
              <w:keepNext w:val="0"/>
              <w:keepLines w:val="0"/>
              <w:widowControl/>
              <w:suppressLineNumbers w:val="0"/>
              <w:jc w:val="right"/>
              <w:textAlignment w:val="center"/>
              <w:rPr>
                <w:rFonts w:hint="eastAsia" w:ascii="宋体" w:hAnsi="宋体" w:cs="宋体"/>
                <w:kern w:val="0"/>
                <w:sz w:val="21"/>
                <w:szCs w:val="21"/>
              </w:rPr>
            </w:pPr>
            <w:r>
              <w:rPr>
                <w:rFonts w:hint="default" w:ascii="Arial Narrow" w:hAnsi="Arial Narrow" w:eastAsia="Arial Narrow" w:cs="Arial Narrow"/>
                <w:i w:val="0"/>
                <w:iCs w:val="0"/>
                <w:color w:val="000000"/>
                <w:kern w:val="0"/>
                <w:sz w:val="21"/>
                <w:szCs w:val="21"/>
                <w:u w:val="none"/>
                <w:lang w:val="en-US" w:eastAsia="zh-CN" w:bidi="ar"/>
              </w:rPr>
              <w:t>150</w:t>
            </w:r>
          </w:p>
        </w:tc>
        <w:tc>
          <w:tcPr>
            <w:tcW w:w="1079" w:type="dxa"/>
            <w:noWrap w:val="0"/>
            <w:vAlign w:val="center"/>
          </w:tcPr>
          <w:p w14:paraId="7279DFAD">
            <w:pPr>
              <w:widowControl/>
              <w:jc w:val="center"/>
              <w:rPr>
                <w:rFonts w:hint="eastAsia" w:ascii="宋体" w:hAnsi="宋体" w:cs="宋体"/>
                <w:kern w:val="0"/>
                <w:szCs w:val="21"/>
              </w:rPr>
            </w:pPr>
          </w:p>
        </w:tc>
        <w:tc>
          <w:tcPr>
            <w:tcW w:w="1079" w:type="dxa"/>
            <w:noWrap w:val="0"/>
            <w:vAlign w:val="center"/>
          </w:tcPr>
          <w:p w14:paraId="77A0090A">
            <w:pPr>
              <w:widowControl/>
              <w:jc w:val="center"/>
              <w:rPr>
                <w:rFonts w:hint="eastAsia" w:ascii="宋体" w:hAnsi="宋体" w:cs="宋体"/>
                <w:kern w:val="0"/>
                <w:szCs w:val="21"/>
              </w:rPr>
            </w:pPr>
          </w:p>
        </w:tc>
      </w:tr>
      <w:tr w14:paraId="65F8BD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3E04F6C3">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304-3</w:t>
            </w:r>
          </w:p>
        </w:tc>
        <w:tc>
          <w:tcPr>
            <w:tcW w:w="4572" w:type="dxa"/>
            <w:noWrap w:val="0"/>
            <w:vAlign w:val="center"/>
          </w:tcPr>
          <w:p w14:paraId="3352C3FC">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基层维修</w:t>
            </w:r>
          </w:p>
        </w:tc>
        <w:tc>
          <w:tcPr>
            <w:tcW w:w="899" w:type="dxa"/>
            <w:noWrap w:val="0"/>
            <w:vAlign w:val="center"/>
          </w:tcPr>
          <w:p w14:paraId="24AF19F6">
            <w:pPr>
              <w:jc w:val="center"/>
              <w:rPr>
                <w:rFonts w:hint="eastAsia" w:ascii="宋体" w:hAnsi="宋体" w:cs="宋体"/>
                <w:kern w:val="0"/>
                <w:sz w:val="21"/>
                <w:szCs w:val="21"/>
              </w:rPr>
            </w:pPr>
          </w:p>
        </w:tc>
        <w:tc>
          <w:tcPr>
            <w:tcW w:w="899" w:type="dxa"/>
            <w:noWrap w:val="0"/>
            <w:vAlign w:val="center"/>
          </w:tcPr>
          <w:p w14:paraId="5A5B4046">
            <w:pPr>
              <w:jc w:val="right"/>
              <w:rPr>
                <w:rFonts w:hint="eastAsia" w:ascii="宋体" w:hAnsi="宋体" w:cs="宋体"/>
                <w:kern w:val="0"/>
                <w:sz w:val="21"/>
                <w:szCs w:val="21"/>
              </w:rPr>
            </w:pPr>
          </w:p>
        </w:tc>
        <w:tc>
          <w:tcPr>
            <w:tcW w:w="1079" w:type="dxa"/>
            <w:noWrap w:val="0"/>
            <w:vAlign w:val="center"/>
          </w:tcPr>
          <w:p w14:paraId="788DEC25">
            <w:pPr>
              <w:widowControl/>
              <w:jc w:val="center"/>
              <w:rPr>
                <w:rFonts w:hint="eastAsia" w:ascii="宋体" w:hAnsi="宋体" w:cs="宋体"/>
                <w:kern w:val="0"/>
                <w:szCs w:val="21"/>
              </w:rPr>
            </w:pPr>
          </w:p>
        </w:tc>
        <w:tc>
          <w:tcPr>
            <w:tcW w:w="1079" w:type="dxa"/>
            <w:noWrap w:val="0"/>
            <w:vAlign w:val="center"/>
          </w:tcPr>
          <w:p w14:paraId="7610B0DE">
            <w:pPr>
              <w:widowControl/>
              <w:jc w:val="center"/>
              <w:rPr>
                <w:rFonts w:hint="eastAsia" w:ascii="宋体" w:hAnsi="宋体" w:cs="宋体"/>
                <w:kern w:val="0"/>
                <w:szCs w:val="21"/>
              </w:rPr>
            </w:pPr>
          </w:p>
        </w:tc>
      </w:tr>
      <w:tr w14:paraId="5F270B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239B972E">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-a</w:t>
            </w:r>
          </w:p>
        </w:tc>
        <w:tc>
          <w:tcPr>
            <w:tcW w:w="4572" w:type="dxa"/>
            <w:noWrap w:val="0"/>
            <w:vAlign w:val="center"/>
          </w:tcPr>
          <w:p w14:paraId="555F3795">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5%水泥稳定碎石基层</w:t>
            </w:r>
          </w:p>
        </w:tc>
        <w:tc>
          <w:tcPr>
            <w:tcW w:w="899" w:type="dxa"/>
            <w:noWrap w:val="0"/>
            <w:vAlign w:val="center"/>
          </w:tcPr>
          <w:p w14:paraId="788B5F32">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m3</w:t>
            </w:r>
          </w:p>
        </w:tc>
        <w:tc>
          <w:tcPr>
            <w:tcW w:w="899" w:type="dxa"/>
            <w:noWrap w:val="0"/>
            <w:vAlign w:val="center"/>
          </w:tcPr>
          <w:p w14:paraId="1FB6638D">
            <w:pPr>
              <w:keepNext w:val="0"/>
              <w:keepLines w:val="0"/>
              <w:widowControl/>
              <w:suppressLineNumbers w:val="0"/>
              <w:jc w:val="right"/>
              <w:textAlignment w:val="center"/>
              <w:rPr>
                <w:rFonts w:hint="eastAsia" w:ascii="宋体" w:hAnsi="宋体" w:cs="宋体"/>
                <w:kern w:val="0"/>
                <w:sz w:val="21"/>
                <w:szCs w:val="21"/>
              </w:rPr>
            </w:pPr>
            <w:r>
              <w:rPr>
                <w:rFonts w:hint="default" w:ascii="Arial Narrow" w:hAnsi="Arial Narrow" w:eastAsia="Arial Narrow" w:cs="Arial Narrow"/>
                <w:i w:val="0"/>
                <w:iCs w:val="0"/>
                <w:color w:val="000000"/>
                <w:kern w:val="0"/>
                <w:sz w:val="21"/>
                <w:szCs w:val="21"/>
                <w:u w:val="none"/>
                <w:lang w:val="en-US" w:eastAsia="zh-CN" w:bidi="ar"/>
              </w:rPr>
              <w:t>150</w:t>
            </w:r>
          </w:p>
        </w:tc>
        <w:tc>
          <w:tcPr>
            <w:tcW w:w="1079" w:type="dxa"/>
            <w:noWrap w:val="0"/>
            <w:vAlign w:val="center"/>
          </w:tcPr>
          <w:p w14:paraId="382B2FF1">
            <w:pPr>
              <w:widowControl/>
              <w:jc w:val="center"/>
              <w:rPr>
                <w:rFonts w:hint="eastAsia" w:ascii="宋体" w:hAnsi="宋体" w:cs="宋体"/>
                <w:kern w:val="0"/>
                <w:szCs w:val="21"/>
              </w:rPr>
            </w:pPr>
          </w:p>
        </w:tc>
        <w:tc>
          <w:tcPr>
            <w:tcW w:w="1079" w:type="dxa"/>
            <w:noWrap w:val="0"/>
            <w:vAlign w:val="center"/>
          </w:tcPr>
          <w:p w14:paraId="58D421D3">
            <w:pPr>
              <w:widowControl/>
              <w:jc w:val="center"/>
              <w:rPr>
                <w:rFonts w:hint="eastAsia" w:ascii="宋体" w:hAnsi="宋体" w:cs="宋体"/>
                <w:kern w:val="0"/>
                <w:szCs w:val="21"/>
              </w:rPr>
            </w:pPr>
          </w:p>
        </w:tc>
      </w:tr>
      <w:tr w14:paraId="5A2141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44CB79FE">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-b</w:t>
            </w:r>
          </w:p>
        </w:tc>
        <w:tc>
          <w:tcPr>
            <w:tcW w:w="4572" w:type="dxa"/>
            <w:noWrap w:val="0"/>
            <w:vAlign w:val="center"/>
          </w:tcPr>
          <w:p w14:paraId="40BB6452">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C15素混凝土基层</w:t>
            </w:r>
          </w:p>
        </w:tc>
        <w:tc>
          <w:tcPr>
            <w:tcW w:w="899" w:type="dxa"/>
            <w:noWrap w:val="0"/>
            <w:vAlign w:val="center"/>
          </w:tcPr>
          <w:p w14:paraId="58FA5D98">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m3</w:t>
            </w:r>
          </w:p>
        </w:tc>
        <w:tc>
          <w:tcPr>
            <w:tcW w:w="899" w:type="dxa"/>
            <w:noWrap w:val="0"/>
            <w:vAlign w:val="center"/>
          </w:tcPr>
          <w:p w14:paraId="0104FEAF">
            <w:pPr>
              <w:keepNext w:val="0"/>
              <w:keepLines w:val="0"/>
              <w:widowControl/>
              <w:suppressLineNumbers w:val="0"/>
              <w:jc w:val="right"/>
              <w:textAlignment w:val="center"/>
              <w:rPr>
                <w:rFonts w:hint="eastAsia" w:ascii="宋体" w:hAnsi="宋体" w:cs="宋体"/>
                <w:kern w:val="0"/>
                <w:sz w:val="21"/>
                <w:szCs w:val="21"/>
              </w:rPr>
            </w:pPr>
            <w:r>
              <w:rPr>
                <w:rFonts w:hint="default" w:ascii="Arial Narrow" w:hAnsi="Arial Narrow" w:eastAsia="Arial Narrow" w:cs="Arial Narrow"/>
                <w:i w:val="0"/>
                <w:iCs w:val="0"/>
                <w:color w:val="000000"/>
                <w:kern w:val="0"/>
                <w:sz w:val="21"/>
                <w:szCs w:val="21"/>
                <w:u w:val="none"/>
                <w:lang w:val="en-US" w:eastAsia="zh-CN" w:bidi="ar"/>
              </w:rPr>
              <w:t>100</w:t>
            </w:r>
          </w:p>
        </w:tc>
        <w:tc>
          <w:tcPr>
            <w:tcW w:w="1079" w:type="dxa"/>
            <w:noWrap w:val="0"/>
            <w:vAlign w:val="center"/>
          </w:tcPr>
          <w:p w14:paraId="7AA82906">
            <w:pPr>
              <w:widowControl/>
              <w:jc w:val="center"/>
              <w:rPr>
                <w:rFonts w:ascii="宋体" w:hAnsi="宋体" w:cs="宋体"/>
                <w:kern w:val="0"/>
                <w:szCs w:val="21"/>
              </w:rPr>
            </w:pPr>
          </w:p>
        </w:tc>
        <w:tc>
          <w:tcPr>
            <w:tcW w:w="1079" w:type="dxa"/>
            <w:noWrap w:val="0"/>
            <w:vAlign w:val="center"/>
          </w:tcPr>
          <w:p w14:paraId="429486E6">
            <w:pPr>
              <w:widowControl/>
              <w:jc w:val="center"/>
              <w:rPr>
                <w:rFonts w:ascii="宋体" w:hAnsi="宋体" w:cs="宋体"/>
                <w:kern w:val="0"/>
                <w:szCs w:val="21"/>
              </w:rPr>
            </w:pPr>
          </w:p>
        </w:tc>
      </w:tr>
      <w:tr w14:paraId="2AC435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360161E2">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304-5</w:t>
            </w:r>
          </w:p>
        </w:tc>
        <w:tc>
          <w:tcPr>
            <w:tcW w:w="4572" w:type="dxa"/>
            <w:noWrap w:val="0"/>
            <w:vAlign w:val="center"/>
          </w:tcPr>
          <w:p w14:paraId="0F8DF086">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其他路面维修</w:t>
            </w:r>
          </w:p>
        </w:tc>
        <w:tc>
          <w:tcPr>
            <w:tcW w:w="899" w:type="dxa"/>
            <w:noWrap w:val="0"/>
            <w:vAlign w:val="center"/>
          </w:tcPr>
          <w:p w14:paraId="34A08B5E">
            <w:pPr>
              <w:jc w:val="center"/>
              <w:rPr>
                <w:rFonts w:hint="eastAsia" w:ascii="宋体" w:hAnsi="宋体" w:cs="宋体"/>
                <w:kern w:val="0"/>
                <w:sz w:val="21"/>
                <w:szCs w:val="21"/>
              </w:rPr>
            </w:pPr>
          </w:p>
        </w:tc>
        <w:tc>
          <w:tcPr>
            <w:tcW w:w="899" w:type="dxa"/>
            <w:noWrap w:val="0"/>
            <w:vAlign w:val="center"/>
          </w:tcPr>
          <w:p w14:paraId="1A2D16FF">
            <w:pPr>
              <w:jc w:val="right"/>
              <w:rPr>
                <w:rFonts w:hint="eastAsia" w:ascii="宋体" w:hAnsi="宋体" w:cs="宋体"/>
                <w:kern w:val="0"/>
                <w:sz w:val="21"/>
                <w:szCs w:val="21"/>
              </w:rPr>
            </w:pPr>
          </w:p>
        </w:tc>
        <w:tc>
          <w:tcPr>
            <w:tcW w:w="1079" w:type="dxa"/>
            <w:noWrap w:val="0"/>
            <w:vAlign w:val="center"/>
          </w:tcPr>
          <w:p w14:paraId="29146D9D">
            <w:pPr>
              <w:widowControl/>
              <w:jc w:val="center"/>
              <w:rPr>
                <w:rFonts w:ascii="宋体" w:hAnsi="宋体" w:cs="宋体"/>
                <w:kern w:val="0"/>
                <w:szCs w:val="21"/>
              </w:rPr>
            </w:pPr>
          </w:p>
        </w:tc>
        <w:tc>
          <w:tcPr>
            <w:tcW w:w="1079" w:type="dxa"/>
            <w:noWrap w:val="0"/>
            <w:vAlign w:val="center"/>
          </w:tcPr>
          <w:p w14:paraId="474510CB">
            <w:pPr>
              <w:widowControl/>
              <w:jc w:val="center"/>
              <w:rPr>
                <w:rFonts w:ascii="宋体" w:hAnsi="宋体" w:cs="宋体"/>
                <w:kern w:val="0"/>
                <w:szCs w:val="21"/>
              </w:rPr>
            </w:pPr>
          </w:p>
        </w:tc>
      </w:tr>
      <w:tr w14:paraId="4516E6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216F7B49">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-a</w:t>
            </w:r>
          </w:p>
        </w:tc>
        <w:tc>
          <w:tcPr>
            <w:tcW w:w="4572" w:type="dxa"/>
            <w:noWrap w:val="0"/>
            <w:vAlign w:val="center"/>
          </w:tcPr>
          <w:p w14:paraId="0FB822FC">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人行道彩砖维修</w:t>
            </w:r>
          </w:p>
        </w:tc>
        <w:tc>
          <w:tcPr>
            <w:tcW w:w="899" w:type="dxa"/>
            <w:noWrap w:val="0"/>
            <w:vAlign w:val="center"/>
          </w:tcPr>
          <w:p w14:paraId="7040B51D">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m2</w:t>
            </w:r>
          </w:p>
        </w:tc>
        <w:tc>
          <w:tcPr>
            <w:tcW w:w="899" w:type="dxa"/>
            <w:noWrap w:val="0"/>
            <w:vAlign w:val="center"/>
          </w:tcPr>
          <w:p w14:paraId="1CE03EDC">
            <w:pPr>
              <w:keepNext w:val="0"/>
              <w:keepLines w:val="0"/>
              <w:widowControl/>
              <w:suppressLineNumbers w:val="0"/>
              <w:jc w:val="right"/>
              <w:textAlignment w:val="center"/>
              <w:rPr>
                <w:rFonts w:hint="eastAsia" w:ascii="宋体" w:hAnsi="宋体" w:cs="宋体"/>
                <w:kern w:val="0"/>
                <w:sz w:val="21"/>
                <w:szCs w:val="21"/>
              </w:rPr>
            </w:pPr>
            <w:r>
              <w:rPr>
                <w:rFonts w:hint="default" w:ascii="Arial Narrow" w:hAnsi="Arial Narrow" w:eastAsia="Arial Narrow" w:cs="Arial Narrow"/>
                <w:i w:val="0"/>
                <w:iCs w:val="0"/>
                <w:color w:val="000000"/>
                <w:kern w:val="0"/>
                <w:sz w:val="21"/>
                <w:szCs w:val="21"/>
                <w:u w:val="none"/>
                <w:lang w:val="en-US" w:eastAsia="zh-CN" w:bidi="ar"/>
              </w:rPr>
              <w:t>500</w:t>
            </w:r>
          </w:p>
        </w:tc>
        <w:tc>
          <w:tcPr>
            <w:tcW w:w="1079" w:type="dxa"/>
            <w:noWrap w:val="0"/>
            <w:vAlign w:val="center"/>
          </w:tcPr>
          <w:p w14:paraId="6EABD532">
            <w:pPr>
              <w:widowControl/>
              <w:jc w:val="center"/>
              <w:rPr>
                <w:rFonts w:ascii="宋体" w:hAnsi="宋体" w:cs="宋体"/>
                <w:kern w:val="0"/>
                <w:szCs w:val="21"/>
              </w:rPr>
            </w:pPr>
          </w:p>
        </w:tc>
        <w:tc>
          <w:tcPr>
            <w:tcW w:w="1079" w:type="dxa"/>
            <w:noWrap w:val="0"/>
            <w:vAlign w:val="center"/>
          </w:tcPr>
          <w:p w14:paraId="168716A7">
            <w:pPr>
              <w:widowControl/>
              <w:jc w:val="center"/>
              <w:rPr>
                <w:rFonts w:ascii="宋体" w:hAnsi="宋体" w:cs="宋体"/>
                <w:kern w:val="0"/>
                <w:szCs w:val="21"/>
              </w:rPr>
            </w:pPr>
          </w:p>
        </w:tc>
      </w:tr>
      <w:tr w14:paraId="501D60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67E980E5">
            <w:pPr>
              <w:keepNext w:val="0"/>
              <w:keepLines w:val="0"/>
              <w:widowControl/>
              <w:suppressLineNumbers w:val="0"/>
              <w:jc w:val="center"/>
              <w:textAlignment w:val="center"/>
              <w:rPr>
                <w:rFonts w:hint="eastAsia" w:ascii="宋体" w:hAnsi="宋体" w:cs="宋体"/>
                <w:kern w:val="0"/>
                <w:sz w:val="21"/>
                <w:szCs w:val="21"/>
              </w:rPr>
            </w:pPr>
          </w:p>
        </w:tc>
        <w:tc>
          <w:tcPr>
            <w:tcW w:w="4572" w:type="dxa"/>
            <w:noWrap w:val="0"/>
            <w:vAlign w:val="center"/>
          </w:tcPr>
          <w:p w14:paraId="19026F67">
            <w:pPr>
              <w:keepNext w:val="0"/>
              <w:keepLines w:val="0"/>
              <w:widowControl/>
              <w:suppressLineNumbers w:val="0"/>
              <w:jc w:val="left"/>
              <w:textAlignment w:val="center"/>
              <w:rPr>
                <w:rFonts w:hint="eastAsia" w:ascii="宋体" w:hAnsi="宋体" w:cs="宋体"/>
                <w:kern w:val="0"/>
                <w:sz w:val="21"/>
                <w:szCs w:val="21"/>
              </w:rPr>
            </w:pPr>
          </w:p>
        </w:tc>
        <w:tc>
          <w:tcPr>
            <w:tcW w:w="899" w:type="dxa"/>
            <w:noWrap w:val="0"/>
            <w:vAlign w:val="center"/>
          </w:tcPr>
          <w:p w14:paraId="67A8F512">
            <w:pPr>
              <w:keepNext w:val="0"/>
              <w:keepLines w:val="0"/>
              <w:widowControl/>
              <w:suppressLineNumbers w:val="0"/>
              <w:jc w:val="center"/>
              <w:textAlignment w:val="center"/>
              <w:rPr>
                <w:rFonts w:hint="eastAsia" w:ascii="宋体" w:hAnsi="宋体" w:cs="宋体"/>
                <w:kern w:val="0"/>
                <w:sz w:val="21"/>
                <w:szCs w:val="21"/>
              </w:rPr>
            </w:pPr>
          </w:p>
        </w:tc>
        <w:tc>
          <w:tcPr>
            <w:tcW w:w="899" w:type="dxa"/>
            <w:noWrap w:val="0"/>
            <w:vAlign w:val="center"/>
          </w:tcPr>
          <w:p w14:paraId="2A86880E">
            <w:pPr>
              <w:keepNext w:val="0"/>
              <w:keepLines w:val="0"/>
              <w:widowControl/>
              <w:suppressLineNumbers w:val="0"/>
              <w:jc w:val="right"/>
              <w:textAlignment w:val="center"/>
              <w:rPr>
                <w:rFonts w:hint="eastAsia" w:ascii="宋体" w:hAnsi="宋体" w:cs="宋体"/>
                <w:kern w:val="0"/>
                <w:sz w:val="21"/>
                <w:szCs w:val="21"/>
              </w:rPr>
            </w:pPr>
          </w:p>
        </w:tc>
        <w:tc>
          <w:tcPr>
            <w:tcW w:w="1079" w:type="dxa"/>
            <w:noWrap w:val="0"/>
            <w:vAlign w:val="center"/>
          </w:tcPr>
          <w:p w14:paraId="757A6B6F">
            <w:pPr>
              <w:widowControl/>
              <w:jc w:val="center"/>
              <w:rPr>
                <w:rFonts w:ascii="宋体" w:hAnsi="宋体" w:cs="宋体"/>
                <w:kern w:val="0"/>
                <w:szCs w:val="21"/>
              </w:rPr>
            </w:pPr>
          </w:p>
        </w:tc>
        <w:tc>
          <w:tcPr>
            <w:tcW w:w="1079" w:type="dxa"/>
            <w:noWrap w:val="0"/>
            <w:vAlign w:val="center"/>
          </w:tcPr>
          <w:p w14:paraId="177B6AD1">
            <w:pPr>
              <w:widowControl/>
              <w:jc w:val="center"/>
              <w:rPr>
                <w:rFonts w:ascii="宋体" w:hAnsi="宋体" w:cs="宋体"/>
                <w:kern w:val="0"/>
                <w:szCs w:val="21"/>
              </w:rPr>
            </w:pPr>
          </w:p>
        </w:tc>
      </w:tr>
      <w:tr w14:paraId="66E3AE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3D73D6ED">
            <w:pPr>
              <w:keepNext w:val="0"/>
              <w:keepLines w:val="0"/>
              <w:widowControl/>
              <w:suppressLineNumbers w:val="0"/>
              <w:jc w:val="center"/>
              <w:textAlignment w:val="center"/>
              <w:rPr>
                <w:rFonts w:hint="eastAsia" w:ascii="宋体" w:hAnsi="宋体" w:cs="宋体"/>
                <w:kern w:val="0"/>
                <w:sz w:val="21"/>
                <w:szCs w:val="21"/>
              </w:rPr>
            </w:pPr>
          </w:p>
        </w:tc>
        <w:tc>
          <w:tcPr>
            <w:tcW w:w="4572" w:type="dxa"/>
            <w:noWrap w:val="0"/>
            <w:vAlign w:val="center"/>
          </w:tcPr>
          <w:p w14:paraId="1533BA81">
            <w:pPr>
              <w:keepNext w:val="0"/>
              <w:keepLines w:val="0"/>
              <w:widowControl/>
              <w:suppressLineNumbers w:val="0"/>
              <w:jc w:val="left"/>
              <w:textAlignment w:val="center"/>
              <w:rPr>
                <w:rFonts w:hint="eastAsia" w:ascii="宋体" w:hAnsi="宋体" w:cs="宋体"/>
                <w:kern w:val="0"/>
                <w:sz w:val="21"/>
                <w:szCs w:val="21"/>
              </w:rPr>
            </w:pPr>
          </w:p>
        </w:tc>
        <w:tc>
          <w:tcPr>
            <w:tcW w:w="899" w:type="dxa"/>
            <w:noWrap w:val="0"/>
            <w:vAlign w:val="center"/>
          </w:tcPr>
          <w:p w14:paraId="1B2BFD09">
            <w:pPr>
              <w:keepNext w:val="0"/>
              <w:keepLines w:val="0"/>
              <w:widowControl/>
              <w:suppressLineNumbers w:val="0"/>
              <w:jc w:val="center"/>
              <w:textAlignment w:val="center"/>
              <w:rPr>
                <w:rFonts w:hint="eastAsia" w:ascii="宋体" w:hAnsi="宋体" w:cs="宋体"/>
                <w:kern w:val="0"/>
                <w:sz w:val="21"/>
                <w:szCs w:val="21"/>
              </w:rPr>
            </w:pPr>
          </w:p>
        </w:tc>
        <w:tc>
          <w:tcPr>
            <w:tcW w:w="899" w:type="dxa"/>
            <w:noWrap w:val="0"/>
            <w:vAlign w:val="center"/>
          </w:tcPr>
          <w:p w14:paraId="3225C2CA">
            <w:pPr>
              <w:keepNext w:val="0"/>
              <w:keepLines w:val="0"/>
              <w:widowControl/>
              <w:suppressLineNumbers w:val="0"/>
              <w:jc w:val="right"/>
              <w:textAlignment w:val="center"/>
              <w:rPr>
                <w:rFonts w:hint="eastAsia" w:ascii="宋体" w:hAnsi="宋体" w:cs="宋体"/>
                <w:kern w:val="0"/>
                <w:sz w:val="21"/>
                <w:szCs w:val="21"/>
              </w:rPr>
            </w:pPr>
          </w:p>
        </w:tc>
        <w:tc>
          <w:tcPr>
            <w:tcW w:w="1079" w:type="dxa"/>
            <w:noWrap w:val="0"/>
            <w:vAlign w:val="center"/>
          </w:tcPr>
          <w:p w14:paraId="48929F53">
            <w:pPr>
              <w:widowControl/>
              <w:jc w:val="center"/>
              <w:rPr>
                <w:rFonts w:ascii="宋体" w:hAnsi="宋体" w:cs="宋体"/>
                <w:kern w:val="0"/>
                <w:szCs w:val="21"/>
              </w:rPr>
            </w:pPr>
          </w:p>
        </w:tc>
        <w:tc>
          <w:tcPr>
            <w:tcW w:w="1079" w:type="dxa"/>
            <w:noWrap w:val="0"/>
            <w:vAlign w:val="center"/>
          </w:tcPr>
          <w:p w14:paraId="0AEBB13A">
            <w:pPr>
              <w:widowControl/>
              <w:jc w:val="center"/>
              <w:rPr>
                <w:rFonts w:ascii="宋体" w:hAnsi="宋体" w:cs="宋体"/>
                <w:kern w:val="0"/>
                <w:szCs w:val="21"/>
              </w:rPr>
            </w:pPr>
          </w:p>
        </w:tc>
      </w:tr>
      <w:tr w14:paraId="01EC8E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523E0606">
            <w:pPr>
              <w:widowControl/>
              <w:jc w:val="center"/>
              <w:textAlignment w:val="center"/>
              <w:rPr>
                <w:rFonts w:hint="eastAsia" w:ascii="宋体" w:hAnsi="宋体" w:cs="宋体"/>
                <w:kern w:val="0"/>
                <w:szCs w:val="21"/>
              </w:rPr>
            </w:pPr>
          </w:p>
        </w:tc>
        <w:tc>
          <w:tcPr>
            <w:tcW w:w="4572" w:type="dxa"/>
            <w:noWrap w:val="0"/>
            <w:vAlign w:val="center"/>
          </w:tcPr>
          <w:p w14:paraId="72C41DEB">
            <w:pPr>
              <w:widowControl/>
              <w:jc w:val="left"/>
              <w:textAlignment w:val="center"/>
              <w:rPr>
                <w:rFonts w:hint="eastAsia" w:ascii="宋体" w:hAnsi="宋体" w:cs="宋体"/>
                <w:kern w:val="0"/>
                <w:szCs w:val="21"/>
              </w:rPr>
            </w:pPr>
          </w:p>
        </w:tc>
        <w:tc>
          <w:tcPr>
            <w:tcW w:w="899" w:type="dxa"/>
            <w:noWrap w:val="0"/>
            <w:vAlign w:val="center"/>
          </w:tcPr>
          <w:p w14:paraId="5D59E2F0">
            <w:pPr>
              <w:jc w:val="center"/>
              <w:rPr>
                <w:rFonts w:hint="eastAsia" w:ascii="宋体" w:hAnsi="宋体" w:cs="宋体"/>
                <w:kern w:val="0"/>
                <w:szCs w:val="21"/>
              </w:rPr>
            </w:pPr>
          </w:p>
        </w:tc>
        <w:tc>
          <w:tcPr>
            <w:tcW w:w="899" w:type="dxa"/>
            <w:noWrap w:val="0"/>
            <w:vAlign w:val="center"/>
          </w:tcPr>
          <w:p w14:paraId="692C7D20">
            <w:pPr>
              <w:jc w:val="right"/>
              <w:rPr>
                <w:rFonts w:hint="eastAsia" w:ascii="宋体" w:hAnsi="宋体" w:cs="宋体"/>
                <w:kern w:val="0"/>
                <w:szCs w:val="21"/>
              </w:rPr>
            </w:pPr>
          </w:p>
        </w:tc>
        <w:tc>
          <w:tcPr>
            <w:tcW w:w="1079" w:type="dxa"/>
            <w:noWrap w:val="0"/>
            <w:vAlign w:val="center"/>
          </w:tcPr>
          <w:p w14:paraId="66AA46F7">
            <w:pPr>
              <w:widowControl/>
              <w:jc w:val="center"/>
              <w:rPr>
                <w:rFonts w:ascii="宋体" w:hAnsi="宋体" w:cs="宋体"/>
                <w:kern w:val="0"/>
                <w:szCs w:val="21"/>
              </w:rPr>
            </w:pPr>
          </w:p>
        </w:tc>
        <w:tc>
          <w:tcPr>
            <w:tcW w:w="1079" w:type="dxa"/>
            <w:noWrap w:val="0"/>
            <w:vAlign w:val="center"/>
          </w:tcPr>
          <w:p w14:paraId="2C86359D">
            <w:pPr>
              <w:widowControl/>
              <w:jc w:val="center"/>
              <w:rPr>
                <w:rFonts w:ascii="宋体" w:hAnsi="宋体" w:cs="宋体"/>
                <w:kern w:val="0"/>
                <w:szCs w:val="21"/>
              </w:rPr>
            </w:pPr>
          </w:p>
        </w:tc>
      </w:tr>
      <w:tr w14:paraId="0EB75C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1A082F75">
            <w:pPr>
              <w:widowControl/>
              <w:jc w:val="center"/>
              <w:textAlignment w:val="center"/>
              <w:rPr>
                <w:rFonts w:hint="eastAsia" w:ascii="宋体" w:hAnsi="宋体" w:cs="宋体"/>
                <w:kern w:val="0"/>
                <w:szCs w:val="21"/>
              </w:rPr>
            </w:pPr>
          </w:p>
        </w:tc>
        <w:tc>
          <w:tcPr>
            <w:tcW w:w="4572" w:type="dxa"/>
            <w:noWrap w:val="0"/>
            <w:vAlign w:val="center"/>
          </w:tcPr>
          <w:p w14:paraId="31F8FC70">
            <w:pPr>
              <w:widowControl/>
              <w:jc w:val="left"/>
              <w:textAlignment w:val="center"/>
              <w:rPr>
                <w:rFonts w:hint="eastAsia" w:ascii="宋体" w:hAnsi="宋体" w:cs="宋体"/>
                <w:kern w:val="0"/>
                <w:szCs w:val="21"/>
              </w:rPr>
            </w:pPr>
          </w:p>
        </w:tc>
        <w:tc>
          <w:tcPr>
            <w:tcW w:w="899" w:type="dxa"/>
            <w:noWrap w:val="0"/>
            <w:vAlign w:val="center"/>
          </w:tcPr>
          <w:p w14:paraId="108130A9">
            <w:pPr>
              <w:jc w:val="center"/>
              <w:rPr>
                <w:rFonts w:hint="eastAsia" w:ascii="宋体" w:hAnsi="宋体" w:cs="宋体"/>
                <w:kern w:val="0"/>
                <w:szCs w:val="21"/>
              </w:rPr>
            </w:pPr>
          </w:p>
        </w:tc>
        <w:tc>
          <w:tcPr>
            <w:tcW w:w="899" w:type="dxa"/>
            <w:noWrap w:val="0"/>
            <w:vAlign w:val="center"/>
          </w:tcPr>
          <w:p w14:paraId="7EBA2E97">
            <w:pPr>
              <w:jc w:val="right"/>
              <w:rPr>
                <w:rFonts w:hint="eastAsia" w:ascii="宋体" w:hAnsi="宋体" w:cs="宋体"/>
                <w:kern w:val="0"/>
                <w:szCs w:val="21"/>
              </w:rPr>
            </w:pPr>
          </w:p>
        </w:tc>
        <w:tc>
          <w:tcPr>
            <w:tcW w:w="1079" w:type="dxa"/>
            <w:noWrap w:val="0"/>
            <w:vAlign w:val="center"/>
          </w:tcPr>
          <w:p w14:paraId="302B8830">
            <w:pPr>
              <w:widowControl/>
              <w:jc w:val="center"/>
              <w:rPr>
                <w:rFonts w:ascii="宋体" w:hAnsi="宋体" w:cs="宋体"/>
                <w:kern w:val="0"/>
                <w:szCs w:val="21"/>
              </w:rPr>
            </w:pPr>
          </w:p>
        </w:tc>
        <w:tc>
          <w:tcPr>
            <w:tcW w:w="1079" w:type="dxa"/>
            <w:noWrap w:val="0"/>
            <w:vAlign w:val="center"/>
          </w:tcPr>
          <w:p w14:paraId="1DCB37CA">
            <w:pPr>
              <w:widowControl/>
              <w:jc w:val="center"/>
              <w:rPr>
                <w:rFonts w:ascii="宋体" w:hAnsi="宋体" w:cs="宋体"/>
                <w:kern w:val="0"/>
                <w:szCs w:val="21"/>
              </w:rPr>
            </w:pPr>
          </w:p>
        </w:tc>
      </w:tr>
      <w:tr w14:paraId="1BAA2F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1B2BCCFA">
            <w:pPr>
              <w:widowControl/>
              <w:jc w:val="center"/>
              <w:textAlignment w:val="center"/>
              <w:rPr>
                <w:rFonts w:hint="eastAsia" w:ascii="宋体" w:hAnsi="宋体" w:cs="宋体"/>
                <w:kern w:val="0"/>
                <w:szCs w:val="21"/>
              </w:rPr>
            </w:pPr>
          </w:p>
        </w:tc>
        <w:tc>
          <w:tcPr>
            <w:tcW w:w="4572" w:type="dxa"/>
            <w:noWrap w:val="0"/>
            <w:vAlign w:val="center"/>
          </w:tcPr>
          <w:p w14:paraId="2BB80EE0">
            <w:pPr>
              <w:widowControl/>
              <w:jc w:val="left"/>
              <w:textAlignment w:val="center"/>
              <w:rPr>
                <w:rFonts w:hint="eastAsia" w:ascii="宋体" w:hAnsi="宋体" w:cs="宋体"/>
                <w:kern w:val="0"/>
                <w:szCs w:val="21"/>
              </w:rPr>
            </w:pPr>
          </w:p>
        </w:tc>
        <w:tc>
          <w:tcPr>
            <w:tcW w:w="899" w:type="dxa"/>
            <w:noWrap w:val="0"/>
            <w:vAlign w:val="center"/>
          </w:tcPr>
          <w:p w14:paraId="0B02F1E9">
            <w:pPr>
              <w:widowControl/>
              <w:jc w:val="center"/>
              <w:textAlignment w:val="center"/>
              <w:rPr>
                <w:rFonts w:hint="eastAsia" w:ascii="宋体" w:hAnsi="宋体" w:cs="宋体"/>
                <w:kern w:val="0"/>
                <w:szCs w:val="21"/>
              </w:rPr>
            </w:pPr>
          </w:p>
        </w:tc>
        <w:tc>
          <w:tcPr>
            <w:tcW w:w="899" w:type="dxa"/>
            <w:noWrap w:val="0"/>
            <w:vAlign w:val="center"/>
          </w:tcPr>
          <w:p w14:paraId="1F4F188C">
            <w:pPr>
              <w:widowControl/>
              <w:jc w:val="right"/>
              <w:textAlignment w:val="center"/>
              <w:rPr>
                <w:rFonts w:hint="eastAsia" w:ascii="宋体" w:hAnsi="宋体" w:cs="宋体"/>
                <w:kern w:val="0"/>
                <w:szCs w:val="21"/>
              </w:rPr>
            </w:pPr>
          </w:p>
        </w:tc>
        <w:tc>
          <w:tcPr>
            <w:tcW w:w="1079" w:type="dxa"/>
            <w:noWrap w:val="0"/>
            <w:vAlign w:val="center"/>
          </w:tcPr>
          <w:p w14:paraId="2B6CCAAA">
            <w:pPr>
              <w:widowControl/>
              <w:jc w:val="center"/>
              <w:rPr>
                <w:rFonts w:ascii="宋体" w:hAnsi="宋体" w:cs="宋体"/>
                <w:kern w:val="0"/>
                <w:szCs w:val="21"/>
              </w:rPr>
            </w:pPr>
          </w:p>
        </w:tc>
        <w:tc>
          <w:tcPr>
            <w:tcW w:w="1079" w:type="dxa"/>
            <w:noWrap w:val="0"/>
            <w:vAlign w:val="center"/>
          </w:tcPr>
          <w:p w14:paraId="09C4DBFA">
            <w:pPr>
              <w:widowControl/>
              <w:jc w:val="center"/>
              <w:rPr>
                <w:rFonts w:ascii="宋体" w:hAnsi="宋体" w:cs="宋体"/>
                <w:kern w:val="0"/>
                <w:szCs w:val="21"/>
              </w:rPr>
            </w:pPr>
          </w:p>
        </w:tc>
      </w:tr>
      <w:tr w14:paraId="39F4B4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5754B473">
            <w:pPr>
              <w:widowControl/>
              <w:jc w:val="center"/>
              <w:textAlignment w:val="center"/>
              <w:rPr>
                <w:rFonts w:hint="eastAsia" w:ascii="宋体" w:hAnsi="宋体" w:cs="宋体"/>
                <w:kern w:val="0"/>
                <w:szCs w:val="21"/>
              </w:rPr>
            </w:pPr>
          </w:p>
        </w:tc>
        <w:tc>
          <w:tcPr>
            <w:tcW w:w="4572" w:type="dxa"/>
            <w:noWrap w:val="0"/>
            <w:vAlign w:val="center"/>
          </w:tcPr>
          <w:p w14:paraId="64B9EA51">
            <w:pPr>
              <w:widowControl/>
              <w:jc w:val="left"/>
              <w:textAlignment w:val="center"/>
              <w:rPr>
                <w:rFonts w:hint="eastAsia" w:ascii="宋体" w:hAnsi="宋体" w:cs="宋体"/>
                <w:kern w:val="0"/>
                <w:szCs w:val="21"/>
              </w:rPr>
            </w:pPr>
          </w:p>
        </w:tc>
        <w:tc>
          <w:tcPr>
            <w:tcW w:w="899" w:type="dxa"/>
            <w:noWrap w:val="0"/>
            <w:vAlign w:val="center"/>
          </w:tcPr>
          <w:p w14:paraId="58818267">
            <w:pPr>
              <w:jc w:val="center"/>
              <w:rPr>
                <w:rFonts w:hint="eastAsia" w:ascii="宋体" w:hAnsi="宋体" w:cs="宋体"/>
                <w:kern w:val="0"/>
                <w:szCs w:val="21"/>
              </w:rPr>
            </w:pPr>
          </w:p>
        </w:tc>
        <w:tc>
          <w:tcPr>
            <w:tcW w:w="899" w:type="dxa"/>
            <w:noWrap w:val="0"/>
            <w:vAlign w:val="center"/>
          </w:tcPr>
          <w:p w14:paraId="3F7DCD3D">
            <w:pPr>
              <w:jc w:val="right"/>
              <w:rPr>
                <w:rFonts w:hint="eastAsia" w:ascii="宋体" w:hAnsi="宋体" w:cs="宋体"/>
                <w:kern w:val="0"/>
                <w:szCs w:val="21"/>
              </w:rPr>
            </w:pPr>
          </w:p>
        </w:tc>
        <w:tc>
          <w:tcPr>
            <w:tcW w:w="1079" w:type="dxa"/>
            <w:noWrap w:val="0"/>
            <w:vAlign w:val="center"/>
          </w:tcPr>
          <w:p w14:paraId="356092ED">
            <w:pPr>
              <w:widowControl/>
              <w:jc w:val="center"/>
              <w:rPr>
                <w:rFonts w:ascii="宋体" w:hAnsi="宋体" w:cs="宋体"/>
                <w:kern w:val="0"/>
                <w:szCs w:val="21"/>
              </w:rPr>
            </w:pPr>
          </w:p>
        </w:tc>
        <w:tc>
          <w:tcPr>
            <w:tcW w:w="1079" w:type="dxa"/>
            <w:noWrap w:val="0"/>
            <w:vAlign w:val="center"/>
          </w:tcPr>
          <w:p w14:paraId="048C09EC">
            <w:pPr>
              <w:widowControl/>
              <w:jc w:val="center"/>
              <w:rPr>
                <w:rFonts w:ascii="宋体" w:hAnsi="宋体" w:cs="宋体"/>
                <w:kern w:val="0"/>
                <w:szCs w:val="21"/>
              </w:rPr>
            </w:pPr>
          </w:p>
        </w:tc>
      </w:tr>
      <w:tr w14:paraId="3BEA8C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6F940F56">
            <w:pPr>
              <w:widowControl/>
              <w:jc w:val="center"/>
              <w:textAlignment w:val="center"/>
              <w:rPr>
                <w:rFonts w:hint="eastAsia" w:ascii="宋体" w:hAnsi="宋体" w:cs="宋体"/>
                <w:kern w:val="0"/>
                <w:szCs w:val="21"/>
              </w:rPr>
            </w:pPr>
          </w:p>
        </w:tc>
        <w:tc>
          <w:tcPr>
            <w:tcW w:w="4572" w:type="dxa"/>
            <w:noWrap w:val="0"/>
            <w:vAlign w:val="center"/>
          </w:tcPr>
          <w:p w14:paraId="5419C5EE">
            <w:pPr>
              <w:widowControl/>
              <w:jc w:val="left"/>
              <w:textAlignment w:val="center"/>
              <w:rPr>
                <w:rFonts w:hint="eastAsia" w:ascii="宋体" w:hAnsi="宋体" w:cs="宋体"/>
                <w:kern w:val="0"/>
                <w:szCs w:val="21"/>
              </w:rPr>
            </w:pPr>
          </w:p>
        </w:tc>
        <w:tc>
          <w:tcPr>
            <w:tcW w:w="899" w:type="dxa"/>
            <w:noWrap w:val="0"/>
            <w:vAlign w:val="center"/>
          </w:tcPr>
          <w:p w14:paraId="099F3E60">
            <w:pPr>
              <w:widowControl/>
              <w:jc w:val="center"/>
              <w:textAlignment w:val="center"/>
              <w:rPr>
                <w:rFonts w:hint="eastAsia" w:ascii="宋体" w:hAnsi="宋体" w:cs="宋体"/>
                <w:kern w:val="0"/>
                <w:szCs w:val="21"/>
              </w:rPr>
            </w:pPr>
          </w:p>
        </w:tc>
        <w:tc>
          <w:tcPr>
            <w:tcW w:w="899" w:type="dxa"/>
            <w:noWrap w:val="0"/>
            <w:vAlign w:val="center"/>
          </w:tcPr>
          <w:p w14:paraId="14F76689">
            <w:pPr>
              <w:widowControl/>
              <w:jc w:val="right"/>
              <w:textAlignment w:val="center"/>
              <w:rPr>
                <w:rFonts w:hint="eastAsia" w:ascii="宋体" w:hAnsi="宋体" w:cs="宋体"/>
                <w:kern w:val="0"/>
                <w:szCs w:val="21"/>
              </w:rPr>
            </w:pPr>
          </w:p>
        </w:tc>
        <w:tc>
          <w:tcPr>
            <w:tcW w:w="1079" w:type="dxa"/>
            <w:noWrap w:val="0"/>
            <w:vAlign w:val="center"/>
          </w:tcPr>
          <w:p w14:paraId="15D1B0B0">
            <w:pPr>
              <w:widowControl/>
              <w:jc w:val="center"/>
              <w:rPr>
                <w:rFonts w:ascii="宋体" w:hAnsi="宋体" w:cs="宋体"/>
                <w:kern w:val="0"/>
                <w:szCs w:val="21"/>
              </w:rPr>
            </w:pPr>
          </w:p>
        </w:tc>
        <w:tc>
          <w:tcPr>
            <w:tcW w:w="1079" w:type="dxa"/>
            <w:noWrap w:val="0"/>
            <w:vAlign w:val="center"/>
          </w:tcPr>
          <w:p w14:paraId="37117900">
            <w:pPr>
              <w:widowControl/>
              <w:jc w:val="center"/>
              <w:rPr>
                <w:rFonts w:ascii="宋体" w:hAnsi="宋体" w:cs="宋体"/>
                <w:kern w:val="0"/>
                <w:szCs w:val="21"/>
              </w:rPr>
            </w:pPr>
          </w:p>
        </w:tc>
      </w:tr>
      <w:tr w14:paraId="4D0207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456DFA91">
            <w:pPr>
              <w:widowControl/>
              <w:jc w:val="center"/>
              <w:textAlignment w:val="center"/>
              <w:rPr>
                <w:rFonts w:hint="eastAsia" w:ascii="宋体" w:hAnsi="宋体" w:cs="宋体"/>
                <w:kern w:val="0"/>
                <w:szCs w:val="21"/>
              </w:rPr>
            </w:pPr>
          </w:p>
        </w:tc>
        <w:tc>
          <w:tcPr>
            <w:tcW w:w="4572" w:type="dxa"/>
            <w:noWrap w:val="0"/>
            <w:vAlign w:val="center"/>
          </w:tcPr>
          <w:p w14:paraId="53B6F0B1">
            <w:pPr>
              <w:widowControl/>
              <w:jc w:val="left"/>
              <w:textAlignment w:val="center"/>
              <w:rPr>
                <w:rFonts w:hint="eastAsia" w:ascii="宋体" w:hAnsi="宋体" w:cs="宋体"/>
                <w:kern w:val="0"/>
                <w:szCs w:val="21"/>
              </w:rPr>
            </w:pPr>
          </w:p>
        </w:tc>
        <w:tc>
          <w:tcPr>
            <w:tcW w:w="899" w:type="dxa"/>
            <w:noWrap w:val="0"/>
            <w:vAlign w:val="center"/>
          </w:tcPr>
          <w:p w14:paraId="74CE458E">
            <w:pPr>
              <w:jc w:val="center"/>
              <w:rPr>
                <w:rFonts w:hint="eastAsia" w:ascii="宋体" w:hAnsi="宋体" w:cs="宋体"/>
                <w:kern w:val="0"/>
                <w:szCs w:val="21"/>
              </w:rPr>
            </w:pPr>
          </w:p>
        </w:tc>
        <w:tc>
          <w:tcPr>
            <w:tcW w:w="899" w:type="dxa"/>
            <w:noWrap w:val="0"/>
            <w:vAlign w:val="center"/>
          </w:tcPr>
          <w:p w14:paraId="0CB95704">
            <w:pPr>
              <w:jc w:val="right"/>
              <w:rPr>
                <w:rFonts w:hint="eastAsia" w:ascii="宋体" w:hAnsi="宋体" w:cs="宋体"/>
                <w:kern w:val="0"/>
                <w:szCs w:val="21"/>
              </w:rPr>
            </w:pPr>
          </w:p>
        </w:tc>
        <w:tc>
          <w:tcPr>
            <w:tcW w:w="1079" w:type="dxa"/>
            <w:noWrap w:val="0"/>
            <w:vAlign w:val="center"/>
          </w:tcPr>
          <w:p w14:paraId="72CE284E">
            <w:pPr>
              <w:widowControl/>
              <w:jc w:val="center"/>
              <w:rPr>
                <w:rFonts w:ascii="宋体" w:hAnsi="宋体" w:cs="宋体"/>
                <w:kern w:val="0"/>
                <w:szCs w:val="21"/>
              </w:rPr>
            </w:pPr>
          </w:p>
        </w:tc>
        <w:tc>
          <w:tcPr>
            <w:tcW w:w="1079" w:type="dxa"/>
            <w:noWrap w:val="0"/>
            <w:vAlign w:val="center"/>
          </w:tcPr>
          <w:p w14:paraId="1BF947FC">
            <w:pPr>
              <w:widowControl/>
              <w:jc w:val="center"/>
              <w:rPr>
                <w:rFonts w:ascii="宋体" w:hAnsi="宋体" w:cs="宋体"/>
                <w:kern w:val="0"/>
                <w:szCs w:val="21"/>
              </w:rPr>
            </w:pPr>
          </w:p>
        </w:tc>
      </w:tr>
      <w:tr w14:paraId="445039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7ABB744C">
            <w:pPr>
              <w:widowControl/>
              <w:jc w:val="center"/>
              <w:textAlignment w:val="center"/>
              <w:rPr>
                <w:rFonts w:hint="eastAsia" w:ascii="宋体" w:hAnsi="宋体" w:cs="宋体"/>
                <w:kern w:val="0"/>
                <w:szCs w:val="21"/>
              </w:rPr>
            </w:pPr>
          </w:p>
        </w:tc>
        <w:tc>
          <w:tcPr>
            <w:tcW w:w="4572" w:type="dxa"/>
            <w:noWrap w:val="0"/>
            <w:vAlign w:val="center"/>
          </w:tcPr>
          <w:p w14:paraId="61114B74">
            <w:pPr>
              <w:widowControl/>
              <w:jc w:val="left"/>
              <w:textAlignment w:val="center"/>
              <w:rPr>
                <w:rFonts w:hint="eastAsia" w:ascii="宋体" w:hAnsi="宋体" w:cs="宋体"/>
                <w:kern w:val="0"/>
                <w:szCs w:val="21"/>
              </w:rPr>
            </w:pPr>
          </w:p>
        </w:tc>
        <w:tc>
          <w:tcPr>
            <w:tcW w:w="899" w:type="dxa"/>
            <w:noWrap w:val="0"/>
            <w:vAlign w:val="center"/>
          </w:tcPr>
          <w:p w14:paraId="2E3E83A9">
            <w:pPr>
              <w:widowControl/>
              <w:jc w:val="center"/>
              <w:textAlignment w:val="center"/>
              <w:rPr>
                <w:rFonts w:hint="eastAsia" w:ascii="宋体" w:hAnsi="宋体" w:cs="宋体"/>
                <w:kern w:val="0"/>
                <w:szCs w:val="21"/>
              </w:rPr>
            </w:pPr>
          </w:p>
        </w:tc>
        <w:tc>
          <w:tcPr>
            <w:tcW w:w="899" w:type="dxa"/>
            <w:noWrap w:val="0"/>
            <w:vAlign w:val="center"/>
          </w:tcPr>
          <w:p w14:paraId="24D0449D">
            <w:pPr>
              <w:widowControl/>
              <w:jc w:val="right"/>
              <w:textAlignment w:val="center"/>
              <w:rPr>
                <w:rFonts w:hint="eastAsia" w:ascii="宋体" w:hAnsi="宋体" w:cs="宋体"/>
                <w:kern w:val="0"/>
                <w:szCs w:val="21"/>
              </w:rPr>
            </w:pPr>
          </w:p>
        </w:tc>
        <w:tc>
          <w:tcPr>
            <w:tcW w:w="1079" w:type="dxa"/>
            <w:noWrap w:val="0"/>
            <w:vAlign w:val="center"/>
          </w:tcPr>
          <w:p w14:paraId="0BB9A4C9">
            <w:pPr>
              <w:widowControl/>
              <w:jc w:val="center"/>
              <w:rPr>
                <w:rFonts w:ascii="宋体" w:hAnsi="宋体" w:cs="宋体"/>
                <w:kern w:val="0"/>
                <w:szCs w:val="21"/>
              </w:rPr>
            </w:pPr>
          </w:p>
        </w:tc>
        <w:tc>
          <w:tcPr>
            <w:tcW w:w="1079" w:type="dxa"/>
            <w:noWrap w:val="0"/>
            <w:vAlign w:val="center"/>
          </w:tcPr>
          <w:p w14:paraId="2A3D0A4B">
            <w:pPr>
              <w:widowControl/>
              <w:jc w:val="center"/>
              <w:rPr>
                <w:rFonts w:ascii="宋体" w:hAnsi="宋体" w:cs="宋体"/>
                <w:kern w:val="0"/>
                <w:szCs w:val="21"/>
              </w:rPr>
            </w:pPr>
          </w:p>
        </w:tc>
      </w:tr>
      <w:tr w14:paraId="0A605F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68" w:type="dxa"/>
            <w:gridSpan w:val="6"/>
            <w:noWrap w:val="0"/>
            <w:vAlign w:val="center"/>
          </w:tcPr>
          <w:p w14:paraId="1D57A1FD">
            <w:pPr>
              <w:widowControl/>
              <w:jc w:val="center"/>
              <w:rPr>
                <w:rFonts w:ascii="宋体" w:hAnsi="宋体" w:cs="宋体"/>
                <w:b/>
                <w:kern w:val="0"/>
                <w:szCs w:val="21"/>
              </w:rPr>
            </w:pPr>
            <w:r>
              <w:rPr>
                <w:rFonts w:hint="eastAsia" w:ascii="宋体" w:hAnsi="宋体" w:cs="宋体"/>
                <w:b/>
                <w:kern w:val="0"/>
                <w:szCs w:val="21"/>
              </w:rPr>
              <w:t>清单300章合计   人民币</w:t>
            </w:r>
            <w:r>
              <w:rPr>
                <w:rFonts w:hint="eastAsia" w:ascii="宋体" w:hAnsi="宋体" w:cs="宋体"/>
                <w:b/>
                <w:kern w:val="0"/>
                <w:szCs w:val="21"/>
                <w:u w:val="single"/>
              </w:rPr>
              <w:t xml:space="preserve">       </w:t>
            </w:r>
            <w:r>
              <w:rPr>
                <w:rFonts w:hint="eastAsia" w:ascii="宋体" w:hAnsi="宋体" w:cs="宋体"/>
                <w:b/>
                <w:kern w:val="0"/>
                <w:szCs w:val="21"/>
              </w:rPr>
              <w:t>元</w:t>
            </w:r>
          </w:p>
        </w:tc>
      </w:tr>
      <w:bookmarkEnd w:id="73"/>
      <w:bookmarkEnd w:id="74"/>
      <w:bookmarkEnd w:id="75"/>
      <w:bookmarkEnd w:id="76"/>
      <w:bookmarkEnd w:id="77"/>
      <w:bookmarkEnd w:id="78"/>
      <w:bookmarkEnd w:id="79"/>
    </w:tbl>
    <w:p w14:paraId="611C6B17">
      <w:pPr>
        <w:spacing w:before="240" w:beforeLines="100" w:after="240" w:afterLines="100"/>
        <w:jc w:val="center"/>
        <w:rPr>
          <w:rFonts w:hint="eastAsia" w:ascii="黑体" w:hAnsi="宋体" w:eastAsia="黑体"/>
          <w:sz w:val="30"/>
          <w:szCs w:val="30"/>
        </w:rPr>
      </w:pPr>
    </w:p>
    <w:p w14:paraId="0BDF2478">
      <w:pPr>
        <w:spacing w:before="240" w:beforeLines="100" w:after="240" w:afterLines="100"/>
        <w:jc w:val="center"/>
        <w:rPr>
          <w:rFonts w:hint="eastAsia" w:ascii="黑体" w:hAnsi="宋体" w:eastAsia="黑体"/>
          <w:sz w:val="30"/>
          <w:szCs w:val="30"/>
        </w:rPr>
      </w:pPr>
      <w:r>
        <w:rPr>
          <w:rFonts w:hint="eastAsia" w:ascii="黑体" w:hAnsi="宋体" w:eastAsia="黑体"/>
          <w:sz w:val="30"/>
          <w:szCs w:val="30"/>
        </w:rPr>
        <w:t>工程量清单</w:t>
      </w:r>
    </w:p>
    <w:p w14:paraId="335566EC">
      <w:pPr>
        <w:pStyle w:val="50"/>
        <w:ind w:left="0" w:leftChars="0" w:firstLine="0" w:firstLine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标项</w:t>
      </w: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w:t>
      </w:r>
      <w:r>
        <w:rPr>
          <w:rFonts w:hint="eastAsia" w:asciiTheme="minorEastAsia" w:hAnsiTheme="minorEastAsia" w:cstheme="minorEastAsia"/>
          <w:sz w:val="24"/>
          <w:szCs w:val="24"/>
          <w:lang w:eastAsia="zh-CN"/>
        </w:rPr>
        <w:t>2026年秀洲区县道及以上公路小修及应急抢险项目</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第一</w:t>
      </w:r>
      <w:r>
        <w:rPr>
          <w:rFonts w:hint="eastAsia" w:asciiTheme="minorEastAsia" w:hAnsiTheme="minorEastAsia" w:eastAsiaTheme="minorEastAsia" w:cstheme="minorEastAsia"/>
          <w:sz w:val="24"/>
          <w:szCs w:val="24"/>
          <w:lang w:eastAsia="zh-CN"/>
        </w:rPr>
        <w:t>标段）</w:t>
      </w:r>
    </w:p>
    <w:p w14:paraId="3988F2EE">
      <w:pPr>
        <w:pStyle w:val="50"/>
        <w:ind w:left="0" w:leftChars="0" w:firstLine="0" w:firstLineChars="0"/>
        <w:rPr>
          <w:rFonts w:hint="eastAsia" w:ascii="黑体" w:hAnsi="宋体" w:eastAsia="黑体"/>
          <w:sz w:val="30"/>
          <w:szCs w:val="30"/>
        </w:rPr>
      </w:pPr>
      <w:r>
        <w:rPr>
          <w:rFonts w:hint="eastAsia" w:asciiTheme="minorEastAsia" w:hAnsiTheme="minorEastAsia" w:eastAsiaTheme="minorEastAsia" w:cstheme="minorEastAsia"/>
          <w:sz w:val="24"/>
          <w:szCs w:val="24"/>
        </w:rPr>
        <w:t>货币单位：人民币元</w:t>
      </w:r>
    </w:p>
    <w:p w14:paraId="1C75C865">
      <w:pPr>
        <w:tabs>
          <w:tab w:val="left" w:pos="3885"/>
        </w:tabs>
        <w:rPr>
          <w:rFonts w:hint="eastAsia"/>
        </w:rPr>
      </w:pPr>
      <w:r>
        <w:tab/>
      </w:r>
    </w:p>
    <w:tbl>
      <w:tblPr>
        <w:tblStyle w:val="51"/>
        <w:tblW w:w="946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40"/>
        <w:gridCol w:w="4572"/>
        <w:gridCol w:w="899"/>
        <w:gridCol w:w="899"/>
        <w:gridCol w:w="1079"/>
        <w:gridCol w:w="1079"/>
      </w:tblGrid>
      <w:tr w14:paraId="4A4838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68" w:type="dxa"/>
            <w:gridSpan w:val="6"/>
            <w:noWrap w:val="0"/>
            <w:vAlign w:val="center"/>
          </w:tcPr>
          <w:p w14:paraId="294FD386">
            <w:pPr>
              <w:ind w:firstLine="103" w:firstLineChars="49"/>
              <w:jc w:val="center"/>
              <w:rPr>
                <w:rFonts w:ascii="宋体" w:hAnsi="宋体"/>
                <w:b/>
                <w:bCs/>
              </w:rPr>
            </w:pPr>
            <w:r>
              <w:rPr>
                <w:rFonts w:hint="eastAsia" w:ascii="宋体" w:hAnsi="宋体"/>
                <w:b/>
                <w:bCs/>
              </w:rPr>
              <w:t>清单      第</w:t>
            </w:r>
            <w:r>
              <w:rPr>
                <w:rFonts w:hint="eastAsia" w:ascii="宋体" w:hAnsi="宋体"/>
                <w:b/>
                <w:bCs/>
                <w:lang w:val="en-US" w:eastAsia="zh-CN"/>
              </w:rPr>
              <w:t>4</w:t>
            </w:r>
            <w:r>
              <w:rPr>
                <w:rFonts w:hint="eastAsia" w:ascii="宋体" w:hAnsi="宋体"/>
                <w:b/>
                <w:bCs/>
              </w:rPr>
              <w:t>00章      桥梁与涵洞</w:t>
            </w:r>
          </w:p>
        </w:tc>
      </w:tr>
      <w:tr w14:paraId="3DE31E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2799197D">
            <w:pPr>
              <w:widowControl/>
              <w:jc w:val="left"/>
              <w:rPr>
                <w:rFonts w:ascii="宋体" w:hAnsi="宋体" w:cs="宋体"/>
                <w:kern w:val="0"/>
                <w:szCs w:val="21"/>
              </w:rPr>
            </w:pPr>
            <w:r>
              <w:rPr>
                <w:rFonts w:hint="eastAsia" w:ascii="宋体" w:hAnsi="宋体" w:cs="宋体"/>
                <w:kern w:val="0"/>
                <w:szCs w:val="21"/>
              </w:rPr>
              <w:t>子目号</w:t>
            </w:r>
          </w:p>
        </w:tc>
        <w:tc>
          <w:tcPr>
            <w:tcW w:w="4572" w:type="dxa"/>
            <w:noWrap w:val="0"/>
            <w:vAlign w:val="center"/>
          </w:tcPr>
          <w:p w14:paraId="59F75A17">
            <w:pPr>
              <w:widowControl/>
              <w:jc w:val="center"/>
              <w:rPr>
                <w:rFonts w:ascii="宋体" w:hAnsi="宋体" w:cs="宋体"/>
                <w:kern w:val="0"/>
                <w:szCs w:val="21"/>
              </w:rPr>
            </w:pPr>
            <w:r>
              <w:rPr>
                <w:rFonts w:hint="eastAsia" w:ascii="宋体" w:hAnsi="宋体" w:cs="宋体"/>
                <w:kern w:val="0"/>
                <w:szCs w:val="21"/>
              </w:rPr>
              <w:t>子  目  名  称</w:t>
            </w:r>
          </w:p>
        </w:tc>
        <w:tc>
          <w:tcPr>
            <w:tcW w:w="899" w:type="dxa"/>
            <w:noWrap w:val="0"/>
            <w:vAlign w:val="center"/>
          </w:tcPr>
          <w:p w14:paraId="572ECD58">
            <w:pPr>
              <w:widowControl/>
              <w:jc w:val="center"/>
              <w:rPr>
                <w:rFonts w:ascii="宋体" w:hAnsi="宋体" w:cs="宋体"/>
                <w:kern w:val="0"/>
                <w:szCs w:val="21"/>
              </w:rPr>
            </w:pPr>
            <w:r>
              <w:rPr>
                <w:rFonts w:hint="eastAsia" w:ascii="宋体" w:hAnsi="宋体" w:cs="宋体"/>
                <w:kern w:val="0"/>
                <w:szCs w:val="21"/>
              </w:rPr>
              <w:t>单位</w:t>
            </w:r>
          </w:p>
        </w:tc>
        <w:tc>
          <w:tcPr>
            <w:tcW w:w="899" w:type="dxa"/>
            <w:noWrap w:val="0"/>
            <w:vAlign w:val="center"/>
          </w:tcPr>
          <w:p w14:paraId="507EA551">
            <w:pPr>
              <w:widowControl/>
              <w:jc w:val="center"/>
              <w:rPr>
                <w:rFonts w:ascii="宋体" w:hAnsi="宋体" w:cs="宋体"/>
                <w:kern w:val="0"/>
                <w:szCs w:val="21"/>
              </w:rPr>
            </w:pPr>
            <w:r>
              <w:rPr>
                <w:rFonts w:hint="eastAsia" w:ascii="宋体" w:hAnsi="宋体" w:cs="宋体"/>
                <w:kern w:val="0"/>
                <w:szCs w:val="21"/>
              </w:rPr>
              <w:t>数量</w:t>
            </w:r>
          </w:p>
        </w:tc>
        <w:tc>
          <w:tcPr>
            <w:tcW w:w="1079" w:type="dxa"/>
            <w:noWrap w:val="0"/>
            <w:vAlign w:val="center"/>
          </w:tcPr>
          <w:p w14:paraId="6C03307A">
            <w:pPr>
              <w:widowControl/>
              <w:jc w:val="center"/>
              <w:rPr>
                <w:rFonts w:ascii="宋体" w:hAnsi="宋体" w:cs="宋体"/>
                <w:kern w:val="0"/>
                <w:szCs w:val="21"/>
              </w:rPr>
            </w:pPr>
            <w:r>
              <w:rPr>
                <w:rFonts w:hint="eastAsia" w:ascii="宋体" w:hAnsi="宋体" w:cs="宋体"/>
                <w:kern w:val="0"/>
                <w:szCs w:val="21"/>
              </w:rPr>
              <w:t>单价</w:t>
            </w:r>
          </w:p>
        </w:tc>
        <w:tc>
          <w:tcPr>
            <w:tcW w:w="1079" w:type="dxa"/>
            <w:noWrap w:val="0"/>
            <w:vAlign w:val="center"/>
          </w:tcPr>
          <w:p w14:paraId="1842E813">
            <w:pPr>
              <w:widowControl/>
              <w:jc w:val="center"/>
              <w:rPr>
                <w:rFonts w:ascii="宋体" w:hAnsi="宋体" w:cs="宋体"/>
                <w:kern w:val="0"/>
                <w:szCs w:val="21"/>
              </w:rPr>
            </w:pPr>
            <w:r>
              <w:rPr>
                <w:rFonts w:hint="eastAsia" w:ascii="宋体" w:hAnsi="宋体" w:cs="宋体"/>
                <w:kern w:val="0"/>
                <w:szCs w:val="21"/>
              </w:rPr>
              <w:t>合价</w:t>
            </w:r>
          </w:p>
        </w:tc>
      </w:tr>
      <w:tr w14:paraId="2CAFA7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48BAF92C">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404</w:t>
            </w:r>
          </w:p>
        </w:tc>
        <w:tc>
          <w:tcPr>
            <w:tcW w:w="4572" w:type="dxa"/>
            <w:noWrap w:val="0"/>
            <w:vAlign w:val="center"/>
          </w:tcPr>
          <w:p w14:paraId="716B50B5">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涵洞</w:t>
            </w:r>
          </w:p>
        </w:tc>
        <w:tc>
          <w:tcPr>
            <w:tcW w:w="899" w:type="dxa"/>
            <w:noWrap w:val="0"/>
            <w:vAlign w:val="center"/>
          </w:tcPr>
          <w:p w14:paraId="007F6A0F">
            <w:pPr>
              <w:jc w:val="center"/>
              <w:rPr>
                <w:rFonts w:hint="eastAsia" w:ascii="宋体" w:hAnsi="宋体" w:cs="宋体"/>
                <w:kern w:val="0"/>
                <w:sz w:val="21"/>
                <w:szCs w:val="21"/>
              </w:rPr>
            </w:pPr>
          </w:p>
        </w:tc>
        <w:tc>
          <w:tcPr>
            <w:tcW w:w="899" w:type="dxa"/>
            <w:noWrap w:val="0"/>
            <w:vAlign w:val="center"/>
          </w:tcPr>
          <w:p w14:paraId="4E06E0EA">
            <w:pPr>
              <w:jc w:val="right"/>
              <w:rPr>
                <w:rFonts w:hint="eastAsia" w:ascii="宋体" w:hAnsi="宋体" w:cs="宋体"/>
                <w:kern w:val="0"/>
                <w:sz w:val="21"/>
                <w:szCs w:val="21"/>
              </w:rPr>
            </w:pPr>
          </w:p>
        </w:tc>
        <w:tc>
          <w:tcPr>
            <w:tcW w:w="1079" w:type="dxa"/>
            <w:noWrap w:val="0"/>
            <w:vAlign w:val="center"/>
          </w:tcPr>
          <w:p w14:paraId="37B4B01D">
            <w:pPr>
              <w:widowControl/>
              <w:jc w:val="center"/>
              <w:rPr>
                <w:rFonts w:hint="eastAsia" w:ascii="宋体" w:hAnsi="宋体" w:cs="宋体"/>
                <w:kern w:val="0"/>
                <w:szCs w:val="21"/>
              </w:rPr>
            </w:pPr>
          </w:p>
        </w:tc>
        <w:tc>
          <w:tcPr>
            <w:tcW w:w="1079" w:type="dxa"/>
            <w:noWrap w:val="0"/>
            <w:vAlign w:val="center"/>
          </w:tcPr>
          <w:p w14:paraId="66705E9A">
            <w:pPr>
              <w:widowControl/>
              <w:jc w:val="center"/>
              <w:rPr>
                <w:rFonts w:hint="eastAsia" w:ascii="宋体" w:hAnsi="宋体" w:cs="宋体"/>
                <w:kern w:val="0"/>
                <w:szCs w:val="21"/>
              </w:rPr>
            </w:pPr>
          </w:p>
        </w:tc>
      </w:tr>
      <w:tr w14:paraId="29FBD8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29B63DB1">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404-1</w:t>
            </w:r>
          </w:p>
        </w:tc>
        <w:tc>
          <w:tcPr>
            <w:tcW w:w="4572" w:type="dxa"/>
            <w:noWrap w:val="0"/>
            <w:vAlign w:val="center"/>
          </w:tcPr>
          <w:p w14:paraId="5AC5449A">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圆管涵维修</w:t>
            </w:r>
          </w:p>
        </w:tc>
        <w:tc>
          <w:tcPr>
            <w:tcW w:w="899" w:type="dxa"/>
            <w:noWrap w:val="0"/>
            <w:vAlign w:val="center"/>
          </w:tcPr>
          <w:p w14:paraId="3C25ACA7">
            <w:pPr>
              <w:jc w:val="center"/>
              <w:rPr>
                <w:rFonts w:hint="eastAsia" w:ascii="宋体" w:hAnsi="宋体" w:cs="宋体"/>
                <w:kern w:val="0"/>
                <w:sz w:val="21"/>
                <w:szCs w:val="21"/>
              </w:rPr>
            </w:pPr>
          </w:p>
        </w:tc>
        <w:tc>
          <w:tcPr>
            <w:tcW w:w="899" w:type="dxa"/>
            <w:noWrap w:val="0"/>
            <w:vAlign w:val="center"/>
          </w:tcPr>
          <w:p w14:paraId="07549581">
            <w:pPr>
              <w:jc w:val="right"/>
              <w:rPr>
                <w:rFonts w:hint="eastAsia" w:ascii="宋体" w:hAnsi="宋体" w:cs="宋体"/>
                <w:kern w:val="0"/>
                <w:sz w:val="21"/>
                <w:szCs w:val="21"/>
              </w:rPr>
            </w:pPr>
          </w:p>
        </w:tc>
        <w:tc>
          <w:tcPr>
            <w:tcW w:w="1079" w:type="dxa"/>
            <w:noWrap w:val="0"/>
            <w:vAlign w:val="center"/>
          </w:tcPr>
          <w:p w14:paraId="3DFC64F1">
            <w:pPr>
              <w:widowControl/>
              <w:jc w:val="center"/>
              <w:rPr>
                <w:rFonts w:hint="eastAsia" w:ascii="宋体" w:hAnsi="宋体" w:cs="宋体"/>
                <w:kern w:val="0"/>
                <w:szCs w:val="21"/>
              </w:rPr>
            </w:pPr>
          </w:p>
        </w:tc>
        <w:tc>
          <w:tcPr>
            <w:tcW w:w="1079" w:type="dxa"/>
            <w:noWrap w:val="0"/>
            <w:vAlign w:val="center"/>
          </w:tcPr>
          <w:p w14:paraId="55F329B1">
            <w:pPr>
              <w:widowControl/>
              <w:jc w:val="center"/>
              <w:rPr>
                <w:rFonts w:hint="eastAsia" w:ascii="宋体" w:hAnsi="宋体" w:cs="宋体"/>
                <w:kern w:val="0"/>
                <w:szCs w:val="21"/>
              </w:rPr>
            </w:pPr>
          </w:p>
        </w:tc>
      </w:tr>
      <w:tr w14:paraId="12AC62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17DC502C">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-a</w:t>
            </w:r>
          </w:p>
        </w:tc>
        <w:tc>
          <w:tcPr>
            <w:tcW w:w="4572" w:type="dxa"/>
            <w:noWrap w:val="0"/>
            <w:vAlign w:val="center"/>
          </w:tcPr>
          <w:p w14:paraId="4EB74F28">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φ600mm圆管涵</w:t>
            </w:r>
          </w:p>
        </w:tc>
        <w:tc>
          <w:tcPr>
            <w:tcW w:w="899" w:type="dxa"/>
            <w:noWrap w:val="0"/>
            <w:vAlign w:val="center"/>
          </w:tcPr>
          <w:p w14:paraId="1F76F820">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m</w:t>
            </w:r>
          </w:p>
        </w:tc>
        <w:tc>
          <w:tcPr>
            <w:tcW w:w="899" w:type="dxa"/>
            <w:noWrap w:val="0"/>
            <w:vAlign w:val="center"/>
          </w:tcPr>
          <w:p w14:paraId="0387502E">
            <w:pPr>
              <w:keepNext w:val="0"/>
              <w:keepLines w:val="0"/>
              <w:widowControl/>
              <w:suppressLineNumbers w:val="0"/>
              <w:jc w:val="right"/>
              <w:textAlignment w:val="center"/>
              <w:rPr>
                <w:rFonts w:hint="eastAsia" w:ascii="宋体" w:hAnsi="宋体" w:cs="宋体"/>
                <w:kern w:val="0"/>
                <w:sz w:val="21"/>
                <w:szCs w:val="21"/>
              </w:rPr>
            </w:pPr>
            <w:r>
              <w:rPr>
                <w:rFonts w:hint="default" w:ascii="Arial Narrow" w:hAnsi="Arial Narrow" w:eastAsia="Arial Narrow" w:cs="Arial Narrow"/>
                <w:i w:val="0"/>
                <w:iCs w:val="0"/>
                <w:color w:val="000000"/>
                <w:kern w:val="0"/>
                <w:sz w:val="21"/>
                <w:szCs w:val="21"/>
                <w:u w:val="none"/>
                <w:lang w:val="en-US" w:eastAsia="zh-CN" w:bidi="ar"/>
              </w:rPr>
              <w:t>20</w:t>
            </w:r>
          </w:p>
        </w:tc>
        <w:tc>
          <w:tcPr>
            <w:tcW w:w="1079" w:type="dxa"/>
            <w:noWrap w:val="0"/>
            <w:vAlign w:val="center"/>
          </w:tcPr>
          <w:p w14:paraId="33999500">
            <w:pPr>
              <w:widowControl/>
              <w:jc w:val="center"/>
              <w:rPr>
                <w:rFonts w:hint="eastAsia" w:ascii="宋体" w:hAnsi="宋体" w:cs="宋体"/>
                <w:kern w:val="0"/>
                <w:szCs w:val="21"/>
              </w:rPr>
            </w:pPr>
          </w:p>
        </w:tc>
        <w:tc>
          <w:tcPr>
            <w:tcW w:w="1079" w:type="dxa"/>
            <w:noWrap w:val="0"/>
            <w:vAlign w:val="center"/>
          </w:tcPr>
          <w:p w14:paraId="66043F76">
            <w:pPr>
              <w:widowControl/>
              <w:jc w:val="center"/>
              <w:rPr>
                <w:rFonts w:hint="eastAsia" w:ascii="宋体" w:hAnsi="宋体" w:cs="宋体"/>
                <w:kern w:val="0"/>
                <w:szCs w:val="21"/>
              </w:rPr>
            </w:pPr>
          </w:p>
        </w:tc>
      </w:tr>
      <w:tr w14:paraId="4A7C9E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139B091F">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-b</w:t>
            </w:r>
          </w:p>
        </w:tc>
        <w:tc>
          <w:tcPr>
            <w:tcW w:w="4572" w:type="dxa"/>
            <w:noWrap w:val="0"/>
            <w:vAlign w:val="center"/>
          </w:tcPr>
          <w:p w14:paraId="4363AD88">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φ1000mm圆管涵</w:t>
            </w:r>
          </w:p>
        </w:tc>
        <w:tc>
          <w:tcPr>
            <w:tcW w:w="899" w:type="dxa"/>
            <w:noWrap w:val="0"/>
            <w:vAlign w:val="center"/>
          </w:tcPr>
          <w:p w14:paraId="0379138C">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m</w:t>
            </w:r>
          </w:p>
        </w:tc>
        <w:tc>
          <w:tcPr>
            <w:tcW w:w="899" w:type="dxa"/>
            <w:noWrap w:val="0"/>
            <w:vAlign w:val="center"/>
          </w:tcPr>
          <w:p w14:paraId="3B5A074D">
            <w:pPr>
              <w:keepNext w:val="0"/>
              <w:keepLines w:val="0"/>
              <w:widowControl/>
              <w:suppressLineNumbers w:val="0"/>
              <w:jc w:val="right"/>
              <w:textAlignment w:val="center"/>
              <w:rPr>
                <w:rFonts w:hint="eastAsia" w:ascii="宋体" w:hAnsi="宋体" w:cs="宋体"/>
                <w:kern w:val="0"/>
                <w:sz w:val="21"/>
                <w:szCs w:val="21"/>
              </w:rPr>
            </w:pPr>
            <w:r>
              <w:rPr>
                <w:rFonts w:hint="default" w:ascii="Arial Narrow" w:hAnsi="Arial Narrow" w:eastAsia="Arial Narrow" w:cs="Arial Narrow"/>
                <w:i w:val="0"/>
                <w:iCs w:val="0"/>
                <w:color w:val="000000"/>
                <w:kern w:val="0"/>
                <w:sz w:val="21"/>
                <w:szCs w:val="21"/>
                <w:u w:val="none"/>
                <w:lang w:val="en-US" w:eastAsia="zh-CN" w:bidi="ar"/>
              </w:rPr>
              <w:t>20</w:t>
            </w:r>
          </w:p>
        </w:tc>
        <w:tc>
          <w:tcPr>
            <w:tcW w:w="1079" w:type="dxa"/>
            <w:noWrap w:val="0"/>
            <w:vAlign w:val="center"/>
          </w:tcPr>
          <w:p w14:paraId="48BCD00C">
            <w:pPr>
              <w:widowControl/>
              <w:jc w:val="center"/>
              <w:rPr>
                <w:rFonts w:hint="eastAsia" w:ascii="宋体" w:hAnsi="宋体" w:cs="宋体"/>
                <w:kern w:val="0"/>
                <w:szCs w:val="21"/>
              </w:rPr>
            </w:pPr>
          </w:p>
        </w:tc>
        <w:tc>
          <w:tcPr>
            <w:tcW w:w="1079" w:type="dxa"/>
            <w:noWrap w:val="0"/>
            <w:vAlign w:val="center"/>
          </w:tcPr>
          <w:p w14:paraId="04B9F239">
            <w:pPr>
              <w:widowControl/>
              <w:jc w:val="center"/>
              <w:rPr>
                <w:rFonts w:hint="eastAsia" w:ascii="宋体" w:hAnsi="宋体" w:cs="宋体"/>
                <w:kern w:val="0"/>
                <w:szCs w:val="21"/>
              </w:rPr>
            </w:pPr>
          </w:p>
        </w:tc>
      </w:tr>
      <w:tr w14:paraId="112238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7A716B88">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-c</w:t>
            </w:r>
          </w:p>
        </w:tc>
        <w:tc>
          <w:tcPr>
            <w:tcW w:w="4572" w:type="dxa"/>
            <w:noWrap w:val="0"/>
            <w:vAlign w:val="center"/>
          </w:tcPr>
          <w:p w14:paraId="262BF8F1">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φ1200mm圆管涵</w:t>
            </w:r>
          </w:p>
        </w:tc>
        <w:tc>
          <w:tcPr>
            <w:tcW w:w="899" w:type="dxa"/>
            <w:noWrap w:val="0"/>
            <w:vAlign w:val="center"/>
          </w:tcPr>
          <w:p w14:paraId="4888A793">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m</w:t>
            </w:r>
          </w:p>
        </w:tc>
        <w:tc>
          <w:tcPr>
            <w:tcW w:w="899" w:type="dxa"/>
            <w:noWrap w:val="0"/>
            <w:vAlign w:val="center"/>
          </w:tcPr>
          <w:p w14:paraId="2816A902">
            <w:pPr>
              <w:keepNext w:val="0"/>
              <w:keepLines w:val="0"/>
              <w:widowControl/>
              <w:suppressLineNumbers w:val="0"/>
              <w:jc w:val="right"/>
              <w:textAlignment w:val="center"/>
              <w:rPr>
                <w:rFonts w:hint="eastAsia" w:ascii="宋体" w:hAnsi="宋体" w:cs="宋体"/>
                <w:kern w:val="0"/>
                <w:sz w:val="21"/>
                <w:szCs w:val="21"/>
              </w:rPr>
            </w:pPr>
            <w:r>
              <w:rPr>
                <w:rFonts w:hint="default" w:ascii="Arial Narrow" w:hAnsi="Arial Narrow" w:eastAsia="Arial Narrow" w:cs="Arial Narrow"/>
                <w:i w:val="0"/>
                <w:iCs w:val="0"/>
                <w:color w:val="000000"/>
                <w:kern w:val="0"/>
                <w:sz w:val="21"/>
                <w:szCs w:val="21"/>
                <w:u w:val="none"/>
                <w:lang w:val="en-US" w:eastAsia="zh-CN" w:bidi="ar"/>
              </w:rPr>
              <w:t>20</w:t>
            </w:r>
          </w:p>
        </w:tc>
        <w:tc>
          <w:tcPr>
            <w:tcW w:w="1079" w:type="dxa"/>
            <w:noWrap w:val="0"/>
            <w:vAlign w:val="center"/>
          </w:tcPr>
          <w:p w14:paraId="00C0DEDA">
            <w:pPr>
              <w:widowControl/>
              <w:jc w:val="center"/>
              <w:rPr>
                <w:rFonts w:hint="eastAsia" w:ascii="宋体" w:hAnsi="宋体" w:cs="宋体"/>
                <w:kern w:val="0"/>
                <w:szCs w:val="21"/>
              </w:rPr>
            </w:pPr>
          </w:p>
        </w:tc>
        <w:tc>
          <w:tcPr>
            <w:tcW w:w="1079" w:type="dxa"/>
            <w:noWrap w:val="0"/>
            <w:vAlign w:val="center"/>
          </w:tcPr>
          <w:p w14:paraId="4A37514E">
            <w:pPr>
              <w:widowControl/>
              <w:jc w:val="center"/>
              <w:rPr>
                <w:rFonts w:hint="eastAsia" w:ascii="宋体" w:hAnsi="宋体" w:cs="宋体"/>
                <w:kern w:val="0"/>
                <w:szCs w:val="21"/>
              </w:rPr>
            </w:pPr>
          </w:p>
        </w:tc>
      </w:tr>
      <w:tr w14:paraId="2EEB1F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731533B1">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404-5</w:t>
            </w:r>
          </w:p>
        </w:tc>
        <w:tc>
          <w:tcPr>
            <w:tcW w:w="4572" w:type="dxa"/>
            <w:noWrap w:val="0"/>
            <w:vAlign w:val="center"/>
          </w:tcPr>
          <w:p w14:paraId="1C61064A">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窨井新建或维修</w:t>
            </w:r>
          </w:p>
        </w:tc>
        <w:tc>
          <w:tcPr>
            <w:tcW w:w="899" w:type="dxa"/>
            <w:noWrap w:val="0"/>
            <w:vAlign w:val="center"/>
          </w:tcPr>
          <w:p w14:paraId="0332DB8A">
            <w:pPr>
              <w:jc w:val="center"/>
              <w:rPr>
                <w:rFonts w:hint="eastAsia" w:ascii="宋体" w:hAnsi="宋体" w:cs="宋体"/>
                <w:kern w:val="0"/>
                <w:sz w:val="21"/>
                <w:szCs w:val="21"/>
              </w:rPr>
            </w:pPr>
          </w:p>
        </w:tc>
        <w:tc>
          <w:tcPr>
            <w:tcW w:w="899" w:type="dxa"/>
            <w:noWrap w:val="0"/>
            <w:vAlign w:val="center"/>
          </w:tcPr>
          <w:p w14:paraId="4BA429CE">
            <w:pPr>
              <w:jc w:val="right"/>
              <w:rPr>
                <w:rFonts w:hint="eastAsia" w:ascii="宋体" w:hAnsi="宋体" w:cs="宋体"/>
                <w:kern w:val="0"/>
                <w:sz w:val="21"/>
                <w:szCs w:val="21"/>
              </w:rPr>
            </w:pPr>
          </w:p>
        </w:tc>
        <w:tc>
          <w:tcPr>
            <w:tcW w:w="1079" w:type="dxa"/>
            <w:noWrap w:val="0"/>
            <w:vAlign w:val="center"/>
          </w:tcPr>
          <w:p w14:paraId="1B586211">
            <w:pPr>
              <w:widowControl/>
              <w:jc w:val="center"/>
              <w:rPr>
                <w:rFonts w:hint="eastAsia" w:ascii="宋体" w:hAnsi="宋体" w:cs="宋体"/>
                <w:kern w:val="0"/>
                <w:szCs w:val="21"/>
              </w:rPr>
            </w:pPr>
          </w:p>
        </w:tc>
        <w:tc>
          <w:tcPr>
            <w:tcW w:w="1079" w:type="dxa"/>
            <w:noWrap w:val="0"/>
            <w:vAlign w:val="center"/>
          </w:tcPr>
          <w:p w14:paraId="2D05927E">
            <w:pPr>
              <w:widowControl/>
              <w:jc w:val="center"/>
              <w:rPr>
                <w:rFonts w:hint="eastAsia" w:ascii="宋体" w:hAnsi="宋体" w:cs="宋体"/>
                <w:kern w:val="0"/>
                <w:szCs w:val="21"/>
              </w:rPr>
            </w:pPr>
          </w:p>
        </w:tc>
      </w:tr>
      <w:tr w14:paraId="3AD95D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3C688C94">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-a</w:t>
            </w:r>
          </w:p>
        </w:tc>
        <w:tc>
          <w:tcPr>
            <w:tcW w:w="4572" w:type="dxa"/>
            <w:noWrap w:val="0"/>
            <w:vAlign w:val="center"/>
          </w:tcPr>
          <w:p w14:paraId="3D78B6F2">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检查井井盖更换(铸铁雨水井盖)</w:t>
            </w:r>
          </w:p>
        </w:tc>
        <w:tc>
          <w:tcPr>
            <w:tcW w:w="899" w:type="dxa"/>
            <w:noWrap w:val="0"/>
            <w:vAlign w:val="center"/>
          </w:tcPr>
          <w:p w14:paraId="60C3D24E">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座</w:t>
            </w:r>
          </w:p>
        </w:tc>
        <w:tc>
          <w:tcPr>
            <w:tcW w:w="899" w:type="dxa"/>
            <w:noWrap w:val="0"/>
            <w:vAlign w:val="center"/>
          </w:tcPr>
          <w:p w14:paraId="70FD6788">
            <w:pPr>
              <w:keepNext w:val="0"/>
              <w:keepLines w:val="0"/>
              <w:widowControl/>
              <w:suppressLineNumbers w:val="0"/>
              <w:jc w:val="right"/>
              <w:textAlignment w:val="center"/>
              <w:rPr>
                <w:rFonts w:hint="eastAsia" w:ascii="宋体" w:hAnsi="宋体" w:cs="宋体"/>
                <w:kern w:val="0"/>
                <w:sz w:val="21"/>
                <w:szCs w:val="21"/>
              </w:rPr>
            </w:pPr>
            <w:r>
              <w:rPr>
                <w:rFonts w:hint="default" w:ascii="Arial Narrow" w:hAnsi="Arial Narrow" w:eastAsia="Arial Narrow" w:cs="Arial Narrow"/>
                <w:i w:val="0"/>
                <w:iCs w:val="0"/>
                <w:color w:val="000000"/>
                <w:kern w:val="0"/>
                <w:sz w:val="21"/>
                <w:szCs w:val="21"/>
                <w:u w:val="none"/>
                <w:lang w:val="en-US" w:eastAsia="zh-CN" w:bidi="ar"/>
              </w:rPr>
              <w:t>10</w:t>
            </w:r>
          </w:p>
        </w:tc>
        <w:tc>
          <w:tcPr>
            <w:tcW w:w="1079" w:type="dxa"/>
            <w:noWrap w:val="0"/>
            <w:vAlign w:val="center"/>
          </w:tcPr>
          <w:p w14:paraId="7EEDBD28">
            <w:pPr>
              <w:widowControl/>
              <w:jc w:val="center"/>
              <w:rPr>
                <w:rFonts w:ascii="宋体" w:hAnsi="宋体" w:cs="宋体"/>
                <w:kern w:val="0"/>
                <w:szCs w:val="21"/>
              </w:rPr>
            </w:pPr>
          </w:p>
        </w:tc>
        <w:tc>
          <w:tcPr>
            <w:tcW w:w="1079" w:type="dxa"/>
            <w:noWrap w:val="0"/>
            <w:vAlign w:val="center"/>
          </w:tcPr>
          <w:p w14:paraId="73B013D4">
            <w:pPr>
              <w:widowControl/>
              <w:jc w:val="center"/>
              <w:rPr>
                <w:rFonts w:ascii="宋体" w:hAnsi="宋体" w:cs="宋体"/>
                <w:kern w:val="0"/>
                <w:szCs w:val="21"/>
              </w:rPr>
            </w:pPr>
          </w:p>
        </w:tc>
      </w:tr>
      <w:tr w14:paraId="0B2A33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4ABE223B">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-b</w:t>
            </w:r>
          </w:p>
        </w:tc>
        <w:tc>
          <w:tcPr>
            <w:tcW w:w="4572" w:type="dxa"/>
            <w:noWrap w:val="0"/>
            <w:vAlign w:val="center"/>
          </w:tcPr>
          <w:p w14:paraId="1599C6F5">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检查井井盖更换(树脂)</w:t>
            </w:r>
          </w:p>
        </w:tc>
        <w:tc>
          <w:tcPr>
            <w:tcW w:w="899" w:type="dxa"/>
            <w:noWrap w:val="0"/>
            <w:vAlign w:val="center"/>
          </w:tcPr>
          <w:p w14:paraId="3FEC1405">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座</w:t>
            </w:r>
          </w:p>
        </w:tc>
        <w:tc>
          <w:tcPr>
            <w:tcW w:w="899" w:type="dxa"/>
            <w:noWrap w:val="0"/>
            <w:vAlign w:val="center"/>
          </w:tcPr>
          <w:p w14:paraId="0D10D9B1">
            <w:pPr>
              <w:keepNext w:val="0"/>
              <w:keepLines w:val="0"/>
              <w:widowControl/>
              <w:suppressLineNumbers w:val="0"/>
              <w:jc w:val="right"/>
              <w:textAlignment w:val="center"/>
              <w:rPr>
                <w:rFonts w:hint="eastAsia" w:ascii="宋体" w:hAnsi="宋体" w:cs="宋体"/>
                <w:kern w:val="0"/>
                <w:sz w:val="21"/>
                <w:szCs w:val="21"/>
              </w:rPr>
            </w:pPr>
            <w:r>
              <w:rPr>
                <w:rFonts w:hint="default" w:ascii="Arial Narrow" w:hAnsi="Arial Narrow" w:eastAsia="Arial Narrow" w:cs="Arial Narrow"/>
                <w:i w:val="0"/>
                <w:iCs w:val="0"/>
                <w:color w:val="000000"/>
                <w:kern w:val="0"/>
                <w:sz w:val="21"/>
                <w:szCs w:val="21"/>
                <w:u w:val="none"/>
                <w:lang w:val="en-US" w:eastAsia="zh-CN" w:bidi="ar"/>
              </w:rPr>
              <w:t>10</w:t>
            </w:r>
          </w:p>
        </w:tc>
        <w:tc>
          <w:tcPr>
            <w:tcW w:w="1079" w:type="dxa"/>
            <w:noWrap w:val="0"/>
            <w:vAlign w:val="center"/>
          </w:tcPr>
          <w:p w14:paraId="76539B8F">
            <w:pPr>
              <w:widowControl/>
              <w:jc w:val="center"/>
              <w:rPr>
                <w:rFonts w:ascii="宋体" w:hAnsi="宋体" w:cs="宋体"/>
                <w:kern w:val="0"/>
                <w:szCs w:val="21"/>
              </w:rPr>
            </w:pPr>
          </w:p>
        </w:tc>
        <w:tc>
          <w:tcPr>
            <w:tcW w:w="1079" w:type="dxa"/>
            <w:noWrap w:val="0"/>
            <w:vAlign w:val="center"/>
          </w:tcPr>
          <w:p w14:paraId="73E8EC58">
            <w:pPr>
              <w:widowControl/>
              <w:jc w:val="center"/>
              <w:rPr>
                <w:rFonts w:ascii="宋体" w:hAnsi="宋体" w:cs="宋体"/>
                <w:kern w:val="0"/>
                <w:szCs w:val="21"/>
              </w:rPr>
            </w:pPr>
          </w:p>
        </w:tc>
      </w:tr>
      <w:tr w14:paraId="7422A1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42AB7B41">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-c</w:t>
            </w:r>
          </w:p>
        </w:tc>
        <w:tc>
          <w:tcPr>
            <w:tcW w:w="4572" w:type="dxa"/>
            <w:noWrap w:val="0"/>
            <w:vAlign w:val="center"/>
          </w:tcPr>
          <w:p w14:paraId="3979E147">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检查井井座维修更换</w:t>
            </w:r>
          </w:p>
        </w:tc>
        <w:tc>
          <w:tcPr>
            <w:tcW w:w="899" w:type="dxa"/>
            <w:noWrap w:val="0"/>
            <w:vAlign w:val="center"/>
          </w:tcPr>
          <w:p w14:paraId="01414E09">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座</w:t>
            </w:r>
          </w:p>
        </w:tc>
        <w:tc>
          <w:tcPr>
            <w:tcW w:w="899" w:type="dxa"/>
            <w:noWrap w:val="0"/>
            <w:vAlign w:val="center"/>
          </w:tcPr>
          <w:p w14:paraId="4B394536">
            <w:pPr>
              <w:keepNext w:val="0"/>
              <w:keepLines w:val="0"/>
              <w:widowControl/>
              <w:suppressLineNumbers w:val="0"/>
              <w:jc w:val="right"/>
              <w:textAlignment w:val="center"/>
              <w:rPr>
                <w:rFonts w:hint="eastAsia" w:ascii="宋体" w:hAnsi="宋体" w:cs="宋体"/>
                <w:kern w:val="0"/>
                <w:sz w:val="21"/>
                <w:szCs w:val="21"/>
              </w:rPr>
            </w:pPr>
            <w:r>
              <w:rPr>
                <w:rFonts w:hint="default" w:ascii="Arial Narrow" w:hAnsi="Arial Narrow" w:eastAsia="Arial Narrow" w:cs="Arial Narrow"/>
                <w:i w:val="0"/>
                <w:iCs w:val="0"/>
                <w:color w:val="000000"/>
                <w:kern w:val="0"/>
                <w:sz w:val="21"/>
                <w:szCs w:val="21"/>
                <w:u w:val="none"/>
                <w:lang w:val="en-US" w:eastAsia="zh-CN" w:bidi="ar"/>
              </w:rPr>
              <w:t>10</w:t>
            </w:r>
          </w:p>
        </w:tc>
        <w:tc>
          <w:tcPr>
            <w:tcW w:w="1079" w:type="dxa"/>
            <w:noWrap w:val="0"/>
            <w:vAlign w:val="center"/>
          </w:tcPr>
          <w:p w14:paraId="145730BC">
            <w:pPr>
              <w:widowControl/>
              <w:jc w:val="center"/>
              <w:rPr>
                <w:rFonts w:ascii="宋体" w:hAnsi="宋体" w:cs="宋体"/>
                <w:kern w:val="0"/>
                <w:szCs w:val="21"/>
              </w:rPr>
            </w:pPr>
          </w:p>
        </w:tc>
        <w:tc>
          <w:tcPr>
            <w:tcW w:w="1079" w:type="dxa"/>
            <w:noWrap w:val="0"/>
            <w:vAlign w:val="center"/>
          </w:tcPr>
          <w:p w14:paraId="2BA925E5">
            <w:pPr>
              <w:widowControl/>
              <w:jc w:val="center"/>
              <w:rPr>
                <w:rFonts w:ascii="宋体" w:hAnsi="宋体" w:cs="宋体"/>
                <w:kern w:val="0"/>
                <w:szCs w:val="21"/>
              </w:rPr>
            </w:pPr>
          </w:p>
        </w:tc>
      </w:tr>
      <w:tr w14:paraId="2C242B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007D041F">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-d</w:t>
            </w:r>
          </w:p>
        </w:tc>
        <w:tc>
          <w:tcPr>
            <w:tcW w:w="4572" w:type="dxa"/>
            <w:noWrap w:val="0"/>
            <w:vAlign w:val="center"/>
          </w:tcPr>
          <w:p w14:paraId="794A75DF">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新建检查井(铸铁雨水井盖)</w:t>
            </w:r>
          </w:p>
        </w:tc>
        <w:tc>
          <w:tcPr>
            <w:tcW w:w="899" w:type="dxa"/>
            <w:noWrap w:val="0"/>
            <w:vAlign w:val="center"/>
          </w:tcPr>
          <w:p w14:paraId="6B87F7E1">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座</w:t>
            </w:r>
          </w:p>
        </w:tc>
        <w:tc>
          <w:tcPr>
            <w:tcW w:w="899" w:type="dxa"/>
            <w:noWrap w:val="0"/>
            <w:vAlign w:val="center"/>
          </w:tcPr>
          <w:p w14:paraId="1BC25057">
            <w:pPr>
              <w:keepNext w:val="0"/>
              <w:keepLines w:val="0"/>
              <w:widowControl/>
              <w:suppressLineNumbers w:val="0"/>
              <w:jc w:val="right"/>
              <w:textAlignment w:val="center"/>
              <w:rPr>
                <w:rFonts w:hint="eastAsia" w:ascii="宋体" w:hAnsi="宋体" w:cs="宋体"/>
                <w:kern w:val="0"/>
                <w:sz w:val="21"/>
                <w:szCs w:val="21"/>
              </w:rPr>
            </w:pPr>
            <w:r>
              <w:rPr>
                <w:rFonts w:hint="default" w:ascii="Arial Narrow" w:hAnsi="Arial Narrow" w:eastAsia="Arial Narrow" w:cs="Arial Narrow"/>
                <w:i w:val="0"/>
                <w:iCs w:val="0"/>
                <w:color w:val="000000"/>
                <w:kern w:val="0"/>
                <w:sz w:val="21"/>
                <w:szCs w:val="21"/>
                <w:u w:val="none"/>
                <w:lang w:val="en-US" w:eastAsia="zh-CN" w:bidi="ar"/>
              </w:rPr>
              <w:t>10</w:t>
            </w:r>
          </w:p>
        </w:tc>
        <w:tc>
          <w:tcPr>
            <w:tcW w:w="1079" w:type="dxa"/>
            <w:noWrap w:val="0"/>
            <w:vAlign w:val="center"/>
          </w:tcPr>
          <w:p w14:paraId="698D89C9">
            <w:pPr>
              <w:widowControl/>
              <w:jc w:val="center"/>
              <w:rPr>
                <w:rFonts w:ascii="宋体" w:hAnsi="宋体" w:cs="宋体"/>
                <w:kern w:val="0"/>
                <w:szCs w:val="21"/>
              </w:rPr>
            </w:pPr>
          </w:p>
        </w:tc>
        <w:tc>
          <w:tcPr>
            <w:tcW w:w="1079" w:type="dxa"/>
            <w:noWrap w:val="0"/>
            <w:vAlign w:val="center"/>
          </w:tcPr>
          <w:p w14:paraId="37BF18A9">
            <w:pPr>
              <w:widowControl/>
              <w:jc w:val="center"/>
              <w:rPr>
                <w:rFonts w:ascii="宋体" w:hAnsi="宋体" w:cs="宋体"/>
                <w:kern w:val="0"/>
                <w:szCs w:val="21"/>
              </w:rPr>
            </w:pPr>
          </w:p>
        </w:tc>
      </w:tr>
      <w:tr w14:paraId="50905D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12ECB91A">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-e</w:t>
            </w:r>
          </w:p>
        </w:tc>
        <w:tc>
          <w:tcPr>
            <w:tcW w:w="4572" w:type="dxa"/>
            <w:noWrap w:val="0"/>
            <w:vAlign w:val="center"/>
          </w:tcPr>
          <w:p w14:paraId="3F6F25FC">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新建检查井(树脂)</w:t>
            </w:r>
          </w:p>
        </w:tc>
        <w:tc>
          <w:tcPr>
            <w:tcW w:w="899" w:type="dxa"/>
            <w:noWrap w:val="0"/>
            <w:vAlign w:val="center"/>
          </w:tcPr>
          <w:p w14:paraId="6BE5073C">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座</w:t>
            </w:r>
          </w:p>
        </w:tc>
        <w:tc>
          <w:tcPr>
            <w:tcW w:w="899" w:type="dxa"/>
            <w:noWrap w:val="0"/>
            <w:vAlign w:val="center"/>
          </w:tcPr>
          <w:p w14:paraId="3041A8F5">
            <w:pPr>
              <w:keepNext w:val="0"/>
              <w:keepLines w:val="0"/>
              <w:widowControl/>
              <w:suppressLineNumbers w:val="0"/>
              <w:jc w:val="right"/>
              <w:textAlignment w:val="center"/>
              <w:rPr>
                <w:rFonts w:hint="eastAsia" w:ascii="宋体" w:hAnsi="宋体" w:cs="宋体"/>
                <w:kern w:val="0"/>
                <w:sz w:val="21"/>
                <w:szCs w:val="21"/>
              </w:rPr>
            </w:pPr>
            <w:r>
              <w:rPr>
                <w:rFonts w:hint="default" w:ascii="Arial Narrow" w:hAnsi="Arial Narrow" w:eastAsia="Arial Narrow" w:cs="Arial Narrow"/>
                <w:i w:val="0"/>
                <w:iCs w:val="0"/>
                <w:color w:val="000000"/>
                <w:kern w:val="0"/>
                <w:sz w:val="21"/>
                <w:szCs w:val="21"/>
                <w:u w:val="none"/>
                <w:lang w:val="en-US" w:eastAsia="zh-CN" w:bidi="ar"/>
              </w:rPr>
              <w:t>10</w:t>
            </w:r>
          </w:p>
        </w:tc>
        <w:tc>
          <w:tcPr>
            <w:tcW w:w="1079" w:type="dxa"/>
            <w:noWrap w:val="0"/>
            <w:vAlign w:val="center"/>
          </w:tcPr>
          <w:p w14:paraId="28C6E18D">
            <w:pPr>
              <w:widowControl/>
              <w:jc w:val="center"/>
              <w:rPr>
                <w:rFonts w:ascii="宋体" w:hAnsi="宋体" w:cs="宋体"/>
                <w:kern w:val="0"/>
                <w:szCs w:val="21"/>
              </w:rPr>
            </w:pPr>
          </w:p>
        </w:tc>
        <w:tc>
          <w:tcPr>
            <w:tcW w:w="1079" w:type="dxa"/>
            <w:noWrap w:val="0"/>
            <w:vAlign w:val="center"/>
          </w:tcPr>
          <w:p w14:paraId="525C3253">
            <w:pPr>
              <w:widowControl/>
              <w:jc w:val="center"/>
              <w:rPr>
                <w:rFonts w:ascii="宋体" w:hAnsi="宋体" w:cs="宋体"/>
                <w:kern w:val="0"/>
                <w:szCs w:val="21"/>
              </w:rPr>
            </w:pPr>
          </w:p>
        </w:tc>
      </w:tr>
      <w:tr w14:paraId="62A96B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42A4BCBB">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-f</w:t>
            </w:r>
          </w:p>
        </w:tc>
        <w:tc>
          <w:tcPr>
            <w:tcW w:w="4572" w:type="dxa"/>
            <w:noWrap w:val="0"/>
            <w:vAlign w:val="center"/>
          </w:tcPr>
          <w:p w14:paraId="468A1604">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管涵窨井</w:t>
            </w:r>
          </w:p>
        </w:tc>
        <w:tc>
          <w:tcPr>
            <w:tcW w:w="899" w:type="dxa"/>
            <w:noWrap w:val="0"/>
            <w:vAlign w:val="center"/>
          </w:tcPr>
          <w:p w14:paraId="603F3862">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座</w:t>
            </w:r>
          </w:p>
        </w:tc>
        <w:tc>
          <w:tcPr>
            <w:tcW w:w="899" w:type="dxa"/>
            <w:noWrap w:val="0"/>
            <w:vAlign w:val="center"/>
          </w:tcPr>
          <w:p w14:paraId="0CB5FC68">
            <w:pPr>
              <w:keepNext w:val="0"/>
              <w:keepLines w:val="0"/>
              <w:widowControl/>
              <w:suppressLineNumbers w:val="0"/>
              <w:jc w:val="right"/>
              <w:textAlignment w:val="center"/>
              <w:rPr>
                <w:rFonts w:hint="eastAsia" w:ascii="宋体" w:hAnsi="宋体" w:cs="宋体"/>
                <w:kern w:val="0"/>
                <w:sz w:val="21"/>
                <w:szCs w:val="21"/>
              </w:rPr>
            </w:pPr>
            <w:r>
              <w:rPr>
                <w:rFonts w:hint="default" w:ascii="Arial Narrow" w:hAnsi="Arial Narrow" w:eastAsia="Arial Narrow" w:cs="Arial Narrow"/>
                <w:i w:val="0"/>
                <w:iCs w:val="0"/>
                <w:color w:val="000000"/>
                <w:kern w:val="0"/>
                <w:sz w:val="21"/>
                <w:szCs w:val="21"/>
                <w:u w:val="none"/>
                <w:lang w:val="en-US" w:eastAsia="zh-CN" w:bidi="ar"/>
              </w:rPr>
              <w:t>10</w:t>
            </w:r>
          </w:p>
        </w:tc>
        <w:tc>
          <w:tcPr>
            <w:tcW w:w="1079" w:type="dxa"/>
            <w:noWrap w:val="0"/>
            <w:vAlign w:val="center"/>
          </w:tcPr>
          <w:p w14:paraId="5F274827">
            <w:pPr>
              <w:widowControl/>
              <w:jc w:val="center"/>
              <w:rPr>
                <w:rFonts w:ascii="宋体" w:hAnsi="宋体" w:cs="宋体"/>
                <w:kern w:val="0"/>
                <w:szCs w:val="21"/>
              </w:rPr>
            </w:pPr>
          </w:p>
        </w:tc>
        <w:tc>
          <w:tcPr>
            <w:tcW w:w="1079" w:type="dxa"/>
            <w:noWrap w:val="0"/>
            <w:vAlign w:val="center"/>
          </w:tcPr>
          <w:p w14:paraId="15471BD0">
            <w:pPr>
              <w:widowControl/>
              <w:jc w:val="center"/>
              <w:rPr>
                <w:rFonts w:ascii="宋体" w:hAnsi="宋体" w:cs="宋体"/>
                <w:kern w:val="0"/>
                <w:szCs w:val="21"/>
              </w:rPr>
            </w:pPr>
          </w:p>
        </w:tc>
      </w:tr>
      <w:tr w14:paraId="21CBB2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51ADA974">
            <w:pPr>
              <w:widowControl/>
              <w:jc w:val="center"/>
              <w:textAlignment w:val="center"/>
              <w:rPr>
                <w:rFonts w:hint="eastAsia" w:ascii="宋体" w:hAnsi="宋体" w:cs="宋体"/>
                <w:kern w:val="0"/>
                <w:szCs w:val="21"/>
              </w:rPr>
            </w:pPr>
          </w:p>
        </w:tc>
        <w:tc>
          <w:tcPr>
            <w:tcW w:w="4572" w:type="dxa"/>
            <w:noWrap w:val="0"/>
            <w:vAlign w:val="center"/>
          </w:tcPr>
          <w:p w14:paraId="7A0517A2">
            <w:pPr>
              <w:widowControl/>
              <w:jc w:val="left"/>
              <w:textAlignment w:val="center"/>
              <w:rPr>
                <w:rFonts w:hint="eastAsia" w:ascii="宋体" w:hAnsi="宋体" w:cs="宋体"/>
                <w:kern w:val="0"/>
                <w:szCs w:val="21"/>
              </w:rPr>
            </w:pPr>
          </w:p>
        </w:tc>
        <w:tc>
          <w:tcPr>
            <w:tcW w:w="899" w:type="dxa"/>
            <w:noWrap w:val="0"/>
            <w:vAlign w:val="center"/>
          </w:tcPr>
          <w:p w14:paraId="6979E9B0">
            <w:pPr>
              <w:jc w:val="center"/>
              <w:rPr>
                <w:rFonts w:hint="eastAsia" w:ascii="宋体" w:hAnsi="宋体" w:cs="宋体"/>
                <w:kern w:val="0"/>
                <w:szCs w:val="21"/>
              </w:rPr>
            </w:pPr>
          </w:p>
        </w:tc>
        <w:tc>
          <w:tcPr>
            <w:tcW w:w="899" w:type="dxa"/>
            <w:noWrap w:val="0"/>
            <w:vAlign w:val="center"/>
          </w:tcPr>
          <w:p w14:paraId="3CF1FB5C">
            <w:pPr>
              <w:jc w:val="right"/>
              <w:rPr>
                <w:rFonts w:hint="eastAsia" w:ascii="宋体" w:hAnsi="宋体" w:cs="宋体"/>
                <w:kern w:val="0"/>
                <w:szCs w:val="21"/>
              </w:rPr>
            </w:pPr>
          </w:p>
        </w:tc>
        <w:tc>
          <w:tcPr>
            <w:tcW w:w="1079" w:type="dxa"/>
            <w:noWrap w:val="0"/>
            <w:vAlign w:val="center"/>
          </w:tcPr>
          <w:p w14:paraId="0E72D7F4">
            <w:pPr>
              <w:widowControl/>
              <w:jc w:val="center"/>
              <w:rPr>
                <w:rFonts w:ascii="宋体" w:hAnsi="宋体" w:cs="宋体"/>
                <w:kern w:val="0"/>
                <w:szCs w:val="21"/>
              </w:rPr>
            </w:pPr>
          </w:p>
        </w:tc>
        <w:tc>
          <w:tcPr>
            <w:tcW w:w="1079" w:type="dxa"/>
            <w:noWrap w:val="0"/>
            <w:vAlign w:val="center"/>
          </w:tcPr>
          <w:p w14:paraId="65A942E4">
            <w:pPr>
              <w:widowControl/>
              <w:jc w:val="center"/>
              <w:rPr>
                <w:rFonts w:ascii="宋体" w:hAnsi="宋体" w:cs="宋体"/>
                <w:kern w:val="0"/>
                <w:szCs w:val="21"/>
              </w:rPr>
            </w:pPr>
          </w:p>
        </w:tc>
      </w:tr>
      <w:tr w14:paraId="6C9D31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00F4D65C">
            <w:pPr>
              <w:widowControl/>
              <w:jc w:val="center"/>
              <w:textAlignment w:val="center"/>
              <w:rPr>
                <w:rFonts w:hint="eastAsia" w:ascii="宋体" w:hAnsi="宋体" w:cs="宋体"/>
                <w:kern w:val="0"/>
                <w:szCs w:val="21"/>
              </w:rPr>
            </w:pPr>
          </w:p>
        </w:tc>
        <w:tc>
          <w:tcPr>
            <w:tcW w:w="4572" w:type="dxa"/>
            <w:noWrap w:val="0"/>
            <w:vAlign w:val="center"/>
          </w:tcPr>
          <w:p w14:paraId="33BA13A8">
            <w:pPr>
              <w:widowControl/>
              <w:jc w:val="left"/>
              <w:textAlignment w:val="center"/>
              <w:rPr>
                <w:rFonts w:hint="eastAsia" w:ascii="宋体" w:hAnsi="宋体" w:cs="宋体"/>
                <w:kern w:val="0"/>
                <w:szCs w:val="21"/>
              </w:rPr>
            </w:pPr>
          </w:p>
        </w:tc>
        <w:tc>
          <w:tcPr>
            <w:tcW w:w="899" w:type="dxa"/>
            <w:noWrap w:val="0"/>
            <w:vAlign w:val="center"/>
          </w:tcPr>
          <w:p w14:paraId="63123880">
            <w:pPr>
              <w:widowControl/>
              <w:jc w:val="center"/>
              <w:textAlignment w:val="center"/>
              <w:rPr>
                <w:rFonts w:hint="eastAsia" w:ascii="宋体" w:hAnsi="宋体" w:cs="宋体"/>
                <w:kern w:val="0"/>
                <w:szCs w:val="21"/>
              </w:rPr>
            </w:pPr>
          </w:p>
        </w:tc>
        <w:tc>
          <w:tcPr>
            <w:tcW w:w="899" w:type="dxa"/>
            <w:noWrap w:val="0"/>
            <w:vAlign w:val="center"/>
          </w:tcPr>
          <w:p w14:paraId="4870E74A">
            <w:pPr>
              <w:widowControl/>
              <w:jc w:val="right"/>
              <w:textAlignment w:val="center"/>
              <w:rPr>
                <w:rFonts w:hint="eastAsia" w:ascii="宋体" w:hAnsi="宋体" w:cs="宋体"/>
                <w:kern w:val="0"/>
                <w:szCs w:val="21"/>
              </w:rPr>
            </w:pPr>
          </w:p>
        </w:tc>
        <w:tc>
          <w:tcPr>
            <w:tcW w:w="1079" w:type="dxa"/>
            <w:noWrap w:val="0"/>
            <w:vAlign w:val="center"/>
          </w:tcPr>
          <w:p w14:paraId="61F58BFB">
            <w:pPr>
              <w:widowControl/>
              <w:jc w:val="center"/>
              <w:rPr>
                <w:rFonts w:ascii="宋体" w:hAnsi="宋体" w:cs="宋体"/>
                <w:kern w:val="0"/>
                <w:szCs w:val="21"/>
              </w:rPr>
            </w:pPr>
          </w:p>
        </w:tc>
        <w:tc>
          <w:tcPr>
            <w:tcW w:w="1079" w:type="dxa"/>
            <w:noWrap w:val="0"/>
            <w:vAlign w:val="center"/>
          </w:tcPr>
          <w:p w14:paraId="64287202">
            <w:pPr>
              <w:widowControl/>
              <w:jc w:val="center"/>
              <w:rPr>
                <w:rFonts w:ascii="宋体" w:hAnsi="宋体" w:cs="宋体"/>
                <w:kern w:val="0"/>
                <w:szCs w:val="21"/>
              </w:rPr>
            </w:pPr>
          </w:p>
        </w:tc>
      </w:tr>
      <w:tr w14:paraId="03939D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3684C802">
            <w:pPr>
              <w:widowControl/>
              <w:jc w:val="center"/>
              <w:textAlignment w:val="center"/>
              <w:rPr>
                <w:rFonts w:hint="eastAsia" w:ascii="宋体" w:hAnsi="宋体" w:cs="宋体"/>
                <w:kern w:val="0"/>
                <w:szCs w:val="21"/>
              </w:rPr>
            </w:pPr>
          </w:p>
        </w:tc>
        <w:tc>
          <w:tcPr>
            <w:tcW w:w="4572" w:type="dxa"/>
            <w:noWrap w:val="0"/>
            <w:vAlign w:val="center"/>
          </w:tcPr>
          <w:p w14:paraId="76FA5104">
            <w:pPr>
              <w:widowControl/>
              <w:jc w:val="left"/>
              <w:textAlignment w:val="center"/>
              <w:rPr>
                <w:rFonts w:hint="eastAsia" w:ascii="宋体" w:hAnsi="宋体" w:cs="宋体"/>
                <w:kern w:val="0"/>
                <w:szCs w:val="21"/>
              </w:rPr>
            </w:pPr>
          </w:p>
        </w:tc>
        <w:tc>
          <w:tcPr>
            <w:tcW w:w="899" w:type="dxa"/>
            <w:noWrap w:val="0"/>
            <w:vAlign w:val="center"/>
          </w:tcPr>
          <w:p w14:paraId="693C244C">
            <w:pPr>
              <w:jc w:val="center"/>
              <w:rPr>
                <w:rFonts w:hint="eastAsia" w:ascii="宋体" w:hAnsi="宋体" w:cs="宋体"/>
                <w:kern w:val="0"/>
                <w:szCs w:val="21"/>
              </w:rPr>
            </w:pPr>
          </w:p>
        </w:tc>
        <w:tc>
          <w:tcPr>
            <w:tcW w:w="899" w:type="dxa"/>
            <w:noWrap w:val="0"/>
            <w:vAlign w:val="center"/>
          </w:tcPr>
          <w:p w14:paraId="458F1767">
            <w:pPr>
              <w:jc w:val="right"/>
              <w:rPr>
                <w:rFonts w:hint="eastAsia" w:ascii="宋体" w:hAnsi="宋体" w:cs="宋体"/>
                <w:kern w:val="0"/>
                <w:szCs w:val="21"/>
              </w:rPr>
            </w:pPr>
          </w:p>
        </w:tc>
        <w:tc>
          <w:tcPr>
            <w:tcW w:w="1079" w:type="dxa"/>
            <w:noWrap w:val="0"/>
            <w:vAlign w:val="center"/>
          </w:tcPr>
          <w:p w14:paraId="38ADAC38">
            <w:pPr>
              <w:widowControl/>
              <w:jc w:val="center"/>
              <w:rPr>
                <w:rFonts w:ascii="宋体" w:hAnsi="宋体" w:cs="宋体"/>
                <w:kern w:val="0"/>
                <w:szCs w:val="21"/>
              </w:rPr>
            </w:pPr>
          </w:p>
        </w:tc>
        <w:tc>
          <w:tcPr>
            <w:tcW w:w="1079" w:type="dxa"/>
            <w:noWrap w:val="0"/>
            <w:vAlign w:val="center"/>
          </w:tcPr>
          <w:p w14:paraId="7CDD19CD">
            <w:pPr>
              <w:widowControl/>
              <w:jc w:val="center"/>
              <w:rPr>
                <w:rFonts w:ascii="宋体" w:hAnsi="宋体" w:cs="宋体"/>
                <w:kern w:val="0"/>
                <w:szCs w:val="21"/>
              </w:rPr>
            </w:pPr>
          </w:p>
        </w:tc>
      </w:tr>
      <w:tr w14:paraId="7E8DED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4BEE70C0">
            <w:pPr>
              <w:widowControl/>
              <w:jc w:val="center"/>
              <w:textAlignment w:val="center"/>
              <w:rPr>
                <w:rFonts w:hint="eastAsia" w:ascii="宋体" w:hAnsi="宋体" w:cs="宋体"/>
                <w:kern w:val="0"/>
                <w:szCs w:val="21"/>
              </w:rPr>
            </w:pPr>
          </w:p>
        </w:tc>
        <w:tc>
          <w:tcPr>
            <w:tcW w:w="4572" w:type="dxa"/>
            <w:noWrap w:val="0"/>
            <w:vAlign w:val="center"/>
          </w:tcPr>
          <w:p w14:paraId="2C1D8FA8">
            <w:pPr>
              <w:widowControl/>
              <w:jc w:val="left"/>
              <w:textAlignment w:val="center"/>
              <w:rPr>
                <w:rFonts w:hint="eastAsia" w:ascii="宋体" w:hAnsi="宋体" w:cs="宋体"/>
                <w:kern w:val="0"/>
                <w:szCs w:val="21"/>
              </w:rPr>
            </w:pPr>
          </w:p>
        </w:tc>
        <w:tc>
          <w:tcPr>
            <w:tcW w:w="899" w:type="dxa"/>
            <w:noWrap w:val="0"/>
            <w:vAlign w:val="center"/>
          </w:tcPr>
          <w:p w14:paraId="5314AEF1">
            <w:pPr>
              <w:widowControl/>
              <w:jc w:val="center"/>
              <w:textAlignment w:val="center"/>
              <w:rPr>
                <w:rFonts w:hint="eastAsia" w:ascii="宋体" w:hAnsi="宋体" w:cs="宋体"/>
                <w:kern w:val="0"/>
                <w:szCs w:val="21"/>
              </w:rPr>
            </w:pPr>
          </w:p>
        </w:tc>
        <w:tc>
          <w:tcPr>
            <w:tcW w:w="899" w:type="dxa"/>
            <w:noWrap w:val="0"/>
            <w:vAlign w:val="center"/>
          </w:tcPr>
          <w:p w14:paraId="1D96E9CE">
            <w:pPr>
              <w:widowControl/>
              <w:jc w:val="right"/>
              <w:textAlignment w:val="center"/>
              <w:rPr>
                <w:rFonts w:hint="eastAsia" w:ascii="宋体" w:hAnsi="宋体" w:cs="宋体"/>
                <w:kern w:val="0"/>
                <w:szCs w:val="21"/>
              </w:rPr>
            </w:pPr>
          </w:p>
        </w:tc>
        <w:tc>
          <w:tcPr>
            <w:tcW w:w="1079" w:type="dxa"/>
            <w:noWrap w:val="0"/>
            <w:vAlign w:val="center"/>
          </w:tcPr>
          <w:p w14:paraId="191BE98A">
            <w:pPr>
              <w:widowControl/>
              <w:jc w:val="center"/>
              <w:rPr>
                <w:rFonts w:ascii="宋体" w:hAnsi="宋体" w:cs="宋体"/>
                <w:kern w:val="0"/>
                <w:szCs w:val="21"/>
              </w:rPr>
            </w:pPr>
          </w:p>
        </w:tc>
        <w:tc>
          <w:tcPr>
            <w:tcW w:w="1079" w:type="dxa"/>
            <w:noWrap w:val="0"/>
            <w:vAlign w:val="center"/>
          </w:tcPr>
          <w:p w14:paraId="38F8A699">
            <w:pPr>
              <w:widowControl/>
              <w:jc w:val="center"/>
              <w:rPr>
                <w:rFonts w:ascii="宋体" w:hAnsi="宋体" w:cs="宋体"/>
                <w:kern w:val="0"/>
                <w:szCs w:val="21"/>
              </w:rPr>
            </w:pPr>
          </w:p>
        </w:tc>
      </w:tr>
      <w:tr w14:paraId="333066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06653B10">
            <w:pPr>
              <w:widowControl/>
              <w:jc w:val="center"/>
              <w:textAlignment w:val="center"/>
              <w:rPr>
                <w:rFonts w:hint="eastAsia" w:ascii="宋体" w:hAnsi="宋体" w:cs="宋体"/>
                <w:kern w:val="0"/>
                <w:szCs w:val="21"/>
              </w:rPr>
            </w:pPr>
          </w:p>
        </w:tc>
        <w:tc>
          <w:tcPr>
            <w:tcW w:w="4572" w:type="dxa"/>
            <w:noWrap w:val="0"/>
            <w:vAlign w:val="center"/>
          </w:tcPr>
          <w:p w14:paraId="261EE56B">
            <w:pPr>
              <w:widowControl/>
              <w:jc w:val="left"/>
              <w:textAlignment w:val="center"/>
              <w:rPr>
                <w:rFonts w:hint="eastAsia" w:ascii="宋体" w:hAnsi="宋体" w:cs="宋体"/>
                <w:kern w:val="0"/>
                <w:szCs w:val="21"/>
              </w:rPr>
            </w:pPr>
          </w:p>
        </w:tc>
        <w:tc>
          <w:tcPr>
            <w:tcW w:w="899" w:type="dxa"/>
            <w:noWrap w:val="0"/>
            <w:vAlign w:val="center"/>
          </w:tcPr>
          <w:p w14:paraId="57F2CF9B">
            <w:pPr>
              <w:jc w:val="center"/>
              <w:rPr>
                <w:rFonts w:hint="eastAsia" w:ascii="宋体" w:hAnsi="宋体" w:cs="宋体"/>
                <w:kern w:val="0"/>
                <w:szCs w:val="21"/>
              </w:rPr>
            </w:pPr>
          </w:p>
        </w:tc>
        <w:tc>
          <w:tcPr>
            <w:tcW w:w="899" w:type="dxa"/>
            <w:noWrap w:val="0"/>
            <w:vAlign w:val="center"/>
          </w:tcPr>
          <w:p w14:paraId="26B93191">
            <w:pPr>
              <w:jc w:val="right"/>
              <w:rPr>
                <w:rFonts w:hint="eastAsia" w:ascii="宋体" w:hAnsi="宋体" w:cs="宋体"/>
                <w:kern w:val="0"/>
                <w:szCs w:val="21"/>
              </w:rPr>
            </w:pPr>
          </w:p>
        </w:tc>
        <w:tc>
          <w:tcPr>
            <w:tcW w:w="1079" w:type="dxa"/>
            <w:noWrap w:val="0"/>
            <w:vAlign w:val="center"/>
          </w:tcPr>
          <w:p w14:paraId="4EA2FA73">
            <w:pPr>
              <w:widowControl/>
              <w:jc w:val="center"/>
              <w:rPr>
                <w:rFonts w:ascii="宋体" w:hAnsi="宋体" w:cs="宋体"/>
                <w:kern w:val="0"/>
                <w:szCs w:val="21"/>
              </w:rPr>
            </w:pPr>
          </w:p>
        </w:tc>
        <w:tc>
          <w:tcPr>
            <w:tcW w:w="1079" w:type="dxa"/>
            <w:noWrap w:val="0"/>
            <w:vAlign w:val="center"/>
          </w:tcPr>
          <w:p w14:paraId="021716F9">
            <w:pPr>
              <w:widowControl/>
              <w:jc w:val="center"/>
              <w:rPr>
                <w:rFonts w:ascii="宋体" w:hAnsi="宋体" w:cs="宋体"/>
                <w:kern w:val="0"/>
                <w:szCs w:val="21"/>
              </w:rPr>
            </w:pPr>
          </w:p>
        </w:tc>
      </w:tr>
      <w:tr w14:paraId="49D0FD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16881826">
            <w:pPr>
              <w:widowControl/>
              <w:jc w:val="center"/>
              <w:textAlignment w:val="center"/>
              <w:rPr>
                <w:rFonts w:hint="eastAsia" w:ascii="宋体" w:hAnsi="宋体" w:cs="宋体"/>
                <w:kern w:val="0"/>
                <w:szCs w:val="21"/>
              </w:rPr>
            </w:pPr>
          </w:p>
        </w:tc>
        <w:tc>
          <w:tcPr>
            <w:tcW w:w="4572" w:type="dxa"/>
            <w:noWrap w:val="0"/>
            <w:vAlign w:val="center"/>
          </w:tcPr>
          <w:p w14:paraId="69ACBDB5">
            <w:pPr>
              <w:widowControl/>
              <w:jc w:val="left"/>
              <w:textAlignment w:val="center"/>
              <w:rPr>
                <w:rFonts w:hint="eastAsia" w:ascii="宋体" w:hAnsi="宋体" w:cs="宋体"/>
                <w:kern w:val="0"/>
                <w:szCs w:val="21"/>
              </w:rPr>
            </w:pPr>
          </w:p>
        </w:tc>
        <w:tc>
          <w:tcPr>
            <w:tcW w:w="899" w:type="dxa"/>
            <w:noWrap w:val="0"/>
            <w:vAlign w:val="center"/>
          </w:tcPr>
          <w:p w14:paraId="436AD557">
            <w:pPr>
              <w:widowControl/>
              <w:jc w:val="center"/>
              <w:textAlignment w:val="center"/>
              <w:rPr>
                <w:rFonts w:hint="eastAsia" w:ascii="宋体" w:hAnsi="宋体" w:cs="宋体"/>
                <w:kern w:val="0"/>
                <w:szCs w:val="21"/>
              </w:rPr>
            </w:pPr>
          </w:p>
        </w:tc>
        <w:tc>
          <w:tcPr>
            <w:tcW w:w="899" w:type="dxa"/>
            <w:noWrap w:val="0"/>
            <w:vAlign w:val="center"/>
          </w:tcPr>
          <w:p w14:paraId="7DF0F32D">
            <w:pPr>
              <w:widowControl/>
              <w:jc w:val="right"/>
              <w:textAlignment w:val="center"/>
              <w:rPr>
                <w:rFonts w:hint="eastAsia" w:ascii="宋体" w:hAnsi="宋体" w:cs="宋体"/>
                <w:kern w:val="0"/>
                <w:szCs w:val="21"/>
              </w:rPr>
            </w:pPr>
          </w:p>
        </w:tc>
        <w:tc>
          <w:tcPr>
            <w:tcW w:w="1079" w:type="dxa"/>
            <w:noWrap w:val="0"/>
            <w:vAlign w:val="center"/>
          </w:tcPr>
          <w:p w14:paraId="3051E4BC">
            <w:pPr>
              <w:widowControl/>
              <w:jc w:val="center"/>
              <w:rPr>
                <w:rFonts w:ascii="宋体" w:hAnsi="宋体" w:cs="宋体"/>
                <w:kern w:val="0"/>
                <w:szCs w:val="21"/>
              </w:rPr>
            </w:pPr>
          </w:p>
        </w:tc>
        <w:tc>
          <w:tcPr>
            <w:tcW w:w="1079" w:type="dxa"/>
            <w:noWrap w:val="0"/>
            <w:vAlign w:val="center"/>
          </w:tcPr>
          <w:p w14:paraId="3C3951BA">
            <w:pPr>
              <w:widowControl/>
              <w:jc w:val="center"/>
              <w:rPr>
                <w:rFonts w:ascii="宋体" w:hAnsi="宋体" w:cs="宋体"/>
                <w:kern w:val="0"/>
                <w:szCs w:val="21"/>
              </w:rPr>
            </w:pPr>
          </w:p>
        </w:tc>
      </w:tr>
      <w:tr w14:paraId="1D1567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68" w:type="dxa"/>
            <w:gridSpan w:val="6"/>
            <w:noWrap w:val="0"/>
            <w:vAlign w:val="center"/>
          </w:tcPr>
          <w:p w14:paraId="788436D7">
            <w:pPr>
              <w:widowControl/>
              <w:jc w:val="center"/>
              <w:rPr>
                <w:rFonts w:ascii="宋体" w:hAnsi="宋体" w:cs="宋体"/>
                <w:b/>
                <w:kern w:val="0"/>
                <w:szCs w:val="21"/>
              </w:rPr>
            </w:pPr>
            <w:r>
              <w:rPr>
                <w:rFonts w:hint="eastAsia" w:ascii="宋体" w:hAnsi="宋体" w:cs="宋体"/>
                <w:b/>
                <w:kern w:val="0"/>
                <w:szCs w:val="21"/>
              </w:rPr>
              <w:t>清单</w:t>
            </w:r>
            <w:r>
              <w:rPr>
                <w:rFonts w:hint="eastAsia" w:ascii="宋体" w:hAnsi="宋体" w:cs="宋体"/>
                <w:b/>
                <w:kern w:val="0"/>
                <w:szCs w:val="21"/>
                <w:lang w:val="en-US" w:eastAsia="zh-CN"/>
              </w:rPr>
              <w:t>4</w:t>
            </w:r>
            <w:r>
              <w:rPr>
                <w:rFonts w:hint="eastAsia" w:ascii="宋体" w:hAnsi="宋体" w:cs="宋体"/>
                <w:b/>
                <w:kern w:val="0"/>
                <w:szCs w:val="21"/>
              </w:rPr>
              <w:t>00章合计   人民币</w:t>
            </w:r>
            <w:r>
              <w:rPr>
                <w:rFonts w:hint="eastAsia" w:ascii="宋体" w:hAnsi="宋体" w:cs="宋体"/>
                <w:b/>
                <w:kern w:val="0"/>
                <w:szCs w:val="21"/>
                <w:u w:val="single"/>
              </w:rPr>
              <w:t xml:space="preserve">       </w:t>
            </w:r>
            <w:r>
              <w:rPr>
                <w:rFonts w:hint="eastAsia" w:ascii="宋体" w:hAnsi="宋体" w:cs="宋体"/>
                <w:b/>
                <w:kern w:val="0"/>
                <w:szCs w:val="21"/>
              </w:rPr>
              <w:t>元</w:t>
            </w:r>
          </w:p>
        </w:tc>
      </w:tr>
    </w:tbl>
    <w:p w14:paraId="5FB448E7">
      <w:pPr>
        <w:pStyle w:val="50"/>
        <w:ind w:left="0" w:leftChars="0" w:firstLine="0" w:firstLineChars="0"/>
        <w:rPr>
          <w:rFonts w:hint="eastAsia" w:asciiTheme="minorEastAsia" w:hAnsiTheme="minorEastAsia" w:eastAsiaTheme="minorEastAsia" w:cstheme="minorEastAsia"/>
          <w:sz w:val="24"/>
          <w:szCs w:val="24"/>
        </w:rPr>
      </w:pPr>
    </w:p>
    <w:p w14:paraId="268F02B5">
      <w:pPr>
        <w:pStyle w:val="50"/>
        <w:ind w:left="0" w:leftChars="0" w:firstLine="0" w:firstLineChars="0"/>
        <w:rPr>
          <w:rFonts w:hint="eastAsia" w:asciiTheme="minorEastAsia" w:hAnsiTheme="minorEastAsia" w:eastAsiaTheme="minorEastAsia" w:cstheme="minorEastAsia"/>
          <w:sz w:val="24"/>
          <w:szCs w:val="24"/>
        </w:rPr>
      </w:pPr>
    </w:p>
    <w:p w14:paraId="5D3D41FB">
      <w:pPr>
        <w:pStyle w:val="50"/>
        <w:ind w:left="0" w:leftChars="0" w:firstLine="0" w:firstLineChars="0"/>
        <w:rPr>
          <w:rFonts w:hint="eastAsia" w:asciiTheme="minorEastAsia" w:hAnsiTheme="minorEastAsia" w:eastAsiaTheme="minorEastAsia" w:cstheme="minorEastAsia"/>
          <w:sz w:val="24"/>
          <w:szCs w:val="24"/>
        </w:rPr>
      </w:pPr>
    </w:p>
    <w:p w14:paraId="1D84B237">
      <w:pPr>
        <w:pStyle w:val="50"/>
        <w:ind w:left="0" w:leftChars="0" w:firstLine="0" w:firstLineChars="0"/>
        <w:rPr>
          <w:rFonts w:hint="eastAsia" w:asciiTheme="minorEastAsia" w:hAnsiTheme="minorEastAsia" w:eastAsiaTheme="minorEastAsia" w:cstheme="minorEastAsia"/>
          <w:sz w:val="24"/>
          <w:szCs w:val="24"/>
        </w:rPr>
      </w:pPr>
    </w:p>
    <w:p w14:paraId="67D57708">
      <w:pPr>
        <w:pStyle w:val="50"/>
        <w:ind w:left="0" w:leftChars="0" w:firstLine="0" w:firstLine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标项</w:t>
      </w: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w:t>
      </w:r>
      <w:r>
        <w:rPr>
          <w:rFonts w:hint="eastAsia" w:asciiTheme="minorEastAsia" w:hAnsiTheme="minorEastAsia" w:cstheme="minorEastAsia"/>
          <w:sz w:val="24"/>
          <w:szCs w:val="24"/>
          <w:lang w:eastAsia="zh-CN"/>
        </w:rPr>
        <w:t>2026年秀洲区县道及以上公路小修及应急抢险项目</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第一</w:t>
      </w:r>
      <w:r>
        <w:rPr>
          <w:rFonts w:hint="eastAsia" w:asciiTheme="minorEastAsia" w:hAnsiTheme="minorEastAsia" w:eastAsiaTheme="minorEastAsia" w:cstheme="minorEastAsia"/>
          <w:sz w:val="24"/>
          <w:szCs w:val="24"/>
          <w:lang w:eastAsia="zh-CN"/>
        </w:rPr>
        <w:t>标段）</w:t>
      </w:r>
    </w:p>
    <w:p w14:paraId="4E0D3C9B">
      <w:pPr>
        <w:pStyle w:val="50"/>
        <w:ind w:left="0" w:leftChars="0" w:firstLine="0" w:firstLineChars="0"/>
        <w:rPr>
          <w:rFonts w:hint="eastAsia"/>
        </w:rPr>
      </w:pPr>
      <w:r>
        <w:rPr>
          <w:rFonts w:hint="eastAsia" w:asciiTheme="minorEastAsia" w:hAnsiTheme="minorEastAsia" w:eastAsiaTheme="minorEastAsia" w:cstheme="minorEastAsia"/>
          <w:sz w:val="24"/>
          <w:szCs w:val="24"/>
        </w:rPr>
        <w:t>货币单位：人民币元</w:t>
      </w:r>
    </w:p>
    <w:tbl>
      <w:tblPr>
        <w:tblStyle w:val="51"/>
        <w:tblW w:w="922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0" w:type="dxa"/>
        </w:tblCellMar>
      </w:tblPr>
      <w:tblGrid>
        <w:gridCol w:w="1270"/>
        <w:gridCol w:w="1449"/>
        <w:gridCol w:w="4554"/>
        <w:gridCol w:w="1955"/>
      </w:tblGrid>
      <w:tr w14:paraId="6F84D0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0" w:type="dxa"/>
          </w:tblCellMar>
        </w:tblPrEx>
        <w:trPr>
          <w:trHeight w:val="794" w:hRule="atLeast"/>
        </w:trPr>
        <w:tc>
          <w:tcPr>
            <w:tcW w:w="1270" w:type="dxa"/>
            <w:noWrap w:val="0"/>
            <w:vAlign w:val="center"/>
          </w:tcPr>
          <w:p w14:paraId="06CA35A8">
            <w:pPr>
              <w:jc w:val="center"/>
              <w:rPr>
                <w:rFonts w:hint="eastAsia" w:ascii="宋体" w:hAnsi="宋体"/>
                <w:szCs w:val="21"/>
              </w:rPr>
            </w:pPr>
            <w:r>
              <w:rPr>
                <w:rFonts w:hint="eastAsia" w:ascii="宋体" w:hAnsi="宋体"/>
                <w:szCs w:val="21"/>
              </w:rPr>
              <w:t>序号</w:t>
            </w:r>
          </w:p>
        </w:tc>
        <w:tc>
          <w:tcPr>
            <w:tcW w:w="1449" w:type="dxa"/>
            <w:noWrap w:val="0"/>
            <w:vAlign w:val="center"/>
          </w:tcPr>
          <w:p w14:paraId="73D48516">
            <w:pPr>
              <w:jc w:val="center"/>
              <w:rPr>
                <w:rFonts w:hint="eastAsia" w:ascii="宋体" w:hAnsi="宋体"/>
                <w:szCs w:val="21"/>
              </w:rPr>
            </w:pPr>
            <w:r>
              <w:rPr>
                <w:rFonts w:hint="eastAsia" w:ascii="宋体" w:hAnsi="宋体"/>
                <w:szCs w:val="21"/>
              </w:rPr>
              <w:t>章次</w:t>
            </w:r>
          </w:p>
        </w:tc>
        <w:tc>
          <w:tcPr>
            <w:tcW w:w="4554" w:type="dxa"/>
            <w:noWrap w:val="0"/>
            <w:vAlign w:val="center"/>
          </w:tcPr>
          <w:p w14:paraId="40F1F7AC">
            <w:pPr>
              <w:jc w:val="center"/>
              <w:rPr>
                <w:rFonts w:hint="eastAsia" w:ascii="宋体" w:hAnsi="宋体"/>
                <w:szCs w:val="21"/>
              </w:rPr>
            </w:pPr>
            <w:r>
              <w:rPr>
                <w:rFonts w:hint="eastAsia" w:ascii="宋体" w:hAnsi="宋体"/>
                <w:szCs w:val="21"/>
              </w:rPr>
              <w:t>科目名称</w:t>
            </w:r>
          </w:p>
        </w:tc>
        <w:tc>
          <w:tcPr>
            <w:tcW w:w="1955" w:type="dxa"/>
            <w:noWrap w:val="0"/>
            <w:vAlign w:val="center"/>
          </w:tcPr>
          <w:p w14:paraId="019906B6">
            <w:pPr>
              <w:jc w:val="center"/>
              <w:rPr>
                <w:rFonts w:hint="eastAsia" w:ascii="宋体" w:hAnsi="宋体"/>
                <w:szCs w:val="21"/>
              </w:rPr>
            </w:pPr>
            <w:r>
              <w:rPr>
                <w:rFonts w:hint="eastAsia" w:ascii="宋体" w:hAnsi="宋体"/>
                <w:szCs w:val="21"/>
              </w:rPr>
              <w:t>金额（元）</w:t>
            </w:r>
          </w:p>
        </w:tc>
      </w:tr>
      <w:tr w14:paraId="035FA2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0" w:type="dxa"/>
          </w:tblCellMar>
        </w:tblPrEx>
        <w:trPr>
          <w:trHeight w:val="794" w:hRule="atLeast"/>
        </w:trPr>
        <w:tc>
          <w:tcPr>
            <w:tcW w:w="1270" w:type="dxa"/>
            <w:noWrap w:val="0"/>
            <w:vAlign w:val="center"/>
          </w:tcPr>
          <w:p w14:paraId="467E1FB9">
            <w:pPr>
              <w:widowControl/>
              <w:jc w:val="center"/>
              <w:textAlignment w:val="center"/>
              <w:rPr>
                <w:rFonts w:ascii="宋体" w:hAnsi="宋体" w:cs="宋体"/>
                <w:kern w:val="0"/>
                <w:szCs w:val="21"/>
              </w:rPr>
            </w:pPr>
            <w:r>
              <w:rPr>
                <w:rFonts w:hint="eastAsia" w:ascii="宋体" w:hAnsi="宋体" w:cs="宋体"/>
                <w:color w:val="000000"/>
                <w:kern w:val="0"/>
                <w:szCs w:val="21"/>
                <w:lang w:bidi="ar"/>
              </w:rPr>
              <w:t>1</w:t>
            </w:r>
          </w:p>
        </w:tc>
        <w:tc>
          <w:tcPr>
            <w:tcW w:w="1449" w:type="dxa"/>
            <w:noWrap w:val="0"/>
            <w:vAlign w:val="center"/>
          </w:tcPr>
          <w:p w14:paraId="2C6667AB">
            <w:pPr>
              <w:widowControl/>
              <w:jc w:val="center"/>
              <w:textAlignment w:val="center"/>
              <w:rPr>
                <w:rFonts w:ascii="宋体" w:hAnsi="宋体" w:cs="宋体"/>
                <w:kern w:val="0"/>
                <w:szCs w:val="21"/>
              </w:rPr>
            </w:pPr>
            <w:r>
              <w:rPr>
                <w:rFonts w:hint="eastAsia" w:ascii="宋体" w:hAnsi="宋体" w:cs="宋体"/>
                <w:color w:val="000000"/>
                <w:kern w:val="0"/>
                <w:szCs w:val="21"/>
                <w:lang w:bidi="ar"/>
              </w:rPr>
              <w:t>100</w:t>
            </w:r>
          </w:p>
        </w:tc>
        <w:tc>
          <w:tcPr>
            <w:tcW w:w="4554" w:type="dxa"/>
            <w:noWrap w:val="0"/>
            <w:vAlign w:val="center"/>
          </w:tcPr>
          <w:p w14:paraId="0E4AE19F">
            <w:pPr>
              <w:widowControl/>
              <w:jc w:val="center"/>
              <w:textAlignment w:val="center"/>
              <w:rPr>
                <w:rFonts w:ascii="宋体" w:hAnsi="宋体" w:cs="宋体"/>
                <w:kern w:val="0"/>
                <w:szCs w:val="21"/>
              </w:rPr>
            </w:pPr>
            <w:r>
              <w:rPr>
                <w:rFonts w:hint="eastAsia" w:ascii="宋体" w:hAnsi="宋体" w:cs="宋体"/>
                <w:color w:val="000000"/>
                <w:kern w:val="0"/>
                <w:szCs w:val="21"/>
                <w:lang w:bidi="ar"/>
              </w:rPr>
              <w:t>清单第100章总则</w:t>
            </w:r>
          </w:p>
        </w:tc>
        <w:tc>
          <w:tcPr>
            <w:tcW w:w="1955" w:type="dxa"/>
            <w:noWrap w:val="0"/>
            <w:vAlign w:val="center"/>
          </w:tcPr>
          <w:p w14:paraId="309DDA4E">
            <w:pPr>
              <w:jc w:val="center"/>
              <w:rPr>
                <w:rFonts w:hint="eastAsia" w:ascii="宋体" w:hAnsi="宋体"/>
                <w:szCs w:val="21"/>
              </w:rPr>
            </w:pPr>
          </w:p>
        </w:tc>
      </w:tr>
      <w:tr w14:paraId="190C64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0" w:type="dxa"/>
          </w:tblCellMar>
        </w:tblPrEx>
        <w:trPr>
          <w:trHeight w:val="794" w:hRule="atLeast"/>
        </w:trPr>
        <w:tc>
          <w:tcPr>
            <w:tcW w:w="1270" w:type="dxa"/>
            <w:noWrap w:val="0"/>
            <w:vAlign w:val="center"/>
          </w:tcPr>
          <w:p w14:paraId="0933A9C4">
            <w:pPr>
              <w:widowControl/>
              <w:jc w:val="center"/>
              <w:textAlignment w:val="center"/>
              <w:rPr>
                <w:rFonts w:hint="eastAsia" w:ascii="宋体" w:hAnsi="宋体" w:cs="宋体"/>
                <w:kern w:val="0"/>
                <w:szCs w:val="21"/>
              </w:rPr>
            </w:pPr>
            <w:r>
              <w:rPr>
                <w:rFonts w:hint="eastAsia" w:ascii="宋体" w:hAnsi="宋体" w:cs="宋体"/>
                <w:color w:val="000000"/>
                <w:kern w:val="0"/>
                <w:szCs w:val="21"/>
                <w:lang w:bidi="ar"/>
              </w:rPr>
              <w:t>2</w:t>
            </w:r>
          </w:p>
        </w:tc>
        <w:tc>
          <w:tcPr>
            <w:tcW w:w="1449" w:type="dxa"/>
            <w:noWrap w:val="0"/>
            <w:vAlign w:val="center"/>
          </w:tcPr>
          <w:p w14:paraId="66AB80C0">
            <w:pPr>
              <w:widowControl/>
              <w:jc w:val="center"/>
              <w:textAlignment w:val="center"/>
              <w:rPr>
                <w:rFonts w:hint="eastAsia" w:ascii="宋体" w:hAnsi="宋体" w:cs="宋体"/>
                <w:kern w:val="0"/>
                <w:szCs w:val="21"/>
              </w:rPr>
            </w:pPr>
            <w:r>
              <w:rPr>
                <w:rFonts w:hint="eastAsia" w:ascii="宋体" w:hAnsi="宋体" w:cs="宋体"/>
                <w:color w:val="000000"/>
                <w:kern w:val="0"/>
                <w:szCs w:val="21"/>
                <w:lang w:bidi="ar"/>
              </w:rPr>
              <w:t>200</w:t>
            </w:r>
          </w:p>
        </w:tc>
        <w:tc>
          <w:tcPr>
            <w:tcW w:w="4554" w:type="dxa"/>
            <w:noWrap w:val="0"/>
            <w:vAlign w:val="center"/>
          </w:tcPr>
          <w:p w14:paraId="79D16EBC">
            <w:pPr>
              <w:widowControl/>
              <w:jc w:val="center"/>
              <w:textAlignment w:val="center"/>
              <w:rPr>
                <w:rFonts w:hint="eastAsia" w:ascii="宋体" w:hAnsi="宋体" w:cs="宋体"/>
                <w:kern w:val="0"/>
                <w:szCs w:val="21"/>
              </w:rPr>
            </w:pPr>
            <w:r>
              <w:rPr>
                <w:rFonts w:hint="eastAsia" w:ascii="宋体" w:hAnsi="宋体" w:cs="宋体"/>
                <w:color w:val="000000"/>
                <w:kern w:val="0"/>
                <w:szCs w:val="21"/>
                <w:lang w:bidi="ar"/>
              </w:rPr>
              <w:t>清单第200章路基</w:t>
            </w:r>
          </w:p>
        </w:tc>
        <w:tc>
          <w:tcPr>
            <w:tcW w:w="1955" w:type="dxa"/>
            <w:noWrap w:val="0"/>
            <w:vAlign w:val="center"/>
          </w:tcPr>
          <w:p w14:paraId="1025696A">
            <w:pPr>
              <w:jc w:val="center"/>
              <w:rPr>
                <w:rFonts w:hint="eastAsia" w:ascii="宋体" w:hAnsi="宋体"/>
                <w:szCs w:val="21"/>
              </w:rPr>
            </w:pPr>
          </w:p>
        </w:tc>
      </w:tr>
      <w:tr w14:paraId="2FD7F5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0" w:type="dxa"/>
          </w:tblCellMar>
        </w:tblPrEx>
        <w:trPr>
          <w:trHeight w:val="794" w:hRule="atLeast"/>
        </w:trPr>
        <w:tc>
          <w:tcPr>
            <w:tcW w:w="1270" w:type="dxa"/>
            <w:noWrap w:val="0"/>
            <w:vAlign w:val="center"/>
          </w:tcPr>
          <w:p w14:paraId="57046DD4">
            <w:pPr>
              <w:widowControl/>
              <w:jc w:val="center"/>
              <w:textAlignment w:val="center"/>
              <w:rPr>
                <w:rFonts w:hint="eastAsia" w:ascii="宋体" w:hAnsi="宋体" w:cs="宋体"/>
                <w:kern w:val="0"/>
                <w:szCs w:val="21"/>
              </w:rPr>
            </w:pPr>
            <w:r>
              <w:rPr>
                <w:rFonts w:hint="eastAsia" w:ascii="宋体" w:hAnsi="宋体" w:cs="宋体"/>
                <w:color w:val="000000"/>
                <w:kern w:val="0"/>
                <w:szCs w:val="21"/>
                <w:lang w:bidi="ar"/>
              </w:rPr>
              <w:t>3</w:t>
            </w:r>
          </w:p>
        </w:tc>
        <w:tc>
          <w:tcPr>
            <w:tcW w:w="1449" w:type="dxa"/>
            <w:noWrap w:val="0"/>
            <w:vAlign w:val="center"/>
          </w:tcPr>
          <w:p w14:paraId="7E49D2A1">
            <w:pPr>
              <w:widowControl/>
              <w:jc w:val="center"/>
              <w:textAlignment w:val="center"/>
              <w:rPr>
                <w:rFonts w:ascii="宋体" w:hAnsi="宋体" w:cs="宋体"/>
                <w:kern w:val="0"/>
                <w:szCs w:val="21"/>
              </w:rPr>
            </w:pPr>
            <w:r>
              <w:rPr>
                <w:rFonts w:hint="eastAsia" w:ascii="宋体" w:hAnsi="宋体" w:cs="宋体"/>
                <w:color w:val="000000"/>
                <w:kern w:val="0"/>
                <w:szCs w:val="21"/>
                <w:lang w:bidi="ar"/>
              </w:rPr>
              <w:t>300</w:t>
            </w:r>
          </w:p>
        </w:tc>
        <w:tc>
          <w:tcPr>
            <w:tcW w:w="4554" w:type="dxa"/>
            <w:noWrap w:val="0"/>
            <w:vAlign w:val="center"/>
          </w:tcPr>
          <w:p w14:paraId="22132E4D">
            <w:pPr>
              <w:widowControl/>
              <w:jc w:val="center"/>
              <w:textAlignment w:val="center"/>
              <w:rPr>
                <w:rFonts w:ascii="宋体" w:hAnsi="宋体" w:cs="宋体"/>
                <w:kern w:val="0"/>
                <w:szCs w:val="21"/>
              </w:rPr>
            </w:pPr>
            <w:r>
              <w:rPr>
                <w:rFonts w:hint="eastAsia" w:ascii="宋体" w:hAnsi="宋体" w:cs="宋体"/>
                <w:color w:val="000000"/>
                <w:kern w:val="0"/>
                <w:szCs w:val="21"/>
                <w:lang w:bidi="ar"/>
              </w:rPr>
              <w:t>清单第300章路面</w:t>
            </w:r>
          </w:p>
        </w:tc>
        <w:tc>
          <w:tcPr>
            <w:tcW w:w="1955" w:type="dxa"/>
            <w:noWrap w:val="0"/>
            <w:vAlign w:val="center"/>
          </w:tcPr>
          <w:p w14:paraId="34591443">
            <w:pPr>
              <w:jc w:val="center"/>
              <w:rPr>
                <w:rFonts w:hint="eastAsia" w:ascii="宋体" w:hAnsi="宋体"/>
                <w:szCs w:val="21"/>
              </w:rPr>
            </w:pPr>
          </w:p>
        </w:tc>
      </w:tr>
      <w:tr w14:paraId="794C7C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0" w:type="dxa"/>
          </w:tblCellMar>
        </w:tblPrEx>
        <w:trPr>
          <w:trHeight w:val="794" w:hRule="atLeast"/>
        </w:trPr>
        <w:tc>
          <w:tcPr>
            <w:tcW w:w="1270" w:type="dxa"/>
            <w:noWrap w:val="0"/>
            <w:vAlign w:val="center"/>
          </w:tcPr>
          <w:p w14:paraId="0C7F9425">
            <w:pPr>
              <w:widowControl/>
              <w:jc w:val="center"/>
              <w:textAlignment w:val="center"/>
              <w:rPr>
                <w:rFonts w:hint="eastAsia" w:ascii="宋体" w:hAnsi="宋体" w:eastAsia="宋体" w:cs="宋体"/>
                <w:color w:val="000000"/>
                <w:kern w:val="0"/>
                <w:szCs w:val="21"/>
                <w:lang w:val="en-US" w:eastAsia="zh-CN" w:bidi="ar"/>
              </w:rPr>
            </w:pPr>
            <w:r>
              <w:rPr>
                <w:rFonts w:hint="eastAsia" w:ascii="宋体" w:hAnsi="宋体" w:cs="宋体"/>
                <w:color w:val="000000"/>
                <w:kern w:val="0"/>
                <w:szCs w:val="21"/>
                <w:lang w:val="en-US" w:eastAsia="zh-CN" w:bidi="ar"/>
              </w:rPr>
              <w:t>4</w:t>
            </w:r>
          </w:p>
        </w:tc>
        <w:tc>
          <w:tcPr>
            <w:tcW w:w="1449" w:type="dxa"/>
            <w:noWrap w:val="0"/>
            <w:vAlign w:val="center"/>
          </w:tcPr>
          <w:p w14:paraId="5FB36D14">
            <w:pPr>
              <w:widowControl/>
              <w:jc w:val="center"/>
              <w:textAlignment w:val="center"/>
              <w:rPr>
                <w:rFonts w:hint="default" w:ascii="宋体" w:hAnsi="宋体" w:eastAsia="宋体" w:cs="宋体"/>
                <w:color w:val="000000"/>
                <w:kern w:val="0"/>
                <w:szCs w:val="21"/>
                <w:lang w:val="en-US" w:eastAsia="zh-CN" w:bidi="ar"/>
              </w:rPr>
            </w:pPr>
            <w:r>
              <w:rPr>
                <w:rFonts w:hint="eastAsia" w:ascii="宋体" w:hAnsi="宋体" w:cs="宋体"/>
                <w:color w:val="000000"/>
                <w:kern w:val="0"/>
                <w:szCs w:val="21"/>
                <w:lang w:val="en-US" w:eastAsia="zh-CN" w:bidi="ar"/>
              </w:rPr>
              <w:t>400</w:t>
            </w:r>
          </w:p>
        </w:tc>
        <w:tc>
          <w:tcPr>
            <w:tcW w:w="4554" w:type="dxa"/>
            <w:noWrap w:val="0"/>
            <w:vAlign w:val="center"/>
          </w:tcPr>
          <w:p w14:paraId="73D05BBF">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清单第</w:t>
            </w:r>
            <w:r>
              <w:rPr>
                <w:rFonts w:hint="eastAsia" w:ascii="宋体" w:hAnsi="宋体" w:cs="宋体"/>
                <w:color w:val="000000"/>
                <w:kern w:val="0"/>
                <w:szCs w:val="21"/>
                <w:lang w:val="en-US" w:eastAsia="zh-CN" w:bidi="ar"/>
              </w:rPr>
              <w:t>4</w:t>
            </w:r>
            <w:r>
              <w:rPr>
                <w:rFonts w:hint="eastAsia" w:ascii="宋体" w:hAnsi="宋体" w:cs="宋体"/>
                <w:color w:val="000000"/>
                <w:kern w:val="0"/>
                <w:szCs w:val="21"/>
                <w:lang w:bidi="ar"/>
              </w:rPr>
              <w:t>00章桥梁与涵洞</w:t>
            </w:r>
          </w:p>
        </w:tc>
        <w:tc>
          <w:tcPr>
            <w:tcW w:w="1955" w:type="dxa"/>
            <w:noWrap w:val="0"/>
            <w:vAlign w:val="center"/>
          </w:tcPr>
          <w:p w14:paraId="6D23BD91">
            <w:pPr>
              <w:jc w:val="center"/>
              <w:rPr>
                <w:rFonts w:hint="eastAsia" w:ascii="宋体" w:hAnsi="宋体"/>
                <w:szCs w:val="21"/>
              </w:rPr>
            </w:pPr>
          </w:p>
        </w:tc>
      </w:tr>
      <w:tr w14:paraId="0F3A7F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0" w:type="dxa"/>
          </w:tblCellMar>
        </w:tblPrEx>
        <w:trPr>
          <w:trHeight w:val="794" w:hRule="atLeast"/>
        </w:trPr>
        <w:tc>
          <w:tcPr>
            <w:tcW w:w="1270" w:type="dxa"/>
            <w:noWrap w:val="0"/>
            <w:vAlign w:val="center"/>
          </w:tcPr>
          <w:p w14:paraId="4D8FBB20">
            <w:pPr>
              <w:widowControl/>
              <w:jc w:val="center"/>
              <w:textAlignment w:val="center"/>
              <w:rPr>
                <w:rFonts w:hint="eastAsia" w:ascii="宋体" w:hAnsi="宋体" w:eastAsia="宋体"/>
                <w:lang w:eastAsia="zh-CN"/>
              </w:rPr>
            </w:pPr>
            <w:r>
              <w:rPr>
                <w:rFonts w:hint="eastAsia" w:ascii="宋体" w:hAnsi="宋体" w:cs="宋体"/>
                <w:color w:val="000000"/>
                <w:kern w:val="0"/>
                <w:szCs w:val="21"/>
                <w:lang w:val="en-US" w:eastAsia="zh-CN" w:bidi="ar"/>
              </w:rPr>
              <w:t>5</w:t>
            </w:r>
          </w:p>
        </w:tc>
        <w:tc>
          <w:tcPr>
            <w:tcW w:w="6003" w:type="dxa"/>
            <w:gridSpan w:val="2"/>
            <w:noWrap w:val="0"/>
            <w:vAlign w:val="center"/>
          </w:tcPr>
          <w:p w14:paraId="506146AE">
            <w:pPr>
              <w:widowControl/>
              <w:jc w:val="center"/>
              <w:textAlignment w:val="center"/>
              <w:rPr>
                <w:rFonts w:hint="eastAsia" w:ascii="宋体" w:hAnsi="宋体"/>
              </w:rPr>
            </w:pPr>
            <w:r>
              <w:rPr>
                <w:rFonts w:hint="eastAsia" w:ascii="宋体" w:hAnsi="宋体" w:cs="宋体"/>
                <w:color w:val="000000"/>
                <w:kern w:val="0"/>
                <w:szCs w:val="21"/>
                <w:lang w:bidi="ar"/>
              </w:rPr>
              <w:t>第100章至第</w:t>
            </w:r>
            <w:r>
              <w:rPr>
                <w:rFonts w:hint="eastAsia" w:ascii="宋体" w:hAnsi="宋体" w:cs="宋体"/>
                <w:color w:val="000000"/>
                <w:kern w:val="0"/>
                <w:szCs w:val="21"/>
                <w:lang w:val="en-US" w:eastAsia="zh-CN" w:bidi="ar"/>
              </w:rPr>
              <w:t>4</w:t>
            </w:r>
            <w:r>
              <w:rPr>
                <w:rFonts w:hint="eastAsia" w:ascii="宋体" w:hAnsi="宋体" w:cs="宋体"/>
                <w:color w:val="000000"/>
                <w:kern w:val="0"/>
                <w:szCs w:val="21"/>
                <w:lang w:bidi="ar"/>
              </w:rPr>
              <w:t>00章合计</w:t>
            </w:r>
          </w:p>
        </w:tc>
        <w:tc>
          <w:tcPr>
            <w:tcW w:w="1955" w:type="dxa"/>
            <w:noWrap w:val="0"/>
            <w:vAlign w:val="top"/>
          </w:tcPr>
          <w:p w14:paraId="273756A9">
            <w:pPr>
              <w:jc w:val="center"/>
              <w:rPr>
                <w:rFonts w:hint="eastAsia" w:ascii="宋体" w:hAnsi="宋体"/>
                <w:szCs w:val="21"/>
              </w:rPr>
            </w:pPr>
          </w:p>
        </w:tc>
      </w:tr>
      <w:tr w14:paraId="2B89B5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0" w:type="dxa"/>
          </w:tblCellMar>
        </w:tblPrEx>
        <w:trPr>
          <w:trHeight w:val="794" w:hRule="atLeast"/>
        </w:trPr>
        <w:tc>
          <w:tcPr>
            <w:tcW w:w="1270" w:type="dxa"/>
            <w:noWrap w:val="0"/>
            <w:vAlign w:val="center"/>
          </w:tcPr>
          <w:p w14:paraId="3119133E">
            <w:pPr>
              <w:widowControl/>
              <w:jc w:val="center"/>
              <w:textAlignment w:val="center"/>
              <w:rPr>
                <w:rFonts w:hint="eastAsia" w:ascii="宋体" w:hAnsi="宋体" w:eastAsia="宋体"/>
                <w:lang w:eastAsia="zh-CN"/>
              </w:rPr>
            </w:pPr>
            <w:r>
              <w:rPr>
                <w:rFonts w:hint="eastAsia" w:ascii="宋体" w:hAnsi="宋体" w:cs="宋体"/>
                <w:color w:val="000000"/>
                <w:kern w:val="0"/>
                <w:szCs w:val="21"/>
                <w:lang w:val="en-US" w:eastAsia="zh-CN" w:bidi="ar"/>
              </w:rPr>
              <w:t>6</w:t>
            </w:r>
          </w:p>
        </w:tc>
        <w:tc>
          <w:tcPr>
            <w:tcW w:w="6003" w:type="dxa"/>
            <w:gridSpan w:val="2"/>
            <w:noWrap w:val="0"/>
            <w:vAlign w:val="center"/>
          </w:tcPr>
          <w:p w14:paraId="2EDEE7B2">
            <w:pPr>
              <w:widowControl/>
              <w:jc w:val="center"/>
              <w:textAlignment w:val="center"/>
              <w:rPr>
                <w:rFonts w:ascii="宋体" w:hAnsi="宋体"/>
              </w:rPr>
            </w:pPr>
            <w:r>
              <w:rPr>
                <w:rFonts w:hint="eastAsia" w:ascii="宋体" w:hAnsi="宋体" w:cs="宋体"/>
                <w:color w:val="000000"/>
                <w:kern w:val="0"/>
                <w:szCs w:val="21"/>
                <w:lang w:bidi="ar"/>
              </w:rPr>
              <w:t>已包含在清单合计中的材料、工程设备、专业工程暂估价合计</w:t>
            </w:r>
          </w:p>
        </w:tc>
        <w:tc>
          <w:tcPr>
            <w:tcW w:w="1955" w:type="dxa"/>
            <w:noWrap w:val="0"/>
            <w:vAlign w:val="top"/>
          </w:tcPr>
          <w:p w14:paraId="79EF1716">
            <w:pPr>
              <w:jc w:val="center"/>
              <w:rPr>
                <w:rFonts w:hint="eastAsia" w:ascii="宋体" w:hAnsi="宋体"/>
                <w:szCs w:val="21"/>
              </w:rPr>
            </w:pPr>
          </w:p>
        </w:tc>
      </w:tr>
      <w:tr w14:paraId="5546D3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0" w:type="dxa"/>
          </w:tblCellMar>
        </w:tblPrEx>
        <w:trPr>
          <w:trHeight w:val="794" w:hRule="atLeast"/>
        </w:trPr>
        <w:tc>
          <w:tcPr>
            <w:tcW w:w="1270" w:type="dxa"/>
            <w:noWrap w:val="0"/>
            <w:vAlign w:val="center"/>
          </w:tcPr>
          <w:p w14:paraId="4808B587">
            <w:pPr>
              <w:widowControl/>
              <w:jc w:val="center"/>
              <w:textAlignment w:val="center"/>
              <w:rPr>
                <w:rFonts w:hint="eastAsia" w:ascii="宋体" w:hAnsi="宋体" w:eastAsia="宋体"/>
                <w:lang w:eastAsia="zh-CN"/>
              </w:rPr>
            </w:pPr>
            <w:r>
              <w:rPr>
                <w:rFonts w:hint="eastAsia" w:ascii="宋体" w:hAnsi="宋体" w:cs="宋体"/>
                <w:color w:val="000000"/>
                <w:kern w:val="0"/>
                <w:szCs w:val="21"/>
                <w:lang w:val="en-US" w:eastAsia="zh-CN" w:bidi="ar"/>
              </w:rPr>
              <w:t>7</w:t>
            </w:r>
          </w:p>
        </w:tc>
        <w:tc>
          <w:tcPr>
            <w:tcW w:w="6003" w:type="dxa"/>
            <w:gridSpan w:val="2"/>
            <w:noWrap w:val="0"/>
            <w:vAlign w:val="center"/>
          </w:tcPr>
          <w:p w14:paraId="53BAFA50">
            <w:pPr>
              <w:widowControl/>
              <w:jc w:val="center"/>
              <w:textAlignment w:val="center"/>
              <w:rPr>
                <w:rFonts w:hint="eastAsia" w:ascii="宋体" w:hAnsi="宋体"/>
              </w:rPr>
            </w:pPr>
            <w:r>
              <w:rPr>
                <w:rFonts w:hint="eastAsia" w:ascii="宋体" w:hAnsi="宋体" w:cs="宋体"/>
                <w:color w:val="000000"/>
                <w:kern w:val="0"/>
                <w:szCs w:val="21"/>
                <w:lang w:bidi="ar"/>
              </w:rPr>
              <w:t>清单合计减去材料、工程设备、专业工程暂估价合计</w:t>
            </w:r>
          </w:p>
        </w:tc>
        <w:tc>
          <w:tcPr>
            <w:tcW w:w="1955" w:type="dxa"/>
            <w:noWrap w:val="0"/>
            <w:vAlign w:val="top"/>
          </w:tcPr>
          <w:p w14:paraId="40ECE638">
            <w:pPr>
              <w:jc w:val="center"/>
              <w:rPr>
                <w:rFonts w:hint="eastAsia" w:ascii="宋体" w:hAnsi="宋体"/>
                <w:szCs w:val="21"/>
              </w:rPr>
            </w:pPr>
          </w:p>
        </w:tc>
      </w:tr>
      <w:tr w14:paraId="6F804F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0" w:type="dxa"/>
          </w:tblCellMar>
        </w:tblPrEx>
        <w:trPr>
          <w:trHeight w:val="794" w:hRule="atLeast"/>
        </w:trPr>
        <w:tc>
          <w:tcPr>
            <w:tcW w:w="1270" w:type="dxa"/>
            <w:noWrap w:val="0"/>
            <w:vAlign w:val="center"/>
          </w:tcPr>
          <w:p w14:paraId="4472BB80">
            <w:pPr>
              <w:widowControl/>
              <w:jc w:val="center"/>
              <w:textAlignment w:val="center"/>
              <w:rPr>
                <w:rFonts w:hint="eastAsia" w:ascii="宋体" w:hAnsi="宋体" w:eastAsia="宋体"/>
                <w:lang w:eastAsia="zh-CN"/>
              </w:rPr>
            </w:pPr>
            <w:r>
              <w:rPr>
                <w:rFonts w:hint="eastAsia" w:ascii="宋体" w:hAnsi="宋体" w:cs="宋体"/>
                <w:color w:val="000000"/>
                <w:kern w:val="0"/>
                <w:szCs w:val="21"/>
                <w:lang w:val="en-US" w:eastAsia="zh-CN" w:bidi="ar"/>
              </w:rPr>
              <w:t>8</w:t>
            </w:r>
          </w:p>
        </w:tc>
        <w:tc>
          <w:tcPr>
            <w:tcW w:w="6003" w:type="dxa"/>
            <w:gridSpan w:val="2"/>
            <w:noWrap w:val="0"/>
            <w:vAlign w:val="center"/>
          </w:tcPr>
          <w:p w14:paraId="69D2BEEF">
            <w:pPr>
              <w:widowControl/>
              <w:jc w:val="center"/>
              <w:textAlignment w:val="center"/>
              <w:rPr>
                <w:rFonts w:hint="eastAsia" w:ascii="宋体" w:hAnsi="宋体"/>
              </w:rPr>
            </w:pPr>
            <w:r>
              <w:rPr>
                <w:rFonts w:hint="eastAsia" w:ascii="宋体" w:hAnsi="宋体" w:cs="宋体"/>
                <w:color w:val="000000"/>
                <w:kern w:val="0"/>
                <w:szCs w:val="21"/>
                <w:lang w:bidi="ar"/>
              </w:rPr>
              <w:t>计日工合计</w:t>
            </w:r>
          </w:p>
        </w:tc>
        <w:tc>
          <w:tcPr>
            <w:tcW w:w="1955" w:type="dxa"/>
            <w:noWrap w:val="0"/>
            <w:vAlign w:val="top"/>
          </w:tcPr>
          <w:p w14:paraId="6567C6BB">
            <w:pPr>
              <w:jc w:val="center"/>
              <w:rPr>
                <w:rFonts w:hint="eastAsia" w:ascii="宋体" w:hAnsi="宋体"/>
                <w:szCs w:val="21"/>
              </w:rPr>
            </w:pPr>
          </w:p>
        </w:tc>
      </w:tr>
      <w:tr w14:paraId="17FD88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0" w:type="dxa"/>
          </w:tblCellMar>
        </w:tblPrEx>
        <w:trPr>
          <w:trHeight w:val="794" w:hRule="atLeast"/>
        </w:trPr>
        <w:tc>
          <w:tcPr>
            <w:tcW w:w="1270" w:type="dxa"/>
            <w:noWrap w:val="0"/>
            <w:vAlign w:val="center"/>
          </w:tcPr>
          <w:p w14:paraId="1C80D1C0">
            <w:pPr>
              <w:widowControl/>
              <w:jc w:val="center"/>
              <w:textAlignment w:val="center"/>
              <w:rPr>
                <w:rFonts w:hint="eastAsia" w:ascii="宋体" w:hAnsi="宋体" w:eastAsia="宋体"/>
                <w:lang w:eastAsia="zh-CN"/>
              </w:rPr>
            </w:pPr>
            <w:r>
              <w:rPr>
                <w:rFonts w:hint="eastAsia" w:ascii="宋体" w:hAnsi="宋体" w:cs="宋体"/>
                <w:color w:val="000000"/>
                <w:kern w:val="0"/>
                <w:szCs w:val="21"/>
                <w:lang w:val="en-US" w:eastAsia="zh-CN" w:bidi="ar"/>
              </w:rPr>
              <w:t>9</w:t>
            </w:r>
          </w:p>
        </w:tc>
        <w:tc>
          <w:tcPr>
            <w:tcW w:w="6003" w:type="dxa"/>
            <w:gridSpan w:val="2"/>
            <w:noWrap w:val="0"/>
            <w:vAlign w:val="center"/>
          </w:tcPr>
          <w:p w14:paraId="4C8DC66B">
            <w:pPr>
              <w:widowControl/>
              <w:jc w:val="center"/>
              <w:textAlignment w:val="center"/>
              <w:rPr>
                <w:rFonts w:hint="eastAsia" w:ascii="宋体" w:hAnsi="宋体"/>
              </w:rPr>
            </w:pPr>
            <w:r>
              <w:rPr>
                <w:rFonts w:hint="eastAsia" w:ascii="宋体" w:hAnsi="宋体" w:cs="宋体"/>
                <w:color w:val="000000"/>
                <w:kern w:val="0"/>
                <w:szCs w:val="21"/>
                <w:lang w:bidi="ar"/>
              </w:rPr>
              <w:t>暂列金额（不含计日工总额）</w:t>
            </w:r>
          </w:p>
        </w:tc>
        <w:tc>
          <w:tcPr>
            <w:tcW w:w="1955" w:type="dxa"/>
            <w:noWrap w:val="0"/>
            <w:vAlign w:val="top"/>
          </w:tcPr>
          <w:p w14:paraId="2C076A6A">
            <w:pPr>
              <w:jc w:val="center"/>
              <w:rPr>
                <w:rFonts w:hint="eastAsia" w:ascii="宋体" w:hAnsi="宋体"/>
                <w:szCs w:val="21"/>
              </w:rPr>
            </w:pPr>
          </w:p>
        </w:tc>
      </w:tr>
      <w:tr w14:paraId="5F993A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0" w:type="dxa"/>
          </w:tblCellMar>
        </w:tblPrEx>
        <w:trPr>
          <w:trHeight w:val="794" w:hRule="atLeast"/>
        </w:trPr>
        <w:tc>
          <w:tcPr>
            <w:tcW w:w="1270" w:type="dxa"/>
            <w:noWrap w:val="0"/>
            <w:vAlign w:val="center"/>
          </w:tcPr>
          <w:p w14:paraId="4F47A259">
            <w:pPr>
              <w:widowControl/>
              <w:jc w:val="center"/>
              <w:textAlignment w:val="center"/>
              <w:rPr>
                <w:rFonts w:hint="default" w:ascii="宋体" w:hAnsi="宋体" w:eastAsia="宋体"/>
                <w:lang w:val="en-US" w:eastAsia="zh-CN"/>
              </w:rPr>
            </w:pPr>
            <w:r>
              <w:rPr>
                <w:rFonts w:hint="eastAsia" w:ascii="宋体" w:hAnsi="宋体" w:cs="宋体"/>
                <w:color w:val="000000"/>
                <w:kern w:val="0"/>
                <w:szCs w:val="21"/>
                <w:lang w:val="en-US" w:eastAsia="zh-CN" w:bidi="ar"/>
              </w:rPr>
              <w:t>10</w:t>
            </w:r>
          </w:p>
        </w:tc>
        <w:tc>
          <w:tcPr>
            <w:tcW w:w="6003" w:type="dxa"/>
            <w:gridSpan w:val="2"/>
            <w:noWrap w:val="0"/>
            <w:vAlign w:val="center"/>
          </w:tcPr>
          <w:p w14:paraId="5B1816B0">
            <w:pPr>
              <w:widowControl/>
              <w:jc w:val="center"/>
              <w:textAlignment w:val="center"/>
              <w:rPr>
                <w:rFonts w:hint="eastAsia" w:ascii="宋体" w:hAnsi="宋体"/>
              </w:rPr>
            </w:pPr>
            <w:r>
              <w:rPr>
                <w:rFonts w:hint="eastAsia" w:ascii="宋体" w:hAnsi="宋体" w:cs="宋体"/>
                <w:color w:val="000000"/>
                <w:kern w:val="0"/>
                <w:szCs w:val="21"/>
                <w:lang w:bidi="ar"/>
              </w:rPr>
              <w:t>投标</w:t>
            </w:r>
            <w:r>
              <w:rPr>
                <w:rFonts w:hint="eastAsia" w:ascii="宋体" w:hAnsi="宋体" w:cs="宋体"/>
                <w:color w:val="000000"/>
                <w:kern w:val="0"/>
                <w:szCs w:val="21"/>
                <w:lang w:val="en-US" w:eastAsia="zh-CN" w:bidi="ar"/>
              </w:rPr>
              <w:t>总</w:t>
            </w:r>
            <w:r>
              <w:rPr>
                <w:rFonts w:hint="eastAsia" w:ascii="宋体" w:hAnsi="宋体" w:cs="宋体"/>
                <w:color w:val="000000"/>
                <w:kern w:val="0"/>
                <w:szCs w:val="21"/>
                <w:lang w:bidi="ar"/>
              </w:rPr>
              <w:t>报价</w:t>
            </w:r>
          </w:p>
        </w:tc>
        <w:tc>
          <w:tcPr>
            <w:tcW w:w="1955" w:type="dxa"/>
            <w:noWrap w:val="0"/>
            <w:vAlign w:val="top"/>
          </w:tcPr>
          <w:p w14:paraId="7EE1C849">
            <w:pPr>
              <w:jc w:val="center"/>
              <w:rPr>
                <w:rFonts w:hint="eastAsia" w:ascii="宋体" w:hAnsi="宋体"/>
                <w:szCs w:val="21"/>
              </w:rPr>
            </w:pPr>
          </w:p>
        </w:tc>
      </w:tr>
    </w:tbl>
    <w:p w14:paraId="6D116118">
      <w:pPr>
        <w:spacing w:line="340" w:lineRule="exact"/>
        <w:rPr>
          <w:rFonts w:hint="eastAsia"/>
          <w:sz w:val="24"/>
          <w:szCs w:val="21"/>
        </w:rPr>
      </w:pPr>
    </w:p>
    <w:p w14:paraId="54D5CE98">
      <w:pPr>
        <w:keepNext w:val="0"/>
        <w:keepLines w:val="0"/>
        <w:pageBreakBefore w:val="0"/>
        <w:kinsoku/>
        <w:wordWrap/>
        <w:overflowPunct/>
        <w:topLinePunct w:val="0"/>
        <w:autoSpaceDE w:val="0"/>
        <w:autoSpaceDN w:val="0"/>
        <w:bidi w:val="0"/>
        <w:adjustRightInd w:val="0"/>
        <w:spacing w:line="360" w:lineRule="auto"/>
        <w:ind w:firstLine="880" w:firstLineChars="200"/>
        <w:jc w:val="both"/>
        <w:rPr>
          <w:rStyle w:val="59"/>
          <w:rFonts w:hint="eastAsia" w:asciiTheme="minorEastAsia" w:hAnsiTheme="minorEastAsia" w:eastAsiaTheme="minorEastAsia" w:cstheme="minorEastAsia"/>
          <w:kern w:val="0"/>
          <w:sz w:val="24"/>
          <w:szCs w:val="24"/>
          <w:highlight w:val="none"/>
        </w:rPr>
      </w:pPr>
      <w:r>
        <w:rPr>
          <w:rFonts w:hint="eastAsia" w:ascii="黑体" w:hAnsi="华文楷体" w:eastAsia="黑体"/>
          <w:sz w:val="44"/>
        </w:rPr>
        <w:br w:type="page"/>
      </w:r>
      <w:r>
        <w:rPr>
          <w:rFonts w:hint="eastAsia" w:asciiTheme="minorEastAsia" w:hAnsiTheme="minorEastAsia" w:eastAsiaTheme="minorEastAsia" w:cstheme="minorEastAsia"/>
          <w:b/>
          <w:sz w:val="24"/>
          <w:szCs w:val="24"/>
          <w:highlight w:val="none"/>
        </w:rPr>
        <w:t>第二标段：</w:t>
      </w:r>
      <w:r>
        <w:rPr>
          <w:rStyle w:val="59"/>
          <w:rFonts w:hint="eastAsia" w:asciiTheme="minorEastAsia" w:hAnsiTheme="minorEastAsia" w:eastAsiaTheme="minorEastAsia" w:cstheme="minorEastAsia"/>
          <w:b w:val="0"/>
          <w:bCs w:val="0"/>
          <w:kern w:val="0"/>
          <w:sz w:val="24"/>
          <w:szCs w:val="24"/>
          <w:highlight w:val="none"/>
          <w:lang w:val="en-US" w:eastAsia="zh-CN" w:bidi="ar-SA"/>
        </w:rPr>
        <w:t>工程量清单</w:t>
      </w:r>
    </w:p>
    <w:p w14:paraId="70ADA3CE">
      <w:pPr>
        <w:outlineLvl w:val="0"/>
        <w:rPr>
          <w:rFonts w:hint="eastAsia" w:ascii="宋体" w:hAnsi="宋体"/>
          <w:b/>
          <w:bCs/>
          <w:sz w:val="24"/>
        </w:rPr>
      </w:pPr>
      <w:r>
        <w:rPr>
          <w:rFonts w:hint="eastAsia" w:ascii="宋体" w:hAnsi="宋体"/>
          <w:b/>
          <w:bCs/>
          <w:sz w:val="24"/>
        </w:rPr>
        <w:t>1．工程量清单说明</w:t>
      </w:r>
    </w:p>
    <w:p w14:paraId="27F542AA">
      <w:pPr>
        <w:widowControl/>
        <w:numPr>
          <w:ilvl w:val="0"/>
          <w:numId w:val="11"/>
        </w:numPr>
        <w:shd w:val="clear" w:color="FFFFFF" w:fill="FFFFFF"/>
        <w:tabs>
          <w:tab w:val="left" w:pos="360"/>
        </w:tabs>
        <w:spacing w:line="420" w:lineRule="exact"/>
        <w:ind w:firstLine="420" w:firstLineChars="200"/>
        <w:jc w:val="left"/>
        <w:rPr>
          <w:kern w:val="0"/>
          <w:szCs w:val="21"/>
        </w:rPr>
      </w:pPr>
      <w:r>
        <w:rPr>
          <w:rFonts w:eastAsia="黑体"/>
          <w:kern w:val="0"/>
          <w:szCs w:val="21"/>
        </w:rPr>
        <w:t>1.1</w:t>
      </w:r>
      <w:r>
        <w:rPr>
          <w:rFonts w:hint="eastAsia" w:ascii="黑体" w:eastAsia="黑体"/>
          <w:kern w:val="0"/>
          <w:szCs w:val="21"/>
        </w:rPr>
        <w:t xml:space="preserve">  </w:t>
      </w:r>
      <w:r>
        <w:rPr>
          <w:rFonts w:hint="eastAsia" w:ascii="宋体" w:hAnsi="宋体"/>
          <w:kern w:val="0"/>
          <w:szCs w:val="21"/>
        </w:rPr>
        <w:t>本</w:t>
      </w:r>
      <w:r>
        <w:rPr>
          <w:rFonts w:ascii="宋体" w:hAnsi="宋体"/>
          <w:kern w:val="0"/>
          <w:szCs w:val="21"/>
        </w:rPr>
        <w:t>工程量清单</w:t>
      </w:r>
      <w:r>
        <w:rPr>
          <w:rFonts w:hint="eastAsia" w:ascii="宋体" w:hAnsi="宋体"/>
          <w:kern w:val="0"/>
          <w:szCs w:val="21"/>
        </w:rPr>
        <w:t>是根据招标文件中包括的、有合同约束力的图纸以及有关工程量清单的国家标准、地方标准、行业标准、合同条款中约定的工程量计算规则编制；</w:t>
      </w:r>
      <w:r>
        <w:rPr>
          <w:rFonts w:hAnsi="宋体"/>
          <w:kern w:val="0"/>
          <w:szCs w:val="21"/>
        </w:rPr>
        <w:t>依据浙江省《交通养护工程工程量清单计价规范》（</w:t>
      </w:r>
      <w:r>
        <w:rPr>
          <w:kern w:val="0"/>
          <w:szCs w:val="21"/>
        </w:rPr>
        <w:t>DB33/T751-2009</w:t>
      </w:r>
      <w:r>
        <w:rPr>
          <w:rFonts w:hAnsi="宋体"/>
          <w:kern w:val="0"/>
          <w:szCs w:val="21"/>
        </w:rPr>
        <w:t>）</w:t>
      </w:r>
      <w:r>
        <w:rPr>
          <w:rFonts w:hAnsi="宋体"/>
          <w:bCs/>
          <w:kern w:val="0"/>
          <w:szCs w:val="21"/>
        </w:rPr>
        <w:t>第一部分</w:t>
      </w:r>
      <w:r>
        <w:rPr>
          <w:rFonts w:hint="eastAsia"/>
          <w:bCs/>
          <w:kern w:val="0"/>
          <w:szCs w:val="21"/>
        </w:rPr>
        <w:t xml:space="preserve"> “</w:t>
      </w:r>
      <w:r>
        <w:rPr>
          <w:rFonts w:hAnsi="宋体"/>
          <w:bCs/>
          <w:kern w:val="0"/>
          <w:szCs w:val="21"/>
        </w:rPr>
        <w:t>公路小修保养工程工程量清单计价规范</w:t>
      </w:r>
      <w:r>
        <w:rPr>
          <w:rFonts w:hint="eastAsia"/>
          <w:bCs/>
          <w:kern w:val="0"/>
          <w:szCs w:val="21"/>
        </w:rPr>
        <w:t>”</w:t>
      </w:r>
      <w:r>
        <w:rPr>
          <w:rFonts w:hAnsi="宋体"/>
          <w:bCs/>
          <w:kern w:val="0"/>
          <w:szCs w:val="21"/>
        </w:rPr>
        <w:t xml:space="preserve"> 中</w:t>
      </w:r>
      <w:r>
        <w:rPr>
          <w:rFonts w:hint="eastAsia" w:hAnsi="宋体"/>
          <w:bCs/>
          <w:kern w:val="0"/>
          <w:szCs w:val="21"/>
        </w:rPr>
        <w:t>的</w:t>
      </w:r>
      <w:r>
        <w:rPr>
          <w:rFonts w:hAnsi="宋体"/>
          <w:kern w:val="0"/>
          <w:szCs w:val="21"/>
        </w:rPr>
        <w:t>工程量清单计价、工程量清单计价格式和计价要求等进行编制</w:t>
      </w:r>
      <w:r>
        <w:rPr>
          <w:rFonts w:hint="eastAsia" w:hAnsi="宋体"/>
          <w:kern w:val="0"/>
          <w:szCs w:val="21"/>
        </w:rPr>
        <w:t>。</w:t>
      </w:r>
    </w:p>
    <w:p w14:paraId="7A8B15AA">
      <w:pPr>
        <w:spacing w:line="420" w:lineRule="exact"/>
        <w:ind w:firstLine="420" w:firstLineChars="200"/>
        <w:jc w:val="left"/>
        <w:rPr>
          <w:rFonts w:hint="eastAsia"/>
          <w:szCs w:val="21"/>
        </w:rPr>
      </w:pPr>
      <w:r>
        <w:rPr>
          <w:szCs w:val="21"/>
        </w:rPr>
        <w:t>1.2  本工程量清单应与招标文件中的投标人须知、通用合同条款、</w:t>
      </w:r>
      <w:r>
        <w:rPr>
          <w:rFonts w:hint="eastAsia"/>
          <w:szCs w:val="21"/>
        </w:rPr>
        <w:t>项目</w:t>
      </w:r>
      <w:r>
        <w:rPr>
          <w:szCs w:val="21"/>
        </w:rPr>
        <w:t>专用合同条款、技术规范等一起阅读和理解</w:t>
      </w:r>
      <w:r>
        <w:rPr>
          <w:rFonts w:hint="eastAsia"/>
          <w:szCs w:val="21"/>
        </w:rPr>
        <w:t>。</w:t>
      </w:r>
    </w:p>
    <w:p w14:paraId="3A3CE8F1">
      <w:pPr>
        <w:spacing w:line="420" w:lineRule="exact"/>
        <w:ind w:firstLine="420" w:firstLineChars="200"/>
        <w:rPr>
          <w:rFonts w:hint="eastAsia"/>
          <w:szCs w:val="21"/>
        </w:rPr>
      </w:pPr>
      <w:r>
        <w:rPr>
          <w:szCs w:val="21"/>
        </w:rPr>
        <w:t>1.3  本工程量清单中所列</w:t>
      </w:r>
      <w:r>
        <w:rPr>
          <w:rFonts w:hint="eastAsia"/>
          <w:szCs w:val="21"/>
        </w:rPr>
        <w:t>“一类项目”（指工程量清单第1000章中项目名称）</w:t>
      </w:r>
      <w:r>
        <w:rPr>
          <w:szCs w:val="21"/>
        </w:rPr>
        <w:t>工程量是</w:t>
      </w:r>
      <w:r>
        <w:rPr>
          <w:rFonts w:hint="eastAsia"/>
          <w:szCs w:val="21"/>
        </w:rPr>
        <w:t>根据实际情况确定的工程数量；“二类项目”（指工程量清单第100章</w:t>
      </w:r>
      <w:r>
        <w:rPr>
          <w:szCs w:val="21"/>
        </w:rPr>
        <w:t>~</w:t>
      </w:r>
      <w:r>
        <w:rPr>
          <w:rFonts w:hint="eastAsia"/>
          <w:szCs w:val="21"/>
        </w:rPr>
        <w:t>第700章中子目名称）工程量为暂定的工程数量，是</w:t>
      </w:r>
      <w:r>
        <w:rPr>
          <w:szCs w:val="21"/>
        </w:rPr>
        <w:t>估算的或</w:t>
      </w:r>
      <w:r>
        <w:rPr>
          <w:rFonts w:hint="eastAsia"/>
          <w:szCs w:val="21"/>
        </w:rPr>
        <w:t>是</w:t>
      </w:r>
      <w:r>
        <w:rPr>
          <w:szCs w:val="21"/>
        </w:rPr>
        <w:t>预计的数量，仅作为投标报价的共同基础，不能作为最终结算与支付的依据</w:t>
      </w:r>
      <w:r>
        <w:rPr>
          <w:rFonts w:hint="eastAsia"/>
          <w:szCs w:val="21"/>
        </w:rPr>
        <w:t>，</w:t>
      </w:r>
      <w:r>
        <w:rPr>
          <w:szCs w:val="21"/>
        </w:rPr>
        <w:t>实际支付应按</w:t>
      </w:r>
      <w:r>
        <w:rPr>
          <w:rFonts w:hint="eastAsia"/>
          <w:szCs w:val="21"/>
        </w:rPr>
        <w:t>承包人</w:t>
      </w:r>
      <w:r>
        <w:rPr>
          <w:szCs w:val="21"/>
        </w:rPr>
        <w:t>完成的实际工程量，由承包人按技术规范规定的计量方法，以</w:t>
      </w:r>
      <w:r>
        <w:rPr>
          <w:rFonts w:hint="eastAsia"/>
          <w:szCs w:val="21"/>
        </w:rPr>
        <w:t>发包</w:t>
      </w:r>
      <w:r>
        <w:rPr>
          <w:szCs w:val="21"/>
        </w:rPr>
        <w:t>人认可的尺寸、断面计量，按本工程量清单的单价和总额价计算支付金额；或者根据具体情况，按合同条款第15.4款的规定，由</w:t>
      </w:r>
      <w:r>
        <w:rPr>
          <w:rFonts w:hint="eastAsia"/>
          <w:szCs w:val="21"/>
        </w:rPr>
        <w:t>发包</w:t>
      </w:r>
      <w:r>
        <w:rPr>
          <w:szCs w:val="21"/>
        </w:rPr>
        <w:t>人确定的单价或总额价计算支付额。</w:t>
      </w:r>
    </w:p>
    <w:p w14:paraId="7C0EF403">
      <w:pPr>
        <w:spacing w:line="420" w:lineRule="exact"/>
        <w:ind w:firstLine="420" w:firstLineChars="200"/>
        <w:rPr>
          <w:rFonts w:hint="eastAsia"/>
          <w:szCs w:val="21"/>
        </w:rPr>
      </w:pPr>
      <w:r>
        <w:rPr>
          <w:rFonts w:hint="eastAsia"/>
          <w:szCs w:val="21"/>
        </w:rPr>
        <w:t xml:space="preserve">1.4  </w:t>
      </w:r>
      <w:r>
        <w:rPr>
          <w:szCs w:val="21"/>
        </w:rPr>
        <w:t>工程量清单</w:t>
      </w:r>
      <w:r>
        <w:rPr>
          <w:rFonts w:hint="eastAsia"/>
          <w:szCs w:val="21"/>
        </w:rPr>
        <w:t>各章是按第七章“技术规范”的相应章次编号的，“技术规范” 中计量与支付条款中的“支付子目”里所标注的“相应计价规范子目”栏的子目编号，即与</w:t>
      </w:r>
      <w:r>
        <w:rPr>
          <w:rFonts w:hAnsi="宋体"/>
          <w:szCs w:val="21"/>
        </w:rPr>
        <w:t>《交通养护工程工程量清单计价规范》</w:t>
      </w:r>
      <w:r>
        <w:rPr>
          <w:rFonts w:hAnsi="宋体"/>
          <w:bCs/>
          <w:szCs w:val="21"/>
        </w:rPr>
        <w:t>第一部分中</w:t>
      </w:r>
      <w:r>
        <w:rPr>
          <w:rFonts w:hint="eastAsia"/>
          <w:bCs/>
          <w:szCs w:val="21"/>
        </w:rPr>
        <w:t>“</w:t>
      </w:r>
      <w:r>
        <w:rPr>
          <w:rFonts w:hAnsi="宋体"/>
          <w:bCs/>
          <w:szCs w:val="21"/>
        </w:rPr>
        <w:t>公路小修保养工程工程量清单计价规范</w:t>
      </w:r>
      <w:r>
        <w:rPr>
          <w:rFonts w:hint="eastAsia"/>
          <w:bCs/>
          <w:szCs w:val="21"/>
        </w:rPr>
        <w:t>”</w:t>
      </w:r>
      <w:r>
        <w:rPr>
          <w:rFonts w:hint="eastAsia"/>
          <w:szCs w:val="21"/>
        </w:rPr>
        <w:t>的相应细目号相衔接。因此，工程量清单中各章工程子目的范围与计量等应与“技术规范”及</w:t>
      </w:r>
      <w:r>
        <w:rPr>
          <w:rFonts w:hint="eastAsia"/>
          <w:bCs/>
          <w:szCs w:val="21"/>
        </w:rPr>
        <w:t>“</w:t>
      </w:r>
      <w:r>
        <w:rPr>
          <w:rFonts w:hAnsi="宋体"/>
          <w:bCs/>
          <w:szCs w:val="21"/>
        </w:rPr>
        <w:t>公路小修保养工程工程量清单计价规范</w:t>
      </w:r>
      <w:r>
        <w:rPr>
          <w:rFonts w:hint="eastAsia"/>
          <w:bCs/>
          <w:szCs w:val="21"/>
        </w:rPr>
        <w:t>”</w:t>
      </w:r>
      <w:r>
        <w:rPr>
          <w:rFonts w:hint="eastAsia"/>
          <w:szCs w:val="21"/>
        </w:rPr>
        <w:t>的相应细目的范围、计量与支付条款结合起来理解或解释。</w:t>
      </w:r>
    </w:p>
    <w:p w14:paraId="67E1CE59">
      <w:pPr>
        <w:spacing w:line="420" w:lineRule="exact"/>
        <w:ind w:firstLine="420" w:firstLineChars="200"/>
        <w:rPr>
          <w:rFonts w:hint="eastAsia"/>
          <w:szCs w:val="21"/>
        </w:rPr>
      </w:pPr>
      <w:r>
        <w:rPr>
          <w:rFonts w:hint="eastAsia"/>
          <w:szCs w:val="21"/>
        </w:rPr>
        <w:t>1.5  对养护作业和材料的一般说明或规定，未重复写入工程量清单内，在给工程量</w:t>
      </w:r>
      <w:r>
        <w:rPr>
          <w:szCs w:val="21"/>
        </w:rPr>
        <w:t>清单</w:t>
      </w:r>
      <w:r>
        <w:rPr>
          <w:rFonts w:hint="eastAsia"/>
          <w:szCs w:val="21"/>
        </w:rPr>
        <w:t>各子目标价前，应参阅第七章“技术规范”的有关内容。</w:t>
      </w:r>
    </w:p>
    <w:p w14:paraId="1A6E93C4">
      <w:pPr>
        <w:spacing w:line="420" w:lineRule="exact"/>
        <w:ind w:firstLine="420" w:firstLineChars="200"/>
        <w:rPr>
          <w:rFonts w:hint="eastAsia"/>
          <w:szCs w:val="21"/>
        </w:rPr>
      </w:pPr>
      <w:r>
        <w:rPr>
          <w:rFonts w:hint="eastAsia"/>
          <w:szCs w:val="21"/>
        </w:rPr>
        <w:t xml:space="preserve">1.6  </w:t>
      </w:r>
      <w:r>
        <w:rPr>
          <w:szCs w:val="21"/>
        </w:rPr>
        <w:t>工程量清单</w:t>
      </w:r>
      <w:r>
        <w:rPr>
          <w:rFonts w:hint="eastAsia"/>
          <w:szCs w:val="21"/>
        </w:rPr>
        <w:t>中所列工程量的变动，丝毫不会降低或影响合同条款的效力，也不免除承包人按规定的标准进行施工和修复缺陷的责任。</w:t>
      </w:r>
    </w:p>
    <w:p w14:paraId="2872148C">
      <w:pPr>
        <w:spacing w:line="420" w:lineRule="exact"/>
        <w:ind w:firstLine="420" w:firstLineChars="200"/>
        <w:rPr>
          <w:rFonts w:hint="eastAsia" w:ascii="宋体" w:hAnsi="宋体"/>
          <w:szCs w:val="21"/>
        </w:rPr>
      </w:pPr>
    </w:p>
    <w:p w14:paraId="7733E702">
      <w:pPr>
        <w:outlineLvl w:val="0"/>
        <w:rPr>
          <w:rFonts w:hint="eastAsia" w:ascii="宋体" w:hAnsi="宋体"/>
          <w:b/>
          <w:bCs/>
          <w:sz w:val="24"/>
        </w:rPr>
      </w:pPr>
      <w:r>
        <w:rPr>
          <w:rFonts w:hint="eastAsia" w:ascii="宋体" w:hAnsi="宋体"/>
          <w:b/>
          <w:bCs/>
          <w:sz w:val="24"/>
        </w:rPr>
        <w:t>2．投标报价说明</w:t>
      </w:r>
    </w:p>
    <w:p w14:paraId="71B223C6">
      <w:pPr>
        <w:spacing w:line="420" w:lineRule="exact"/>
        <w:ind w:firstLine="420" w:firstLineChars="200"/>
        <w:rPr>
          <w:rFonts w:hint="eastAsia" w:ascii="宋体" w:hAnsi="宋体"/>
          <w:szCs w:val="21"/>
        </w:rPr>
      </w:pPr>
      <w:r>
        <w:rPr>
          <w:rFonts w:hint="eastAsia" w:ascii="宋体" w:hAnsi="宋体"/>
          <w:szCs w:val="21"/>
        </w:rPr>
        <w:t>2.1  工程量清单中的每一子目须填入单价或价格，且只允许有一个报价。</w:t>
      </w:r>
    </w:p>
    <w:p w14:paraId="3E71AA3E">
      <w:pPr>
        <w:spacing w:line="420" w:lineRule="exact"/>
        <w:ind w:firstLine="420" w:firstLineChars="200"/>
        <w:rPr>
          <w:rFonts w:hint="eastAsia" w:ascii="宋体" w:hAnsi="宋体"/>
          <w:szCs w:val="21"/>
        </w:rPr>
      </w:pPr>
      <w:r>
        <w:rPr>
          <w:rFonts w:hint="eastAsia" w:ascii="宋体" w:hAnsi="宋体"/>
          <w:szCs w:val="21"/>
        </w:rPr>
        <w:t>2.2  除非合同另有规定，工程量清单中有标价的单价和总额价均已包括了为实施和完成合同工程所需的劳务、材料、机械、质检（自检）、安装、缺陷修复、管理、保险、税费、利润等费用，以及合同明示或暗示的所有责任、义务和一般风险。</w:t>
      </w:r>
    </w:p>
    <w:p w14:paraId="1DAA6C93">
      <w:pPr>
        <w:spacing w:line="420" w:lineRule="exact"/>
        <w:ind w:firstLine="420" w:firstLineChars="200"/>
        <w:rPr>
          <w:rFonts w:hint="eastAsia" w:ascii="宋体" w:hAnsi="宋体"/>
          <w:szCs w:val="21"/>
        </w:rPr>
      </w:pPr>
      <w:r>
        <w:rPr>
          <w:rFonts w:hint="eastAsia" w:ascii="宋体" w:hAnsi="宋体"/>
          <w:szCs w:val="21"/>
        </w:rPr>
        <w:t>2.3  工程量清单中投标人没有填入单价或价格的子目，其费用视为已分摊在工程量清单中其他相关子目的单价或价格之中。承包人必须按监理人指令完成工程量清单中未填人单价或价格的子目，但不能得到结算与支付。</w:t>
      </w:r>
    </w:p>
    <w:p w14:paraId="75A59488">
      <w:pPr>
        <w:spacing w:line="420" w:lineRule="exact"/>
        <w:ind w:firstLine="420" w:firstLineChars="200"/>
        <w:rPr>
          <w:rFonts w:hint="eastAsia" w:ascii="宋体" w:hAnsi="宋体"/>
          <w:szCs w:val="21"/>
        </w:rPr>
      </w:pPr>
      <w:r>
        <w:rPr>
          <w:rFonts w:hint="eastAsia" w:ascii="宋体" w:hAnsi="宋体"/>
          <w:szCs w:val="21"/>
        </w:rPr>
        <w:t>2.4  符合合同条款规定的全部费用应认为已被计入有标价的工程量清单所列各子目之中，未列子目不予计量的工作，其费用应视为已分摊在本合同工程的有关子目的单价或总额价之中。</w:t>
      </w:r>
    </w:p>
    <w:p w14:paraId="4B64CCF9">
      <w:pPr>
        <w:spacing w:line="420" w:lineRule="exact"/>
        <w:ind w:firstLine="420" w:firstLineChars="200"/>
        <w:rPr>
          <w:rFonts w:hint="eastAsia" w:ascii="宋体" w:hAnsi="宋体"/>
          <w:szCs w:val="21"/>
        </w:rPr>
      </w:pPr>
      <w:r>
        <w:rPr>
          <w:rFonts w:hint="eastAsia" w:ascii="宋体" w:hAnsi="宋体"/>
          <w:szCs w:val="21"/>
        </w:rPr>
        <w:t>2.5  承包人用于本合同工程的各类装备的提供、运输、维护、拆卸、拼装等支付的费用，已包括在工程量清单的单价与总额价之中。</w:t>
      </w:r>
    </w:p>
    <w:p w14:paraId="28404771">
      <w:pPr>
        <w:spacing w:line="420" w:lineRule="exact"/>
        <w:ind w:firstLine="420" w:firstLineChars="200"/>
        <w:rPr>
          <w:rFonts w:hint="eastAsia" w:ascii="宋体" w:hAnsi="宋体"/>
          <w:szCs w:val="21"/>
        </w:rPr>
      </w:pPr>
      <w:r>
        <w:rPr>
          <w:rFonts w:hint="eastAsia" w:ascii="宋体" w:hAnsi="宋体"/>
          <w:szCs w:val="21"/>
        </w:rPr>
        <w:t>2.6  工程量清单中各项金额均以人民币（元）结算。</w:t>
      </w:r>
    </w:p>
    <w:p w14:paraId="43C3CF50">
      <w:pPr>
        <w:spacing w:line="420" w:lineRule="exact"/>
        <w:ind w:firstLine="420" w:firstLineChars="200"/>
        <w:rPr>
          <w:rFonts w:hint="eastAsia" w:ascii="宋体" w:hAnsi="宋体"/>
          <w:szCs w:val="21"/>
        </w:rPr>
      </w:pPr>
      <w:r>
        <w:rPr>
          <w:rFonts w:hint="eastAsia" w:ascii="宋体" w:hAnsi="宋体"/>
          <w:szCs w:val="21"/>
        </w:rPr>
        <w:t>2.7  暂列金额（不含计日工总额）的数量及拟用子目的说明：</w:t>
      </w:r>
      <w:r>
        <w:rPr>
          <w:rFonts w:hint="eastAsia" w:ascii="宋体" w:hAnsi="宋体"/>
          <w:szCs w:val="21"/>
          <w:u w:val="single"/>
        </w:rPr>
        <w:t xml:space="preserve"> 暂列金额的数量为第100章至</w:t>
      </w:r>
      <w:r>
        <w:rPr>
          <w:rFonts w:hint="eastAsia" w:ascii="宋体" w:hAnsi="宋体"/>
          <w:szCs w:val="21"/>
          <w:u w:val="single"/>
          <w:lang w:val="en-US" w:eastAsia="zh-CN"/>
        </w:rPr>
        <w:t>4</w:t>
      </w:r>
      <w:r>
        <w:rPr>
          <w:rFonts w:hint="eastAsia" w:ascii="宋体" w:hAnsi="宋体"/>
          <w:szCs w:val="21"/>
          <w:u w:val="single"/>
        </w:rPr>
        <w:t>00章工程量清单合计的3</w:t>
      </w:r>
      <w:r>
        <w:rPr>
          <w:rFonts w:hint="eastAsia" w:ascii="宋体" w:hAnsi="宋体"/>
          <w:b/>
          <w:szCs w:val="21"/>
          <w:u w:val="single"/>
        </w:rPr>
        <w:t>％</w:t>
      </w:r>
      <w:r>
        <w:rPr>
          <w:rFonts w:hint="eastAsia" w:ascii="宋体" w:hAnsi="宋体"/>
          <w:szCs w:val="21"/>
          <w:u w:val="single"/>
        </w:rPr>
        <w:t xml:space="preserve">，除合同另有规定外，应由发包人按合同条款第15条的规定，结合工程具体情况，报经发包人批准后指令全部或部分地使用，或者根本不予动用  </w:t>
      </w:r>
      <w:r>
        <w:rPr>
          <w:rFonts w:hint="eastAsia" w:ascii="宋体" w:hAnsi="宋体"/>
          <w:szCs w:val="21"/>
        </w:rPr>
        <w:t>。</w:t>
      </w:r>
    </w:p>
    <w:p w14:paraId="64B8F6CC">
      <w:pPr>
        <w:spacing w:line="420" w:lineRule="exact"/>
        <w:ind w:firstLine="420" w:firstLineChars="200"/>
        <w:rPr>
          <w:rFonts w:hint="eastAsia" w:ascii="宋体" w:hAnsi="宋体"/>
          <w:szCs w:val="21"/>
          <w:u w:val="single"/>
        </w:rPr>
      </w:pPr>
    </w:p>
    <w:p w14:paraId="62F77B1A">
      <w:pPr>
        <w:outlineLvl w:val="0"/>
        <w:rPr>
          <w:rFonts w:hint="eastAsia" w:ascii="宋体" w:hAnsi="宋体"/>
          <w:b/>
          <w:bCs/>
          <w:sz w:val="24"/>
        </w:rPr>
      </w:pPr>
      <w:r>
        <w:rPr>
          <w:rFonts w:hint="eastAsia" w:ascii="宋体" w:hAnsi="宋体"/>
          <w:b/>
          <w:bCs/>
          <w:sz w:val="24"/>
        </w:rPr>
        <w:t>3．其他说明</w:t>
      </w:r>
    </w:p>
    <w:p w14:paraId="10E4CE2C">
      <w:pPr>
        <w:spacing w:line="420" w:lineRule="exact"/>
        <w:ind w:firstLine="420" w:firstLineChars="200"/>
        <w:rPr>
          <w:rFonts w:hint="eastAsia" w:ascii="宋体" w:hAnsi="宋体"/>
          <w:szCs w:val="21"/>
        </w:rPr>
      </w:pPr>
      <w:r>
        <w:rPr>
          <w:rFonts w:hint="eastAsia" w:ascii="宋体" w:hAnsi="宋体"/>
          <w:szCs w:val="21"/>
        </w:rPr>
        <w:t>3.1工程量清单中的任何遗漏，不应免除承包人根据图纸规定完成单项工程的义务。</w:t>
      </w:r>
    </w:p>
    <w:p w14:paraId="70D6EFBF">
      <w:pPr>
        <w:spacing w:line="420" w:lineRule="exact"/>
        <w:ind w:firstLine="420" w:firstLineChars="200"/>
        <w:rPr>
          <w:rFonts w:hint="eastAsia" w:ascii="宋体" w:hAnsi="宋体"/>
          <w:szCs w:val="21"/>
        </w:rPr>
      </w:pPr>
      <w:r>
        <w:rPr>
          <w:rFonts w:hint="eastAsia" w:ascii="宋体" w:hAnsi="宋体"/>
          <w:szCs w:val="21"/>
        </w:rPr>
        <w:t>3.2 安全生产费应不低于投标价（不含安全生产费、建筑工程一切险保险费）的2%，交通安全管理费包含在安全生产费内，不单独计列。</w:t>
      </w:r>
    </w:p>
    <w:p w14:paraId="7F1C5F7F">
      <w:pPr>
        <w:spacing w:line="420" w:lineRule="exact"/>
        <w:ind w:firstLine="420" w:firstLineChars="200"/>
        <w:rPr>
          <w:rFonts w:hint="default" w:ascii="宋体" w:hAnsi="宋体" w:eastAsia="宋体"/>
          <w:szCs w:val="21"/>
          <w:lang w:val="en-US" w:eastAsia="zh-CN"/>
        </w:rPr>
      </w:pPr>
      <w:r>
        <w:rPr>
          <w:rFonts w:hint="eastAsia" w:ascii="宋体" w:hAnsi="宋体"/>
          <w:szCs w:val="21"/>
        </w:rPr>
        <w:t>3.3工程一切险的投保金额为工程量清单中各章合计金额（不含安全生产费、建筑工程一切险保险费的费用），保险费率暂定为3‰；安全生产责任险</w:t>
      </w:r>
      <w:r>
        <w:rPr>
          <w:rFonts w:hint="eastAsia" w:ascii="宋体" w:hAnsi="宋体"/>
          <w:szCs w:val="21"/>
          <w:lang w:val="en-US" w:eastAsia="zh-CN"/>
        </w:rPr>
        <w:t>计入安全生产费，不单列。</w:t>
      </w:r>
    </w:p>
    <w:p w14:paraId="5A19F01F">
      <w:pPr>
        <w:spacing w:line="420" w:lineRule="exact"/>
        <w:ind w:firstLine="420" w:firstLineChars="200"/>
        <w:rPr>
          <w:rFonts w:hint="eastAsia" w:ascii="宋体" w:hAnsi="宋体"/>
          <w:szCs w:val="21"/>
        </w:rPr>
      </w:pPr>
      <w:r>
        <w:rPr>
          <w:rFonts w:hint="eastAsia" w:ascii="宋体" w:hAnsi="宋体"/>
          <w:szCs w:val="21"/>
        </w:rPr>
        <w:t>3.4 在签订合同协议书前，招标人对中标人投标文件中的明显不平衡报价，在总价保持不变的前提下，应双方协商调整至双方认可的合理范围。</w:t>
      </w:r>
    </w:p>
    <w:p w14:paraId="4F16B2D9">
      <w:pPr>
        <w:spacing w:line="420" w:lineRule="exact"/>
        <w:ind w:firstLine="420" w:firstLineChars="200"/>
        <w:rPr>
          <w:rFonts w:hint="eastAsia" w:ascii="宋体" w:hAnsi="宋体"/>
          <w:szCs w:val="21"/>
        </w:rPr>
      </w:pPr>
      <w:r>
        <w:rPr>
          <w:rFonts w:hint="eastAsia" w:ascii="宋体" w:hAnsi="宋体"/>
          <w:szCs w:val="21"/>
        </w:rPr>
        <w:t>3.5在签订合同协议书前，中标人应向招标人提供交通运输部《公路工程基本建设项目概算预算编制办法》规定的书面及电子版资料各一套。</w:t>
      </w:r>
    </w:p>
    <w:p w14:paraId="651FB208">
      <w:pPr>
        <w:spacing w:line="420" w:lineRule="exact"/>
        <w:ind w:firstLine="420" w:firstLineChars="200"/>
        <w:rPr>
          <w:rFonts w:hint="eastAsia" w:ascii="宋体" w:hAnsi="宋体"/>
          <w:szCs w:val="21"/>
        </w:rPr>
      </w:pPr>
      <w:r>
        <w:rPr>
          <w:rFonts w:hint="eastAsia" w:ascii="宋体" w:hAnsi="宋体"/>
          <w:szCs w:val="21"/>
        </w:rPr>
        <w:t>3.6本项目中的</w:t>
      </w:r>
      <w:r>
        <w:rPr>
          <w:rFonts w:ascii="宋体" w:hAnsi="宋体"/>
          <w:szCs w:val="21"/>
        </w:rPr>
        <w:t>大面积小修</w:t>
      </w:r>
      <w:r>
        <w:rPr>
          <w:rFonts w:hint="eastAsia" w:ascii="宋体" w:hAnsi="宋体"/>
          <w:szCs w:val="21"/>
        </w:rPr>
        <w:t>是指</w:t>
      </w:r>
      <w:r>
        <w:rPr>
          <w:rFonts w:ascii="宋体" w:hAnsi="宋体"/>
          <w:szCs w:val="21"/>
        </w:rPr>
        <w:t>单块50平方米以上或单条线路总面积不少于500平方米</w:t>
      </w:r>
      <w:r>
        <w:rPr>
          <w:rFonts w:hint="eastAsia" w:ascii="宋体" w:hAnsi="宋体"/>
          <w:szCs w:val="21"/>
        </w:rPr>
        <w:t>的小修。</w:t>
      </w:r>
    </w:p>
    <w:p w14:paraId="49B4026D">
      <w:pPr>
        <w:spacing w:line="420" w:lineRule="exact"/>
        <w:ind w:firstLine="422" w:firstLineChars="200"/>
        <w:rPr>
          <w:rFonts w:hint="eastAsia" w:ascii="宋体" w:hAnsi="宋体"/>
          <w:b/>
          <w:szCs w:val="21"/>
        </w:rPr>
      </w:pPr>
      <w:r>
        <w:rPr>
          <w:rFonts w:hint="eastAsia" w:ascii="宋体" w:hAnsi="宋体"/>
          <w:b/>
          <w:szCs w:val="21"/>
        </w:rPr>
        <w:t>3.7</w:t>
      </w:r>
      <w:r>
        <w:rPr>
          <w:rFonts w:ascii="宋体" w:hAnsi="宋体"/>
          <w:b/>
          <w:szCs w:val="21"/>
        </w:rPr>
        <w:t>水泥混凝土路面维修</w:t>
      </w:r>
      <w:r>
        <w:rPr>
          <w:rFonts w:hint="eastAsia" w:ascii="宋体" w:hAnsi="宋体"/>
          <w:b/>
          <w:szCs w:val="21"/>
        </w:rPr>
        <w:t>已</w:t>
      </w:r>
      <w:r>
        <w:rPr>
          <w:rFonts w:ascii="宋体" w:hAnsi="宋体"/>
          <w:b/>
          <w:szCs w:val="21"/>
        </w:rPr>
        <w:t>包括施工安全、运行维护，挖、凿破损混凝土，</w:t>
      </w:r>
      <w:r>
        <w:rPr>
          <w:rFonts w:hint="eastAsia" w:ascii="宋体" w:hAnsi="宋体"/>
          <w:b/>
          <w:szCs w:val="21"/>
        </w:rPr>
        <w:t>废料外运，</w:t>
      </w:r>
      <w:r>
        <w:rPr>
          <w:rFonts w:ascii="宋体" w:hAnsi="宋体"/>
          <w:b/>
          <w:szCs w:val="21"/>
        </w:rPr>
        <w:t>周边凿毛、冲洗、配料、拌和、填筑、捣固、养生等相关作业所必须的费用</w:t>
      </w:r>
      <w:r>
        <w:rPr>
          <w:rFonts w:hint="eastAsia" w:ascii="宋体" w:hAnsi="宋体"/>
          <w:b/>
          <w:szCs w:val="21"/>
        </w:rPr>
        <w:t>。</w:t>
      </w:r>
    </w:p>
    <w:p w14:paraId="19E81007">
      <w:pPr>
        <w:spacing w:line="420" w:lineRule="exact"/>
        <w:ind w:firstLine="422" w:firstLineChars="200"/>
        <w:rPr>
          <w:rFonts w:ascii="宋体" w:hAnsi="宋体"/>
          <w:b/>
          <w:szCs w:val="21"/>
        </w:rPr>
      </w:pPr>
      <w:r>
        <w:rPr>
          <w:rFonts w:hint="eastAsia" w:ascii="宋体" w:hAnsi="宋体"/>
          <w:b/>
          <w:szCs w:val="21"/>
        </w:rPr>
        <w:t>3.8沥青路面小修、沥青混凝土路面大面积小修已</w:t>
      </w:r>
      <w:r>
        <w:rPr>
          <w:rFonts w:ascii="宋体" w:hAnsi="宋体"/>
          <w:b/>
          <w:szCs w:val="21"/>
        </w:rPr>
        <w:t>包括施工安全、运行维护，铣刨，废料外运，清扫，</w:t>
      </w:r>
      <w:r>
        <w:rPr>
          <w:rFonts w:hint="eastAsia" w:ascii="宋体" w:hAnsi="宋体"/>
          <w:b/>
          <w:szCs w:val="21"/>
        </w:rPr>
        <w:t>裂</w:t>
      </w:r>
      <w:r>
        <w:rPr>
          <w:rFonts w:ascii="宋体" w:hAnsi="宋体"/>
          <w:b/>
          <w:szCs w:val="21"/>
        </w:rPr>
        <w:t>缝</w:t>
      </w:r>
      <w:r>
        <w:rPr>
          <w:rFonts w:hint="eastAsia" w:ascii="宋体" w:hAnsi="宋体"/>
          <w:b/>
          <w:szCs w:val="21"/>
        </w:rPr>
        <w:t>封闭，沥青切割封边，沥青混合料的制备及其拌和、运输</w:t>
      </w:r>
      <w:r>
        <w:rPr>
          <w:rFonts w:ascii="宋体" w:hAnsi="宋体"/>
          <w:b/>
          <w:szCs w:val="21"/>
        </w:rPr>
        <w:t>，摊铺，碾压，养生，清理现场等相关作业所必须的费用。</w:t>
      </w:r>
    </w:p>
    <w:p w14:paraId="6E00B5D8">
      <w:pPr>
        <w:spacing w:line="420" w:lineRule="exact"/>
        <w:ind w:firstLine="422" w:firstLineChars="200"/>
        <w:rPr>
          <w:rFonts w:hint="eastAsia" w:ascii="宋体" w:hAnsi="宋体"/>
          <w:b/>
          <w:szCs w:val="21"/>
        </w:rPr>
      </w:pPr>
      <w:r>
        <w:rPr>
          <w:rFonts w:hint="eastAsia" w:ascii="宋体" w:hAnsi="宋体"/>
          <w:b/>
          <w:szCs w:val="21"/>
        </w:rPr>
        <w:t>3.9裂缝灌缝，包括</w:t>
      </w:r>
      <w:r>
        <w:rPr>
          <w:rFonts w:ascii="宋体" w:hAnsi="宋体"/>
          <w:b/>
          <w:szCs w:val="21"/>
        </w:rPr>
        <w:t>施工安全、运行维护，清扫裂缝，熬油，运输，喷灯加温，灌缝，撒砂填充，熨平，清理现场等相关作业所必须的费用</w:t>
      </w:r>
      <w:r>
        <w:rPr>
          <w:rFonts w:hint="eastAsia" w:ascii="宋体" w:hAnsi="宋体"/>
          <w:b/>
          <w:szCs w:val="21"/>
        </w:rPr>
        <w:t>。</w:t>
      </w:r>
    </w:p>
    <w:p w14:paraId="5CCF50EB">
      <w:pPr>
        <w:spacing w:line="420" w:lineRule="exact"/>
        <w:ind w:firstLine="422" w:firstLineChars="200"/>
        <w:rPr>
          <w:rFonts w:hint="eastAsia" w:ascii="宋体" w:hAnsi="宋体"/>
          <w:b/>
          <w:szCs w:val="21"/>
        </w:rPr>
      </w:pPr>
      <w:r>
        <w:rPr>
          <w:rFonts w:hint="eastAsia" w:ascii="宋体" w:hAnsi="宋体"/>
          <w:b/>
          <w:szCs w:val="21"/>
        </w:rPr>
        <w:t>3.10维修用碎石</w:t>
      </w:r>
      <w:r>
        <w:rPr>
          <w:rFonts w:ascii="宋体" w:hAnsi="宋体"/>
          <w:b/>
          <w:szCs w:val="21"/>
        </w:rPr>
        <w:t>包括施工安全、运行维护，</w:t>
      </w:r>
      <w:r>
        <w:rPr>
          <w:rFonts w:hint="eastAsia" w:ascii="宋体" w:hAnsi="宋体"/>
          <w:b/>
          <w:szCs w:val="21"/>
        </w:rPr>
        <w:t>病害部位的开槽、挖除、清底</w:t>
      </w:r>
      <w:r>
        <w:rPr>
          <w:rFonts w:ascii="宋体" w:hAnsi="宋体"/>
          <w:b/>
          <w:szCs w:val="21"/>
        </w:rPr>
        <w:t>，废料外运，配料，铺筑，</w:t>
      </w:r>
      <w:r>
        <w:rPr>
          <w:rFonts w:hint="eastAsia" w:ascii="宋体" w:hAnsi="宋体"/>
          <w:b/>
          <w:szCs w:val="21"/>
        </w:rPr>
        <w:t>摊平、压实</w:t>
      </w:r>
      <w:r>
        <w:rPr>
          <w:rFonts w:ascii="宋体" w:hAnsi="宋体"/>
          <w:b/>
          <w:szCs w:val="21"/>
        </w:rPr>
        <w:t>，清理现场等相关作业所必须的费用。</w:t>
      </w:r>
    </w:p>
    <w:p w14:paraId="0562BFA4">
      <w:pPr>
        <w:spacing w:line="420" w:lineRule="exact"/>
        <w:ind w:firstLine="422" w:firstLineChars="200"/>
        <w:rPr>
          <w:rFonts w:hint="eastAsia" w:ascii="宋体" w:hAnsi="宋体"/>
          <w:b/>
          <w:szCs w:val="21"/>
        </w:rPr>
      </w:pPr>
      <w:r>
        <w:rPr>
          <w:rFonts w:hint="eastAsia" w:ascii="宋体" w:hAnsi="宋体"/>
          <w:b/>
          <w:szCs w:val="21"/>
        </w:rPr>
        <w:t>3.11基层维修</w:t>
      </w:r>
      <w:r>
        <w:rPr>
          <w:rFonts w:ascii="宋体" w:hAnsi="宋体"/>
          <w:b/>
          <w:szCs w:val="21"/>
        </w:rPr>
        <w:t>包括施工安全、运行维护，</w:t>
      </w:r>
      <w:r>
        <w:rPr>
          <w:rFonts w:hint="eastAsia" w:ascii="宋体" w:hAnsi="宋体"/>
          <w:b/>
          <w:szCs w:val="21"/>
        </w:rPr>
        <w:t>开槽、挖除、清底</w:t>
      </w:r>
      <w:r>
        <w:rPr>
          <w:rFonts w:ascii="宋体" w:hAnsi="宋体"/>
          <w:b/>
          <w:szCs w:val="21"/>
        </w:rPr>
        <w:t>，废料外运，清扫，整平路面，洒水，配料，拌和，铺筑，养生，清理现场等相关作业所必须的费用。</w:t>
      </w:r>
    </w:p>
    <w:p w14:paraId="7AFD40C5">
      <w:pPr>
        <w:spacing w:line="420" w:lineRule="exact"/>
        <w:ind w:firstLine="422" w:firstLineChars="200"/>
        <w:rPr>
          <w:rFonts w:hint="eastAsia" w:ascii="宋体" w:hAnsi="宋体"/>
          <w:b/>
          <w:szCs w:val="21"/>
        </w:rPr>
      </w:pPr>
      <w:r>
        <w:rPr>
          <w:rFonts w:hint="eastAsia" w:ascii="宋体" w:hAnsi="宋体"/>
          <w:b/>
          <w:szCs w:val="21"/>
        </w:rPr>
        <w:t>3.12人行道彩砖维修</w:t>
      </w:r>
      <w:r>
        <w:rPr>
          <w:rFonts w:ascii="宋体" w:hAnsi="宋体"/>
          <w:b/>
          <w:szCs w:val="21"/>
        </w:rPr>
        <w:t>包括施工安全、运行维护，挖</w:t>
      </w:r>
      <w:r>
        <w:rPr>
          <w:rFonts w:hint="eastAsia" w:ascii="宋体" w:hAnsi="宋体"/>
          <w:b/>
          <w:szCs w:val="21"/>
        </w:rPr>
        <w:t>除</w:t>
      </w:r>
      <w:r>
        <w:rPr>
          <w:rFonts w:ascii="宋体" w:hAnsi="宋体"/>
          <w:b/>
          <w:szCs w:val="21"/>
        </w:rPr>
        <w:t>破损</w:t>
      </w:r>
      <w:r>
        <w:rPr>
          <w:rFonts w:hint="eastAsia" w:ascii="宋体" w:hAnsi="宋体"/>
          <w:b/>
          <w:szCs w:val="21"/>
        </w:rPr>
        <w:t>彩砖及基层</w:t>
      </w:r>
      <w:r>
        <w:rPr>
          <w:rFonts w:ascii="宋体" w:hAnsi="宋体"/>
          <w:b/>
          <w:szCs w:val="21"/>
        </w:rPr>
        <w:t>，</w:t>
      </w:r>
      <w:r>
        <w:rPr>
          <w:rFonts w:hint="eastAsia" w:ascii="宋体" w:hAnsi="宋体"/>
          <w:b/>
          <w:szCs w:val="21"/>
        </w:rPr>
        <w:t>废料外运，</w:t>
      </w:r>
      <w:r>
        <w:rPr>
          <w:rFonts w:ascii="宋体" w:hAnsi="宋体"/>
          <w:b/>
          <w:szCs w:val="21"/>
        </w:rPr>
        <w:t>清扫，整平路面，</w:t>
      </w:r>
      <w:r>
        <w:rPr>
          <w:rFonts w:hint="eastAsia" w:ascii="宋体" w:hAnsi="宋体"/>
          <w:b/>
          <w:szCs w:val="21"/>
        </w:rPr>
        <w:t>水泥砂浆</w:t>
      </w:r>
      <w:r>
        <w:rPr>
          <w:rFonts w:ascii="宋体" w:hAnsi="宋体"/>
          <w:b/>
          <w:szCs w:val="21"/>
        </w:rPr>
        <w:t>拌和，</w:t>
      </w:r>
      <w:r>
        <w:rPr>
          <w:rFonts w:hint="eastAsia" w:ascii="宋体" w:hAnsi="宋体"/>
          <w:b/>
          <w:szCs w:val="21"/>
        </w:rPr>
        <w:t>彩砖铺设</w:t>
      </w:r>
      <w:r>
        <w:rPr>
          <w:rFonts w:ascii="宋体" w:hAnsi="宋体"/>
          <w:b/>
          <w:szCs w:val="21"/>
        </w:rPr>
        <w:t>，清理现场等相关作业所必须的费用</w:t>
      </w:r>
      <w:r>
        <w:rPr>
          <w:rFonts w:hint="eastAsia" w:ascii="宋体" w:hAnsi="宋体"/>
          <w:b/>
          <w:szCs w:val="21"/>
        </w:rPr>
        <w:t>。</w:t>
      </w:r>
    </w:p>
    <w:p w14:paraId="443F1641">
      <w:pPr>
        <w:spacing w:line="420" w:lineRule="exact"/>
        <w:ind w:firstLine="422" w:firstLineChars="200"/>
        <w:rPr>
          <w:rFonts w:hint="eastAsia" w:ascii="宋体" w:hAnsi="宋体"/>
          <w:b/>
          <w:szCs w:val="21"/>
        </w:rPr>
      </w:pPr>
      <w:r>
        <w:rPr>
          <w:rFonts w:hint="eastAsia" w:ascii="宋体" w:hAnsi="宋体"/>
          <w:b/>
          <w:szCs w:val="21"/>
        </w:rPr>
        <w:t>3.13地聚合物注浆包括施工安全、运行维护，钻孔，场地清理，制备地聚合物浆液，清孔，插拔注浆管，压浆，清洗压浆设备，清理现场等相关作业所必须的费用。</w:t>
      </w:r>
    </w:p>
    <w:p w14:paraId="48BB1762">
      <w:pPr>
        <w:spacing w:line="420" w:lineRule="exact"/>
        <w:ind w:firstLine="422" w:firstLineChars="200"/>
        <w:rPr>
          <w:rFonts w:ascii="宋体" w:hAnsi="宋体"/>
          <w:b/>
          <w:szCs w:val="21"/>
        </w:rPr>
      </w:pPr>
      <w:r>
        <w:rPr>
          <w:rFonts w:hint="eastAsia" w:ascii="宋体" w:hAnsi="宋体"/>
          <w:b/>
          <w:szCs w:val="21"/>
        </w:rPr>
        <w:t>3.</w:t>
      </w:r>
      <w:r>
        <w:rPr>
          <w:rFonts w:hint="eastAsia" w:ascii="宋体" w:hAnsi="宋体"/>
          <w:b/>
          <w:szCs w:val="21"/>
          <w:lang w:val="en-US" w:eastAsia="zh-CN"/>
        </w:rPr>
        <w:t>14</w:t>
      </w:r>
      <w:r>
        <w:rPr>
          <w:rFonts w:hint="eastAsia" w:ascii="宋体" w:hAnsi="宋体"/>
          <w:b/>
          <w:szCs w:val="21"/>
        </w:rPr>
        <w:t>冷补沥青混凝土已</w:t>
      </w:r>
      <w:r>
        <w:rPr>
          <w:rFonts w:ascii="宋体" w:hAnsi="宋体"/>
          <w:b/>
          <w:szCs w:val="21"/>
        </w:rPr>
        <w:t>包括施工安全、运行维护，铣刨，废料外运，清扫，洒粘层，</w:t>
      </w:r>
      <w:r>
        <w:rPr>
          <w:rFonts w:hint="eastAsia" w:ascii="宋体" w:hAnsi="宋体"/>
          <w:b/>
          <w:szCs w:val="21"/>
        </w:rPr>
        <w:t>裂</w:t>
      </w:r>
      <w:r>
        <w:rPr>
          <w:rFonts w:ascii="宋体" w:hAnsi="宋体"/>
          <w:b/>
          <w:szCs w:val="21"/>
        </w:rPr>
        <w:t>缝</w:t>
      </w:r>
      <w:r>
        <w:rPr>
          <w:rFonts w:hint="eastAsia" w:ascii="宋体" w:hAnsi="宋体"/>
          <w:b/>
          <w:szCs w:val="21"/>
        </w:rPr>
        <w:t>封闭，沥青切割封边，沥青混合料的制备及其拌和、运输</w:t>
      </w:r>
      <w:r>
        <w:rPr>
          <w:rFonts w:ascii="宋体" w:hAnsi="宋体"/>
          <w:b/>
          <w:szCs w:val="21"/>
        </w:rPr>
        <w:t>，摊铺，碾压，养生，清理现场等相关作业所必须的费用。</w:t>
      </w:r>
    </w:p>
    <w:p w14:paraId="1996377D">
      <w:pPr>
        <w:spacing w:line="420" w:lineRule="exact"/>
        <w:ind w:firstLine="422" w:firstLineChars="200"/>
        <w:rPr>
          <w:rFonts w:hint="eastAsia" w:ascii="宋体" w:hAnsi="宋体"/>
          <w:b/>
          <w:szCs w:val="21"/>
        </w:rPr>
      </w:pPr>
      <w:r>
        <w:rPr>
          <w:rFonts w:hint="eastAsia" w:ascii="宋体" w:hAnsi="宋体"/>
          <w:b/>
          <w:szCs w:val="21"/>
        </w:rPr>
        <w:t>3.1</w:t>
      </w:r>
      <w:r>
        <w:rPr>
          <w:rFonts w:hint="eastAsia" w:ascii="宋体" w:hAnsi="宋体"/>
          <w:b/>
          <w:szCs w:val="21"/>
          <w:lang w:val="en-US" w:eastAsia="zh-CN"/>
        </w:rPr>
        <w:t>5</w:t>
      </w:r>
      <w:r>
        <w:rPr>
          <w:rFonts w:hint="eastAsia" w:ascii="宋体" w:hAnsi="宋体"/>
          <w:b/>
          <w:szCs w:val="21"/>
        </w:rPr>
        <w:t xml:space="preserve"> 针对安全生产责任险，承包人应根据《中华人民共和国安全生产法》（2021 修订版）、《浙江省人民政府办公厅转发省安监局等部门关于在高危行业全面推进安全生产责任保险的通知》（浙政办发〔2017〕146号）、《关于进一步推进我省安全生产责任保险规范化工作的通知》（浙应急法规〔2020〕9号）和《省交通运输厅关于加强公路水运工程疫情防控和安全生产费用保障的指导意见》（浙交〔2022〕116 号）等文件要求办理安全生产责任保险，并包括在价格清单的单价及总额价中，发包人不再另行支付。安全生产责任保险覆盖第三者责任险及人身意外伤害险。其中第三者责任险的投保金额最低为</w:t>
      </w:r>
      <w:r>
        <w:rPr>
          <w:rFonts w:hint="eastAsia" w:ascii="宋体" w:hAnsi="宋体"/>
          <w:b/>
          <w:szCs w:val="21"/>
          <w:lang w:val="en-US" w:eastAsia="zh-CN"/>
        </w:rPr>
        <w:t>5</w:t>
      </w:r>
      <w:r>
        <w:rPr>
          <w:rFonts w:hint="eastAsia" w:ascii="宋体" w:hAnsi="宋体"/>
          <w:b/>
          <w:szCs w:val="21"/>
        </w:rPr>
        <w:t>00万元，保险费率暂定为5‰。</w:t>
      </w:r>
    </w:p>
    <w:p w14:paraId="43FF727C">
      <w:pPr>
        <w:spacing w:line="420" w:lineRule="exact"/>
        <w:ind w:firstLine="422" w:firstLineChars="200"/>
        <w:rPr>
          <w:rFonts w:hint="eastAsia" w:ascii="宋体" w:hAnsi="宋体"/>
          <w:b/>
          <w:szCs w:val="21"/>
        </w:rPr>
      </w:pPr>
      <w:r>
        <w:rPr>
          <w:rFonts w:hint="eastAsia" w:ascii="宋体" w:hAnsi="宋体"/>
          <w:b/>
          <w:szCs w:val="21"/>
        </w:rPr>
        <w:t>3.1</w:t>
      </w:r>
      <w:r>
        <w:rPr>
          <w:rFonts w:hint="eastAsia" w:ascii="宋体" w:hAnsi="宋体"/>
          <w:b/>
          <w:szCs w:val="21"/>
          <w:lang w:val="en-US" w:eastAsia="zh-CN"/>
        </w:rPr>
        <w:t xml:space="preserve">6 </w:t>
      </w:r>
      <w:r>
        <w:rPr>
          <w:rFonts w:hint="eastAsia" w:ascii="宋体" w:hAnsi="宋体"/>
          <w:b/>
          <w:szCs w:val="21"/>
        </w:rPr>
        <w:t>工伤保险由承包人按照《浙江省人力资源和社会保障厅等六部门转发人力资源社会保障部等六部门关于铁路、公路、水运、水利、能源、机场工程建设项目参加工伤保险工作的通知》（浙人社发〔2018〕29号）进行投保，保费视为已经包含在相应工程的报价中，发包人不另行支付。</w:t>
      </w:r>
    </w:p>
    <w:p w14:paraId="7F479497">
      <w:pPr>
        <w:spacing w:line="420" w:lineRule="exact"/>
        <w:ind w:firstLine="420" w:firstLineChars="200"/>
        <w:rPr>
          <w:rFonts w:hint="eastAsia" w:ascii="宋体" w:hAnsi="宋体"/>
          <w:szCs w:val="21"/>
        </w:rPr>
      </w:pPr>
    </w:p>
    <w:p w14:paraId="6C8473F3">
      <w:pPr>
        <w:spacing w:line="420" w:lineRule="exact"/>
        <w:ind w:firstLine="420" w:firstLineChars="200"/>
        <w:rPr>
          <w:rFonts w:hint="eastAsia" w:ascii="宋体" w:hAnsi="宋体"/>
          <w:szCs w:val="21"/>
        </w:rPr>
      </w:pPr>
    </w:p>
    <w:p w14:paraId="63C2AB20">
      <w:pPr>
        <w:spacing w:line="420" w:lineRule="exact"/>
        <w:ind w:firstLine="420" w:firstLineChars="200"/>
        <w:rPr>
          <w:rFonts w:hint="eastAsia" w:ascii="宋体" w:hAnsi="宋体"/>
          <w:szCs w:val="21"/>
        </w:rPr>
      </w:pPr>
    </w:p>
    <w:p w14:paraId="63491166">
      <w:pPr>
        <w:spacing w:line="420" w:lineRule="exact"/>
        <w:ind w:firstLine="420" w:firstLineChars="200"/>
        <w:rPr>
          <w:rFonts w:hint="eastAsia" w:ascii="宋体" w:hAnsi="宋体"/>
          <w:szCs w:val="21"/>
        </w:rPr>
      </w:pPr>
    </w:p>
    <w:p w14:paraId="7509CD18">
      <w:pPr>
        <w:spacing w:line="420" w:lineRule="exact"/>
        <w:ind w:firstLine="420" w:firstLineChars="200"/>
        <w:rPr>
          <w:rFonts w:hint="eastAsia" w:ascii="宋体" w:hAnsi="宋体"/>
          <w:szCs w:val="21"/>
        </w:rPr>
      </w:pPr>
    </w:p>
    <w:p w14:paraId="5FC7E917">
      <w:pPr>
        <w:spacing w:line="360" w:lineRule="auto"/>
        <w:outlineLvl w:val="0"/>
        <w:rPr>
          <w:rFonts w:hint="eastAsia" w:ascii="宋体" w:hAnsi="宋体"/>
          <w:b/>
          <w:bCs/>
          <w:sz w:val="24"/>
        </w:rPr>
      </w:pPr>
      <w:r>
        <w:rPr>
          <w:rFonts w:hint="eastAsia" w:ascii="宋体" w:hAnsi="宋体"/>
          <w:b/>
          <w:bCs/>
          <w:sz w:val="24"/>
        </w:rPr>
        <w:br w:type="page"/>
      </w:r>
    </w:p>
    <w:p w14:paraId="22D2106C">
      <w:pPr>
        <w:spacing w:before="240" w:beforeLines="100" w:after="240" w:afterLines="100"/>
        <w:jc w:val="center"/>
        <w:rPr>
          <w:rFonts w:hint="eastAsia" w:ascii="黑体" w:hAnsi="宋体" w:eastAsia="黑体"/>
          <w:sz w:val="30"/>
          <w:szCs w:val="30"/>
        </w:rPr>
      </w:pPr>
      <w:r>
        <w:rPr>
          <w:rFonts w:hint="eastAsia" w:ascii="黑体" w:hAnsi="宋体" w:eastAsia="黑体"/>
          <w:sz w:val="30"/>
          <w:szCs w:val="30"/>
        </w:rPr>
        <w:t>工程量清单</w:t>
      </w:r>
    </w:p>
    <w:p w14:paraId="4214880D">
      <w:pPr>
        <w:pStyle w:val="50"/>
        <w:ind w:left="0" w:leftChars="0" w:firstLine="0" w:firstLine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标项</w:t>
      </w:r>
      <w:r>
        <w:rPr>
          <w:rFonts w:hint="eastAsia" w:asciiTheme="minorEastAsia" w:hAnsiTheme="minorEastAsia" w:cstheme="minorEastAsia"/>
          <w:sz w:val="24"/>
          <w:szCs w:val="24"/>
          <w:lang w:val="en-US" w:eastAsia="zh-CN"/>
        </w:rPr>
        <w:t>2</w:t>
      </w:r>
      <w:r>
        <w:rPr>
          <w:rFonts w:hint="eastAsia" w:asciiTheme="minorEastAsia" w:hAnsiTheme="minorEastAsia" w:eastAsiaTheme="minorEastAsia" w:cstheme="minorEastAsia"/>
          <w:sz w:val="24"/>
          <w:szCs w:val="24"/>
        </w:rPr>
        <w:t>：</w:t>
      </w:r>
      <w:r>
        <w:rPr>
          <w:rFonts w:hint="eastAsia" w:asciiTheme="minorEastAsia" w:hAnsiTheme="minorEastAsia" w:cstheme="minorEastAsia"/>
          <w:sz w:val="24"/>
          <w:szCs w:val="24"/>
          <w:lang w:eastAsia="zh-CN"/>
        </w:rPr>
        <w:t>2026年秀洲区县道及以上公路小修及应急抢险项目</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第</w:t>
      </w:r>
      <w:r>
        <w:rPr>
          <w:rFonts w:hint="eastAsia" w:asciiTheme="minorEastAsia" w:hAnsiTheme="minorEastAsia" w:cstheme="minorEastAsia"/>
          <w:sz w:val="24"/>
          <w:szCs w:val="24"/>
          <w:lang w:val="en-US" w:eastAsia="zh-CN"/>
        </w:rPr>
        <w:t>二</w:t>
      </w:r>
      <w:r>
        <w:rPr>
          <w:rFonts w:hint="eastAsia" w:asciiTheme="minorEastAsia" w:hAnsiTheme="minorEastAsia" w:eastAsiaTheme="minorEastAsia" w:cstheme="minorEastAsia"/>
          <w:sz w:val="24"/>
          <w:szCs w:val="24"/>
          <w:lang w:eastAsia="zh-CN"/>
        </w:rPr>
        <w:t>标段）</w:t>
      </w:r>
    </w:p>
    <w:p w14:paraId="5F18A9AE">
      <w:pPr>
        <w:pStyle w:val="50"/>
        <w:ind w:left="0" w:leftChars="0" w:firstLine="0" w:firstLineChars="0"/>
        <w:rPr>
          <w:rFonts w:hint="eastAsia"/>
        </w:rPr>
      </w:pPr>
      <w:r>
        <w:rPr>
          <w:rFonts w:hint="eastAsia" w:asciiTheme="minorEastAsia" w:hAnsiTheme="minorEastAsia" w:eastAsiaTheme="minorEastAsia" w:cstheme="minorEastAsia"/>
          <w:sz w:val="24"/>
          <w:szCs w:val="24"/>
        </w:rPr>
        <w:t>货币单位：人民币元</w:t>
      </w:r>
    </w:p>
    <w:tbl>
      <w:tblPr>
        <w:tblStyle w:val="51"/>
        <w:tblW w:w="9162" w:type="dxa"/>
        <w:tblInd w:w="-7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0" w:type="dxa"/>
        </w:tblCellMar>
      </w:tblPr>
      <w:tblGrid>
        <w:gridCol w:w="822"/>
        <w:gridCol w:w="4533"/>
        <w:gridCol w:w="855"/>
        <w:gridCol w:w="918"/>
        <w:gridCol w:w="973"/>
        <w:gridCol w:w="1061"/>
      </w:tblGrid>
      <w:tr w14:paraId="5E2BC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9162" w:type="dxa"/>
            <w:gridSpan w:val="6"/>
            <w:tcBorders>
              <w:top w:val="single" w:color="auto" w:sz="12" w:space="0"/>
              <w:left w:val="single" w:color="auto" w:sz="12" w:space="0"/>
              <w:bottom w:val="single" w:color="auto" w:sz="6" w:space="0"/>
              <w:right w:val="single" w:color="auto" w:sz="12" w:space="0"/>
            </w:tcBorders>
            <w:noWrap w:val="0"/>
            <w:vAlign w:val="center"/>
          </w:tcPr>
          <w:p w14:paraId="252BAE12">
            <w:pPr>
              <w:ind w:firstLine="103" w:firstLineChars="49"/>
              <w:jc w:val="center"/>
              <w:rPr>
                <w:rFonts w:hint="eastAsia" w:ascii="宋体" w:hAnsi="宋体"/>
                <w:b/>
                <w:bCs/>
              </w:rPr>
            </w:pPr>
            <w:r>
              <w:rPr>
                <w:rFonts w:hint="eastAsia" w:ascii="宋体" w:hAnsi="宋体"/>
                <w:b/>
                <w:bCs/>
              </w:rPr>
              <w:t>清单      第100章      总  则</w:t>
            </w:r>
          </w:p>
        </w:tc>
      </w:tr>
      <w:tr w14:paraId="475EB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327E04F3">
            <w:pPr>
              <w:jc w:val="center"/>
              <w:rPr>
                <w:rFonts w:hint="eastAsia" w:ascii="宋体" w:hAnsi="宋体"/>
                <w:szCs w:val="21"/>
              </w:rPr>
            </w:pPr>
            <w:r>
              <w:rPr>
                <w:rFonts w:hint="eastAsia" w:ascii="宋体" w:hAnsi="宋体"/>
                <w:szCs w:val="21"/>
              </w:rPr>
              <w:t>子目号</w:t>
            </w:r>
          </w:p>
        </w:tc>
        <w:tc>
          <w:tcPr>
            <w:tcW w:w="4533" w:type="dxa"/>
            <w:tcBorders>
              <w:top w:val="single" w:color="auto" w:sz="6" w:space="0"/>
              <w:left w:val="single" w:color="auto" w:sz="6" w:space="0"/>
              <w:bottom w:val="single" w:color="auto" w:sz="6" w:space="0"/>
              <w:right w:val="single" w:color="auto" w:sz="6" w:space="0"/>
            </w:tcBorders>
            <w:noWrap w:val="0"/>
            <w:vAlign w:val="center"/>
          </w:tcPr>
          <w:p w14:paraId="487E49B6">
            <w:pPr>
              <w:jc w:val="center"/>
              <w:rPr>
                <w:rFonts w:hint="eastAsia" w:ascii="宋体" w:hAnsi="宋体"/>
                <w:szCs w:val="21"/>
              </w:rPr>
            </w:pPr>
            <w:r>
              <w:rPr>
                <w:rFonts w:hint="eastAsia" w:ascii="宋体" w:hAnsi="宋体"/>
                <w:szCs w:val="21"/>
              </w:rPr>
              <w:t>子  目  名  称</w:t>
            </w:r>
          </w:p>
        </w:tc>
        <w:tc>
          <w:tcPr>
            <w:tcW w:w="855" w:type="dxa"/>
            <w:tcBorders>
              <w:top w:val="single" w:color="auto" w:sz="6" w:space="0"/>
              <w:left w:val="single" w:color="auto" w:sz="6" w:space="0"/>
              <w:bottom w:val="single" w:color="auto" w:sz="6" w:space="0"/>
              <w:right w:val="single" w:color="auto" w:sz="6" w:space="0"/>
            </w:tcBorders>
            <w:noWrap w:val="0"/>
            <w:vAlign w:val="center"/>
          </w:tcPr>
          <w:p w14:paraId="0C3F4340">
            <w:pPr>
              <w:jc w:val="center"/>
              <w:rPr>
                <w:rFonts w:hint="eastAsia" w:ascii="宋体" w:hAnsi="宋体"/>
                <w:szCs w:val="21"/>
              </w:rPr>
            </w:pPr>
            <w:r>
              <w:rPr>
                <w:rFonts w:hint="eastAsia" w:ascii="宋体" w:hAnsi="宋体"/>
                <w:szCs w:val="21"/>
              </w:rPr>
              <w:t>单位</w:t>
            </w:r>
          </w:p>
        </w:tc>
        <w:tc>
          <w:tcPr>
            <w:tcW w:w="918" w:type="dxa"/>
            <w:tcBorders>
              <w:top w:val="single" w:color="auto" w:sz="6" w:space="0"/>
              <w:left w:val="single" w:color="auto" w:sz="6" w:space="0"/>
              <w:bottom w:val="single" w:color="auto" w:sz="6" w:space="0"/>
              <w:right w:val="single" w:color="auto" w:sz="6" w:space="0"/>
            </w:tcBorders>
            <w:noWrap w:val="0"/>
            <w:vAlign w:val="center"/>
          </w:tcPr>
          <w:p w14:paraId="476C2BEF">
            <w:pPr>
              <w:jc w:val="center"/>
              <w:rPr>
                <w:rFonts w:hint="eastAsia" w:ascii="宋体" w:hAnsi="宋体"/>
                <w:szCs w:val="21"/>
              </w:rPr>
            </w:pPr>
            <w:r>
              <w:rPr>
                <w:rFonts w:hint="eastAsia" w:ascii="宋体" w:hAnsi="宋体"/>
                <w:szCs w:val="21"/>
              </w:rPr>
              <w:t>数量</w:t>
            </w:r>
          </w:p>
        </w:tc>
        <w:tc>
          <w:tcPr>
            <w:tcW w:w="973" w:type="dxa"/>
            <w:tcBorders>
              <w:top w:val="single" w:color="auto" w:sz="6" w:space="0"/>
              <w:left w:val="single" w:color="auto" w:sz="6" w:space="0"/>
              <w:bottom w:val="single" w:color="auto" w:sz="6" w:space="0"/>
              <w:right w:val="single" w:color="auto" w:sz="6" w:space="0"/>
            </w:tcBorders>
            <w:noWrap w:val="0"/>
            <w:vAlign w:val="center"/>
          </w:tcPr>
          <w:p w14:paraId="07DA8167">
            <w:pPr>
              <w:jc w:val="center"/>
              <w:rPr>
                <w:rFonts w:hint="eastAsia" w:ascii="宋体" w:hAnsi="宋体"/>
                <w:szCs w:val="21"/>
              </w:rPr>
            </w:pPr>
            <w:r>
              <w:rPr>
                <w:rFonts w:hint="eastAsia" w:ascii="宋体" w:hAnsi="宋体"/>
                <w:szCs w:val="21"/>
              </w:rPr>
              <w:t>单价</w:t>
            </w: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4A835D2B">
            <w:pPr>
              <w:jc w:val="center"/>
              <w:rPr>
                <w:rFonts w:hint="eastAsia" w:ascii="宋体" w:hAnsi="宋体"/>
              </w:rPr>
            </w:pPr>
            <w:r>
              <w:rPr>
                <w:rFonts w:hint="eastAsia" w:ascii="宋体" w:hAnsi="宋体"/>
              </w:rPr>
              <w:t>合价</w:t>
            </w:r>
          </w:p>
        </w:tc>
      </w:tr>
      <w:tr w14:paraId="29373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06248341">
            <w:pPr>
              <w:keepNext w:val="0"/>
              <w:keepLines w:val="0"/>
              <w:widowControl/>
              <w:suppressLineNumbers w:val="0"/>
              <w:jc w:val="center"/>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101</w:t>
            </w:r>
          </w:p>
        </w:tc>
        <w:tc>
          <w:tcPr>
            <w:tcW w:w="4533" w:type="dxa"/>
            <w:tcBorders>
              <w:top w:val="single" w:color="auto" w:sz="6" w:space="0"/>
              <w:left w:val="single" w:color="auto" w:sz="6" w:space="0"/>
              <w:bottom w:val="single" w:color="auto" w:sz="6" w:space="0"/>
              <w:right w:val="single" w:color="auto" w:sz="6" w:space="0"/>
            </w:tcBorders>
            <w:noWrap w:val="0"/>
            <w:vAlign w:val="center"/>
          </w:tcPr>
          <w:p w14:paraId="3EBEAD53">
            <w:pPr>
              <w:keepNext w:val="0"/>
              <w:keepLines w:val="0"/>
              <w:widowControl/>
              <w:suppressLineNumbers w:val="0"/>
              <w:jc w:val="left"/>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通则</w:t>
            </w:r>
          </w:p>
        </w:tc>
        <w:tc>
          <w:tcPr>
            <w:tcW w:w="855" w:type="dxa"/>
            <w:tcBorders>
              <w:top w:val="single" w:color="auto" w:sz="6" w:space="0"/>
              <w:left w:val="single" w:color="auto" w:sz="6" w:space="0"/>
              <w:bottom w:val="single" w:color="auto" w:sz="6" w:space="0"/>
              <w:right w:val="single" w:color="auto" w:sz="6" w:space="0"/>
            </w:tcBorders>
            <w:noWrap w:val="0"/>
            <w:vAlign w:val="center"/>
          </w:tcPr>
          <w:p w14:paraId="62617127">
            <w:pPr>
              <w:jc w:val="center"/>
              <w:rPr>
                <w:rFonts w:hint="eastAsia" w:ascii="宋体" w:hAnsi="宋体"/>
                <w:sz w:val="21"/>
                <w:szCs w:val="21"/>
              </w:rPr>
            </w:pPr>
          </w:p>
        </w:tc>
        <w:tc>
          <w:tcPr>
            <w:tcW w:w="918" w:type="dxa"/>
            <w:tcBorders>
              <w:top w:val="single" w:color="auto" w:sz="6" w:space="0"/>
              <w:left w:val="single" w:color="auto" w:sz="6" w:space="0"/>
              <w:bottom w:val="single" w:color="auto" w:sz="6" w:space="0"/>
              <w:right w:val="single" w:color="auto" w:sz="6" w:space="0"/>
            </w:tcBorders>
            <w:noWrap w:val="0"/>
            <w:vAlign w:val="center"/>
          </w:tcPr>
          <w:p w14:paraId="21AFA957">
            <w:pPr>
              <w:jc w:val="right"/>
              <w:rPr>
                <w:rFonts w:hint="eastAsia" w:ascii="宋体" w:hAnsi="宋体"/>
                <w:sz w:val="21"/>
                <w:szCs w:val="21"/>
              </w:rPr>
            </w:pPr>
          </w:p>
        </w:tc>
        <w:tc>
          <w:tcPr>
            <w:tcW w:w="973" w:type="dxa"/>
            <w:tcBorders>
              <w:top w:val="single" w:color="auto" w:sz="6" w:space="0"/>
              <w:left w:val="single" w:color="auto" w:sz="6" w:space="0"/>
              <w:bottom w:val="single" w:color="auto" w:sz="6" w:space="0"/>
              <w:right w:val="single" w:color="auto" w:sz="6" w:space="0"/>
            </w:tcBorders>
            <w:noWrap w:val="0"/>
            <w:vAlign w:val="center"/>
          </w:tcPr>
          <w:p w14:paraId="16EBCEC7">
            <w:pPr>
              <w:jc w:val="center"/>
              <w:rPr>
                <w:rFonts w:ascii="宋体" w:hAnsi="宋体"/>
                <w:szCs w:val="21"/>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339B3F8C">
            <w:pPr>
              <w:jc w:val="center"/>
              <w:rPr>
                <w:rFonts w:hint="eastAsia" w:ascii="宋体" w:hAnsi="宋体"/>
              </w:rPr>
            </w:pPr>
          </w:p>
        </w:tc>
      </w:tr>
      <w:tr w14:paraId="0173A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64B9D7D7">
            <w:pPr>
              <w:keepNext w:val="0"/>
              <w:keepLines w:val="0"/>
              <w:widowControl/>
              <w:suppressLineNumbers w:val="0"/>
              <w:jc w:val="center"/>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101-1</w:t>
            </w:r>
          </w:p>
        </w:tc>
        <w:tc>
          <w:tcPr>
            <w:tcW w:w="4533" w:type="dxa"/>
            <w:tcBorders>
              <w:top w:val="single" w:color="auto" w:sz="6" w:space="0"/>
              <w:left w:val="single" w:color="auto" w:sz="6" w:space="0"/>
              <w:bottom w:val="single" w:color="auto" w:sz="6" w:space="0"/>
              <w:right w:val="single" w:color="auto" w:sz="6" w:space="0"/>
            </w:tcBorders>
            <w:noWrap w:val="0"/>
            <w:vAlign w:val="center"/>
          </w:tcPr>
          <w:p w14:paraId="15A8350F">
            <w:pPr>
              <w:keepNext w:val="0"/>
              <w:keepLines w:val="0"/>
              <w:widowControl/>
              <w:suppressLineNumbers w:val="0"/>
              <w:jc w:val="left"/>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保险费</w:t>
            </w:r>
          </w:p>
        </w:tc>
        <w:tc>
          <w:tcPr>
            <w:tcW w:w="855" w:type="dxa"/>
            <w:tcBorders>
              <w:top w:val="single" w:color="auto" w:sz="6" w:space="0"/>
              <w:left w:val="single" w:color="auto" w:sz="6" w:space="0"/>
              <w:bottom w:val="single" w:color="auto" w:sz="6" w:space="0"/>
              <w:right w:val="single" w:color="auto" w:sz="6" w:space="0"/>
            </w:tcBorders>
            <w:noWrap w:val="0"/>
            <w:vAlign w:val="center"/>
          </w:tcPr>
          <w:p w14:paraId="2CBA085D">
            <w:pPr>
              <w:jc w:val="center"/>
              <w:rPr>
                <w:rFonts w:hint="eastAsia" w:ascii="宋体" w:hAnsi="宋体"/>
                <w:sz w:val="21"/>
                <w:szCs w:val="21"/>
              </w:rPr>
            </w:pPr>
          </w:p>
        </w:tc>
        <w:tc>
          <w:tcPr>
            <w:tcW w:w="918" w:type="dxa"/>
            <w:tcBorders>
              <w:top w:val="single" w:color="auto" w:sz="6" w:space="0"/>
              <w:left w:val="single" w:color="auto" w:sz="6" w:space="0"/>
              <w:bottom w:val="single" w:color="auto" w:sz="6" w:space="0"/>
              <w:right w:val="single" w:color="auto" w:sz="6" w:space="0"/>
            </w:tcBorders>
            <w:noWrap w:val="0"/>
            <w:vAlign w:val="center"/>
          </w:tcPr>
          <w:p w14:paraId="7CFA9CED">
            <w:pPr>
              <w:jc w:val="right"/>
              <w:rPr>
                <w:rFonts w:hint="eastAsia" w:ascii="宋体" w:hAnsi="宋体"/>
                <w:sz w:val="21"/>
                <w:szCs w:val="21"/>
              </w:rPr>
            </w:pPr>
          </w:p>
        </w:tc>
        <w:tc>
          <w:tcPr>
            <w:tcW w:w="973" w:type="dxa"/>
            <w:tcBorders>
              <w:top w:val="single" w:color="auto" w:sz="6" w:space="0"/>
              <w:left w:val="single" w:color="auto" w:sz="6" w:space="0"/>
              <w:bottom w:val="single" w:color="auto" w:sz="6" w:space="0"/>
              <w:right w:val="single" w:color="auto" w:sz="6" w:space="0"/>
            </w:tcBorders>
            <w:noWrap w:val="0"/>
            <w:vAlign w:val="center"/>
          </w:tcPr>
          <w:p w14:paraId="28B81767">
            <w:pPr>
              <w:jc w:val="center"/>
              <w:rPr>
                <w:rFonts w:hint="eastAsia" w:ascii="宋体" w:hAnsi="宋体"/>
                <w:szCs w:val="21"/>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4FDE4DD9">
            <w:pPr>
              <w:jc w:val="center"/>
              <w:rPr>
                <w:rFonts w:hint="eastAsia" w:ascii="宋体" w:hAnsi="宋体"/>
              </w:rPr>
            </w:pPr>
          </w:p>
        </w:tc>
      </w:tr>
      <w:tr w14:paraId="00412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5EDE5535">
            <w:pPr>
              <w:keepNext w:val="0"/>
              <w:keepLines w:val="0"/>
              <w:widowControl/>
              <w:suppressLineNumbers w:val="0"/>
              <w:jc w:val="center"/>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-a</w:t>
            </w:r>
          </w:p>
        </w:tc>
        <w:tc>
          <w:tcPr>
            <w:tcW w:w="4533" w:type="dxa"/>
            <w:tcBorders>
              <w:top w:val="single" w:color="auto" w:sz="6" w:space="0"/>
              <w:left w:val="single" w:color="auto" w:sz="6" w:space="0"/>
              <w:bottom w:val="single" w:color="auto" w:sz="6" w:space="0"/>
              <w:right w:val="single" w:color="auto" w:sz="6" w:space="0"/>
            </w:tcBorders>
            <w:noWrap w:val="0"/>
            <w:vAlign w:val="center"/>
          </w:tcPr>
          <w:p w14:paraId="11C3D850">
            <w:pPr>
              <w:keepNext w:val="0"/>
              <w:keepLines w:val="0"/>
              <w:widowControl/>
              <w:suppressLineNumbers w:val="0"/>
              <w:jc w:val="left"/>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按合同条款规定，提供建筑工程一切险</w:t>
            </w:r>
          </w:p>
        </w:tc>
        <w:tc>
          <w:tcPr>
            <w:tcW w:w="855" w:type="dxa"/>
            <w:tcBorders>
              <w:top w:val="single" w:color="auto" w:sz="6" w:space="0"/>
              <w:left w:val="single" w:color="auto" w:sz="6" w:space="0"/>
              <w:bottom w:val="single" w:color="auto" w:sz="6" w:space="0"/>
              <w:right w:val="single" w:color="auto" w:sz="6" w:space="0"/>
            </w:tcBorders>
            <w:noWrap w:val="0"/>
            <w:vAlign w:val="center"/>
          </w:tcPr>
          <w:p w14:paraId="156990F0">
            <w:pPr>
              <w:keepNext w:val="0"/>
              <w:keepLines w:val="0"/>
              <w:widowControl/>
              <w:suppressLineNumbers w:val="0"/>
              <w:jc w:val="center"/>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总额</w:t>
            </w:r>
          </w:p>
        </w:tc>
        <w:tc>
          <w:tcPr>
            <w:tcW w:w="918" w:type="dxa"/>
            <w:tcBorders>
              <w:top w:val="single" w:color="auto" w:sz="6" w:space="0"/>
              <w:left w:val="single" w:color="auto" w:sz="6" w:space="0"/>
              <w:bottom w:val="single" w:color="auto" w:sz="6" w:space="0"/>
              <w:right w:val="single" w:color="auto" w:sz="6" w:space="0"/>
            </w:tcBorders>
            <w:noWrap w:val="0"/>
            <w:vAlign w:val="center"/>
          </w:tcPr>
          <w:p w14:paraId="5CC1ED00">
            <w:pPr>
              <w:keepNext w:val="0"/>
              <w:keepLines w:val="0"/>
              <w:widowControl/>
              <w:suppressLineNumbers w:val="0"/>
              <w:jc w:val="right"/>
              <w:textAlignment w:val="center"/>
              <w:rPr>
                <w:rFonts w:hint="eastAsia" w:ascii="宋体" w:hAnsi="宋体"/>
                <w:sz w:val="21"/>
                <w:szCs w:val="21"/>
              </w:rPr>
            </w:pPr>
            <w:r>
              <w:rPr>
                <w:rFonts w:hint="default" w:ascii="Arial Narrow" w:hAnsi="Arial Narrow" w:eastAsia="Arial Narrow" w:cs="Arial Narrow"/>
                <w:i w:val="0"/>
                <w:iCs w:val="0"/>
                <w:color w:val="000000"/>
                <w:kern w:val="0"/>
                <w:sz w:val="21"/>
                <w:szCs w:val="21"/>
                <w:u w:val="none"/>
                <w:lang w:val="en-US" w:eastAsia="zh-CN" w:bidi="ar"/>
              </w:rPr>
              <w:t>1</w:t>
            </w:r>
          </w:p>
        </w:tc>
        <w:tc>
          <w:tcPr>
            <w:tcW w:w="973" w:type="dxa"/>
            <w:tcBorders>
              <w:top w:val="single" w:color="auto" w:sz="6" w:space="0"/>
              <w:left w:val="single" w:color="auto" w:sz="6" w:space="0"/>
              <w:bottom w:val="single" w:color="auto" w:sz="6" w:space="0"/>
              <w:right w:val="single" w:color="auto" w:sz="6" w:space="0"/>
            </w:tcBorders>
            <w:noWrap w:val="0"/>
            <w:vAlign w:val="center"/>
          </w:tcPr>
          <w:p w14:paraId="2E316161">
            <w:pPr>
              <w:jc w:val="center"/>
              <w:rPr>
                <w:rFonts w:hint="eastAsia" w:ascii="宋体" w:hAnsi="宋体"/>
                <w:szCs w:val="21"/>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7A681D22">
            <w:pPr>
              <w:jc w:val="center"/>
              <w:rPr>
                <w:rFonts w:hint="eastAsia" w:ascii="宋体" w:hAnsi="宋体"/>
              </w:rPr>
            </w:pPr>
          </w:p>
        </w:tc>
      </w:tr>
      <w:tr w14:paraId="71A61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7F592B95">
            <w:pPr>
              <w:keepNext w:val="0"/>
              <w:keepLines w:val="0"/>
              <w:widowControl/>
              <w:suppressLineNumbers w:val="0"/>
              <w:jc w:val="center"/>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102</w:t>
            </w:r>
          </w:p>
        </w:tc>
        <w:tc>
          <w:tcPr>
            <w:tcW w:w="4533" w:type="dxa"/>
            <w:tcBorders>
              <w:top w:val="single" w:color="auto" w:sz="6" w:space="0"/>
              <w:left w:val="single" w:color="auto" w:sz="6" w:space="0"/>
              <w:bottom w:val="single" w:color="auto" w:sz="6" w:space="0"/>
              <w:right w:val="single" w:color="auto" w:sz="6" w:space="0"/>
            </w:tcBorders>
            <w:noWrap w:val="0"/>
            <w:vAlign w:val="center"/>
          </w:tcPr>
          <w:p w14:paraId="2A6FD631">
            <w:pPr>
              <w:keepNext w:val="0"/>
              <w:keepLines w:val="0"/>
              <w:widowControl/>
              <w:suppressLineNumbers w:val="0"/>
              <w:jc w:val="left"/>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工程管理</w:t>
            </w:r>
          </w:p>
        </w:tc>
        <w:tc>
          <w:tcPr>
            <w:tcW w:w="855" w:type="dxa"/>
            <w:tcBorders>
              <w:top w:val="single" w:color="auto" w:sz="6" w:space="0"/>
              <w:left w:val="single" w:color="auto" w:sz="6" w:space="0"/>
              <w:bottom w:val="single" w:color="auto" w:sz="6" w:space="0"/>
              <w:right w:val="single" w:color="auto" w:sz="6" w:space="0"/>
            </w:tcBorders>
            <w:noWrap w:val="0"/>
            <w:vAlign w:val="center"/>
          </w:tcPr>
          <w:p w14:paraId="58B0D293">
            <w:pPr>
              <w:jc w:val="center"/>
              <w:rPr>
                <w:rFonts w:hint="eastAsia" w:ascii="宋体" w:hAnsi="宋体"/>
                <w:sz w:val="21"/>
                <w:szCs w:val="21"/>
              </w:rPr>
            </w:pPr>
          </w:p>
        </w:tc>
        <w:tc>
          <w:tcPr>
            <w:tcW w:w="918" w:type="dxa"/>
            <w:tcBorders>
              <w:top w:val="single" w:color="auto" w:sz="6" w:space="0"/>
              <w:left w:val="single" w:color="auto" w:sz="6" w:space="0"/>
              <w:bottom w:val="single" w:color="auto" w:sz="6" w:space="0"/>
              <w:right w:val="single" w:color="auto" w:sz="6" w:space="0"/>
            </w:tcBorders>
            <w:noWrap w:val="0"/>
            <w:vAlign w:val="center"/>
          </w:tcPr>
          <w:p w14:paraId="24F3F228">
            <w:pPr>
              <w:jc w:val="right"/>
              <w:rPr>
                <w:rFonts w:hint="eastAsia" w:ascii="宋体" w:hAnsi="宋体"/>
                <w:sz w:val="21"/>
                <w:szCs w:val="21"/>
              </w:rPr>
            </w:pPr>
          </w:p>
        </w:tc>
        <w:tc>
          <w:tcPr>
            <w:tcW w:w="973" w:type="dxa"/>
            <w:tcBorders>
              <w:top w:val="single" w:color="auto" w:sz="6" w:space="0"/>
              <w:left w:val="single" w:color="auto" w:sz="6" w:space="0"/>
              <w:bottom w:val="single" w:color="auto" w:sz="6" w:space="0"/>
              <w:right w:val="single" w:color="auto" w:sz="6" w:space="0"/>
            </w:tcBorders>
            <w:noWrap w:val="0"/>
            <w:vAlign w:val="center"/>
          </w:tcPr>
          <w:p w14:paraId="55CA86A9">
            <w:pPr>
              <w:jc w:val="center"/>
              <w:rPr>
                <w:rFonts w:hint="eastAsia" w:ascii="宋体" w:hAnsi="宋体"/>
                <w:szCs w:val="21"/>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0E7A9D3E">
            <w:pPr>
              <w:jc w:val="center"/>
              <w:rPr>
                <w:rFonts w:hint="eastAsia" w:ascii="宋体" w:hAnsi="宋体"/>
              </w:rPr>
            </w:pPr>
          </w:p>
        </w:tc>
      </w:tr>
      <w:tr w14:paraId="0438E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6E484131">
            <w:pPr>
              <w:keepNext w:val="0"/>
              <w:keepLines w:val="0"/>
              <w:widowControl/>
              <w:suppressLineNumbers w:val="0"/>
              <w:jc w:val="center"/>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102-1</w:t>
            </w:r>
          </w:p>
        </w:tc>
        <w:tc>
          <w:tcPr>
            <w:tcW w:w="4533" w:type="dxa"/>
            <w:tcBorders>
              <w:top w:val="single" w:color="auto" w:sz="6" w:space="0"/>
              <w:left w:val="single" w:color="auto" w:sz="6" w:space="0"/>
              <w:bottom w:val="single" w:color="auto" w:sz="6" w:space="0"/>
              <w:right w:val="single" w:color="auto" w:sz="6" w:space="0"/>
            </w:tcBorders>
            <w:noWrap w:val="0"/>
            <w:vAlign w:val="center"/>
          </w:tcPr>
          <w:p w14:paraId="652C0E06">
            <w:pPr>
              <w:keepNext w:val="0"/>
              <w:keepLines w:val="0"/>
              <w:widowControl/>
              <w:suppressLineNumbers w:val="0"/>
              <w:jc w:val="left"/>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档案资料编制费</w:t>
            </w:r>
          </w:p>
        </w:tc>
        <w:tc>
          <w:tcPr>
            <w:tcW w:w="855" w:type="dxa"/>
            <w:tcBorders>
              <w:top w:val="single" w:color="auto" w:sz="6" w:space="0"/>
              <w:left w:val="single" w:color="auto" w:sz="6" w:space="0"/>
              <w:bottom w:val="single" w:color="auto" w:sz="6" w:space="0"/>
              <w:right w:val="single" w:color="auto" w:sz="6" w:space="0"/>
            </w:tcBorders>
            <w:noWrap w:val="0"/>
            <w:vAlign w:val="center"/>
          </w:tcPr>
          <w:p w14:paraId="41EF10C1">
            <w:pPr>
              <w:keepNext w:val="0"/>
              <w:keepLines w:val="0"/>
              <w:widowControl/>
              <w:suppressLineNumbers w:val="0"/>
              <w:jc w:val="center"/>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总额</w:t>
            </w:r>
          </w:p>
        </w:tc>
        <w:tc>
          <w:tcPr>
            <w:tcW w:w="918" w:type="dxa"/>
            <w:tcBorders>
              <w:top w:val="single" w:color="auto" w:sz="6" w:space="0"/>
              <w:left w:val="single" w:color="auto" w:sz="6" w:space="0"/>
              <w:bottom w:val="single" w:color="auto" w:sz="6" w:space="0"/>
              <w:right w:val="single" w:color="auto" w:sz="6" w:space="0"/>
            </w:tcBorders>
            <w:noWrap w:val="0"/>
            <w:vAlign w:val="center"/>
          </w:tcPr>
          <w:p w14:paraId="3D68223C">
            <w:pPr>
              <w:keepNext w:val="0"/>
              <w:keepLines w:val="0"/>
              <w:widowControl/>
              <w:suppressLineNumbers w:val="0"/>
              <w:jc w:val="right"/>
              <w:textAlignment w:val="center"/>
              <w:rPr>
                <w:rFonts w:hint="eastAsia" w:ascii="宋体" w:hAnsi="宋体"/>
                <w:sz w:val="21"/>
                <w:szCs w:val="21"/>
              </w:rPr>
            </w:pPr>
            <w:r>
              <w:rPr>
                <w:rFonts w:hint="default" w:ascii="Arial Narrow" w:hAnsi="Arial Narrow" w:eastAsia="Arial Narrow" w:cs="Arial Narrow"/>
                <w:i w:val="0"/>
                <w:iCs w:val="0"/>
                <w:color w:val="000000"/>
                <w:kern w:val="0"/>
                <w:sz w:val="21"/>
                <w:szCs w:val="21"/>
                <w:u w:val="none"/>
                <w:lang w:val="en-US" w:eastAsia="zh-CN" w:bidi="ar"/>
              </w:rPr>
              <w:t>1</w:t>
            </w:r>
          </w:p>
        </w:tc>
        <w:tc>
          <w:tcPr>
            <w:tcW w:w="973" w:type="dxa"/>
            <w:tcBorders>
              <w:top w:val="single" w:color="auto" w:sz="6" w:space="0"/>
              <w:left w:val="single" w:color="auto" w:sz="6" w:space="0"/>
              <w:bottom w:val="single" w:color="auto" w:sz="6" w:space="0"/>
              <w:right w:val="single" w:color="auto" w:sz="6" w:space="0"/>
            </w:tcBorders>
            <w:noWrap w:val="0"/>
            <w:vAlign w:val="center"/>
          </w:tcPr>
          <w:p w14:paraId="67E7F84F">
            <w:pPr>
              <w:jc w:val="center"/>
              <w:rPr>
                <w:rFonts w:hint="eastAsia" w:ascii="宋体" w:hAnsi="宋体"/>
                <w:szCs w:val="21"/>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5155DD0A">
            <w:pPr>
              <w:jc w:val="center"/>
              <w:rPr>
                <w:rFonts w:hint="eastAsia" w:ascii="宋体" w:hAnsi="宋体"/>
              </w:rPr>
            </w:pPr>
          </w:p>
        </w:tc>
      </w:tr>
      <w:tr w14:paraId="34F82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58B06E26">
            <w:pPr>
              <w:keepNext w:val="0"/>
              <w:keepLines w:val="0"/>
              <w:widowControl/>
              <w:suppressLineNumbers w:val="0"/>
              <w:jc w:val="center"/>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102-2</w:t>
            </w:r>
          </w:p>
        </w:tc>
        <w:tc>
          <w:tcPr>
            <w:tcW w:w="4533" w:type="dxa"/>
            <w:tcBorders>
              <w:top w:val="single" w:color="auto" w:sz="6" w:space="0"/>
              <w:left w:val="single" w:color="auto" w:sz="6" w:space="0"/>
              <w:bottom w:val="single" w:color="auto" w:sz="6" w:space="0"/>
              <w:right w:val="single" w:color="auto" w:sz="6" w:space="0"/>
            </w:tcBorders>
            <w:noWrap w:val="0"/>
            <w:vAlign w:val="center"/>
          </w:tcPr>
          <w:p w14:paraId="27C32C7B">
            <w:pPr>
              <w:keepNext w:val="0"/>
              <w:keepLines w:val="0"/>
              <w:widowControl/>
              <w:suppressLineNumbers w:val="0"/>
              <w:jc w:val="left"/>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施工环保费</w:t>
            </w:r>
          </w:p>
        </w:tc>
        <w:tc>
          <w:tcPr>
            <w:tcW w:w="855" w:type="dxa"/>
            <w:tcBorders>
              <w:top w:val="single" w:color="auto" w:sz="6" w:space="0"/>
              <w:left w:val="single" w:color="auto" w:sz="6" w:space="0"/>
              <w:bottom w:val="single" w:color="auto" w:sz="6" w:space="0"/>
              <w:right w:val="single" w:color="auto" w:sz="6" w:space="0"/>
            </w:tcBorders>
            <w:noWrap w:val="0"/>
            <w:vAlign w:val="center"/>
          </w:tcPr>
          <w:p w14:paraId="4462A0F8">
            <w:pPr>
              <w:keepNext w:val="0"/>
              <w:keepLines w:val="0"/>
              <w:widowControl/>
              <w:suppressLineNumbers w:val="0"/>
              <w:jc w:val="center"/>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总额</w:t>
            </w:r>
          </w:p>
        </w:tc>
        <w:tc>
          <w:tcPr>
            <w:tcW w:w="918" w:type="dxa"/>
            <w:tcBorders>
              <w:top w:val="single" w:color="auto" w:sz="6" w:space="0"/>
              <w:left w:val="single" w:color="auto" w:sz="6" w:space="0"/>
              <w:bottom w:val="single" w:color="auto" w:sz="6" w:space="0"/>
              <w:right w:val="single" w:color="auto" w:sz="6" w:space="0"/>
            </w:tcBorders>
            <w:noWrap w:val="0"/>
            <w:vAlign w:val="center"/>
          </w:tcPr>
          <w:p w14:paraId="4B58050D">
            <w:pPr>
              <w:keepNext w:val="0"/>
              <w:keepLines w:val="0"/>
              <w:widowControl/>
              <w:suppressLineNumbers w:val="0"/>
              <w:jc w:val="right"/>
              <w:textAlignment w:val="center"/>
              <w:rPr>
                <w:rFonts w:hint="eastAsia" w:ascii="宋体" w:hAnsi="宋体"/>
                <w:sz w:val="21"/>
                <w:szCs w:val="21"/>
              </w:rPr>
            </w:pPr>
            <w:r>
              <w:rPr>
                <w:rFonts w:hint="default" w:ascii="Arial Narrow" w:hAnsi="Arial Narrow" w:eastAsia="Arial Narrow" w:cs="Arial Narrow"/>
                <w:i w:val="0"/>
                <w:iCs w:val="0"/>
                <w:color w:val="000000"/>
                <w:kern w:val="0"/>
                <w:sz w:val="21"/>
                <w:szCs w:val="21"/>
                <w:u w:val="none"/>
                <w:lang w:val="en-US" w:eastAsia="zh-CN" w:bidi="ar"/>
              </w:rPr>
              <w:t>1</w:t>
            </w:r>
          </w:p>
        </w:tc>
        <w:tc>
          <w:tcPr>
            <w:tcW w:w="973" w:type="dxa"/>
            <w:tcBorders>
              <w:top w:val="single" w:color="auto" w:sz="6" w:space="0"/>
              <w:left w:val="single" w:color="auto" w:sz="6" w:space="0"/>
              <w:bottom w:val="single" w:color="auto" w:sz="6" w:space="0"/>
              <w:right w:val="single" w:color="auto" w:sz="6" w:space="0"/>
            </w:tcBorders>
            <w:noWrap w:val="0"/>
            <w:vAlign w:val="center"/>
          </w:tcPr>
          <w:p w14:paraId="5324D42C">
            <w:pPr>
              <w:jc w:val="center"/>
              <w:rPr>
                <w:rFonts w:hint="eastAsia" w:ascii="宋体" w:hAnsi="宋体"/>
                <w:szCs w:val="21"/>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7C8ED65B">
            <w:pPr>
              <w:jc w:val="center"/>
              <w:rPr>
                <w:rFonts w:hint="eastAsia" w:ascii="宋体" w:hAnsi="宋体"/>
              </w:rPr>
            </w:pPr>
          </w:p>
        </w:tc>
      </w:tr>
      <w:tr w14:paraId="55CB8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3B56A12F">
            <w:pPr>
              <w:keepNext w:val="0"/>
              <w:keepLines w:val="0"/>
              <w:widowControl/>
              <w:suppressLineNumbers w:val="0"/>
              <w:jc w:val="center"/>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102-4</w:t>
            </w:r>
          </w:p>
        </w:tc>
        <w:tc>
          <w:tcPr>
            <w:tcW w:w="4533" w:type="dxa"/>
            <w:tcBorders>
              <w:top w:val="single" w:color="auto" w:sz="6" w:space="0"/>
              <w:left w:val="single" w:color="auto" w:sz="6" w:space="0"/>
              <w:bottom w:val="single" w:color="auto" w:sz="6" w:space="0"/>
              <w:right w:val="single" w:color="auto" w:sz="6" w:space="0"/>
            </w:tcBorders>
            <w:noWrap w:val="0"/>
            <w:vAlign w:val="center"/>
          </w:tcPr>
          <w:p w14:paraId="6825287B">
            <w:pPr>
              <w:keepNext w:val="0"/>
              <w:keepLines w:val="0"/>
              <w:widowControl/>
              <w:suppressLineNumbers w:val="0"/>
              <w:jc w:val="left"/>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安全生产费</w:t>
            </w:r>
          </w:p>
        </w:tc>
        <w:tc>
          <w:tcPr>
            <w:tcW w:w="855" w:type="dxa"/>
            <w:tcBorders>
              <w:top w:val="single" w:color="auto" w:sz="6" w:space="0"/>
              <w:left w:val="single" w:color="auto" w:sz="6" w:space="0"/>
              <w:bottom w:val="single" w:color="auto" w:sz="6" w:space="0"/>
              <w:right w:val="single" w:color="auto" w:sz="6" w:space="0"/>
            </w:tcBorders>
            <w:noWrap w:val="0"/>
            <w:vAlign w:val="center"/>
          </w:tcPr>
          <w:p w14:paraId="5F8F6DEC">
            <w:pPr>
              <w:keepNext w:val="0"/>
              <w:keepLines w:val="0"/>
              <w:widowControl/>
              <w:suppressLineNumbers w:val="0"/>
              <w:jc w:val="center"/>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总额</w:t>
            </w:r>
          </w:p>
        </w:tc>
        <w:tc>
          <w:tcPr>
            <w:tcW w:w="918" w:type="dxa"/>
            <w:tcBorders>
              <w:top w:val="single" w:color="auto" w:sz="6" w:space="0"/>
              <w:left w:val="single" w:color="auto" w:sz="6" w:space="0"/>
              <w:bottom w:val="single" w:color="auto" w:sz="6" w:space="0"/>
              <w:right w:val="single" w:color="auto" w:sz="6" w:space="0"/>
            </w:tcBorders>
            <w:noWrap w:val="0"/>
            <w:vAlign w:val="center"/>
          </w:tcPr>
          <w:p w14:paraId="1F8BD3BF">
            <w:pPr>
              <w:keepNext w:val="0"/>
              <w:keepLines w:val="0"/>
              <w:widowControl/>
              <w:suppressLineNumbers w:val="0"/>
              <w:jc w:val="right"/>
              <w:textAlignment w:val="center"/>
              <w:rPr>
                <w:rFonts w:hint="eastAsia" w:ascii="宋体" w:hAnsi="宋体"/>
                <w:sz w:val="21"/>
                <w:szCs w:val="21"/>
              </w:rPr>
            </w:pPr>
            <w:r>
              <w:rPr>
                <w:rFonts w:hint="default" w:ascii="Arial Narrow" w:hAnsi="Arial Narrow" w:eastAsia="Arial Narrow" w:cs="Arial Narrow"/>
                <w:i w:val="0"/>
                <w:iCs w:val="0"/>
                <w:color w:val="000000"/>
                <w:kern w:val="0"/>
                <w:sz w:val="21"/>
                <w:szCs w:val="21"/>
                <w:u w:val="none"/>
                <w:lang w:val="en-US" w:eastAsia="zh-CN" w:bidi="ar"/>
              </w:rPr>
              <w:t>1</w:t>
            </w:r>
          </w:p>
        </w:tc>
        <w:tc>
          <w:tcPr>
            <w:tcW w:w="973" w:type="dxa"/>
            <w:tcBorders>
              <w:top w:val="single" w:color="auto" w:sz="6" w:space="0"/>
              <w:left w:val="single" w:color="auto" w:sz="6" w:space="0"/>
              <w:bottom w:val="single" w:color="auto" w:sz="6" w:space="0"/>
              <w:right w:val="single" w:color="auto" w:sz="6" w:space="0"/>
            </w:tcBorders>
            <w:noWrap w:val="0"/>
            <w:vAlign w:val="center"/>
          </w:tcPr>
          <w:p w14:paraId="0C8AFC45">
            <w:pPr>
              <w:jc w:val="center"/>
              <w:rPr>
                <w:rFonts w:hint="eastAsia" w:ascii="宋体" w:hAnsi="宋体"/>
                <w:szCs w:val="21"/>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366931A1">
            <w:pPr>
              <w:jc w:val="center"/>
              <w:rPr>
                <w:rFonts w:hint="eastAsia" w:ascii="宋体" w:hAnsi="宋体"/>
              </w:rPr>
            </w:pPr>
          </w:p>
        </w:tc>
      </w:tr>
      <w:tr w14:paraId="70282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5508A40F">
            <w:pPr>
              <w:keepNext w:val="0"/>
              <w:keepLines w:val="0"/>
              <w:widowControl/>
              <w:suppressLineNumbers w:val="0"/>
              <w:jc w:val="center"/>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104</w:t>
            </w:r>
          </w:p>
        </w:tc>
        <w:tc>
          <w:tcPr>
            <w:tcW w:w="4533" w:type="dxa"/>
            <w:tcBorders>
              <w:top w:val="single" w:color="auto" w:sz="6" w:space="0"/>
              <w:left w:val="single" w:color="auto" w:sz="6" w:space="0"/>
              <w:bottom w:val="single" w:color="auto" w:sz="6" w:space="0"/>
              <w:right w:val="single" w:color="auto" w:sz="6" w:space="0"/>
            </w:tcBorders>
            <w:noWrap w:val="0"/>
            <w:vAlign w:val="center"/>
          </w:tcPr>
          <w:p w14:paraId="527E9F2F">
            <w:pPr>
              <w:keepNext w:val="0"/>
              <w:keepLines w:val="0"/>
              <w:widowControl/>
              <w:suppressLineNumbers w:val="0"/>
              <w:jc w:val="left"/>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承包人驻地建设</w:t>
            </w:r>
          </w:p>
        </w:tc>
        <w:tc>
          <w:tcPr>
            <w:tcW w:w="855" w:type="dxa"/>
            <w:tcBorders>
              <w:top w:val="single" w:color="auto" w:sz="6" w:space="0"/>
              <w:left w:val="single" w:color="auto" w:sz="6" w:space="0"/>
              <w:bottom w:val="single" w:color="auto" w:sz="6" w:space="0"/>
              <w:right w:val="single" w:color="auto" w:sz="6" w:space="0"/>
            </w:tcBorders>
            <w:noWrap w:val="0"/>
            <w:vAlign w:val="center"/>
          </w:tcPr>
          <w:p w14:paraId="37BC6534">
            <w:pPr>
              <w:jc w:val="center"/>
              <w:rPr>
                <w:rFonts w:hint="eastAsia" w:ascii="宋体" w:hAnsi="宋体"/>
                <w:sz w:val="21"/>
                <w:szCs w:val="21"/>
              </w:rPr>
            </w:pPr>
          </w:p>
        </w:tc>
        <w:tc>
          <w:tcPr>
            <w:tcW w:w="918" w:type="dxa"/>
            <w:tcBorders>
              <w:top w:val="single" w:color="auto" w:sz="6" w:space="0"/>
              <w:left w:val="single" w:color="auto" w:sz="6" w:space="0"/>
              <w:bottom w:val="single" w:color="auto" w:sz="6" w:space="0"/>
              <w:right w:val="single" w:color="auto" w:sz="6" w:space="0"/>
            </w:tcBorders>
            <w:noWrap w:val="0"/>
            <w:vAlign w:val="center"/>
          </w:tcPr>
          <w:p w14:paraId="0EDD4E6B">
            <w:pPr>
              <w:jc w:val="right"/>
              <w:rPr>
                <w:rFonts w:hint="eastAsia" w:ascii="宋体" w:hAnsi="宋体"/>
                <w:sz w:val="21"/>
                <w:szCs w:val="21"/>
              </w:rPr>
            </w:pPr>
          </w:p>
        </w:tc>
        <w:tc>
          <w:tcPr>
            <w:tcW w:w="973" w:type="dxa"/>
            <w:tcBorders>
              <w:top w:val="single" w:color="auto" w:sz="6" w:space="0"/>
              <w:left w:val="single" w:color="auto" w:sz="6" w:space="0"/>
              <w:bottom w:val="single" w:color="auto" w:sz="6" w:space="0"/>
              <w:right w:val="single" w:color="auto" w:sz="6" w:space="0"/>
            </w:tcBorders>
            <w:noWrap w:val="0"/>
            <w:vAlign w:val="center"/>
          </w:tcPr>
          <w:p w14:paraId="230C9BB0">
            <w:pPr>
              <w:jc w:val="center"/>
              <w:rPr>
                <w:rFonts w:hint="eastAsia" w:ascii="宋体" w:hAnsi="宋体"/>
                <w:szCs w:val="21"/>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12977662">
            <w:pPr>
              <w:jc w:val="center"/>
              <w:rPr>
                <w:rFonts w:hint="eastAsia" w:ascii="宋体" w:hAnsi="宋体"/>
              </w:rPr>
            </w:pPr>
          </w:p>
        </w:tc>
      </w:tr>
      <w:tr w14:paraId="3436D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2B622287">
            <w:pPr>
              <w:keepNext w:val="0"/>
              <w:keepLines w:val="0"/>
              <w:widowControl/>
              <w:suppressLineNumbers w:val="0"/>
              <w:jc w:val="center"/>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104-1</w:t>
            </w:r>
          </w:p>
        </w:tc>
        <w:tc>
          <w:tcPr>
            <w:tcW w:w="4533" w:type="dxa"/>
            <w:tcBorders>
              <w:top w:val="single" w:color="auto" w:sz="6" w:space="0"/>
              <w:left w:val="single" w:color="auto" w:sz="6" w:space="0"/>
              <w:bottom w:val="single" w:color="auto" w:sz="6" w:space="0"/>
              <w:right w:val="single" w:color="auto" w:sz="6" w:space="0"/>
            </w:tcBorders>
            <w:noWrap w:val="0"/>
            <w:vAlign w:val="center"/>
          </w:tcPr>
          <w:p w14:paraId="55D676B1">
            <w:pPr>
              <w:keepNext w:val="0"/>
              <w:keepLines w:val="0"/>
              <w:widowControl/>
              <w:suppressLineNumbers w:val="0"/>
              <w:jc w:val="left"/>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承包人驻地建设</w:t>
            </w:r>
          </w:p>
        </w:tc>
        <w:tc>
          <w:tcPr>
            <w:tcW w:w="855" w:type="dxa"/>
            <w:tcBorders>
              <w:top w:val="single" w:color="auto" w:sz="6" w:space="0"/>
              <w:left w:val="single" w:color="auto" w:sz="6" w:space="0"/>
              <w:bottom w:val="single" w:color="auto" w:sz="6" w:space="0"/>
              <w:right w:val="single" w:color="auto" w:sz="6" w:space="0"/>
            </w:tcBorders>
            <w:noWrap w:val="0"/>
            <w:vAlign w:val="center"/>
          </w:tcPr>
          <w:p w14:paraId="2F559B22">
            <w:pPr>
              <w:keepNext w:val="0"/>
              <w:keepLines w:val="0"/>
              <w:widowControl/>
              <w:suppressLineNumbers w:val="0"/>
              <w:jc w:val="center"/>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总额</w:t>
            </w:r>
          </w:p>
        </w:tc>
        <w:tc>
          <w:tcPr>
            <w:tcW w:w="918" w:type="dxa"/>
            <w:tcBorders>
              <w:top w:val="single" w:color="auto" w:sz="6" w:space="0"/>
              <w:left w:val="single" w:color="auto" w:sz="6" w:space="0"/>
              <w:bottom w:val="single" w:color="auto" w:sz="6" w:space="0"/>
              <w:right w:val="single" w:color="auto" w:sz="6" w:space="0"/>
            </w:tcBorders>
            <w:noWrap w:val="0"/>
            <w:vAlign w:val="center"/>
          </w:tcPr>
          <w:p w14:paraId="5AC15E3A">
            <w:pPr>
              <w:keepNext w:val="0"/>
              <w:keepLines w:val="0"/>
              <w:widowControl/>
              <w:suppressLineNumbers w:val="0"/>
              <w:jc w:val="right"/>
              <w:textAlignment w:val="center"/>
              <w:rPr>
                <w:rFonts w:hint="eastAsia" w:ascii="宋体" w:hAnsi="宋体"/>
                <w:sz w:val="21"/>
                <w:szCs w:val="21"/>
              </w:rPr>
            </w:pPr>
            <w:r>
              <w:rPr>
                <w:rFonts w:hint="default" w:ascii="Arial Narrow" w:hAnsi="Arial Narrow" w:eastAsia="Arial Narrow" w:cs="Arial Narrow"/>
                <w:i w:val="0"/>
                <w:iCs w:val="0"/>
                <w:color w:val="000000"/>
                <w:kern w:val="0"/>
                <w:sz w:val="21"/>
                <w:szCs w:val="21"/>
                <w:u w:val="none"/>
                <w:lang w:val="en-US" w:eastAsia="zh-CN" w:bidi="ar"/>
              </w:rPr>
              <w:t>1</w:t>
            </w:r>
          </w:p>
        </w:tc>
        <w:tc>
          <w:tcPr>
            <w:tcW w:w="973" w:type="dxa"/>
            <w:tcBorders>
              <w:top w:val="single" w:color="auto" w:sz="6" w:space="0"/>
              <w:left w:val="single" w:color="auto" w:sz="6" w:space="0"/>
              <w:bottom w:val="single" w:color="auto" w:sz="6" w:space="0"/>
              <w:right w:val="single" w:color="auto" w:sz="6" w:space="0"/>
            </w:tcBorders>
            <w:noWrap w:val="0"/>
            <w:vAlign w:val="center"/>
          </w:tcPr>
          <w:p w14:paraId="07A2DD3A">
            <w:pPr>
              <w:jc w:val="center"/>
              <w:rPr>
                <w:rFonts w:hint="eastAsia" w:ascii="宋体" w:hAnsi="宋体"/>
                <w:szCs w:val="21"/>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395413E6">
            <w:pPr>
              <w:jc w:val="center"/>
              <w:rPr>
                <w:rFonts w:hint="eastAsia" w:ascii="宋体" w:hAnsi="宋体"/>
                <w:b/>
              </w:rPr>
            </w:pPr>
          </w:p>
        </w:tc>
      </w:tr>
      <w:tr w14:paraId="479C9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73A11C37">
            <w:pPr>
              <w:keepNext w:val="0"/>
              <w:keepLines w:val="0"/>
              <w:widowControl/>
              <w:suppressLineNumbers w:val="0"/>
              <w:jc w:val="center"/>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105</w:t>
            </w:r>
          </w:p>
        </w:tc>
        <w:tc>
          <w:tcPr>
            <w:tcW w:w="4533" w:type="dxa"/>
            <w:tcBorders>
              <w:top w:val="single" w:color="auto" w:sz="6" w:space="0"/>
              <w:left w:val="single" w:color="auto" w:sz="6" w:space="0"/>
              <w:bottom w:val="single" w:color="auto" w:sz="6" w:space="0"/>
              <w:right w:val="single" w:color="auto" w:sz="6" w:space="0"/>
            </w:tcBorders>
            <w:noWrap w:val="0"/>
            <w:vAlign w:val="center"/>
          </w:tcPr>
          <w:p w14:paraId="780A658B">
            <w:pPr>
              <w:keepNext w:val="0"/>
              <w:keepLines w:val="0"/>
              <w:widowControl/>
              <w:suppressLineNumbers w:val="0"/>
              <w:jc w:val="left"/>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巡查费</w:t>
            </w:r>
          </w:p>
        </w:tc>
        <w:tc>
          <w:tcPr>
            <w:tcW w:w="855" w:type="dxa"/>
            <w:tcBorders>
              <w:top w:val="single" w:color="auto" w:sz="6" w:space="0"/>
              <w:left w:val="single" w:color="auto" w:sz="6" w:space="0"/>
              <w:bottom w:val="single" w:color="auto" w:sz="6" w:space="0"/>
              <w:right w:val="single" w:color="auto" w:sz="6" w:space="0"/>
            </w:tcBorders>
            <w:noWrap w:val="0"/>
            <w:vAlign w:val="center"/>
          </w:tcPr>
          <w:p w14:paraId="6CD7F415">
            <w:pPr>
              <w:jc w:val="center"/>
              <w:rPr>
                <w:rFonts w:hint="eastAsia" w:ascii="宋体" w:hAnsi="宋体"/>
                <w:sz w:val="21"/>
                <w:szCs w:val="21"/>
              </w:rPr>
            </w:pPr>
          </w:p>
        </w:tc>
        <w:tc>
          <w:tcPr>
            <w:tcW w:w="918" w:type="dxa"/>
            <w:tcBorders>
              <w:top w:val="single" w:color="auto" w:sz="6" w:space="0"/>
              <w:left w:val="single" w:color="auto" w:sz="6" w:space="0"/>
              <w:bottom w:val="single" w:color="auto" w:sz="6" w:space="0"/>
              <w:right w:val="single" w:color="auto" w:sz="6" w:space="0"/>
            </w:tcBorders>
            <w:noWrap w:val="0"/>
            <w:vAlign w:val="center"/>
          </w:tcPr>
          <w:p w14:paraId="090C3CF2">
            <w:pPr>
              <w:jc w:val="right"/>
              <w:rPr>
                <w:rFonts w:hint="eastAsia" w:ascii="宋体" w:hAnsi="宋体"/>
                <w:sz w:val="21"/>
                <w:szCs w:val="21"/>
              </w:rPr>
            </w:pPr>
          </w:p>
        </w:tc>
        <w:tc>
          <w:tcPr>
            <w:tcW w:w="973" w:type="dxa"/>
            <w:tcBorders>
              <w:top w:val="single" w:color="auto" w:sz="6" w:space="0"/>
              <w:left w:val="single" w:color="auto" w:sz="6" w:space="0"/>
              <w:bottom w:val="single" w:color="auto" w:sz="6" w:space="0"/>
              <w:right w:val="single" w:color="auto" w:sz="6" w:space="0"/>
            </w:tcBorders>
            <w:noWrap w:val="0"/>
            <w:vAlign w:val="center"/>
          </w:tcPr>
          <w:p w14:paraId="36E5DAEF">
            <w:pPr>
              <w:jc w:val="center"/>
              <w:rPr>
                <w:rFonts w:hint="eastAsia" w:ascii="宋体" w:hAnsi="宋体"/>
                <w:szCs w:val="21"/>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52DE019F">
            <w:pPr>
              <w:jc w:val="center"/>
              <w:rPr>
                <w:rFonts w:hint="eastAsia" w:ascii="宋体" w:hAnsi="宋体"/>
                <w:b/>
              </w:rPr>
            </w:pPr>
          </w:p>
        </w:tc>
      </w:tr>
      <w:tr w14:paraId="6F749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69795F73">
            <w:pPr>
              <w:keepNext w:val="0"/>
              <w:keepLines w:val="0"/>
              <w:widowControl/>
              <w:suppressLineNumbers w:val="0"/>
              <w:jc w:val="center"/>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105-1</w:t>
            </w:r>
          </w:p>
        </w:tc>
        <w:tc>
          <w:tcPr>
            <w:tcW w:w="4533" w:type="dxa"/>
            <w:tcBorders>
              <w:top w:val="single" w:color="auto" w:sz="6" w:space="0"/>
              <w:left w:val="single" w:color="auto" w:sz="6" w:space="0"/>
              <w:bottom w:val="single" w:color="auto" w:sz="6" w:space="0"/>
              <w:right w:val="single" w:color="auto" w:sz="6" w:space="0"/>
            </w:tcBorders>
            <w:noWrap w:val="0"/>
            <w:vAlign w:val="center"/>
          </w:tcPr>
          <w:p w14:paraId="1D8ACF5C">
            <w:pPr>
              <w:keepNext w:val="0"/>
              <w:keepLines w:val="0"/>
              <w:widowControl/>
              <w:suppressLineNumbers w:val="0"/>
              <w:jc w:val="left"/>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汽车巡查费（1辆）</w:t>
            </w:r>
          </w:p>
        </w:tc>
        <w:tc>
          <w:tcPr>
            <w:tcW w:w="855" w:type="dxa"/>
            <w:tcBorders>
              <w:top w:val="single" w:color="auto" w:sz="6" w:space="0"/>
              <w:left w:val="single" w:color="auto" w:sz="6" w:space="0"/>
              <w:bottom w:val="single" w:color="auto" w:sz="6" w:space="0"/>
              <w:right w:val="single" w:color="auto" w:sz="6" w:space="0"/>
            </w:tcBorders>
            <w:noWrap w:val="0"/>
            <w:vAlign w:val="center"/>
          </w:tcPr>
          <w:p w14:paraId="68E31E2C">
            <w:pPr>
              <w:keepNext w:val="0"/>
              <w:keepLines w:val="0"/>
              <w:widowControl/>
              <w:suppressLineNumbers w:val="0"/>
              <w:jc w:val="center"/>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月</w:t>
            </w:r>
          </w:p>
        </w:tc>
        <w:tc>
          <w:tcPr>
            <w:tcW w:w="918" w:type="dxa"/>
            <w:tcBorders>
              <w:top w:val="single" w:color="auto" w:sz="6" w:space="0"/>
              <w:left w:val="single" w:color="auto" w:sz="6" w:space="0"/>
              <w:bottom w:val="single" w:color="auto" w:sz="6" w:space="0"/>
              <w:right w:val="single" w:color="auto" w:sz="6" w:space="0"/>
            </w:tcBorders>
            <w:noWrap w:val="0"/>
            <w:vAlign w:val="center"/>
          </w:tcPr>
          <w:p w14:paraId="2613A248">
            <w:pPr>
              <w:keepNext w:val="0"/>
              <w:keepLines w:val="0"/>
              <w:widowControl/>
              <w:suppressLineNumbers w:val="0"/>
              <w:jc w:val="right"/>
              <w:textAlignment w:val="center"/>
              <w:rPr>
                <w:rFonts w:hint="default" w:ascii="宋体" w:hAnsi="宋体"/>
                <w:sz w:val="21"/>
                <w:szCs w:val="21"/>
                <w:lang w:val="en-US"/>
              </w:rPr>
            </w:pPr>
            <w:r>
              <w:rPr>
                <w:rFonts w:hint="default" w:ascii="Arial Narrow" w:hAnsi="Arial Narrow" w:eastAsia="Arial Narrow" w:cs="Arial Narrow"/>
                <w:i w:val="0"/>
                <w:iCs w:val="0"/>
                <w:color w:val="000000"/>
                <w:kern w:val="0"/>
                <w:sz w:val="21"/>
                <w:szCs w:val="21"/>
                <w:u w:val="none"/>
                <w:lang w:val="en-US" w:eastAsia="zh-CN" w:bidi="ar"/>
              </w:rPr>
              <w:t>10</w:t>
            </w:r>
          </w:p>
        </w:tc>
        <w:tc>
          <w:tcPr>
            <w:tcW w:w="973" w:type="dxa"/>
            <w:tcBorders>
              <w:top w:val="single" w:color="auto" w:sz="6" w:space="0"/>
              <w:left w:val="single" w:color="auto" w:sz="6" w:space="0"/>
              <w:bottom w:val="single" w:color="auto" w:sz="6" w:space="0"/>
              <w:right w:val="single" w:color="auto" w:sz="6" w:space="0"/>
            </w:tcBorders>
            <w:noWrap w:val="0"/>
            <w:vAlign w:val="center"/>
          </w:tcPr>
          <w:p w14:paraId="72F0BD7B">
            <w:pPr>
              <w:jc w:val="center"/>
              <w:rPr>
                <w:rFonts w:hint="eastAsia" w:ascii="宋体" w:hAnsi="宋体"/>
                <w:szCs w:val="21"/>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7711AAA0">
            <w:pPr>
              <w:jc w:val="center"/>
              <w:rPr>
                <w:rFonts w:hint="eastAsia" w:ascii="宋体" w:hAnsi="宋体"/>
                <w:b/>
              </w:rPr>
            </w:pPr>
          </w:p>
        </w:tc>
      </w:tr>
      <w:tr w14:paraId="5DA8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33407769">
            <w:pPr>
              <w:keepNext w:val="0"/>
              <w:keepLines w:val="0"/>
              <w:widowControl/>
              <w:suppressLineNumbers w:val="0"/>
              <w:jc w:val="center"/>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107</w:t>
            </w:r>
          </w:p>
        </w:tc>
        <w:tc>
          <w:tcPr>
            <w:tcW w:w="4533" w:type="dxa"/>
            <w:tcBorders>
              <w:top w:val="single" w:color="auto" w:sz="6" w:space="0"/>
              <w:left w:val="single" w:color="auto" w:sz="6" w:space="0"/>
              <w:bottom w:val="single" w:color="auto" w:sz="6" w:space="0"/>
              <w:right w:val="single" w:color="auto" w:sz="6" w:space="0"/>
            </w:tcBorders>
            <w:noWrap w:val="0"/>
            <w:vAlign w:val="center"/>
          </w:tcPr>
          <w:p w14:paraId="2D0130AA">
            <w:pPr>
              <w:keepNext w:val="0"/>
              <w:keepLines w:val="0"/>
              <w:widowControl/>
              <w:suppressLineNumbers w:val="0"/>
              <w:jc w:val="left"/>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应急抢修</w:t>
            </w:r>
          </w:p>
        </w:tc>
        <w:tc>
          <w:tcPr>
            <w:tcW w:w="855" w:type="dxa"/>
            <w:tcBorders>
              <w:top w:val="single" w:color="auto" w:sz="6" w:space="0"/>
              <w:left w:val="single" w:color="auto" w:sz="6" w:space="0"/>
              <w:bottom w:val="single" w:color="auto" w:sz="6" w:space="0"/>
              <w:right w:val="single" w:color="auto" w:sz="6" w:space="0"/>
            </w:tcBorders>
            <w:noWrap w:val="0"/>
            <w:vAlign w:val="center"/>
          </w:tcPr>
          <w:p w14:paraId="359C1100">
            <w:pPr>
              <w:jc w:val="center"/>
              <w:rPr>
                <w:rFonts w:hint="eastAsia" w:ascii="宋体" w:hAnsi="宋体"/>
                <w:sz w:val="21"/>
                <w:szCs w:val="21"/>
              </w:rPr>
            </w:pPr>
          </w:p>
        </w:tc>
        <w:tc>
          <w:tcPr>
            <w:tcW w:w="918" w:type="dxa"/>
            <w:tcBorders>
              <w:top w:val="single" w:color="auto" w:sz="6" w:space="0"/>
              <w:left w:val="single" w:color="auto" w:sz="6" w:space="0"/>
              <w:bottom w:val="single" w:color="auto" w:sz="6" w:space="0"/>
              <w:right w:val="single" w:color="auto" w:sz="6" w:space="0"/>
            </w:tcBorders>
            <w:noWrap w:val="0"/>
            <w:vAlign w:val="center"/>
          </w:tcPr>
          <w:p w14:paraId="556251DE">
            <w:pPr>
              <w:jc w:val="right"/>
              <w:rPr>
                <w:rFonts w:hint="eastAsia" w:ascii="宋体" w:hAnsi="宋体"/>
                <w:sz w:val="21"/>
                <w:szCs w:val="21"/>
              </w:rPr>
            </w:pPr>
          </w:p>
        </w:tc>
        <w:tc>
          <w:tcPr>
            <w:tcW w:w="973" w:type="dxa"/>
            <w:tcBorders>
              <w:top w:val="single" w:color="auto" w:sz="6" w:space="0"/>
              <w:left w:val="single" w:color="auto" w:sz="6" w:space="0"/>
              <w:bottom w:val="single" w:color="auto" w:sz="6" w:space="0"/>
              <w:right w:val="single" w:color="auto" w:sz="6" w:space="0"/>
            </w:tcBorders>
            <w:noWrap w:val="0"/>
            <w:vAlign w:val="center"/>
          </w:tcPr>
          <w:p w14:paraId="7E6C36A8">
            <w:pPr>
              <w:jc w:val="center"/>
              <w:rPr>
                <w:rFonts w:hint="eastAsia" w:ascii="宋体" w:hAnsi="宋体"/>
                <w:szCs w:val="21"/>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14C9FB81">
            <w:pPr>
              <w:jc w:val="center"/>
              <w:rPr>
                <w:rFonts w:hint="eastAsia" w:ascii="宋体" w:hAnsi="宋体"/>
                <w:b/>
              </w:rPr>
            </w:pPr>
          </w:p>
        </w:tc>
      </w:tr>
      <w:tr w14:paraId="7DCF2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0442FF0C">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107-1</w:t>
            </w:r>
          </w:p>
        </w:tc>
        <w:tc>
          <w:tcPr>
            <w:tcW w:w="4533" w:type="dxa"/>
            <w:tcBorders>
              <w:top w:val="single" w:color="auto" w:sz="6" w:space="0"/>
              <w:left w:val="single" w:color="auto" w:sz="6" w:space="0"/>
              <w:bottom w:val="single" w:color="auto" w:sz="6" w:space="0"/>
              <w:right w:val="single" w:color="auto" w:sz="6" w:space="0"/>
            </w:tcBorders>
            <w:noWrap w:val="0"/>
            <w:vAlign w:val="center"/>
          </w:tcPr>
          <w:p w14:paraId="5DE4A9DB">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应急处置人工</w:t>
            </w:r>
          </w:p>
        </w:tc>
        <w:tc>
          <w:tcPr>
            <w:tcW w:w="855" w:type="dxa"/>
            <w:tcBorders>
              <w:top w:val="single" w:color="auto" w:sz="6" w:space="0"/>
              <w:left w:val="single" w:color="auto" w:sz="6" w:space="0"/>
              <w:bottom w:val="single" w:color="auto" w:sz="6" w:space="0"/>
              <w:right w:val="single" w:color="auto" w:sz="6" w:space="0"/>
            </w:tcBorders>
            <w:noWrap w:val="0"/>
            <w:vAlign w:val="center"/>
          </w:tcPr>
          <w:p w14:paraId="1295C1FC">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工日</w:t>
            </w:r>
          </w:p>
        </w:tc>
        <w:tc>
          <w:tcPr>
            <w:tcW w:w="918" w:type="dxa"/>
            <w:tcBorders>
              <w:top w:val="single" w:color="auto" w:sz="6" w:space="0"/>
              <w:left w:val="single" w:color="auto" w:sz="6" w:space="0"/>
              <w:bottom w:val="single" w:color="auto" w:sz="6" w:space="0"/>
              <w:right w:val="single" w:color="auto" w:sz="6" w:space="0"/>
            </w:tcBorders>
            <w:noWrap w:val="0"/>
            <w:vAlign w:val="center"/>
          </w:tcPr>
          <w:p w14:paraId="469C60E7">
            <w:pPr>
              <w:keepNext w:val="0"/>
              <w:keepLines w:val="0"/>
              <w:widowControl/>
              <w:suppressLineNumbers w:val="0"/>
              <w:jc w:val="right"/>
              <w:textAlignment w:val="center"/>
              <w:rPr>
                <w:rFonts w:hint="eastAsia" w:ascii="宋体" w:hAnsi="宋体" w:cs="宋体"/>
                <w:kern w:val="0"/>
                <w:sz w:val="21"/>
                <w:szCs w:val="21"/>
              </w:rPr>
            </w:pPr>
            <w:r>
              <w:rPr>
                <w:rFonts w:hint="default" w:ascii="Arial Narrow" w:hAnsi="Arial Narrow" w:eastAsia="Arial Narrow" w:cs="Arial Narrow"/>
                <w:i w:val="0"/>
                <w:iCs w:val="0"/>
                <w:color w:val="000000"/>
                <w:kern w:val="0"/>
                <w:sz w:val="21"/>
                <w:szCs w:val="21"/>
                <w:u w:val="none"/>
                <w:lang w:val="en-US" w:eastAsia="zh-CN" w:bidi="ar"/>
              </w:rPr>
              <w:t>400</w:t>
            </w:r>
          </w:p>
        </w:tc>
        <w:tc>
          <w:tcPr>
            <w:tcW w:w="973" w:type="dxa"/>
            <w:tcBorders>
              <w:top w:val="single" w:color="auto" w:sz="6" w:space="0"/>
              <w:left w:val="single" w:color="auto" w:sz="6" w:space="0"/>
              <w:bottom w:val="single" w:color="auto" w:sz="6" w:space="0"/>
              <w:right w:val="single" w:color="auto" w:sz="6" w:space="0"/>
            </w:tcBorders>
            <w:noWrap w:val="0"/>
            <w:vAlign w:val="center"/>
          </w:tcPr>
          <w:p w14:paraId="02979D44">
            <w:pPr>
              <w:jc w:val="center"/>
              <w:rPr>
                <w:rFonts w:hint="eastAsia" w:ascii="宋体" w:hAnsi="宋体"/>
                <w:szCs w:val="21"/>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71854D7C">
            <w:pPr>
              <w:jc w:val="center"/>
              <w:rPr>
                <w:rFonts w:hint="eastAsia" w:ascii="宋体" w:hAnsi="宋体"/>
                <w:b/>
              </w:rPr>
            </w:pPr>
          </w:p>
        </w:tc>
      </w:tr>
      <w:tr w14:paraId="06B26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2C67630A">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107-2</w:t>
            </w:r>
          </w:p>
        </w:tc>
        <w:tc>
          <w:tcPr>
            <w:tcW w:w="4533" w:type="dxa"/>
            <w:tcBorders>
              <w:top w:val="single" w:color="auto" w:sz="6" w:space="0"/>
              <w:left w:val="single" w:color="auto" w:sz="6" w:space="0"/>
              <w:bottom w:val="single" w:color="auto" w:sz="6" w:space="0"/>
              <w:right w:val="single" w:color="auto" w:sz="6" w:space="0"/>
            </w:tcBorders>
            <w:noWrap w:val="0"/>
            <w:vAlign w:val="center"/>
          </w:tcPr>
          <w:p w14:paraId="2C886D99">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应急保畅及设备的使用费</w:t>
            </w:r>
          </w:p>
        </w:tc>
        <w:tc>
          <w:tcPr>
            <w:tcW w:w="855" w:type="dxa"/>
            <w:tcBorders>
              <w:top w:val="single" w:color="auto" w:sz="6" w:space="0"/>
              <w:left w:val="single" w:color="auto" w:sz="6" w:space="0"/>
              <w:bottom w:val="single" w:color="auto" w:sz="6" w:space="0"/>
              <w:right w:val="single" w:color="auto" w:sz="6" w:space="0"/>
            </w:tcBorders>
            <w:noWrap w:val="0"/>
            <w:vAlign w:val="center"/>
          </w:tcPr>
          <w:p w14:paraId="46330CE9">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月</w:t>
            </w:r>
          </w:p>
        </w:tc>
        <w:tc>
          <w:tcPr>
            <w:tcW w:w="918" w:type="dxa"/>
            <w:tcBorders>
              <w:top w:val="single" w:color="auto" w:sz="6" w:space="0"/>
              <w:left w:val="single" w:color="auto" w:sz="6" w:space="0"/>
              <w:bottom w:val="single" w:color="auto" w:sz="6" w:space="0"/>
              <w:right w:val="single" w:color="auto" w:sz="6" w:space="0"/>
            </w:tcBorders>
            <w:noWrap w:val="0"/>
            <w:vAlign w:val="center"/>
          </w:tcPr>
          <w:p w14:paraId="12AA0EFB">
            <w:pPr>
              <w:keepNext w:val="0"/>
              <w:keepLines w:val="0"/>
              <w:widowControl/>
              <w:suppressLineNumbers w:val="0"/>
              <w:jc w:val="right"/>
              <w:textAlignment w:val="center"/>
              <w:rPr>
                <w:rFonts w:hint="default" w:ascii="宋体" w:hAnsi="宋体" w:cs="宋体"/>
                <w:kern w:val="0"/>
                <w:sz w:val="21"/>
                <w:szCs w:val="21"/>
                <w:lang w:val="en-US"/>
              </w:rPr>
            </w:pPr>
            <w:r>
              <w:rPr>
                <w:rFonts w:hint="default" w:ascii="Arial Narrow" w:hAnsi="Arial Narrow" w:eastAsia="Arial Narrow" w:cs="Arial Narrow"/>
                <w:i w:val="0"/>
                <w:iCs w:val="0"/>
                <w:color w:val="000000"/>
                <w:kern w:val="0"/>
                <w:sz w:val="21"/>
                <w:szCs w:val="21"/>
                <w:u w:val="none"/>
                <w:lang w:val="en-US" w:eastAsia="zh-CN" w:bidi="ar"/>
              </w:rPr>
              <w:t>10</w:t>
            </w:r>
          </w:p>
        </w:tc>
        <w:tc>
          <w:tcPr>
            <w:tcW w:w="973" w:type="dxa"/>
            <w:tcBorders>
              <w:top w:val="single" w:color="auto" w:sz="6" w:space="0"/>
              <w:left w:val="single" w:color="auto" w:sz="6" w:space="0"/>
              <w:bottom w:val="single" w:color="auto" w:sz="6" w:space="0"/>
              <w:right w:val="single" w:color="auto" w:sz="6" w:space="0"/>
            </w:tcBorders>
            <w:noWrap w:val="0"/>
            <w:vAlign w:val="center"/>
          </w:tcPr>
          <w:p w14:paraId="2FAA95CE">
            <w:pPr>
              <w:jc w:val="center"/>
              <w:rPr>
                <w:rFonts w:hint="eastAsia" w:ascii="宋体" w:hAnsi="宋体"/>
                <w:szCs w:val="21"/>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046F7DCD">
            <w:pPr>
              <w:jc w:val="center"/>
              <w:rPr>
                <w:rFonts w:hint="eastAsia" w:ascii="宋体" w:hAnsi="宋体"/>
                <w:b/>
              </w:rPr>
            </w:pPr>
          </w:p>
        </w:tc>
      </w:tr>
      <w:tr w14:paraId="71055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2D806303">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107-3</w:t>
            </w:r>
          </w:p>
        </w:tc>
        <w:tc>
          <w:tcPr>
            <w:tcW w:w="4533" w:type="dxa"/>
            <w:tcBorders>
              <w:top w:val="single" w:color="auto" w:sz="6" w:space="0"/>
              <w:left w:val="single" w:color="auto" w:sz="6" w:space="0"/>
              <w:bottom w:val="single" w:color="auto" w:sz="6" w:space="0"/>
              <w:right w:val="single" w:color="auto" w:sz="6" w:space="0"/>
            </w:tcBorders>
            <w:noWrap w:val="0"/>
            <w:vAlign w:val="center"/>
          </w:tcPr>
          <w:p w14:paraId="75F620B7">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应急物资</w:t>
            </w:r>
          </w:p>
        </w:tc>
        <w:tc>
          <w:tcPr>
            <w:tcW w:w="855" w:type="dxa"/>
            <w:tcBorders>
              <w:top w:val="single" w:color="auto" w:sz="6" w:space="0"/>
              <w:left w:val="single" w:color="auto" w:sz="6" w:space="0"/>
              <w:bottom w:val="single" w:color="auto" w:sz="6" w:space="0"/>
              <w:right w:val="single" w:color="auto" w:sz="6" w:space="0"/>
            </w:tcBorders>
            <w:noWrap w:val="0"/>
            <w:vAlign w:val="center"/>
          </w:tcPr>
          <w:p w14:paraId="0C6463E4">
            <w:pPr>
              <w:jc w:val="center"/>
              <w:rPr>
                <w:rFonts w:hint="eastAsia" w:ascii="宋体" w:hAnsi="宋体" w:cs="宋体"/>
                <w:kern w:val="0"/>
                <w:sz w:val="21"/>
                <w:szCs w:val="21"/>
              </w:rPr>
            </w:pPr>
          </w:p>
        </w:tc>
        <w:tc>
          <w:tcPr>
            <w:tcW w:w="918" w:type="dxa"/>
            <w:tcBorders>
              <w:top w:val="single" w:color="auto" w:sz="6" w:space="0"/>
              <w:left w:val="single" w:color="auto" w:sz="6" w:space="0"/>
              <w:bottom w:val="single" w:color="auto" w:sz="6" w:space="0"/>
              <w:right w:val="single" w:color="auto" w:sz="6" w:space="0"/>
            </w:tcBorders>
            <w:noWrap w:val="0"/>
            <w:vAlign w:val="center"/>
          </w:tcPr>
          <w:p w14:paraId="5C0614F6">
            <w:pPr>
              <w:jc w:val="right"/>
              <w:rPr>
                <w:rFonts w:hint="eastAsia" w:ascii="宋体" w:hAnsi="宋体" w:cs="宋体"/>
                <w:kern w:val="0"/>
                <w:sz w:val="21"/>
                <w:szCs w:val="21"/>
              </w:rPr>
            </w:pPr>
          </w:p>
        </w:tc>
        <w:tc>
          <w:tcPr>
            <w:tcW w:w="973" w:type="dxa"/>
            <w:tcBorders>
              <w:top w:val="single" w:color="auto" w:sz="6" w:space="0"/>
              <w:left w:val="single" w:color="auto" w:sz="6" w:space="0"/>
              <w:bottom w:val="single" w:color="auto" w:sz="6" w:space="0"/>
              <w:right w:val="single" w:color="auto" w:sz="6" w:space="0"/>
            </w:tcBorders>
            <w:noWrap w:val="0"/>
            <w:vAlign w:val="center"/>
          </w:tcPr>
          <w:p w14:paraId="708303A2">
            <w:pPr>
              <w:jc w:val="center"/>
              <w:rPr>
                <w:rFonts w:hint="eastAsia" w:ascii="宋体" w:hAnsi="宋体"/>
                <w:szCs w:val="21"/>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1727583B">
            <w:pPr>
              <w:jc w:val="center"/>
              <w:rPr>
                <w:rFonts w:hint="eastAsia" w:ascii="宋体" w:hAnsi="宋体"/>
                <w:b/>
              </w:rPr>
            </w:pPr>
          </w:p>
        </w:tc>
      </w:tr>
      <w:tr w14:paraId="71DEB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7001D6BC">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-a</w:t>
            </w:r>
          </w:p>
        </w:tc>
        <w:tc>
          <w:tcPr>
            <w:tcW w:w="4533" w:type="dxa"/>
            <w:tcBorders>
              <w:top w:val="single" w:color="auto" w:sz="6" w:space="0"/>
              <w:left w:val="single" w:color="auto" w:sz="6" w:space="0"/>
              <w:bottom w:val="single" w:color="auto" w:sz="6" w:space="0"/>
              <w:right w:val="single" w:color="auto" w:sz="6" w:space="0"/>
            </w:tcBorders>
            <w:noWrap w:val="0"/>
            <w:vAlign w:val="center"/>
          </w:tcPr>
          <w:p w14:paraId="633C0237">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融雪剂</w:t>
            </w:r>
          </w:p>
        </w:tc>
        <w:tc>
          <w:tcPr>
            <w:tcW w:w="855" w:type="dxa"/>
            <w:tcBorders>
              <w:top w:val="single" w:color="auto" w:sz="6" w:space="0"/>
              <w:left w:val="single" w:color="auto" w:sz="6" w:space="0"/>
              <w:bottom w:val="single" w:color="auto" w:sz="6" w:space="0"/>
              <w:right w:val="single" w:color="auto" w:sz="6" w:space="0"/>
            </w:tcBorders>
            <w:noWrap w:val="0"/>
            <w:vAlign w:val="center"/>
          </w:tcPr>
          <w:p w14:paraId="2A63596C">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吨</w:t>
            </w:r>
          </w:p>
        </w:tc>
        <w:tc>
          <w:tcPr>
            <w:tcW w:w="918" w:type="dxa"/>
            <w:tcBorders>
              <w:top w:val="single" w:color="auto" w:sz="6" w:space="0"/>
              <w:left w:val="single" w:color="auto" w:sz="6" w:space="0"/>
              <w:bottom w:val="single" w:color="auto" w:sz="6" w:space="0"/>
              <w:right w:val="single" w:color="auto" w:sz="6" w:space="0"/>
            </w:tcBorders>
            <w:noWrap w:val="0"/>
            <w:vAlign w:val="center"/>
          </w:tcPr>
          <w:p w14:paraId="0D190533">
            <w:pPr>
              <w:keepNext w:val="0"/>
              <w:keepLines w:val="0"/>
              <w:widowControl/>
              <w:suppressLineNumbers w:val="0"/>
              <w:jc w:val="right"/>
              <w:textAlignment w:val="center"/>
              <w:rPr>
                <w:rFonts w:hint="eastAsia" w:ascii="宋体" w:hAnsi="宋体" w:cs="宋体"/>
                <w:kern w:val="0"/>
                <w:sz w:val="21"/>
                <w:szCs w:val="21"/>
              </w:rPr>
            </w:pPr>
            <w:r>
              <w:rPr>
                <w:rFonts w:hint="default" w:ascii="Arial Narrow" w:hAnsi="Arial Narrow" w:eastAsia="Arial Narrow" w:cs="Arial Narrow"/>
                <w:i w:val="0"/>
                <w:iCs w:val="0"/>
                <w:color w:val="000000"/>
                <w:kern w:val="0"/>
                <w:sz w:val="21"/>
                <w:szCs w:val="21"/>
                <w:u w:val="none"/>
                <w:lang w:val="en-US" w:eastAsia="zh-CN" w:bidi="ar"/>
              </w:rPr>
              <w:t>25</w:t>
            </w:r>
          </w:p>
        </w:tc>
        <w:tc>
          <w:tcPr>
            <w:tcW w:w="973" w:type="dxa"/>
            <w:tcBorders>
              <w:top w:val="single" w:color="auto" w:sz="6" w:space="0"/>
              <w:left w:val="single" w:color="auto" w:sz="6" w:space="0"/>
              <w:bottom w:val="single" w:color="auto" w:sz="6" w:space="0"/>
              <w:right w:val="single" w:color="auto" w:sz="6" w:space="0"/>
            </w:tcBorders>
            <w:noWrap w:val="0"/>
            <w:vAlign w:val="center"/>
          </w:tcPr>
          <w:p w14:paraId="66FE099A">
            <w:pPr>
              <w:jc w:val="center"/>
              <w:rPr>
                <w:rFonts w:hint="eastAsia" w:ascii="宋体" w:hAnsi="宋体"/>
                <w:szCs w:val="21"/>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4D0E6C96">
            <w:pPr>
              <w:jc w:val="center"/>
              <w:rPr>
                <w:rFonts w:hint="eastAsia" w:ascii="宋体" w:hAnsi="宋体"/>
                <w:b/>
              </w:rPr>
            </w:pPr>
          </w:p>
        </w:tc>
      </w:tr>
      <w:tr w14:paraId="1A92B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385FE1A9">
            <w:pPr>
              <w:keepNext w:val="0"/>
              <w:keepLines w:val="0"/>
              <w:widowControl/>
              <w:suppressLineNumbers w:val="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-b</w:t>
            </w:r>
          </w:p>
        </w:tc>
        <w:tc>
          <w:tcPr>
            <w:tcW w:w="4533" w:type="dxa"/>
            <w:tcBorders>
              <w:top w:val="single" w:color="auto" w:sz="6" w:space="0"/>
              <w:left w:val="single" w:color="auto" w:sz="6" w:space="0"/>
              <w:bottom w:val="single" w:color="auto" w:sz="6" w:space="0"/>
              <w:right w:val="single" w:color="auto" w:sz="6" w:space="0"/>
            </w:tcBorders>
            <w:noWrap w:val="0"/>
            <w:vAlign w:val="center"/>
          </w:tcPr>
          <w:p w14:paraId="44D9B238">
            <w:pPr>
              <w:keepNext w:val="0"/>
              <w:keepLines w:val="0"/>
              <w:widowControl/>
              <w:suppressLineNumbers w:val="0"/>
              <w:jc w:val="left"/>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草包</w:t>
            </w:r>
          </w:p>
        </w:tc>
        <w:tc>
          <w:tcPr>
            <w:tcW w:w="855" w:type="dxa"/>
            <w:tcBorders>
              <w:top w:val="single" w:color="auto" w:sz="6" w:space="0"/>
              <w:left w:val="single" w:color="auto" w:sz="6" w:space="0"/>
              <w:bottom w:val="single" w:color="auto" w:sz="6" w:space="0"/>
              <w:right w:val="single" w:color="auto" w:sz="6" w:space="0"/>
            </w:tcBorders>
            <w:noWrap w:val="0"/>
            <w:vAlign w:val="center"/>
          </w:tcPr>
          <w:p w14:paraId="7EB79B2D">
            <w:pPr>
              <w:keepNext w:val="0"/>
              <w:keepLines w:val="0"/>
              <w:widowControl/>
              <w:suppressLineNumbers w:val="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个</w:t>
            </w:r>
          </w:p>
        </w:tc>
        <w:tc>
          <w:tcPr>
            <w:tcW w:w="918" w:type="dxa"/>
            <w:tcBorders>
              <w:top w:val="single" w:color="auto" w:sz="6" w:space="0"/>
              <w:left w:val="single" w:color="auto" w:sz="6" w:space="0"/>
              <w:bottom w:val="single" w:color="auto" w:sz="6" w:space="0"/>
              <w:right w:val="single" w:color="auto" w:sz="6" w:space="0"/>
            </w:tcBorders>
            <w:noWrap w:val="0"/>
            <w:vAlign w:val="center"/>
          </w:tcPr>
          <w:p w14:paraId="1422CAF1">
            <w:pPr>
              <w:keepNext w:val="0"/>
              <w:keepLines w:val="0"/>
              <w:widowControl/>
              <w:suppressLineNumbers w:val="0"/>
              <w:jc w:val="right"/>
              <w:textAlignment w:val="center"/>
              <w:rPr>
                <w:rFonts w:hint="eastAsia" w:ascii="宋体" w:hAnsi="宋体"/>
                <w:sz w:val="21"/>
                <w:szCs w:val="21"/>
              </w:rPr>
            </w:pPr>
            <w:r>
              <w:rPr>
                <w:rFonts w:hint="default" w:ascii="Arial Narrow" w:hAnsi="Arial Narrow" w:eastAsia="Arial Narrow" w:cs="Arial Narrow"/>
                <w:i w:val="0"/>
                <w:iCs w:val="0"/>
                <w:color w:val="000000"/>
                <w:kern w:val="0"/>
                <w:sz w:val="21"/>
                <w:szCs w:val="21"/>
                <w:u w:val="none"/>
                <w:lang w:val="en-US" w:eastAsia="zh-CN" w:bidi="ar"/>
              </w:rPr>
              <w:t>1500</w:t>
            </w:r>
          </w:p>
        </w:tc>
        <w:tc>
          <w:tcPr>
            <w:tcW w:w="973" w:type="dxa"/>
            <w:tcBorders>
              <w:top w:val="single" w:color="auto" w:sz="6" w:space="0"/>
              <w:left w:val="single" w:color="auto" w:sz="6" w:space="0"/>
              <w:bottom w:val="single" w:color="auto" w:sz="6" w:space="0"/>
              <w:right w:val="single" w:color="auto" w:sz="6" w:space="0"/>
            </w:tcBorders>
            <w:noWrap w:val="0"/>
            <w:vAlign w:val="center"/>
          </w:tcPr>
          <w:p w14:paraId="67271973">
            <w:pPr>
              <w:jc w:val="center"/>
              <w:rPr>
                <w:rFonts w:hint="eastAsia" w:ascii="宋体" w:hAnsi="宋体"/>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20332DE9">
            <w:pPr>
              <w:jc w:val="center"/>
              <w:rPr>
                <w:rFonts w:hint="eastAsia" w:ascii="宋体" w:hAnsi="宋体"/>
              </w:rPr>
            </w:pPr>
          </w:p>
        </w:tc>
      </w:tr>
    </w:tbl>
    <w:p w14:paraId="4C59FFB5">
      <w:pPr>
        <w:spacing w:before="240" w:beforeLines="100" w:after="240" w:afterLines="100"/>
        <w:jc w:val="center"/>
        <w:rPr>
          <w:rFonts w:hint="eastAsia" w:ascii="黑体" w:hAnsi="宋体" w:eastAsia="黑体"/>
          <w:sz w:val="30"/>
          <w:szCs w:val="30"/>
        </w:rPr>
      </w:pPr>
    </w:p>
    <w:p w14:paraId="2C1EE4CD">
      <w:pPr>
        <w:spacing w:before="240" w:beforeLines="100" w:after="240" w:afterLines="100"/>
        <w:jc w:val="center"/>
        <w:rPr>
          <w:rFonts w:hint="eastAsia" w:ascii="黑体" w:hAnsi="宋体" w:eastAsia="黑体"/>
          <w:sz w:val="30"/>
          <w:szCs w:val="30"/>
        </w:rPr>
      </w:pPr>
    </w:p>
    <w:p w14:paraId="5AD8414F">
      <w:pPr>
        <w:spacing w:before="240" w:beforeLines="100" w:after="240" w:afterLines="100"/>
        <w:jc w:val="center"/>
        <w:rPr>
          <w:rFonts w:hint="eastAsia" w:ascii="黑体" w:hAnsi="宋体" w:eastAsia="黑体"/>
          <w:sz w:val="30"/>
          <w:szCs w:val="30"/>
        </w:rPr>
      </w:pPr>
    </w:p>
    <w:p w14:paraId="104EBE27">
      <w:pPr>
        <w:spacing w:before="240" w:beforeLines="100" w:after="240" w:afterLines="100"/>
        <w:jc w:val="center"/>
        <w:rPr>
          <w:rFonts w:hint="eastAsia" w:ascii="黑体" w:hAnsi="宋体" w:eastAsia="黑体"/>
          <w:sz w:val="30"/>
          <w:szCs w:val="30"/>
        </w:rPr>
      </w:pPr>
      <w:r>
        <w:rPr>
          <w:rFonts w:hint="eastAsia" w:ascii="黑体" w:hAnsi="宋体" w:eastAsia="黑体"/>
          <w:sz w:val="30"/>
          <w:szCs w:val="30"/>
        </w:rPr>
        <w:t>工程量清单</w:t>
      </w:r>
    </w:p>
    <w:p w14:paraId="1FE71DF9">
      <w:pPr>
        <w:pStyle w:val="50"/>
        <w:ind w:left="0" w:leftChars="0" w:firstLine="0" w:firstLine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标项</w:t>
      </w:r>
      <w:r>
        <w:rPr>
          <w:rFonts w:hint="eastAsia" w:asciiTheme="minorEastAsia" w:hAnsiTheme="minorEastAsia" w:cstheme="minorEastAsia"/>
          <w:sz w:val="24"/>
          <w:szCs w:val="24"/>
          <w:lang w:val="en-US" w:eastAsia="zh-CN"/>
        </w:rPr>
        <w:t>2</w:t>
      </w:r>
      <w:r>
        <w:rPr>
          <w:rFonts w:hint="eastAsia" w:asciiTheme="minorEastAsia" w:hAnsiTheme="minorEastAsia" w:eastAsiaTheme="minorEastAsia" w:cstheme="minorEastAsia"/>
          <w:sz w:val="24"/>
          <w:szCs w:val="24"/>
        </w:rPr>
        <w:t>：</w:t>
      </w:r>
      <w:r>
        <w:rPr>
          <w:rFonts w:hint="eastAsia" w:asciiTheme="minorEastAsia" w:hAnsiTheme="minorEastAsia" w:cstheme="minorEastAsia"/>
          <w:sz w:val="24"/>
          <w:szCs w:val="24"/>
          <w:lang w:eastAsia="zh-CN"/>
        </w:rPr>
        <w:t>2026年秀洲区县道及以上公路小修及应急抢险项目</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第</w:t>
      </w:r>
      <w:r>
        <w:rPr>
          <w:rFonts w:hint="eastAsia" w:asciiTheme="minorEastAsia" w:hAnsiTheme="minorEastAsia" w:cstheme="minorEastAsia"/>
          <w:sz w:val="24"/>
          <w:szCs w:val="24"/>
          <w:lang w:val="en-US" w:eastAsia="zh-CN"/>
        </w:rPr>
        <w:t>二</w:t>
      </w:r>
      <w:r>
        <w:rPr>
          <w:rFonts w:hint="eastAsia" w:asciiTheme="minorEastAsia" w:hAnsiTheme="minorEastAsia" w:eastAsiaTheme="minorEastAsia" w:cstheme="minorEastAsia"/>
          <w:sz w:val="24"/>
          <w:szCs w:val="24"/>
          <w:lang w:eastAsia="zh-CN"/>
        </w:rPr>
        <w:t>标段）</w:t>
      </w:r>
    </w:p>
    <w:p w14:paraId="72EF43F4">
      <w:pPr>
        <w:pStyle w:val="50"/>
        <w:ind w:left="0" w:leftChars="0" w:firstLine="0" w:firstLineChars="0"/>
        <w:rPr>
          <w:rFonts w:hint="eastAsia"/>
        </w:rPr>
      </w:pPr>
      <w:r>
        <w:rPr>
          <w:rFonts w:hint="eastAsia" w:asciiTheme="minorEastAsia" w:hAnsiTheme="minorEastAsia" w:eastAsiaTheme="minorEastAsia" w:cstheme="minorEastAsia"/>
          <w:sz w:val="24"/>
          <w:szCs w:val="24"/>
        </w:rPr>
        <w:t>货币单位：人民币元</w:t>
      </w:r>
      <w:r>
        <w:tab/>
      </w:r>
    </w:p>
    <w:tbl>
      <w:tblPr>
        <w:tblStyle w:val="51"/>
        <w:tblW w:w="0" w:type="auto"/>
        <w:tblInd w:w="-7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0" w:type="dxa"/>
        </w:tblCellMar>
      </w:tblPr>
      <w:tblGrid>
        <w:gridCol w:w="822"/>
        <w:gridCol w:w="4533"/>
        <w:gridCol w:w="855"/>
        <w:gridCol w:w="918"/>
        <w:gridCol w:w="973"/>
        <w:gridCol w:w="1061"/>
      </w:tblGrid>
      <w:tr w14:paraId="6056B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9162" w:type="dxa"/>
            <w:gridSpan w:val="6"/>
            <w:tcBorders>
              <w:top w:val="single" w:color="auto" w:sz="12" w:space="0"/>
              <w:left w:val="single" w:color="auto" w:sz="12" w:space="0"/>
              <w:bottom w:val="single" w:color="auto" w:sz="6" w:space="0"/>
              <w:right w:val="single" w:color="auto" w:sz="12" w:space="0"/>
            </w:tcBorders>
            <w:noWrap w:val="0"/>
            <w:vAlign w:val="center"/>
          </w:tcPr>
          <w:p w14:paraId="4D9C52F6">
            <w:pPr>
              <w:ind w:firstLine="103" w:firstLineChars="49"/>
              <w:jc w:val="center"/>
              <w:rPr>
                <w:rFonts w:hint="eastAsia" w:ascii="宋体" w:hAnsi="宋体"/>
                <w:b/>
                <w:bCs/>
              </w:rPr>
            </w:pPr>
            <w:r>
              <w:rPr>
                <w:rFonts w:hint="eastAsia" w:ascii="宋体" w:hAnsi="宋体"/>
                <w:b/>
                <w:bCs/>
              </w:rPr>
              <w:t>清单      第100章      总  则</w:t>
            </w:r>
          </w:p>
        </w:tc>
      </w:tr>
      <w:tr w14:paraId="65261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3371FD4C">
            <w:pPr>
              <w:jc w:val="center"/>
              <w:rPr>
                <w:rFonts w:hint="eastAsia" w:ascii="宋体" w:hAnsi="宋体"/>
                <w:szCs w:val="21"/>
              </w:rPr>
            </w:pPr>
            <w:r>
              <w:rPr>
                <w:rFonts w:hint="eastAsia" w:ascii="宋体" w:hAnsi="宋体"/>
                <w:szCs w:val="21"/>
              </w:rPr>
              <w:t>子目号</w:t>
            </w:r>
          </w:p>
        </w:tc>
        <w:tc>
          <w:tcPr>
            <w:tcW w:w="4533" w:type="dxa"/>
            <w:tcBorders>
              <w:top w:val="single" w:color="auto" w:sz="6" w:space="0"/>
              <w:left w:val="single" w:color="auto" w:sz="6" w:space="0"/>
              <w:bottom w:val="single" w:color="auto" w:sz="6" w:space="0"/>
              <w:right w:val="single" w:color="auto" w:sz="6" w:space="0"/>
            </w:tcBorders>
            <w:noWrap w:val="0"/>
            <w:vAlign w:val="center"/>
          </w:tcPr>
          <w:p w14:paraId="471096F3">
            <w:pPr>
              <w:jc w:val="center"/>
              <w:rPr>
                <w:rFonts w:hint="eastAsia" w:ascii="宋体" w:hAnsi="宋体"/>
                <w:szCs w:val="21"/>
              </w:rPr>
            </w:pPr>
            <w:r>
              <w:rPr>
                <w:rFonts w:hint="eastAsia" w:ascii="宋体" w:hAnsi="宋体"/>
                <w:szCs w:val="21"/>
              </w:rPr>
              <w:t>子  目  名  称</w:t>
            </w:r>
          </w:p>
        </w:tc>
        <w:tc>
          <w:tcPr>
            <w:tcW w:w="855" w:type="dxa"/>
            <w:tcBorders>
              <w:top w:val="single" w:color="auto" w:sz="6" w:space="0"/>
              <w:left w:val="single" w:color="auto" w:sz="6" w:space="0"/>
              <w:bottom w:val="single" w:color="auto" w:sz="6" w:space="0"/>
              <w:right w:val="single" w:color="auto" w:sz="6" w:space="0"/>
            </w:tcBorders>
            <w:noWrap w:val="0"/>
            <w:vAlign w:val="center"/>
          </w:tcPr>
          <w:p w14:paraId="562F4993">
            <w:pPr>
              <w:jc w:val="center"/>
              <w:rPr>
                <w:rFonts w:hint="eastAsia" w:ascii="宋体" w:hAnsi="宋体"/>
                <w:szCs w:val="21"/>
              </w:rPr>
            </w:pPr>
            <w:r>
              <w:rPr>
                <w:rFonts w:hint="eastAsia" w:ascii="宋体" w:hAnsi="宋体"/>
                <w:szCs w:val="21"/>
              </w:rPr>
              <w:t>单位</w:t>
            </w:r>
          </w:p>
        </w:tc>
        <w:tc>
          <w:tcPr>
            <w:tcW w:w="918" w:type="dxa"/>
            <w:tcBorders>
              <w:top w:val="single" w:color="auto" w:sz="6" w:space="0"/>
              <w:left w:val="single" w:color="auto" w:sz="6" w:space="0"/>
              <w:bottom w:val="single" w:color="auto" w:sz="6" w:space="0"/>
              <w:right w:val="single" w:color="auto" w:sz="6" w:space="0"/>
            </w:tcBorders>
            <w:noWrap w:val="0"/>
            <w:vAlign w:val="center"/>
          </w:tcPr>
          <w:p w14:paraId="0C292C4B">
            <w:pPr>
              <w:jc w:val="center"/>
              <w:rPr>
                <w:rFonts w:hint="eastAsia" w:ascii="宋体" w:hAnsi="宋体"/>
                <w:szCs w:val="21"/>
              </w:rPr>
            </w:pPr>
            <w:r>
              <w:rPr>
                <w:rFonts w:hint="eastAsia" w:ascii="宋体" w:hAnsi="宋体"/>
                <w:szCs w:val="21"/>
              </w:rPr>
              <w:t>数量</w:t>
            </w:r>
          </w:p>
        </w:tc>
        <w:tc>
          <w:tcPr>
            <w:tcW w:w="973" w:type="dxa"/>
            <w:tcBorders>
              <w:top w:val="single" w:color="auto" w:sz="6" w:space="0"/>
              <w:left w:val="single" w:color="auto" w:sz="6" w:space="0"/>
              <w:bottom w:val="single" w:color="auto" w:sz="6" w:space="0"/>
              <w:right w:val="single" w:color="auto" w:sz="6" w:space="0"/>
            </w:tcBorders>
            <w:noWrap w:val="0"/>
            <w:vAlign w:val="center"/>
          </w:tcPr>
          <w:p w14:paraId="78C2F7D6">
            <w:pPr>
              <w:jc w:val="center"/>
              <w:rPr>
                <w:rFonts w:hint="eastAsia" w:ascii="宋体" w:hAnsi="宋体"/>
                <w:szCs w:val="21"/>
              </w:rPr>
            </w:pPr>
            <w:r>
              <w:rPr>
                <w:rFonts w:hint="eastAsia" w:ascii="宋体" w:hAnsi="宋体"/>
                <w:szCs w:val="21"/>
              </w:rPr>
              <w:t>单价</w:t>
            </w: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0F1BFCE0">
            <w:pPr>
              <w:jc w:val="center"/>
              <w:rPr>
                <w:rFonts w:hint="eastAsia" w:ascii="宋体" w:hAnsi="宋体"/>
              </w:rPr>
            </w:pPr>
            <w:r>
              <w:rPr>
                <w:rFonts w:hint="eastAsia" w:ascii="宋体" w:hAnsi="宋体"/>
              </w:rPr>
              <w:t>合价</w:t>
            </w:r>
          </w:p>
        </w:tc>
      </w:tr>
      <w:tr w14:paraId="281E3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6A1DAE73">
            <w:pPr>
              <w:keepNext w:val="0"/>
              <w:keepLines w:val="0"/>
              <w:widowControl/>
              <w:suppressLineNumbers w:val="0"/>
              <w:jc w:val="center"/>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-c</w:t>
            </w:r>
          </w:p>
        </w:tc>
        <w:tc>
          <w:tcPr>
            <w:tcW w:w="4533" w:type="dxa"/>
            <w:tcBorders>
              <w:top w:val="single" w:color="auto" w:sz="6" w:space="0"/>
              <w:left w:val="single" w:color="auto" w:sz="6" w:space="0"/>
              <w:bottom w:val="single" w:color="auto" w:sz="6" w:space="0"/>
              <w:right w:val="single" w:color="auto" w:sz="6" w:space="0"/>
            </w:tcBorders>
            <w:noWrap w:val="0"/>
            <w:vAlign w:val="center"/>
          </w:tcPr>
          <w:p w14:paraId="3A7318C8">
            <w:pPr>
              <w:keepNext w:val="0"/>
              <w:keepLines w:val="0"/>
              <w:widowControl/>
              <w:suppressLineNumbers w:val="0"/>
              <w:jc w:val="left"/>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石粉</w:t>
            </w:r>
          </w:p>
        </w:tc>
        <w:tc>
          <w:tcPr>
            <w:tcW w:w="855" w:type="dxa"/>
            <w:tcBorders>
              <w:top w:val="single" w:color="auto" w:sz="6" w:space="0"/>
              <w:left w:val="single" w:color="auto" w:sz="6" w:space="0"/>
              <w:bottom w:val="single" w:color="auto" w:sz="6" w:space="0"/>
              <w:right w:val="single" w:color="auto" w:sz="6" w:space="0"/>
            </w:tcBorders>
            <w:noWrap w:val="0"/>
            <w:vAlign w:val="center"/>
          </w:tcPr>
          <w:p w14:paraId="3C2DF84F">
            <w:pPr>
              <w:keepNext w:val="0"/>
              <w:keepLines w:val="0"/>
              <w:widowControl/>
              <w:suppressLineNumbers w:val="0"/>
              <w:jc w:val="center"/>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吨</w:t>
            </w:r>
          </w:p>
        </w:tc>
        <w:tc>
          <w:tcPr>
            <w:tcW w:w="918" w:type="dxa"/>
            <w:tcBorders>
              <w:top w:val="single" w:color="auto" w:sz="6" w:space="0"/>
              <w:left w:val="single" w:color="auto" w:sz="6" w:space="0"/>
              <w:bottom w:val="single" w:color="auto" w:sz="6" w:space="0"/>
              <w:right w:val="single" w:color="auto" w:sz="6" w:space="0"/>
            </w:tcBorders>
            <w:noWrap w:val="0"/>
            <w:vAlign w:val="center"/>
          </w:tcPr>
          <w:p w14:paraId="41D89D52">
            <w:pPr>
              <w:keepNext w:val="0"/>
              <w:keepLines w:val="0"/>
              <w:widowControl/>
              <w:suppressLineNumbers w:val="0"/>
              <w:jc w:val="right"/>
              <w:textAlignment w:val="center"/>
              <w:rPr>
                <w:rFonts w:hint="eastAsia" w:ascii="宋体" w:hAnsi="宋体"/>
                <w:sz w:val="21"/>
                <w:szCs w:val="21"/>
              </w:rPr>
            </w:pPr>
            <w:r>
              <w:rPr>
                <w:rFonts w:hint="default" w:ascii="Arial Narrow" w:hAnsi="Arial Narrow" w:eastAsia="Arial Narrow" w:cs="Arial Narrow"/>
                <w:i w:val="0"/>
                <w:iCs w:val="0"/>
                <w:color w:val="000000"/>
                <w:kern w:val="0"/>
                <w:sz w:val="21"/>
                <w:szCs w:val="21"/>
                <w:u w:val="none"/>
                <w:lang w:val="en-US" w:eastAsia="zh-CN" w:bidi="ar"/>
              </w:rPr>
              <w:t>15</w:t>
            </w:r>
          </w:p>
        </w:tc>
        <w:tc>
          <w:tcPr>
            <w:tcW w:w="973" w:type="dxa"/>
            <w:tcBorders>
              <w:top w:val="single" w:color="auto" w:sz="6" w:space="0"/>
              <w:left w:val="single" w:color="auto" w:sz="6" w:space="0"/>
              <w:bottom w:val="single" w:color="auto" w:sz="6" w:space="0"/>
              <w:right w:val="single" w:color="auto" w:sz="6" w:space="0"/>
            </w:tcBorders>
            <w:noWrap w:val="0"/>
            <w:vAlign w:val="center"/>
          </w:tcPr>
          <w:p w14:paraId="5A2627AA">
            <w:pPr>
              <w:jc w:val="center"/>
              <w:rPr>
                <w:rFonts w:ascii="宋体" w:hAnsi="宋体"/>
                <w:sz w:val="21"/>
                <w:szCs w:val="21"/>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37770280">
            <w:pPr>
              <w:jc w:val="center"/>
              <w:rPr>
                <w:rFonts w:hint="eastAsia" w:ascii="宋体" w:hAnsi="宋体"/>
              </w:rPr>
            </w:pPr>
          </w:p>
        </w:tc>
      </w:tr>
      <w:tr w14:paraId="504AB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25D90095">
            <w:pPr>
              <w:keepNext w:val="0"/>
              <w:keepLines w:val="0"/>
              <w:widowControl/>
              <w:suppressLineNumbers w:val="0"/>
              <w:jc w:val="center"/>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-d</w:t>
            </w:r>
          </w:p>
        </w:tc>
        <w:tc>
          <w:tcPr>
            <w:tcW w:w="4533" w:type="dxa"/>
            <w:tcBorders>
              <w:top w:val="single" w:color="auto" w:sz="6" w:space="0"/>
              <w:left w:val="single" w:color="auto" w:sz="6" w:space="0"/>
              <w:bottom w:val="single" w:color="auto" w:sz="6" w:space="0"/>
              <w:right w:val="single" w:color="auto" w:sz="6" w:space="0"/>
            </w:tcBorders>
            <w:noWrap w:val="0"/>
            <w:vAlign w:val="center"/>
          </w:tcPr>
          <w:p w14:paraId="418707B8">
            <w:pPr>
              <w:keepNext w:val="0"/>
              <w:keepLines w:val="0"/>
              <w:widowControl/>
              <w:suppressLineNumbers w:val="0"/>
              <w:jc w:val="left"/>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铁锹</w:t>
            </w:r>
          </w:p>
        </w:tc>
        <w:tc>
          <w:tcPr>
            <w:tcW w:w="855" w:type="dxa"/>
            <w:tcBorders>
              <w:top w:val="single" w:color="auto" w:sz="6" w:space="0"/>
              <w:left w:val="single" w:color="auto" w:sz="6" w:space="0"/>
              <w:bottom w:val="single" w:color="auto" w:sz="6" w:space="0"/>
              <w:right w:val="single" w:color="auto" w:sz="6" w:space="0"/>
            </w:tcBorders>
            <w:noWrap w:val="0"/>
            <w:vAlign w:val="center"/>
          </w:tcPr>
          <w:p w14:paraId="3283409E">
            <w:pPr>
              <w:keepNext w:val="0"/>
              <w:keepLines w:val="0"/>
              <w:widowControl/>
              <w:suppressLineNumbers w:val="0"/>
              <w:jc w:val="center"/>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把</w:t>
            </w:r>
          </w:p>
        </w:tc>
        <w:tc>
          <w:tcPr>
            <w:tcW w:w="918" w:type="dxa"/>
            <w:tcBorders>
              <w:top w:val="single" w:color="auto" w:sz="6" w:space="0"/>
              <w:left w:val="single" w:color="auto" w:sz="6" w:space="0"/>
              <w:bottom w:val="single" w:color="auto" w:sz="6" w:space="0"/>
              <w:right w:val="single" w:color="auto" w:sz="6" w:space="0"/>
            </w:tcBorders>
            <w:noWrap w:val="0"/>
            <w:vAlign w:val="center"/>
          </w:tcPr>
          <w:p w14:paraId="14C50B3E">
            <w:pPr>
              <w:keepNext w:val="0"/>
              <w:keepLines w:val="0"/>
              <w:widowControl/>
              <w:suppressLineNumbers w:val="0"/>
              <w:jc w:val="right"/>
              <w:textAlignment w:val="center"/>
              <w:rPr>
                <w:rFonts w:hint="eastAsia" w:ascii="宋体" w:hAnsi="宋体"/>
                <w:sz w:val="21"/>
                <w:szCs w:val="21"/>
              </w:rPr>
            </w:pPr>
            <w:r>
              <w:rPr>
                <w:rFonts w:hint="default" w:ascii="Arial Narrow" w:hAnsi="Arial Narrow" w:eastAsia="Arial Narrow" w:cs="Arial Narrow"/>
                <w:i w:val="0"/>
                <w:iCs w:val="0"/>
                <w:color w:val="000000"/>
                <w:kern w:val="0"/>
                <w:sz w:val="21"/>
                <w:szCs w:val="21"/>
                <w:u w:val="none"/>
                <w:lang w:val="en-US" w:eastAsia="zh-CN" w:bidi="ar"/>
              </w:rPr>
              <w:t>25</w:t>
            </w:r>
          </w:p>
        </w:tc>
        <w:tc>
          <w:tcPr>
            <w:tcW w:w="973" w:type="dxa"/>
            <w:tcBorders>
              <w:top w:val="single" w:color="auto" w:sz="6" w:space="0"/>
              <w:left w:val="single" w:color="auto" w:sz="6" w:space="0"/>
              <w:bottom w:val="single" w:color="auto" w:sz="6" w:space="0"/>
              <w:right w:val="single" w:color="auto" w:sz="6" w:space="0"/>
            </w:tcBorders>
            <w:noWrap w:val="0"/>
            <w:vAlign w:val="center"/>
          </w:tcPr>
          <w:p w14:paraId="210FE0BD">
            <w:pPr>
              <w:jc w:val="center"/>
              <w:rPr>
                <w:rFonts w:hint="eastAsia" w:ascii="宋体" w:hAnsi="宋体"/>
                <w:sz w:val="21"/>
                <w:szCs w:val="21"/>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3E451D16">
            <w:pPr>
              <w:jc w:val="center"/>
              <w:rPr>
                <w:rFonts w:hint="eastAsia" w:ascii="宋体" w:hAnsi="宋体"/>
              </w:rPr>
            </w:pPr>
          </w:p>
        </w:tc>
      </w:tr>
      <w:tr w14:paraId="55123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44D87EB7">
            <w:pPr>
              <w:keepNext w:val="0"/>
              <w:keepLines w:val="0"/>
              <w:widowControl/>
              <w:suppressLineNumbers w:val="0"/>
              <w:jc w:val="center"/>
              <w:textAlignment w:val="center"/>
              <w:rPr>
                <w:rFonts w:hint="eastAsia" w:ascii="宋体" w:hAnsi="宋体"/>
                <w:sz w:val="21"/>
                <w:szCs w:val="21"/>
              </w:rPr>
            </w:pPr>
          </w:p>
        </w:tc>
        <w:tc>
          <w:tcPr>
            <w:tcW w:w="4533" w:type="dxa"/>
            <w:tcBorders>
              <w:top w:val="single" w:color="auto" w:sz="6" w:space="0"/>
              <w:left w:val="single" w:color="auto" w:sz="6" w:space="0"/>
              <w:bottom w:val="single" w:color="auto" w:sz="6" w:space="0"/>
              <w:right w:val="single" w:color="auto" w:sz="6" w:space="0"/>
            </w:tcBorders>
            <w:noWrap w:val="0"/>
            <w:vAlign w:val="center"/>
          </w:tcPr>
          <w:p w14:paraId="6173C89D">
            <w:pPr>
              <w:keepNext w:val="0"/>
              <w:keepLines w:val="0"/>
              <w:widowControl/>
              <w:suppressLineNumbers w:val="0"/>
              <w:jc w:val="left"/>
              <w:textAlignment w:val="center"/>
              <w:rPr>
                <w:rFonts w:hint="eastAsia" w:ascii="宋体" w:hAnsi="宋体"/>
                <w:sz w:val="21"/>
                <w:szCs w:val="21"/>
              </w:rPr>
            </w:pPr>
          </w:p>
        </w:tc>
        <w:tc>
          <w:tcPr>
            <w:tcW w:w="855" w:type="dxa"/>
            <w:tcBorders>
              <w:top w:val="single" w:color="auto" w:sz="6" w:space="0"/>
              <w:left w:val="single" w:color="auto" w:sz="6" w:space="0"/>
              <w:bottom w:val="single" w:color="auto" w:sz="6" w:space="0"/>
              <w:right w:val="single" w:color="auto" w:sz="6" w:space="0"/>
            </w:tcBorders>
            <w:noWrap w:val="0"/>
            <w:vAlign w:val="center"/>
          </w:tcPr>
          <w:p w14:paraId="15F450CB">
            <w:pPr>
              <w:keepNext w:val="0"/>
              <w:keepLines w:val="0"/>
              <w:widowControl/>
              <w:suppressLineNumbers w:val="0"/>
              <w:jc w:val="center"/>
              <w:textAlignment w:val="center"/>
              <w:rPr>
                <w:rFonts w:hint="eastAsia" w:ascii="宋体" w:hAnsi="宋体"/>
                <w:sz w:val="21"/>
                <w:szCs w:val="21"/>
              </w:rPr>
            </w:pPr>
          </w:p>
        </w:tc>
        <w:tc>
          <w:tcPr>
            <w:tcW w:w="918" w:type="dxa"/>
            <w:tcBorders>
              <w:top w:val="single" w:color="auto" w:sz="6" w:space="0"/>
              <w:left w:val="single" w:color="auto" w:sz="6" w:space="0"/>
              <w:bottom w:val="single" w:color="auto" w:sz="6" w:space="0"/>
              <w:right w:val="single" w:color="auto" w:sz="6" w:space="0"/>
            </w:tcBorders>
            <w:noWrap w:val="0"/>
            <w:vAlign w:val="center"/>
          </w:tcPr>
          <w:p w14:paraId="2155E115">
            <w:pPr>
              <w:keepNext w:val="0"/>
              <w:keepLines w:val="0"/>
              <w:widowControl/>
              <w:suppressLineNumbers w:val="0"/>
              <w:jc w:val="right"/>
              <w:textAlignment w:val="center"/>
              <w:rPr>
                <w:rFonts w:hint="eastAsia" w:ascii="宋体" w:hAnsi="宋体"/>
                <w:sz w:val="21"/>
                <w:szCs w:val="21"/>
              </w:rPr>
            </w:pPr>
          </w:p>
        </w:tc>
        <w:tc>
          <w:tcPr>
            <w:tcW w:w="973" w:type="dxa"/>
            <w:tcBorders>
              <w:top w:val="single" w:color="auto" w:sz="6" w:space="0"/>
              <w:left w:val="single" w:color="auto" w:sz="6" w:space="0"/>
              <w:bottom w:val="single" w:color="auto" w:sz="6" w:space="0"/>
              <w:right w:val="single" w:color="auto" w:sz="6" w:space="0"/>
            </w:tcBorders>
            <w:noWrap w:val="0"/>
            <w:vAlign w:val="center"/>
          </w:tcPr>
          <w:p w14:paraId="66AE7FA4">
            <w:pPr>
              <w:jc w:val="center"/>
              <w:rPr>
                <w:rFonts w:hint="eastAsia" w:ascii="宋体" w:hAnsi="宋体"/>
                <w:sz w:val="21"/>
                <w:szCs w:val="21"/>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22F2A789">
            <w:pPr>
              <w:jc w:val="center"/>
              <w:rPr>
                <w:rFonts w:hint="eastAsia" w:ascii="宋体" w:hAnsi="宋体"/>
              </w:rPr>
            </w:pPr>
          </w:p>
        </w:tc>
      </w:tr>
      <w:tr w14:paraId="15700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0D1B477A">
            <w:pPr>
              <w:keepNext w:val="0"/>
              <w:keepLines w:val="0"/>
              <w:widowControl/>
              <w:suppressLineNumbers w:val="0"/>
              <w:jc w:val="center"/>
              <w:textAlignment w:val="center"/>
              <w:rPr>
                <w:rFonts w:hint="eastAsia" w:ascii="宋体" w:hAnsi="宋体"/>
                <w:szCs w:val="21"/>
              </w:rPr>
            </w:pPr>
          </w:p>
        </w:tc>
        <w:tc>
          <w:tcPr>
            <w:tcW w:w="4533" w:type="dxa"/>
            <w:tcBorders>
              <w:top w:val="single" w:color="auto" w:sz="6" w:space="0"/>
              <w:left w:val="single" w:color="auto" w:sz="6" w:space="0"/>
              <w:bottom w:val="single" w:color="auto" w:sz="6" w:space="0"/>
              <w:right w:val="single" w:color="auto" w:sz="6" w:space="0"/>
            </w:tcBorders>
            <w:noWrap w:val="0"/>
            <w:vAlign w:val="center"/>
          </w:tcPr>
          <w:p w14:paraId="08A874DA">
            <w:pPr>
              <w:keepNext w:val="0"/>
              <w:keepLines w:val="0"/>
              <w:widowControl/>
              <w:suppressLineNumbers w:val="0"/>
              <w:jc w:val="left"/>
              <w:textAlignment w:val="center"/>
              <w:rPr>
                <w:rFonts w:hint="eastAsia" w:ascii="宋体" w:hAnsi="宋体"/>
                <w:szCs w:val="21"/>
              </w:rPr>
            </w:pPr>
          </w:p>
        </w:tc>
        <w:tc>
          <w:tcPr>
            <w:tcW w:w="855" w:type="dxa"/>
            <w:tcBorders>
              <w:top w:val="single" w:color="auto" w:sz="6" w:space="0"/>
              <w:left w:val="single" w:color="auto" w:sz="6" w:space="0"/>
              <w:bottom w:val="single" w:color="auto" w:sz="6" w:space="0"/>
              <w:right w:val="single" w:color="auto" w:sz="6" w:space="0"/>
            </w:tcBorders>
            <w:noWrap w:val="0"/>
            <w:vAlign w:val="center"/>
          </w:tcPr>
          <w:p w14:paraId="119DB6F6">
            <w:pPr>
              <w:jc w:val="center"/>
              <w:rPr>
                <w:rFonts w:hint="eastAsia" w:ascii="宋体" w:hAnsi="宋体"/>
                <w:szCs w:val="21"/>
              </w:rPr>
            </w:pPr>
          </w:p>
        </w:tc>
        <w:tc>
          <w:tcPr>
            <w:tcW w:w="918" w:type="dxa"/>
            <w:tcBorders>
              <w:top w:val="single" w:color="auto" w:sz="6" w:space="0"/>
              <w:left w:val="single" w:color="auto" w:sz="6" w:space="0"/>
              <w:bottom w:val="single" w:color="auto" w:sz="6" w:space="0"/>
              <w:right w:val="single" w:color="auto" w:sz="6" w:space="0"/>
            </w:tcBorders>
            <w:noWrap w:val="0"/>
            <w:vAlign w:val="center"/>
          </w:tcPr>
          <w:p w14:paraId="7E324024">
            <w:pPr>
              <w:jc w:val="right"/>
              <w:rPr>
                <w:rFonts w:hint="eastAsia" w:ascii="宋体" w:hAnsi="宋体"/>
                <w:szCs w:val="21"/>
              </w:rPr>
            </w:pPr>
          </w:p>
        </w:tc>
        <w:tc>
          <w:tcPr>
            <w:tcW w:w="973" w:type="dxa"/>
            <w:tcBorders>
              <w:top w:val="single" w:color="auto" w:sz="6" w:space="0"/>
              <w:left w:val="single" w:color="auto" w:sz="6" w:space="0"/>
              <w:bottom w:val="single" w:color="auto" w:sz="6" w:space="0"/>
              <w:right w:val="single" w:color="auto" w:sz="6" w:space="0"/>
            </w:tcBorders>
            <w:noWrap w:val="0"/>
            <w:vAlign w:val="center"/>
          </w:tcPr>
          <w:p w14:paraId="093AC439">
            <w:pPr>
              <w:jc w:val="center"/>
              <w:rPr>
                <w:rFonts w:hint="eastAsia" w:ascii="宋体" w:hAnsi="宋体"/>
                <w:szCs w:val="21"/>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23D94A64">
            <w:pPr>
              <w:jc w:val="center"/>
              <w:rPr>
                <w:rFonts w:hint="eastAsia" w:ascii="宋体" w:hAnsi="宋体"/>
              </w:rPr>
            </w:pPr>
          </w:p>
        </w:tc>
      </w:tr>
      <w:tr w14:paraId="7F75F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76198A3B">
            <w:pPr>
              <w:keepNext w:val="0"/>
              <w:keepLines w:val="0"/>
              <w:widowControl/>
              <w:suppressLineNumbers w:val="0"/>
              <w:jc w:val="center"/>
              <w:textAlignment w:val="center"/>
              <w:rPr>
                <w:rFonts w:hint="eastAsia" w:ascii="宋体" w:hAnsi="宋体"/>
                <w:szCs w:val="21"/>
              </w:rPr>
            </w:pPr>
          </w:p>
        </w:tc>
        <w:tc>
          <w:tcPr>
            <w:tcW w:w="4533" w:type="dxa"/>
            <w:tcBorders>
              <w:top w:val="single" w:color="auto" w:sz="6" w:space="0"/>
              <w:left w:val="single" w:color="auto" w:sz="6" w:space="0"/>
              <w:bottom w:val="single" w:color="auto" w:sz="6" w:space="0"/>
              <w:right w:val="single" w:color="auto" w:sz="6" w:space="0"/>
            </w:tcBorders>
            <w:noWrap w:val="0"/>
            <w:vAlign w:val="center"/>
          </w:tcPr>
          <w:p w14:paraId="048DFB51">
            <w:pPr>
              <w:keepNext w:val="0"/>
              <w:keepLines w:val="0"/>
              <w:widowControl/>
              <w:suppressLineNumbers w:val="0"/>
              <w:jc w:val="left"/>
              <w:textAlignment w:val="center"/>
              <w:rPr>
                <w:rFonts w:hint="eastAsia" w:ascii="宋体" w:hAnsi="宋体"/>
                <w:szCs w:val="21"/>
              </w:rPr>
            </w:pPr>
          </w:p>
        </w:tc>
        <w:tc>
          <w:tcPr>
            <w:tcW w:w="855" w:type="dxa"/>
            <w:tcBorders>
              <w:top w:val="single" w:color="auto" w:sz="6" w:space="0"/>
              <w:left w:val="single" w:color="auto" w:sz="6" w:space="0"/>
              <w:bottom w:val="single" w:color="auto" w:sz="6" w:space="0"/>
              <w:right w:val="single" w:color="auto" w:sz="6" w:space="0"/>
            </w:tcBorders>
            <w:noWrap w:val="0"/>
            <w:vAlign w:val="center"/>
          </w:tcPr>
          <w:p w14:paraId="53FDADA0">
            <w:pPr>
              <w:keepNext w:val="0"/>
              <w:keepLines w:val="0"/>
              <w:widowControl/>
              <w:suppressLineNumbers w:val="0"/>
              <w:jc w:val="center"/>
              <w:textAlignment w:val="center"/>
              <w:rPr>
                <w:rFonts w:hint="eastAsia" w:ascii="宋体" w:hAnsi="宋体"/>
                <w:szCs w:val="21"/>
              </w:rPr>
            </w:pPr>
          </w:p>
        </w:tc>
        <w:tc>
          <w:tcPr>
            <w:tcW w:w="918" w:type="dxa"/>
            <w:tcBorders>
              <w:top w:val="single" w:color="auto" w:sz="6" w:space="0"/>
              <w:left w:val="single" w:color="auto" w:sz="6" w:space="0"/>
              <w:bottom w:val="single" w:color="auto" w:sz="6" w:space="0"/>
              <w:right w:val="single" w:color="auto" w:sz="6" w:space="0"/>
            </w:tcBorders>
            <w:noWrap w:val="0"/>
            <w:vAlign w:val="center"/>
          </w:tcPr>
          <w:p w14:paraId="0CA061E8">
            <w:pPr>
              <w:keepNext w:val="0"/>
              <w:keepLines w:val="0"/>
              <w:widowControl/>
              <w:suppressLineNumbers w:val="0"/>
              <w:jc w:val="right"/>
              <w:textAlignment w:val="center"/>
              <w:rPr>
                <w:rFonts w:hint="eastAsia" w:ascii="宋体" w:hAnsi="宋体"/>
                <w:szCs w:val="21"/>
              </w:rPr>
            </w:pPr>
          </w:p>
        </w:tc>
        <w:tc>
          <w:tcPr>
            <w:tcW w:w="973" w:type="dxa"/>
            <w:tcBorders>
              <w:top w:val="single" w:color="auto" w:sz="6" w:space="0"/>
              <w:left w:val="single" w:color="auto" w:sz="6" w:space="0"/>
              <w:bottom w:val="single" w:color="auto" w:sz="6" w:space="0"/>
              <w:right w:val="single" w:color="auto" w:sz="6" w:space="0"/>
            </w:tcBorders>
            <w:noWrap w:val="0"/>
            <w:vAlign w:val="center"/>
          </w:tcPr>
          <w:p w14:paraId="41F5AAA6">
            <w:pPr>
              <w:jc w:val="center"/>
              <w:rPr>
                <w:rFonts w:hint="eastAsia" w:ascii="宋体" w:hAnsi="宋体"/>
                <w:szCs w:val="21"/>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0D7A7117">
            <w:pPr>
              <w:jc w:val="center"/>
              <w:rPr>
                <w:rFonts w:hint="eastAsia" w:ascii="宋体" w:hAnsi="宋体"/>
              </w:rPr>
            </w:pPr>
          </w:p>
        </w:tc>
      </w:tr>
      <w:tr w14:paraId="78C35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6EEF509B">
            <w:pPr>
              <w:keepNext w:val="0"/>
              <w:keepLines w:val="0"/>
              <w:widowControl/>
              <w:suppressLineNumbers w:val="0"/>
              <w:jc w:val="center"/>
              <w:textAlignment w:val="center"/>
              <w:rPr>
                <w:rFonts w:hint="eastAsia" w:ascii="宋体" w:hAnsi="宋体"/>
                <w:szCs w:val="21"/>
              </w:rPr>
            </w:pPr>
          </w:p>
        </w:tc>
        <w:tc>
          <w:tcPr>
            <w:tcW w:w="4533" w:type="dxa"/>
            <w:tcBorders>
              <w:top w:val="single" w:color="auto" w:sz="6" w:space="0"/>
              <w:left w:val="single" w:color="auto" w:sz="6" w:space="0"/>
              <w:bottom w:val="single" w:color="auto" w:sz="6" w:space="0"/>
              <w:right w:val="single" w:color="auto" w:sz="6" w:space="0"/>
            </w:tcBorders>
            <w:noWrap w:val="0"/>
            <w:vAlign w:val="center"/>
          </w:tcPr>
          <w:p w14:paraId="6A194DBB">
            <w:pPr>
              <w:keepNext w:val="0"/>
              <w:keepLines w:val="0"/>
              <w:widowControl/>
              <w:suppressLineNumbers w:val="0"/>
              <w:jc w:val="left"/>
              <w:textAlignment w:val="center"/>
              <w:rPr>
                <w:rFonts w:hint="eastAsia" w:ascii="宋体" w:hAnsi="宋体"/>
                <w:szCs w:val="21"/>
              </w:rPr>
            </w:pPr>
          </w:p>
        </w:tc>
        <w:tc>
          <w:tcPr>
            <w:tcW w:w="855" w:type="dxa"/>
            <w:tcBorders>
              <w:top w:val="single" w:color="auto" w:sz="6" w:space="0"/>
              <w:left w:val="single" w:color="auto" w:sz="6" w:space="0"/>
              <w:bottom w:val="single" w:color="auto" w:sz="6" w:space="0"/>
              <w:right w:val="single" w:color="auto" w:sz="6" w:space="0"/>
            </w:tcBorders>
            <w:noWrap w:val="0"/>
            <w:vAlign w:val="center"/>
          </w:tcPr>
          <w:p w14:paraId="346B97BD">
            <w:pPr>
              <w:keepNext w:val="0"/>
              <w:keepLines w:val="0"/>
              <w:widowControl/>
              <w:suppressLineNumbers w:val="0"/>
              <w:jc w:val="center"/>
              <w:textAlignment w:val="center"/>
              <w:rPr>
                <w:rFonts w:hint="eastAsia" w:ascii="宋体" w:hAnsi="宋体"/>
                <w:szCs w:val="21"/>
              </w:rPr>
            </w:pPr>
          </w:p>
        </w:tc>
        <w:tc>
          <w:tcPr>
            <w:tcW w:w="918" w:type="dxa"/>
            <w:tcBorders>
              <w:top w:val="single" w:color="auto" w:sz="6" w:space="0"/>
              <w:left w:val="single" w:color="auto" w:sz="6" w:space="0"/>
              <w:bottom w:val="single" w:color="auto" w:sz="6" w:space="0"/>
              <w:right w:val="single" w:color="auto" w:sz="6" w:space="0"/>
            </w:tcBorders>
            <w:noWrap w:val="0"/>
            <w:vAlign w:val="center"/>
          </w:tcPr>
          <w:p w14:paraId="6F2648E2">
            <w:pPr>
              <w:keepNext w:val="0"/>
              <w:keepLines w:val="0"/>
              <w:widowControl/>
              <w:suppressLineNumbers w:val="0"/>
              <w:jc w:val="right"/>
              <w:textAlignment w:val="center"/>
              <w:rPr>
                <w:rFonts w:hint="eastAsia" w:ascii="宋体" w:hAnsi="宋体"/>
                <w:szCs w:val="21"/>
              </w:rPr>
            </w:pPr>
          </w:p>
        </w:tc>
        <w:tc>
          <w:tcPr>
            <w:tcW w:w="973" w:type="dxa"/>
            <w:tcBorders>
              <w:top w:val="single" w:color="auto" w:sz="6" w:space="0"/>
              <w:left w:val="single" w:color="auto" w:sz="6" w:space="0"/>
              <w:bottom w:val="single" w:color="auto" w:sz="6" w:space="0"/>
              <w:right w:val="single" w:color="auto" w:sz="6" w:space="0"/>
            </w:tcBorders>
            <w:noWrap w:val="0"/>
            <w:vAlign w:val="center"/>
          </w:tcPr>
          <w:p w14:paraId="0D0B18DA">
            <w:pPr>
              <w:jc w:val="center"/>
              <w:rPr>
                <w:rFonts w:hint="eastAsia" w:ascii="宋体" w:hAnsi="宋体"/>
                <w:szCs w:val="21"/>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1C2949A8">
            <w:pPr>
              <w:jc w:val="center"/>
              <w:rPr>
                <w:rFonts w:hint="eastAsia" w:ascii="宋体" w:hAnsi="宋体"/>
              </w:rPr>
            </w:pPr>
          </w:p>
        </w:tc>
      </w:tr>
      <w:tr w14:paraId="2AB56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71C576CC">
            <w:pPr>
              <w:keepNext w:val="0"/>
              <w:keepLines w:val="0"/>
              <w:widowControl/>
              <w:suppressLineNumbers w:val="0"/>
              <w:jc w:val="center"/>
              <w:textAlignment w:val="center"/>
              <w:rPr>
                <w:rFonts w:hint="eastAsia" w:ascii="宋体" w:hAnsi="宋体"/>
                <w:szCs w:val="21"/>
              </w:rPr>
            </w:pPr>
          </w:p>
        </w:tc>
        <w:tc>
          <w:tcPr>
            <w:tcW w:w="4533" w:type="dxa"/>
            <w:tcBorders>
              <w:top w:val="single" w:color="auto" w:sz="6" w:space="0"/>
              <w:left w:val="single" w:color="auto" w:sz="6" w:space="0"/>
              <w:bottom w:val="single" w:color="auto" w:sz="6" w:space="0"/>
              <w:right w:val="single" w:color="auto" w:sz="6" w:space="0"/>
            </w:tcBorders>
            <w:noWrap w:val="0"/>
            <w:vAlign w:val="center"/>
          </w:tcPr>
          <w:p w14:paraId="22BDA955">
            <w:pPr>
              <w:keepNext w:val="0"/>
              <w:keepLines w:val="0"/>
              <w:widowControl/>
              <w:suppressLineNumbers w:val="0"/>
              <w:jc w:val="left"/>
              <w:textAlignment w:val="center"/>
              <w:rPr>
                <w:rFonts w:hint="eastAsia" w:ascii="宋体" w:hAnsi="宋体"/>
                <w:szCs w:val="21"/>
              </w:rPr>
            </w:pPr>
          </w:p>
        </w:tc>
        <w:tc>
          <w:tcPr>
            <w:tcW w:w="855" w:type="dxa"/>
            <w:tcBorders>
              <w:top w:val="single" w:color="auto" w:sz="6" w:space="0"/>
              <w:left w:val="single" w:color="auto" w:sz="6" w:space="0"/>
              <w:bottom w:val="single" w:color="auto" w:sz="6" w:space="0"/>
              <w:right w:val="single" w:color="auto" w:sz="6" w:space="0"/>
            </w:tcBorders>
            <w:noWrap w:val="0"/>
            <w:vAlign w:val="center"/>
          </w:tcPr>
          <w:p w14:paraId="5CC943DA">
            <w:pPr>
              <w:keepNext w:val="0"/>
              <w:keepLines w:val="0"/>
              <w:widowControl/>
              <w:suppressLineNumbers w:val="0"/>
              <w:jc w:val="center"/>
              <w:textAlignment w:val="center"/>
              <w:rPr>
                <w:rFonts w:hint="eastAsia" w:ascii="宋体" w:hAnsi="宋体"/>
                <w:szCs w:val="21"/>
              </w:rPr>
            </w:pPr>
          </w:p>
        </w:tc>
        <w:tc>
          <w:tcPr>
            <w:tcW w:w="918" w:type="dxa"/>
            <w:tcBorders>
              <w:top w:val="single" w:color="auto" w:sz="6" w:space="0"/>
              <w:left w:val="single" w:color="auto" w:sz="6" w:space="0"/>
              <w:bottom w:val="single" w:color="auto" w:sz="6" w:space="0"/>
              <w:right w:val="single" w:color="auto" w:sz="6" w:space="0"/>
            </w:tcBorders>
            <w:noWrap w:val="0"/>
            <w:vAlign w:val="center"/>
          </w:tcPr>
          <w:p w14:paraId="79A05B2D">
            <w:pPr>
              <w:keepNext w:val="0"/>
              <w:keepLines w:val="0"/>
              <w:widowControl/>
              <w:suppressLineNumbers w:val="0"/>
              <w:jc w:val="right"/>
              <w:textAlignment w:val="center"/>
              <w:rPr>
                <w:rFonts w:hint="eastAsia" w:ascii="宋体" w:hAnsi="宋体"/>
                <w:szCs w:val="21"/>
              </w:rPr>
            </w:pPr>
          </w:p>
        </w:tc>
        <w:tc>
          <w:tcPr>
            <w:tcW w:w="973" w:type="dxa"/>
            <w:tcBorders>
              <w:top w:val="single" w:color="auto" w:sz="6" w:space="0"/>
              <w:left w:val="single" w:color="auto" w:sz="6" w:space="0"/>
              <w:bottom w:val="single" w:color="auto" w:sz="6" w:space="0"/>
              <w:right w:val="single" w:color="auto" w:sz="6" w:space="0"/>
            </w:tcBorders>
            <w:noWrap w:val="0"/>
            <w:vAlign w:val="center"/>
          </w:tcPr>
          <w:p w14:paraId="03271FF5">
            <w:pPr>
              <w:jc w:val="center"/>
              <w:rPr>
                <w:rFonts w:hint="eastAsia" w:ascii="宋体" w:hAnsi="宋体"/>
                <w:szCs w:val="21"/>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54867263">
            <w:pPr>
              <w:jc w:val="center"/>
              <w:rPr>
                <w:rFonts w:hint="eastAsia" w:ascii="宋体" w:hAnsi="宋体"/>
              </w:rPr>
            </w:pPr>
          </w:p>
        </w:tc>
      </w:tr>
      <w:tr w14:paraId="6EB55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048419E6">
            <w:pPr>
              <w:keepNext w:val="0"/>
              <w:keepLines w:val="0"/>
              <w:widowControl/>
              <w:suppressLineNumbers w:val="0"/>
              <w:jc w:val="center"/>
              <w:textAlignment w:val="center"/>
              <w:rPr>
                <w:rFonts w:hint="eastAsia" w:ascii="宋体" w:hAnsi="宋体"/>
                <w:szCs w:val="21"/>
              </w:rPr>
            </w:pPr>
          </w:p>
        </w:tc>
        <w:tc>
          <w:tcPr>
            <w:tcW w:w="4533" w:type="dxa"/>
            <w:tcBorders>
              <w:top w:val="single" w:color="auto" w:sz="6" w:space="0"/>
              <w:left w:val="single" w:color="auto" w:sz="6" w:space="0"/>
              <w:bottom w:val="single" w:color="auto" w:sz="6" w:space="0"/>
              <w:right w:val="single" w:color="auto" w:sz="6" w:space="0"/>
            </w:tcBorders>
            <w:noWrap w:val="0"/>
            <w:vAlign w:val="center"/>
          </w:tcPr>
          <w:p w14:paraId="6FF7FD87">
            <w:pPr>
              <w:keepNext w:val="0"/>
              <w:keepLines w:val="0"/>
              <w:widowControl/>
              <w:suppressLineNumbers w:val="0"/>
              <w:jc w:val="left"/>
              <w:textAlignment w:val="center"/>
              <w:rPr>
                <w:rFonts w:hint="eastAsia" w:ascii="宋体" w:hAnsi="宋体"/>
                <w:szCs w:val="21"/>
              </w:rPr>
            </w:pPr>
          </w:p>
        </w:tc>
        <w:tc>
          <w:tcPr>
            <w:tcW w:w="855" w:type="dxa"/>
            <w:tcBorders>
              <w:top w:val="single" w:color="auto" w:sz="6" w:space="0"/>
              <w:left w:val="single" w:color="auto" w:sz="6" w:space="0"/>
              <w:bottom w:val="single" w:color="auto" w:sz="6" w:space="0"/>
              <w:right w:val="single" w:color="auto" w:sz="6" w:space="0"/>
            </w:tcBorders>
            <w:noWrap w:val="0"/>
            <w:vAlign w:val="center"/>
          </w:tcPr>
          <w:p w14:paraId="3B41F0AE">
            <w:pPr>
              <w:jc w:val="center"/>
              <w:rPr>
                <w:rFonts w:hint="eastAsia" w:ascii="宋体" w:hAnsi="宋体"/>
                <w:szCs w:val="21"/>
              </w:rPr>
            </w:pPr>
          </w:p>
        </w:tc>
        <w:tc>
          <w:tcPr>
            <w:tcW w:w="918" w:type="dxa"/>
            <w:tcBorders>
              <w:top w:val="single" w:color="auto" w:sz="6" w:space="0"/>
              <w:left w:val="single" w:color="auto" w:sz="6" w:space="0"/>
              <w:bottom w:val="single" w:color="auto" w:sz="6" w:space="0"/>
              <w:right w:val="single" w:color="auto" w:sz="6" w:space="0"/>
            </w:tcBorders>
            <w:noWrap w:val="0"/>
            <w:vAlign w:val="center"/>
          </w:tcPr>
          <w:p w14:paraId="60CEF209">
            <w:pPr>
              <w:jc w:val="right"/>
              <w:rPr>
                <w:rFonts w:hint="eastAsia" w:ascii="宋体" w:hAnsi="宋体"/>
                <w:szCs w:val="21"/>
              </w:rPr>
            </w:pPr>
          </w:p>
        </w:tc>
        <w:tc>
          <w:tcPr>
            <w:tcW w:w="973" w:type="dxa"/>
            <w:tcBorders>
              <w:top w:val="single" w:color="auto" w:sz="6" w:space="0"/>
              <w:left w:val="single" w:color="auto" w:sz="6" w:space="0"/>
              <w:bottom w:val="single" w:color="auto" w:sz="6" w:space="0"/>
              <w:right w:val="single" w:color="auto" w:sz="6" w:space="0"/>
            </w:tcBorders>
            <w:noWrap w:val="0"/>
            <w:vAlign w:val="center"/>
          </w:tcPr>
          <w:p w14:paraId="54626EEB">
            <w:pPr>
              <w:jc w:val="center"/>
              <w:rPr>
                <w:rFonts w:hint="eastAsia" w:ascii="宋体" w:hAnsi="宋体"/>
                <w:szCs w:val="21"/>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4DC984EC">
            <w:pPr>
              <w:jc w:val="center"/>
              <w:rPr>
                <w:rFonts w:hint="eastAsia" w:ascii="宋体" w:hAnsi="宋体"/>
              </w:rPr>
            </w:pPr>
          </w:p>
        </w:tc>
      </w:tr>
      <w:tr w14:paraId="2385F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378CDAA2">
            <w:pPr>
              <w:keepNext w:val="0"/>
              <w:keepLines w:val="0"/>
              <w:widowControl/>
              <w:suppressLineNumbers w:val="0"/>
              <w:jc w:val="center"/>
              <w:textAlignment w:val="center"/>
              <w:rPr>
                <w:rFonts w:hint="eastAsia" w:ascii="宋体" w:hAnsi="宋体"/>
                <w:szCs w:val="21"/>
              </w:rPr>
            </w:pPr>
          </w:p>
        </w:tc>
        <w:tc>
          <w:tcPr>
            <w:tcW w:w="4533" w:type="dxa"/>
            <w:tcBorders>
              <w:top w:val="single" w:color="auto" w:sz="6" w:space="0"/>
              <w:left w:val="single" w:color="auto" w:sz="6" w:space="0"/>
              <w:bottom w:val="single" w:color="auto" w:sz="6" w:space="0"/>
              <w:right w:val="single" w:color="auto" w:sz="6" w:space="0"/>
            </w:tcBorders>
            <w:noWrap w:val="0"/>
            <w:vAlign w:val="center"/>
          </w:tcPr>
          <w:p w14:paraId="668D9318">
            <w:pPr>
              <w:keepNext w:val="0"/>
              <w:keepLines w:val="0"/>
              <w:widowControl/>
              <w:suppressLineNumbers w:val="0"/>
              <w:jc w:val="left"/>
              <w:textAlignment w:val="center"/>
              <w:rPr>
                <w:rFonts w:hint="eastAsia" w:ascii="宋体" w:hAnsi="宋体"/>
                <w:szCs w:val="21"/>
              </w:rPr>
            </w:pPr>
          </w:p>
        </w:tc>
        <w:tc>
          <w:tcPr>
            <w:tcW w:w="855" w:type="dxa"/>
            <w:tcBorders>
              <w:top w:val="single" w:color="auto" w:sz="6" w:space="0"/>
              <w:left w:val="single" w:color="auto" w:sz="6" w:space="0"/>
              <w:bottom w:val="single" w:color="auto" w:sz="6" w:space="0"/>
              <w:right w:val="single" w:color="auto" w:sz="6" w:space="0"/>
            </w:tcBorders>
            <w:noWrap w:val="0"/>
            <w:vAlign w:val="center"/>
          </w:tcPr>
          <w:p w14:paraId="6C141974">
            <w:pPr>
              <w:keepNext w:val="0"/>
              <w:keepLines w:val="0"/>
              <w:widowControl/>
              <w:suppressLineNumbers w:val="0"/>
              <w:jc w:val="center"/>
              <w:textAlignment w:val="center"/>
              <w:rPr>
                <w:rFonts w:hint="eastAsia" w:ascii="宋体" w:hAnsi="宋体"/>
                <w:szCs w:val="21"/>
              </w:rPr>
            </w:pPr>
          </w:p>
        </w:tc>
        <w:tc>
          <w:tcPr>
            <w:tcW w:w="918" w:type="dxa"/>
            <w:tcBorders>
              <w:top w:val="single" w:color="auto" w:sz="6" w:space="0"/>
              <w:left w:val="single" w:color="auto" w:sz="6" w:space="0"/>
              <w:bottom w:val="single" w:color="auto" w:sz="6" w:space="0"/>
              <w:right w:val="single" w:color="auto" w:sz="6" w:space="0"/>
            </w:tcBorders>
            <w:noWrap w:val="0"/>
            <w:vAlign w:val="center"/>
          </w:tcPr>
          <w:p w14:paraId="271CDF68">
            <w:pPr>
              <w:keepNext w:val="0"/>
              <w:keepLines w:val="0"/>
              <w:widowControl/>
              <w:suppressLineNumbers w:val="0"/>
              <w:jc w:val="right"/>
              <w:textAlignment w:val="center"/>
              <w:rPr>
                <w:rFonts w:hint="eastAsia" w:ascii="宋体" w:hAnsi="宋体"/>
                <w:szCs w:val="21"/>
              </w:rPr>
            </w:pPr>
          </w:p>
        </w:tc>
        <w:tc>
          <w:tcPr>
            <w:tcW w:w="973" w:type="dxa"/>
            <w:tcBorders>
              <w:top w:val="single" w:color="auto" w:sz="6" w:space="0"/>
              <w:left w:val="single" w:color="auto" w:sz="6" w:space="0"/>
              <w:bottom w:val="single" w:color="auto" w:sz="6" w:space="0"/>
              <w:right w:val="single" w:color="auto" w:sz="6" w:space="0"/>
            </w:tcBorders>
            <w:noWrap w:val="0"/>
            <w:vAlign w:val="center"/>
          </w:tcPr>
          <w:p w14:paraId="19AAA538">
            <w:pPr>
              <w:jc w:val="center"/>
              <w:rPr>
                <w:rFonts w:hint="eastAsia" w:ascii="宋体" w:hAnsi="宋体"/>
                <w:szCs w:val="21"/>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69884362">
            <w:pPr>
              <w:jc w:val="center"/>
              <w:rPr>
                <w:rFonts w:hint="eastAsia" w:ascii="宋体" w:hAnsi="宋体"/>
                <w:b/>
              </w:rPr>
            </w:pPr>
          </w:p>
        </w:tc>
      </w:tr>
      <w:tr w14:paraId="4B22A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20631796">
            <w:pPr>
              <w:keepNext w:val="0"/>
              <w:keepLines w:val="0"/>
              <w:widowControl/>
              <w:suppressLineNumbers w:val="0"/>
              <w:jc w:val="center"/>
              <w:textAlignment w:val="center"/>
              <w:rPr>
                <w:rFonts w:hint="eastAsia" w:ascii="宋体" w:hAnsi="宋体"/>
                <w:szCs w:val="21"/>
              </w:rPr>
            </w:pPr>
          </w:p>
        </w:tc>
        <w:tc>
          <w:tcPr>
            <w:tcW w:w="4533" w:type="dxa"/>
            <w:tcBorders>
              <w:top w:val="single" w:color="auto" w:sz="6" w:space="0"/>
              <w:left w:val="single" w:color="auto" w:sz="6" w:space="0"/>
              <w:bottom w:val="single" w:color="auto" w:sz="6" w:space="0"/>
              <w:right w:val="single" w:color="auto" w:sz="6" w:space="0"/>
            </w:tcBorders>
            <w:noWrap w:val="0"/>
            <w:vAlign w:val="center"/>
          </w:tcPr>
          <w:p w14:paraId="75A9BFC0">
            <w:pPr>
              <w:keepNext w:val="0"/>
              <w:keepLines w:val="0"/>
              <w:widowControl/>
              <w:suppressLineNumbers w:val="0"/>
              <w:jc w:val="left"/>
              <w:textAlignment w:val="center"/>
              <w:rPr>
                <w:rFonts w:hint="eastAsia" w:ascii="宋体" w:hAnsi="宋体"/>
                <w:szCs w:val="21"/>
              </w:rPr>
            </w:pPr>
          </w:p>
        </w:tc>
        <w:tc>
          <w:tcPr>
            <w:tcW w:w="855" w:type="dxa"/>
            <w:tcBorders>
              <w:top w:val="single" w:color="auto" w:sz="6" w:space="0"/>
              <w:left w:val="single" w:color="auto" w:sz="6" w:space="0"/>
              <w:bottom w:val="single" w:color="auto" w:sz="6" w:space="0"/>
              <w:right w:val="single" w:color="auto" w:sz="6" w:space="0"/>
            </w:tcBorders>
            <w:noWrap w:val="0"/>
            <w:vAlign w:val="center"/>
          </w:tcPr>
          <w:p w14:paraId="4FAECA67">
            <w:pPr>
              <w:jc w:val="center"/>
              <w:rPr>
                <w:rFonts w:hint="eastAsia" w:ascii="宋体" w:hAnsi="宋体"/>
                <w:szCs w:val="21"/>
              </w:rPr>
            </w:pPr>
          </w:p>
        </w:tc>
        <w:tc>
          <w:tcPr>
            <w:tcW w:w="918" w:type="dxa"/>
            <w:tcBorders>
              <w:top w:val="single" w:color="auto" w:sz="6" w:space="0"/>
              <w:left w:val="single" w:color="auto" w:sz="6" w:space="0"/>
              <w:bottom w:val="single" w:color="auto" w:sz="6" w:space="0"/>
              <w:right w:val="single" w:color="auto" w:sz="6" w:space="0"/>
            </w:tcBorders>
            <w:noWrap w:val="0"/>
            <w:vAlign w:val="center"/>
          </w:tcPr>
          <w:p w14:paraId="2F3F0D3E">
            <w:pPr>
              <w:jc w:val="right"/>
              <w:rPr>
                <w:rFonts w:hint="eastAsia" w:ascii="宋体" w:hAnsi="宋体"/>
                <w:szCs w:val="21"/>
              </w:rPr>
            </w:pPr>
          </w:p>
        </w:tc>
        <w:tc>
          <w:tcPr>
            <w:tcW w:w="973" w:type="dxa"/>
            <w:tcBorders>
              <w:top w:val="single" w:color="auto" w:sz="6" w:space="0"/>
              <w:left w:val="single" w:color="auto" w:sz="6" w:space="0"/>
              <w:bottom w:val="single" w:color="auto" w:sz="6" w:space="0"/>
              <w:right w:val="single" w:color="auto" w:sz="6" w:space="0"/>
            </w:tcBorders>
            <w:noWrap w:val="0"/>
            <w:vAlign w:val="center"/>
          </w:tcPr>
          <w:p w14:paraId="7907E3A7">
            <w:pPr>
              <w:jc w:val="center"/>
              <w:rPr>
                <w:rFonts w:hint="eastAsia" w:ascii="宋体" w:hAnsi="宋体"/>
                <w:szCs w:val="21"/>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00B9D96B">
            <w:pPr>
              <w:jc w:val="center"/>
              <w:rPr>
                <w:rFonts w:hint="eastAsia" w:ascii="宋体" w:hAnsi="宋体"/>
                <w:b/>
              </w:rPr>
            </w:pPr>
          </w:p>
        </w:tc>
      </w:tr>
      <w:tr w14:paraId="1DBA3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1075DE6A">
            <w:pPr>
              <w:keepNext w:val="0"/>
              <w:keepLines w:val="0"/>
              <w:widowControl/>
              <w:suppressLineNumbers w:val="0"/>
              <w:jc w:val="center"/>
              <w:textAlignment w:val="center"/>
              <w:rPr>
                <w:rFonts w:hint="eastAsia" w:ascii="宋体" w:hAnsi="宋体"/>
                <w:szCs w:val="21"/>
              </w:rPr>
            </w:pPr>
          </w:p>
        </w:tc>
        <w:tc>
          <w:tcPr>
            <w:tcW w:w="4533" w:type="dxa"/>
            <w:tcBorders>
              <w:top w:val="single" w:color="auto" w:sz="6" w:space="0"/>
              <w:left w:val="single" w:color="auto" w:sz="6" w:space="0"/>
              <w:bottom w:val="single" w:color="auto" w:sz="6" w:space="0"/>
              <w:right w:val="single" w:color="auto" w:sz="6" w:space="0"/>
            </w:tcBorders>
            <w:noWrap w:val="0"/>
            <w:vAlign w:val="center"/>
          </w:tcPr>
          <w:p w14:paraId="6547EF76">
            <w:pPr>
              <w:keepNext w:val="0"/>
              <w:keepLines w:val="0"/>
              <w:widowControl/>
              <w:suppressLineNumbers w:val="0"/>
              <w:jc w:val="left"/>
              <w:textAlignment w:val="center"/>
              <w:rPr>
                <w:rFonts w:hint="eastAsia" w:ascii="宋体" w:hAnsi="宋体"/>
                <w:szCs w:val="21"/>
              </w:rPr>
            </w:pPr>
          </w:p>
        </w:tc>
        <w:tc>
          <w:tcPr>
            <w:tcW w:w="855" w:type="dxa"/>
            <w:tcBorders>
              <w:top w:val="single" w:color="auto" w:sz="6" w:space="0"/>
              <w:left w:val="single" w:color="auto" w:sz="6" w:space="0"/>
              <w:bottom w:val="single" w:color="auto" w:sz="6" w:space="0"/>
              <w:right w:val="single" w:color="auto" w:sz="6" w:space="0"/>
            </w:tcBorders>
            <w:noWrap w:val="0"/>
            <w:vAlign w:val="center"/>
          </w:tcPr>
          <w:p w14:paraId="62E2EA37">
            <w:pPr>
              <w:keepNext w:val="0"/>
              <w:keepLines w:val="0"/>
              <w:widowControl/>
              <w:suppressLineNumbers w:val="0"/>
              <w:jc w:val="center"/>
              <w:textAlignment w:val="center"/>
              <w:rPr>
                <w:rFonts w:hint="eastAsia" w:ascii="宋体" w:hAnsi="宋体"/>
                <w:szCs w:val="21"/>
              </w:rPr>
            </w:pPr>
          </w:p>
        </w:tc>
        <w:tc>
          <w:tcPr>
            <w:tcW w:w="918" w:type="dxa"/>
            <w:tcBorders>
              <w:top w:val="single" w:color="auto" w:sz="6" w:space="0"/>
              <w:left w:val="single" w:color="auto" w:sz="6" w:space="0"/>
              <w:bottom w:val="single" w:color="auto" w:sz="6" w:space="0"/>
              <w:right w:val="single" w:color="auto" w:sz="6" w:space="0"/>
            </w:tcBorders>
            <w:noWrap w:val="0"/>
            <w:vAlign w:val="center"/>
          </w:tcPr>
          <w:p w14:paraId="3CE2550C">
            <w:pPr>
              <w:keepNext w:val="0"/>
              <w:keepLines w:val="0"/>
              <w:widowControl/>
              <w:suppressLineNumbers w:val="0"/>
              <w:jc w:val="right"/>
              <w:textAlignment w:val="center"/>
              <w:rPr>
                <w:rFonts w:hint="eastAsia" w:ascii="宋体" w:hAnsi="宋体"/>
                <w:szCs w:val="21"/>
              </w:rPr>
            </w:pPr>
          </w:p>
        </w:tc>
        <w:tc>
          <w:tcPr>
            <w:tcW w:w="973" w:type="dxa"/>
            <w:tcBorders>
              <w:top w:val="single" w:color="auto" w:sz="6" w:space="0"/>
              <w:left w:val="single" w:color="auto" w:sz="6" w:space="0"/>
              <w:bottom w:val="single" w:color="auto" w:sz="6" w:space="0"/>
              <w:right w:val="single" w:color="auto" w:sz="6" w:space="0"/>
            </w:tcBorders>
            <w:noWrap w:val="0"/>
            <w:vAlign w:val="center"/>
          </w:tcPr>
          <w:p w14:paraId="7C7B80A9">
            <w:pPr>
              <w:jc w:val="center"/>
              <w:rPr>
                <w:rFonts w:hint="eastAsia" w:ascii="宋体" w:hAnsi="宋体"/>
                <w:szCs w:val="21"/>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2620915C">
            <w:pPr>
              <w:jc w:val="center"/>
              <w:rPr>
                <w:rFonts w:hint="eastAsia" w:ascii="宋体" w:hAnsi="宋体"/>
                <w:b/>
              </w:rPr>
            </w:pPr>
          </w:p>
        </w:tc>
      </w:tr>
      <w:tr w14:paraId="3A8C0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6381F54A">
            <w:pPr>
              <w:keepNext w:val="0"/>
              <w:keepLines w:val="0"/>
              <w:widowControl/>
              <w:suppressLineNumbers w:val="0"/>
              <w:jc w:val="center"/>
              <w:textAlignment w:val="center"/>
              <w:rPr>
                <w:rFonts w:hint="eastAsia" w:ascii="宋体" w:hAnsi="宋体"/>
                <w:szCs w:val="21"/>
              </w:rPr>
            </w:pPr>
          </w:p>
        </w:tc>
        <w:tc>
          <w:tcPr>
            <w:tcW w:w="4533" w:type="dxa"/>
            <w:tcBorders>
              <w:top w:val="single" w:color="auto" w:sz="6" w:space="0"/>
              <w:left w:val="single" w:color="auto" w:sz="6" w:space="0"/>
              <w:bottom w:val="single" w:color="auto" w:sz="6" w:space="0"/>
              <w:right w:val="single" w:color="auto" w:sz="6" w:space="0"/>
            </w:tcBorders>
            <w:noWrap w:val="0"/>
            <w:vAlign w:val="center"/>
          </w:tcPr>
          <w:p w14:paraId="71F9E4B1">
            <w:pPr>
              <w:keepNext w:val="0"/>
              <w:keepLines w:val="0"/>
              <w:widowControl/>
              <w:suppressLineNumbers w:val="0"/>
              <w:jc w:val="left"/>
              <w:textAlignment w:val="center"/>
              <w:rPr>
                <w:rFonts w:hint="eastAsia" w:ascii="宋体" w:hAnsi="宋体"/>
                <w:szCs w:val="21"/>
              </w:rPr>
            </w:pPr>
          </w:p>
        </w:tc>
        <w:tc>
          <w:tcPr>
            <w:tcW w:w="855" w:type="dxa"/>
            <w:tcBorders>
              <w:top w:val="single" w:color="auto" w:sz="6" w:space="0"/>
              <w:left w:val="single" w:color="auto" w:sz="6" w:space="0"/>
              <w:bottom w:val="single" w:color="auto" w:sz="6" w:space="0"/>
              <w:right w:val="single" w:color="auto" w:sz="6" w:space="0"/>
            </w:tcBorders>
            <w:noWrap w:val="0"/>
            <w:vAlign w:val="center"/>
          </w:tcPr>
          <w:p w14:paraId="1AEF87E7">
            <w:pPr>
              <w:jc w:val="center"/>
              <w:rPr>
                <w:rFonts w:hint="eastAsia" w:ascii="宋体" w:hAnsi="宋体"/>
                <w:szCs w:val="21"/>
              </w:rPr>
            </w:pPr>
          </w:p>
        </w:tc>
        <w:tc>
          <w:tcPr>
            <w:tcW w:w="918" w:type="dxa"/>
            <w:tcBorders>
              <w:top w:val="single" w:color="auto" w:sz="6" w:space="0"/>
              <w:left w:val="single" w:color="auto" w:sz="6" w:space="0"/>
              <w:bottom w:val="single" w:color="auto" w:sz="6" w:space="0"/>
              <w:right w:val="single" w:color="auto" w:sz="6" w:space="0"/>
            </w:tcBorders>
            <w:noWrap w:val="0"/>
            <w:vAlign w:val="center"/>
          </w:tcPr>
          <w:p w14:paraId="72D5C766">
            <w:pPr>
              <w:jc w:val="right"/>
              <w:rPr>
                <w:rFonts w:hint="eastAsia" w:ascii="宋体" w:hAnsi="宋体"/>
                <w:szCs w:val="21"/>
              </w:rPr>
            </w:pPr>
          </w:p>
        </w:tc>
        <w:tc>
          <w:tcPr>
            <w:tcW w:w="973" w:type="dxa"/>
            <w:tcBorders>
              <w:top w:val="single" w:color="auto" w:sz="6" w:space="0"/>
              <w:left w:val="single" w:color="auto" w:sz="6" w:space="0"/>
              <w:bottom w:val="single" w:color="auto" w:sz="6" w:space="0"/>
              <w:right w:val="single" w:color="auto" w:sz="6" w:space="0"/>
            </w:tcBorders>
            <w:noWrap w:val="0"/>
            <w:vAlign w:val="center"/>
          </w:tcPr>
          <w:p w14:paraId="2261BE93">
            <w:pPr>
              <w:jc w:val="center"/>
              <w:rPr>
                <w:rFonts w:hint="eastAsia" w:ascii="宋体" w:hAnsi="宋体"/>
                <w:szCs w:val="21"/>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057CBD9F">
            <w:pPr>
              <w:jc w:val="center"/>
              <w:rPr>
                <w:rFonts w:hint="eastAsia" w:ascii="宋体" w:hAnsi="宋体"/>
                <w:b/>
              </w:rPr>
            </w:pPr>
          </w:p>
        </w:tc>
      </w:tr>
      <w:tr w14:paraId="20B46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32DE81A1">
            <w:pPr>
              <w:keepNext w:val="0"/>
              <w:keepLines w:val="0"/>
              <w:widowControl/>
              <w:suppressLineNumbers w:val="0"/>
              <w:jc w:val="center"/>
              <w:textAlignment w:val="center"/>
              <w:rPr>
                <w:rFonts w:hint="eastAsia" w:ascii="宋体" w:hAnsi="宋体" w:cs="宋体"/>
                <w:kern w:val="0"/>
                <w:szCs w:val="21"/>
              </w:rPr>
            </w:pPr>
          </w:p>
        </w:tc>
        <w:tc>
          <w:tcPr>
            <w:tcW w:w="4533" w:type="dxa"/>
            <w:tcBorders>
              <w:top w:val="single" w:color="auto" w:sz="6" w:space="0"/>
              <w:left w:val="single" w:color="auto" w:sz="6" w:space="0"/>
              <w:bottom w:val="single" w:color="auto" w:sz="6" w:space="0"/>
              <w:right w:val="single" w:color="auto" w:sz="6" w:space="0"/>
            </w:tcBorders>
            <w:noWrap w:val="0"/>
            <w:vAlign w:val="center"/>
          </w:tcPr>
          <w:p w14:paraId="4DC0EFFD">
            <w:pPr>
              <w:keepNext w:val="0"/>
              <w:keepLines w:val="0"/>
              <w:widowControl/>
              <w:suppressLineNumbers w:val="0"/>
              <w:jc w:val="left"/>
              <w:textAlignment w:val="center"/>
              <w:rPr>
                <w:rFonts w:hint="eastAsia" w:ascii="宋体" w:hAnsi="宋体" w:cs="宋体"/>
                <w:kern w:val="0"/>
                <w:szCs w:val="21"/>
              </w:rPr>
            </w:pPr>
          </w:p>
        </w:tc>
        <w:tc>
          <w:tcPr>
            <w:tcW w:w="855" w:type="dxa"/>
            <w:tcBorders>
              <w:top w:val="single" w:color="auto" w:sz="6" w:space="0"/>
              <w:left w:val="single" w:color="auto" w:sz="6" w:space="0"/>
              <w:bottom w:val="single" w:color="auto" w:sz="6" w:space="0"/>
              <w:right w:val="single" w:color="auto" w:sz="6" w:space="0"/>
            </w:tcBorders>
            <w:noWrap w:val="0"/>
            <w:vAlign w:val="center"/>
          </w:tcPr>
          <w:p w14:paraId="24C021B8">
            <w:pPr>
              <w:keepNext w:val="0"/>
              <w:keepLines w:val="0"/>
              <w:widowControl/>
              <w:suppressLineNumbers w:val="0"/>
              <w:jc w:val="center"/>
              <w:textAlignment w:val="center"/>
              <w:rPr>
                <w:rFonts w:hint="eastAsia" w:ascii="宋体" w:hAnsi="宋体" w:cs="宋体"/>
                <w:kern w:val="0"/>
                <w:szCs w:val="21"/>
              </w:rPr>
            </w:pPr>
          </w:p>
        </w:tc>
        <w:tc>
          <w:tcPr>
            <w:tcW w:w="918" w:type="dxa"/>
            <w:tcBorders>
              <w:top w:val="single" w:color="auto" w:sz="6" w:space="0"/>
              <w:left w:val="single" w:color="auto" w:sz="6" w:space="0"/>
              <w:bottom w:val="single" w:color="auto" w:sz="6" w:space="0"/>
              <w:right w:val="single" w:color="auto" w:sz="6" w:space="0"/>
            </w:tcBorders>
            <w:noWrap w:val="0"/>
            <w:vAlign w:val="center"/>
          </w:tcPr>
          <w:p w14:paraId="69C0F3A8">
            <w:pPr>
              <w:keepNext w:val="0"/>
              <w:keepLines w:val="0"/>
              <w:widowControl/>
              <w:suppressLineNumbers w:val="0"/>
              <w:jc w:val="right"/>
              <w:textAlignment w:val="center"/>
              <w:rPr>
                <w:rFonts w:hint="eastAsia" w:ascii="宋体" w:hAnsi="宋体" w:cs="宋体"/>
                <w:kern w:val="0"/>
                <w:szCs w:val="21"/>
              </w:rPr>
            </w:pPr>
          </w:p>
        </w:tc>
        <w:tc>
          <w:tcPr>
            <w:tcW w:w="973" w:type="dxa"/>
            <w:tcBorders>
              <w:top w:val="single" w:color="auto" w:sz="6" w:space="0"/>
              <w:left w:val="single" w:color="auto" w:sz="6" w:space="0"/>
              <w:bottom w:val="single" w:color="auto" w:sz="6" w:space="0"/>
              <w:right w:val="single" w:color="auto" w:sz="6" w:space="0"/>
            </w:tcBorders>
            <w:noWrap w:val="0"/>
            <w:vAlign w:val="center"/>
          </w:tcPr>
          <w:p w14:paraId="121FC2D1">
            <w:pPr>
              <w:jc w:val="center"/>
              <w:rPr>
                <w:rFonts w:hint="eastAsia" w:ascii="宋体" w:hAnsi="宋体"/>
                <w:szCs w:val="21"/>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5A3AFB16">
            <w:pPr>
              <w:jc w:val="center"/>
              <w:rPr>
                <w:rFonts w:hint="eastAsia" w:ascii="宋体" w:hAnsi="宋体"/>
                <w:b/>
              </w:rPr>
            </w:pPr>
          </w:p>
        </w:tc>
      </w:tr>
      <w:tr w14:paraId="5CAB2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1AD57D87">
            <w:pPr>
              <w:keepNext w:val="0"/>
              <w:keepLines w:val="0"/>
              <w:widowControl/>
              <w:suppressLineNumbers w:val="0"/>
              <w:jc w:val="center"/>
              <w:textAlignment w:val="center"/>
              <w:rPr>
                <w:rFonts w:hint="eastAsia" w:ascii="宋体" w:hAnsi="宋体" w:cs="宋体"/>
                <w:kern w:val="0"/>
                <w:szCs w:val="21"/>
              </w:rPr>
            </w:pPr>
          </w:p>
        </w:tc>
        <w:tc>
          <w:tcPr>
            <w:tcW w:w="4533" w:type="dxa"/>
            <w:tcBorders>
              <w:top w:val="single" w:color="auto" w:sz="6" w:space="0"/>
              <w:left w:val="single" w:color="auto" w:sz="6" w:space="0"/>
              <w:bottom w:val="single" w:color="auto" w:sz="6" w:space="0"/>
              <w:right w:val="single" w:color="auto" w:sz="6" w:space="0"/>
            </w:tcBorders>
            <w:noWrap w:val="0"/>
            <w:vAlign w:val="center"/>
          </w:tcPr>
          <w:p w14:paraId="5BA29AAF">
            <w:pPr>
              <w:keepNext w:val="0"/>
              <w:keepLines w:val="0"/>
              <w:widowControl/>
              <w:suppressLineNumbers w:val="0"/>
              <w:jc w:val="left"/>
              <w:textAlignment w:val="center"/>
              <w:rPr>
                <w:rFonts w:hint="eastAsia" w:ascii="宋体" w:hAnsi="宋体" w:cs="宋体"/>
                <w:kern w:val="0"/>
                <w:szCs w:val="21"/>
              </w:rPr>
            </w:pPr>
          </w:p>
        </w:tc>
        <w:tc>
          <w:tcPr>
            <w:tcW w:w="855" w:type="dxa"/>
            <w:tcBorders>
              <w:top w:val="single" w:color="auto" w:sz="6" w:space="0"/>
              <w:left w:val="single" w:color="auto" w:sz="6" w:space="0"/>
              <w:bottom w:val="single" w:color="auto" w:sz="6" w:space="0"/>
              <w:right w:val="single" w:color="auto" w:sz="6" w:space="0"/>
            </w:tcBorders>
            <w:noWrap w:val="0"/>
            <w:vAlign w:val="center"/>
          </w:tcPr>
          <w:p w14:paraId="5C52151A">
            <w:pPr>
              <w:keepNext w:val="0"/>
              <w:keepLines w:val="0"/>
              <w:widowControl/>
              <w:suppressLineNumbers w:val="0"/>
              <w:jc w:val="center"/>
              <w:textAlignment w:val="center"/>
              <w:rPr>
                <w:rFonts w:hint="eastAsia" w:ascii="宋体" w:hAnsi="宋体" w:cs="宋体"/>
                <w:kern w:val="0"/>
                <w:szCs w:val="21"/>
              </w:rPr>
            </w:pPr>
          </w:p>
        </w:tc>
        <w:tc>
          <w:tcPr>
            <w:tcW w:w="918" w:type="dxa"/>
            <w:tcBorders>
              <w:top w:val="single" w:color="auto" w:sz="6" w:space="0"/>
              <w:left w:val="single" w:color="auto" w:sz="6" w:space="0"/>
              <w:bottom w:val="single" w:color="auto" w:sz="6" w:space="0"/>
              <w:right w:val="single" w:color="auto" w:sz="6" w:space="0"/>
            </w:tcBorders>
            <w:noWrap w:val="0"/>
            <w:vAlign w:val="center"/>
          </w:tcPr>
          <w:p w14:paraId="021C9D18">
            <w:pPr>
              <w:keepNext w:val="0"/>
              <w:keepLines w:val="0"/>
              <w:widowControl/>
              <w:suppressLineNumbers w:val="0"/>
              <w:jc w:val="right"/>
              <w:textAlignment w:val="center"/>
              <w:rPr>
                <w:rFonts w:hint="eastAsia" w:ascii="宋体" w:hAnsi="宋体" w:cs="宋体"/>
                <w:kern w:val="0"/>
                <w:szCs w:val="21"/>
              </w:rPr>
            </w:pPr>
          </w:p>
        </w:tc>
        <w:tc>
          <w:tcPr>
            <w:tcW w:w="973" w:type="dxa"/>
            <w:tcBorders>
              <w:top w:val="single" w:color="auto" w:sz="6" w:space="0"/>
              <w:left w:val="single" w:color="auto" w:sz="6" w:space="0"/>
              <w:bottom w:val="single" w:color="auto" w:sz="6" w:space="0"/>
              <w:right w:val="single" w:color="auto" w:sz="6" w:space="0"/>
            </w:tcBorders>
            <w:noWrap w:val="0"/>
            <w:vAlign w:val="center"/>
          </w:tcPr>
          <w:p w14:paraId="2B21778C">
            <w:pPr>
              <w:jc w:val="center"/>
              <w:rPr>
                <w:rFonts w:hint="eastAsia" w:ascii="宋体" w:hAnsi="宋体"/>
                <w:szCs w:val="21"/>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161F5DA8">
            <w:pPr>
              <w:jc w:val="center"/>
              <w:rPr>
                <w:rFonts w:hint="eastAsia" w:ascii="宋体" w:hAnsi="宋体"/>
                <w:b/>
              </w:rPr>
            </w:pPr>
          </w:p>
        </w:tc>
      </w:tr>
      <w:tr w14:paraId="6C0D3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1A01CECC">
            <w:pPr>
              <w:keepNext w:val="0"/>
              <w:keepLines w:val="0"/>
              <w:widowControl/>
              <w:suppressLineNumbers w:val="0"/>
              <w:jc w:val="center"/>
              <w:textAlignment w:val="center"/>
              <w:rPr>
                <w:rFonts w:hint="eastAsia" w:ascii="宋体" w:hAnsi="宋体" w:cs="宋体"/>
                <w:kern w:val="0"/>
                <w:szCs w:val="21"/>
              </w:rPr>
            </w:pPr>
          </w:p>
        </w:tc>
        <w:tc>
          <w:tcPr>
            <w:tcW w:w="4533" w:type="dxa"/>
            <w:tcBorders>
              <w:top w:val="single" w:color="auto" w:sz="6" w:space="0"/>
              <w:left w:val="single" w:color="auto" w:sz="6" w:space="0"/>
              <w:bottom w:val="single" w:color="auto" w:sz="6" w:space="0"/>
              <w:right w:val="single" w:color="auto" w:sz="6" w:space="0"/>
            </w:tcBorders>
            <w:noWrap w:val="0"/>
            <w:vAlign w:val="center"/>
          </w:tcPr>
          <w:p w14:paraId="5898F071">
            <w:pPr>
              <w:keepNext w:val="0"/>
              <w:keepLines w:val="0"/>
              <w:widowControl/>
              <w:suppressLineNumbers w:val="0"/>
              <w:jc w:val="left"/>
              <w:textAlignment w:val="center"/>
              <w:rPr>
                <w:rFonts w:hint="eastAsia" w:ascii="宋体" w:hAnsi="宋体" w:cs="宋体"/>
                <w:kern w:val="0"/>
                <w:szCs w:val="21"/>
              </w:rPr>
            </w:pPr>
          </w:p>
        </w:tc>
        <w:tc>
          <w:tcPr>
            <w:tcW w:w="855" w:type="dxa"/>
            <w:tcBorders>
              <w:top w:val="single" w:color="auto" w:sz="6" w:space="0"/>
              <w:left w:val="single" w:color="auto" w:sz="6" w:space="0"/>
              <w:bottom w:val="single" w:color="auto" w:sz="6" w:space="0"/>
              <w:right w:val="single" w:color="auto" w:sz="6" w:space="0"/>
            </w:tcBorders>
            <w:noWrap w:val="0"/>
            <w:vAlign w:val="center"/>
          </w:tcPr>
          <w:p w14:paraId="6A2038EF">
            <w:pPr>
              <w:jc w:val="center"/>
              <w:rPr>
                <w:rFonts w:hint="eastAsia" w:ascii="宋体" w:hAnsi="宋体" w:cs="宋体"/>
                <w:kern w:val="0"/>
                <w:szCs w:val="21"/>
              </w:rPr>
            </w:pPr>
          </w:p>
        </w:tc>
        <w:tc>
          <w:tcPr>
            <w:tcW w:w="918" w:type="dxa"/>
            <w:tcBorders>
              <w:top w:val="single" w:color="auto" w:sz="6" w:space="0"/>
              <w:left w:val="single" w:color="auto" w:sz="6" w:space="0"/>
              <w:bottom w:val="single" w:color="auto" w:sz="6" w:space="0"/>
              <w:right w:val="single" w:color="auto" w:sz="6" w:space="0"/>
            </w:tcBorders>
            <w:noWrap w:val="0"/>
            <w:vAlign w:val="center"/>
          </w:tcPr>
          <w:p w14:paraId="757C2660">
            <w:pPr>
              <w:jc w:val="right"/>
              <w:rPr>
                <w:rFonts w:hint="eastAsia" w:ascii="宋体" w:hAnsi="宋体" w:cs="宋体"/>
                <w:kern w:val="0"/>
                <w:szCs w:val="21"/>
              </w:rPr>
            </w:pPr>
          </w:p>
        </w:tc>
        <w:tc>
          <w:tcPr>
            <w:tcW w:w="973" w:type="dxa"/>
            <w:tcBorders>
              <w:top w:val="single" w:color="auto" w:sz="6" w:space="0"/>
              <w:left w:val="single" w:color="auto" w:sz="6" w:space="0"/>
              <w:bottom w:val="single" w:color="auto" w:sz="6" w:space="0"/>
              <w:right w:val="single" w:color="auto" w:sz="6" w:space="0"/>
            </w:tcBorders>
            <w:noWrap w:val="0"/>
            <w:vAlign w:val="center"/>
          </w:tcPr>
          <w:p w14:paraId="030E6FCB">
            <w:pPr>
              <w:jc w:val="center"/>
              <w:rPr>
                <w:rFonts w:hint="eastAsia" w:ascii="宋体" w:hAnsi="宋体"/>
                <w:szCs w:val="21"/>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7EDAFE32">
            <w:pPr>
              <w:jc w:val="center"/>
              <w:rPr>
                <w:rFonts w:hint="eastAsia" w:ascii="宋体" w:hAnsi="宋体"/>
                <w:b/>
              </w:rPr>
            </w:pPr>
          </w:p>
        </w:tc>
      </w:tr>
      <w:tr w14:paraId="2BA08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222572CC">
            <w:pPr>
              <w:keepNext w:val="0"/>
              <w:keepLines w:val="0"/>
              <w:widowControl/>
              <w:suppressLineNumbers w:val="0"/>
              <w:jc w:val="center"/>
              <w:textAlignment w:val="center"/>
              <w:rPr>
                <w:rFonts w:hint="eastAsia" w:ascii="宋体" w:hAnsi="宋体" w:cs="宋体"/>
                <w:kern w:val="0"/>
                <w:szCs w:val="21"/>
              </w:rPr>
            </w:pPr>
          </w:p>
        </w:tc>
        <w:tc>
          <w:tcPr>
            <w:tcW w:w="4533" w:type="dxa"/>
            <w:tcBorders>
              <w:top w:val="single" w:color="auto" w:sz="6" w:space="0"/>
              <w:left w:val="single" w:color="auto" w:sz="6" w:space="0"/>
              <w:bottom w:val="single" w:color="auto" w:sz="6" w:space="0"/>
              <w:right w:val="single" w:color="auto" w:sz="6" w:space="0"/>
            </w:tcBorders>
            <w:noWrap w:val="0"/>
            <w:vAlign w:val="center"/>
          </w:tcPr>
          <w:p w14:paraId="3211FAA0">
            <w:pPr>
              <w:keepNext w:val="0"/>
              <w:keepLines w:val="0"/>
              <w:widowControl/>
              <w:suppressLineNumbers w:val="0"/>
              <w:jc w:val="left"/>
              <w:textAlignment w:val="center"/>
              <w:rPr>
                <w:rFonts w:hint="eastAsia" w:ascii="宋体" w:hAnsi="宋体" w:cs="宋体"/>
                <w:kern w:val="0"/>
                <w:szCs w:val="21"/>
              </w:rPr>
            </w:pPr>
          </w:p>
        </w:tc>
        <w:tc>
          <w:tcPr>
            <w:tcW w:w="855" w:type="dxa"/>
            <w:tcBorders>
              <w:top w:val="single" w:color="auto" w:sz="6" w:space="0"/>
              <w:left w:val="single" w:color="auto" w:sz="6" w:space="0"/>
              <w:bottom w:val="single" w:color="auto" w:sz="6" w:space="0"/>
              <w:right w:val="single" w:color="auto" w:sz="6" w:space="0"/>
            </w:tcBorders>
            <w:noWrap w:val="0"/>
            <w:vAlign w:val="center"/>
          </w:tcPr>
          <w:p w14:paraId="77D17FA5">
            <w:pPr>
              <w:keepNext w:val="0"/>
              <w:keepLines w:val="0"/>
              <w:widowControl/>
              <w:suppressLineNumbers w:val="0"/>
              <w:jc w:val="center"/>
              <w:textAlignment w:val="center"/>
              <w:rPr>
                <w:rFonts w:hint="eastAsia" w:ascii="宋体" w:hAnsi="宋体" w:cs="宋体"/>
                <w:kern w:val="0"/>
                <w:szCs w:val="21"/>
              </w:rPr>
            </w:pPr>
          </w:p>
        </w:tc>
        <w:tc>
          <w:tcPr>
            <w:tcW w:w="918" w:type="dxa"/>
            <w:tcBorders>
              <w:top w:val="single" w:color="auto" w:sz="6" w:space="0"/>
              <w:left w:val="single" w:color="auto" w:sz="6" w:space="0"/>
              <w:bottom w:val="single" w:color="auto" w:sz="6" w:space="0"/>
              <w:right w:val="single" w:color="auto" w:sz="6" w:space="0"/>
            </w:tcBorders>
            <w:noWrap w:val="0"/>
            <w:vAlign w:val="center"/>
          </w:tcPr>
          <w:p w14:paraId="1FBCD4DB">
            <w:pPr>
              <w:keepNext w:val="0"/>
              <w:keepLines w:val="0"/>
              <w:widowControl/>
              <w:suppressLineNumbers w:val="0"/>
              <w:jc w:val="right"/>
              <w:textAlignment w:val="center"/>
              <w:rPr>
                <w:rFonts w:hint="eastAsia" w:ascii="宋体" w:hAnsi="宋体" w:cs="宋体"/>
                <w:kern w:val="0"/>
                <w:szCs w:val="21"/>
              </w:rPr>
            </w:pPr>
          </w:p>
        </w:tc>
        <w:tc>
          <w:tcPr>
            <w:tcW w:w="973" w:type="dxa"/>
            <w:tcBorders>
              <w:top w:val="single" w:color="auto" w:sz="6" w:space="0"/>
              <w:left w:val="single" w:color="auto" w:sz="6" w:space="0"/>
              <w:bottom w:val="single" w:color="auto" w:sz="6" w:space="0"/>
              <w:right w:val="single" w:color="auto" w:sz="6" w:space="0"/>
            </w:tcBorders>
            <w:noWrap w:val="0"/>
            <w:vAlign w:val="center"/>
          </w:tcPr>
          <w:p w14:paraId="2B819C5B">
            <w:pPr>
              <w:jc w:val="center"/>
              <w:rPr>
                <w:rFonts w:hint="eastAsia" w:ascii="宋体" w:hAnsi="宋体"/>
                <w:szCs w:val="21"/>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5716AC4D">
            <w:pPr>
              <w:jc w:val="center"/>
              <w:rPr>
                <w:rFonts w:hint="eastAsia" w:ascii="宋体" w:hAnsi="宋体"/>
                <w:b/>
              </w:rPr>
            </w:pPr>
          </w:p>
        </w:tc>
      </w:tr>
      <w:tr w14:paraId="199F1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5CB7969A">
            <w:pPr>
              <w:keepNext w:val="0"/>
              <w:keepLines w:val="0"/>
              <w:widowControl/>
              <w:suppressLineNumbers w:val="0"/>
              <w:jc w:val="center"/>
              <w:textAlignment w:val="center"/>
              <w:rPr>
                <w:rFonts w:hint="eastAsia" w:ascii="宋体" w:hAnsi="宋体" w:cs="宋体"/>
                <w:szCs w:val="21"/>
              </w:rPr>
            </w:pPr>
          </w:p>
        </w:tc>
        <w:tc>
          <w:tcPr>
            <w:tcW w:w="4533" w:type="dxa"/>
            <w:tcBorders>
              <w:top w:val="single" w:color="auto" w:sz="6" w:space="0"/>
              <w:left w:val="single" w:color="auto" w:sz="6" w:space="0"/>
              <w:bottom w:val="single" w:color="auto" w:sz="6" w:space="0"/>
              <w:right w:val="single" w:color="auto" w:sz="6" w:space="0"/>
            </w:tcBorders>
            <w:noWrap w:val="0"/>
            <w:vAlign w:val="center"/>
          </w:tcPr>
          <w:p w14:paraId="0D859A69">
            <w:pPr>
              <w:keepNext w:val="0"/>
              <w:keepLines w:val="0"/>
              <w:widowControl/>
              <w:suppressLineNumbers w:val="0"/>
              <w:jc w:val="left"/>
              <w:textAlignment w:val="center"/>
              <w:rPr>
                <w:rFonts w:hint="eastAsia" w:ascii="宋体" w:hAnsi="宋体" w:cs="宋体"/>
                <w:szCs w:val="21"/>
              </w:rPr>
            </w:pPr>
          </w:p>
        </w:tc>
        <w:tc>
          <w:tcPr>
            <w:tcW w:w="855" w:type="dxa"/>
            <w:tcBorders>
              <w:top w:val="single" w:color="auto" w:sz="6" w:space="0"/>
              <w:left w:val="single" w:color="auto" w:sz="6" w:space="0"/>
              <w:bottom w:val="single" w:color="auto" w:sz="6" w:space="0"/>
              <w:right w:val="single" w:color="auto" w:sz="6" w:space="0"/>
            </w:tcBorders>
            <w:noWrap w:val="0"/>
            <w:vAlign w:val="center"/>
          </w:tcPr>
          <w:p w14:paraId="3862010E">
            <w:pPr>
              <w:keepNext w:val="0"/>
              <w:keepLines w:val="0"/>
              <w:widowControl/>
              <w:suppressLineNumbers w:val="0"/>
              <w:jc w:val="center"/>
              <w:textAlignment w:val="center"/>
              <w:rPr>
                <w:rFonts w:hint="eastAsia" w:ascii="宋体" w:hAnsi="宋体" w:cs="宋体"/>
                <w:szCs w:val="21"/>
              </w:rPr>
            </w:pPr>
          </w:p>
        </w:tc>
        <w:tc>
          <w:tcPr>
            <w:tcW w:w="918" w:type="dxa"/>
            <w:tcBorders>
              <w:top w:val="single" w:color="auto" w:sz="6" w:space="0"/>
              <w:left w:val="single" w:color="auto" w:sz="6" w:space="0"/>
              <w:bottom w:val="single" w:color="auto" w:sz="6" w:space="0"/>
              <w:right w:val="single" w:color="auto" w:sz="6" w:space="0"/>
            </w:tcBorders>
            <w:noWrap w:val="0"/>
            <w:vAlign w:val="center"/>
          </w:tcPr>
          <w:p w14:paraId="281525AF">
            <w:pPr>
              <w:keepNext w:val="0"/>
              <w:keepLines w:val="0"/>
              <w:widowControl/>
              <w:suppressLineNumbers w:val="0"/>
              <w:jc w:val="right"/>
              <w:textAlignment w:val="center"/>
              <w:rPr>
                <w:rFonts w:hint="eastAsia" w:ascii="宋体" w:hAnsi="宋体"/>
              </w:rPr>
            </w:pPr>
          </w:p>
        </w:tc>
        <w:tc>
          <w:tcPr>
            <w:tcW w:w="973" w:type="dxa"/>
            <w:tcBorders>
              <w:top w:val="single" w:color="auto" w:sz="6" w:space="0"/>
              <w:left w:val="single" w:color="auto" w:sz="6" w:space="0"/>
              <w:bottom w:val="single" w:color="auto" w:sz="6" w:space="0"/>
              <w:right w:val="single" w:color="auto" w:sz="6" w:space="0"/>
            </w:tcBorders>
            <w:noWrap w:val="0"/>
            <w:vAlign w:val="center"/>
          </w:tcPr>
          <w:p w14:paraId="18BC6853">
            <w:pPr>
              <w:jc w:val="center"/>
              <w:rPr>
                <w:rFonts w:hint="eastAsia" w:ascii="宋体" w:hAnsi="宋体"/>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3728C410">
            <w:pPr>
              <w:jc w:val="center"/>
              <w:rPr>
                <w:rFonts w:hint="eastAsia" w:ascii="宋体" w:hAnsi="宋体"/>
              </w:rPr>
            </w:pPr>
          </w:p>
        </w:tc>
      </w:tr>
      <w:tr w14:paraId="6DFF5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9162" w:type="dxa"/>
            <w:gridSpan w:val="6"/>
            <w:tcBorders>
              <w:top w:val="single" w:color="auto" w:sz="6" w:space="0"/>
              <w:left w:val="single" w:color="auto" w:sz="12" w:space="0"/>
              <w:bottom w:val="single" w:color="auto" w:sz="12" w:space="0"/>
              <w:right w:val="single" w:color="auto" w:sz="12" w:space="0"/>
            </w:tcBorders>
            <w:noWrap w:val="0"/>
            <w:vAlign w:val="center"/>
          </w:tcPr>
          <w:p w14:paraId="330459AD">
            <w:pPr>
              <w:ind w:firstLine="1973" w:firstLineChars="936"/>
              <w:rPr>
                <w:rFonts w:hint="eastAsia" w:ascii="宋体" w:hAnsi="宋体"/>
                <w:b/>
                <w:bCs/>
                <w:u w:val="single"/>
              </w:rPr>
            </w:pPr>
            <w:r>
              <w:rPr>
                <w:rFonts w:hint="eastAsia" w:ascii="宋体" w:hAnsi="宋体"/>
                <w:b/>
                <w:bCs/>
              </w:rPr>
              <w:t>清单100章合计   人民币</w:t>
            </w:r>
            <w:r>
              <w:rPr>
                <w:rFonts w:hint="eastAsia" w:ascii="宋体" w:hAnsi="宋体"/>
                <w:b/>
                <w:bCs/>
                <w:u w:val="single"/>
              </w:rPr>
              <w:t xml:space="preserve">           </w:t>
            </w:r>
            <w:r>
              <w:rPr>
                <w:rFonts w:hint="eastAsia" w:ascii="宋体" w:hAnsi="宋体"/>
                <w:b/>
                <w:bCs/>
              </w:rPr>
              <w:t>元</w:t>
            </w:r>
          </w:p>
        </w:tc>
      </w:tr>
    </w:tbl>
    <w:p w14:paraId="5AC07E2A">
      <w:pPr>
        <w:spacing w:before="240" w:beforeLines="100" w:after="240" w:afterLines="100"/>
        <w:jc w:val="center"/>
        <w:rPr>
          <w:rFonts w:hint="eastAsia" w:ascii="黑体" w:hAnsi="宋体" w:eastAsia="黑体"/>
          <w:sz w:val="30"/>
          <w:szCs w:val="30"/>
        </w:rPr>
      </w:pPr>
    </w:p>
    <w:p w14:paraId="51E0D21D">
      <w:pPr>
        <w:spacing w:before="240" w:beforeLines="100" w:after="240" w:afterLines="100"/>
        <w:jc w:val="center"/>
        <w:rPr>
          <w:rFonts w:hint="eastAsia" w:ascii="黑体" w:hAnsi="宋体" w:eastAsia="黑体"/>
          <w:sz w:val="30"/>
          <w:szCs w:val="30"/>
        </w:rPr>
      </w:pPr>
    </w:p>
    <w:p w14:paraId="21E03F66">
      <w:pPr>
        <w:spacing w:before="240" w:beforeLines="100" w:after="240" w:afterLines="100"/>
        <w:jc w:val="center"/>
        <w:rPr>
          <w:rFonts w:hint="eastAsia" w:ascii="黑体" w:hAnsi="宋体" w:eastAsia="黑体"/>
          <w:sz w:val="30"/>
          <w:szCs w:val="30"/>
        </w:rPr>
      </w:pPr>
      <w:r>
        <w:rPr>
          <w:rFonts w:hint="eastAsia" w:ascii="黑体" w:hAnsi="宋体" w:eastAsia="黑体"/>
          <w:sz w:val="30"/>
          <w:szCs w:val="30"/>
        </w:rPr>
        <w:t>工程量清单</w:t>
      </w:r>
    </w:p>
    <w:p w14:paraId="14710E32">
      <w:pPr>
        <w:pStyle w:val="50"/>
        <w:ind w:left="0" w:leftChars="0" w:firstLine="0" w:firstLine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标项</w:t>
      </w:r>
      <w:r>
        <w:rPr>
          <w:rFonts w:hint="eastAsia" w:asciiTheme="minorEastAsia" w:hAnsiTheme="minorEastAsia" w:cstheme="minorEastAsia"/>
          <w:sz w:val="24"/>
          <w:szCs w:val="24"/>
          <w:lang w:val="en-US" w:eastAsia="zh-CN"/>
        </w:rPr>
        <w:t>2</w:t>
      </w:r>
      <w:r>
        <w:rPr>
          <w:rFonts w:hint="eastAsia" w:asciiTheme="minorEastAsia" w:hAnsiTheme="minorEastAsia" w:eastAsiaTheme="minorEastAsia" w:cstheme="minorEastAsia"/>
          <w:sz w:val="24"/>
          <w:szCs w:val="24"/>
        </w:rPr>
        <w:t>：</w:t>
      </w:r>
      <w:r>
        <w:rPr>
          <w:rFonts w:hint="eastAsia" w:asciiTheme="minorEastAsia" w:hAnsiTheme="minorEastAsia" w:cstheme="minorEastAsia"/>
          <w:sz w:val="24"/>
          <w:szCs w:val="24"/>
          <w:lang w:eastAsia="zh-CN"/>
        </w:rPr>
        <w:t>2026年秀洲区县道及以上公路小修及应急抢险项目</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第</w:t>
      </w:r>
      <w:r>
        <w:rPr>
          <w:rFonts w:hint="eastAsia" w:asciiTheme="minorEastAsia" w:hAnsiTheme="minorEastAsia" w:cstheme="minorEastAsia"/>
          <w:sz w:val="24"/>
          <w:szCs w:val="24"/>
          <w:lang w:val="en-US" w:eastAsia="zh-CN"/>
        </w:rPr>
        <w:t>二</w:t>
      </w:r>
      <w:r>
        <w:rPr>
          <w:rFonts w:hint="eastAsia" w:asciiTheme="minorEastAsia" w:hAnsiTheme="minorEastAsia" w:eastAsiaTheme="minorEastAsia" w:cstheme="minorEastAsia"/>
          <w:sz w:val="24"/>
          <w:szCs w:val="24"/>
          <w:lang w:eastAsia="zh-CN"/>
        </w:rPr>
        <w:t>标段）</w:t>
      </w:r>
    </w:p>
    <w:p w14:paraId="2AE74B0E">
      <w:pPr>
        <w:pStyle w:val="50"/>
        <w:ind w:left="0" w:leftChars="0" w:firstLine="0" w:firstLineChars="0"/>
        <w:rPr>
          <w:rFonts w:hint="eastAsia" w:ascii="黑体" w:hAnsi="宋体" w:eastAsia="黑体"/>
          <w:sz w:val="30"/>
          <w:szCs w:val="30"/>
        </w:rPr>
      </w:pPr>
      <w:r>
        <w:rPr>
          <w:rFonts w:hint="eastAsia" w:asciiTheme="minorEastAsia" w:hAnsiTheme="minorEastAsia" w:eastAsiaTheme="minorEastAsia" w:cstheme="minorEastAsia"/>
          <w:sz w:val="24"/>
          <w:szCs w:val="24"/>
        </w:rPr>
        <w:t>货币单位：人民币元</w:t>
      </w:r>
      <w:r>
        <w:tab/>
      </w:r>
    </w:p>
    <w:tbl>
      <w:tblPr>
        <w:tblStyle w:val="51"/>
        <w:tblW w:w="946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40"/>
        <w:gridCol w:w="4572"/>
        <w:gridCol w:w="899"/>
        <w:gridCol w:w="899"/>
        <w:gridCol w:w="1079"/>
        <w:gridCol w:w="1079"/>
      </w:tblGrid>
      <w:tr w14:paraId="2CE786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68" w:type="dxa"/>
            <w:gridSpan w:val="6"/>
            <w:noWrap w:val="0"/>
            <w:vAlign w:val="center"/>
          </w:tcPr>
          <w:p w14:paraId="1CB05282">
            <w:pPr>
              <w:ind w:firstLine="103" w:firstLineChars="49"/>
              <w:jc w:val="center"/>
              <w:rPr>
                <w:rFonts w:ascii="宋体" w:hAnsi="宋体"/>
                <w:b/>
                <w:bCs/>
              </w:rPr>
            </w:pPr>
            <w:r>
              <w:rPr>
                <w:rFonts w:hint="eastAsia" w:ascii="宋体" w:hAnsi="宋体"/>
                <w:b/>
                <w:bCs/>
              </w:rPr>
              <w:t>清单      第200章      路  基</w:t>
            </w:r>
          </w:p>
        </w:tc>
      </w:tr>
      <w:tr w14:paraId="5CA946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5A07B34F">
            <w:pPr>
              <w:widowControl/>
              <w:jc w:val="left"/>
              <w:rPr>
                <w:rFonts w:ascii="宋体" w:hAnsi="宋体" w:cs="宋体"/>
                <w:kern w:val="0"/>
                <w:szCs w:val="21"/>
              </w:rPr>
            </w:pPr>
            <w:r>
              <w:rPr>
                <w:rFonts w:hint="eastAsia" w:ascii="宋体" w:hAnsi="宋体" w:cs="宋体"/>
                <w:kern w:val="0"/>
                <w:szCs w:val="21"/>
              </w:rPr>
              <w:t>子目号</w:t>
            </w:r>
          </w:p>
        </w:tc>
        <w:tc>
          <w:tcPr>
            <w:tcW w:w="4572" w:type="dxa"/>
            <w:noWrap w:val="0"/>
            <w:vAlign w:val="center"/>
          </w:tcPr>
          <w:p w14:paraId="6B56B521">
            <w:pPr>
              <w:widowControl/>
              <w:jc w:val="center"/>
              <w:rPr>
                <w:rFonts w:ascii="宋体" w:hAnsi="宋体" w:cs="宋体"/>
                <w:kern w:val="0"/>
                <w:szCs w:val="21"/>
              </w:rPr>
            </w:pPr>
            <w:r>
              <w:rPr>
                <w:rFonts w:hint="eastAsia" w:ascii="宋体" w:hAnsi="宋体" w:cs="宋体"/>
                <w:kern w:val="0"/>
                <w:szCs w:val="21"/>
              </w:rPr>
              <w:t>子  目  名  称</w:t>
            </w:r>
          </w:p>
        </w:tc>
        <w:tc>
          <w:tcPr>
            <w:tcW w:w="899" w:type="dxa"/>
            <w:noWrap w:val="0"/>
            <w:vAlign w:val="center"/>
          </w:tcPr>
          <w:p w14:paraId="27C831F7">
            <w:pPr>
              <w:widowControl/>
              <w:jc w:val="center"/>
              <w:rPr>
                <w:rFonts w:ascii="宋体" w:hAnsi="宋体" w:cs="宋体"/>
                <w:kern w:val="0"/>
                <w:szCs w:val="21"/>
              </w:rPr>
            </w:pPr>
            <w:r>
              <w:rPr>
                <w:rFonts w:hint="eastAsia" w:ascii="宋体" w:hAnsi="宋体" w:cs="宋体"/>
                <w:kern w:val="0"/>
                <w:szCs w:val="21"/>
              </w:rPr>
              <w:t>单位</w:t>
            </w:r>
          </w:p>
        </w:tc>
        <w:tc>
          <w:tcPr>
            <w:tcW w:w="899" w:type="dxa"/>
            <w:noWrap w:val="0"/>
            <w:vAlign w:val="center"/>
          </w:tcPr>
          <w:p w14:paraId="72C792FE">
            <w:pPr>
              <w:widowControl/>
              <w:jc w:val="center"/>
              <w:rPr>
                <w:rFonts w:ascii="宋体" w:hAnsi="宋体" w:cs="宋体"/>
                <w:kern w:val="0"/>
                <w:szCs w:val="21"/>
              </w:rPr>
            </w:pPr>
            <w:r>
              <w:rPr>
                <w:rFonts w:hint="eastAsia" w:ascii="宋体" w:hAnsi="宋体" w:cs="宋体"/>
                <w:kern w:val="0"/>
                <w:szCs w:val="21"/>
              </w:rPr>
              <w:t>数量</w:t>
            </w:r>
          </w:p>
        </w:tc>
        <w:tc>
          <w:tcPr>
            <w:tcW w:w="1079" w:type="dxa"/>
            <w:noWrap w:val="0"/>
            <w:vAlign w:val="center"/>
          </w:tcPr>
          <w:p w14:paraId="67DB63AC">
            <w:pPr>
              <w:widowControl/>
              <w:jc w:val="center"/>
              <w:rPr>
                <w:rFonts w:ascii="宋体" w:hAnsi="宋体" w:cs="宋体"/>
                <w:kern w:val="0"/>
                <w:szCs w:val="21"/>
              </w:rPr>
            </w:pPr>
            <w:r>
              <w:rPr>
                <w:rFonts w:hint="eastAsia" w:ascii="宋体" w:hAnsi="宋体" w:cs="宋体"/>
                <w:kern w:val="0"/>
                <w:szCs w:val="21"/>
              </w:rPr>
              <w:t>单价</w:t>
            </w:r>
          </w:p>
        </w:tc>
        <w:tc>
          <w:tcPr>
            <w:tcW w:w="1079" w:type="dxa"/>
            <w:noWrap w:val="0"/>
            <w:vAlign w:val="center"/>
          </w:tcPr>
          <w:p w14:paraId="45A1E9C7">
            <w:pPr>
              <w:widowControl/>
              <w:jc w:val="center"/>
              <w:rPr>
                <w:rFonts w:ascii="宋体" w:hAnsi="宋体" w:cs="宋体"/>
                <w:kern w:val="0"/>
                <w:szCs w:val="21"/>
              </w:rPr>
            </w:pPr>
            <w:r>
              <w:rPr>
                <w:rFonts w:hint="eastAsia" w:ascii="宋体" w:hAnsi="宋体" w:cs="宋体"/>
                <w:kern w:val="0"/>
                <w:szCs w:val="21"/>
              </w:rPr>
              <w:t>合价</w:t>
            </w:r>
          </w:p>
        </w:tc>
      </w:tr>
      <w:tr w14:paraId="56557B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4217CA95">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202</w:t>
            </w:r>
          </w:p>
        </w:tc>
        <w:tc>
          <w:tcPr>
            <w:tcW w:w="4572" w:type="dxa"/>
            <w:noWrap w:val="0"/>
            <w:vAlign w:val="center"/>
          </w:tcPr>
          <w:p w14:paraId="589109D0">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维修</w:t>
            </w:r>
          </w:p>
        </w:tc>
        <w:tc>
          <w:tcPr>
            <w:tcW w:w="899" w:type="dxa"/>
            <w:noWrap w:val="0"/>
            <w:vAlign w:val="center"/>
          </w:tcPr>
          <w:p w14:paraId="3B34C775">
            <w:pPr>
              <w:jc w:val="center"/>
              <w:rPr>
                <w:rFonts w:hint="eastAsia" w:ascii="宋体" w:hAnsi="宋体" w:cs="宋体"/>
                <w:kern w:val="0"/>
                <w:sz w:val="21"/>
                <w:szCs w:val="21"/>
              </w:rPr>
            </w:pPr>
          </w:p>
        </w:tc>
        <w:tc>
          <w:tcPr>
            <w:tcW w:w="899" w:type="dxa"/>
            <w:noWrap w:val="0"/>
            <w:vAlign w:val="center"/>
          </w:tcPr>
          <w:p w14:paraId="77449001">
            <w:pPr>
              <w:jc w:val="right"/>
              <w:rPr>
                <w:rFonts w:hint="eastAsia" w:ascii="宋体" w:hAnsi="宋体" w:cs="宋体"/>
                <w:kern w:val="0"/>
                <w:sz w:val="21"/>
                <w:szCs w:val="21"/>
              </w:rPr>
            </w:pPr>
          </w:p>
        </w:tc>
        <w:tc>
          <w:tcPr>
            <w:tcW w:w="1079" w:type="dxa"/>
            <w:noWrap w:val="0"/>
            <w:vAlign w:val="center"/>
          </w:tcPr>
          <w:p w14:paraId="06E67C64">
            <w:pPr>
              <w:widowControl/>
              <w:jc w:val="center"/>
              <w:rPr>
                <w:rFonts w:hint="eastAsia" w:ascii="宋体" w:hAnsi="宋体" w:cs="宋体"/>
                <w:kern w:val="0"/>
                <w:szCs w:val="21"/>
              </w:rPr>
            </w:pPr>
          </w:p>
        </w:tc>
        <w:tc>
          <w:tcPr>
            <w:tcW w:w="1079" w:type="dxa"/>
            <w:noWrap w:val="0"/>
            <w:vAlign w:val="center"/>
          </w:tcPr>
          <w:p w14:paraId="649E01B0">
            <w:pPr>
              <w:widowControl/>
              <w:jc w:val="center"/>
              <w:rPr>
                <w:rFonts w:hint="eastAsia" w:ascii="宋体" w:hAnsi="宋体" w:cs="宋体"/>
                <w:kern w:val="0"/>
                <w:szCs w:val="21"/>
              </w:rPr>
            </w:pPr>
          </w:p>
        </w:tc>
      </w:tr>
      <w:tr w14:paraId="38B9D1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70F3CBB3">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202-8</w:t>
            </w:r>
          </w:p>
        </w:tc>
        <w:tc>
          <w:tcPr>
            <w:tcW w:w="4572" w:type="dxa"/>
            <w:noWrap w:val="0"/>
            <w:vAlign w:val="center"/>
          </w:tcPr>
          <w:p w14:paraId="43C0B79E">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宕渣</w:t>
            </w:r>
          </w:p>
        </w:tc>
        <w:tc>
          <w:tcPr>
            <w:tcW w:w="899" w:type="dxa"/>
            <w:noWrap w:val="0"/>
            <w:vAlign w:val="center"/>
          </w:tcPr>
          <w:p w14:paraId="497424CA">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m3</w:t>
            </w:r>
          </w:p>
        </w:tc>
        <w:tc>
          <w:tcPr>
            <w:tcW w:w="899" w:type="dxa"/>
            <w:noWrap w:val="0"/>
            <w:vAlign w:val="center"/>
          </w:tcPr>
          <w:p w14:paraId="302AEAC3">
            <w:pPr>
              <w:keepNext w:val="0"/>
              <w:keepLines w:val="0"/>
              <w:widowControl/>
              <w:suppressLineNumbers w:val="0"/>
              <w:jc w:val="right"/>
              <w:textAlignment w:val="center"/>
              <w:rPr>
                <w:rFonts w:ascii="宋体" w:hAnsi="宋体" w:cs="宋体"/>
                <w:kern w:val="0"/>
                <w:sz w:val="21"/>
                <w:szCs w:val="21"/>
              </w:rPr>
            </w:pPr>
            <w:r>
              <w:rPr>
                <w:rFonts w:hint="eastAsia" w:ascii="Arial Narrow" w:hAnsi="Arial Narrow" w:eastAsia="Arial Narrow" w:cs="Arial Narrow"/>
                <w:i w:val="0"/>
                <w:iCs w:val="0"/>
                <w:color w:val="000000"/>
                <w:kern w:val="0"/>
                <w:sz w:val="21"/>
                <w:szCs w:val="21"/>
                <w:u w:val="none"/>
                <w:lang w:val="en-US" w:eastAsia="zh-CN" w:bidi="ar"/>
              </w:rPr>
              <w:t>25</w:t>
            </w:r>
            <w:r>
              <w:rPr>
                <w:rFonts w:hint="default" w:ascii="Arial Narrow" w:hAnsi="Arial Narrow" w:eastAsia="Arial Narrow" w:cs="Arial Narrow"/>
                <w:i w:val="0"/>
                <w:iCs w:val="0"/>
                <w:color w:val="000000"/>
                <w:kern w:val="0"/>
                <w:sz w:val="21"/>
                <w:szCs w:val="21"/>
                <w:u w:val="none"/>
                <w:lang w:val="en-US" w:eastAsia="zh-CN" w:bidi="ar"/>
              </w:rPr>
              <w:t>0</w:t>
            </w:r>
          </w:p>
        </w:tc>
        <w:tc>
          <w:tcPr>
            <w:tcW w:w="1079" w:type="dxa"/>
            <w:noWrap w:val="0"/>
            <w:vAlign w:val="center"/>
          </w:tcPr>
          <w:p w14:paraId="7AE4FAF9">
            <w:pPr>
              <w:widowControl/>
              <w:jc w:val="center"/>
              <w:rPr>
                <w:rFonts w:hint="eastAsia" w:ascii="宋体" w:hAnsi="宋体" w:cs="宋体"/>
                <w:kern w:val="0"/>
                <w:szCs w:val="21"/>
              </w:rPr>
            </w:pPr>
          </w:p>
        </w:tc>
        <w:tc>
          <w:tcPr>
            <w:tcW w:w="1079" w:type="dxa"/>
            <w:noWrap w:val="0"/>
            <w:vAlign w:val="center"/>
          </w:tcPr>
          <w:p w14:paraId="5361DF46">
            <w:pPr>
              <w:widowControl/>
              <w:jc w:val="center"/>
              <w:rPr>
                <w:rFonts w:ascii="宋体" w:hAnsi="宋体" w:cs="宋体"/>
                <w:kern w:val="0"/>
                <w:szCs w:val="21"/>
              </w:rPr>
            </w:pPr>
          </w:p>
        </w:tc>
      </w:tr>
      <w:tr w14:paraId="4BE1BE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54773AD7">
            <w:pPr>
              <w:jc w:val="center"/>
              <w:rPr>
                <w:rFonts w:ascii="宋体" w:hAnsi="宋体" w:cs="Arial"/>
                <w:sz w:val="18"/>
                <w:szCs w:val="18"/>
              </w:rPr>
            </w:pPr>
          </w:p>
        </w:tc>
        <w:tc>
          <w:tcPr>
            <w:tcW w:w="4572" w:type="dxa"/>
            <w:noWrap w:val="0"/>
            <w:vAlign w:val="center"/>
          </w:tcPr>
          <w:p w14:paraId="6D2BF671">
            <w:pPr>
              <w:rPr>
                <w:rFonts w:ascii="宋体" w:hAnsi="宋体" w:cs="Arial"/>
                <w:sz w:val="18"/>
                <w:szCs w:val="18"/>
              </w:rPr>
            </w:pPr>
          </w:p>
        </w:tc>
        <w:tc>
          <w:tcPr>
            <w:tcW w:w="899" w:type="dxa"/>
            <w:noWrap w:val="0"/>
            <w:vAlign w:val="center"/>
          </w:tcPr>
          <w:p w14:paraId="47F016C8">
            <w:pPr>
              <w:jc w:val="center"/>
              <w:rPr>
                <w:rFonts w:ascii="宋体" w:hAnsi="宋体" w:cs="Arial"/>
                <w:sz w:val="18"/>
                <w:szCs w:val="18"/>
              </w:rPr>
            </w:pPr>
          </w:p>
        </w:tc>
        <w:tc>
          <w:tcPr>
            <w:tcW w:w="899" w:type="dxa"/>
            <w:noWrap w:val="0"/>
            <w:vAlign w:val="center"/>
          </w:tcPr>
          <w:p w14:paraId="06EEDFB3">
            <w:pPr>
              <w:jc w:val="right"/>
              <w:rPr>
                <w:rFonts w:ascii="宋体" w:hAnsi="宋体" w:cs="Arial"/>
                <w:sz w:val="16"/>
                <w:szCs w:val="16"/>
              </w:rPr>
            </w:pPr>
          </w:p>
        </w:tc>
        <w:tc>
          <w:tcPr>
            <w:tcW w:w="1079" w:type="dxa"/>
            <w:noWrap w:val="0"/>
            <w:vAlign w:val="center"/>
          </w:tcPr>
          <w:p w14:paraId="29F95CC4">
            <w:pPr>
              <w:widowControl/>
              <w:jc w:val="center"/>
              <w:rPr>
                <w:rFonts w:ascii="宋体" w:hAnsi="宋体" w:cs="宋体"/>
                <w:kern w:val="0"/>
                <w:szCs w:val="21"/>
              </w:rPr>
            </w:pPr>
          </w:p>
        </w:tc>
        <w:tc>
          <w:tcPr>
            <w:tcW w:w="1079" w:type="dxa"/>
            <w:noWrap w:val="0"/>
            <w:vAlign w:val="center"/>
          </w:tcPr>
          <w:p w14:paraId="304CDA04">
            <w:pPr>
              <w:widowControl/>
              <w:jc w:val="center"/>
              <w:rPr>
                <w:rFonts w:ascii="宋体" w:hAnsi="宋体" w:cs="宋体"/>
                <w:kern w:val="0"/>
                <w:szCs w:val="21"/>
              </w:rPr>
            </w:pPr>
          </w:p>
        </w:tc>
      </w:tr>
      <w:tr w14:paraId="46352D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06FB3BCD">
            <w:pPr>
              <w:jc w:val="center"/>
              <w:rPr>
                <w:rFonts w:ascii="宋体" w:hAnsi="宋体" w:cs="Arial"/>
                <w:sz w:val="18"/>
                <w:szCs w:val="18"/>
              </w:rPr>
            </w:pPr>
          </w:p>
        </w:tc>
        <w:tc>
          <w:tcPr>
            <w:tcW w:w="4572" w:type="dxa"/>
            <w:noWrap w:val="0"/>
            <w:vAlign w:val="center"/>
          </w:tcPr>
          <w:p w14:paraId="7E51431F">
            <w:pPr>
              <w:rPr>
                <w:rFonts w:ascii="宋体" w:hAnsi="宋体" w:cs="Arial"/>
                <w:sz w:val="18"/>
                <w:szCs w:val="18"/>
              </w:rPr>
            </w:pPr>
          </w:p>
        </w:tc>
        <w:tc>
          <w:tcPr>
            <w:tcW w:w="899" w:type="dxa"/>
            <w:noWrap w:val="0"/>
            <w:vAlign w:val="center"/>
          </w:tcPr>
          <w:p w14:paraId="7700855C">
            <w:pPr>
              <w:jc w:val="center"/>
              <w:rPr>
                <w:rFonts w:ascii="宋体" w:hAnsi="宋体" w:cs="Arial"/>
                <w:sz w:val="18"/>
                <w:szCs w:val="18"/>
              </w:rPr>
            </w:pPr>
          </w:p>
        </w:tc>
        <w:tc>
          <w:tcPr>
            <w:tcW w:w="899" w:type="dxa"/>
            <w:noWrap w:val="0"/>
            <w:vAlign w:val="center"/>
          </w:tcPr>
          <w:p w14:paraId="53AD4C52">
            <w:pPr>
              <w:jc w:val="right"/>
              <w:rPr>
                <w:rFonts w:ascii="宋体" w:hAnsi="宋体" w:cs="Arial"/>
                <w:sz w:val="16"/>
                <w:szCs w:val="16"/>
              </w:rPr>
            </w:pPr>
          </w:p>
        </w:tc>
        <w:tc>
          <w:tcPr>
            <w:tcW w:w="1079" w:type="dxa"/>
            <w:noWrap w:val="0"/>
            <w:vAlign w:val="center"/>
          </w:tcPr>
          <w:p w14:paraId="267A2AD8">
            <w:pPr>
              <w:widowControl/>
              <w:jc w:val="center"/>
              <w:rPr>
                <w:rFonts w:ascii="宋体" w:hAnsi="宋体" w:cs="宋体"/>
                <w:kern w:val="0"/>
                <w:szCs w:val="21"/>
              </w:rPr>
            </w:pPr>
          </w:p>
        </w:tc>
        <w:tc>
          <w:tcPr>
            <w:tcW w:w="1079" w:type="dxa"/>
            <w:noWrap w:val="0"/>
            <w:vAlign w:val="center"/>
          </w:tcPr>
          <w:p w14:paraId="73D34B8E">
            <w:pPr>
              <w:widowControl/>
              <w:jc w:val="center"/>
              <w:rPr>
                <w:rFonts w:ascii="宋体" w:hAnsi="宋体" w:cs="宋体"/>
                <w:kern w:val="0"/>
                <w:szCs w:val="21"/>
              </w:rPr>
            </w:pPr>
          </w:p>
        </w:tc>
      </w:tr>
      <w:tr w14:paraId="3934B1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70100DFB">
            <w:pPr>
              <w:jc w:val="center"/>
              <w:rPr>
                <w:rFonts w:ascii="宋体" w:hAnsi="宋体" w:cs="Arial"/>
                <w:sz w:val="18"/>
                <w:szCs w:val="18"/>
              </w:rPr>
            </w:pPr>
          </w:p>
        </w:tc>
        <w:tc>
          <w:tcPr>
            <w:tcW w:w="4572" w:type="dxa"/>
            <w:noWrap w:val="0"/>
            <w:vAlign w:val="center"/>
          </w:tcPr>
          <w:p w14:paraId="4C98E306">
            <w:pPr>
              <w:rPr>
                <w:rFonts w:ascii="宋体" w:hAnsi="宋体" w:cs="Arial"/>
                <w:sz w:val="18"/>
                <w:szCs w:val="18"/>
              </w:rPr>
            </w:pPr>
          </w:p>
        </w:tc>
        <w:tc>
          <w:tcPr>
            <w:tcW w:w="899" w:type="dxa"/>
            <w:noWrap w:val="0"/>
            <w:vAlign w:val="center"/>
          </w:tcPr>
          <w:p w14:paraId="15B518EE">
            <w:pPr>
              <w:jc w:val="center"/>
              <w:rPr>
                <w:rFonts w:ascii="宋体" w:hAnsi="宋体" w:cs="Arial"/>
                <w:sz w:val="18"/>
                <w:szCs w:val="18"/>
              </w:rPr>
            </w:pPr>
          </w:p>
        </w:tc>
        <w:tc>
          <w:tcPr>
            <w:tcW w:w="899" w:type="dxa"/>
            <w:noWrap w:val="0"/>
            <w:vAlign w:val="center"/>
          </w:tcPr>
          <w:p w14:paraId="051C4A33">
            <w:pPr>
              <w:jc w:val="right"/>
              <w:rPr>
                <w:rFonts w:ascii="宋体" w:hAnsi="宋体" w:cs="Arial"/>
                <w:sz w:val="16"/>
                <w:szCs w:val="16"/>
              </w:rPr>
            </w:pPr>
          </w:p>
        </w:tc>
        <w:tc>
          <w:tcPr>
            <w:tcW w:w="1079" w:type="dxa"/>
            <w:noWrap w:val="0"/>
            <w:vAlign w:val="center"/>
          </w:tcPr>
          <w:p w14:paraId="5FA61548">
            <w:pPr>
              <w:widowControl/>
              <w:jc w:val="center"/>
              <w:rPr>
                <w:rFonts w:ascii="宋体" w:hAnsi="宋体" w:cs="宋体"/>
                <w:kern w:val="0"/>
                <w:szCs w:val="21"/>
              </w:rPr>
            </w:pPr>
          </w:p>
        </w:tc>
        <w:tc>
          <w:tcPr>
            <w:tcW w:w="1079" w:type="dxa"/>
            <w:noWrap w:val="0"/>
            <w:vAlign w:val="center"/>
          </w:tcPr>
          <w:p w14:paraId="5D149FDE">
            <w:pPr>
              <w:widowControl/>
              <w:jc w:val="center"/>
              <w:rPr>
                <w:rFonts w:ascii="宋体" w:hAnsi="宋体" w:cs="宋体"/>
                <w:kern w:val="0"/>
                <w:szCs w:val="21"/>
              </w:rPr>
            </w:pPr>
          </w:p>
        </w:tc>
      </w:tr>
      <w:tr w14:paraId="72C7CC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5A26A383">
            <w:pPr>
              <w:jc w:val="center"/>
              <w:rPr>
                <w:rFonts w:ascii="宋体" w:hAnsi="宋体" w:cs="Arial"/>
                <w:sz w:val="18"/>
                <w:szCs w:val="18"/>
              </w:rPr>
            </w:pPr>
          </w:p>
        </w:tc>
        <w:tc>
          <w:tcPr>
            <w:tcW w:w="4572" w:type="dxa"/>
            <w:noWrap w:val="0"/>
            <w:vAlign w:val="center"/>
          </w:tcPr>
          <w:p w14:paraId="05894A30">
            <w:pPr>
              <w:rPr>
                <w:rFonts w:ascii="宋体" w:hAnsi="宋体" w:cs="Arial"/>
                <w:sz w:val="18"/>
                <w:szCs w:val="18"/>
              </w:rPr>
            </w:pPr>
          </w:p>
        </w:tc>
        <w:tc>
          <w:tcPr>
            <w:tcW w:w="899" w:type="dxa"/>
            <w:noWrap w:val="0"/>
            <w:vAlign w:val="center"/>
          </w:tcPr>
          <w:p w14:paraId="3EC86BD8">
            <w:pPr>
              <w:jc w:val="center"/>
              <w:rPr>
                <w:rFonts w:ascii="宋体" w:hAnsi="宋体" w:cs="Arial"/>
                <w:sz w:val="18"/>
                <w:szCs w:val="18"/>
              </w:rPr>
            </w:pPr>
          </w:p>
        </w:tc>
        <w:tc>
          <w:tcPr>
            <w:tcW w:w="899" w:type="dxa"/>
            <w:noWrap w:val="0"/>
            <w:vAlign w:val="center"/>
          </w:tcPr>
          <w:p w14:paraId="42D6091B">
            <w:pPr>
              <w:jc w:val="right"/>
              <w:rPr>
                <w:rFonts w:ascii="宋体" w:hAnsi="宋体" w:cs="Arial"/>
                <w:sz w:val="16"/>
                <w:szCs w:val="16"/>
              </w:rPr>
            </w:pPr>
          </w:p>
        </w:tc>
        <w:tc>
          <w:tcPr>
            <w:tcW w:w="1079" w:type="dxa"/>
            <w:noWrap w:val="0"/>
            <w:vAlign w:val="center"/>
          </w:tcPr>
          <w:p w14:paraId="36DF9143">
            <w:pPr>
              <w:widowControl/>
              <w:jc w:val="center"/>
              <w:rPr>
                <w:rFonts w:ascii="宋体" w:hAnsi="宋体" w:cs="宋体"/>
                <w:kern w:val="0"/>
                <w:szCs w:val="21"/>
              </w:rPr>
            </w:pPr>
          </w:p>
        </w:tc>
        <w:tc>
          <w:tcPr>
            <w:tcW w:w="1079" w:type="dxa"/>
            <w:noWrap w:val="0"/>
            <w:vAlign w:val="center"/>
          </w:tcPr>
          <w:p w14:paraId="543D145C">
            <w:pPr>
              <w:widowControl/>
              <w:jc w:val="center"/>
              <w:rPr>
                <w:rFonts w:ascii="宋体" w:hAnsi="宋体" w:cs="宋体"/>
                <w:kern w:val="0"/>
                <w:szCs w:val="21"/>
              </w:rPr>
            </w:pPr>
          </w:p>
        </w:tc>
      </w:tr>
      <w:tr w14:paraId="3435FB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771C58CF">
            <w:pPr>
              <w:jc w:val="center"/>
              <w:rPr>
                <w:rFonts w:ascii="宋体" w:hAnsi="宋体" w:cs="Arial"/>
                <w:sz w:val="18"/>
                <w:szCs w:val="18"/>
              </w:rPr>
            </w:pPr>
          </w:p>
        </w:tc>
        <w:tc>
          <w:tcPr>
            <w:tcW w:w="4572" w:type="dxa"/>
            <w:noWrap w:val="0"/>
            <w:vAlign w:val="center"/>
          </w:tcPr>
          <w:p w14:paraId="738BC3B0">
            <w:pPr>
              <w:rPr>
                <w:rFonts w:ascii="宋体" w:hAnsi="宋体" w:cs="Arial"/>
                <w:sz w:val="18"/>
                <w:szCs w:val="18"/>
              </w:rPr>
            </w:pPr>
          </w:p>
        </w:tc>
        <w:tc>
          <w:tcPr>
            <w:tcW w:w="899" w:type="dxa"/>
            <w:noWrap w:val="0"/>
            <w:vAlign w:val="center"/>
          </w:tcPr>
          <w:p w14:paraId="3E94AA15">
            <w:pPr>
              <w:jc w:val="center"/>
              <w:rPr>
                <w:rFonts w:ascii="宋体" w:hAnsi="宋体" w:cs="Arial"/>
                <w:sz w:val="18"/>
                <w:szCs w:val="18"/>
              </w:rPr>
            </w:pPr>
          </w:p>
        </w:tc>
        <w:tc>
          <w:tcPr>
            <w:tcW w:w="899" w:type="dxa"/>
            <w:noWrap w:val="0"/>
            <w:vAlign w:val="center"/>
          </w:tcPr>
          <w:p w14:paraId="3D0953E3">
            <w:pPr>
              <w:jc w:val="right"/>
              <w:rPr>
                <w:rFonts w:ascii="宋体" w:hAnsi="宋体" w:cs="Arial"/>
                <w:sz w:val="16"/>
                <w:szCs w:val="16"/>
              </w:rPr>
            </w:pPr>
          </w:p>
        </w:tc>
        <w:tc>
          <w:tcPr>
            <w:tcW w:w="1079" w:type="dxa"/>
            <w:noWrap w:val="0"/>
            <w:vAlign w:val="center"/>
          </w:tcPr>
          <w:p w14:paraId="17C42F40">
            <w:pPr>
              <w:widowControl/>
              <w:jc w:val="center"/>
              <w:rPr>
                <w:rFonts w:ascii="宋体" w:hAnsi="宋体" w:cs="宋体"/>
                <w:kern w:val="0"/>
                <w:szCs w:val="21"/>
              </w:rPr>
            </w:pPr>
          </w:p>
        </w:tc>
        <w:tc>
          <w:tcPr>
            <w:tcW w:w="1079" w:type="dxa"/>
            <w:noWrap w:val="0"/>
            <w:vAlign w:val="center"/>
          </w:tcPr>
          <w:p w14:paraId="48B7B3DD">
            <w:pPr>
              <w:widowControl/>
              <w:jc w:val="center"/>
              <w:rPr>
                <w:rFonts w:ascii="宋体" w:hAnsi="宋体" w:cs="宋体"/>
                <w:kern w:val="0"/>
                <w:szCs w:val="21"/>
              </w:rPr>
            </w:pPr>
          </w:p>
        </w:tc>
      </w:tr>
      <w:tr w14:paraId="7E3E39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23360918">
            <w:pPr>
              <w:jc w:val="center"/>
              <w:rPr>
                <w:rFonts w:ascii="宋体" w:hAnsi="宋体" w:cs="Arial"/>
                <w:sz w:val="18"/>
                <w:szCs w:val="18"/>
              </w:rPr>
            </w:pPr>
          </w:p>
        </w:tc>
        <w:tc>
          <w:tcPr>
            <w:tcW w:w="4572" w:type="dxa"/>
            <w:noWrap w:val="0"/>
            <w:vAlign w:val="center"/>
          </w:tcPr>
          <w:p w14:paraId="7CA80CBE">
            <w:pPr>
              <w:rPr>
                <w:rFonts w:ascii="宋体" w:hAnsi="宋体" w:cs="Arial"/>
                <w:sz w:val="18"/>
                <w:szCs w:val="18"/>
              </w:rPr>
            </w:pPr>
          </w:p>
        </w:tc>
        <w:tc>
          <w:tcPr>
            <w:tcW w:w="899" w:type="dxa"/>
            <w:noWrap w:val="0"/>
            <w:vAlign w:val="center"/>
          </w:tcPr>
          <w:p w14:paraId="65CDD3A3">
            <w:pPr>
              <w:jc w:val="center"/>
              <w:rPr>
                <w:rFonts w:ascii="宋体" w:hAnsi="宋体" w:cs="Arial"/>
                <w:sz w:val="18"/>
                <w:szCs w:val="18"/>
              </w:rPr>
            </w:pPr>
          </w:p>
        </w:tc>
        <w:tc>
          <w:tcPr>
            <w:tcW w:w="899" w:type="dxa"/>
            <w:noWrap w:val="0"/>
            <w:vAlign w:val="center"/>
          </w:tcPr>
          <w:p w14:paraId="49844E83">
            <w:pPr>
              <w:jc w:val="right"/>
              <w:rPr>
                <w:rFonts w:ascii="宋体" w:hAnsi="宋体" w:cs="Arial"/>
                <w:sz w:val="16"/>
                <w:szCs w:val="16"/>
              </w:rPr>
            </w:pPr>
          </w:p>
        </w:tc>
        <w:tc>
          <w:tcPr>
            <w:tcW w:w="1079" w:type="dxa"/>
            <w:noWrap w:val="0"/>
            <w:vAlign w:val="center"/>
          </w:tcPr>
          <w:p w14:paraId="3F2DB488">
            <w:pPr>
              <w:widowControl/>
              <w:jc w:val="center"/>
              <w:rPr>
                <w:rFonts w:ascii="宋体" w:hAnsi="宋体" w:cs="宋体"/>
                <w:kern w:val="0"/>
                <w:szCs w:val="21"/>
              </w:rPr>
            </w:pPr>
          </w:p>
        </w:tc>
        <w:tc>
          <w:tcPr>
            <w:tcW w:w="1079" w:type="dxa"/>
            <w:noWrap w:val="0"/>
            <w:vAlign w:val="center"/>
          </w:tcPr>
          <w:p w14:paraId="68C4D6D7">
            <w:pPr>
              <w:widowControl/>
              <w:jc w:val="center"/>
              <w:rPr>
                <w:rFonts w:ascii="宋体" w:hAnsi="宋体" w:cs="宋体"/>
                <w:kern w:val="0"/>
                <w:szCs w:val="21"/>
              </w:rPr>
            </w:pPr>
          </w:p>
        </w:tc>
      </w:tr>
      <w:tr w14:paraId="6A9AFC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01C46692">
            <w:pPr>
              <w:jc w:val="center"/>
              <w:rPr>
                <w:rFonts w:ascii="宋体" w:hAnsi="宋体" w:cs="Arial"/>
                <w:sz w:val="18"/>
                <w:szCs w:val="18"/>
              </w:rPr>
            </w:pPr>
          </w:p>
        </w:tc>
        <w:tc>
          <w:tcPr>
            <w:tcW w:w="4572" w:type="dxa"/>
            <w:noWrap w:val="0"/>
            <w:vAlign w:val="center"/>
          </w:tcPr>
          <w:p w14:paraId="4F48A2E4">
            <w:pPr>
              <w:rPr>
                <w:rFonts w:ascii="宋体" w:hAnsi="宋体" w:cs="Arial"/>
                <w:sz w:val="18"/>
                <w:szCs w:val="18"/>
              </w:rPr>
            </w:pPr>
          </w:p>
        </w:tc>
        <w:tc>
          <w:tcPr>
            <w:tcW w:w="899" w:type="dxa"/>
            <w:noWrap w:val="0"/>
            <w:vAlign w:val="center"/>
          </w:tcPr>
          <w:p w14:paraId="6AB16193">
            <w:pPr>
              <w:jc w:val="center"/>
              <w:rPr>
                <w:rFonts w:ascii="宋体" w:hAnsi="宋体" w:cs="Arial"/>
                <w:sz w:val="18"/>
                <w:szCs w:val="18"/>
              </w:rPr>
            </w:pPr>
          </w:p>
        </w:tc>
        <w:tc>
          <w:tcPr>
            <w:tcW w:w="899" w:type="dxa"/>
            <w:noWrap w:val="0"/>
            <w:vAlign w:val="center"/>
          </w:tcPr>
          <w:p w14:paraId="1A556B87">
            <w:pPr>
              <w:jc w:val="right"/>
              <w:rPr>
                <w:rFonts w:ascii="宋体" w:hAnsi="宋体" w:cs="Arial"/>
                <w:sz w:val="16"/>
                <w:szCs w:val="16"/>
              </w:rPr>
            </w:pPr>
          </w:p>
        </w:tc>
        <w:tc>
          <w:tcPr>
            <w:tcW w:w="1079" w:type="dxa"/>
            <w:noWrap w:val="0"/>
            <w:vAlign w:val="center"/>
          </w:tcPr>
          <w:p w14:paraId="70D56774">
            <w:pPr>
              <w:widowControl/>
              <w:jc w:val="center"/>
              <w:rPr>
                <w:rFonts w:ascii="宋体" w:hAnsi="宋体" w:cs="宋体"/>
                <w:kern w:val="0"/>
                <w:szCs w:val="21"/>
              </w:rPr>
            </w:pPr>
          </w:p>
        </w:tc>
        <w:tc>
          <w:tcPr>
            <w:tcW w:w="1079" w:type="dxa"/>
            <w:noWrap w:val="0"/>
            <w:vAlign w:val="center"/>
          </w:tcPr>
          <w:p w14:paraId="1FF99C39">
            <w:pPr>
              <w:widowControl/>
              <w:jc w:val="center"/>
              <w:rPr>
                <w:rFonts w:ascii="宋体" w:hAnsi="宋体" w:cs="宋体"/>
                <w:kern w:val="0"/>
                <w:szCs w:val="21"/>
              </w:rPr>
            </w:pPr>
          </w:p>
        </w:tc>
      </w:tr>
      <w:tr w14:paraId="125DF2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2AD1613D">
            <w:pPr>
              <w:jc w:val="center"/>
              <w:rPr>
                <w:rFonts w:ascii="宋体" w:hAnsi="宋体" w:cs="Arial"/>
                <w:sz w:val="18"/>
                <w:szCs w:val="18"/>
              </w:rPr>
            </w:pPr>
          </w:p>
        </w:tc>
        <w:tc>
          <w:tcPr>
            <w:tcW w:w="4572" w:type="dxa"/>
            <w:noWrap w:val="0"/>
            <w:vAlign w:val="center"/>
          </w:tcPr>
          <w:p w14:paraId="277F4DA7">
            <w:pPr>
              <w:rPr>
                <w:rFonts w:ascii="宋体" w:hAnsi="宋体" w:cs="Arial"/>
                <w:sz w:val="18"/>
                <w:szCs w:val="18"/>
              </w:rPr>
            </w:pPr>
          </w:p>
        </w:tc>
        <w:tc>
          <w:tcPr>
            <w:tcW w:w="899" w:type="dxa"/>
            <w:noWrap w:val="0"/>
            <w:vAlign w:val="center"/>
          </w:tcPr>
          <w:p w14:paraId="2DADC080">
            <w:pPr>
              <w:jc w:val="center"/>
              <w:rPr>
                <w:rFonts w:ascii="宋体" w:hAnsi="宋体" w:cs="Arial"/>
                <w:sz w:val="18"/>
                <w:szCs w:val="18"/>
              </w:rPr>
            </w:pPr>
          </w:p>
        </w:tc>
        <w:tc>
          <w:tcPr>
            <w:tcW w:w="899" w:type="dxa"/>
            <w:noWrap w:val="0"/>
            <w:vAlign w:val="center"/>
          </w:tcPr>
          <w:p w14:paraId="4079C677">
            <w:pPr>
              <w:jc w:val="right"/>
              <w:rPr>
                <w:rFonts w:ascii="宋体" w:hAnsi="宋体" w:cs="Arial"/>
                <w:sz w:val="16"/>
                <w:szCs w:val="16"/>
              </w:rPr>
            </w:pPr>
          </w:p>
        </w:tc>
        <w:tc>
          <w:tcPr>
            <w:tcW w:w="1079" w:type="dxa"/>
            <w:noWrap w:val="0"/>
            <w:vAlign w:val="center"/>
          </w:tcPr>
          <w:p w14:paraId="690C00E6">
            <w:pPr>
              <w:widowControl/>
              <w:jc w:val="center"/>
              <w:rPr>
                <w:rFonts w:ascii="宋体" w:hAnsi="宋体" w:cs="宋体"/>
                <w:kern w:val="0"/>
                <w:szCs w:val="21"/>
              </w:rPr>
            </w:pPr>
          </w:p>
        </w:tc>
        <w:tc>
          <w:tcPr>
            <w:tcW w:w="1079" w:type="dxa"/>
            <w:noWrap w:val="0"/>
            <w:vAlign w:val="center"/>
          </w:tcPr>
          <w:p w14:paraId="508E229C">
            <w:pPr>
              <w:widowControl/>
              <w:jc w:val="center"/>
              <w:rPr>
                <w:rFonts w:ascii="宋体" w:hAnsi="宋体" w:cs="宋体"/>
                <w:kern w:val="0"/>
                <w:szCs w:val="21"/>
              </w:rPr>
            </w:pPr>
          </w:p>
        </w:tc>
      </w:tr>
      <w:tr w14:paraId="149650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154F1875">
            <w:pPr>
              <w:jc w:val="center"/>
              <w:rPr>
                <w:rFonts w:ascii="宋体" w:hAnsi="宋体" w:cs="Arial"/>
                <w:sz w:val="18"/>
                <w:szCs w:val="18"/>
              </w:rPr>
            </w:pPr>
          </w:p>
        </w:tc>
        <w:tc>
          <w:tcPr>
            <w:tcW w:w="4572" w:type="dxa"/>
            <w:noWrap w:val="0"/>
            <w:vAlign w:val="center"/>
          </w:tcPr>
          <w:p w14:paraId="37DB77C3">
            <w:pPr>
              <w:rPr>
                <w:rFonts w:ascii="宋体" w:hAnsi="宋体" w:cs="Arial"/>
                <w:sz w:val="18"/>
                <w:szCs w:val="18"/>
              </w:rPr>
            </w:pPr>
          </w:p>
        </w:tc>
        <w:tc>
          <w:tcPr>
            <w:tcW w:w="899" w:type="dxa"/>
            <w:noWrap w:val="0"/>
            <w:vAlign w:val="center"/>
          </w:tcPr>
          <w:p w14:paraId="4ECC42BD">
            <w:pPr>
              <w:jc w:val="center"/>
              <w:rPr>
                <w:rFonts w:ascii="宋体" w:hAnsi="宋体" w:cs="Arial"/>
                <w:sz w:val="18"/>
                <w:szCs w:val="18"/>
              </w:rPr>
            </w:pPr>
          </w:p>
        </w:tc>
        <w:tc>
          <w:tcPr>
            <w:tcW w:w="899" w:type="dxa"/>
            <w:noWrap w:val="0"/>
            <w:vAlign w:val="center"/>
          </w:tcPr>
          <w:p w14:paraId="09B117FF">
            <w:pPr>
              <w:jc w:val="right"/>
              <w:rPr>
                <w:rFonts w:ascii="宋体" w:hAnsi="宋体" w:cs="Arial"/>
                <w:sz w:val="16"/>
                <w:szCs w:val="16"/>
              </w:rPr>
            </w:pPr>
          </w:p>
        </w:tc>
        <w:tc>
          <w:tcPr>
            <w:tcW w:w="1079" w:type="dxa"/>
            <w:noWrap w:val="0"/>
            <w:vAlign w:val="center"/>
          </w:tcPr>
          <w:p w14:paraId="747335CD">
            <w:pPr>
              <w:widowControl/>
              <w:jc w:val="center"/>
              <w:rPr>
                <w:rFonts w:ascii="宋体" w:hAnsi="宋体" w:cs="宋体"/>
                <w:kern w:val="0"/>
                <w:szCs w:val="21"/>
              </w:rPr>
            </w:pPr>
          </w:p>
        </w:tc>
        <w:tc>
          <w:tcPr>
            <w:tcW w:w="1079" w:type="dxa"/>
            <w:noWrap w:val="0"/>
            <w:vAlign w:val="center"/>
          </w:tcPr>
          <w:p w14:paraId="5894F30D">
            <w:pPr>
              <w:widowControl/>
              <w:jc w:val="center"/>
              <w:rPr>
                <w:rFonts w:ascii="宋体" w:hAnsi="宋体" w:cs="宋体"/>
                <w:kern w:val="0"/>
                <w:szCs w:val="21"/>
              </w:rPr>
            </w:pPr>
          </w:p>
        </w:tc>
      </w:tr>
      <w:tr w14:paraId="6E6B42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0343109E">
            <w:pPr>
              <w:jc w:val="center"/>
              <w:rPr>
                <w:rFonts w:ascii="宋体" w:hAnsi="宋体" w:cs="Arial"/>
                <w:sz w:val="18"/>
                <w:szCs w:val="18"/>
              </w:rPr>
            </w:pPr>
          </w:p>
        </w:tc>
        <w:tc>
          <w:tcPr>
            <w:tcW w:w="4572" w:type="dxa"/>
            <w:noWrap w:val="0"/>
            <w:vAlign w:val="center"/>
          </w:tcPr>
          <w:p w14:paraId="439D5F70">
            <w:pPr>
              <w:rPr>
                <w:rFonts w:ascii="宋体" w:hAnsi="宋体" w:cs="Arial"/>
                <w:sz w:val="18"/>
                <w:szCs w:val="18"/>
              </w:rPr>
            </w:pPr>
          </w:p>
        </w:tc>
        <w:tc>
          <w:tcPr>
            <w:tcW w:w="899" w:type="dxa"/>
            <w:noWrap w:val="0"/>
            <w:vAlign w:val="center"/>
          </w:tcPr>
          <w:p w14:paraId="526517C9">
            <w:pPr>
              <w:jc w:val="center"/>
              <w:rPr>
                <w:rFonts w:ascii="宋体" w:hAnsi="宋体" w:cs="Arial"/>
                <w:sz w:val="18"/>
                <w:szCs w:val="18"/>
              </w:rPr>
            </w:pPr>
          </w:p>
        </w:tc>
        <w:tc>
          <w:tcPr>
            <w:tcW w:w="899" w:type="dxa"/>
            <w:noWrap w:val="0"/>
            <w:vAlign w:val="center"/>
          </w:tcPr>
          <w:p w14:paraId="114992D2">
            <w:pPr>
              <w:jc w:val="right"/>
              <w:rPr>
                <w:rFonts w:ascii="宋体" w:hAnsi="宋体" w:cs="Arial"/>
                <w:sz w:val="16"/>
                <w:szCs w:val="16"/>
              </w:rPr>
            </w:pPr>
          </w:p>
        </w:tc>
        <w:tc>
          <w:tcPr>
            <w:tcW w:w="1079" w:type="dxa"/>
            <w:noWrap w:val="0"/>
            <w:vAlign w:val="center"/>
          </w:tcPr>
          <w:p w14:paraId="16B54CA2">
            <w:pPr>
              <w:widowControl/>
              <w:jc w:val="center"/>
              <w:rPr>
                <w:rFonts w:ascii="宋体" w:hAnsi="宋体" w:cs="宋体"/>
                <w:kern w:val="0"/>
                <w:szCs w:val="21"/>
              </w:rPr>
            </w:pPr>
          </w:p>
        </w:tc>
        <w:tc>
          <w:tcPr>
            <w:tcW w:w="1079" w:type="dxa"/>
            <w:noWrap w:val="0"/>
            <w:vAlign w:val="center"/>
          </w:tcPr>
          <w:p w14:paraId="3ECC5559">
            <w:pPr>
              <w:widowControl/>
              <w:jc w:val="center"/>
              <w:rPr>
                <w:rFonts w:ascii="宋体" w:hAnsi="宋体" w:cs="宋体"/>
                <w:kern w:val="0"/>
                <w:szCs w:val="21"/>
              </w:rPr>
            </w:pPr>
          </w:p>
        </w:tc>
      </w:tr>
      <w:tr w14:paraId="4E2B92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59988721">
            <w:pPr>
              <w:jc w:val="center"/>
              <w:rPr>
                <w:rFonts w:ascii="宋体" w:hAnsi="宋体" w:cs="Arial"/>
                <w:sz w:val="18"/>
                <w:szCs w:val="18"/>
              </w:rPr>
            </w:pPr>
          </w:p>
        </w:tc>
        <w:tc>
          <w:tcPr>
            <w:tcW w:w="4572" w:type="dxa"/>
            <w:noWrap w:val="0"/>
            <w:vAlign w:val="center"/>
          </w:tcPr>
          <w:p w14:paraId="6FCABC94">
            <w:pPr>
              <w:rPr>
                <w:rFonts w:ascii="宋体" w:hAnsi="宋体" w:cs="Arial"/>
                <w:sz w:val="18"/>
                <w:szCs w:val="18"/>
              </w:rPr>
            </w:pPr>
          </w:p>
        </w:tc>
        <w:tc>
          <w:tcPr>
            <w:tcW w:w="899" w:type="dxa"/>
            <w:noWrap w:val="0"/>
            <w:vAlign w:val="center"/>
          </w:tcPr>
          <w:p w14:paraId="16F6E081">
            <w:pPr>
              <w:jc w:val="center"/>
              <w:rPr>
                <w:rFonts w:ascii="宋体" w:hAnsi="宋体" w:cs="Arial"/>
                <w:sz w:val="18"/>
                <w:szCs w:val="18"/>
              </w:rPr>
            </w:pPr>
          </w:p>
        </w:tc>
        <w:tc>
          <w:tcPr>
            <w:tcW w:w="899" w:type="dxa"/>
            <w:noWrap w:val="0"/>
            <w:vAlign w:val="center"/>
          </w:tcPr>
          <w:p w14:paraId="57002A2A">
            <w:pPr>
              <w:jc w:val="right"/>
              <w:rPr>
                <w:rFonts w:ascii="宋体" w:hAnsi="宋体" w:cs="Arial"/>
                <w:sz w:val="16"/>
                <w:szCs w:val="16"/>
              </w:rPr>
            </w:pPr>
          </w:p>
        </w:tc>
        <w:tc>
          <w:tcPr>
            <w:tcW w:w="1079" w:type="dxa"/>
            <w:noWrap w:val="0"/>
            <w:vAlign w:val="center"/>
          </w:tcPr>
          <w:p w14:paraId="4ADC5B2F">
            <w:pPr>
              <w:widowControl/>
              <w:jc w:val="center"/>
              <w:rPr>
                <w:rFonts w:ascii="宋体" w:hAnsi="宋体" w:cs="宋体"/>
                <w:kern w:val="0"/>
                <w:szCs w:val="21"/>
              </w:rPr>
            </w:pPr>
          </w:p>
        </w:tc>
        <w:tc>
          <w:tcPr>
            <w:tcW w:w="1079" w:type="dxa"/>
            <w:noWrap w:val="0"/>
            <w:vAlign w:val="center"/>
          </w:tcPr>
          <w:p w14:paraId="06C8D3C8">
            <w:pPr>
              <w:widowControl/>
              <w:jc w:val="center"/>
              <w:rPr>
                <w:rFonts w:ascii="宋体" w:hAnsi="宋体" w:cs="宋体"/>
                <w:kern w:val="0"/>
                <w:szCs w:val="21"/>
              </w:rPr>
            </w:pPr>
          </w:p>
        </w:tc>
      </w:tr>
      <w:tr w14:paraId="14348F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1458661F">
            <w:pPr>
              <w:jc w:val="center"/>
              <w:rPr>
                <w:rFonts w:ascii="宋体" w:hAnsi="宋体" w:cs="Arial"/>
                <w:sz w:val="18"/>
                <w:szCs w:val="18"/>
              </w:rPr>
            </w:pPr>
          </w:p>
        </w:tc>
        <w:tc>
          <w:tcPr>
            <w:tcW w:w="4572" w:type="dxa"/>
            <w:noWrap w:val="0"/>
            <w:vAlign w:val="center"/>
          </w:tcPr>
          <w:p w14:paraId="195D38A6">
            <w:pPr>
              <w:rPr>
                <w:rFonts w:ascii="宋体" w:hAnsi="宋体" w:cs="Arial"/>
                <w:sz w:val="18"/>
                <w:szCs w:val="18"/>
              </w:rPr>
            </w:pPr>
          </w:p>
        </w:tc>
        <w:tc>
          <w:tcPr>
            <w:tcW w:w="899" w:type="dxa"/>
            <w:noWrap w:val="0"/>
            <w:vAlign w:val="center"/>
          </w:tcPr>
          <w:p w14:paraId="13408EFC">
            <w:pPr>
              <w:jc w:val="center"/>
              <w:rPr>
                <w:rFonts w:ascii="宋体" w:hAnsi="宋体" w:cs="Arial"/>
                <w:sz w:val="18"/>
                <w:szCs w:val="18"/>
              </w:rPr>
            </w:pPr>
          </w:p>
        </w:tc>
        <w:tc>
          <w:tcPr>
            <w:tcW w:w="899" w:type="dxa"/>
            <w:noWrap w:val="0"/>
            <w:vAlign w:val="center"/>
          </w:tcPr>
          <w:p w14:paraId="36AE4AD1">
            <w:pPr>
              <w:jc w:val="right"/>
              <w:rPr>
                <w:rFonts w:ascii="宋体" w:hAnsi="宋体" w:cs="Arial"/>
                <w:sz w:val="16"/>
                <w:szCs w:val="16"/>
              </w:rPr>
            </w:pPr>
          </w:p>
        </w:tc>
        <w:tc>
          <w:tcPr>
            <w:tcW w:w="1079" w:type="dxa"/>
            <w:noWrap w:val="0"/>
            <w:vAlign w:val="center"/>
          </w:tcPr>
          <w:p w14:paraId="7C7362A2">
            <w:pPr>
              <w:widowControl/>
              <w:jc w:val="center"/>
              <w:rPr>
                <w:rFonts w:ascii="宋体" w:hAnsi="宋体" w:cs="宋体"/>
                <w:kern w:val="0"/>
                <w:szCs w:val="21"/>
              </w:rPr>
            </w:pPr>
          </w:p>
        </w:tc>
        <w:tc>
          <w:tcPr>
            <w:tcW w:w="1079" w:type="dxa"/>
            <w:noWrap w:val="0"/>
            <w:vAlign w:val="center"/>
          </w:tcPr>
          <w:p w14:paraId="7F4062B9">
            <w:pPr>
              <w:widowControl/>
              <w:jc w:val="center"/>
              <w:rPr>
                <w:rFonts w:ascii="宋体" w:hAnsi="宋体" w:cs="宋体"/>
                <w:kern w:val="0"/>
                <w:szCs w:val="21"/>
              </w:rPr>
            </w:pPr>
          </w:p>
        </w:tc>
      </w:tr>
      <w:tr w14:paraId="297D0A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689E3A18">
            <w:pPr>
              <w:jc w:val="center"/>
              <w:rPr>
                <w:rFonts w:ascii="宋体" w:hAnsi="宋体" w:cs="Arial"/>
                <w:sz w:val="18"/>
                <w:szCs w:val="18"/>
              </w:rPr>
            </w:pPr>
          </w:p>
        </w:tc>
        <w:tc>
          <w:tcPr>
            <w:tcW w:w="4572" w:type="dxa"/>
            <w:noWrap w:val="0"/>
            <w:vAlign w:val="center"/>
          </w:tcPr>
          <w:p w14:paraId="7BCA793A">
            <w:pPr>
              <w:rPr>
                <w:rFonts w:ascii="宋体" w:hAnsi="宋体" w:cs="Arial"/>
                <w:sz w:val="18"/>
                <w:szCs w:val="18"/>
              </w:rPr>
            </w:pPr>
          </w:p>
        </w:tc>
        <w:tc>
          <w:tcPr>
            <w:tcW w:w="899" w:type="dxa"/>
            <w:noWrap w:val="0"/>
            <w:vAlign w:val="center"/>
          </w:tcPr>
          <w:p w14:paraId="6369C252">
            <w:pPr>
              <w:jc w:val="center"/>
              <w:rPr>
                <w:rFonts w:ascii="宋体" w:hAnsi="宋体" w:cs="Arial"/>
                <w:sz w:val="18"/>
                <w:szCs w:val="18"/>
              </w:rPr>
            </w:pPr>
          </w:p>
        </w:tc>
        <w:tc>
          <w:tcPr>
            <w:tcW w:w="899" w:type="dxa"/>
            <w:noWrap w:val="0"/>
            <w:vAlign w:val="center"/>
          </w:tcPr>
          <w:p w14:paraId="2670A003">
            <w:pPr>
              <w:jc w:val="right"/>
              <w:rPr>
                <w:rFonts w:ascii="宋体" w:hAnsi="宋体" w:cs="Arial"/>
                <w:sz w:val="16"/>
                <w:szCs w:val="16"/>
              </w:rPr>
            </w:pPr>
          </w:p>
        </w:tc>
        <w:tc>
          <w:tcPr>
            <w:tcW w:w="1079" w:type="dxa"/>
            <w:noWrap w:val="0"/>
            <w:vAlign w:val="center"/>
          </w:tcPr>
          <w:p w14:paraId="4ED6B583">
            <w:pPr>
              <w:widowControl/>
              <w:jc w:val="center"/>
              <w:rPr>
                <w:rFonts w:ascii="宋体" w:hAnsi="宋体" w:cs="宋体"/>
                <w:kern w:val="0"/>
                <w:szCs w:val="21"/>
              </w:rPr>
            </w:pPr>
          </w:p>
        </w:tc>
        <w:tc>
          <w:tcPr>
            <w:tcW w:w="1079" w:type="dxa"/>
            <w:noWrap w:val="0"/>
            <w:vAlign w:val="center"/>
          </w:tcPr>
          <w:p w14:paraId="0858276E">
            <w:pPr>
              <w:widowControl/>
              <w:jc w:val="center"/>
              <w:rPr>
                <w:rFonts w:ascii="宋体" w:hAnsi="宋体" w:cs="宋体"/>
                <w:kern w:val="0"/>
                <w:szCs w:val="21"/>
              </w:rPr>
            </w:pPr>
          </w:p>
        </w:tc>
      </w:tr>
      <w:tr w14:paraId="348D46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68" w:type="dxa"/>
            <w:gridSpan w:val="6"/>
            <w:noWrap w:val="0"/>
            <w:vAlign w:val="center"/>
          </w:tcPr>
          <w:p w14:paraId="5BBD5D65">
            <w:pPr>
              <w:widowControl/>
              <w:jc w:val="center"/>
              <w:rPr>
                <w:rFonts w:ascii="宋体" w:hAnsi="宋体" w:cs="宋体"/>
                <w:b/>
                <w:kern w:val="0"/>
                <w:szCs w:val="21"/>
              </w:rPr>
            </w:pPr>
            <w:r>
              <w:rPr>
                <w:rFonts w:hint="eastAsia" w:ascii="宋体" w:hAnsi="宋体" w:cs="宋体"/>
                <w:b/>
                <w:kern w:val="0"/>
                <w:szCs w:val="21"/>
              </w:rPr>
              <w:t>清单200章合计   人民币</w:t>
            </w:r>
            <w:r>
              <w:rPr>
                <w:rFonts w:hint="eastAsia" w:ascii="宋体" w:hAnsi="宋体" w:cs="宋体"/>
                <w:b/>
                <w:kern w:val="0"/>
                <w:szCs w:val="21"/>
                <w:u w:val="single"/>
              </w:rPr>
              <w:t xml:space="preserve">       </w:t>
            </w:r>
            <w:r>
              <w:rPr>
                <w:rFonts w:hint="eastAsia" w:ascii="宋体" w:hAnsi="宋体" w:cs="宋体"/>
                <w:b/>
                <w:kern w:val="0"/>
                <w:szCs w:val="21"/>
              </w:rPr>
              <w:t>元</w:t>
            </w:r>
          </w:p>
        </w:tc>
      </w:tr>
    </w:tbl>
    <w:p w14:paraId="6C763CA0">
      <w:pPr>
        <w:spacing w:before="240" w:beforeLines="100" w:after="240" w:afterLines="100"/>
        <w:jc w:val="center"/>
        <w:rPr>
          <w:rFonts w:hint="eastAsia" w:ascii="黑体" w:hAnsi="宋体" w:eastAsia="黑体"/>
          <w:sz w:val="30"/>
          <w:szCs w:val="30"/>
        </w:rPr>
      </w:pPr>
    </w:p>
    <w:p w14:paraId="3803C147">
      <w:pPr>
        <w:spacing w:before="240" w:beforeLines="100" w:after="240" w:afterLines="100"/>
        <w:jc w:val="center"/>
        <w:rPr>
          <w:rFonts w:hint="eastAsia" w:ascii="黑体" w:hAnsi="宋体" w:eastAsia="黑体"/>
          <w:sz w:val="30"/>
          <w:szCs w:val="30"/>
        </w:rPr>
      </w:pPr>
      <w:r>
        <w:rPr>
          <w:rFonts w:ascii="黑体" w:hAnsi="宋体" w:eastAsia="黑体"/>
          <w:sz w:val="30"/>
          <w:szCs w:val="30"/>
        </w:rPr>
        <w:br w:type="page"/>
      </w:r>
      <w:r>
        <w:rPr>
          <w:rFonts w:hint="eastAsia" w:ascii="黑体" w:hAnsi="宋体" w:eastAsia="黑体"/>
          <w:sz w:val="30"/>
          <w:szCs w:val="30"/>
        </w:rPr>
        <w:t>工程量清单</w:t>
      </w:r>
    </w:p>
    <w:p w14:paraId="5A8EC1FC">
      <w:pPr>
        <w:pStyle w:val="50"/>
        <w:ind w:left="0" w:leftChars="0" w:firstLine="0" w:firstLine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标项</w:t>
      </w:r>
      <w:r>
        <w:rPr>
          <w:rFonts w:hint="eastAsia" w:asciiTheme="minorEastAsia" w:hAnsiTheme="minorEastAsia" w:cstheme="minorEastAsia"/>
          <w:sz w:val="24"/>
          <w:szCs w:val="24"/>
          <w:lang w:val="en-US" w:eastAsia="zh-CN"/>
        </w:rPr>
        <w:t>2</w:t>
      </w:r>
      <w:r>
        <w:rPr>
          <w:rFonts w:hint="eastAsia" w:asciiTheme="minorEastAsia" w:hAnsiTheme="minorEastAsia" w:eastAsiaTheme="minorEastAsia" w:cstheme="minorEastAsia"/>
          <w:sz w:val="24"/>
          <w:szCs w:val="24"/>
        </w:rPr>
        <w:t>：</w:t>
      </w:r>
      <w:r>
        <w:rPr>
          <w:rFonts w:hint="eastAsia" w:asciiTheme="minorEastAsia" w:hAnsiTheme="minorEastAsia" w:cstheme="minorEastAsia"/>
          <w:sz w:val="24"/>
          <w:szCs w:val="24"/>
          <w:lang w:eastAsia="zh-CN"/>
        </w:rPr>
        <w:t>2026年秀洲区县道及以上公路小修及应急抢险项目</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第</w:t>
      </w:r>
      <w:r>
        <w:rPr>
          <w:rFonts w:hint="eastAsia" w:asciiTheme="minorEastAsia" w:hAnsiTheme="minorEastAsia" w:cstheme="minorEastAsia"/>
          <w:sz w:val="24"/>
          <w:szCs w:val="24"/>
          <w:lang w:val="en-US" w:eastAsia="zh-CN"/>
        </w:rPr>
        <w:t>二</w:t>
      </w:r>
      <w:r>
        <w:rPr>
          <w:rFonts w:hint="eastAsia" w:asciiTheme="minorEastAsia" w:hAnsiTheme="minorEastAsia" w:eastAsiaTheme="minorEastAsia" w:cstheme="minorEastAsia"/>
          <w:sz w:val="24"/>
          <w:szCs w:val="24"/>
          <w:lang w:eastAsia="zh-CN"/>
        </w:rPr>
        <w:t>标段）</w:t>
      </w:r>
    </w:p>
    <w:p w14:paraId="10AE01EB">
      <w:pPr>
        <w:pStyle w:val="50"/>
        <w:ind w:left="0" w:leftChars="0" w:firstLine="0" w:firstLineChars="0"/>
        <w:rPr>
          <w:rFonts w:hint="eastAsia"/>
        </w:rPr>
      </w:pPr>
      <w:r>
        <w:rPr>
          <w:rFonts w:hint="eastAsia" w:asciiTheme="minorEastAsia" w:hAnsiTheme="minorEastAsia" w:eastAsiaTheme="minorEastAsia" w:cstheme="minorEastAsia"/>
          <w:sz w:val="24"/>
          <w:szCs w:val="24"/>
        </w:rPr>
        <w:t>货币单位：人民币元</w:t>
      </w:r>
      <w:r>
        <w:tab/>
      </w:r>
    </w:p>
    <w:tbl>
      <w:tblPr>
        <w:tblStyle w:val="51"/>
        <w:tblW w:w="946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40"/>
        <w:gridCol w:w="4572"/>
        <w:gridCol w:w="899"/>
        <w:gridCol w:w="899"/>
        <w:gridCol w:w="1079"/>
        <w:gridCol w:w="1079"/>
      </w:tblGrid>
      <w:tr w14:paraId="73B129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68" w:type="dxa"/>
            <w:gridSpan w:val="6"/>
            <w:noWrap w:val="0"/>
            <w:vAlign w:val="center"/>
          </w:tcPr>
          <w:p w14:paraId="72434D6A">
            <w:pPr>
              <w:ind w:firstLine="103" w:firstLineChars="49"/>
              <w:jc w:val="center"/>
              <w:rPr>
                <w:rFonts w:ascii="宋体" w:hAnsi="宋体"/>
                <w:b/>
                <w:bCs/>
              </w:rPr>
            </w:pPr>
            <w:r>
              <w:rPr>
                <w:rFonts w:hint="eastAsia" w:ascii="宋体" w:hAnsi="宋体"/>
                <w:b/>
                <w:bCs/>
              </w:rPr>
              <w:t>清单      第300章      路  面</w:t>
            </w:r>
          </w:p>
        </w:tc>
      </w:tr>
      <w:tr w14:paraId="7E978E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0FB803A0">
            <w:pPr>
              <w:widowControl/>
              <w:jc w:val="left"/>
              <w:rPr>
                <w:rFonts w:ascii="宋体" w:hAnsi="宋体" w:cs="宋体"/>
                <w:kern w:val="0"/>
                <w:szCs w:val="21"/>
              </w:rPr>
            </w:pPr>
            <w:r>
              <w:rPr>
                <w:rFonts w:hint="eastAsia" w:ascii="宋体" w:hAnsi="宋体" w:cs="宋体"/>
                <w:kern w:val="0"/>
                <w:szCs w:val="21"/>
              </w:rPr>
              <w:t>子目号</w:t>
            </w:r>
          </w:p>
        </w:tc>
        <w:tc>
          <w:tcPr>
            <w:tcW w:w="4572" w:type="dxa"/>
            <w:noWrap w:val="0"/>
            <w:vAlign w:val="center"/>
          </w:tcPr>
          <w:p w14:paraId="18AECA47">
            <w:pPr>
              <w:widowControl/>
              <w:jc w:val="center"/>
              <w:rPr>
                <w:rFonts w:ascii="宋体" w:hAnsi="宋体" w:cs="宋体"/>
                <w:kern w:val="0"/>
                <w:szCs w:val="21"/>
              </w:rPr>
            </w:pPr>
            <w:r>
              <w:rPr>
                <w:rFonts w:hint="eastAsia" w:ascii="宋体" w:hAnsi="宋体" w:cs="宋体"/>
                <w:kern w:val="0"/>
                <w:szCs w:val="21"/>
              </w:rPr>
              <w:t>子  目  名  称</w:t>
            </w:r>
          </w:p>
        </w:tc>
        <w:tc>
          <w:tcPr>
            <w:tcW w:w="899" w:type="dxa"/>
            <w:noWrap w:val="0"/>
            <w:vAlign w:val="center"/>
          </w:tcPr>
          <w:p w14:paraId="40F1A929">
            <w:pPr>
              <w:widowControl/>
              <w:jc w:val="center"/>
              <w:rPr>
                <w:rFonts w:ascii="宋体" w:hAnsi="宋体" w:cs="宋体"/>
                <w:kern w:val="0"/>
                <w:szCs w:val="21"/>
              </w:rPr>
            </w:pPr>
            <w:r>
              <w:rPr>
                <w:rFonts w:hint="eastAsia" w:ascii="宋体" w:hAnsi="宋体" w:cs="宋体"/>
                <w:kern w:val="0"/>
                <w:szCs w:val="21"/>
              </w:rPr>
              <w:t>单位</w:t>
            </w:r>
          </w:p>
        </w:tc>
        <w:tc>
          <w:tcPr>
            <w:tcW w:w="899" w:type="dxa"/>
            <w:noWrap w:val="0"/>
            <w:vAlign w:val="center"/>
          </w:tcPr>
          <w:p w14:paraId="44F6E256">
            <w:pPr>
              <w:widowControl/>
              <w:jc w:val="center"/>
              <w:rPr>
                <w:rFonts w:ascii="宋体" w:hAnsi="宋体" w:cs="宋体"/>
                <w:kern w:val="0"/>
                <w:szCs w:val="21"/>
              </w:rPr>
            </w:pPr>
            <w:r>
              <w:rPr>
                <w:rFonts w:hint="eastAsia" w:ascii="宋体" w:hAnsi="宋体" w:cs="宋体"/>
                <w:kern w:val="0"/>
                <w:szCs w:val="21"/>
              </w:rPr>
              <w:t>数量</w:t>
            </w:r>
          </w:p>
        </w:tc>
        <w:tc>
          <w:tcPr>
            <w:tcW w:w="1079" w:type="dxa"/>
            <w:noWrap w:val="0"/>
            <w:vAlign w:val="center"/>
          </w:tcPr>
          <w:p w14:paraId="24936E1C">
            <w:pPr>
              <w:widowControl/>
              <w:jc w:val="center"/>
              <w:rPr>
                <w:rFonts w:ascii="宋体" w:hAnsi="宋体" w:cs="宋体"/>
                <w:kern w:val="0"/>
                <w:szCs w:val="21"/>
              </w:rPr>
            </w:pPr>
            <w:r>
              <w:rPr>
                <w:rFonts w:hint="eastAsia" w:ascii="宋体" w:hAnsi="宋体" w:cs="宋体"/>
                <w:kern w:val="0"/>
                <w:szCs w:val="21"/>
              </w:rPr>
              <w:t>单价</w:t>
            </w:r>
          </w:p>
        </w:tc>
        <w:tc>
          <w:tcPr>
            <w:tcW w:w="1079" w:type="dxa"/>
            <w:noWrap w:val="0"/>
            <w:vAlign w:val="center"/>
          </w:tcPr>
          <w:p w14:paraId="698492DB">
            <w:pPr>
              <w:widowControl/>
              <w:jc w:val="center"/>
              <w:rPr>
                <w:rFonts w:ascii="宋体" w:hAnsi="宋体" w:cs="宋体"/>
                <w:kern w:val="0"/>
                <w:szCs w:val="21"/>
              </w:rPr>
            </w:pPr>
            <w:r>
              <w:rPr>
                <w:rFonts w:hint="eastAsia" w:ascii="宋体" w:hAnsi="宋体" w:cs="宋体"/>
                <w:kern w:val="0"/>
                <w:szCs w:val="21"/>
              </w:rPr>
              <w:t>合价</w:t>
            </w:r>
          </w:p>
        </w:tc>
      </w:tr>
      <w:tr w14:paraId="4953D5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6AF5B6CD">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302</w:t>
            </w:r>
          </w:p>
        </w:tc>
        <w:tc>
          <w:tcPr>
            <w:tcW w:w="4572" w:type="dxa"/>
            <w:noWrap w:val="0"/>
            <w:vAlign w:val="center"/>
          </w:tcPr>
          <w:p w14:paraId="2C7802DA">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维修</w:t>
            </w:r>
          </w:p>
        </w:tc>
        <w:tc>
          <w:tcPr>
            <w:tcW w:w="899" w:type="dxa"/>
            <w:noWrap w:val="0"/>
            <w:vAlign w:val="center"/>
          </w:tcPr>
          <w:p w14:paraId="55CB1729">
            <w:pPr>
              <w:jc w:val="center"/>
              <w:rPr>
                <w:rFonts w:hint="eastAsia" w:ascii="宋体" w:hAnsi="宋体" w:cs="宋体"/>
                <w:kern w:val="0"/>
                <w:sz w:val="21"/>
                <w:szCs w:val="21"/>
              </w:rPr>
            </w:pPr>
          </w:p>
        </w:tc>
        <w:tc>
          <w:tcPr>
            <w:tcW w:w="899" w:type="dxa"/>
            <w:noWrap w:val="0"/>
            <w:vAlign w:val="center"/>
          </w:tcPr>
          <w:p w14:paraId="13C936BC">
            <w:pPr>
              <w:jc w:val="right"/>
              <w:rPr>
                <w:rFonts w:hint="eastAsia" w:ascii="宋体" w:hAnsi="宋体" w:cs="宋体"/>
                <w:kern w:val="0"/>
                <w:sz w:val="21"/>
                <w:szCs w:val="21"/>
              </w:rPr>
            </w:pPr>
          </w:p>
        </w:tc>
        <w:tc>
          <w:tcPr>
            <w:tcW w:w="1079" w:type="dxa"/>
            <w:noWrap w:val="0"/>
            <w:vAlign w:val="center"/>
          </w:tcPr>
          <w:p w14:paraId="029517F5">
            <w:pPr>
              <w:widowControl/>
              <w:jc w:val="center"/>
              <w:rPr>
                <w:rFonts w:hint="eastAsia" w:ascii="宋体" w:hAnsi="宋体" w:cs="宋体"/>
                <w:kern w:val="0"/>
                <w:szCs w:val="21"/>
              </w:rPr>
            </w:pPr>
          </w:p>
        </w:tc>
        <w:tc>
          <w:tcPr>
            <w:tcW w:w="1079" w:type="dxa"/>
            <w:noWrap w:val="0"/>
            <w:vAlign w:val="center"/>
          </w:tcPr>
          <w:p w14:paraId="008CA59C">
            <w:pPr>
              <w:widowControl/>
              <w:jc w:val="center"/>
              <w:rPr>
                <w:rFonts w:hint="eastAsia" w:ascii="宋体" w:hAnsi="宋体" w:cs="宋体"/>
                <w:kern w:val="0"/>
                <w:szCs w:val="21"/>
              </w:rPr>
            </w:pPr>
          </w:p>
        </w:tc>
      </w:tr>
      <w:tr w14:paraId="28B491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57C9720F">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302-1</w:t>
            </w:r>
          </w:p>
        </w:tc>
        <w:tc>
          <w:tcPr>
            <w:tcW w:w="4572" w:type="dxa"/>
            <w:noWrap w:val="0"/>
            <w:vAlign w:val="center"/>
          </w:tcPr>
          <w:p w14:paraId="3EDD972A">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破板修复</w:t>
            </w:r>
          </w:p>
        </w:tc>
        <w:tc>
          <w:tcPr>
            <w:tcW w:w="899" w:type="dxa"/>
            <w:noWrap w:val="0"/>
            <w:vAlign w:val="center"/>
          </w:tcPr>
          <w:p w14:paraId="0091E78F">
            <w:pPr>
              <w:jc w:val="center"/>
              <w:rPr>
                <w:rFonts w:hint="eastAsia" w:ascii="宋体" w:hAnsi="宋体" w:cs="宋体"/>
                <w:kern w:val="0"/>
                <w:sz w:val="21"/>
                <w:szCs w:val="21"/>
              </w:rPr>
            </w:pPr>
          </w:p>
        </w:tc>
        <w:tc>
          <w:tcPr>
            <w:tcW w:w="899" w:type="dxa"/>
            <w:noWrap w:val="0"/>
            <w:vAlign w:val="center"/>
          </w:tcPr>
          <w:p w14:paraId="415E5F8F">
            <w:pPr>
              <w:jc w:val="right"/>
              <w:rPr>
                <w:rFonts w:hint="eastAsia" w:ascii="宋体" w:hAnsi="宋体" w:cs="宋体"/>
                <w:kern w:val="0"/>
                <w:sz w:val="21"/>
                <w:szCs w:val="21"/>
              </w:rPr>
            </w:pPr>
          </w:p>
        </w:tc>
        <w:tc>
          <w:tcPr>
            <w:tcW w:w="1079" w:type="dxa"/>
            <w:noWrap w:val="0"/>
            <w:vAlign w:val="center"/>
          </w:tcPr>
          <w:p w14:paraId="3A25C046">
            <w:pPr>
              <w:widowControl/>
              <w:jc w:val="center"/>
              <w:rPr>
                <w:rFonts w:hint="eastAsia" w:ascii="宋体" w:hAnsi="宋体" w:cs="宋体"/>
                <w:kern w:val="0"/>
                <w:szCs w:val="21"/>
              </w:rPr>
            </w:pPr>
          </w:p>
        </w:tc>
        <w:tc>
          <w:tcPr>
            <w:tcW w:w="1079" w:type="dxa"/>
            <w:noWrap w:val="0"/>
            <w:vAlign w:val="center"/>
          </w:tcPr>
          <w:p w14:paraId="68694D65">
            <w:pPr>
              <w:widowControl/>
              <w:jc w:val="center"/>
              <w:rPr>
                <w:rFonts w:hint="eastAsia" w:ascii="宋体" w:hAnsi="宋体" w:cs="宋体"/>
                <w:kern w:val="0"/>
                <w:szCs w:val="21"/>
              </w:rPr>
            </w:pPr>
          </w:p>
        </w:tc>
      </w:tr>
      <w:tr w14:paraId="131E5A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39D95BE4">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-a</w:t>
            </w:r>
          </w:p>
        </w:tc>
        <w:tc>
          <w:tcPr>
            <w:tcW w:w="4572" w:type="dxa"/>
            <w:noWrap w:val="0"/>
            <w:vAlign w:val="center"/>
          </w:tcPr>
          <w:p w14:paraId="41B13661">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C40混凝土修复</w:t>
            </w:r>
          </w:p>
        </w:tc>
        <w:tc>
          <w:tcPr>
            <w:tcW w:w="899" w:type="dxa"/>
            <w:noWrap w:val="0"/>
            <w:vAlign w:val="center"/>
          </w:tcPr>
          <w:p w14:paraId="4A0484F6">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m3</w:t>
            </w:r>
          </w:p>
        </w:tc>
        <w:tc>
          <w:tcPr>
            <w:tcW w:w="899" w:type="dxa"/>
            <w:noWrap w:val="0"/>
            <w:vAlign w:val="center"/>
          </w:tcPr>
          <w:p w14:paraId="05F5500C">
            <w:pPr>
              <w:keepNext w:val="0"/>
              <w:keepLines w:val="0"/>
              <w:widowControl/>
              <w:suppressLineNumbers w:val="0"/>
              <w:jc w:val="right"/>
              <w:textAlignment w:val="center"/>
              <w:rPr>
                <w:rFonts w:hint="eastAsia" w:ascii="宋体" w:hAnsi="宋体" w:cs="宋体"/>
                <w:kern w:val="0"/>
                <w:sz w:val="21"/>
                <w:szCs w:val="21"/>
              </w:rPr>
            </w:pPr>
            <w:r>
              <w:rPr>
                <w:rFonts w:hint="default" w:ascii="Arial Narrow" w:hAnsi="Arial Narrow" w:eastAsia="Arial Narrow" w:cs="Arial Narrow"/>
                <w:i w:val="0"/>
                <w:iCs w:val="0"/>
                <w:color w:val="000000"/>
                <w:kern w:val="0"/>
                <w:sz w:val="21"/>
                <w:szCs w:val="21"/>
                <w:u w:val="none"/>
                <w:lang w:val="en-US" w:eastAsia="zh-CN" w:bidi="ar"/>
              </w:rPr>
              <w:t>100</w:t>
            </w:r>
          </w:p>
        </w:tc>
        <w:tc>
          <w:tcPr>
            <w:tcW w:w="1079" w:type="dxa"/>
            <w:noWrap w:val="0"/>
            <w:vAlign w:val="center"/>
          </w:tcPr>
          <w:p w14:paraId="2A1671BE">
            <w:pPr>
              <w:widowControl/>
              <w:jc w:val="center"/>
              <w:rPr>
                <w:rFonts w:hint="eastAsia" w:ascii="宋体" w:hAnsi="宋体" w:cs="宋体"/>
                <w:kern w:val="0"/>
                <w:szCs w:val="21"/>
              </w:rPr>
            </w:pPr>
          </w:p>
        </w:tc>
        <w:tc>
          <w:tcPr>
            <w:tcW w:w="1079" w:type="dxa"/>
            <w:noWrap w:val="0"/>
            <w:vAlign w:val="center"/>
          </w:tcPr>
          <w:p w14:paraId="100D3A29">
            <w:pPr>
              <w:widowControl/>
              <w:jc w:val="center"/>
              <w:rPr>
                <w:rFonts w:hint="eastAsia" w:ascii="宋体" w:hAnsi="宋体" w:cs="宋体"/>
                <w:kern w:val="0"/>
                <w:szCs w:val="21"/>
              </w:rPr>
            </w:pPr>
          </w:p>
        </w:tc>
      </w:tr>
      <w:tr w14:paraId="0A3F1C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7A1C0C6C">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-b</w:t>
            </w:r>
          </w:p>
        </w:tc>
        <w:tc>
          <w:tcPr>
            <w:tcW w:w="4572" w:type="dxa"/>
            <w:noWrap w:val="0"/>
            <w:vAlign w:val="center"/>
          </w:tcPr>
          <w:p w14:paraId="49449DBC">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沥青混凝土路面局部小修（AC-13C)</w:t>
            </w:r>
          </w:p>
        </w:tc>
        <w:tc>
          <w:tcPr>
            <w:tcW w:w="899" w:type="dxa"/>
            <w:noWrap w:val="0"/>
            <w:vAlign w:val="center"/>
          </w:tcPr>
          <w:p w14:paraId="18EFE3CF">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m3</w:t>
            </w:r>
          </w:p>
        </w:tc>
        <w:tc>
          <w:tcPr>
            <w:tcW w:w="899" w:type="dxa"/>
            <w:noWrap w:val="0"/>
            <w:vAlign w:val="center"/>
          </w:tcPr>
          <w:p w14:paraId="742CF455">
            <w:pPr>
              <w:keepNext w:val="0"/>
              <w:keepLines w:val="0"/>
              <w:widowControl/>
              <w:suppressLineNumbers w:val="0"/>
              <w:jc w:val="right"/>
              <w:textAlignment w:val="center"/>
              <w:rPr>
                <w:rFonts w:hint="eastAsia" w:ascii="宋体" w:hAnsi="宋体" w:cs="宋体"/>
                <w:kern w:val="0"/>
                <w:sz w:val="21"/>
                <w:szCs w:val="21"/>
              </w:rPr>
            </w:pPr>
            <w:r>
              <w:rPr>
                <w:rFonts w:hint="default" w:ascii="Arial Narrow" w:hAnsi="Arial Narrow" w:eastAsia="Arial Narrow" w:cs="Arial Narrow"/>
                <w:i w:val="0"/>
                <w:iCs w:val="0"/>
                <w:color w:val="000000"/>
                <w:kern w:val="0"/>
                <w:sz w:val="21"/>
                <w:szCs w:val="21"/>
                <w:u w:val="none"/>
                <w:lang w:val="en-US" w:eastAsia="zh-CN" w:bidi="ar"/>
              </w:rPr>
              <w:t>250</w:t>
            </w:r>
          </w:p>
        </w:tc>
        <w:tc>
          <w:tcPr>
            <w:tcW w:w="1079" w:type="dxa"/>
            <w:noWrap w:val="0"/>
            <w:vAlign w:val="center"/>
          </w:tcPr>
          <w:p w14:paraId="37EE5784">
            <w:pPr>
              <w:widowControl/>
              <w:jc w:val="center"/>
              <w:rPr>
                <w:rFonts w:hint="eastAsia" w:ascii="宋体" w:hAnsi="宋体" w:cs="宋体"/>
                <w:kern w:val="0"/>
                <w:szCs w:val="21"/>
              </w:rPr>
            </w:pPr>
          </w:p>
        </w:tc>
        <w:tc>
          <w:tcPr>
            <w:tcW w:w="1079" w:type="dxa"/>
            <w:noWrap w:val="0"/>
            <w:vAlign w:val="center"/>
          </w:tcPr>
          <w:p w14:paraId="3B8A7805">
            <w:pPr>
              <w:widowControl/>
              <w:jc w:val="center"/>
              <w:rPr>
                <w:rFonts w:hint="eastAsia" w:ascii="宋体" w:hAnsi="宋体" w:cs="宋体"/>
                <w:kern w:val="0"/>
                <w:szCs w:val="21"/>
              </w:rPr>
            </w:pPr>
          </w:p>
        </w:tc>
      </w:tr>
      <w:tr w14:paraId="545FDC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4F7F939D">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-c</w:t>
            </w:r>
          </w:p>
        </w:tc>
        <w:tc>
          <w:tcPr>
            <w:tcW w:w="4572" w:type="dxa"/>
            <w:noWrap w:val="0"/>
            <w:vAlign w:val="center"/>
          </w:tcPr>
          <w:p w14:paraId="64B5A28D">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沥青混凝土路面大面积小修</w:t>
            </w:r>
          </w:p>
        </w:tc>
        <w:tc>
          <w:tcPr>
            <w:tcW w:w="899" w:type="dxa"/>
            <w:noWrap w:val="0"/>
            <w:vAlign w:val="center"/>
          </w:tcPr>
          <w:p w14:paraId="6F59B3E8">
            <w:pPr>
              <w:jc w:val="center"/>
              <w:rPr>
                <w:rFonts w:hint="eastAsia" w:ascii="宋体" w:hAnsi="宋体" w:cs="宋体"/>
                <w:kern w:val="0"/>
                <w:sz w:val="21"/>
                <w:szCs w:val="21"/>
              </w:rPr>
            </w:pPr>
          </w:p>
        </w:tc>
        <w:tc>
          <w:tcPr>
            <w:tcW w:w="899" w:type="dxa"/>
            <w:noWrap w:val="0"/>
            <w:vAlign w:val="center"/>
          </w:tcPr>
          <w:p w14:paraId="4E1862DC">
            <w:pPr>
              <w:jc w:val="right"/>
              <w:rPr>
                <w:rFonts w:hint="eastAsia" w:ascii="宋体" w:hAnsi="宋体" w:cs="宋体"/>
                <w:kern w:val="0"/>
                <w:sz w:val="21"/>
                <w:szCs w:val="21"/>
              </w:rPr>
            </w:pPr>
          </w:p>
        </w:tc>
        <w:tc>
          <w:tcPr>
            <w:tcW w:w="1079" w:type="dxa"/>
            <w:noWrap w:val="0"/>
            <w:vAlign w:val="center"/>
          </w:tcPr>
          <w:p w14:paraId="152AF326">
            <w:pPr>
              <w:widowControl/>
              <w:jc w:val="center"/>
              <w:rPr>
                <w:rFonts w:hint="eastAsia" w:ascii="宋体" w:hAnsi="宋体" w:cs="宋体"/>
                <w:kern w:val="0"/>
                <w:szCs w:val="21"/>
              </w:rPr>
            </w:pPr>
          </w:p>
        </w:tc>
        <w:tc>
          <w:tcPr>
            <w:tcW w:w="1079" w:type="dxa"/>
            <w:noWrap w:val="0"/>
            <w:vAlign w:val="center"/>
          </w:tcPr>
          <w:p w14:paraId="076AED72">
            <w:pPr>
              <w:widowControl/>
              <w:jc w:val="center"/>
              <w:rPr>
                <w:rFonts w:hint="eastAsia" w:ascii="宋体" w:hAnsi="宋体" w:cs="宋体"/>
                <w:kern w:val="0"/>
                <w:szCs w:val="21"/>
              </w:rPr>
            </w:pPr>
          </w:p>
        </w:tc>
      </w:tr>
      <w:tr w14:paraId="456EB6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0FBEC2CD">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-c1</w:t>
            </w:r>
          </w:p>
        </w:tc>
        <w:tc>
          <w:tcPr>
            <w:tcW w:w="4572" w:type="dxa"/>
            <w:noWrap w:val="0"/>
            <w:vAlign w:val="center"/>
          </w:tcPr>
          <w:p w14:paraId="218105FD">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普通热拌沥青混凝土（AC-13C)</w:t>
            </w:r>
          </w:p>
        </w:tc>
        <w:tc>
          <w:tcPr>
            <w:tcW w:w="899" w:type="dxa"/>
            <w:noWrap w:val="0"/>
            <w:vAlign w:val="center"/>
          </w:tcPr>
          <w:p w14:paraId="171CEFFB">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m3</w:t>
            </w:r>
          </w:p>
        </w:tc>
        <w:tc>
          <w:tcPr>
            <w:tcW w:w="899" w:type="dxa"/>
            <w:noWrap w:val="0"/>
            <w:vAlign w:val="center"/>
          </w:tcPr>
          <w:p w14:paraId="43090EC9">
            <w:pPr>
              <w:keepNext w:val="0"/>
              <w:keepLines w:val="0"/>
              <w:widowControl/>
              <w:suppressLineNumbers w:val="0"/>
              <w:jc w:val="right"/>
              <w:textAlignment w:val="center"/>
              <w:rPr>
                <w:rFonts w:hint="eastAsia" w:ascii="宋体" w:hAnsi="宋体" w:cs="宋体"/>
                <w:kern w:val="0"/>
                <w:sz w:val="21"/>
                <w:szCs w:val="21"/>
              </w:rPr>
            </w:pPr>
            <w:r>
              <w:rPr>
                <w:rFonts w:hint="default" w:ascii="Arial Narrow" w:hAnsi="Arial Narrow" w:eastAsia="Arial Narrow" w:cs="Arial Narrow"/>
                <w:i w:val="0"/>
                <w:iCs w:val="0"/>
                <w:color w:val="000000"/>
                <w:kern w:val="0"/>
                <w:sz w:val="21"/>
                <w:szCs w:val="21"/>
                <w:u w:val="none"/>
                <w:lang w:val="en-US" w:eastAsia="zh-CN" w:bidi="ar"/>
              </w:rPr>
              <w:t>300</w:t>
            </w:r>
          </w:p>
        </w:tc>
        <w:tc>
          <w:tcPr>
            <w:tcW w:w="1079" w:type="dxa"/>
            <w:noWrap w:val="0"/>
            <w:vAlign w:val="center"/>
          </w:tcPr>
          <w:p w14:paraId="36EEA682">
            <w:pPr>
              <w:widowControl/>
              <w:jc w:val="center"/>
              <w:rPr>
                <w:rFonts w:hint="eastAsia" w:ascii="宋体" w:hAnsi="宋体" w:cs="宋体"/>
                <w:kern w:val="0"/>
                <w:szCs w:val="21"/>
              </w:rPr>
            </w:pPr>
          </w:p>
        </w:tc>
        <w:tc>
          <w:tcPr>
            <w:tcW w:w="1079" w:type="dxa"/>
            <w:noWrap w:val="0"/>
            <w:vAlign w:val="center"/>
          </w:tcPr>
          <w:p w14:paraId="18E5E216">
            <w:pPr>
              <w:widowControl/>
              <w:jc w:val="center"/>
              <w:rPr>
                <w:rFonts w:hint="eastAsia" w:ascii="宋体" w:hAnsi="宋体" w:cs="宋体"/>
                <w:kern w:val="0"/>
                <w:szCs w:val="21"/>
              </w:rPr>
            </w:pPr>
          </w:p>
        </w:tc>
      </w:tr>
      <w:tr w14:paraId="26855A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4F50D0B8">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-c2</w:t>
            </w:r>
          </w:p>
        </w:tc>
        <w:tc>
          <w:tcPr>
            <w:tcW w:w="4572" w:type="dxa"/>
            <w:noWrap w:val="0"/>
            <w:vAlign w:val="center"/>
          </w:tcPr>
          <w:p w14:paraId="2127F9B0">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普通热拌沥青混凝土(AC-20C)</w:t>
            </w:r>
          </w:p>
        </w:tc>
        <w:tc>
          <w:tcPr>
            <w:tcW w:w="899" w:type="dxa"/>
            <w:noWrap w:val="0"/>
            <w:vAlign w:val="center"/>
          </w:tcPr>
          <w:p w14:paraId="584ADA3E">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m3</w:t>
            </w:r>
          </w:p>
        </w:tc>
        <w:tc>
          <w:tcPr>
            <w:tcW w:w="899" w:type="dxa"/>
            <w:noWrap w:val="0"/>
            <w:vAlign w:val="center"/>
          </w:tcPr>
          <w:p w14:paraId="0502FAD4">
            <w:pPr>
              <w:keepNext w:val="0"/>
              <w:keepLines w:val="0"/>
              <w:widowControl/>
              <w:suppressLineNumbers w:val="0"/>
              <w:jc w:val="right"/>
              <w:textAlignment w:val="center"/>
              <w:rPr>
                <w:rFonts w:hint="eastAsia" w:ascii="宋体" w:hAnsi="宋体" w:cs="宋体"/>
                <w:kern w:val="0"/>
                <w:sz w:val="21"/>
                <w:szCs w:val="21"/>
              </w:rPr>
            </w:pPr>
            <w:r>
              <w:rPr>
                <w:rFonts w:hint="default" w:ascii="Arial Narrow" w:hAnsi="Arial Narrow" w:eastAsia="Arial Narrow" w:cs="Arial Narrow"/>
                <w:i w:val="0"/>
                <w:iCs w:val="0"/>
                <w:color w:val="000000"/>
                <w:kern w:val="0"/>
                <w:sz w:val="21"/>
                <w:szCs w:val="21"/>
                <w:u w:val="none"/>
                <w:lang w:val="en-US" w:eastAsia="zh-CN" w:bidi="ar"/>
              </w:rPr>
              <w:t>250</w:t>
            </w:r>
          </w:p>
        </w:tc>
        <w:tc>
          <w:tcPr>
            <w:tcW w:w="1079" w:type="dxa"/>
            <w:noWrap w:val="0"/>
            <w:vAlign w:val="center"/>
          </w:tcPr>
          <w:p w14:paraId="78A9275A">
            <w:pPr>
              <w:widowControl/>
              <w:jc w:val="center"/>
              <w:rPr>
                <w:rFonts w:hint="eastAsia" w:ascii="宋体" w:hAnsi="宋体" w:cs="宋体"/>
                <w:kern w:val="0"/>
                <w:szCs w:val="21"/>
              </w:rPr>
            </w:pPr>
          </w:p>
        </w:tc>
        <w:tc>
          <w:tcPr>
            <w:tcW w:w="1079" w:type="dxa"/>
            <w:noWrap w:val="0"/>
            <w:vAlign w:val="center"/>
          </w:tcPr>
          <w:p w14:paraId="6A80B602">
            <w:pPr>
              <w:widowControl/>
              <w:jc w:val="center"/>
              <w:rPr>
                <w:rFonts w:hint="eastAsia" w:ascii="宋体" w:hAnsi="宋体" w:cs="宋体"/>
                <w:kern w:val="0"/>
                <w:szCs w:val="21"/>
              </w:rPr>
            </w:pPr>
          </w:p>
        </w:tc>
      </w:tr>
      <w:tr w14:paraId="4A31ED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4B3BD398">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-c3</w:t>
            </w:r>
          </w:p>
        </w:tc>
        <w:tc>
          <w:tcPr>
            <w:tcW w:w="4572" w:type="dxa"/>
            <w:noWrap w:val="0"/>
            <w:vAlign w:val="center"/>
          </w:tcPr>
          <w:p w14:paraId="250D3649">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普通热拌沥青混凝土(ATB-25)</w:t>
            </w:r>
          </w:p>
        </w:tc>
        <w:tc>
          <w:tcPr>
            <w:tcW w:w="899" w:type="dxa"/>
            <w:noWrap w:val="0"/>
            <w:vAlign w:val="center"/>
          </w:tcPr>
          <w:p w14:paraId="4D6DDEC0">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m3</w:t>
            </w:r>
          </w:p>
        </w:tc>
        <w:tc>
          <w:tcPr>
            <w:tcW w:w="899" w:type="dxa"/>
            <w:noWrap w:val="0"/>
            <w:vAlign w:val="center"/>
          </w:tcPr>
          <w:p w14:paraId="6AD787C6">
            <w:pPr>
              <w:keepNext w:val="0"/>
              <w:keepLines w:val="0"/>
              <w:widowControl/>
              <w:suppressLineNumbers w:val="0"/>
              <w:jc w:val="right"/>
              <w:textAlignment w:val="center"/>
              <w:rPr>
                <w:rFonts w:hint="eastAsia" w:ascii="宋体" w:hAnsi="宋体" w:cs="宋体"/>
                <w:kern w:val="0"/>
                <w:sz w:val="21"/>
                <w:szCs w:val="21"/>
              </w:rPr>
            </w:pPr>
            <w:r>
              <w:rPr>
                <w:rFonts w:hint="default" w:ascii="Arial Narrow" w:hAnsi="Arial Narrow" w:eastAsia="Arial Narrow" w:cs="Arial Narrow"/>
                <w:i w:val="0"/>
                <w:iCs w:val="0"/>
                <w:color w:val="000000"/>
                <w:kern w:val="0"/>
                <w:sz w:val="21"/>
                <w:szCs w:val="21"/>
                <w:u w:val="none"/>
                <w:lang w:val="en-US" w:eastAsia="zh-CN" w:bidi="ar"/>
              </w:rPr>
              <w:t>160</w:t>
            </w:r>
          </w:p>
        </w:tc>
        <w:tc>
          <w:tcPr>
            <w:tcW w:w="1079" w:type="dxa"/>
            <w:noWrap w:val="0"/>
            <w:vAlign w:val="center"/>
          </w:tcPr>
          <w:p w14:paraId="22F8677C">
            <w:pPr>
              <w:widowControl/>
              <w:jc w:val="center"/>
              <w:rPr>
                <w:rFonts w:hint="eastAsia" w:ascii="宋体" w:hAnsi="宋体" w:cs="宋体"/>
                <w:kern w:val="0"/>
                <w:szCs w:val="21"/>
              </w:rPr>
            </w:pPr>
          </w:p>
        </w:tc>
        <w:tc>
          <w:tcPr>
            <w:tcW w:w="1079" w:type="dxa"/>
            <w:noWrap w:val="0"/>
            <w:vAlign w:val="center"/>
          </w:tcPr>
          <w:p w14:paraId="48156B8C">
            <w:pPr>
              <w:widowControl/>
              <w:jc w:val="center"/>
              <w:rPr>
                <w:rFonts w:hint="eastAsia" w:ascii="宋体" w:hAnsi="宋体" w:cs="宋体"/>
                <w:kern w:val="0"/>
                <w:szCs w:val="21"/>
              </w:rPr>
            </w:pPr>
          </w:p>
        </w:tc>
      </w:tr>
      <w:tr w14:paraId="3CB17F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63882000">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-c4</w:t>
            </w:r>
          </w:p>
        </w:tc>
        <w:tc>
          <w:tcPr>
            <w:tcW w:w="4572" w:type="dxa"/>
            <w:noWrap w:val="0"/>
            <w:vAlign w:val="center"/>
          </w:tcPr>
          <w:p w14:paraId="148AC565">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改性沥青混凝土(AC-13C SBS)</w:t>
            </w:r>
          </w:p>
        </w:tc>
        <w:tc>
          <w:tcPr>
            <w:tcW w:w="899" w:type="dxa"/>
            <w:noWrap w:val="0"/>
            <w:vAlign w:val="center"/>
          </w:tcPr>
          <w:p w14:paraId="7707CD67">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m3</w:t>
            </w:r>
          </w:p>
        </w:tc>
        <w:tc>
          <w:tcPr>
            <w:tcW w:w="899" w:type="dxa"/>
            <w:noWrap w:val="0"/>
            <w:vAlign w:val="center"/>
          </w:tcPr>
          <w:p w14:paraId="2F4F4079">
            <w:pPr>
              <w:keepNext w:val="0"/>
              <w:keepLines w:val="0"/>
              <w:widowControl/>
              <w:suppressLineNumbers w:val="0"/>
              <w:jc w:val="right"/>
              <w:textAlignment w:val="center"/>
              <w:rPr>
                <w:rFonts w:hint="eastAsia" w:ascii="宋体" w:hAnsi="宋体" w:cs="宋体"/>
                <w:kern w:val="0"/>
                <w:sz w:val="21"/>
                <w:szCs w:val="21"/>
              </w:rPr>
            </w:pPr>
            <w:r>
              <w:rPr>
                <w:rFonts w:hint="default" w:ascii="Arial Narrow" w:hAnsi="Arial Narrow" w:eastAsia="Arial Narrow" w:cs="Arial Narrow"/>
                <w:i w:val="0"/>
                <w:iCs w:val="0"/>
                <w:color w:val="000000"/>
                <w:kern w:val="0"/>
                <w:sz w:val="21"/>
                <w:szCs w:val="21"/>
                <w:u w:val="none"/>
                <w:lang w:val="en-US" w:eastAsia="zh-CN" w:bidi="ar"/>
              </w:rPr>
              <w:t>150</w:t>
            </w:r>
          </w:p>
        </w:tc>
        <w:tc>
          <w:tcPr>
            <w:tcW w:w="1079" w:type="dxa"/>
            <w:noWrap w:val="0"/>
            <w:vAlign w:val="center"/>
          </w:tcPr>
          <w:p w14:paraId="0AF79674">
            <w:pPr>
              <w:widowControl/>
              <w:jc w:val="center"/>
              <w:rPr>
                <w:rFonts w:hint="eastAsia" w:ascii="宋体" w:hAnsi="宋体" w:cs="宋体"/>
                <w:kern w:val="0"/>
                <w:szCs w:val="21"/>
              </w:rPr>
            </w:pPr>
          </w:p>
        </w:tc>
        <w:tc>
          <w:tcPr>
            <w:tcW w:w="1079" w:type="dxa"/>
            <w:noWrap w:val="0"/>
            <w:vAlign w:val="center"/>
          </w:tcPr>
          <w:p w14:paraId="71C67184">
            <w:pPr>
              <w:widowControl/>
              <w:jc w:val="center"/>
              <w:rPr>
                <w:rFonts w:hint="eastAsia" w:ascii="宋体" w:hAnsi="宋体" w:cs="宋体"/>
                <w:kern w:val="0"/>
                <w:szCs w:val="21"/>
              </w:rPr>
            </w:pPr>
          </w:p>
        </w:tc>
      </w:tr>
      <w:tr w14:paraId="06032C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4EA122D1">
            <w:pPr>
              <w:keepNext w:val="0"/>
              <w:keepLines w:val="0"/>
              <w:widowControl/>
              <w:suppressLineNumbers w:val="0"/>
              <w:jc w:val="center"/>
              <w:textAlignment w:val="center"/>
              <w:rPr>
                <w:rFonts w:hint="eastAsia" w:ascii="宋体" w:hAnsi="宋体" w:eastAsia="宋体" w:cs="宋体"/>
                <w:kern w:val="0"/>
                <w:sz w:val="21"/>
                <w:szCs w:val="21"/>
                <w:lang w:eastAsia="zh-CN"/>
              </w:rPr>
            </w:pPr>
            <w:r>
              <w:rPr>
                <w:rFonts w:hint="eastAsia" w:ascii="宋体" w:hAnsi="宋体" w:eastAsia="宋体" w:cs="宋体"/>
                <w:i w:val="0"/>
                <w:iCs w:val="0"/>
                <w:color w:val="000000"/>
                <w:kern w:val="0"/>
                <w:sz w:val="21"/>
                <w:szCs w:val="21"/>
                <w:u w:val="none"/>
                <w:lang w:val="en-US" w:eastAsia="zh-CN" w:bidi="ar"/>
              </w:rPr>
              <w:t>-c5</w:t>
            </w:r>
          </w:p>
        </w:tc>
        <w:tc>
          <w:tcPr>
            <w:tcW w:w="4572" w:type="dxa"/>
            <w:noWrap w:val="0"/>
            <w:vAlign w:val="center"/>
          </w:tcPr>
          <w:p w14:paraId="09F3E0E5">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改性沥青混凝土(SMA-13）</w:t>
            </w:r>
          </w:p>
        </w:tc>
        <w:tc>
          <w:tcPr>
            <w:tcW w:w="899" w:type="dxa"/>
            <w:noWrap w:val="0"/>
            <w:vAlign w:val="center"/>
          </w:tcPr>
          <w:p w14:paraId="67BD042B">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m3</w:t>
            </w:r>
          </w:p>
        </w:tc>
        <w:tc>
          <w:tcPr>
            <w:tcW w:w="899" w:type="dxa"/>
            <w:noWrap w:val="0"/>
            <w:vAlign w:val="center"/>
          </w:tcPr>
          <w:p w14:paraId="65BCFC6C">
            <w:pPr>
              <w:keepNext w:val="0"/>
              <w:keepLines w:val="0"/>
              <w:widowControl/>
              <w:suppressLineNumbers w:val="0"/>
              <w:jc w:val="right"/>
              <w:textAlignment w:val="center"/>
              <w:rPr>
                <w:rFonts w:hint="eastAsia" w:ascii="宋体" w:hAnsi="宋体" w:cs="宋体"/>
                <w:kern w:val="0"/>
                <w:sz w:val="21"/>
                <w:szCs w:val="21"/>
              </w:rPr>
            </w:pPr>
            <w:r>
              <w:rPr>
                <w:rFonts w:hint="default" w:ascii="Arial Narrow" w:hAnsi="Arial Narrow" w:eastAsia="Arial Narrow" w:cs="Arial Narrow"/>
                <w:i w:val="0"/>
                <w:iCs w:val="0"/>
                <w:color w:val="000000"/>
                <w:kern w:val="0"/>
                <w:sz w:val="21"/>
                <w:szCs w:val="21"/>
                <w:u w:val="none"/>
                <w:lang w:val="en-US" w:eastAsia="zh-CN" w:bidi="ar"/>
              </w:rPr>
              <w:t>80</w:t>
            </w:r>
          </w:p>
        </w:tc>
        <w:tc>
          <w:tcPr>
            <w:tcW w:w="1079" w:type="dxa"/>
            <w:noWrap w:val="0"/>
            <w:vAlign w:val="center"/>
          </w:tcPr>
          <w:p w14:paraId="1302A2FD">
            <w:pPr>
              <w:widowControl/>
              <w:jc w:val="center"/>
              <w:rPr>
                <w:rFonts w:hint="eastAsia" w:ascii="宋体" w:hAnsi="宋体" w:cs="宋体"/>
                <w:kern w:val="0"/>
                <w:szCs w:val="21"/>
              </w:rPr>
            </w:pPr>
          </w:p>
        </w:tc>
        <w:tc>
          <w:tcPr>
            <w:tcW w:w="1079" w:type="dxa"/>
            <w:noWrap w:val="0"/>
            <w:vAlign w:val="center"/>
          </w:tcPr>
          <w:p w14:paraId="73F8C4BB">
            <w:pPr>
              <w:widowControl/>
              <w:jc w:val="center"/>
              <w:rPr>
                <w:rFonts w:hint="eastAsia" w:ascii="宋体" w:hAnsi="宋体" w:cs="宋体"/>
                <w:kern w:val="0"/>
                <w:szCs w:val="21"/>
              </w:rPr>
            </w:pPr>
          </w:p>
        </w:tc>
      </w:tr>
      <w:tr w14:paraId="7932BE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30C4E6BA">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-d</w:t>
            </w:r>
          </w:p>
        </w:tc>
        <w:tc>
          <w:tcPr>
            <w:tcW w:w="4572" w:type="dxa"/>
            <w:noWrap w:val="0"/>
            <w:vAlign w:val="center"/>
          </w:tcPr>
          <w:p w14:paraId="01C0DF19">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乳化沥青粘层</w:t>
            </w:r>
          </w:p>
        </w:tc>
        <w:tc>
          <w:tcPr>
            <w:tcW w:w="899" w:type="dxa"/>
            <w:noWrap w:val="0"/>
            <w:vAlign w:val="center"/>
          </w:tcPr>
          <w:p w14:paraId="18DBC271">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m2</w:t>
            </w:r>
          </w:p>
        </w:tc>
        <w:tc>
          <w:tcPr>
            <w:tcW w:w="899" w:type="dxa"/>
            <w:noWrap w:val="0"/>
            <w:vAlign w:val="center"/>
          </w:tcPr>
          <w:p w14:paraId="237EB6ED">
            <w:pPr>
              <w:keepNext w:val="0"/>
              <w:keepLines w:val="0"/>
              <w:widowControl/>
              <w:suppressLineNumbers w:val="0"/>
              <w:jc w:val="right"/>
              <w:textAlignment w:val="center"/>
              <w:rPr>
                <w:rFonts w:hint="eastAsia" w:ascii="宋体" w:hAnsi="宋体" w:cs="宋体"/>
                <w:kern w:val="0"/>
                <w:sz w:val="21"/>
                <w:szCs w:val="21"/>
              </w:rPr>
            </w:pPr>
            <w:r>
              <w:rPr>
                <w:rFonts w:hint="default" w:ascii="Arial Narrow" w:hAnsi="Arial Narrow" w:eastAsia="Arial Narrow" w:cs="Arial Narrow"/>
                <w:i w:val="0"/>
                <w:iCs w:val="0"/>
                <w:color w:val="000000"/>
                <w:kern w:val="0"/>
                <w:sz w:val="21"/>
                <w:szCs w:val="21"/>
                <w:u w:val="none"/>
                <w:lang w:val="en-US" w:eastAsia="zh-CN" w:bidi="ar"/>
              </w:rPr>
              <w:t>16050</w:t>
            </w:r>
          </w:p>
        </w:tc>
        <w:tc>
          <w:tcPr>
            <w:tcW w:w="1079" w:type="dxa"/>
            <w:noWrap w:val="0"/>
            <w:vAlign w:val="center"/>
          </w:tcPr>
          <w:p w14:paraId="5DB0EA51">
            <w:pPr>
              <w:widowControl/>
              <w:jc w:val="center"/>
              <w:rPr>
                <w:rFonts w:hint="eastAsia" w:ascii="宋体" w:hAnsi="宋体" w:cs="宋体"/>
                <w:kern w:val="0"/>
                <w:szCs w:val="21"/>
              </w:rPr>
            </w:pPr>
          </w:p>
        </w:tc>
        <w:tc>
          <w:tcPr>
            <w:tcW w:w="1079" w:type="dxa"/>
            <w:noWrap w:val="0"/>
            <w:vAlign w:val="center"/>
          </w:tcPr>
          <w:p w14:paraId="39C94EC6">
            <w:pPr>
              <w:widowControl/>
              <w:jc w:val="center"/>
              <w:rPr>
                <w:rFonts w:hint="eastAsia" w:ascii="宋体" w:hAnsi="宋体" w:cs="宋体"/>
                <w:kern w:val="0"/>
                <w:szCs w:val="21"/>
              </w:rPr>
            </w:pPr>
          </w:p>
        </w:tc>
      </w:tr>
      <w:tr w14:paraId="473B57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217DFDF5">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-e</w:t>
            </w:r>
          </w:p>
        </w:tc>
        <w:tc>
          <w:tcPr>
            <w:tcW w:w="4572" w:type="dxa"/>
            <w:noWrap w:val="0"/>
            <w:vAlign w:val="center"/>
          </w:tcPr>
          <w:p w14:paraId="5EC92EB2">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冷补沥青混凝土</w:t>
            </w:r>
          </w:p>
        </w:tc>
        <w:tc>
          <w:tcPr>
            <w:tcW w:w="899" w:type="dxa"/>
            <w:noWrap w:val="0"/>
            <w:vAlign w:val="center"/>
          </w:tcPr>
          <w:p w14:paraId="1D4FB149">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m3</w:t>
            </w:r>
          </w:p>
        </w:tc>
        <w:tc>
          <w:tcPr>
            <w:tcW w:w="899" w:type="dxa"/>
            <w:noWrap w:val="0"/>
            <w:vAlign w:val="center"/>
          </w:tcPr>
          <w:p w14:paraId="158AE2B9">
            <w:pPr>
              <w:keepNext w:val="0"/>
              <w:keepLines w:val="0"/>
              <w:widowControl/>
              <w:suppressLineNumbers w:val="0"/>
              <w:jc w:val="right"/>
              <w:textAlignment w:val="center"/>
              <w:rPr>
                <w:rFonts w:hint="eastAsia" w:ascii="宋体" w:hAnsi="宋体" w:cs="宋体"/>
                <w:kern w:val="0"/>
                <w:sz w:val="21"/>
                <w:szCs w:val="21"/>
              </w:rPr>
            </w:pPr>
            <w:r>
              <w:rPr>
                <w:rFonts w:hint="default" w:ascii="Arial Narrow" w:hAnsi="Arial Narrow" w:eastAsia="Arial Narrow" w:cs="Arial Narrow"/>
                <w:i w:val="0"/>
                <w:iCs w:val="0"/>
                <w:color w:val="000000"/>
                <w:kern w:val="0"/>
                <w:sz w:val="21"/>
                <w:szCs w:val="21"/>
                <w:u w:val="none"/>
                <w:lang w:val="en-US" w:eastAsia="zh-CN" w:bidi="ar"/>
              </w:rPr>
              <w:t>180</w:t>
            </w:r>
          </w:p>
        </w:tc>
        <w:tc>
          <w:tcPr>
            <w:tcW w:w="1079" w:type="dxa"/>
            <w:noWrap w:val="0"/>
            <w:vAlign w:val="center"/>
          </w:tcPr>
          <w:p w14:paraId="4FEDA02A">
            <w:pPr>
              <w:widowControl/>
              <w:jc w:val="center"/>
              <w:rPr>
                <w:rFonts w:hint="eastAsia" w:ascii="宋体" w:hAnsi="宋体" w:cs="宋体"/>
                <w:kern w:val="0"/>
                <w:szCs w:val="21"/>
              </w:rPr>
            </w:pPr>
          </w:p>
        </w:tc>
        <w:tc>
          <w:tcPr>
            <w:tcW w:w="1079" w:type="dxa"/>
            <w:noWrap w:val="0"/>
            <w:vAlign w:val="center"/>
          </w:tcPr>
          <w:p w14:paraId="78F3749C">
            <w:pPr>
              <w:widowControl/>
              <w:jc w:val="center"/>
              <w:rPr>
                <w:rFonts w:hint="eastAsia" w:ascii="宋体" w:hAnsi="宋体" w:cs="宋体"/>
                <w:kern w:val="0"/>
                <w:szCs w:val="21"/>
              </w:rPr>
            </w:pPr>
          </w:p>
        </w:tc>
      </w:tr>
      <w:tr w14:paraId="1DEDC1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22EC2FA8">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-f</w:t>
            </w:r>
          </w:p>
        </w:tc>
        <w:tc>
          <w:tcPr>
            <w:tcW w:w="4572" w:type="dxa"/>
            <w:noWrap w:val="0"/>
            <w:vAlign w:val="center"/>
          </w:tcPr>
          <w:p w14:paraId="2C8A98C2">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灌入式沥青砼（SBS）</w:t>
            </w:r>
          </w:p>
        </w:tc>
        <w:tc>
          <w:tcPr>
            <w:tcW w:w="899" w:type="dxa"/>
            <w:noWrap w:val="0"/>
            <w:vAlign w:val="center"/>
          </w:tcPr>
          <w:p w14:paraId="7D36FB11">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m3</w:t>
            </w:r>
          </w:p>
        </w:tc>
        <w:tc>
          <w:tcPr>
            <w:tcW w:w="899" w:type="dxa"/>
            <w:noWrap w:val="0"/>
            <w:vAlign w:val="center"/>
          </w:tcPr>
          <w:p w14:paraId="03309ED8">
            <w:pPr>
              <w:keepNext w:val="0"/>
              <w:keepLines w:val="0"/>
              <w:widowControl/>
              <w:suppressLineNumbers w:val="0"/>
              <w:jc w:val="right"/>
              <w:textAlignment w:val="center"/>
              <w:rPr>
                <w:rFonts w:hint="eastAsia" w:ascii="宋体" w:hAnsi="宋体" w:cs="宋体"/>
                <w:kern w:val="0"/>
                <w:sz w:val="21"/>
                <w:szCs w:val="21"/>
              </w:rPr>
            </w:pPr>
            <w:r>
              <w:rPr>
                <w:rFonts w:hint="default" w:ascii="Arial Narrow" w:hAnsi="Arial Narrow" w:eastAsia="Arial Narrow" w:cs="Arial Narrow"/>
                <w:i w:val="0"/>
                <w:iCs w:val="0"/>
                <w:color w:val="000000"/>
                <w:kern w:val="0"/>
                <w:sz w:val="21"/>
                <w:szCs w:val="21"/>
                <w:u w:val="none"/>
                <w:lang w:val="en-US" w:eastAsia="zh-CN" w:bidi="ar"/>
              </w:rPr>
              <w:t>50</w:t>
            </w:r>
          </w:p>
        </w:tc>
        <w:tc>
          <w:tcPr>
            <w:tcW w:w="1079" w:type="dxa"/>
            <w:noWrap w:val="0"/>
            <w:vAlign w:val="center"/>
          </w:tcPr>
          <w:p w14:paraId="4F8B6809">
            <w:pPr>
              <w:widowControl/>
              <w:jc w:val="center"/>
              <w:rPr>
                <w:rFonts w:hint="eastAsia" w:ascii="宋体" w:hAnsi="宋体" w:cs="宋体"/>
                <w:kern w:val="0"/>
                <w:szCs w:val="21"/>
              </w:rPr>
            </w:pPr>
          </w:p>
        </w:tc>
        <w:tc>
          <w:tcPr>
            <w:tcW w:w="1079" w:type="dxa"/>
            <w:noWrap w:val="0"/>
            <w:vAlign w:val="center"/>
          </w:tcPr>
          <w:p w14:paraId="07D19038">
            <w:pPr>
              <w:widowControl/>
              <w:jc w:val="center"/>
              <w:rPr>
                <w:rFonts w:hint="eastAsia" w:ascii="宋体" w:hAnsi="宋体" w:cs="宋体"/>
                <w:kern w:val="0"/>
                <w:szCs w:val="21"/>
              </w:rPr>
            </w:pPr>
          </w:p>
        </w:tc>
      </w:tr>
      <w:tr w14:paraId="45154E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2DE5EBB9">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-g</w:t>
            </w:r>
          </w:p>
        </w:tc>
        <w:tc>
          <w:tcPr>
            <w:tcW w:w="4572" w:type="dxa"/>
            <w:noWrap w:val="0"/>
            <w:vAlign w:val="center"/>
          </w:tcPr>
          <w:p w14:paraId="2AE5FEFA">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1cm渗固磨耗层</w:t>
            </w:r>
          </w:p>
        </w:tc>
        <w:tc>
          <w:tcPr>
            <w:tcW w:w="899" w:type="dxa"/>
            <w:noWrap w:val="0"/>
            <w:vAlign w:val="center"/>
          </w:tcPr>
          <w:p w14:paraId="1F59F47B">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m2</w:t>
            </w:r>
          </w:p>
        </w:tc>
        <w:tc>
          <w:tcPr>
            <w:tcW w:w="899" w:type="dxa"/>
            <w:noWrap w:val="0"/>
            <w:vAlign w:val="center"/>
          </w:tcPr>
          <w:p w14:paraId="0CB80D2B">
            <w:pPr>
              <w:keepNext w:val="0"/>
              <w:keepLines w:val="0"/>
              <w:widowControl/>
              <w:suppressLineNumbers w:val="0"/>
              <w:jc w:val="right"/>
              <w:textAlignment w:val="center"/>
              <w:rPr>
                <w:rFonts w:hint="eastAsia" w:ascii="宋体" w:hAnsi="宋体" w:cs="宋体"/>
                <w:kern w:val="0"/>
                <w:sz w:val="21"/>
                <w:szCs w:val="21"/>
              </w:rPr>
            </w:pPr>
            <w:r>
              <w:rPr>
                <w:rFonts w:hint="default" w:ascii="Arial Narrow" w:hAnsi="Arial Narrow" w:eastAsia="Arial Narrow" w:cs="Arial Narrow"/>
                <w:i w:val="0"/>
                <w:iCs w:val="0"/>
                <w:color w:val="000000"/>
                <w:kern w:val="0"/>
                <w:sz w:val="21"/>
                <w:szCs w:val="21"/>
                <w:u w:val="none"/>
                <w:lang w:val="en-US" w:eastAsia="zh-CN" w:bidi="ar"/>
              </w:rPr>
              <w:t>200</w:t>
            </w:r>
          </w:p>
        </w:tc>
        <w:tc>
          <w:tcPr>
            <w:tcW w:w="1079" w:type="dxa"/>
            <w:noWrap w:val="0"/>
            <w:vAlign w:val="center"/>
          </w:tcPr>
          <w:p w14:paraId="706DDBA2">
            <w:pPr>
              <w:widowControl/>
              <w:jc w:val="center"/>
              <w:rPr>
                <w:rFonts w:hint="eastAsia" w:ascii="宋体" w:hAnsi="宋体" w:cs="宋体"/>
                <w:kern w:val="0"/>
                <w:szCs w:val="21"/>
              </w:rPr>
            </w:pPr>
          </w:p>
        </w:tc>
        <w:tc>
          <w:tcPr>
            <w:tcW w:w="1079" w:type="dxa"/>
            <w:noWrap w:val="0"/>
            <w:vAlign w:val="center"/>
          </w:tcPr>
          <w:p w14:paraId="545B08F8">
            <w:pPr>
              <w:widowControl/>
              <w:jc w:val="center"/>
              <w:rPr>
                <w:rFonts w:hint="eastAsia" w:ascii="宋体" w:hAnsi="宋体" w:cs="宋体"/>
                <w:kern w:val="0"/>
                <w:szCs w:val="21"/>
              </w:rPr>
            </w:pPr>
          </w:p>
        </w:tc>
      </w:tr>
      <w:tr w14:paraId="7FE1D8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2AD9ACCD">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-h</w:t>
            </w:r>
          </w:p>
        </w:tc>
        <w:tc>
          <w:tcPr>
            <w:tcW w:w="4572" w:type="dxa"/>
            <w:noWrap w:val="0"/>
            <w:vAlign w:val="center"/>
          </w:tcPr>
          <w:p w14:paraId="4AF5029C">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1.5cm超薄沥青磨耗层</w:t>
            </w:r>
          </w:p>
        </w:tc>
        <w:tc>
          <w:tcPr>
            <w:tcW w:w="899" w:type="dxa"/>
            <w:noWrap w:val="0"/>
            <w:vAlign w:val="center"/>
          </w:tcPr>
          <w:p w14:paraId="3DA9483A">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m2</w:t>
            </w:r>
          </w:p>
        </w:tc>
        <w:tc>
          <w:tcPr>
            <w:tcW w:w="899" w:type="dxa"/>
            <w:noWrap w:val="0"/>
            <w:vAlign w:val="center"/>
          </w:tcPr>
          <w:p w14:paraId="7DBCF439">
            <w:pPr>
              <w:keepNext w:val="0"/>
              <w:keepLines w:val="0"/>
              <w:widowControl/>
              <w:suppressLineNumbers w:val="0"/>
              <w:jc w:val="right"/>
              <w:textAlignment w:val="center"/>
              <w:rPr>
                <w:rFonts w:hint="eastAsia" w:ascii="宋体" w:hAnsi="宋体" w:cs="宋体"/>
                <w:kern w:val="0"/>
                <w:sz w:val="21"/>
                <w:szCs w:val="21"/>
              </w:rPr>
            </w:pPr>
            <w:r>
              <w:rPr>
                <w:rFonts w:hint="default" w:ascii="Arial Narrow" w:hAnsi="Arial Narrow" w:eastAsia="Arial Narrow" w:cs="Arial Narrow"/>
                <w:i w:val="0"/>
                <w:iCs w:val="0"/>
                <w:color w:val="000000"/>
                <w:kern w:val="0"/>
                <w:sz w:val="21"/>
                <w:szCs w:val="21"/>
                <w:u w:val="none"/>
                <w:lang w:val="en-US" w:eastAsia="zh-CN" w:bidi="ar"/>
              </w:rPr>
              <w:t>200</w:t>
            </w:r>
          </w:p>
        </w:tc>
        <w:tc>
          <w:tcPr>
            <w:tcW w:w="1079" w:type="dxa"/>
            <w:noWrap w:val="0"/>
            <w:vAlign w:val="center"/>
          </w:tcPr>
          <w:p w14:paraId="1160E869">
            <w:pPr>
              <w:widowControl/>
              <w:jc w:val="center"/>
              <w:rPr>
                <w:rFonts w:hint="eastAsia" w:ascii="宋体" w:hAnsi="宋体" w:cs="宋体"/>
                <w:kern w:val="0"/>
                <w:szCs w:val="21"/>
              </w:rPr>
            </w:pPr>
          </w:p>
        </w:tc>
        <w:tc>
          <w:tcPr>
            <w:tcW w:w="1079" w:type="dxa"/>
            <w:noWrap w:val="0"/>
            <w:vAlign w:val="center"/>
          </w:tcPr>
          <w:p w14:paraId="0479668E">
            <w:pPr>
              <w:widowControl/>
              <w:jc w:val="center"/>
              <w:rPr>
                <w:rFonts w:hint="eastAsia" w:ascii="宋体" w:hAnsi="宋体" w:cs="宋体"/>
                <w:kern w:val="0"/>
                <w:szCs w:val="21"/>
              </w:rPr>
            </w:pPr>
          </w:p>
        </w:tc>
      </w:tr>
      <w:tr w14:paraId="411098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3856F062">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302-2</w:t>
            </w:r>
          </w:p>
        </w:tc>
        <w:tc>
          <w:tcPr>
            <w:tcW w:w="4572" w:type="dxa"/>
            <w:noWrap w:val="0"/>
            <w:vAlign w:val="center"/>
          </w:tcPr>
          <w:p w14:paraId="1B04076C">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地聚合物注浆</w:t>
            </w:r>
          </w:p>
        </w:tc>
        <w:tc>
          <w:tcPr>
            <w:tcW w:w="899" w:type="dxa"/>
            <w:noWrap w:val="0"/>
            <w:vAlign w:val="center"/>
          </w:tcPr>
          <w:p w14:paraId="22C6E30F">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m2</w:t>
            </w:r>
          </w:p>
        </w:tc>
        <w:tc>
          <w:tcPr>
            <w:tcW w:w="899" w:type="dxa"/>
            <w:noWrap w:val="0"/>
            <w:vAlign w:val="center"/>
          </w:tcPr>
          <w:p w14:paraId="1A21236B">
            <w:pPr>
              <w:keepNext w:val="0"/>
              <w:keepLines w:val="0"/>
              <w:widowControl/>
              <w:suppressLineNumbers w:val="0"/>
              <w:jc w:val="right"/>
              <w:textAlignment w:val="center"/>
              <w:rPr>
                <w:rFonts w:hint="eastAsia" w:ascii="宋体" w:hAnsi="宋体" w:cs="宋体"/>
                <w:kern w:val="0"/>
                <w:sz w:val="21"/>
                <w:szCs w:val="21"/>
              </w:rPr>
            </w:pPr>
            <w:r>
              <w:rPr>
                <w:rFonts w:hint="default" w:ascii="Arial Narrow" w:hAnsi="Arial Narrow" w:eastAsia="Arial Narrow" w:cs="Arial Narrow"/>
                <w:i w:val="0"/>
                <w:iCs w:val="0"/>
                <w:color w:val="000000"/>
                <w:kern w:val="0"/>
                <w:sz w:val="21"/>
                <w:szCs w:val="21"/>
                <w:u w:val="none"/>
                <w:lang w:val="en-US" w:eastAsia="zh-CN" w:bidi="ar"/>
              </w:rPr>
              <w:t>200</w:t>
            </w:r>
          </w:p>
        </w:tc>
        <w:tc>
          <w:tcPr>
            <w:tcW w:w="1079" w:type="dxa"/>
            <w:noWrap w:val="0"/>
            <w:vAlign w:val="center"/>
          </w:tcPr>
          <w:p w14:paraId="650D6AFE">
            <w:pPr>
              <w:widowControl/>
              <w:jc w:val="center"/>
              <w:rPr>
                <w:rFonts w:hint="eastAsia" w:ascii="宋体" w:hAnsi="宋体" w:cs="宋体"/>
                <w:kern w:val="0"/>
                <w:szCs w:val="21"/>
              </w:rPr>
            </w:pPr>
          </w:p>
        </w:tc>
        <w:tc>
          <w:tcPr>
            <w:tcW w:w="1079" w:type="dxa"/>
            <w:noWrap w:val="0"/>
            <w:vAlign w:val="center"/>
          </w:tcPr>
          <w:p w14:paraId="5DB4FFD8">
            <w:pPr>
              <w:widowControl/>
              <w:jc w:val="center"/>
              <w:rPr>
                <w:rFonts w:hint="eastAsia" w:ascii="宋体" w:hAnsi="宋体" w:cs="宋体"/>
                <w:kern w:val="0"/>
                <w:szCs w:val="21"/>
              </w:rPr>
            </w:pPr>
          </w:p>
        </w:tc>
      </w:tr>
      <w:tr w14:paraId="49C0C2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54516ED9">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303</w:t>
            </w:r>
          </w:p>
        </w:tc>
        <w:tc>
          <w:tcPr>
            <w:tcW w:w="4572" w:type="dxa"/>
            <w:noWrap w:val="0"/>
            <w:vAlign w:val="center"/>
          </w:tcPr>
          <w:p w14:paraId="46ED5B10">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沥青混凝土路面维修</w:t>
            </w:r>
          </w:p>
        </w:tc>
        <w:tc>
          <w:tcPr>
            <w:tcW w:w="899" w:type="dxa"/>
            <w:noWrap w:val="0"/>
            <w:vAlign w:val="center"/>
          </w:tcPr>
          <w:p w14:paraId="43E2ABAB">
            <w:pPr>
              <w:jc w:val="center"/>
              <w:rPr>
                <w:rFonts w:hint="eastAsia" w:ascii="宋体" w:hAnsi="宋体" w:cs="宋体"/>
                <w:kern w:val="0"/>
                <w:sz w:val="21"/>
                <w:szCs w:val="21"/>
              </w:rPr>
            </w:pPr>
          </w:p>
        </w:tc>
        <w:tc>
          <w:tcPr>
            <w:tcW w:w="899" w:type="dxa"/>
            <w:noWrap w:val="0"/>
            <w:vAlign w:val="center"/>
          </w:tcPr>
          <w:p w14:paraId="26DAE660">
            <w:pPr>
              <w:jc w:val="right"/>
              <w:rPr>
                <w:rFonts w:hint="eastAsia" w:ascii="宋体" w:hAnsi="宋体" w:cs="宋体"/>
                <w:kern w:val="0"/>
                <w:sz w:val="21"/>
                <w:szCs w:val="21"/>
              </w:rPr>
            </w:pPr>
          </w:p>
        </w:tc>
        <w:tc>
          <w:tcPr>
            <w:tcW w:w="1079" w:type="dxa"/>
            <w:noWrap w:val="0"/>
            <w:vAlign w:val="center"/>
          </w:tcPr>
          <w:p w14:paraId="6B52F13C">
            <w:pPr>
              <w:widowControl/>
              <w:jc w:val="center"/>
              <w:rPr>
                <w:rFonts w:hint="eastAsia" w:ascii="宋体" w:hAnsi="宋体" w:cs="宋体"/>
                <w:kern w:val="0"/>
                <w:szCs w:val="21"/>
              </w:rPr>
            </w:pPr>
          </w:p>
        </w:tc>
        <w:tc>
          <w:tcPr>
            <w:tcW w:w="1079" w:type="dxa"/>
            <w:noWrap w:val="0"/>
            <w:vAlign w:val="center"/>
          </w:tcPr>
          <w:p w14:paraId="36F91A20">
            <w:pPr>
              <w:widowControl/>
              <w:jc w:val="center"/>
              <w:rPr>
                <w:rFonts w:hint="eastAsia" w:ascii="宋体" w:hAnsi="宋体" w:cs="宋体"/>
                <w:kern w:val="0"/>
                <w:szCs w:val="21"/>
              </w:rPr>
            </w:pPr>
          </w:p>
        </w:tc>
      </w:tr>
      <w:tr w14:paraId="553EBA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7D71187B">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303-1</w:t>
            </w:r>
          </w:p>
        </w:tc>
        <w:tc>
          <w:tcPr>
            <w:tcW w:w="4572" w:type="dxa"/>
            <w:noWrap w:val="0"/>
            <w:vAlign w:val="center"/>
          </w:tcPr>
          <w:p w14:paraId="61AF4526">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纵横向裂缝维修</w:t>
            </w:r>
          </w:p>
        </w:tc>
        <w:tc>
          <w:tcPr>
            <w:tcW w:w="899" w:type="dxa"/>
            <w:noWrap w:val="0"/>
            <w:vAlign w:val="center"/>
          </w:tcPr>
          <w:p w14:paraId="0D8422A2">
            <w:pPr>
              <w:jc w:val="center"/>
              <w:rPr>
                <w:rFonts w:hint="eastAsia" w:ascii="宋体" w:hAnsi="宋体" w:cs="宋体"/>
                <w:kern w:val="0"/>
                <w:sz w:val="21"/>
                <w:szCs w:val="21"/>
              </w:rPr>
            </w:pPr>
          </w:p>
        </w:tc>
        <w:tc>
          <w:tcPr>
            <w:tcW w:w="899" w:type="dxa"/>
            <w:noWrap w:val="0"/>
            <w:vAlign w:val="center"/>
          </w:tcPr>
          <w:p w14:paraId="3E95DA4E">
            <w:pPr>
              <w:jc w:val="right"/>
              <w:rPr>
                <w:rFonts w:hint="eastAsia" w:ascii="宋体" w:hAnsi="宋体" w:cs="宋体"/>
                <w:kern w:val="0"/>
                <w:sz w:val="21"/>
                <w:szCs w:val="21"/>
              </w:rPr>
            </w:pPr>
          </w:p>
        </w:tc>
        <w:tc>
          <w:tcPr>
            <w:tcW w:w="1079" w:type="dxa"/>
            <w:noWrap w:val="0"/>
            <w:vAlign w:val="center"/>
          </w:tcPr>
          <w:p w14:paraId="18F0CC79">
            <w:pPr>
              <w:widowControl/>
              <w:jc w:val="center"/>
              <w:rPr>
                <w:rFonts w:hint="eastAsia" w:ascii="宋体" w:hAnsi="宋体" w:cs="宋体"/>
                <w:kern w:val="0"/>
                <w:szCs w:val="21"/>
              </w:rPr>
            </w:pPr>
          </w:p>
        </w:tc>
        <w:tc>
          <w:tcPr>
            <w:tcW w:w="1079" w:type="dxa"/>
            <w:noWrap w:val="0"/>
            <w:vAlign w:val="center"/>
          </w:tcPr>
          <w:p w14:paraId="455D4F16">
            <w:pPr>
              <w:widowControl/>
              <w:jc w:val="center"/>
              <w:rPr>
                <w:rFonts w:hint="eastAsia" w:ascii="宋体" w:hAnsi="宋体" w:cs="宋体"/>
                <w:kern w:val="0"/>
                <w:szCs w:val="21"/>
              </w:rPr>
            </w:pPr>
          </w:p>
        </w:tc>
      </w:tr>
      <w:tr w14:paraId="27FCBF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23C55226">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-a</w:t>
            </w:r>
          </w:p>
        </w:tc>
        <w:tc>
          <w:tcPr>
            <w:tcW w:w="4572" w:type="dxa"/>
            <w:noWrap w:val="0"/>
            <w:vAlign w:val="center"/>
          </w:tcPr>
          <w:p w14:paraId="36FBE7D3">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裂缝灌缝</w:t>
            </w:r>
          </w:p>
        </w:tc>
        <w:tc>
          <w:tcPr>
            <w:tcW w:w="899" w:type="dxa"/>
            <w:noWrap w:val="0"/>
            <w:vAlign w:val="center"/>
          </w:tcPr>
          <w:p w14:paraId="063BEE06">
            <w:pPr>
              <w:jc w:val="center"/>
              <w:rPr>
                <w:rFonts w:hint="eastAsia" w:ascii="宋体" w:hAnsi="宋体" w:cs="宋体"/>
                <w:kern w:val="0"/>
                <w:sz w:val="21"/>
                <w:szCs w:val="21"/>
              </w:rPr>
            </w:pPr>
          </w:p>
        </w:tc>
        <w:tc>
          <w:tcPr>
            <w:tcW w:w="899" w:type="dxa"/>
            <w:noWrap w:val="0"/>
            <w:vAlign w:val="center"/>
          </w:tcPr>
          <w:p w14:paraId="5D7CCC1A">
            <w:pPr>
              <w:jc w:val="right"/>
              <w:rPr>
                <w:rFonts w:hint="eastAsia" w:ascii="宋体" w:hAnsi="宋体" w:cs="宋体"/>
                <w:kern w:val="0"/>
                <w:sz w:val="21"/>
                <w:szCs w:val="21"/>
              </w:rPr>
            </w:pPr>
          </w:p>
        </w:tc>
        <w:tc>
          <w:tcPr>
            <w:tcW w:w="1079" w:type="dxa"/>
            <w:noWrap w:val="0"/>
            <w:vAlign w:val="center"/>
          </w:tcPr>
          <w:p w14:paraId="1C1C919C">
            <w:pPr>
              <w:widowControl/>
              <w:jc w:val="center"/>
              <w:rPr>
                <w:rFonts w:hint="eastAsia" w:ascii="宋体" w:hAnsi="宋体" w:cs="宋体"/>
                <w:kern w:val="0"/>
                <w:szCs w:val="21"/>
              </w:rPr>
            </w:pPr>
          </w:p>
        </w:tc>
        <w:tc>
          <w:tcPr>
            <w:tcW w:w="1079" w:type="dxa"/>
            <w:noWrap w:val="0"/>
            <w:vAlign w:val="center"/>
          </w:tcPr>
          <w:p w14:paraId="61EE28F4">
            <w:pPr>
              <w:widowControl/>
              <w:jc w:val="center"/>
              <w:rPr>
                <w:rFonts w:hint="eastAsia" w:ascii="宋体" w:hAnsi="宋体" w:cs="宋体"/>
                <w:kern w:val="0"/>
                <w:szCs w:val="21"/>
              </w:rPr>
            </w:pPr>
          </w:p>
        </w:tc>
      </w:tr>
    </w:tbl>
    <w:p w14:paraId="78A9F6FB">
      <w:pPr>
        <w:widowControl/>
        <w:jc w:val="center"/>
        <w:rPr>
          <w:rFonts w:hint="eastAsia" w:ascii="宋体" w:hAnsi="宋体" w:cs="宋体"/>
          <w:kern w:val="0"/>
          <w:szCs w:val="21"/>
        </w:rPr>
      </w:pPr>
    </w:p>
    <w:p w14:paraId="3DA4CBE8">
      <w:pPr>
        <w:spacing w:before="240" w:beforeLines="100" w:after="240" w:afterLines="100"/>
        <w:jc w:val="center"/>
        <w:rPr>
          <w:rFonts w:hint="eastAsia" w:ascii="黑体" w:hAnsi="宋体" w:eastAsia="黑体"/>
          <w:sz w:val="30"/>
          <w:szCs w:val="30"/>
        </w:rPr>
      </w:pPr>
      <w:r>
        <w:rPr>
          <w:rFonts w:hint="eastAsia" w:ascii="黑体" w:hAnsi="宋体" w:eastAsia="黑体"/>
          <w:sz w:val="30"/>
          <w:szCs w:val="30"/>
        </w:rPr>
        <w:t>工程量清单</w:t>
      </w:r>
    </w:p>
    <w:p w14:paraId="297AAC26">
      <w:pPr>
        <w:pStyle w:val="50"/>
        <w:ind w:left="0" w:leftChars="0" w:firstLine="0" w:firstLine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标项</w:t>
      </w:r>
      <w:r>
        <w:rPr>
          <w:rFonts w:hint="eastAsia" w:asciiTheme="minorEastAsia" w:hAnsiTheme="minorEastAsia" w:cstheme="minorEastAsia"/>
          <w:sz w:val="24"/>
          <w:szCs w:val="24"/>
          <w:lang w:val="en-US" w:eastAsia="zh-CN"/>
        </w:rPr>
        <w:t>2</w:t>
      </w:r>
      <w:r>
        <w:rPr>
          <w:rFonts w:hint="eastAsia" w:asciiTheme="minorEastAsia" w:hAnsiTheme="minorEastAsia" w:eastAsiaTheme="minorEastAsia" w:cstheme="minorEastAsia"/>
          <w:sz w:val="24"/>
          <w:szCs w:val="24"/>
        </w:rPr>
        <w:t>：</w:t>
      </w:r>
      <w:r>
        <w:rPr>
          <w:rFonts w:hint="eastAsia" w:asciiTheme="minorEastAsia" w:hAnsiTheme="minorEastAsia" w:cstheme="minorEastAsia"/>
          <w:sz w:val="24"/>
          <w:szCs w:val="24"/>
          <w:lang w:eastAsia="zh-CN"/>
        </w:rPr>
        <w:t>2026年秀洲区县道及以上公路小修及应急抢险项目</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第</w:t>
      </w:r>
      <w:r>
        <w:rPr>
          <w:rFonts w:hint="eastAsia" w:asciiTheme="minorEastAsia" w:hAnsiTheme="minorEastAsia" w:cstheme="minorEastAsia"/>
          <w:sz w:val="24"/>
          <w:szCs w:val="24"/>
          <w:lang w:val="en-US" w:eastAsia="zh-CN"/>
        </w:rPr>
        <w:t>二</w:t>
      </w:r>
      <w:r>
        <w:rPr>
          <w:rFonts w:hint="eastAsia" w:asciiTheme="minorEastAsia" w:hAnsiTheme="minorEastAsia" w:eastAsiaTheme="minorEastAsia" w:cstheme="minorEastAsia"/>
          <w:sz w:val="24"/>
          <w:szCs w:val="24"/>
          <w:lang w:eastAsia="zh-CN"/>
        </w:rPr>
        <w:t>标段）</w:t>
      </w:r>
    </w:p>
    <w:p w14:paraId="6719CEF4">
      <w:pPr>
        <w:pStyle w:val="50"/>
        <w:ind w:left="0" w:leftChars="0" w:firstLine="0" w:firstLineChars="0"/>
        <w:rPr>
          <w:rFonts w:hint="eastAsia"/>
        </w:rPr>
      </w:pPr>
      <w:r>
        <w:rPr>
          <w:rFonts w:hint="eastAsia" w:asciiTheme="minorEastAsia" w:hAnsiTheme="minorEastAsia" w:eastAsiaTheme="minorEastAsia" w:cstheme="minorEastAsia"/>
          <w:sz w:val="24"/>
          <w:szCs w:val="24"/>
        </w:rPr>
        <w:t>货币单位：人民币元</w:t>
      </w:r>
      <w:r>
        <w:tab/>
      </w:r>
      <w:r>
        <w:tab/>
      </w:r>
    </w:p>
    <w:tbl>
      <w:tblPr>
        <w:tblStyle w:val="51"/>
        <w:tblW w:w="946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40"/>
        <w:gridCol w:w="4572"/>
        <w:gridCol w:w="899"/>
        <w:gridCol w:w="899"/>
        <w:gridCol w:w="1079"/>
        <w:gridCol w:w="1079"/>
      </w:tblGrid>
      <w:tr w14:paraId="3B0E7F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68" w:type="dxa"/>
            <w:gridSpan w:val="6"/>
            <w:noWrap w:val="0"/>
            <w:vAlign w:val="center"/>
          </w:tcPr>
          <w:p w14:paraId="10C7D814">
            <w:pPr>
              <w:ind w:firstLine="103" w:firstLineChars="49"/>
              <w:jc w:val="center"/>
              <w:rPr>
                <w:rFonts w:ascii="宋体" w:hAnsi="宋体"/>
                <w:b/>
                <w:bCs/>
              </w:rPr>
            </w:pPr>
            <w:r>
              <w:rPr>
                <w:rFonts w:hint="eastAsia" w:ascii="宋体" w:hAnsi="宋体"/>
                <w:b/>
                <w:bCs/>
              </w:rPr>
              <w:t>清单      第300章      路  面</w:t>
            </w:r>
          </w:p>
        </w:tc>
      </w:tr>
      <w:tr w14:paraId="50764C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2DACBE48">
            <w:pPr>
              <w:widowControl/>
              <w:jc w:val="left"/>
              <w:rPr>
                <w:rFonts w:ascii="宋体" w:hAnsi="宋体" w:cs="宋体"/>
                <w:kern w:val="0"/>
                <w:szCs w:val="21"/>
              </w:rPr>
            </w:pPr>
            <w:r>
              <w:rPr>
                <w:rFonts w:hint="eastAsia" w:ascii="宋体" w:hAnsi="宋体" w:cs="宋体"/>
                <w:kern w:val="0"/>
                <w:szCs w:val="21"/>
              </w:rPr>
              <w:t>子目号</w:t>
            </w:r>
          </w:p>
        </w:tc>
        <w:tc>
          <w:tcPr>
            <w:tcW w:w="4572" w:type="dxa"/>
            <w:noWrap w:val="0"/>
            <w:vAlign w:val="center"/>
          </w:tcPr>
          <w:p w14:paraId="5767765E">
            <w:pPr>
              <w:widowControl/>
              <w:jc w:val="center"/>
              <w:rPr>
                <w:rFonts w:ascii="宋体" w:hAnsi="宋体" w:cs="宋体"/>
                <w:kern w:val="0"/>
                <w:szCs w:val="21"/>
              </w:rPr>
            </w:pPr>
            <w:r>
              <w:rPr>
                <w:rFonts w:hint="eastAsia" w:ascii="宋体" w:hAnsi="宋体" w:cs="宋体"/>
                <w:kern w:val="0"/>
                <w:szCs w:val="21"/>
              </w:rPr>
              <w:t>子  目  名  称</w:t>
            </w:r>
          </w:p>
        </w:tc>
        <w:tc>
          <w:tcPr>
            <w:tcW w:w="899" w:type="dxa"/>
            <w:noWrap w:val="0"/>
            <w:vAlign w:val="center"/>
          </w:tcPr>
          <w:p w14:paraId="4520BAF9">
            <w:pPr>
              <w:widowControl/>
              <w:jc w:val="center"/>
              <w:rPr>
                <w:rFonts w:ascii="宋体" w:hAnsi="宋体" w:cs="宋体"/>
                <w:kern w:val="0"/>
                <w:szCs w:val="21"/>
              </w:rPr>
            </w:pPr>
            <w:r>
              <w:rPr>
                <w:rFonts w:hint="eastAsia" w:ascii="宋体" w:hAnsi="宋体" w:cs="宋体"/>
                <w:kern w:val="0"/>
                <w:szCs w:val="21"/>
              </w:rPr>
              <w:t>单位</w:t>
            </w:r>
          </w:p>
        </w:tc>
        <w:tc>
          <w:tcPr>
            <w:tcW w:w="899" w:type="dxa"/>
            <w:noWrap w:val="0"/>
            <w:vAlign w:val="center"/>
          </w:tcPr>
          <w:p w14:paraId="0C1F7910">
            <w:pPr>
              <w:widowControl/>
              <w:jc w:val="center"/>
              <w:rPr>
                <w:rFonts w:ascii="宋体" w:hAnsi="宋体" w:cs="宋体"/>
                <w:kern w:val="0"/>
                <w:szCs w:val="21"/>
              </w:rPr>
            </w:pPr>
            <w:r>
              <w:rPr>
                <w:rFonts w:hint="eastAsia" w:ascii="宋体" w:hAnsi="宋体" w:cs="宋体"/>
                <w:kern w:val="0"/>
                <w:szCs w:val="21"/>
              </w:rPr>
              <w:t>数量</w:t>
            </w:r>
          </w:p>
        </w:tc>
        <w:tc>
          <w:tcPr>
            <w:tcW w:w="1079" w:type="dxa"/>
            <w:noWrap w:val="0"/>
            <w:vAlign w:val="center"/>
          </w:tcPr>
          <w:p w14:paraId="70DE6A67">
            <w:pPr>
              <w:widowControl/>
              <w:jc w:val="center"/>
              <w:rPr>
                <w:rFonts w:ascii="宋体" w:hAnsi="宋体" w:cs="宋体"/>
                <w:kern w:val="0"/>
                <w:szCs w:val="21"/>
              </w:rPr>
            </w:pPr>
            <w:r>
              <w:rPr>
                <w:rFonts w:hint="eastAsia" w:ascii="宋体" w:hAnsi="宋体" w:cs="宋体"/>
                <w:kern w:val="0"/>
                <w:szCs w:val="21"/>
              </w:rPr>
              <w:t>单价</w:t>
            </w:r>
          </w:p>
        </w:tc>
        <w:tc>
          <w:tcPr>
            <w:tcW w:w="1079" w:type="dxa"/>
            <w:noWrap w:val="0"/>
            <w:vAlign w:val="center"/>
          </w:tcPr>
          <w:p w14:paraId="7398BA7F">
            <w:pPr>
              <w:widowControl/>
              <w:jc w:val="center"/>
              <w:rPr>
                <w:rFonts w:ascii="宋体" w:hAnsi="宋体" w:cs="宋体"/>
                <w:kern w:val="0"/>
                <w:szCs w:val="21"/>
              </w:rPr>
            </w:pPr>
            <w:r>
              <w:rPr>
                <w:rFonts w:hint="eastAsia" w:ascii="宋体" w:hAnsi="宋体" w:cs="宋体"/>
                <w:kern w:val="0"/>
                <w:szCs w:val="21"/>
              </w:rPr>
              <w:t>合价</w:t>
            </w:r>
          </w:p>
        </w:tc>
      </w:tr>
      <w:tr w14:paraId="521301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5C7B7534">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-1</w:t>
            </w:r>
          </w:p>
        </w:tc>
        <w:tc>
          <w:tcPr>
            <w:tcW w:w="4572" w:type="dxa"/>
            <w:noWrap w:val="0"/>
            <w:vAlign w:val="center"/>
          </w:tcPr>
          <w:p w14:paraId="5143CEB7">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沥青路面灌缝(四新技术)</w:t>
            </w:r>
          </w:p>
        </w:tc>
        <w:tc>
          <w:tcPr>
            <w:tcW w:w="899" w:type="dxa"/>
            <w:noWrap w:val="0"/>
            <w:vAlign w:val="center"/>
          </w:tcPr>
          <w:p w14:paraId="137DEC17">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m</w:t>
            </w:r>
          </w:p>
        </w:tc>
        <w:tc>
          <w:tcPr>
            <w:tcW w:w="899" w:type="dxa"/>
            <w:noWrap w:val="0"/>
            <w:vAlign w:val="center"/>
          </w:tcPr>
          <w:p w14:paraId="2ACC96C4">
            <w:pPr>
              <w:keepNext w:val="0"/>
              <w:keepLines w:val="0"/>
              <w:widowControl/>
              <w:suppressLineNumbers w:val="0"/>
              <w:jc w:val="right"/>
              <w:textAlignment w:val="center"/>
              <w:rPr>
                <w:rFonts w:hint="eastAsia" w:ascii="宋体" w:hAnsi="宋体" w:cs="宋体"/>
                <w:kern w:val="0"/>
                <w:sz w:val="21"/>
                <w:szCs w:val="21"/>
              </w:rPr>
            </w:pPr>
            <w:r>
              <w:rPr>
                <w:rFonts w:hint="default" w:ascii="Arial Narrow" w:hAnsi="Arial Narrow" w:eastAsia="Arial Narrow" w:cs="Arial Narrow"/>
                <w:i w:val="0"/>
                <w:iCs w:val="0"/>
                <w:color w:val="000000"/>
                <w:kern w:val="0"/>
                <w:sz w:val="21"/>
                <w:szCs w:val="21"/>
                <w:u w:val="none"/>
                <w:lang w:val="en-US" w:eastAsia="zh-CN" w:bidi="ar"/>
              </w:rPr>
              <w:t>4500</w:t>
            </w:r>
          </w:p>
        </w:tc>
        <w:tc>
          <w:tcPr>
            <w:tcW w:w="1079" w:type="dxa"/>
            <w:noWrap w:val="0"/>
            <w:vAlign w:val="center"/>
          </w:tcPr>
          <w:p w14:paraId="54855F6D">
            <w:pPr>
              <w:widowControl/>
              <w:jc w:val="center"/>
              <w:rPr>
                <w:rFonts w:hint="eastAsia" w:ascii="宋体" w:hAnsi="宋体" w:cs="宋体"/>
                <w:kern w:val="0"/>
                <w:szCs w:val="21"/>
              </w:rPr>
            </w:pPr>
          </w:p>
        </w:tc>
        <w:tc>
          <w:tcPr>
            <w:tcW w:w="1079" w:type="dxa"/>
            <w:noWrap w:val="0"/>
            <w:vAlign w:val="center"/>
          </w:tcPr>
          <w:p w14:paraId="14D10553">
            <w:pPr>
              <w:widowControl/>
              <w:jc w:val="center"/>
              <w:rPr>
                <w:rFonts w:hint="eastAsia" w:ascii="宋体" w:hAnsi="宋体" w:cs="宋体"/>
                <w:kern w:val="0"/>
                <w:szCs w:val="21"/>
              </w:rPr>
            </w:pPr>
          </w:p>
        </w:tc>
      </w:tr>
      <w:tr w14:paraId="4D08EE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1B47688F">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-2</w:t>
            </w:r>
          </w:p>
        </w:tc>
        <w:tc>
          <w:tcPr>
            <w:tcW w:w="4572" w:type="dxa"/>
            <w:noWrap w:val="0"/>
            <w:vAlign w:val="center"/>
          </w:tcPr>
          <w:p w14:paraId="72D697E8">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沥青路面裂缝灌缝（普通灌缝）</w:t>
            </w:r>
          </w:p>
        </w:tc>
        <w:tc>
          <w:tcPr>
            <w:tcW w:w="899" w:type="dxa"/>
            <w:noWrap w:val="0"/>
            <w:vAlign w:val="center"/>
          </w:tcPr>
          <w:p w14:paraId="5A981988">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m</w:t>
            </w:r>
          </w:p>
        </w:tc>
        <w:tc>
          <w:tcPr>
            <w:tcW w:w="899" w:type="dxa"/>
            <w:noWrap w:val="0"/>
            <w:vAlign w:val="center"/>
          </w:tcPr>
          <w:p w14:paraId="0746AADE">
            <w:pPr>
              <w:keepNext w:val="0"/>
              <w:keepLines w:val="0"/>
              <w:widowControl/>
              <w:suppressLineNumbers w:val="0"/>
              <w:jc w:val="right"/>
              <w:textAlignment w:val="center"/>
              <w:rPr>
                <w:rFonts w:hint="eastAsia" w:ascii="宋体" w:hAnsi="宋体" w:cs="宋体"/>
                <w:kern w:val="0"/>
                <w:sz w:val="21"/>
                <w:szCs w:val="21"/>
              </w:rPr>
            </w:pPr>
            <w:r>
              <w:rPr>
                <w:rFonts w:hint="default" w:ascii="Arial Narrow" w:hAnsi="Arial Narrow" w:eastAsia="Arial Narrow" w:cs="Arial Narrow"/>
                <w:i w:val="0"/>
                <w:iCs w:val="0"/>
                <w:color w:val="000000"/>
                <w:kern w:val="0"/>
                <w:sz w:val="21"/>
                <w:szCs w:val="21"/>
                <w:u w:val="none"/>
                <w:lang w:val="en-US" w:eastAsia="zh-CN" w:bidi="ar"/>
              </w:rPr>
              <w:t>8400</w:t>
            </w:r>
          </w:p>
        </w:tc>
        <w:tc>
          <w:tcPr>
            <w:tcW w:w="1079" w:type="dxa"/>
            <w:noWrap w:val="0"/>
            <w:vAlign w:val="center"/>
          </w:tcPr>
          <w:p w14:paraId="27CE72E1">
            <w:pPr>
              <w:widowControl/>
              <w:jc w:val="center"/>
              <w:rPr>
                <w:rFonts w:hint="eastAsia" w:ascii="宋体" w:hAnsi="宋体" w:cs="宋体"/>
                <w:kern w:val="0"/>
                <w:szCs w:val="21"/>
              </w:rPr>
            </w:pPr>
          </w:p>
        </w:tc>
        <w:tc>
          <w:tcPr>
            <w:tcW w:w="1079" w:type="dxa"/>
            <w:noWrap w:val="0"/>
            <w:vAlign w:val="center"/>
          </w:tcPr>
          <w:p w14:paraId="41A4E2A4">
            <w:pPr>
              <w:widowControl/>
              <w:jc w:val="center"/>
              <w:rPr>
                <w:rFonts w:hint="eastAsia" w:ascii="宋体" w:hAnsi="宋体" w:cs="宋体"/>
                <w:kern w:val="0"/>
                <w:szCs w:val="21"/>
              </w:rPr>
            </w:pPr>
          </w:p>
        </w:tc>
      </w:tr>
      <w:tr w14:paraId="0B9E33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4BD80F15">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304</w:t>
            </w:r>
          </w:p>
        </w:tc>
        <w:tc>
          <w:tcPr>
            <w:tcW w:w="4572" w:type="dxa"/>
            <w:noWrap w:val="0"/>
            <w:vAlign w:val="center"/>
          </w:tcPr>
          <w:p w14:paraId="554270D8">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结构物接顺及其它路面维修</w:t>
            </w:r>
          </w:p>
        </w:tc>
        <w:tc>
          <w:tcPr>
            <w:tcW w:w="899" w:type="dxa"/>
            <w:noWrap w:val="0"/>
            <w:vAlign w:val="center"/>
          </w:tcPr>
          <w:p w14:paraId="72C38D0C">
            <w:pPr>
              <w:jc w:val="center"/>
              <w:rPr>
                <w:rFonts w:hint="eastAsia" w:ascii="宋体" w:hAnsi="宋体" w:cs="宋体"/>
                <w:kern w:val="0"/>
                <w:sz w:val="21"/>
                <w:szCs w:val="21"/>
              </w:rPr>
            </w:pPr>
          </w:p>
        </w:tc>
        <w:tc>
          <w:tcPr>
            <w:tcW w:w="899" w:type="dxa"/>
            <w:noWrap w:val="0"/>
            <w:vAlign w:val="center"/>
          </w:tcPr>
          <w:p w14:paraId="3776BDCF">
            <w:pPr>
              <w:jc w:val="right"/>
              <w:rPr>
                <w:rFonts w:hint="eastAsia" w:ascii="宋体" w:hAnsi="宋体" w:cs="宋体"/>
                <w:kern w:val="0"/>
                <w:sz w:val="21"/>
                <w:szCs w:val="21"/>
              </w:rPr>
            </w:pPr>
          </w:p>
        </w:tc>
        <w:tc>
          <w:tcPr>
            <w:tcW w:w="1079" w:type="dxa"/>
            <w:noWrap w:val="0"/>
            <w:vAlign w:val="center"/>
          </w:tcPr>
          <w:p w14:paraId="779DFFA0">
            <w:pPr>
              <w:widowControl/>
              <w:jc w:val="center"/>
              <w:rPr>
                <w:rFonts w:hint="eastAsia" w:ascii="宋体" w:hAnsi="宋体" w:cs="宋体"/>
                <w:kern w:val="0"/>
                <w:szCs w:val="21"/>
              </w:rPr>
            </w:pPr>
          </w:p>
        </w:tc>
        <w:tc>
          <w:tcPr>
            <w:tcW w:w="1079" w:type="dxa"/>
            <w:noWrap w:val="0"/>
            <w:vAlign w:val="center"/>
          </w:tcPr>
          <w:p w14:paraId="7B55BC5F">
            <w:pPr>
              <w:widowControl/>
              <w:jc w:val="center"/>
              <w:rPr>
                <w:rFonts w:hint="eastAsia" w:ascii="宋体" w:hAnsi="宋体" w:cs="宋体"/>
                <w:kern w:val="0"/>
                <w:szCs w:val="21"/>
              </w:rPr>
            </w:pPr>
          </w:p>
        </w:tc>
      </w:tr>
      <w:tr w14:paraId="00988A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683E605D">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304-1</w:t>
            </w:r>
          </w:p>
        </w:tc>
        <w:tc>
          <w:tcPr>
            <w:tcW w:w="4572" w:type="dxa"/>
            <w:noWrap w:val="0"/>
            <w:vAlign w:val="center"/>
          </w:tcPr>
          <w:p w14:paraId="32BA3DC3">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碎石</w:t>
            </w:r>
          </w:p>
        </w:tc>
        <w:tc>
          <w:tcPr>
            <w:tcW w:w="899" w:type="dxa"/>
            <w:noWrap w:val="0"/>
            <w:vAlign w:val="center"/>
          </w:tcPr>
          <w:p w14:paraId="70FBB3C1">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m3</w:t>
            </w:r>
          </w:p>
        </w:tc>
        <w:tc>
          <w:tcPr>
            <w:tcW w:w="899" w:type="dxa"/>
            <w:noWrap w:val="0"/>
            <w:vAlign w:val="center"/>
          </w:tcPr>
          <w:p w14:paraId="72730EF4">
            <w:pPr>
              <w:keepNext w:val="0"/>
              <w:keepLines w:val="0"/>
              <w:widowControl/>
              <w:suppressLineNumbers w:val="0"/>
              <w:jc w:val="right"/>
              <w:textAlignment w:val="center"/>
              <w:rPr>
                <w:rFonts w:hint="eastAsia" w:ascii="宋体" w:hAnsi="宋体" w:cs="宋体"/>
                <w:kern w:val="0"/>
                <w:sz w:val="21"/>
                <w:szCs w:val="21"/>
              </w:rPr>
            </w:pPr>
            <w:r>
              <w:rPr>
                <w:rFonts w:hint="default" w:ascii="Arial Narrow" w:hAnsi="Arial Narrow" w:eastAsia="Arial Narrow" w:cs="Arial Narrow"/>
                <w:i w:val="0"/>
                <w:iCs w:val="0"/>
                <w:color w:val="000000"/>
                <w:kern w:val="0"/>
                <w:sz w:val="21"/>
                <w:szCs w:val="21"/>
                <w:u w:val="none"/>
                <w:lang w:val="en-US" w:eastAsia="zh-CN" w:bidi="ar"/>
              </w:rPr>
              <w:t>150</w:t>
            </w:r>
          </w:p>
        </w:tc>
        <w:tc>
          <w:tcPr>
            <w:tcW w:w="1079" w:type="dxa"/>
            <w:noWrap w:val="0"/>
            <w:vAlign w:val="center"/>
          </w:tcPr>
          <w:p w14:paraId="46F70479">
            <w:pPr>
              <w:widowControl/>
              <w:jc w:val="center"/>
              <w:rPr>
                <w:rFonts w:hint="eastAsia" w:ascii="宋体" w:hAnsi="宋体" w:cs="宋体"/>
                <w:kern w:val="0"/>
                <w:szCs w:val="21"/>
              </w:rPr>
            </w:pPr>
          </w:p>
        </w:tc>
        <w:tc>
          <w:tcPr>
            <w:tcW w:w="1079" w:type="dxa"/>
            <w:noWrap w:val="0"/>
            <w:vAlign w:val="center"/>
          </w:tcPr>
          <w:p w14:paraId="465D3A42">
            <w:pPr>
              <w:widowControl/>
              <w:jc w:val="center"/>
              <w:rPr>
                <w:rFonts w:hint="eastAsia" w:ascii="宋体" w:hAnsi="宋体" w:cs="宋体"/>
                <w:kern w:val="0"/>
                <w:szCs w:val="21"/>
              </w:rPr>
            </w:pPr>
          </w:p>
        </w:tc>
      </w:tr>
      <w:tr w14:paraId="3C922F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4383ABD8">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304-3</w:t>
            </w:r>
          </w:p>
        </w:tc>
        <w:tc>
          <w:tcPr>
            <w:tcW w:w="4572" w:type="dxa"/>
            <w:noWrap w:val="0"/>
            <w:vAlign w:val="center"/>
          </w:tcPr>
          <w:p w14:paraId="2F052A18">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基层维修</w:t>
            </w:r>
          </w:p>
        </w:tc>
        <w:tc>
          <w:tcPr>
            <w:tcW w:w="899" w:type="dxa"/>
            <w:noWrap w:val="0"/>
            <w:vAlign w:val="center"/>
          </w:tcPr>
          <w:p w14:paraId="6920FF18">
            <w:pPr>
              <w:jc w:val="center"/>
              <w:rPr>
                <w:rFonts w:hint="eastAsia" w:ascii="宋体" w:hAnsi="宋体" w:cs="宋体"/>
                <w:kern w:val="0"/>
                <w:sz w:val="21"/>
                <w:szCs w:val="21"/>
              </w:rPr>
            </w:pPr>
          </w:p>
        </w:tc>
        <w:tc>
          <w:tcPr>
            <w:tcW w:w="899" w:type="dxa"/>
            <w:noWrap w:val="0"/>
            <w:vAlign w:val="center"/>
          </w:tcPr>
          <w:p w14:paraId="219F51BC">
            <w:pPr>
              <w:jc w:val="right"/>
              <w:rPr>
                <w:rFonts w:hint="eastAsia" w:ascii="宋体" w:hAnsi="宋体" w:cs="宋体"/>
                <w:kern w:val="0"/>
                <w:sz w:val="21"/>
                <w:szCs w:val="21"/>
              </w:rPr>
            </w:pPr>
          </w:p>
        </w:tc>
        <w:tc>
          <w:tcPr>
            <w:tcW w:w="1079" w:type="dxa"/>
            <w:noWrap w:val="0"/>
            <w:vAlign w:val="center"/>
          </w:tcPr>
          <w:p w14:paraId="13FB9A01">
            <w:pPr>
              <w:widowControl/>
              <w:jc w:val="center"/>
              <w:rPr>
                <w:rFonts w:hint="eastAsia" w:ascii="宋体" w:hAnsi="宋体" w:cs="宋体"/>
                <w:kern w:val="0"/>
                <w:szCs w:val="21"/>
              </w:rPr>
            </w:pPr>
          </w:p>
        </w:tc>
        <w:tc>
          <w:tcPr>
            <w:tcW w:w="1079" w:type="dxa"/>
            <w:noWrap w:val="0"/>
            <w:vAlign w:val="center"/>
          </w:tcPr>
          <w:p w14:paraId="516F830A">
            <w:pPr>
              <w:widowControl/>
              <w:jc w:val="center"/>
              <w:rPr>
                <w:rFonts w:hint="eastAsia" w:ascii="宋体" w:hAnsi="宋体" w:cs="宋体"/>
                <w:kern w:val="0"/>
                <w:szCs w:val="21"/>
              </w:rPr>
            </w:pPr>
          </w:p>
        </w:tc>
      </w:tr>
      <w:tr w14:paraId="28224B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07BE87BF">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-a</w:t>
            </w:r>
          </w:p>
        </w:tc>
        <w:tc>
          <w:tcPr>
            <w:tcW w:w="4572" w:type="dxa"/>
            <w:noWrap w:val="0"/>
            <w:vAlign w:val="center"/>
          </w:tcPr>
          <w:p w14:paraId="1DC35CB9">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5%水泥稳定碎石基层</w:t>
            </w:r>
          </w:p>
        </w:tc>
        <w:tc>
          <w:tcPr>
            <w:tcW w:w="899" w:type="dxa"/>
            <w:noWrap w:val="0"/>
            <w:vAlign w:val="center"/>
          </w:tcPr>
          <w:p w14:paraId="3809B6AA">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m3</w:t>
            </w:r>
          </w:p>
        </w:tc>
        <w:tc>
          <w:tcPr>
            <w:tcW w:w="899" w:type="dxa"/>
            <w:noWrap w:val="0"/>
            <w:vAlign w:val="center"/>
          </w:tcPr>
          <w:p w14:paraId="38A0764F">
            <w:pPr>
              <w:keepNext w:val="0"/>
              <w:keepLines w:val="0"/>
              <w:widowControl/>
              <w:suppressLineNumbers w:val="0"/>
              <w:jc w:val="right"/>
              <w:textAlignment w:val="center"/>
              <w:rPr>
                <w:rFonts w:hint="eastAsia" w:ascii="宋体" w:hAnsi="宋体" w:cs="宋体"/>
                <w:kern w:val="0"/>
                <w:sz w:val="21"/>
                <w:szCs w:val="21"/>
              </w:rPr>
            </w:pPr>
            <w:r>
              <w:rPr>
                <w:rFonts w:hint="default" w:ascii="Arial Narrow" w:hAnsi="Arial Narrow" w:eastAsia="Arial Narrow" w:cs="Arial Narrow"/>
                <w:i w:val="0"/>
                <w:iCs w:val="0"/>
                <w:color w:val="000000"/>
                <w:kern w:val="0"/>
                <w:sz w:val="21"/>
                <w:szCs w:val="21"/>
                <w:u w:val="none"/>
                <w:lang w:val="en-US" w:eastAsia="zh-CN" w:bidi="ar"/>
              </w:rPr>
              <w:t>150</w:t>
            </w:r>
          </w:p>
        </w:tc>
        <w:tc>
          <w:tcPr>
            <w:tcW w:w="1079" w:type="dxa"/>
            <w:noWrap w:val="0"/>
            <w:vAlign w:val="center"/>
          </w:tcPr>
          <w:p w14:paraId="6405A79F">
            <w:pPr>
              <w:widowControl/>
              <w:jc w:val="center"/>
              <w:rPr>
                <w:rFonts w:hint="eastAsia" w:ascii="宋体" w:hAnsi="宋体" w:cs="宋体"/>
                <w:kern w:val="0"/>
                <w:szCs w:val="21"/>
              </w:rPr>
            </w:pPr>
          </w:p>
        </w:tc>
        <w:tc>
          <w:tcPr>
            <w:tcW w:w="1079" w:type="dxa"/>
            <w:noWrap w:val="0"/>
            <w:vAlign w:val="center"/>
          </w:tcPr>
          <w:p w14:paraId="03CB4986">
            <w:pPr>
              <w:widowControl/>
              <w:jc w:val="center"/>
              <w:rPr>
                <w:rFonts w:hint="eastAsia" w:ascii="宋体" w:hAnsi="宋体" w:cs="宋体"/>
                <w:kern w:val="0"/>
                <w:szCs w:val="21"/>
              </w:rPr>
            </w:pPr>
          </w:p>
        </w:tc>
      </w:tr>
      <w:tr w14:paraId="565DEC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703E37EE">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-b</w:t>
            </w:r>
          </w:p>
        </w:tc>
        <w:tc>
          <w:tcPr>
            <w:tcW w:w="4572" w:type="dxa"/>
            <w:noWrap w:val="0"/>
            <w:vAlign w:val="center"/>
          </w:tcPr>
          <w:p w14:paraId="5850D3D6">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C15素混凝土基层</w:t>
            </w:r>
          </w:p>
        </w:tc>
        <w:tc>
          <w:tcPr>
            <w:tcW w:w="899" w:type="dxa"/>
            <w:noWrap w:val="0"/>
            <w:vAlign w:val="center"/>
          </w:tcPr>
          <w:p w14:paraId="2DB36B1F">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m3</w:t>
            </w:r>
          </w:p>
        </w:tc>
        <w:tc>
          <w:tcPr>
            <w:tcW w:w="899" w:type="dxa"/>
            <w:noWrap w:val="0"/>
            <w:vAlign w:val="center"/>
          </w:tcPr>
          <w:p w14:paraId="79AA8545">
            <w:pPr>
              <w:keepNext w:val="0"/>
              <w:keepLines w:val="0"/>
              <w:widowControl/>
              <w:suppressLineNumbers w:val="0"/>
              <w:jc w:val="right"/>
              <w:textAlignment w:val="center"/>
              <w:rPr>
                <w:rFonts w:hint="eastAsia" w:ascii="宋体" w:hAnsi="宋体" w:cs="宋体"/>
                <w:kern w:val="0"/>
                <w:sz w:val="21"/>
                <w:szCs w:val="21"/>
              </w:rPr>
            </w:pPr>
            <w:r>
              <w:rPr>
                <w:rFonts w:hint="default" w:ascii="Arial Narrow" w:hAnsi="Arial Narrow" w:eastAsia="Arial Narrow" w:cs="Arial Narrow"/>
                <w:i w:val="0"/>
                <w:iCs w:val="0"/>
                <w:color w:val="000000"/>
                <w:kern w:val="0"/>
                <w:sz w:val="21"/>
                <w:szCs w:val="21"/>
                <w:u w:val="none"/>
                <w:lang w:val="en-US" w:eastAsia="zh-CN" w:bidi="ar"/>
              </w:rPr>
              <w:t>100</w:t>
            </w:r>
          </w:p>
        </w:tc>
        <w:tc>
          <w:tcPr>
            <w:tcW w:w="1079" w:type="dxa"/>
            <w:noWrap w:val="0"/>
            <w:vAlign w:val="center"/>
          </w:tcPr>
          <w:p w14:paraId="698E46CD">
            <w:pPr>
              <w:widowControl/>
              <w:jc w:val="center"/>
              <w:rPr>
                <w:rFonts w:ascii="宋体" w:hAnsi="宋体" w:cs="宋体"/>
                <w:kern w:val="0"/>
                <w:szCs w:val="21"/>
              </w:rPr>
            </w:pPr>
          </w:p>
        </w:tc>
        <w:tc>
          <w:tcPr>
            <w:tcW w:w="1079" w:type="dxa"/>
            <w:noWrap w:val="0"/>
            <w:vAlign w:val="center"/>
          </w:tcPr>
          <w:p w14:paraId="502CC53F">
            <w:pPr>
              <w:widowControl/>
              <w:jc w:val="center"/>
              <w:rPr>
                <w:rFonts w:ascii="宋体" w:hAnsi="宋体" w:cs="宋体"/>
                <w:kern w:val="0"/>
                <w:szCs w:val="21"/>
              </w:rPr>
            </w:pPr>
          </w:p>
        </w:tc>
      </w:tr>
      <w:tr w14:paraId="0AD291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5E7DA725">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304-5</w:t>
            </w:r>
          </w:p>
        </w:tc>
        <w:tc>
          <w:tcPr>
            <w:tcW w:w="4572" w:type="dxa"/>
            <w:noWrap w:val="0"/>
            <w:vAlign w:val="center"/>
          </w:tcPr>
          <w:p w14:paraId="2EEC223F">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其他路面维修</w:t>
            </w:r>
          </w:p>
        </w:tc>
        <w:tc>
          <w:tcPr>
            <w:tcW w:w="899" w:type="dxa"/>
            <w:noWrap w:val="0"/>
            <w:vAlign w:val="center"/>
          </w:tcPr>
          <w:p w14:paraId="3F3C661A">
            <w:pPr>
              <w:jc w:val="center"/>
              <w:rPr>
                <w:rFonts w:hint="eastAsia" w:ascii="宋体" w:hAnsi="宋体" w:cs="宋体"/>
                <w:kern w:val="0"/>
                <w:sz w:val="21"/>
                <w:szCs w:val="21"/>
              </w:rPr>
            </w:pPr>
          </w:p>
        </w:tc>
        <w:tc>
          <w:tcPr>
            <w:tcW w:w="899" w:type="dxa"/>
            <w:noWrap w:val="0"/>
            <w:vAlign w:val="center"/>
          </w:tcPr>
          <w:p w14:paraId="065982FD">
            <w:pPr>
              <w:jc w:val="right"/>
              <w:rPr>
                <w:rFonts w:hint="eastAsia" w:ascii="宋体" w:hAnsi="宋体" w:cs="宋体"/>
                <w:kern w:val="0"/>
                <w:sz w:val="21"/>
                <w:szCs w:val="21"/>
              </w:rPr>
            </w:pPr>
          </w:p>
        </w:tc>
        <w:tc>
          <w:tcPr>
            <w:tcW w:w="1079" w:type="dxa"/>
            <w:noWrap w:val="0"/>
            <w:vAlign w:val="center"/>
          </w:tcPr>
          <w:p w14:paraId="1B3CF5A2">
            <w:pPr>
              <w:widowControl/>
              <w:jc w:val="center"/>
              <w:rPr>
                <w:rFonts w:ascii="宋体" w:hAnsi="宋体" w:cs="宋体"/>
                <w:kern w:val="0"/>
                <w:szCs w:val="21"/>
              </w:rPr>
            </w:pPr>
          </w:p>
        </w:tc>
        <w:tc>
          <w:tcPr>
            <w:tcW w:w="1079" w:type="dxa"/>
            <w:noWrap w:val="0"/>
            <w:vAlign w:val="center"/>
          </w:tcPr>
          <w:p w14:paraId="039D6A1F">
            <w:pPr>
              <w:widowControl/>
              <w:jc w:val="center"/>
              <w:rPr>
                <w:rFonts w:ascii="宋体" w:hAnsi="宋体" w:cs="宋体"/>
                <w:kern w:val="0"/>
                <w:szCs w:val="21"/>
              </w:rPr>
            </w:pPr>
          </w:p>
        </w:tc>
      </w:tr>
      <w:tr w14:paraId="28121A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75696AD1">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-a</w:t>
            </w:r>
          </w:p>
        </w:tc>
        <w:tc>
          <w:tcPr>
            <w:tcW w:w="4572" w:type="dxa"/>
            <w:noWrap w:val="0"/>
            <w:vAlign w:val="center"/>
          </w:tcPr>
          <w:p w14:paraId="58E4570D">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人行道彩砖维修</w:t>
            </w:r>
          </w:p>
        </w:tc>
        <w:tc>
          <w:tcPr>
            <w:tcW w:w="899" w:type="dxa"/>
            <w:noWrap w:val="0"/>
            <w:vAlign w:val="center"/>
          </w:tcPr>
          <w:p w14:paraId="4B976684">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m2</w:t>
            </w:r>
          </w:p>
        </w:tc>
        <w:tc>
          <w:tcPr>
            <w:tcW w:w="899" w:type="dxa"/>
            <w:noWrap w:val="0"/>
            <w:vAlign w:val="center"/>
          </w:tcPr>
          <w:p w14:paraId="333296FD">
            <w:pPr>
              <w:keepNext w:val="0"/>
              <w:keepLines w:val="0"/>
              <w:widowControl/>
              <w:suppressLineNumbers w:val="0"/>
              <w:jc w:val="right"/>
              <w:textAlignment w:val="center"/>
              <w:rPr>
                <w:rFonts w:hint="eastAsia" w:ascii="宋体" w:hAnsi="宋体" w:cs="宋体"/>
                <w:kern w:val="0"/>
                <w:sz w:val="21"/>
                <w:szCs w:val="21"/>
              </w:rPr>
            </w:pPr>
            <w:r>
              <w:rPr>
                <w:rFonts w:hint="default" w:ascii="Arial Narrow" w:hAnsi="Arial Narrow" w:eastAsia="Arial Narrow" w:cs="Arial Narrow"/>
                <w:i w:val="0"/>
                <w:iCs w:val="0"/>
                <w:color w:val="000000"/>
                <w:kern w:val="0"/>
                <w:sz w:val="21"/>
                <w:szCs w:val="21"/>
                <w:u w:val="none"/>
                <w:lang w:val="en-US" w:eastAsia="zh-CN" w:bidi="ar"/>
              </w:rPr>
              <w:t>500</w:t>
            </w:r>
          </w:p>
        </w:tc>
        <w:tc>
          <w:tcPr>
            <w:tcW w:w="1079" w:type="dxa"/>
            <w:noWrap w:val="0"/>
            <w:vAlign w:val="center"/>
          </w:tcPr>
          <w:p w14:paraId="09DEDC67">
            <w:pPr>
              <w:widowControl/>
              <w:jc w:val="center"/>
              <w:rPr>
                <w:rFonts w:ascii="宋体" w:hAnsi="宋体" w:cs="宋体"/>
                <w:kern w:val="0"/>
                <w:szCs w:val="21"/>
              </w:rPr>
            </w:pPr>
          </w:p>
        </w:tc>
        <w:tc>
          <w:tcPr>
            <w:tcW w:w="1079" w:type="dxa"/>
            <w:noWrap w:val="0"/>
            <w:vAlign w:val="center"/>
          </w:tcPr>
          <w:p w14:paraId="0D6A716B">
            <w:pPr>
              <w:widowControl/>
              <w:jc w:val="center"/>
              <w:rPr>
                <w:rFonts w:ascii="宋体" w:hAnsi="宋体" w:cs="宋体"/>
                <w:kern w:val="0"/>
                <w:szCs w:val="21"/>
              </w:rPr>
            </w:pPr>
          </w:p>
        </w:tc>
      </w:tr>
      <w:tr w14:paraId="3F642D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70E18E41">
            <w:pPr>
              <w:keepNext w:val="0"/>
              <w:keepLines w:val="0"/>
              <w:widowControl/>
              <w:suppressLineNumbers w:val="0"/>
              <w:jc w:val="center"/>
              <w:textAlignment w:val="center"/>
              <w:rPr>
                <w:rFonts w:hint="eastAsia" w:ascii="宋体" w:hAnsi="宋体" w:cs="宋体"/>
                <w:kern w:val="0"/>
                <w:sz w:val="21"/>
                <w:szCs w:val="21"/>
              </w:rPr>
            </w:pPr>
          </w:p>
        </w:tc>
        <w:tc>
          <w:tcPr>
            <w:tcW w:w="4572" w:type="dxa"/>
            <w:noWrap w:val="0"/>
            <w:vAlign w:val="center"/>
          </w:tcPr>
          <w:p w14:paraId="6FB9EF73">
            <w:pPr>
              <w:keepNext w:val="0"/>
              <w:keepLines w:val="0"/>
              <w:widowControl/>
              <w:suppressLineNumbers w:val="0"/>
              <w:jc w:val="left"/>
              <w:textAlignment w:val="center"/>
              <w:rPr>
                <w:rFonts w:hint="eastAsia" w:ascii="宋体" w:hAnsi="宋体" w:cs="宋体"/>
                <w:kern w:val="0"/>
                <w:sz w:val="21"/>
                <w:szCs w:val="21"/>
              </w:rPr>
            </w:pPr>
          </w:p>
        </w:tc>
        <w:tc>
          <w:tcPr>
            <w:tcW w:w="899" w:type="dxa"/>
            <w:noWrap w:val="0"/>
            <w:vAlign w:val="center"/>
          </w:tcPr>
          <w:p w14:paraId="381A644B">
            <w:pPr>
              <w:keepNext w:val="0"/>
              <w:keepLines w:val="0"/>
              <w:widowControl/>
              <w:suppressLineNumbers w:val="0"/>
              <w:jc w:val="center"/>
              <w:textAlignment w:val="center"/>
              <w:rPr>
                <w:rFonts w:hint="eastAsia" w:ascii="宋体" w:hAnsi="宋体" w:cs="宋体"/>
                <w:kern w:val="0"/>
                <w:sz w:val="21"/>
                <w:szCs w:val="21"/>
              </w:rPr>
            </w:pPr>
          </w:p>
        </w:tc>
        <w:tc>
          <w:tcPr>
            <w:tcW w:w="899" w:type="dxa"/>
            <w:noWrap w:val="0"/>
            <w:vAlign w:val="center"/>
          </w:tcPr>
          <w:p w14:paraId="2F133ED5">
            <w:pPr>
              <w:keepNext w:val="0"/>
              <w:keepLines w:val="0"/>
              <w:widowControl/>
              <w:suppressLineNumbers w:val="0"/>
              <w:jc w:val="right"/>
              <w:textAlignment w:val="center"/>
              <w:rPr>
                <w:rFonts w:hint="eastAsia" w:ascii="宋体" w:hAnsi="宋体" w:cs="宋体"/>
                <w:kern w:val="0"/>
                <w:sz w:val="21"/>
                <w:szCs w:val="21"/>
              </w:rPr>
            </w:pPr>
          </w:p>
        </w:tc>
        <w:tc>
          <w:tcPr>
            <w:tcW w:w="1079" w:type="dxa"/>
            <w:noWrap w:val="0"/>
            <w:vAlign w:val="center"/>
          </w:tcPr>
          <w:p w14:paraId="7AC302B1">
            <w:pPr>
              <w:widowControl/>
              <w:jc w:val="center"/>
              <w:rPr>
                <w:rFonts w:ascii="宋体" w:hAnsi="宋体" w:cs="宋体"/>
                <w:kern w:val="0"/>
                <w:szCs w:val="21"/>
              </w:rPr>
            </w:pPr>
          </w:p>
        </w:tc>
        <w:tc>
          <w:tcPr>
            <w:tcW w:w="1079" w:type="dxa"/>
            <w:noWrap w:val="0"/>
            <w:vAlign w:val="center"/>
          </w:tcPr>
          <w:p w14:paraId="6F2C3370">
            <w:pPr>
              <w:widowControl/>
              <w:jc w:val="center"/>
              <w:rPr>
                <w:rFonts w:ascii="宋体" w:hAnsi="宋体" w:cs="宋体"/>
                <w:kern w:val="0"/>
                <w:szCs w:val="21"/>
              </w:rPr>
            </w:pPr>
          </w:p>
        </w:tc>
      </w:tr>
      <w:tr w14:paraId="7F16FD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32A8ADEB">
            <w:pPr>
              <w:keepNext w:val="0"/>
              <w:keepLines w:val="0"/>
              <w:widowControl/>
              <w:suppressLineNumbers w:val="0"/>
              <w:jc w:val="center"/>
              <w:textAlignment w:val="center"/>
              <w:rPr>
                <w:rFonts w:hint="eastAsia" w:ascii="宋体" w:hAnsi="宋体" w:cs="宋体"/>
                <w:kern w:val="0"/>
                <w:sz w:val="21"/>
                <w:szCs w:val="21"/>
              </w:rPr>
            </w:pPr>
          </w:p>
        </w:tc>
        <w:tc>
          <w:tcPr>
            <w:tcW w:w="4572" w:type="dxa"/>
            <w:noWrap w:val="0"/>
            <w:vAlign w:val="center"/>
          </w:tcPr>
          <w:p w14:paraId="7CE6D0C5">
            <w:pPr>
              <w:keepNext w:val="0"/>
              <w:keepLines w:val="0"/>
              <w:widowControl/>
              <w:suppressLineNumbers w:val="0"/>
              <w:jc w:val="left"/>
              <w:textAlignment w:val="center"/>
              <w:rPr>
                <w:rFonts w:hint="eastAsia" w:ascii="宋体" w:hAnsi="宋体" w:cs="宋体"/>
                <w:kern w:val="0"/>
                <w:sz w:val="21"/>
                <w:szCs w:val="21"/>
              </w:rPr>
            </w:pPr>
          </w:p>
        </w:tc>
        <w:tc>
          <w:tcPr>
            <w:tcW w:w="899" w:type="dxa"/>
            <w:noWrap w:val="0"/>
            <w:vAlign w:val="center"/>
          </w:tcPr>
          <w:p w14:paraId="79CEFA92">
            <w:pPr>
              <w:keepNext w:val="0"/>
              <w:keepLines w:val="0"/>
              <w:widowControl/>
              <w:suppressLineNumbers w:val="0"/>
              <w:jc w:val="center"/>
              <w:textAlignment w:val="center"/>
              <w:rPr>
                <w:rFonts w:hint="eastAsia" w:ascii="宋体" w:hAnsi="宋体" w:cs="宋体"/>
                <w:kern w:val="0"/>
                <w:sz w:val="21"/>
                <w:szCs w:val="21"/>
              </w:rPr>
            </w:pPr>
          </w:p>
        </w:tc>
        <w:tc>
          <w:tcPr>
            <w:tcW w:w="899" w:type="dxa"/>
            <w:noWrap w:val="0"/>
            <w:vAlign w:val="center"/>
          </w:tcPr>
          <w:p w14:paraId="6BA98AFA">
            <w:pPr>
              <w:keepNext w:val="0"/>
              <w:keepLines w:val="0"/>
              <w:widowControl/>
              <w:suppressLineNumbers w:val="0"/>
              <w:jc w:val="right"/>
              <w:textAlignment w:val="center"/>
              <w:rPr>
                <w:rFonts w:hint="eastAsia" w:ascii="宋体" w:hAnsi="宋体" w:cs="宋体"/>
                <w:kern w:val="0"/>
                <w:sz w:val="21"/>
                <w:szCs w:val="21"/>
              </w:rPr>
            </w:pPr>
          </w:p>
        </w:tc>
        <w:tc>
          <w:tcPr>
            <w:tcW w:w="1079" w:type="dxa"/>
            <w:noWrap w:val="0"/>
            <w:vAlign w:val="center"/>
          </w:tcPr>
          <w:p w14:paraId="189EC72E">
            <w:pPr>
              <w:widowControl/>
              <w:jc w:val="center"/>
              <w:rPr>
                <w:rFonts w:ascii="宋体" w:hAnsi="宋体" w:cs="宋体"/>
                <w:kern w:val="0"/>
                <w:szCs w:val="21"/>
              </w:rPr>
            </w:pPr>
          </w:p>
        </w:tc>
        <w:tc>
          <w:tcPr>
            <w:tcW w:w="1079" w:type="dxa"/>
            <w:noWrap w:val="0"/>
            <w:vAlign w:val="center"/>
          </w:tcPr>
          <w:p w14:paraId="4C04BAB9">
            <w:pPr>
              <w:widowControl/>
              <w:jc w:val="center"/>
              <w:rPr>
                <w:rFonts w:ascii="宋体" w:hAnsi="宋体" w:cs="宋体"/>
                <w:kern w:val="0"/>
                <w:szCs w:val="21"/>
              </w:rPr>
            </w:pPr>
          </w:p>
        </w:tc>
      </w:tr>
      <w:tr w14:paraId="310A84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6F1AA2FA">
            <w:pPr>
              <w:widowControl/>
              <w:jc w:val="center"/>
              <w:textAlignment w:val="center"/>
              <w:rPr>
                <w:rFonts w:hint="eastAsia" w:ascii="宋体" w:hAnsi="宋体" w:cs="宋体"/>
                <w:kern w:val="0"/>
                <w:szCs w:val="21"/>
              </w:rPr>
            </w:pPr>
          </w:p>
        </w:tc>
        <w:tc>
          <w:tcPr>
            <w:tcW w:w="4572" w:type="dxa"/>
            <w:noWrap w:val="0"/>
            <w:vAlign w:val="center"/>
          </w:tcPr>
          <w:p w14:paraId="3F49DE48">
            <w:pPr>
              <w:widowControl/>
              <w:jc w:val="left"/>
              <w:textAlignment w:val="center"/>
              <w:rPr>
                <w:rFonts w:hint="eastAsia" w:ascii="宋体" w:hAnsi="宋体" w:cs="宋体"/>
                <w:kern w:val="0"/>
                <w:szCs w:val="21"/>
              </w:rPr>
            </w:pPr>
          </w:p>
        </w:tc>
        <w:tc>
          <w:tcPr>
            <w:tcW w:w="899" w:type="dxa"/>
            <w:noWrap w:val="0"/>
            <w:vAlign w:val="center"/>
          </w:tcPr>
          <w:p w14:paraId="0AB262CF">
            <w:pPr>
              <w:widowControl/>
              <w:jc w:val="center"/>
              <w:textAlignment w:val="center"/>
              <w:rPr>
                <w:rFonts w:hint="eastAsia" w:ascii="宋体" w:hAnsi="宋体" w:cs="宋体"/>
                <w:kern w:val="0"/>
                <w:szCs w:val="21"/>
              </w:rPr>
            </w:pPr>
          </w:p>
        </w:tc>
        <w:tc>
          <w:tcPr>
            <w:tcW w:w="899" w:type="dxa"/>
            <w:noWrap w:val="0"/>
            <w:vAlign w:val="center"/>
          </w:tcPr>
          <w:p w14:paraId="2209230A">
            <w:pPr>
              <w:widowControl/>
              <w:jc w:val="right"/>
              <w:textAlignment w:val="center"/>
              <w:rPr>
                <w:rFonts w:hint="eastAsia" w:ascii="宋体" w:hAnsi="宋体" w:cs="宋体"/>
                <w:kern w:val="0"/>
                <w:szCs w:val="21"/>
              </w:rPr>
            </w:pPr>
          </w:p>
        </w:tc>
        <w:tc>
          <w:tcPr>
            <w:tcW w:w="1079" w:type="dxa"/>
            <w:noWrap w:val="0"/>
            <w:vAlign w:val="center"/>
          </w:tcPr>
          <w:p w14:paraId="7DF6565A">
            <w:pPr>
              <w:widowControl/>
              <w:jc w:val="center"/>
              <w:rPr>
                <w:rFonts w:ascii="宋体" w:hAnsi="宋体" w:cs="宋体"/>
                <w:kern w:val="0"/>
                <w:szCs w:val="21"/>
              </w:rPr>
            </w:pPr>
          </w:p>
        </w:tc>
        <w:tc>
          <w:tcPr>
            <w:tcW w:w="1079" w:type="dxa"/>
            <w:noWrap w:val="0"/>
            <w:vAlign w:val="center"/>
          </w:tcPr>
          <w:p w14:paraId="2F89A1AE">
            <w:pPr>
              <w:widowControl/>
              <w:jc w:val="center"/>
              <w:rPr>
                <w:rFonts w:ascii="宋体" w:hAnsi="宋体" w:cs="宋体"/>
                <w:kern w:val="0"/>
                <w:szCs w:val="21"/>
              </w:rPr>
            </w:pPr>
          </w:p>
        </w:tc>
      </w:tr>
      <w:tr w14:paraId="679369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198BA4F6">
            <w:pPr>
              <w:widowControl/>
              <w:jc w:val="center"/>
              <w:textAlignment w:val="center"/>
              <w:rPr>
                <w:rFonts w:hint="eastAsia" w:ascii="宋体" w:hAnsi="宋体" w:cs="宋体"/>
                <w:kern w:val="0"/>
                <w:szCs w:val="21"/>
              </w:rPr>
            </w:pPr>
          </w:p>
        </w:tc>
        <w:tc>
          <w:tcPr>
            <w:tcW w:w="4572" w:type="dxa"/>
            <w:noWrap w:val="0"/>
            <w:vAlign w:val="center"/>
          </w:tcPr>
          <w:p w14:paraId="5A878491">
            <w:pPr>
              <w:widowControl/>
              <w:jc w:val="left"/>
              <w:textAlignment w:val="center"/>
              <w:rPr>
                <w:rFonts w:hint="eastAsia" w:ascii="宋体" w:hAnsi="宋体" w:cs="宋体"/>
                <w:kern w:val="0"/>
                <w:szCs w:val="21"/>
              </w:rPr>
            </w:pPr>
          </w:p>
        </w:tc>
        <w:tc>
          <w:tcPr>
            <w:tcW w:w="899" w:type="dxa"/>
            <w:noWrap w:val="0"/>
            <w:vAlign w:val="center"/>
          </w:tcPr>
          <w:p w14:paraId="7718E777">
            <w:pPr>
              <w:jc w:val="center"/>
              <w:rPr>
                <w:rFonts w:hint="eastAsia" w:ascii="宋体" w:hAnsi="宋体" w:cs="宋体"/>
                <w:kern w:val="0"/>
                <w:szCs w:val="21"/>
              </w:rPr>
            </w:pPr>
          </w:p>
        </w:tc>
        <w:tc>
          <w:tcPr>
            <w:tcW w:w="899" w:type="dxa"/>
            <w:noWrap w:val="0"/>
            <w:vAlign w:val="center"/>
          </w:tcPr>
          <w:p w14:paraId="1C6327F1">
            <w:pPr>
              <w:jc w:val="right"/>
              <w:rPr>
                <w:rFonts w:hint="eastAsia" w:ascii="宋体" w:hAnsi="宋体" w:cs="宋体"/>
                <w:kern w:val="0"/>
                <w:szCs w:val="21"/>
              </w:rPr>
            </w:pPr>
          </w:p>
        </w:tc>
        <w:tc>
          <w:tcPr>
            <w:tcW w:w="1079" w:type="dxa"/>
            <w:noWrap w:val="0"/>
            <w:vAlign w:val="center"/>
          </w:tcPr>
          <w:p w14:paraId="335CEA9E">
            <w:pPr>
              <w:widowControl/>
              <w:jc w:val="center"/>
              <w:rPr>
                <w:rFonts w:ascii="宋体" w:hAnsi="宋体" w:cs="宋体"/>
                <w:kern w:val="0"/>
                <w:szCs w:val="21"/>
              </w:rPr>
            </w:pPr>
          </w:p>
        </w:tc>
        <w:tc>
          <w:tcPr>
            <w:tcW w:w="1079" w:type="dxa"/>
            <w:noWrap w:val="0"/>
            <w:vAlign w:val="center"/>
          </w:tcPr>
          <w:p w14:paraId="46626BCF">
            <w:pPr>
              <w:widowControl/>
              <w:jc w:val="center"/>
              <w:rPr>
                <w:rFonts w:ascii="宋体" w:hAnsi="宋体" w:cs="宋体"/>
                <w:kern w:val="0"/>
                <w:szCs w:val="21"/>
              </w:rPr>
            </w:pPr>
          </w:p>
        </w:tc>
      </w:tr>
      <w:tr w14:paraId="2FFFC5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37E0BD84">
            <w:pPr>
              <w:widowControl/>
              <w:jc w:val="center"/>
              <w:textAlignment w:val="center"/>
              <w:rPr>
                <w:rFonts w:hint="eastAsia" w:ascii="宋体" w:hAnsi="宋体" w:cs="宋体"/>
                <w:kern w:val="0"/>
                <w:szCs w:val="21"/>
              </w:rPr>
            </w:pPr>
          </w:p>
        </w:tc>
        <w:tc>
          <w:tcPr>
            <w:tcW w:w="4572" w:type="dxa"/>
            <w:noWrap w:val="0"/>
            <w:vAlign w:val="center"/>
          </w:tcPr>
          <w:p w14:paraId="6564FF76">
            <w:pPr>
              <w:widowControl/>
              <w:jc w:val="left"/>
              <w:textAlignment w:val="center"/>
              <w:rPr>
                <w:rFonts w:hint="eastAsia" w:ascii="宋体" w:hAnsi="宋体" w:cs="宋体"/>
                <w:kern w:val="0"/>
                <w:szCs w:val="21"/>
              </w:rPr>
            </w:pPr>
          </w:p>
        </w:tc>
        <w:tc>
          <w:tcPr>
            <w:tcW w:w="899" w:type="dxa"/>
            <w:noWrap w:val="0"/>
            <w:vAlign w:val="center"/>
          </w:tcPr>
          <w:p w14:paraId="4CCFE38F">
            <w:pPr>
              <w:jc w:val="center"/>
              <w:rPr>
                <w:rFonts w:hint="eastAsia" w:ascii="宋体" w:hAnsi="宋体" w:cs="宋体"/>
                <w:kern w:val="0"/>
                <w:szCs w:val="21"/>
              </w:rPr>
            </w:pPr>
          </w:p>
        </w:tc>
        <w:tc>
          <w:tcPr>
            <w:tcW w:w="899" w:type="dxa"/>
            <w:noWrap w:val="0"/>
            <w:vAlign w:val="center"/>
          </w:tcPr>
          <w:p w14:paraId="6D813C2E">
            <w:pPr>
              <w:jc w:val="right"/>
              <w:rPr>
                <w:rFonts w:hint="eastAsia" w:ascii="宋体" w:hAnsi="宋体" w:cs="宋体"/>
                <w:kern w:val="0"/>
                <w:szCs w:val="21"/>
              </w:rPr>
            </w:pPr>
          </w:p>
        </w:tc>
        <w:tc>
          <w:tcPr>
            <w:tcW w:w="1079" w:type="dxa"/>
            <w:noWrap w:val="0"/>
            <w:vAlign w:val="center"/>
          </w:tcPr>
          <w:p w14:paraId="642828D9">
            <w:pPr>
              <w:widowControl/>
              <w:jc w:val="center"/>
              <w:rPr>
                <w:rFonts w:ascii="宋体" w:hAnsi="宋体" w:cs="宋体"/>
                <w:kern w:val="0"/>
                <w:szCs w:val="21"/>
              </w:rPr>
            </w:pPr>
          </w:p>
        </w:tc>
        <w:tc>
          <w:tcPr>
            <w:tcW w:w="1079" w:type="dxa"/>
            <w:noWrap w:val="0"/>
            <w:vAlign w:val="center"/>
          </w:tcPr>
          <w:p w14:paraId="1318899D">
            <w:pPr>
              <w:widowControl/>
              <w:jc w:val="center"/>
              <w:rPr>
                <w:rFonts w:ascii="宋体" w:hAnsi="宋体" w:cs="宋体"/>
                <w:kern w:val="0"/>
                <w:szCs w:val="21"/>
              </w:rPr>
            </w:pPr>
          </w:p>
        </w:tc>
      </w:tr>
      <w:tr w14:paraId="578121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718D8CA7">
            <w:pPr>
              <w:widowControl/>
              <w:jc w:val="center"/>
              <w:textAlignment w:val="center"/>
              <w:rPr>
                <w:rFonts w:hint="eastAsia" w:ascii="宋体" w:hAnsi="宋体" w:cs="宋体"/>
                <w:kern w:val="0"/>
                <w:szCs w:val="21"/>
              </w:rPr>
            </w:pPr>
          </w:p>
        </w:tc>
        <w:tc>
          <w:tcPr>
            <w:tcW w:w="4572" w:type="dxa"/>
            <w:noWrap w:val="0"/>
            <w:vAlign w:val="center"/>
          </w:tcPr>
          <w:p w14:paraId="4F679B5E">
            <w:pPr>
              <w:widowControl/>
              <w:jc w:val="left"/>
              <w:textAlignment w:val="center"/>
              <w:rPr>
                <w:rFonts w:hint="eastAsia" w:ascii="宋体" w:hAnsi="宋体" w:cs="宋体"/>
                <w:kern w:val="0"/>
                <w:szCs w:val="21"/>
              </w:rPr>
            </w:pPr>
          </w:p>
        </w:tc>
        <w:tc>
          <w:tcPr>
            <w:tcW w:w="899" w:type="dxa"/>
            <w:noWrap w:val="0"/>
            <w:vAlign w:val="center"/>
          </w:tcPr>
          <w:p w14:paraId="5AAD18C0">
            <w:pPr>
              <w:widowControl/>
              <w:jc w:val="center"/>
              <w:textAlignment w:val="center"/>
              <w:rPr>
                <w:rFonts w:hint="eastAsia" w:ascii="宋体" w:hAnsi="宋体" w:cs="宋体"/>
                <w:kern w:val="0"/>
                <w:szCs w:val="21"/>
              </w:rPr>
            </w:pPr>
          </w:p>
        </w:tc>
        <w:tc>
          <w:tcPr>
            <w:tcW w:w="899" w:type="dxa"/>
            <w:noWrap w:val="0"/>
            <w:vAlign w:val="center"/>
          </w:tcPr>
          <w:p w14:paraId="311B737D">
            <w:pPr>
              <w:widowControl/>
              <w:jc w:val="right"/>
              <w:textAlignment w:val="center"/>
              <w:rPr>
                <w:rFonts w:hint="eastAsia" w:ascii="宋体" w:hAnsi="宋体" w:cs="宋体"/>
                <w:kern w:val="0"/>
                <w:szCs w:val="21"/>
              </w:rPr>
            </w:pPr>
          </w:p>
        </w:tc>
        <w:tc>
          <w:tcPr>
            <w:tcW w:w="1079" w:type="dxa"/>
            <w:noWrap w:val="0"/>
            <w:vAlign w:val="center"/>
          </w:tcPr>
          <w:p w14:paraId="49026A8F">
            <w:pPr>
              <w:widowControl/>
              <w:jc w:val="center"/>
              <w:rPr>
                <w:rFonts w:ascii="宋体" w:hAnsi="宋体" w:cs="宋体"/>
                <w:kern w:val="0"/>
                <w:szCs w:val="21"/>
              </w:rPr>
            </w:pPr>
          </w:p>
        </w:tc>
        <w:tc>
          <w:tcPr>
            <w:tcW w:w="1079" w:type="dxa"/>
            <w:noWrap w:val="0"/>
            <w:vAlign w:val="center"/>
          </w:tcPr>
          <w:p w14:paraId="0508E177">
            <w:pPr>
              <w:widowControl/>
              <w:jc w:val="center"/>
              <w:rPr>
                <w:rFonts w:ascii="宋体" w:hAnsi="宋体" w:cs="宋体"/>
                <w:kern w:val="0"/>
                <w:szCs w:val="21"/>
              </w:rPr>
            </w:pPr>
          </w:p>
        </w:tc>
      </w:tr>
      <w:tr w14:paraId="6D0F90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13270711">
            <w:pPr>
              <w:widowControl/>
              <w:jc w:val="center"/>
              <w:textAlignment w:val="center"/>
              <w:rPr>
                <w:rFonts w:hint="eastAsia" w:ascii="宋体" w:hAnsi="宋体" w:cs="宋体"/>
                <w:kern w:val="0"/>
                <w:szCs w:val="21"/>
              </w:rPr>
            </w:pPr>
          </w:p>
        </w:tc>
        <w:tc>
          <w:tcPr>
            <w:tcW w:w="4572" w:type="dxa"/>
            <w:noWrap w:val="0"/>
            <w:vAlign w:val="center"/>
          </w:tcPr>
          <w:p w14:paraId="787E6C8B">
            <w:pPr>
              <w:widowControl/>
              <w:jc w:val="left"/>
              <w:textAlignment w:val="center"/>
              <w:rPr>
                <w:rFonts w:hint="eastAsia" w:ascii="宋体" w:hAnsi="宋体" w:cs="宋体"/>
                <w:kern w:val="0"/>
                <w:szCs w:val="21"/>
              </w:rPr>
            </w:pPr>
          </w:p>
        </w:tc>
        <w:tc>
          <w:tcPr>
            <w:tcW w:w="899" w:type="dxa"/>
            <w:noWrap w:val="0"/>
            <w:vAlign w:val="center"/>
          </w:tcPr>
          <w:p w14:paraId="7AE28731">
            <w:pPr>
              <w:jc w:val="center"/>
              <w:rPr>
                <w:rFonts w:hint="eastAsia" w:ascii="宋体" w:hAnsi="宋体" w:cs="宋体"/>
                <w:kern w:val="0"/>
                <w:szCs w:val="21"/>
              </w:rPr>
            </w:pPr>
          </w:p>
        </w:tc>
        <w:tc>
          <w:tcPr>
            <w:tcW w:w="899" w:type="dxa"/>
            <w:noWrap w:val="0"/>
            <w:vAlign w:val="center"/>
          </w:tcPr>
          <w:p w14:paraId="366201B9">
            <w:pPr>
              <w:jc w:val="right"/>
              <w:rPr>
                <w:rFonts w:hint="eastAsia" w:ascii="宋体" w:hAnsi="宋体" w:cs="宋体"/>
                <w:kern w:val="0"/>
                <w:szCs w:val="21"/>
              </w:rPr>
            </w:pPr>
          </w:p>
        </w:tc>
        <w:tc>
          <w:tcPr>
            <w:tcW w:w="1079" w:type="dxa"/>
            <w:noWrap w:val="0"/>
            <w:vAlign w:val="center"/>
          </w:tcPr>
          <w:p w14:paraId="6F529209">
            <w:pPr>
              <w:widowControl/>
              <w:jc w:val="center"/>
              <w:rPr>
                <w:rFonts w:ascii="宋体" w:hAnsi="宋体" w:cs="宋体"/>
                <w:kern w:val="0"/>
                <w:szCs w:val="21"/>
              </w:rPr>
            </w:pPr>
          </w:p>
        </w:tc>
        <w:tc>
          <w:tcPr>
            <w:tcW w:w="1079" w:type="dxa"/>
            <w:noWrap w:val="0"/>
            <w:vAlign w:val="center"/>
          </w:tcPr>
          <w:p w14:paraId="207E1CA2">
            <w:pPr>
              <w:widowControl/>
              <w:jc w:val="center"/>
              <w:rPr>
                <w:rFonts w:ascii="宋体" w:hAnsi="宋体" w:cs="宋体"/>
                <w:kern w:val="0"/>
                <w:szCs w:val="21"/>
              </w:rPr>
            </w:pPr>
          </w:p>
        </w:tc>
      </w:tr>
      <w:tr w14:paraId="30C161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2BEBE87F">
            <w:pPr>
              <w:widowControl/>
              <w:jc w:val="center"/>
              <w:textAlignment w:val="center"/>
              <w:rPr>
                <w:rFonts w:hint="eastAsia" w:ascii="宋体" w:hAnsi="宋体" w:cs="宋体"/>
                <w:kern w:val="0"/>
                <w:szCs w:val="21"/>
              </w:rPr>
            </w:pPr>
          </w:p>
        </w:tc>
        <w:tc>
          <w:tcPr>
            <w:tcW w:w="4572" w:type="dxa"/>
            <w:noWrap w:val="0"/>
            <w:vAlign w:val="center"/>
          </w:tcPr>
          <w:p w14:paraId="4599816B">
            <w:pPr>
              <w:widowControl/>
              <w:jc w:val="left"/>
              <w:textAlignment w:val="center"/>
              <w:rPr>
                <w:rFonts w:hint="eastAsia" w:ascii="宋体" w:hAnsi="宋体" w:cs="宋体"/>
                <w:kern w:val="0"/>
                <w:szCs w:val="21"/>
              </w:rPr>
            </w:pPr>
          </w:p>
        </w:tc>
        <w:tc>
          <w:tcPr>
            <w:tcW w:w="899" w:type="dxa"/>
            <w:noWrap w:val="0"/>
            <w:vAlign w:val="center"/>
          </w:tcPr>
          <w:p w14:paraId="26452D74">
            <w:pPr>
              <w:widowControl/>
              <w:jc w:val="center"/>
              <w:textAlignment w:val="center"/>
              <w:rPr>
                <w:rFonts w:hint="eastAsia" w:ascii="宋体" w:hAnsi="宋体" w:cs="宋体"/>
                <w:kern w:val="0"/>
                <w:szCs w:val="21"/>
              </w:rPr>
            </w:pPr>
          </w:p>
        </w:tc>
        <w:tc>
          <w:tcPr>
            <w:tcW w:w="899" w:type="dxa"/>
            <w:noWrap w:val="0"/>
            <w:vAlign w:val="center"/>
          </w:tcPr>
          <w:p w14:paraId="19A7DA4A">
            <w:pPr>
              <w:widowControl/>
              <w:jc w:val="right"/>
              <w:textAlignment w:val="center"/>
              <w:rPr>
                <w:rFonts w:hint="eastAsia" w:ascii="宋体" w:hAnsi="宋体" w:cs="宋体"/>
                <w:kern w:val="0"/>
                <w:szCs w:val="21"/>
              </w:rPr>
            </w:pPr>
          </w:p>
        </w:tc>
        <w:tc>
          <w:tcPr>
            <w:tcW w:w="1079" w:type="dxa"/>
            <w:noWrap w:val="0"/>
            <w:vAlign w:val="center"/>
          </w:tcPr>
          <w:p w14:paraId="30BC3EA3">
            <w:pPr>
              <w:widowControl/>
              <w:jc w:val="center"/>
              <w:rPr>
                <w:rFonts w:ascii="宋体" w:hAnsi="宋体" w:cs="宋体"/>
                <w:kern w:val="0"/>
                <w:szCs w:val="21"/>
              </w:rPr>
            </w:pPr>
          </w:p>
        </w:tc>
        <w:tc>
          <w:tcPr>
            <w:tcW w:w="1079" w:type="dxa"/>
            <w:noWrap w:val="0"/>
            <w:vAlign w:val="center"/>
          </w:tcPr>
          <w:p w14:paraId="0CE87CDE">
            <w:pPr>
              <w:widowControl/>
              <w:jc w:val="center"/>
              <w:rPr>
                <w:rFonts w:ascii="宋体" w:hAnsi="宋体" w:cs="宋体"/>
                <w:kern w:val="0"/>
                <w:szCs w:val="21"/>
              </w:rPr>
            </w:pPr>
          </w:p>
        </w:tc>
      </w:tr>
      <w:tr w14:paraId="7173DB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466D000D">
            <w:pPr>
              <w:widowControl/>
              <w:jc w:val="center"/>
              <w:textAlignment w:val="center"/>
              <w:rPr>
                <w:rFonts w:hint="eastAsia" w:ascii="宋体" w:hAnsi="宋体" w:cs="宋体"/>
                <w:kern w:val="0"/>
                <w:szCs w:val="21"/>
              </w:rPr>
            </w:pPr>
          </w:p>
        </w:tc>
        <w:tc>
          <w:tcPr>
            <w:tcW w:w="4572" w:type="dxa"/>
            <w:noWrap w:val="0"/>
            <w:vAlign w:val="center"/>
          </w:tcPr>
          <w:p w14:paraId="3A61FF77">
            <w:pPr>
              <w:widowControl/>
              <w:jc w:val="left"/>
              <w:textAlignment w:val="center"/>
              <w:rPr>
                <w:rFonts w:hint="eastAsia" w:ascii="宋体" w:hAnsi="宋体" w:cs="宋体"/>
                <w:kern w:val="0"/>
                <w:szCs w:val="21"/>
              </w:rPr>
            </w:pPr>
          </w:p>
        </w:tc>
        <w:tc>
          <w:tcPr>
            <w:tcW w:w="899" w:type="dxa"/>
            <w:noWrap w:val="0"/>
            <w:vAlign w:val="center"/>
          </w:tcPr>
          <w:p w14:paraId="327C17CF">
            <w:pPr>
              <w:jc w:val="center"/>
              <w:rPr>
                <w:rFonts w:hint="eastAsia" w:ascii="宋体" w:hAnsi="宋体" w:cs="宋体"/>
                <w:kern w:val="0"/>
                <w:szCs w:val="21"/>
              </w:rPr>
            </w:pPr>
          </w:p>
        </w:tc>
        <w:tc>
          <w:tcPr>
            <w:tcW w:w="899" w:type="dxa"/>
            <w:noWrap w:val="0"/>
            <w:vAlign w:val="center"/>
          </w:tcPr>
          <w:p w14:paraId="5C7B4C5C">
            <w:pPr>
              <w:jc w:val="right"/>
              <w:rPr>
                <w:rFonts w:hint="eastAsia" w:ascii="宋体" w:hAnsi="宋体" w:cs="宋体"/>
                <w:kern w:val="0"/>
                <w:szCs w:val="21"/>
              </w:rPr>
            </w:pPr>
          </w:p>
        </w:tc>
        <w:tc>
          <w:tcPr>
            <w:tcW w:w="1079" w:type="dxa"/>
            <w:noWrap w:val="0"/>
            <w:vAlign w:val="center"/>
          </w:tcPr>
          <w:p w14:paraId="51998A08">
            <w:pPr>
              <w:widowControl/>
              <w:jc w:val="center"/>
              <w:rPr>
                <w:rFonts w:ascii="宋体" w:hAnsi="宋体" w:cs="宋体"/>
                <w:kern w:val="0"/>
                <w:szCs w:val="21"/>
              </w:rPr>
            </w:pPr>
          </w:p>
        </w:tc>
        <w:tc>
          <w:tcPr>
            <w:tcW w:w="1079" w:type="dxa"/>
            <w:noWrap w:val="0"/>
            <w:vAlign w:val="center"/>
          </w:tcPr>
          <w:p w14:paraId="14102120">
            <w:pPr>
              <w:widowControl/>
              <w:jc w:val="center"/>
              <w:rPr>
                <w:rFonts w:ascii="宋体" w:hAnsi="宋体" w:cs="宋体"/>
                <w:kern w:val="0"/>
                <w:szCs w:val="21"/>
              </w:rPr>
            </w:pPr>
          </w:p>
        </w:tc>
      </w:tr>
      <w:tr w14:paraId="42C0B6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68" w:type="dxa"/>
            <w:gridSpan w:val="6"/>
            <w:noWrap w:val="0"/>
            <w:vAlign w:val="center"/>
          </w:tcPr>
          <w:p w14:paraId="5851BAD5">
            <w:pPr>
              <w:widowControl/>
              <w:jc w:val="center"/>
              <w:rPr>
                <w:rFonts w:ascii="宋体" w:hAnsi="宋体" w:cs="宋体"/>
                <w:b/>
                <w:kern w:val="0"/>
                <w:szCs w:val="21"/>
              </w:rPr>
            </w:pPr>
            <w:r>
              <w:rPr>
                <w:rFonts w:hint="eastAsia" w:ascii="宋体" w:hAnsi="宋体" w:cs="宋体"/>
                <w:b/>
                <w:kern w:val="0"/>
                <w:szCs w:val="21"/>
              </w:rPr>
              <w:t>清单300章合计   人民币</w:t>
            </w:r>
            <w:r>
              <w:rPr>
                <w:rFonts w:hint="eastAsia" w:ascii="宋体" w:hAnsi="宋体" w:cs="宋体"/>
                <w:b/>
                <w:kern w:val="0"/>
                <w:szCs w:val="21"/>
                <w:u w:val="single"/>
              </w:rPr>
              <w:t xml:space="preserve">       </w:t>
            </w:r>
            <w:r>
              <w:rPr>
                <w:rFonts w:hint="eastAsia" w:ascii="宋体" w:hAnsi="宋体" w:cs="宋体"/>
                <w:b/>
                <w:kern w:val="0"/>
                <w:szCs w:val="21"/>
              </w:rPr>
              <w:t>元</w:t>
            </w:r>
          </w:p>
        </w:tc>
      </w:tr>
    </w:tbl>
    <w:p w14:paraId="3F810D3C">
      <w:pPr>
        <w:spacing w:before="240" w:beforeLines="100" w:after="240" w:afterLines="100"/>
        <w:jc w:val="center"/>
        <w:rPr>
          <w:rFonts w:hint="eastAsia" w:ascii="黑体" w:hAnsi="宋体" w:eastAsia="黑体"/>
          <w:sz w:val="30"/>
          <w:szCs w:val="30"/>
        </w:rPr>
      </w:pPr>
    </w:p>
    <w:p w14:paraId="5D04A529">
      <w:pPr>
        <w:spacing w:before="240" w:beforeLines="100" w:after="240" w:afterLines="100"/>
        <w:jc w:val="center"/>
        <w:rPr>
          <w:rFonts w:hint="eastAsia" w:ascii="黑体" w:hAnsi="宋体" w:eastAsia="黑体"/>
          <w:sz w:val="30"/>
          <w:szCs w:val="30"/>
        </w:rPr>
      </w:pPr>
      <w:r>
        <w:rPr>
          <w:rFonts w:hint="eastAsia" w:ascii="黑体" w:hAnsi="宋体" w:eastAsia="黑体"/>
          <w:sz w:val="30"/>
          <w:szCs w:val="30"/>
        </w:rPr>
        <w:t>工程量清单</w:t>
      </w:r>
    </w:p>
    <w:p w14:paraId="5CE46A39">
      <w:pPr>
        <w:pStyle w:val="50"/>
        <w:ind w:left="0" w:leftChars="0" w:firstLine="0" w:firstLine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标项</w:t>
      </w: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w:t>
      </w:r>
      <w:r>
        <w:rPr>
          <w:rFonts w:hint="eastAsia" w:asciiTheme="minorEastAsia" w:hAnsiTheme="minorEastAsia" w:cstheme="minorEastAsia"/>
          <w:sz w:val="24"/>
          <w:szCs w:val="24"/>
          <w:lang w:eastAsia="zh-CN"/>
        </w:rPr>
        <w:t>2026年秀洲区县道及以上公路小修及应急抢险项目</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第</w:t>
      </w:r>
      <w:r>
        <w:rPr>
          <w:rFonts w:hint="eastAsia" w:asciiTheme="minorEastAsia" w:hAnsiTheme="minorEastAsia" w:cstheme="minorEastAsia"/>
          <w:sz w:val="24"/>
          <w:szCs w:val="24"/>
          <w:lang w:val="en-US" w:eastAsia="zh-CN"/>
        </w:rPr>
        <w:t>二</w:t>
      </w:r>
      <w:r>
        <w:rPr>
          <w:rFonts w:hint="eastAsia" w:asciiTheme="minorEastAsia" w:hAnsiTheme="minorEastAsia" w:eastAsiaTheme="minorEastAsia" w:cstheme="minorEastAsia"/>
          <w:sz w:val="24"/>
          <w:szCs w:val="24"/>
          <w:lang w:eastAsia="zh-CN"/>
        </w:rPr>
        <w:t>标段）</w:t>
      </w:r>
    </w:p>
    <w:p w14:paraId="6406A0F0">
      <w:pPr>
        <w:pStyle w:val="50"/>
        <w:ind w:left="0" w:leftChars="0" w:firstLine="0" w:firstLineChars="0"/>
        <w:rPr>
          <w:rFonts w:hint="eastAsia" w:ascii="黑体" w:hAnsi="宋体" w:eastAsia="黑体"/>
          <w:sz w:val="30"/>
          <w:szCs w:val="30"/>
        </w:rPr>
      </w:pPr>
      <w:r>
        <w:rPr>
          <w:rFonts w:hint="eastAsia" w:asciiTheme="minorEastAsia" w:hAnsiTheme="minorEastAsia" w:eastAsiaTheme="minorEastAsia" w:cstheme="minorEastAsia"/>
          <w:sz w:val="24"/>
          <w:szCs w:val="24"/>
        </w:rPr>
        <w:t>货币单位：人民币元</w:t>
      </w:r>
    </w:p>
    <w:p w14:paraId="5309FFE7">
      <w:pPr>
        <w:tabs>
          <w:tab w:val="left" w:pos="3885"/>
        </w:tabs>
        <w:rPr>
          <w:rFonts w:hint="eastAsia"/>
        </w:rPr>
      </w:pPr>
      <w:r>
        <w:tab/>
      </w:r>
    </w:p>
    <w:tbl>
      <w:tblPr>
        <w:tblStyle w:val="51"/>
        <w:tblW w:w="946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40"/>
        <w:gridCol w:w="4572"/>
        <w:gridCol w:w="899"/>
        <w:gridCol w:w="899"/>
        <w:gridCol w:w="1079"/>
        <w:gridCol w:w="1079"/>
      </w:tblGrid>
      <w:tr w14:paraId="22BB24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68" w:type="dxa"/>
            <w:gridSpan w:val="6"/>
            <w:noWrap w:val="0"/>
            <w:vAlign w:val="center"/>
          </w:tcPr>
          <w:p w14:paraId="5562814A">
            <w:pPr>
              <w:ind w:firstLine="103" w:firstLineChars="49"/>
              <w:jc w:val="center"/>
              <w:rPr>
                <w:rFonts w:ascii="宋体" w:hAnsi="宋体"/>
                <w:b/>
                <w:bCs/>
              </w:rPr>
            </w:pPr>
            <w:r>
              <w:rPr>
                <w:rFonts w:hint="eastAsia" w:ascii="宋体" w:hAnsi="宋体"/>
                <w:b/>
                <w:bCs/>
              </w:rPr>
              <w:t>清单      第</w:t>
            </w:r>
            <w:r>
              <w:rPr>
                <w:rFonts w:hint="eastAsia" w:ascii="宋体" w:hAnsi="宋体"/>
                <w:b/>
                <w:bCs/>
                <w:lang w:val="en-US" w:eastAsia="zh-CN"/>
              </w:rPr>
              <w:t>4</w:t>
            </w:r>
            <w:r>
              <w:rPr>
                <w:rFonts w:hint="eastAsia" w:ascii="宋体" w:hAnsi="宋体"/>
                <w:b/>
                <w:bCs/>
              </w:rPr>
              <w:t>00章      桥梁与涵洞</w:t>
            </w:r>
          </w:p>
        </w:tc>
      </w:tr>
      <w:tr w14:paraId="0F8967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66A0C7CB">
            <w:pPr>
              <w:widowControl/>
              <w:jc w:val="left"/>
              <w:rPr>
                <w:rFonts w:ascii="宋体" w:hAnsi="宋体" w:cs="宋体"/>
                <w:kern w:val="0"/>
                <w:szCs w:val="21"/>
              </w:rPr>
            </w:pPr>
            <w:r>
              <w:rPr>
                <w:rFonts w:hint="eastAsia" w:ascii="宋体" w:hAnsi="宋体" w:cs="宋体"/>
                <w:kern w:val="0"/>
                <w:szCs w:val="21"/>
              </w:rPr>
              <w:t>子目号</w:t>
            </w:r>
          </w:p>
        </w:tc>
        <w:tc>
          <w:tcPr>
            <w:tcW w:w="4572" w:type="dxa"/>
            <w:noWrap w:val="0"/>
            <w:vAlign w:val="center"/>
          </w:tcPr>
          <w:p w14:paraId="50553C39">
            <w:pPr>
              <w:widowControl/>
              <w:jc w:val="center"/>
              <w:rPr>
                <w:rFonts w:ascii="宋体" w:hAnsi="宋体" w:cs="宋体"/>
                <w:kern w:val="0"/>
                <w:szCs w:val="21"/>
              </w:rPr>
            </w:pPr>
            <w:r>
              <w:rPr>
                <w:rFonts w:hint="eastAsia" w:ascii="宋体" w:hAnsi="宋体" w:cs="宋体"/>
                <w:kern w:val="0"/>
                <w:szCs w:val="21"/>
              </w:rPr>
              <w:t>子  目  名  称</w:t>
            </w:r>
          </w:p>
        </w:tc>
        <w:tc>
          <w:tcPr>
            <w:tcW w:w="899" w:type="dxa"/>
            <w:noWrap w:val="0"/>
            <w:vAlign w:val="center"/>
          </w:tcPr>
          <w:p w14:paraId="3D89BBDA">
            <w:pPr>
              <w:widowControl/>
              <w:jc w:val="center"/>
              <w:rPr>
                <w:rFonts w:ascii="宋体" w:hAnsi="宋体" w:cs="宋体"/>
                <w:kern w:val="0"/>
                <w:szCs w:val="21"/>
              </w:rPr>
            </w:pPr>
            <w:r>
              <w:rPr>
                <w:rFonts w:hint="eastAsia" w:ascii="宋体" w:hAnsi="宋体" w:cs="宋体"/>
                <w:kern w:val="0"/>
                <w:szCs w:val="21"/>
              </w:rPr>
              <w:t>单位</w:t>
            </w:r>
          </w:p>
        </w:tc>
        <w:tc>
          <w:tcPr>
            <w:tcW w:w="899" w:type="dxa"/>
            <w:noWrap w:val="0"/>
            <w:vAlign w:val="center"/>
          </w:tcPr>
          <w:p w14:paraId="7D4E9A24">
            <w:pPr>
              <w:widowControl/>
              <w:jc w:val="center"/>
              <w:rPr>
                <w:rFonts w:ascii="宋体" w:hAnsi="宋体" w:cs="宋体"/>
                <w:kern w:val="0"/>
                <w:szCs w:val="21"/>
              </w:rPr>
            </w:pPr>
            <w:r>
              <w:rPr>
                <w:rFonts w:hint="eastAsia" w:ascii="宋体" w:hAnsi="宋体" w:cs="宋体"/>
                <w:kern w:val="0"/>
                <w:szCs w:val="21"/>
              </w:rPr>
              <w:t>数量</w:t>
            </w:r>
          </w:p>
        </w:tc>
        <w:tc>
          <w:tcPr>
            <w:tcW w:w="1079" w:type="dxa"/>
            <w:noWrap w:val="0"/>
            <w:vAlign w:val="center"/>
          </w:tcPr>
          <w:p w14:paraId="6A57449A">
            <w:pPr>
              <w:widowControl/>
              <w:jc w:val="center"/>
              <w:rPr>
                <w:rFonts w:ascii="宋体" w:hAnsi="宋体" w:cs="宋体"/>
                <w:kern w:val="0"/>
                <w:szCs w:val="21"/>
              </w:rPr>
            </w:pPr>
            <w:r>
              <w:rPr>
                <w:rFonts w:hint="eastAsia" w:ascii="宋体" w:hAnsi="宋体" w:cs="宋体"/>
                <w:kern w:val="0"/>
                <w:szCs w:val="21"/>
              </w:rPr>
              <w:t>单价</w:t>
            </w:r>
          </w:p>
        </w:tc>
        <w:tc>
          <w:tcPr>
            <w:tcW w:w="1079" w:type="dxa"/>
            <w:noWrap w:val="0"/>
            <w:vAlign w:val="center"/>
          </w:tcPr>
          <w:p w14:paraId="56063E95">
            <w:pPr>
              <w:widowControl/>
              <w:jc w:val="center"/>
              <w:rPr>
                <w:rFonts w:ascii="宋体" w:hAnsi="宋体" w:cs="宋体"/>
                <w:kern w:val="0"/>
                <w:szCs w:val="21"/>
              </w:rPr>
            </w:pPr>
            <w:r>
              <w:rPr>
                <w:rFonts w:hint="eastAsia" w:ascii="宋体" w:hAnsi="宋体" w:cs="宋体"/>
                <w:kern w:val="0"/>
                <w:szCs w:val="21"/>
              </w:rPr>
              <w:t>合价</w:t>
            </w:r>
          </w:p>
        </w:tc>
      </w:tr>
      <w:tr w14:paraId="11BBB8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4FE0835C">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404</w:t>
            </w:r>
          </w:p>
        </w:tc>
        <w:tc>
          <w:tcPr>
            <w:tcW w:w="4572" w:type="dxa"/>
            <w:noWrap w:val="0"/>
            <w:vAlign w:val="center"/>
          </w:tcPr>
          <w:p w14:paraId="255443C8">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涵洞</w:t>
            </w:r>
          </w:p>
        </w:tc>
        <w:tc>
          <w:tcPr>
            <w:tcW w:w="899" w:type="dxa"/>
            <w:noWrap w:val="0"/>
            <w:vAlign w:val="center"/>
          </w:tcPr>
          <w:p w14:paraId="76470E62">
            <w:pPr>
              <w:jc w:val="center"/>
              <w:rPr>
                <w:rFonts w:hint="eastAsia" w:ascii="宋体" w:hAnsi="宋体" w:cs="宋体"/>
                <w:kern w:val="0"/>
                <w:sz w:val="21"/>
                <w:szCs w:val="21"/>
              </w:rPr>
            </w:pPr>
          </w:p>
        </w:tc>
        <w:tc>
          <w:tcPr>
            <w:tcW w:w="899" w:type="dxa"/>
            <w:noWrap w:val="0"/>
            <w:vAlign w:val="center"/>
          </w:tcPr>
          <w:p w14:paraId="1BBF885E">
            <w:pPr>
              <w:jc w:val="right"/>
              <w:rPr>
                <w:rFonts w:hint="eastAsia" w:ascii="宋体" w:hAnsi="宋体" w:cs="宋体"/>
                <w:kern w:val="0"/>
                <w:sz w:val="21"/>
                <w:szCs w:val="21"/>
              </w:rPr>
            </w:pPr>
          </w:p>
        </w:tc>
        <w:tc>
          <w:tcPr>
            <w:tcW w:w="1079" w:type="dxa"/>
            <w:noWrap w:val="0"/>
            <w:vAlign w:val="center"/>
          </w:tcPr>
          <w:p w14:paraId="1CE404FC">
            <w:pPr>
              <w:widowControl/>
              <w:jc w:val="center"/>
              <w:rPr>
                <w:rFonts w:hint="eastAsia" w:ascii="宋体" w:hAnsi="宋体" w:cs="宋体"/>
                <w:kern w:val="0"/>
                <w:szCs w:val="21"/>
              </w:rPr>
            </w:pPr>
          </w:p>
        </w:tc>
        <w:tc>
          <w:tcPr>
            <w:tcW w:w="1079" w:type="dxa"/>
            <w:noWrap w:val="0"/>
            <w:vAlign w:val="center"/>
          </w:tcPr>
          <w:p w14:paraId="75089969">
            <w:pPr>
              <w:widowControl/>
              <w:jc w:val="center"/>
              <w:rPr>
                <w:rFonts w:hint="eastAsia" w:ascii="宋体" w:hAnsi="宋体" w:cs="宋体"/>
                <w:kern w:val="0"/>
                <w:szCs w:val="21"/>
              </w:rPr>
            </w:pPr>
          </w:p>
        </w:tc>
      </w:tr>
      <w:tr w14:paraId="4838DB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39" w:hRule="atLeast"/>
        </w:trPr>
        <w:tc>
          <w:tcPr>
            <w:tcW w:w="940" w:type="dxa"/>
            <w:noWrap w:val="0"/>
            <w:vAlign w:val="center"/>
          </w:tcPr>
          <w:p w14:paraId="4901024B">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404-1</w:t>
            </w:r>
          </w:p>
        </w:tc>
        <w:tc>
          <w:tcPr>
            <w:tcW w:w="4572" w:type="dxa"/>
            <w:noWrap w:val="0"/>
            <w:vAlign w:val="center"/>
          </w:tcPr>
          <w:p w14:paraId="5713FD2F">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圆管涵维修</w:t>
            </w:r>
          </w:p>
        </w:tc>
        <w:tc>
          <w:tcPr>
            <w:tcW w:w="899" w:type="dxa"/>
            <w:noWrap w:val="0"/>
            <w:vAlign w:val="center"/>
          </w:tcPr>
          <w:p w14:paraId="32BE956D">
            <w:pPr>
              <w:jc w:val="center"/>
              <w:rPr>
                <w:rFonts w:hint="eastAsia" w:ascii="宋体" w:hAnsi="宋体" w:cs="宋体"/>
                <w:kern w:val="0"/>
                <w:sz w:val="21"/>
                <w:szCs w:val="21"/>
              </w:rPr>
            </w:pPr>
          </w:p>
        </w:tc>
        <w:tc>
          <w:tcPr>
            <w:tcW w:w="899" w:type="dxa"/>
            <w:noWrap w:val="0"/>
            <w:vAlign w:val="center"/>
          </w:tcPr>
          <w:p w14:paraId="469DD0BA">
            <w:pPr>
              <w:jc w:val="right"/>
              <w:rPr>
                <w:rFonts w:hint="eastAsia" w:ascii="宋体" w:hAnsi="宋体" w:cs="宋体"/>
                <w:kern w:val="0"/>
                <w:sz w:val="21"/>
                <w:szCs w:val="21"/>
              </w:rPr>
            </w:pPr>
          </w:p>
        </w:tc>
        <w:tc>
          <w:tcPr>
            <w:tcW w:w="1079" w:type="dxa"/>
            <w:noWrap w:val="0"/>
            <w:vAlign w:val="center"/>
          </w:tcPr>
          <w:p w14:paraId="691FACE4">
            <w:pPr>
              <w:widowControl/>
              <w:jc w:val="center"/>
              <w:rPr>
                <w:rFonts w:hint="eastAsia" w:ascii="宋体" w:hAnsi="宋体" w:cs="宋体"/>
                <w:kern w:val="0"/>
                <w:szCs w:val="21"/>
              </w:rPr>
            </w:pPr>
          </w:p>
        </w:tc>
        <w:tc>
          <w:tcPr>
            <w:tcW w:w="1079" w:type="dxa"/>
            <w:noWrap w:val="0"/>
            <w:vAlign w:val="center"/>
          </w:tcPr>
          <w:p w14:paraId="5E7F4EF4">
            <w:pPr>
              <w:widowControl/>
              <w:jc w:val="center"/>
              <w:rPr>
                <w:rFonts w:hint="eastAsia" w:ascii="宋体" w:hAnsi="宋体" w:cs="宋体"/>
                <w:kern w:val="0"/>
                <w:szCs w:val="21"/>
              </w:rPr>
            </w:pPr>
          </w:p>
        </w:tc>
      </w:tr>
      <w:tr w14:paraId="3750CE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271BF204">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-a</w:t>
            </w:r>
          </w:p>
        </w:tc>
        <w:tc>
          <w:tcPr>
            <w:tcW w:w="4572" w:type="dxa"/>
            <w:noWrap w:val="0"/>
            <w:vAlign w:val="center"/>
          </w:tcPr>
          <w:p w14:paraId="7B8FA9DD">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φ600mm圆管涵</w:t>
            </w:r>
          </w:p>
        </w:tc>
        <w:tc>
          <w:tcPr>
            <w:tcW w:w="899" w:type="dxa"/>
            <w:noWrap w:val="0"/>
            <w:vAlign w:val="center"/>
          </w:tcPr>
          <w:p w14:paraId="7B03687C">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m</w:t>
            </w:r>
          </w:p>
        </w:tc>
        <w:tc>
          <w:tcPr>
            <w:tcW w:w="899" w:type="dxa"/>
            <w:noWrap w:val="0"/>
            <w:vAlign w:val="center"/>
          </w:tcPr>
          <w:p w14:paraId="5F78CA02">
            <w:pPr>
              <w:keepNext w:val="0"/>
              <w:keepLines w:val="0"/>
              <w:widowControl/>
              <w:suppressLineNumbers w:val="0"/>
              <w:jc w:val="right"/>
              <w:textAlignment w:val="center"/>
              <w:rPr>
                <w:rFonts w:hint="eastAsia" w:ascii="宋体" w:hAnsi="宋体" w:cs="宋体"/>
                <w:kern w:val="0"/>
                <w:sz w:val="21"/>
                <w:szCs w:val="21"/>
              </w:rPr>
            </w:pPr>
            <w:r>
              <w:rPr>
                <w:rFonts w:hint="default" w:ascii="Arial Narrow" w:hAnsi="Arial Narrow" w:eastAsia="Arial Narrow" w:cs="Arial Narrow"/>
                <w:i w:val="0"/>
                <w:iCs w:val="0"/>
                <w:color w:val="000000"/>
                <w:kern w:val="0"/>
                <w:sz w:val="21"/>
                <w:szCs w:val="21"/>
                <w:u w:val="none"/>
                <w:lang w:val="en-US" w:eastAsia="zh-CN" w:bidi="ar"/>
              </w:rPr>
              <w:t>20</w:t>
            </w:r>
          </w:p>
        </w:tc>
        <w:tc>
          <w:tcPr>
            <w:tcW w:w="1079" w:type="dxa"/>
            <w:noWrap w:val="0"/>
            <w:vAlign w:val="center"/>
          </w:tcPr>
          <w:p w14:paraId="37A5DD7C">
            <w:pPr>
              <w:widowControl/>
              <w:jc w:val="center"/>
              <w:rPr>
                <w:rFonts w:hint="eastAsia" w:ascii="宋体" w:hAnsi="宋体" w:cs="宋体"/>
                <w:kern w:val="0"/>
                <w:szCs w:val="21"/>
              </w:rPr>
            </w:pPr>
          </w:p>
        </w:tc>
        <w:tc>
          <w:tcPr>
            <w:tcW w:w="1079" w:type="dxa"/>
            <w:noWrap w:val="0"/>
            <w:vAlign w:val="center"/>
          </w:tcPr>
          <w:p w14:paraId="7B728018">
            <w:pPr>
              <w:widowControl/>
              <w:jc w:val="center"/>
              <w:rPr>
                <w:rFonts w:hint="eastAsia" w:ascii="宋体" w:hAnsi="宋体" w:cs="宋体"/>
                <w:kern w:val="0"/>
                <w:szCs w:val="21"/>
              </w:rPr>
            </w:pPr>
          </w:p>
        </w:tc>
      </w:tr>
      <w:tr w14:paraId="27F46F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6CE0A560">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-b</w:t>
            </w:r>
          </w:p>
        </w:tc>
        <w:tc>
          <w:tcPr>
            <w:tcW w:w="4572" w:type="dxa"/>
            <w:noWrap w:val="0"/>
            <w:vAlign w:val="center"/>
          </w:tcPr>
          <w:p w14:paraId="2E342F3D">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φ1000mm圆管涵</w:t>
            </w:r>
          </w:p>
        </w:tc>
        <w:tc>
          <w:tcPr>
            <w:tcW w:w="899" w:type="dxa"/>
            <w:noWrap w:val="0"/>
            <w:vAlign w:val="center"/>
          </w:tcPr>
          <w:p w14:paraId="1FE73668">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m</w:t>
            </w:r>
          </w:p>
        </w:tc>
        <w:tc>
          <w:tcPr>
            <w:tcW w:w="899" w:type="dxa"/>
            <w:noWrap w:val="0"/>
            <w:vAlign w:val="center"/>
          </w:tcPr>
          <w:p w14:paraId="436E21DD">
            <w:pPr>
              <w:keepNext w:val="0"/>
              <w:keepLines w:val="0"/>
              <w:widowControl/>
              <w:suppressLineNumbers w:val="0"/>
              <w:jc w:val="right"/>
              <w:textAlignment w:val="center"/>
              <w:rPr>
                <w:rFonts w:hint="eastAsia" w:ascii="宋体" w:hAnsi="宋体" w:cs="宋体"/>
                <w:kern w:val="0"/>
                <w:sz w:val="21"/>
                <w:szCs w:val="21"/>
              </w:rPr>
            </w:pPr>
            <w:r>
              <w:rPr>
                <w:rFonts w:hint="default" w:ascii="Arial Narrow" w:hAnsi="Arial Narrow" w:eastAsia="Arial Narrow" w:cs="Arial Narrow"/>
                <w:i w:val="0"/>
                <w:iCs w:val="0"/>
                <w:color w:val="000000"/>
                <w:kern w:val="0"/>
                <w:sz w:val="21"/>
                <w:szCs w:val="21"/>
                <w:u w:val="none"/>
                <w:lang w:val="en-US" w:eastAsia="zh-CN" w:bidi="ar"/>
              </w:rPr>
              <w:t>20</w:t>
            </w:r>
          </w:p>
        </w:tc>
        <w:tc>
          <w:tcPr>
            <w:tcW w:w="1079" w:type="dxa"/>
            <w:noWrap w:val="0"/>
            <w:vAlign w:val="center"/>
          </w:tcPr>
          <w:p w14:paraId="3C0C184C">
            <w:pPr>
              <w:widowControl/>
              <w:jc w:val="center"/>
              <w:rPr>
                <w:rFonts w:hint="eastAsia" w:ascii="宋体" w:hAnsi="宋体" w:cs="宋体"/>
                <w:kern w:val="0"/>
                <w:szCs w:val="21"/>
              </w:rPr>
            </w:pPr>
          </w:p>
        </w:tc>
        <w:tc>
          <w:tcPr>
            <w:tcW w:w="1079" w:type="dxa"/>
            <w:noWrap w:val="0"/>
            <w:vAlign w:val="center"/>
          </w:tcPr>
          <w:p w14:paraId="3D22085F">
            <w:pPr>
              <w:widowControl/>
              <w:jc w:val="center"/>
              <w:rPr>
                <w:rFonts w:hint="eastAsia" w:ascii="宋体" w:hAnsi="宋体" w:cs="宋体"/>
                <w:kern w:val="0"/>
                <w:szCs w:val="21"/>
              </w:rPr>
            </w:pPr>
          </w:p>
        </w:tc>
      </w:tr>
      <w:tr w14:paraId="1A50C1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3071D12A">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-c</w:t>
            </w:r>
          </w:p>
        </w:tc>
        <w:tc>
          <w:tcPr>
            <w:tcW w:w="4572" w:type="dxa"/>
            <w:noWrap w:val="0"/>
            <w:vAlign w:val="center"/>
          </w:tcPr>
          <w:p w14:paraId="0E6F24ED">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φ1200mm圆管涵</w:t>
            </w:r>
          </w:p>
        </w:tc>
        <w:tc>
          <w:tcPr>
            <w:tcW w:w="899" w:type="dxa"/>
            <w:noWrap w:val="0"/>
            <w:vAlign w:val="center"/>
          </w:tcPr>
          <w:p w14:paraId="3B7B1E92">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m</w:t>
            </w:r>
          </w:p>
        </w:tc>
        <w:tc>
          <w:tcPr>
            <w:tcW w:w="899" w:type="dxa"/>
            <w:noWrap w:val="0"/>
            <w:vAlign w:val="center"/>
          </w:tcPr>
          <w:p w14:paraId="45250F9E">
            <w:pPr>
              <w:keepNext w:val="0"/>
              <w:keepLines w:val="0"/>
              <w:widowControl/>
              <w:suppressLineNumbers w:val="0"/>
              <w:jc w:val="right"/>
              <w:textAlignment w:val="center"/>
              <w:rPr>
                <w:rFonts w:hint="eastAsia" w:ascii="宋体" w:hAnsi="宋体" w:cs="宋体"/>
                <w:kern w:val="0"/>
                <w:sz w:val="21"/>
                <w:szCs w:val="21"/>
              </w:rPr>
            </w:pPr>
            <w:r>
              <w:rPr>
                <w:rFonts w:hint="default" w:ascii="Arial Narrow" w:hAnsi="Arial Narrow" w:eastAsia="Arial Narrow" w:cs="Arial Narrow"/>
                <w:i w:val="0"/>
                <w:iCs w:val="0"/>
                <w:color w:val="000000"/>
                <w:kern w:val="0"/>
                <w:sz w:val="21"/>
                <w:szCs w:val="21"/>
                <w:u w:val="none"/>
                <w:lang w:val="en-US" w:eastAsia="zh-CN" w:bidi="ar"/>
              </w:rPr>
              <w:t>20</w:t>
            </w:r>
          </w:p>
        </w:tc>
        <w:tc>
          <w:tcPr>
            <w:tcW w:w="1079" w:type="dxa"/>
            <w:noWrap w:val="0"/>
            <w:vAlign w:val="center"/>
          </w:tcPr>
          <w:p w14:paraId="58F279AC">
            <w:pPr>
              <w:widowControl/>
              <w:jc w:val="center"/>
              <w:rPr>
                <w:rFonts w:hint="eastAsia" w:ascii="宋体" w:hAnsi="宋体" w:cs="宋体"/>
                <w:kern w:val="0"/>
                <w:szCs w:val="21"/>
              </w:rPr>
            </w:pPr>
          </w:p>
        </w:tc>
        <w:tc>
          <w:tcPr>
            <w:tcW w:w="1079" w:type="dxa"/>
            <w:noWrap w:val="0"/>
            <w:vAlign w:val="center"/>
          </w:tcPr>
          <w:p w14:paraId="515FEC9A">
            <w:pPr>
              <w:widowControl/>
              <w:jc w:val="center"/>
              <w:rPr>
                <w:rFonts w:hint="eastAsia" w:ascii="宋体" w:hAnsi="宋体" w:cs="宋体"/>
                <w:kern w:val="0"/>
                <w:szCs w:val="21"/>
              </w:rPr>
            </w:pPr>
          </w:p>
        </w:tc>
      </w:tr>
      <w:tr w14:paraId="774C03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6B376BB5">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404-5</w:t>
            </w:r>
          </w:p>
        </w:tc>
        <w:tc>
          <w:tcPr>
            <w:tcW w:w="4572" w:type="dxa"/>
            <w:noWrap w:val="0"/>
            <w:vAlign w:val="center"/>
          </w:tcPr>
          <w:p w14:paraId="6D9340DF">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窨井新建或维修</w:t>
            </w:r>
          </w:p>
        </w:tc>
        <w:tc>
          <w:tcPr>
            <w:tcW w:w="899" w:type="dxa"/>
            <w:noWrap w:val="0"/>
            <w:vAlign w:val="center"/>
          </w:tcPr>
          <w:p w14:paraId="3AE6CE56">
            <w:pPr>
              <w:jc w:val="center"/>
              <w:rPr>
                <w:rFonts w:hint="eastAsia" w:ascii="宋体" w:hAnsi="宋体" w:cs="宋体"/>
                <w:kern w:val="0"/>
                <w:sz w:val="21"/>
                <w:szCs w:val="21"/>
              </w:rPr>
            </w:pPr>
          </w:p>
        </w:tc>
        <w:tc>
          <w:tcPr>
            <w:tcW w:w="899" w:type="dxa"/>
            <w:noWrap w:val="0"/>
            <w:vAlign w:val="center"/>
          </w:tcPr>
          <w:p w14:paraId="691D2CB8">
            <w:pPr>
              <w:jc w:val="right"/>
              <w:rPr>
                <w:rFonts w:hint="eastAsia" w:ascii="宋体" w:hAnsi="宋体" w:cs="宋体"/>
                <w:kern w:val="0"/>
                <w:sz w:val="21"/>
                <w:szCs w:val="21"/>
              </w:rPr>
            </w:pPr>
          </w:p>
        </w:tc>
        <w:tc>
          <w:tcPr>
            <w:tcW w:w="1079" w:type="dxa"/>
            <w:noWrap w:val="0"/>
            <w:vAlign w:val="center"/>
          </w:tcPr>
          <w:p w14:paraId="3EA62791">
            <w:pPr>
              <w:widowControl/>
              <w:jc w:val="center"/>
              <w:rPr>
                <w:rFonts w:hint="eastAsia" w:ascii="宋体" w:hAnsi="宋体" w:cs="宋体"/>
                <w:kern w:val="0"/>
                <w:szCs w:val="21"/>
              </w:rPr>
            </w:pPr>
          </w:p>
        </w:tc>
        <w:tc>
          <w:tcPr>
            <w:tcW w:w="1079" w:type="dxa"/>
            <w:noWrap w:val="0"/>
            <w:vAlign w:val="center"/>
          </w:tcPr>
          <w:p w14:paraId="3D18F0A1">
            <w:pPr>
              <w:widowControl/>
              <w:jc w:val="center"/>
              <w:rPr>
                <w:rFonts w:hint="eastAsia" w:ascii="宋体" w:hAnsi="宋体" w:cs="宋体"/>
                <w:kern w:val="0"/>
                <w:szCs w:val="21"/>
              </w:rPr>
            </w:pPr>
          </w:p>
        </w:tc>
      </w:tr>
      <w:tr w14:paraId="184A6E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43BF3C3E">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-a</w:t>
            </w:r>
          </w:p>
        </w:tc>
        <w:tc>
          <w:tcPr>
            <w:tcW w:w="4572" w:type="dxa"/>
            <w:noWrap w:val="0"/>
            <w:vAlign w:val="center"/>
          </w:tcPr>
          <w:p w14:paraId="3124D1A7">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检查井井盖更换(铸铁雨水井盖)</w:t>
            </w:r>
          </w:p>
        </w:tc>
        <w:tc>
          <w:tcPr>
            <w:tcW w:w="899" w:type="dxa"/>
            <w:noWrap w:val="0"/>
            <w:vAlign w:val="center"/>
          </w:tcPr>
          <w:p w14:paraId="78734395">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座</w:t>
            </w:r>
          </w:p>
        </w:tc>
        <w:tc>
          <w:tcPr>
            <w:tcW w:w="899" w:type="dxa"/>
            <w:noWrap w:val="0"/>
            <w:vAlign w:val="center"/>
          </w:tcPr>
          <w:p w14:paraId="7199B49D">
            <w:pPr>
              <w:keepNext w:val="0"/>
              <w:keepLines w:val="0"/>
              <w:widowControl/>
              <w:suppressLineNumbers w:val="0"/>
              <w:jc w:val="right"/>
              <w:textAlignment w:val="center"/>
              <w:rPr>
                <w:rFonts w:hint="eastAsia" w:ascii="宋体" w:hAnsi="宋体" w:cs="宋体"/>
                <w:kern w:val="0"/>
                <w:sz w:val="21"/>
                <w:szCs w:val="21"/>
              </w:rPr>
            </w:pPr>
            <w:r>
              <w:rPr>
                <w:rFonts w:hint="default" w:ascii="Arial Narrow" w:hAnsi="Arial Narrow" w:eastAsia="Arial Narrow" w:cs="Arial Narrow"/>
                <w:i w:val="0"/>
                <w:iCs w:val="0"/>
                <w:color w:val="000000"/>
                <w:kern w:val="0"/>
                <w:sz w:val="21"/>
                <w:szCs w:val="21"/>
                <w:u w:val="none"/>
                <w:lang w:val="en-US" w:eastAsia="zh-CN" w:bidi="ar"/>
              </w:rPr>
              <w:t>5</w:t>
            </w:r>
          </w:p>
        </w:tc>
        <w:tc>
          <w:tcPr>
            <w:tcW w:w="1079" w:type="dxa"/>
            <w:noWrap w:val="0"/>
            <w:vAlign w:val="center"/>
          </w:tcPr>
          <w:p w14:paraId="14022D45">
            <w:pPr>
              <w:widowControl/>
              <w:jc w:val="center"/>
              <w:rPr>
                <w:rFonts w:ascii="宋体" w:hAnsi="宋体" w:cs="宋体"/>
                <w:kern w:val="0"/>
                <w:szCs w:val="21"/>
              </w:rPr>
            </w:pPr>
          </w:p>
        </w:tc>
        <w:tc>
          <w:tcPr>
            <w:tcW w:w="1079" w:type="dxa"/>
            <w:noWrap w:val="0"/>
            <w:vAlign w:val="center"/>
          </w:tcPr>
          <w:p w14:paraId="6AFE8045">
            <w:pPr>
              <w:widowControl/>
              <w:jc w:val="center"/>
              <w:rPr>
                <w:rFonts w:ascii="宋体" w:hAnsi="宋体" w:cs="宋体"/>
                <w:kern w:val="0"/>
                <w:szCs w:val="21"/>
              </w:rPr>
            </w:pPr>
          </w:p>
        </w:tc>
      </w:tr>
      <w:tr w14:paraId="01A16B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1C04127F">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-b</w:t>
            </w:r>
          </w:p>
        </w:tc>
        <w:tc>
          <w:tcPr>
            <w:tcW w:w="4572" w:type="dxa"/>
            <w:noWrap w:val="0"/>
            <w:vAlign w:val="center"/>
          </w:tcPr>
          <w:p w14:paraId="1CC14234">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检查井井盖更换(树脂)</w:t>
            </w:r>
          </w:p>
        </w:tc>
        <w:tc>
          <w:tcPr>
            <w:tcW w:w="899" w:type="dxa"/>
            <w:noWrap w:val="0"/>
            <w:vAlign w:val="center"/>
          </w:tcPr>
          <w:p w14:paraId="1E85194D">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座</w:t>
            </w:r>
          </w:p>
        </w:tc>
        <w:tc>
          <w:tcPr>
            <w:tcW w:w="899" w:type="dxa"/>
            <w:noWrap w:val="0"/>
            <w:vAlign w:val="center"/>
          </w:tcPr>
          <w:p w14:paraId="00B4AB74">
            <w:pPr>
              <w:keepNext w:val="0"/>
              <w:keepLines w:val="0"/>
              <w:widowControl/>
              <w:suppressLineNumbers w:val="0"/>
              <w:jc w:val="right"/>
              <w:textAlignment w:val="center"/>
              <w:rPr>
                <w:rFonts w:hint="eastAsia" w:ascii="宋体" w:hAnsi="宋体" w:cs="宋体"/>
                <w:kern w:val="0"/>
                <w:sz w:val="21"/>
                <w:szCs w:val="21"/>
              </w:rPr>
            </w:pPr>
            <w:r>
              <w:rPr>
                <w:rFonts w:hint="default" w:ascii="Arial Narrow" w:hAnsi="Arial Narrow" w:eastAsia="Arial Narrow" w:cs="Arial Narrow"/>
                <w:i w:val="0"/>
                <w:iCs w:val="0"/>
                <w:color w:val="000000"/>
                <w:kern w:val="0"/>
                <w:sz w:val="21"/>
                <w:szCs w:val="21"/>
                <w:u w:val="none"/>
                <w:lang w:val="en-US" w:eastAsia="zh-CN" w:bidi="ar"/>
              </w:rPr>
              <w:t>5</w:t>
            </w:r>
          </w:p>
        </w:tc>
        <w:tc>
          <w:tcPr>
            <w:tcW w:w="1079" w:type="dxa"/>
            <w:noWrap w:val="0"/>
            <w:vAlign w:val="center"/>
          </w:tcPr>
          <w:p w14:paraId="599881F5">
            <w:pPr>
              <w:widowControl/>
              <w:jc w:val="center"/>
              <w:rPr>
                <w:rFonts w:ascii="宋体" w:hAnsi="宋体" w:cs="宋体"/>
                <w:kern w:val="0"/>
                <w:szCs w:val="21"/>
              </w:rPr>
            </w:pPr>
          </w:p>
        </w:tc>
        <w:tc>
          <w:tcPr>
            <w:tcW w:w="1079" w:type="dxa"/>
            <w:noWrap w:val="0"/>
            <w:vAlign w:val="center"/>
          </w:tcPr>
          <w:p w14:paraId="2A219215">
            <w:pPr>
              <w:widowControl/>
              <w:jc w:val="center"/>
              <w:rPr>
                <w:rFonts w:ascii="宋体" w:hAnsi="宋体" w:cs="宋体"/>
                <w:kern w:val="0"/>
                <w:szCs w:val="21"/>
              </w:rPr>
            </w:pPr>
          </w:p>
        </w:tc>
      </w:tr>
      <w:tr w14:paraId="47930D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1589B774">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-c</w:t>
            </w:r>
          </w:p>
        </w:tc>
        <w:tc>
          <w:tcPr>
            <w:tcW w:w="4572" w:type="dxa"/>
            <w:noWrap w:val="0"/>
            <w:vAlign w:val="center"/>
          </w:tcPr>
          <w:p w14:paraId="5BFB1CC3">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检查井井座维修更换</w:t>
            </w:r>
          </w:p>
        </w:tc>
        <w:tc>
          <w:tcPr>
            <w:tcW w:w="899" w:type="dxa"/>
            <w:noWrap w:val="0"/>
            <w:vAlign w:val="center"/>
          </w:tcPr>
          <w:p w14:paraId="0EFCC1FA">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座</w:t>
            </w:r>
          </w:p>
        </w:tc>
        <w:tc>
          <w:tcPr>
            <w:tcW w:w="899" w:type="dxa"/>
            <w:noWrap w:val="0"/>
            <w:vAlign w:val="center"/>
          </w:tcPr>
          <w:p w14:paraId="61C78EE4">
            <w:pPr>
              <w:keepNext w:val="0"/>
              <w:keepLines w:val="0"/>
              <w:widowControl/>
              <w:suppressLineNumbers w:val="0"/>
              <w:jc w:val="right"/>
              <w:textAlignment w:val="center"/>
              <w:rPr>
                <w:rFonts w:hint="eastAsia" w:ascii="宋体" w:hAnsi="宋体" w:cs="宋体"/>
                <w:kern w:val="0"/>
                <w:sz w:val="21"/>
                <w:szCs w:val="21"/>
              </w:rPr>
            </w:pPr>
            <w:r>
              <w:rPr>
                <w:rFonts w:hint="default" w:ascii="Arial Narrow" w:hAnsi="Arial Narrow" w:eastAsia="Arial Narrow" w:cs="Arial Narrow"/>
                <w:i w:val="0"/>
                <w:iCs w:val="0"/>
                <w:color w:val="000000"/>
                <w:kern w:val="0"/>
                <w:sz w:val="21"/>
                <w:szCs w:val="21"/>
                <w:u w:val="none"/>
                <w:lang w:val="en-US" w:eastAsia="zh-CN" w:bidi="ar"/>
              </w:rPr>
              <w:t>5</w:t>
            </w:r>
          </w:p>
        </w:tc>
        <w:tc>
          <w:tcPr>
            <w:tcW w:w="1079" w:type="dxa"/>
            <w:noWrap w:val="0"/>
            <w:vAlign w:val="center"/>
          </w:tcPr>
          <w:p w14:paraId="3324DA7E">
            <w:pPr>
              <w:widowControl/>
              <w:jc w:val="center"/>
              <w:rPr>
                <w:rFonts w:ascii="宋体" w:hAnsi="宋体" w:cs="宋体"/>
                <w:kern w:val="0"/>
                <w:szCs w:val="21"/>
              </w:rPr>
            </w:pPr>
          </w:p>
        </w:tc>
        <w:tc>
          <w:tcPr>
            <w:tcW w:w="1079" w:type="dxa"/>
            <w:noWrap w:val="0"/>
            <w:vAlign w:val="center"/>
          </w:tcPr>
          <w:p w14:paraId="005F067D">
            <w:pPr>
              <w:widowControl/>
              <w:jc w:val="center"/>
              <w:rPr>
                <w:rFonts w:ascii="宋体" w:hAnsi="宋体" w:cs="宋体"/>
                <w:kern w:val="0"/>
                <w:szCs w:val="21"/>
              </w:rPr>
            </w:pPr>
          </w:p>
        </w:tc>
      </w:tr>
      <w:tr w14:paraId="630CB8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759F2693">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-d</w:t>
            </w:r>
          </w:p>
        </w:tc>
        <w:tc>
          <w:tcPr>
            <w:tcW w:w="4572" w:type="dxa"/>
            <w:noWrap w:val="0"/>
            <w:vAlign w:val="center"/>
          </w:tcPr>
          <w:p w14:paraId="786A34CC">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新建检查井(铸铁雨水井盖)</w:t>
            </w:r>
          </w:p>
        </w:tc>
        <w:tc>
          <w:tcPr>
            <w:tcW w:w="899" w:type="dxa"/>
            <w:noWrap w:val="0"/>
            <w:vAlign w:val="center"/>
          </w:tcPr>
          <w:p w14:paraId="179A8DD4">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座</w:t>
            </w:r>
          </w:p>
        </w:tc>
        <w:tc>
          <w:tcPr>
            <w:tcW w:w="899" w:type="dxa"/>
            <w:noWrap w:val="0"/>
            <w:vAlign w:val="center"/>
          </w:tcPr>
          <w:p w14:paraId="72C29F01">
            <w:pPr>
              <w:keepNext w:val="0"/>
              <w:keepLines w:val="0"/>
              <w:widowControl/>
              <w:suppressLineNumbers w:val="0"/>
              <w:jc w:val="right"/>
              <w:textAlignment w:val="center"/>
              <w:rPr>
                <w:rFonts w:hint="eastAsia" w:ascii="宋体" w:hAnsi="宋体" w:cs="宋体"/>
                <w:kern w:val="0"/>
                <w:sz w:val="21"/>
                <w:szCs w:val="21"/>
              </w:rPr>
            </w:pPr>
            <w:r>
              <w:rPr>
                <w:rFonts w:hint="default" w:ascii="Arial Narrow" w:hAnsi="Arial Narrow" w:eastAsia="Arial Narrow" w:cs="Arial Narrow"/>
                <w:i w:val="0"/>
                <w:iCs w:val="0"/>
                <w:color w:val="000000"/>
                <w:kern w:val="0"/>
                <w:sz w:val="21"/>
                <w:szCs w:val="21"/>
                <w:u w:val="none"/>
                <w:lang w:val="en-US" w:eastAsia="zh-CN" w:bidi="ar"/>
              </w:rPr>
              <w:t>5</w:t>
            </w:r>
          </w:p>
        </w:tc>
        <w:tc>
          <w:tcPr>
            <w:tcW w:w="1079" w:type="dxa"/>
            <w:noWrap w:val="0"/>
            <w:vAlign w:val="center"/>
          </w:tcPr>
          <w:p w14:paraId="3B47DFA6">
            <w:pPr>
              <w:widowControl/>
              <w:jc w:val="center"/>
              <w:rPr>
                <w:rFonts w:ascii="宋体" w:hAnsi="宋体" w:cs="宋体"/>
                <w:kern w:val="0"/>
                <w:szCs w:val="21"/>
              </w:rPr>
            </w:pPr>
          </w:p>
        </w:tc>
        <w:tc>
          <w:tcPr>
            <w:tcW w:w="1079" w:type="dxa"/>
            <w:noWrap w:val="0"/>
            <w:vAlign w:val="center"/>
          </w:tcPr>
          <w:p w14:paraId="10DF2F35">
            <w:pPr>
              <w:widowControl/>
              <w:jc w:val="center"/>
              <w:rPr>
                <w:rFonts w:ascii="宋体" w:hAnsi="宋体" w:cs="宋体"/>
                <w:kern w:val="0"/>
                <w:szCs w:val="21"/>
              </w:rPr>
            </w:pPr>
          </w:p>
        </w:tc>
      </w:tr>
      <w:tr w14:paraId="08D5A7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5A885B39">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-e</w:t>
            </w:r>
          </w:p>
        </w:tc>
        <w:tc>
          <w:tcPr>
            <w:tcW w:w="4572" w:type="dxa"/>
            <w:noWrap w:val="0"/>
            <w:vAlign w:val="center"/>
          </w:tcPr>
          <w:p w14:paraId="2968CBE0">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新建检查井(树脂)</w:t>
            </w:r>
          </w:p>
        </w:tc>
        <w:tc>
          <w:tcPr>
            <w:tcW w:w="899" w:type="dxa"/>
            <w:noWrap w:val="0"/>
            <w:vAlign w:val="center"/>
          </w:tcPr>
          <w:p w14:paraId="1C259101">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座</w:t>
            </w:r>
          </w:p>
        </w:tc>
        <w:tc>
          <w:tcPr>
            <w:tcW w:w="899" w:type="dxa"/>
            <w:noWrap w:val="0"/>
            <w:vAlign w:val="center"/>
          </w:tcPr>
          <w:p w14:paraId="25BADB53">
            <w:pPr>
              <w:keepNext w:val="0"/>
              <w:keepLines w:val="0"/>
              <w:widowControl/>
              <w:suppressLineNumbers w:val="0"/>
              <w:jc w:val="right"/>
              <w:textAlignment w:val="center"/>
              <w:rPr>
                <w:rFonts w:hint="eastAsia" w:ascii="宋体" w:hAnsi="宋体" w:cs="宋体"/>
                <w:kern w:val="0"/>
                <w:sz w:val="21"/>
                <w:szCs w:val="21"/>
              </w:rPr>
            </w:pPr>
            <w:r>
              <w:rPr>
                <w:rFonts w:hint="default" w:ascii="Arial Narrow" w:hAnsi="Arial Narrow" w:eastAsia="Arial Narrow" w:cs="Arial Narrow"/>
                <w:i w:val="0"/>
                <w:iCs w:val="0"/>
                <w:color w:val="000000"/>
                <w:kern w:val="0"/>
                <w:sz w:val="21"/>
                <w:szCs w:val="21"/>
                <w:u w:val="none"/>
                <w:lang w:val="en-US" w:eastAsia="zh-CN" w:bidi="ar"/>
              </w:rPr>
              <w:t>5</w:t>
            </w:r>
          </w:p>
        </w:tc>
        <w:tc>
          <w:tcPr>
            <w:tcW w:w="1079" w:type="dxa"/>
            <w:noWrap w:val="0"/>
            <w:vAlign w:val="center"/>
          </w:tcPr>
          <w:p w14:paraId="001266A3">
            <w:pPr>
              <w:widowControl/>
              <w:jc w:val="center"/>
              <w:rPr>
                <w:rFonts w:ascii="宋体" w:hAnsi="宋体" w:cs="宋体"/>
                <w:kern w:val="0"/>
                <w:szCs w:val="21"/>
              </w:rPr>
            </w:pPr>
          </w:p>
        </w:tc>
        <w:tc>
          <w:tcPr>
            <w:tcW w:w="1079" w:type="dxa"/>
            <w:noWrap w:val="0"/>
            <w:vAlign w:val="center"/>
          </w:tcPr>
          <w:p w14:paraId="2B12BF0C">
            <w:pPr>
              <w:widowControl/>
              <w:jc w:val="center"/>
              <w:rPr>
                <w:rFonts w:ascii="宋体" w:hAnsi="宋体" w:cs="宋体"/>
                <w:kern w:val="0"/>
                <w:szCs w:val="21"/>
              </w:rPr>
            </w:pPr>
          </w:p>
        </w:tc>
      </w:tr>
      <w:tr w14:paraId="023714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2A17D3DA">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-f</w:t>
            </w:r>
          </w:p>
        </w:tc>
        <w:tc>
          <w:tcPr>
            <w:tcW w:w="4572" w:type="dxa"/>
            <w:noWrap w:val="0"/>
            <w:vAlign w:val="center"/>
          </w:tcPr>
          <w:p w14:paraId="5E6A264D">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管涵窨井</w:t>
            </w:r>
          </w:p>
        </w:tc>
        <w:tc>
          <w:tcPr>
            <w:tcW w:w="899" w:type="dxa"/>
            <w:noWrap w:val="0"/>
            <w:vAlign w:val="center"/>
          </w:tcPr>
          <w:p w14:paraId="0DDFE573">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座</w:t>
            </w:r>
          </w:p>
        </w:tc>
        <w:tc>
          <w:tcPr>
            <w:tcW w:w="899" w:type="dxa"/>
            <w:noWrap w:val="0"/>
            <w:vAlign w:val="center"/>
          </w:tcPr>
          <w:p w14:paraId="5C8B03D2">
            <w:pPr>
              <w:keepNext w:val="0"/>
              <w:keepLines w:val="0"/>
              <w:widowControl/>
              <w:suppressLineNumbers w:val="0"/>
              <w:jc w:val="right"/>
              <w:textAlignment w:val="center"/>
              <w:rPr>
                <w:rFonts w:hint="eastAsia" w:ascii="宋体" w:hAnsi="宋体" w:cs="宋体"/>
                <w:kern w:val="0"/>
                <w:sz w:val="21"/>
                <w:szCs w:val="21"/>
              </w:rPr>
            </w:pPr>
            <w:r>
              <w:rPr>
                <w:rFonts w:hint="default" w:ascii="Arial Narrow" w:hAnsi="Arial Narrow" w:eastAsia="Arial Narrow" w:cs="Arial Narrow"/>
                <w:i w:val="0"/>
                <w:iCs w:val="0"/>
                <w:color w:val="000000"/>
                <w:kern w:val="0"/>
                <w:sz w:val="21"/>
                <w:szCs w:val="21"/>
                <w:u w:val="none"/>
                <w:lang w:val="en-US" w:eastAsia="zh-CN" w:bidi="ar"/>
              </w:rPr>
              <w:t>5</w:t>
            </w:r>
          </w:p>
        </w:tc>
        <w:tc>
          <w:tcPr>
            <w:tcW w:w="1079" w:type="dxa"/>
            <w:noWrap w:val="0"/>
            <w:vAlign w:val="center"/>
          </w:tcPr>
          <w:p w14:paraId="46D712BC">
            <w:pPr>
              <w:widowControl/>
              <w:jc w:val="center"/>
              <w:rPr>
                <w:rFonts w:ascii="宋体" w:hAnsi="宋体" w:cs="宋体"/>
                <w:kern w:val="0"/>
                <w:szCs w:val="21"/>
              </w:rPr>
            </w:pPr>
          </w:p>
        </w:tc>
        <w:tc>
          <w:tcPr>
            <w:tcW w:w="1079" w:type="dxa"/>
            <w:noWrap w:val="0"/>
            <w:vAlign w:val="center"/>
          </w:tcPr>
          <w:p w14:paraId="42820365">
            <w:pPr>
              <w:widowControl/>
              <w:jc w:val="center"/>
              <w:rPr>
                <w:rFonts w:ascii="宋体" w:hAnsi="宋体" w:cs="宋体"/>
                <w:kern w:val="0"/>
                <w:szCs w:val="21"/>
              </w:rPr>
            </w:pPr>
          </w:p>
        </w:tc>
      </w:tr>
      <w:tr w14:paraId="4C55CA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62BBD964">
            <w:pPr>
              <w:widowControl/>
              <w:jc w:val="center"/>
              <w:textAlignment w:val="center"/>
              <w:rPr>
                <w:rFonts w:hint="eastAsia" w:ascii="宋体" w:hAnsi="宋体" w:cs="宋体"/>
                <w:kern w:val="0"/>
                <w:szCs w:val="21"/>
              </w:rPr>
            </w:pPr>
          </w:p>
        </w:tc>
        <w:tc>
          <w:tcPr>
            <w:tcW w:w="4572" w:type="dxa"/>
            <w:noWrap w:val="0"/>
            <w:vAlign w:val="center"/>
          </w:tcPr>
          <w:p w14:paraId="79216B3D">
            <w:pPr>
              <w:widowControl/>
              <w:jc w:val="left"/>
              <w:textAlignment w:val="center"/>
              <w:rPr>
                <w:rFonts w:hint="eastAsia" w:ascii="宋体" w:hAnsi="宋体" w:cs="宋体"/>
                <w:kern w:val="0"/>
                <w:szCs w:val="21"/>
              </w:rPr>
            </w:pPr>
          </w:p>
        </w:tc>
        <w:tc>
          <w:tcPr>
            <w:tcW w:w="899" w:type="dxa"/>
            <w:noWrap w:val="0"/>
            <w:vAlign w:val="center"/>
          </w:tcPr>
          <w:p w14:paraId="7CCFDA05">
            <w:pPr>
              <w:jc w:val="center"/>
              <w:rPr>
                <w:rFonts w:hint="eastAsia" w:ascii="宋体" w:hAnsi="宋体" w:cs="宋体"/>
                <w:kern w:val="0"/>
                <w:szCs w:val="21"/>
              </w:rPr>
            </w:pPr>
          </w:p>
        </w:tc>
        <w:tc>
          <w:tcPr>
            <w:tcW w:w="899" w:type="dxa"/>
            <w:noWrap w:val="0"/>
            <w:vAlign w:val="center"/>
          </w:tcPr>
          <w:p w14:paraId="422BF131">
            <w:pPr>
              <w:jc w:val="right"/>
              <w:rPr>
                <w:rFonts w:hint="eastAsia" w:ascii="宋体" w:hAnsi="宋体" w:cs="宋体"/>
                <w:kern w:val="0"/>
                <w:szCs w:val="21"/>
              </w:rPr>
            </w:pPr>
          </w:p>
        </w:tc>
        <w:tc>
          <w:tcPr>
            <w:tcW w:w="1079" w:type="dxa"/>
            <w:noWrap w:val="0"/>
            <w:vAlign w:val="center"/>
          </w:tcPr>
          <w:p w14:paraId="0FBE60AF">
            <w:pPr>
              <w:widowControl/>
              <w:jc w:val="center"/>
              <w:rPr>
                <w:rFonts w:ascii="宋体" w:hAnsi="宋体" w:cs="宋体"/>
                <w:kern w:val="0"/>
                <w:szCs w:val="21"/>
              </w:rPr>
            </w:pPr>
          </w:p>
        </w:tc>
        <w:tc>
          <w:tcPr>
            <w:tcW w:w="1079" w:type="dxa"/>
            <w:noWrap w:val="0"/>
            <w:vAlign w:val="center"/>
          </w:tcPr>
          <w:p w14:paraId="3FDF321C">
            <w:pPr>
              <w:widowControl/>
              <w:jc w:val="center"/>
              <w:rPr>
                <w:rFonts w:ascii="宋体" w:hAnsi="宋体" w:cs="宋体"/>
                <w:kern w:val="0"/>
                <w:szCs w:val="21"/>
              </w:rPr>
            </w:pPr>
          </w:p>
        </w:tc>
      </w:tr>
      <w:tr w14:paraId="4A6683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397F5AB4">
            <w:pPr>
              <w:widowControl/>
              <w:jc w:val="center"/>
              <w:textAlignment w:val="center"/>
              <w:rPr>
                <w:rFonts w:hint="eastAsia" w:ascii="宋体" w:hAnsi="宋体" w:cs="宋体"/>
                <w:kern w:val="0"/>
                <w:szCs w:val="21"/>
              </w:rPr>
            </w:pPr>
          </w:p>
        </w:tc>
        <w:tc>
          <w:tcPr>
            <w:tcW w:w="4572" w:type="dxa"/>
            <w:noWrap w:val="0"/>
            <w:vAlign w:val="center"/>
          </w:tcPr>
          <w:p w14:paraId="2A0CDE55">
            <w:pPr>
              <w:widowControl/>
              <w:jc w:val="left"/>
              <w:textAlignment w:val="center"/>
              <w:rPr>
                <w:rFonts w:hint="eastAsia" w:ascii="宋体" w:hAnsi="宋体" w:cs="宋体"/>
                <w:kern w:val="0"/>
                <w:szCs w:val="21"/>
              </w:rPr>
            </w:pPr>
          </w:p>
        </w:tc>
        <w:tc>
          <w:tcPr>
            <w:tcW w:w="899" w:type="dxa"/>
            <w:noWrap w:val="0"/>
            <w:vAlign w:val="center"/>
          </w:tcPr>
          <w:p w14:paraId="44A5B5C2">
            <w:pPr>
              <w:jc w:val="center"/>
              <w:rPr>
                <w:rFonts w:hint="eastAsia" w:ascii="宋体" w:hAnsi="宋体" w:cs="宋体"/>
                <w:kern w:val="0"/>
                <w:szCs w:val="21"/>
              </w:rPr>
            </w:pPr>
          </w:p>
        </w:tc>
        <w:tc>
          <w:tcPr>
            <w:tcW w:w="899" w:type="dxa"/>
            <w:noWrap w:val="0"/>
            <w:vAlign w:val="center"/>
          </w:tcPr>
          <w:p w14:paraId="391DA1CB">
            <w:pPr>
              <w:jc w:val="right"/>
              <w:rPr>
                <w:rFonts w:hint="eastAsia" w:ascii="宋体" w:hAnsi="宋体" w:cs="宋体"/>
                <w:kern w:val="0"/>
                <w:szCs w:val="21"/>
              </w:rPr>
            </w:pPr>
          </w:p>
        </w:tc>
        <w:tc>
          <w:tcPr>
            <w:tcW w:w="1079" w:type="dxa"/>
            <w:noWrap w:val="0"/>
            <w:vAlign w:val="center"/>
          </w:tcPr>
          <w:p w14:paraId="55F60AFE">
            <w:pPr>
              <w:widowControl/>
              <w:jc w:val="center"/>
              <w:rPr>
                <w:rFonts w:ascii="宋体" w:hAnsi="宋体" w:cs="宋体"/>
                <w:kern w:val="0"/>
                <w:szCs w:val="21"/>
              </w:rPr>
            </w:pPr>
          </w:p>
        </w:tc>
        <w:tc>
          <w:tcPr>
            <w:tcW w:w="1079" w:type="dxa"/>
            <w:noWrap w:val="0"/>
            <w:vAlign w:val="center"/>
          </w:tcPr>
          <w:p w14:paraId="25E578B3">
            <w:pPr>
              <w:widowControl/>
              <w:jc w:val="center"/>
              <w:rPr>
                <w:rFonts w:ascii="宋体" w:hAnsi="宋体" w:cs="宋体"/>
                <w:kern w:val="0"/>
                <w:szCs w:val="21"/>
              </w:rPr>
            </w:pPr>
          </w:p>
        </w:tc>
      </w:tr>
      <w:tr w14:paraId="7A9CFC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116F4498">
            <w:pPr>
              <w:widowControl/>
              <w:jc w:val="center"/>
              <w:textAlignment w:val="center"/>
              <w:rPr>
                <w:rFonts w:hint="eastAsia" w:ascii="宋体" w:hAnsi="宋体" w:cs="宋体"/>
                <w:kern w:val="0"/>
                <w:szCs w:val="21"/>
              </w:rPr>
            </w:pPr>
          </w:p>
        </w:tc>
        <w:tc>
          <w:tcPr>
            <w:tcW w:w="4572" w:type="dxa"/>
            <w:noWrap w:val="0"/>
            <w:vAlign w:val="center"/>
          </w:tcPr>
          <w:p w14:paraId="200F2900">
            <w:pPr>
              <w:widowControl/>
              <w:jc w:val="left"/>
              <w:textAlignment w:val="center"/>
              <w:rPr>
                <w:rFonts w:hint="eastAsia" w:ascii="宋体" w:hAnsi="宋体" w:cs="宋体"/>
                <w:kern w:val="0"/>
                <w:szCs w:val="21"/>
              </w:rPr>
            </w:pPr>
          </w:p>
        </w:tc>
        <w:tc>
          <w:tcPr>
            <w:tcW w:w="899" w:type="dxa"/>
            <w:noWrap w:val="0"/>
            <w:vAlign w:val="center"/>
          </w:tcPr>
          <w:p w14:paraId="690B11FB">
            <w:pPr>
              <w:widowControl/>
              <w:jc w:val="center"/>
              <w:textAlignment w:val="center"/>
              <w:rPr>
                <w:rFonts w:hint="eastAsia" w:ascii="宋体" w:hAnsi="宋体" w:cs="宋体"/>
                <w:kern w:val="0"/>
                <w:szCs w:val="21"/>
              </w:rPr>
            </w:pPr>
          </w:p>
        </w:tc>
        <w:tc>
          <w:tcPr>
            <w:tcW w:w="899" w:type="dxa"/>
            <w:noWrap w:val="0"/>
            <w:vAlign w:val="center"/>
          </w:tcPr>
          <w:p w14:paraId="2FF59DB8">
            <w:pPr>
              <w:widowControl/>
              <w:jc w:val="right"/>
              <w:textAlignment w:val="center"/>
              <w:rPr>
                <w:rFonts w:hint="eastAsia" w:ascii="宋体" w:hAnsi="宋体" w:cs="宋体"/>
                <w:kern w:val="0"/>
                <w:szCs w:val="21"/>
              </w:rPr>
            </w:pPr>
          </w:p>
        </w:tc>
        <w:tc>
          <w:tcPr>
            <w:tcW w:w="1079" w:type="dxa"/>
            <w:noWrap w:val="0"/>
            <w:vAlign w:val="center"/>
          </w:tcPr>
          <w:p w14:paraId="35106B79">
            <w:pPr>
              <w:widowControl/>
              <w:jc w:val="center"/>
              <w:rPr>
                <w:rFonts w:ascii="宋体" w:hAnsi="宋体" w:cs="宋体"/>
                <w:kern w:val="0"/>
                <w:szCs w:val="21"/>
              </w:rPr>
            </w:pPr>
          </w:p>
        </w:tc>
        <w:tc>
          <w:tcPr>
            <w:tcW w:w="1079" w:type="dxa"/>
            <w:noWrap w:val="0"/>
            <w:vAlign w:val="center"/>
          </w:tcPr>
          <w:p w14:paraId="0177C5C3">
            <w:pPr>
              <w:widowControl/>
              <w:jc w:val="center"/>
              <w:rPr>
                <w:rFonts w:ascii="宋体" w:hAnsi="宋体" w:cs="宋体"/>
                <w:kern w:val="0"/>
                <w:szCs w:val="21"/>
              </w:rPr>
            </w:pPr>
          </w:p>
        </w:tc>
      </w:tr>
      <w:tr w14:paraId="011024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088C9341">
            <w:pPr>
              <w:widowControl/>
              <w:jc w:val="center"/>
              <w:textAlignment w:val="center"/>
              <w:rPr>
                <w:rFonts w:hint="eastAsia" w:ascii="宋体" w:hAnsi="宋体" w:cs="宋体"/>
                <w:kern w:val="0"/>
                <w:szCs w:val="21"/>
              </w:rPr>
            </w:pPr>
          </w:p>
        </w:tc>
        <w:tc>
          <w:tcPr>
            <w:tcW w:w="4572" w:type="dxa"/>
            <w:noWrap w:val="0"/>
            <w:vAlign w:val="center"/>
          </w:tcPr>
          <w:p w14:paraId="08FAD37A">
            <w:pPr>
              <w:widowControl/>
              <w:jc w:val="left"/>
              <w:textAlignment w:val="center"/>
              <w:rPr>
                <w:rFonts w:hint="eastAsia" w:ascii="宋体" w:hAnsi="宋体" w:cs="宋体"/>
                <w:kern w:val="0"/>
                <w:szCs w:val="21"/>
              </w:rPr>
            </w:pPr>
          </w:p>
        </w:tc>
        <w:tc>
          <w:tcPr>
            <w:tcW w:w="899" w:type="dxa"/>
            <w:noWrap w:val="0"/>
            <w:vAlign w:val="center"/>
          </w:tcPr>
          <w:p w14:paraId="16E2495F">
            <w:pPr>
              <w:jc w:val="center"/>
              <w:rPr>
                <w:rFonts w:hint="eastAsia" w:ascii="宋体" w:hAnsi="宋体" w:cs="宋体"/>
                <w:kern w:val="0"/>
                <w:szCs w:val="21"/>
              </w:rPr>
            </w:pPr>
          </w:p>
        </w:tc>
        <w:tc>
          <w:tcPr>
            <w:tcW w:w="899" w:type="dxa"/>
            <w:noWrap w:val="0"/>
            <w:vAlign w:val="center"/>
          </w:tcPr>
          <w:p w14:paraId="1F3CAA49">
            <w:pPr>
              <w:jc w:val="right"/>
              <w:rPr>
                <w:rFonts w:hint="eastAsia" w:ascii="宋体" w:hAnsi="宋体" w:cs="宋体"/>
                <w:kern w:val="0"/>
                <w:szCs w:val="21"/>
              </w:rPr>
            </w:pPr>
          </w:p>
        </w:tc>
        <w:tc>
          <w:tcPr>
            <w:tcW w:w="1079" w:type="dxa"/>
            <w:noWrap w:val="0"/>
            <w:vAlign w:val="center"/>
          </w:tcPr>
          <w:p w14:paraId="59D833B2">
            <w:pPr>
              <w:widowControl/>
              <w:jc w:val="center"/>
              <w:rPr>
                <w:rFonts w:ascii="宋体" w:hAnsi="宋体" w:cs="宋体"/>
                <w:kern w:val="0"/>
                <w:szCs w:val="21"/>
              </w:rPr>
            </w:pPr>
          </w:p>
        </w:tc>
        <w:tc>
          <w:tcPr>
            <w:tcW w:w="1079" w:type="dxa"/>
            <w:noWrap w:val="0"/>
            <w:vAlign w:val="center"/>
          </w:tcPr>
          <w:p w14:paraId="22143CFC">
            <w:pPr>
              <w:widowControl/>
              <w:jc w:val="center"/>
              <w:rPr>
                <w:rFonts w:ascii="宋体" w:hAnsi="宋体" w:cs="宋体"/>
                <w:kern w:val="0"/>
                <w:szCs w:val="21"/>
              </w:rPr>
            </w:pPr>
          </w:p>
        </w:tc>
      </w:tr>
      <w:tr w14:paraId="6E7048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0CB861BD">
            <w:pPr>
              <w:widowControl/>
              <w:jc w:val="center"/>
              <w:textAlignment w:val="center"/>
              <w:rPr>
                <w:rFonts w:hint="eastAsia" w:ascii="宋体" w:hAnsi="宋体" w:cs="宋体"/>
                <w:kern w:val="0"/>
                <w:szCs w:val="21"/>
              </w:rPr>
            </w:pPr>
          </w:p>
        </w:tc>
        <w:tc>
          <w:tcPr>
            <w:tcW w:w="4572" w:type="dxa"/>
            <w:noWrap w:val="0"/>
            <w:vAlign w:val="center"/>
          </w:tcPr>
          <w:p w14:paraId="050A11E3">
            <w:pPr>
              <w:widowControl/>
              <w:jc w:val="left"/>
              <w:textAlignment w:val="center"/>
              <w:rPr>
                <w:rFonts w:hint="eastAsia" w:ascii="宋体" w:hAnsi="宋体" w:cs="宋体"/>
                <w:kern w:val="0"/>
                <w:szCs w:val="21"/>
              </w:rPr>
            </w:pPr>
          </w:p>
        </w:tc>
        <w:tc>
          <w:tcPr>
            <w:tcW w:w="899" w:type="dxa"/>
            <w:noWrap w:val="0"/>
            <w:vAlign w:val="center"/>
          </w:tcPr>
          <w:p w14:paraId="07CBA209">
            <w:pPr>
              <w:jc w:val="center"/>
              <w:rPr>
                <w:rFonts w:hint="eastAsia" w:ascii="宋体" w:hAnsi="宋体" w:cs="宋体"/>
                <w:kern w:val="0"/>
                <w:szCs w:val="21"/>
              </w:rPr>
            </w:pPr>
          </w:p>
        </w:tc>
        <w:tc>
          <w:tcPr>
            <w:tcW w:w="899" w:type="dxa"/>
            <w:noWrap w:val="0"/>
            <w:vAlign w:val="center"/>
          </w:tcPr>
          <w:p w14:paraId="46C64B95">
            <w:pPr>
              <w:jc w:val="right"/>
              <w:rPr>
                <w:rFonts w:hint="eastAsia" w:ascii="宋体" w:hAnsi="宋体" w:cs="宋体"/>
                <w:kern w:val="0"/>
                <w:szCs w:val="21"/>
              </w:rPr>
            </w:pPr>
          </w:p>
        </w:tc>
        <w:tc>
          <w:tcPr>
            <w:tcW w:w="1079" w:type="dxa"/>
            <w:noWrap w:val="0"/>
            <w:vAlign w:val="center"/>
          </w:tcPr>
          <w:p w14:paraId="5A903EC5">
            <w:pPr>
              <w:widowControl/>
              <w:jc w:val="center"/>
              <w:rPr>
                <w:rFonts w:ascii="宋体" w:hAnsi="宋体" w:cs="宋体"/>
                <w:kern w:val="0"/>
                <w:szCs w:val="21"/>
              </w:rPr>
            </w:pPr>
          </w:p>
        </w:tc>
        <w:tc>
          <w:tcPr>
            <w:tcW w:w="1079" w:type="dxa"/>
            <w:noWrap w:val="0"/>
            <w:vAlign w:val="center"/>
          </w:tcPr>
          <w:p w14:paraId="07A83DF5">
            <w:pPr>
              <w:widowControl/>
              <w:jc w:val="center"/>
              <w:rPr>
                <w:rFonts w:ascii="宋体" w:hAnsi="宋体" w:cs="宋体"/>
                <w:kern w:val="0"/>
                <w:szCs w:val="21"/>
              </w:rPr>
            </w:pPr>
          </w:p>
        </w:tc>
      </w:tr>
      <w:tr w14:paraId="59D164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3688B1A0">
            <w:pPr>
              <w:widowControl/>
              <w:jc w:val="center"/>
              <w:textAlignment w:val="center"/>
              <w:rPr>
                <w:rFonts w:hint="eastAsia" w:ascii="宋体" w:hAnsi="宋体" w:cs="宋体"/>
                <w:kern w:val="0"/>
                <w:szCs w:val="21"/>
              </w:rPr>
            </w:pPr>
          </w:p>
        </w:tc>
        <w:tc>
          <w:tcPr>
            <w:tcW w:w="4572" w:type="dxa"/>
            <w:noWrap w:val="0"/>
            <w:vAlign w:val="center"/>
          </w:tcPr>
          <w:p w14:paraId="0591DE38">
            <w:pPr>
              <w:widowControl/>
              <w:jc w:val="left"/>
              <w:textAlignment w:val="center"/>
              <w:rPr>
                <w:rFonts w:hint="eastAsia" w:ascii="宋体" w:hAnsi="宋体" w:cs="宋体"/>
                <w:kern w:val="0"/>
                <w:szCs w:val="21"/>
              </w:rPr>
            </w:pPr>
          </w:p>
        </w:tc>
        <w:tc>
          <w:tcPr>
            <w:tcW w:w="899" w:type="dxa"/>
            <w:noWrap w:val="0"/>
            <w:vAlign w:val="center"/>
          </w:tcPr>
          <w:p w14:paraId="2AA3DF19">
            <w:pPr>
              <w:widowControl/>
              <w:jc w:val="center"/>
              <w:textAlignment w:val="center"/>
              <w:rPr>
                <w:rFonts w:hint="eastAsia" w:ascii="宋体" w:hAnsi="宋体" w:cs="宋体"/>
                <w:kern w:val="0"/>
                <w:szCs w:val="21"/>
              </w:rPr>
            </w:pPr>
          </w:p>
        </w:tc>
        <w:tc>
          <w:tcPr>
            <w:tcW w:w="899" w:type="dxa"/>
            <w:noWrap w:val="0"/>
            <w:vAlign w:val="center"/>
          </w:tcPr>
          <w:p w14:paraId="05C85181">
            <w:pPr>
              <w:widowControl/>
              <w:jc w:val="right"/>
              <w:textAlignment w:val="center"/>
              <w:rPr>
                <w:rFonts w:hint="eastAsia" w:ascii="宋体" w:hAnsi="宋体" w:cs="宋体"/>
                <w:kern w:val="0"/>
                <w:szCs w:val="21"/>
              </w:rPr>
            </w:pPr>
          </w:p>
        </w:tc>
        <w:tc>
          <w:tcPr>
            <w:tcW w:w="1079" w:type="dxa"/>
            <w:noWrap w:val="0"/>
            <w:vAlign w:val="center"/>
          </w:tcPr>
          <w:p w14:paraId="5F9EFA7C">
            <w:pPr>
              <w:widowControl/>
              <w:jc w:val="center"/>
              <w:rPr>
                <w:rFonts w:ascii="宋体" w:hAnsi="宋体" w:cs="宋体"/>
                <w:kern w:val="0"/>
                <w:szCs w:val="21"/>
              </w:rPr>
            </w:pPr>
          </w:p>
        </w:tc>
        <w:tc>
          <w:tcPr>
            <w:tcW w:w="1079" w:type="dxa"/>
            <w:noWrap w:val="0"/>
            <w:vAlign w:val="center"/>
          </w:tcPr>
          <w:p w14:paraId="04EC1119">
            <w:pPr>
              <w:widowControl/>
              <w:jc w:val="center"/>
              <w:rPr>
                <w:rFonts w:ascii="宋体" w:hAnsi="宋体" w:cs="宋体"/>
                <w:kern w:val="0"/>
                <w:szCs w:val="21"/>
              </w:rPr>
            </w:pPr>
          </w:p>
        </w:tc>
      </w:tr>
      <w:tr w14:paraId="16EB64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68" w:type="dxa"/>
            <w:gridSpan w:val="6"/>
            <w:noWrap w:val="0"/>
            <w:vAlign w:val="center"/>
          </w:tcPr>
          <w:p w14:paraId="2A0707EF">
            <w:pPr>
              <w:widowControl/>
              <w:jc w:val="center"/>
              <w:rPr>
                <w:rFonts w:ascii="宋体" w:hAnsi="宋体" w:cs="宋体"/>
                <w:b/>
                <w:kern w:val="0"/>
                <w:szCs w:val="21"/>
              </w:rPr>
            </w:pPr>
            <w:r>
              <w:rPr>
                <w:rFonts w:hint="eastAsia" w:ascii="宋体" w:hAnsi="宋体" w:cs="宋体"/>
                <w:b/>
                <w:kern w:val="0"/>
                <w:szCs w:val="21"/>
              </w:rPr>
              <w:t>清单</w:t>
            </w:r>
            <w:r>
              <w:rPr>
                <w:rFonts w:hint="eastAsia" w:ascii="宋体" w:hAnsi="宋体" w:cs="宋体"/>
                <w:b/>
                <w:kern w:val="0"/>
                <w:szCs w:val="21"/>
                <w:lang w:val="en-US" w:eastAsia="zh-CN"/>
              </w:rPr>
              <w:t>4</w:t>
            </w:r>
            <w:r>
              <w:rPr>
                <w:rFonts w:hint="eastAsia" w:ascii="宋体" w:hAnsi="宋体" w:cs="宋体"/>
                <w:b/>
                <w:kern w:val="0"/>
                <w:szCs w:val="21"/>
              </w:rPr>
              <w:t>00章合计   人民币</w:t>
            </w:r>
            <w:r>
              <w:rPr>
                <w:rFonts w:hint="eastAsia" w:ascii="宋体" w:hAnsi="宋体" w:cs="宋体"/>
                <w:b/>
                <w:kern w:val="0"/>
                <w:szCs w:val="21"/>
                <w:u w:val="single"/>
              </w:rPr>
              <w:t xml:space="preserve">       </w:t>
            </w:r>
            <w:r>
              <w:rPr>
                <w:rFonts w:hint="eastAsia" w:ascii="宋体" w:hAnsi="宋体" w:cs="宋体"/>
                <w:b/>
                <w:kern w:val="0"/>
                <w:szCs w:val="21"/>
              </w:rPr>
              <w:t>元</w:t>
            </w:r>
          </w:p>
        </w:tc>
      </w:tr>
    </w:tbl>
    <w:p w14:paraId="06548D52">
      <w:pPr>
        <w:pStyle w:val="50"/>
        <w:ind w:left="0" w:leftChars="0" w:firstLine="0" w:firstLineChars="0"/>
        <w:rPr>
          <w:rFonts w:hint="eastAsia" w:asciiTheme="minorEastAsia" w:hAnsiTheme="minorEastAsia" w:eastAsiaTheme="minorEastAsia" w:cstheme="minorEastAsia"/>
          <w:sz w:val="24"/>
          <w:szCs w:val="24"/>
        </w:rPr>
      </w:pPr>
    </w:p>
    <w:p w14:paraId="7EB7152E">
      <w:pPr>
        <w:pStyle w:val="50"/>
        <w:ind w:left="0" w:leftChars="0" w:firstLine="0" w:firstLineChars="0"/>
        <w:rPr>
          <w:rFonts w:hint="eastAsia" w:asciiTheme="minorEastAsia" w:hAnsiTheme="minorEastAsia" w:eastAsiaTheme="minorEastAsia" w:cstheme="minorEastAsia"/>
          <w:sz w:val="24"/>
          <w:szCs w:val="24"/>
        </w:rPr>
      </w:pPr>
    </w:p>
    <w:p w14:paraId="791520A2">
      <w:pPr>
        <w:pStyle w:val="50"/>
        <w:ind w:left="0" w:leftChars="0" w:firstLine="0" w:firstLineChars="0"/>
        <w:rPr>
          <w:rFonts w:hint="eastAsia" w:asciiTheme="minorEastAsia" w:hAnsiTheme="minorEastAsia" w:eastAsiaTheme="minorEastAsia" w:cstheme="minorEastAsia"/>
          <w:sz w:val="24"/>
          <w:szCs w:val="24"/>
        </w:rPr>
      </w:pPr>
    </w:p>
    <w:p w14:paraId="00A5905C">
      <w:pPr>
        <w:pStyle w:val="50"/>
        <w:ind w:left="0" w:leftChars="0" w:firstLine="0" w:firstLine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标项</w:t>
      </w:r>
      <w:r>
        <w:rPr>
          <w:rFonts w:hint="eastAsia" w:asciiTheme="minorEastAsia" w:hAnsiTheme="minorEastAsia" w:cstheme="minorEastAsia"/>
          <w:sz w:val="24"/>
          <w:szCs w:val="24"/>
          <w:lang w:val="en-US" w:eastAsia="zh-CN"/>
        </w:rPr>
        <w:t>2</w:t>
      </w:r>
      <w:r>
        <w:rPr>
          <w:rFonts w:hint="eastAsia" w:asciiTheme="minorEastAsia" w:hAnsiTheme="minorEastAsia" w:eastAsiaTheme="minorEastAsia" w:cstheme="minorEastAsia"/>
          <w:sz w:val="24"/>
          <w:szCs w:val="24"/>
        </w:rPr>
        <w:t>：</w:t>
      </w:r>
      <w:r>
        <w:rPr>
          <w:rFonts w:hint="eastAsia" w:asciiTheme="minorEastAsia" w:hAnsiTheme="minorEastAsia" w:cstheme="minorEastAsia"/>
          <w:sz w:val="24"/>
          <w:szCs w:val="24"/>
          <w:lang w:eastAsia="zh-CN"/>
        </w:rPr>
        <w:t>2026年秀洲区县道及以上公路小修及应急抢险项目</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第</w:t>
      </w:r>
      <w:r>
        <w:rPr>
          <w:rFonts w:hint="eastAsia" w:asciiTheme="minorEastAsia" w:hAnsiTheme="minorEastAsia" w:cstheme="minorEastAsia"/>
          <w:sz w:val="24"/>
          <w:szCs w:val="24"/>
          <w:lang w:val="en-US" w:eastAsia="zh-CN"/>
        </w:rPr>
        <w:t>二</w:t>
      </w:r>
      <w:r>
        <w:rPr>
          <w:rFonts w:hint="eastAsia" w:asciiTheme="minorEastAsia" w:hAnsiTheme="minorEastAsia" w:eastAsiaTheme="minorEastAsia" w:cstheme="minorEastAsia"/>
          <w:sz w:val="24"/>
          <w:szCs w:val="24"/>
          <w:lang w:eastAsia="zh-CN"/>
        </w:rPr>
        <w:t>标段）</w:t>
      </w:r>
    </w:p>
    <w:p w14:paraId="121B8076">
      <w:pPr>
        <w:pStyle w:val="50"/>
        <w:ind w:left="0" w:leftChars="0" w:firstLine="0" w:firstLineChars="0"/>
        <w:rPr>
          <w:rFonts w:hint="eastAsia"/>
        </w:rPr>
      </w:pPr>
      <w:r>
        <w:rPr>
          <w:rFonts w:hint="eastAsia" w:asciiTheme="minorEastAsia" w:hAnsiTheme="minorEastAsia" w:eastAsiaTheme="minorEastAsia" w:cstheme="minorEastAsia"/>
          <w:sz w:val="24"/>
          <w:szCs w:val="24"/>
        </w:rPr>
        <w:t>货币单位：人民币元</w:t>
      </w:r>
      <w:r>
        <w:tab/>
      </w:r>
    </w:p>
    <w:tbl>
      <w:tblPr>
        <w:tblStyle w:val="51"/>
        <w:tblW w:w="922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0" w:type="dxa"/>
        </w:tblCellMar>
      </w:tblPr>
      <w:tblGrid>
        <w:gridCol w:w="1270"/>
        <w:gridCol w:w="1449"/>
        <w:gridCol w:w="4554"/>
        <w:gridCol w:w="1955"/>
      </w:tblGrid>
      <w:tr w14:paraId="6636A5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0" w:type="dxa"/>
          </w:tblCellMar>
        </w:tblPrEx>
        <w:trPr>
          <w:trHeight w:val="794" w:hRule="atLeast"/>
        </w:trPr>
        <w:tc>
          <w:tcPr>
            <w:tcW w:w="1270" w:type="dxa"/>
            <w:noWrap w:val="0"/>
            <w:vAlign w:val="center"/>
          </w:tcPr>
          <w:p w14:paraId="0C6660D3">
            <w:pPr>
              <w:jc w:val="center"/>
              <w:rPr>
                <w:rFonts w:hint="eastAsia" w:ascii="宋体" w:hAnsi="宋体"/>
                <w:szCs w:val="21"/>
              </w:rPr>
            </w:pPr>
            <w:bookmarkStart w:id="80" w:name="_Toc302652426"/>
            <w:bookmarkStart w:id="81" w:name="_Toc385598097"/>
            <w:bookmarkStart w:id="82" w:name="_Toc307474695"/>
            <w:bookmarkStart w:id="83" w:name="_Toc243305374"/>
            <w:r>
              <w:rPr>
                <w:rFonts w:hint="eastAsia" w:ascii="宋体" w:hAnsi="宋体"/>
                <w:szCs w:val="21"/>
              </w:rPr>
              <w:t>序号</w:t>
            </w:r>
          </w:p>
        </w:tc>
        <w:tc>
          <w:tcPr>
            <w:tcW w:w="1449" w:type="dxa"/>
            <w:noWrap w:val="0"/>
            <w:vAlign w:val="center"/>
          </w:tcPr>
          <w:p w14:paraId="45DD7581">
            <w:pPr>
              <w:jc w:val="center"/>
              <w:rPr>
                <w:rFonts w:hint="eastAsia" w:ascii="宋体" w:hAnsi="宋体"/>
                <w:szCs w:val="21"/>
              </w:rPr>
            </w:pPr>
            <w:r>
              <w:rPr>
                <w:rFonts w:hint="eastAsia" w:ascii="宋体" w:hAnsi="宋体"/>
                <w:szCs w:val="21"/>
              </w:rPr>
              <w:t>章次</w:t>
            </w:r>
          </w:p>
        </w:tc>
        <w:tc>
          <w:tcPr>
            <w:tcW w:w="4554" w:type="dxa"/>
            <w:noWrap w:val="0"/>
            <w:vAlign w:val="center"/>
          </w:tcPr>
          <w:p w14:paraId="307CF606">
            <w:pPr>
              <w:jc w:val="center"/>
              <w:rPr>
                <w:rFonts w:hint="eastAsia" w:ascii="宋体" w:hAnsi="宋体"/>
                <w:szCs w:val="21"/>
              </w:rPr>
            </w:pPr>
            <w:r>
              <w:rPr>
                <w:rFonts w:hint="eastAsia" w:ascii="宋体" w:hAnsi="宋体"/>
                <w:szCs w:val="21"/>
              </w:rPr>
              <w:t>科目名称</w:t>
            </w:r>
          </w:p>
        </w:tc>
        <w:tc>
          <w:tcPr>
            <w:tcW w:w="1955" w:type="dxa"/>
            <w:noWrap w:val="0"/>
            <w:vAlign w:val="center"/>
          </w:tcPr>
          <w:p w14:paraId="5DC04F65">
            <w:pPr>
              <w:jc w:val="center"/>
              <w:rPr>
                <w:rFonts w:hint="eastAsia" w:ascii="宋体" w:hAnsi="宋体"/>
                <w:szCs w:val="21"/>
              </w:rPr>
            </w:pPr>
            <w:r>
              <w:rPr>
                <w:rFonts w:hint="eastAsia" w:ascii="宋体" w:hAnsi="宋体"/>
                <w:szCs w:val="21"/>
              </w:rPr>
              <w:t>金额（元）</w:t>
            </w:r>
          </w:p>
        </w:tc>
      </w:tr>
      <w:tr w14:paraId="3C1D5B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0" w:type="dxa"/>
          </w:tblCellMar>
        </w:tblPrEx>
        <w:trPr>
          <w:trHeight w:val="794" w:hRule="atLeast"/>
        </w:trPr>
        <w:tc>
          <w:tcPr>
            <w:tcW w:w="1270" w:type="dxa"/>
            <w:noWrap w:val="0"/>
            <w:vAlign w:val="center"/>
          </w:tcPr>
          <w:p w14:paraId="6FD9C6BB">
            <w:pPr>
              <w:widowControl/>
              <w:jc w:val="center"/>
              <w:textAlignment w:val="center"/>
              <w:rPr>
                <w:rFonts w:ascii="宋体" w:hAnsi="宋体" w:cs="宋体"/>
                <w:kern w:val="0"/>
                <w:szCs w:val="21"/>
              </w:rPr>
            </w:pPr>
            <w:r>
              <w:rPr>
                <w:rFonts w:hint="eastAsia" w:ascii="宋体" w:hAnsi="宋体" w:cs="宋体"/>
                <w:color w:val="000000"/>
                <w:kern w:val="0"/>
                <w:szCs w:val="21"/>
                <w:lang w:bidi="ar"/>
              </w:rPr>
              <w:t>1</w:t>
            </w:r>
          </w:p>
        </w:tc>
        <w:tc>
          <w:tcPr>
            <w:tcW w:w="1449" w:type="dxa"/>
            <w:noWrap w:val="0"/>
            <w:vAlign w:val="center"/>
          </w:tcPr>
          <w:p w14:paraId="722B7A5C">
            <w:pPr>
              <w:widowControl/>
              <w:jc w:val="center"/>
              <w:textAlignment w:val="center"/>
              <w:rPr>
                <w:rFonts w:ascii="宋体" w:hAnsi="宋体" w:cs="宋体"/>
                <w:kern w:val="0"/>
                <w:szCs w:val="21"/>
              </w:rPr>
            </w:pPr>
            <w:r>
              <w:rPr>
                <w:rFonts w:hint="eastAsia" w:ascii="宋体" w:hAnsi="宋体" w:cs="宋体"/>
                <w:color w:val="000000"/>
                <w:kern w:val="0"/>
                <w:szCs w:val="21"/>
                <w:lang w:bidi="ar"/>
              </w:rPr>
              <w:t>100</w:t>
            </w:r>
          </w:p>
        </w:tc>
        <w:tc>
          <w:tcPr>
            <w:tcW w:w="4554" w:type="dxa"/>
            <w:noWrap w:val="0"/>
            <w:vAlign w:val="center"/>
          </w:tcPr>
          <w:p w14:paraId="366D429B">
            <w:pPr>
              <w:widowControl/>
              <w:jc w:val="center"/>
              <w:textAlignment w:val="center"/>
              <w:rPr>
                <w:rFonts w:ascii="宋体" w:hAnsi="宋体" w:cs="宋体"/>
                <w:kern w:val="0"/>
                <w:szCs w:val="21"/>
              </w:rPr>
            </w:pPr>
            <w:r>
              <w:rPr>
                <w:rFonts w:hint="eastAsia" w:ascii="宋体" w:hAnsi="宋体" w:cs="宋体"/>
                <w:color w:val="000000"/>
                <w:kern w:val="0"/>
                <w:szCs w:val="21"/>
                <w:lang w:bidi="ar"/>
              </w:rPr>
              <w:t>清单第100章总则</w:t>
            </w:r>
          </w:p>
        </w:tc>
        <w:tc>
          <w:tcPr>
            <w:tcW w:w="1955" w:type="dxa"/>
            <w:noWrap w:val="0"/>
            <w:vAlign w:val="center"/>
          </w:tcPr>
          <w:p w14:paraId="3D334C7B">
            <w:pPr>
              <w:jc w:val="center"/>
              <w:rPr>
                <w:rFonts w:hint="eastAsia" w:ascii="宋体" w:hAnsi="宋体"/>
                <w:szCs w:val="21"/>
              </w:rPr>
            </w:pPr>
          </w:p>
        </w:tc>
      </w:tr>
      <w:tr w14:paraId="0690B5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0" w:type="dxa"/>
          </w:tblCellMar>
        </w:tblPrEx>
        <w:trPr>
          <w:trHeight w:val="794" w:hRule="atLeast"/>
        </w:trPr>
        <w:tc>
          <w:tcPr>
            <w:tcW w:w="1270" w:type="dxa"/>
            <w:noWrap w:val="0"/>
            <w:vAlign w:val="center"/>
          </w:tcPr>
          <w:p w14:paraId="1F433B1A">
            <w:pPr>
              <w:widowControl/>
              <w:jc w:val="center"/>
              <w:textAlignment w:val="center"/>
              <w:rPr>
                <w:rFonts w:hint="eastAsia" w:ascii="宋体" w:hAnsi="宋体" w:cs="宋体"/>
                <w:kern w:val="0"/>
                <w:szCs w:val="21"/>
              </w:rPr>
            </w:pPr>
            <w:r>
              <w:rPr>
                <w:rFonts w:hint="eastAsia" w:ascii="宋体" w:hAnsi="宋体" w:cs="宋体"/>
                <w:color w:val="000000"/>
                <w:kern w:val="0"/>
                <w:szCs w:val="21"/>
                <w:lang w:bidi="ar"/>
              </w:rPr>
              <w:t>2</w:t>
            </w:r>
          </w:p>
        </w:tc>
        <w:tc>
          <w:tcPr>
            <w:tcW w:w="1449" w:type="dxa"/>
            <w:noWrap w:val="0"/>
            <w:vAlign w:val="center"/>
          </w:tcPr>
          <w:p w14:paraId="0E2AA068">
            <w:pPr>
              <w:widowControl/>
              <w:jc w:val="center"/>
              <w:textAlignment w:val="center"/>
              <w:rPr>
                <w:rFonts w:hint="eastAsia" w:ascii="宋体" w:hAnsi="宋体" w:cs="宋体"/>
                <w:kern w:val="0"/>
                <w:szCs w:val="21"/>
              </w:rPr>
            </w:pPr>
            <w:r>
              <w:rPr>
                <w:rFonts w:hint="eastAsia" w:ascii="宋体" w:hAnsi="宋体" w:cs="宋体"/>
                <w:color w:val="000000"/>
                <w:kern w:val="0"/>
                <w:szCs w:val="21"/>
                <w:lang w:bidi="ar"/>
              </w:rPr>
              <w:t>200</w:t>
            </w:r>
          </w:p>
        </w:tc>
        <w:tc>
          <w:tcPr>
            <w:tcW w:w="4554" w:type="dxa"/>
            <w:noWrap w:val="0"/>
            <w:vAlign w:val="center"/>
          </w:tcPr>
          <w:p w14:paraId="4263F0EA">
            <w:pPr>
              <w:widowControl/>
              <w:jc w:val="center"/>
              <w:textAlignment w:val="center"/>
              <w:rPr>
                <w:rFonts w:hint="eastAsia" w:ascii="宋体" w:hAnsi="宋体" w:cs="宋体"/>
                <w:kern w:val="0"/>
                <w:szCs w:val="21"/>
              </w:rPr>
            </w:pPr>
            <w:r>
              <w:rPr>
                <w:rFonts w:hint="eastAsia" w:ascii="宋体" w:hAnsi="宋体" w:cs="宋体"/>
                <w:color w:val="000000"/>
                <w:kern w:val="0"/>
                <w:szCs w:val="21"/>
                <w:lang w:bidi="ar"/>
              </w:rPr>
              <w:t>清单第200章路基</w:t>
            </w:r>
          </w:p>
        </w:tc>
        <w:tc>
          <w:tcPr>
            <w:tcW w:w="1955" w:type="dxa"/>
            <w:noWrap w:val="0"/>
            <w:vAlign w:val="center"/>
          </w:tcPr>
          <w:p w14:paraId="7DDDA63F">
            <w:pPr>
              <w:jc w:val="center"/>
              <w:rPr>
                <w:rFonts w:hint="eastAsia" w:ascii="宋体" w:hAnsi="宋体"/>
                <w:szCs w:val="21"/>
              </w:rPr>
            </w:pPr>
          </w:p>
        </w:tc>
      </w:tr>
      <w:tr w14:paraId="475A69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0" w:type="dxa"/>
          </w:tblCellMar>
        </w:tblPrEx>
        <w:trPr>
          <w:trHeight w:val="794" w:hRule="atLeast"/>
        </w:trPr>
        <w:tc>
          <w:tcPr>
            <w:tcW w:w="1270" w:type="dxa"/>
            <w:noWrap w:val="0"/>
            <w:vAlign w:val="center"/>
          </w:tcPr>
          <w:p w14:paraId="3AA631C0">
            <w:pPr>
              <w:widowControl/>
              <w:jc w:val="center"/>
              <w:textAlignment w:val="center"/>
              <w:rPr>
                <w:rFonts w:hint="eastAsia" w:ascii="宋体" w:hAnsi="宋体" w:cs="宋体"/>
                <w:kern w:val="0"/>
                <w:szCs w:val="21"/>
              </w:rPr>
            </w:pPr>
            <w:r>
              <w:rPr>
                <w:rFonts w:hint="eastAsia" w:ascii="宋体" w:hAnsi="宋体" w:cs="宋体"/>
                <w:color w:val="000000"/>
                <w:kern w:val="0"/>
                <w:szCs w:val="21"/>
                <w:lang w:bidi="ar"/>
              </w:rPr>
              <w:t>3</w:t>
            </w:r>
          </w:p>
        </w:tc>
        <w:tc>
          <w:tcPr>
            <w:tcW w:w="1449" w:type="dxa"/>
            <w:noWrap w:val="0"/>
            <w:vAlign w:val="center"/>
          </w:tcPr>
          <w:p w14:paraId="702BE8F4">
            <w:pPr>
              <w:widowControl/>
              <w:jc w:val="center"/>
              <w:textAlignment w:val="center"/>
              <w:rPr>
                <w:rFonts w:ascii="宋体" w:hAnsi="宋体" w:cs="宋体"/>
                <w:kern w:val="0"/>
                <w:szCs w:val="21"/>
              </w:rPr>
            </w:pPr>
            <w:r>
              <w:rPr>
                <w:rFonts w:hint="eastAsia" w:ascii="宋体" w:hAnsi="宋体" w:cs="宋体"/>
                <w:color w:val="000000"/>
                <w:kern w:val="0"/>
                <w:szCs w:val="21"/>
                <w:lang w:bidi="ar"/>
              </w:rPr>
              <w:t>300</w:t>
            </w:r>
          </w:p>
        </w:tc>
        <w:tc>
          <w:tcPr>
            <w:tcW w:w="4554" w:type="dxa"/>
            <w:noWrap w:val="0"/>
            <w:vAlign w:val="center"/>
          </w:tcPr>
          <w:p w14:paraId="2FE76BCD">
            <w:pPr>
              <w:widowControl/>
              <w:jc w:val="center"/>
              <w:textAlignment w:val="center"/>
              <w:rPr>
                <w:rFonts w:ascii="宋体" w:hAnsi="宋体" w:cs="宋体"/>
                <w:kern w:val="0"/>
                <w:szCs w:val="21"/>
              </w:rPr>
            </w:pPr>
            <w:r>
              <w:rPr>
                <w:rFonts w:hint="eastAsia" w:ascii="宋体" w:hAnsi="宋体" w:cs="宋体"/>
                <w:color w:val="000000"/>
                <w:kern w:val="0"/>
                <w:szCs w:val="21"/>
                <w:lang w:bidi="ar"/>
              </w:rPr>
              <w:t>清单第300章路面</w:t>
            </w:r>
          </w:p>
        </w:tc>
        <w:tc>
          <w:tcPr>
            <w:tcW w:w="1955" w:type="dxa"/>
            <w:noWrap w:val="0"/>
            <w:vAlign w:val="center"/>
          </w:tcPr>
          <w:p w14:paraId="6BDA88E3">
            <w:pPr>
              <w:jc w:val="center"/>
              <w:rPr>
                <w:rFonts w:hint="eastAsia" w:ascii="宋体" w:hAnsi="宋体"/>
                <w:szCs w:val="21"/>
              </w:rPr>
            </w:pPr>
          </w:p>
        </w:tc>
      </w:tr>
      <w:tr w14:paraId="1EDC3E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0" w:type="dxa"/>
          </w:tblCellMar>
        </w:tblPrEx>
        <w:trPr>
          <w:trHeight w:val="794" w:hRule="atLeast"/>
        </w:trPr>
        <w:tc>
          <w:tcPr>
            <w:tcW w:w="1270" w:type="dxa"/>
            <w:noWrap w:val="0"/>
            <w:vAlign w:val="center"/>
          </w:tcPr>
          <w:p w14:paraId="579C4DB1">
            <w:pPr>
              <w:widowControl/>
              <w:jc w:val="center"/>
              <w:textAlignment w:val="center"/>
              <w:rPr>
                <w:rFonts w:hint="eastAsia" w:ascii="宋体" w:hAnsi="宋体" w:eastAsia="宋体" w:cs="宋体"/>
                <w:color w:val="000000"/>
                <w:kern w:val="0"/>
                <w:szCs w:val="21"/>
                <w:lang w:val="en-US" w:eastAsia="zh-CN" w:bidi="ar"/>
              </w:rPr>
            </w:pPr>
            <w:r>
              <w:rPr>
                <w:rFonts w:hint="eastAsia" w:ascii="宋体" w:hAnsi="宋体" w:cs="宋体"/>
                <w:color w:val="000000"/>
                <w:kern w:val="0"/>
                <w:szCs w:val="21"/>
                <w:lang w:val="en-US" w:eastAsia="zh-CN" w:bidi="ar"/>
              </w:rPr>
              <w:t>4</w:t>
            </w:r>
          </w:p>
        </w:tc>
        <w:tc>
          <w:tcPr>
            <w:tcW w:w="1449" w:type="dxa"/>
            <w:noWrap w:val="0"/>
            <w:vAlign w:val="center"/>
          </w:tcPr>
          <w:p w14:paraId="1EF9D010">
            <w:pPr>
              <w:widowControl/>
              <w:jc w:val="center"/>
              <w:textAlignment w:val="center"/>
              <w:rPr>
                <w:rFonts w:hint="default" w:ascii="宋体" w:hAnsi="宋体" w:eastAsia="宋体" w:cs="宋体"/>
                <w:color w:val="000000"/>
                <w:kern w:val="0"/>
                <w:szCs w:val="21"/>
                <w:lang w:val="en-US" w:eastAsia="zh-CN" w:bidi="ar"/>
              </w:rPr>
            </w:pPr>
            <w:r>
              <w:rPr>
                <w:rFonts w:hint="eastAsia" w:ascii="宋体" w:hAnsi="宋体" w:cs="宋体"/>
                <w:color w:val="000000"/>
                <w:kern w:val="0"/>
                <w:szCs w:val="21"/>
                <w:lang w:val="en-US" w:eastAsia="zh-CN" w:bidi="ar"/>
              </w:rPr>
              <w:t>400</w:t>
            </w:r>
          </w:p>
        </w:tc>
        <w:tc>
          <w:tcPr>
            <w:tcW w:w="4554" w:type="dxa"/>
            <w:noWrap w:val="0"/>
            <w:vAlign w:val="center"/>
          </w:tcPr>
          <w:p w14:paraId="740BF55E">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清单第</w:t>
            </w:r>
            <w:r>
              <w:rPr>
                <w:rFonts w:hint="eastAsia" w:ascii="宋体" w:hAnsi="宋体" w:cs="宋体"/>
                <w:color w:val="000000"/>
                <w:kern w:val="0"/>
                <w:szCs w:val="21"/>
                <w:lang w:val="en-US" w:eastAsia="zh-CN" w:bidi="ar"/>
              </w:rPr>
              <w:t>4</w:t>
            </w:r>
            <w:r>
              <w:rPr>
                <w:rFonts w:hint="eastAsia" w:ascii="宋体" w:hAnsi="宋体" w:cs="宋体"/>
                <w:color w:val="000000"/>
                <w:kern w:val="0"/>
                <w:szCs w:val="21"/>
                <w:lang w:bidi="ar"/>
              </w:rPr>
              <w:t>00章桥梁与涵洞</w:t>
            </w:r>
          </w:p>
        </w:tc>
        <w:tc>
          <w:tcPr>
            <w:tcW w:w="1955" w:type="dxa"/>
            <w:noWrap w:val="0"/>
            <w:vAlign w:val="center"/>
          </w:tcPr>
          <w:p w14:paraId="4BC50D30">
            <w:pPr>
              <w:jc w:val="center"/>
              <w:rPr>
                <w:rFonts w:hint="eastAsia" w:ascii="宋体" w:hAnsi="宋体"/>
                <w:szCs w:val="21"/>
              </w:rPr>
            </w:pPr>
          </w:p>
        </w:tc>
      </w:tr>
      <w:tr w14:paraId="15E4B9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0" w:type="dxa"/>
          </w:tblCellMar>
        </w:tblPrEx>
        <w:trPr>
          <w:trHeight w:val="794" w:hRule="atLeast"/>
        </w:trPr>
        <w:tc>
          <w:tcPr>
            <w:tcW w:w="1270" w:type="dxa"/>
            <w:noWrap w:val="0"/>
            <w:vAlign w:val="center"/>
          </w:tcPr>
          <w:p w14:paraId="0EC74129">
            <w:pPr>
              <w:widowControl/>
              <w:jc w:val="center"/>
              <w:textAlignment w:val="center"/>
              <w:rPr>
                <w:rFonts w:hint="eastAsia" w:ascii="宋体" w:hAnsi="宋体" w:eastAsia="宋体"/>
                <w:lang w:eastAsia="zh-CN"/>
              </w:rPr>
            </w:pPr>
            <w:r>
              <w:rPr>
                <w:rFonts w:hint="eastAsia" w:ascii="宋体" w:hAnsi="宋体" w:cs="宋体"/>
                <w:color w:val="000000"/>
                <w:kern w:val="0"/>
                <w:szCs w:val="21"/>
                <w:lang w:val="en-US" w:eastAsia="zh-CN" w:bidi="ar"/>
              </w:rPr>
              <w:t>5</w:t>
            </w:r>
          </w:p>
        </w:tc>
        <w:tc>
          <w:tcPr>
            <w:tcW w:w="6003" w:type="dxa"/>
            <w:gridSpan w:val="2"/>
            <w:noWrap w:val="0"/>
            <w:vAlign w:val="center"/>
          </w:tcPr>
          <w:p w14:paraId="5CE4EB45">
            <w:pPr>
              <w:widowControl/>
              <w:jc w:val="center"/>
              <w:textAlignment w:val="center"/>
              <w:rPr>
                <w:rFonts w:hint="eastAsia" w:ascii="宋体" w:hAnsi="宋体"/>
              </w:rPr>
            </w:pPr>
            <w:r>
              <w:rPr>
                <w:rFonts w:hint="eastAsia" w:ascii="宋体" w:hAnsi="宋体" w:cs="宋体"/>
                <w:color w:val="000000"/>
                <w:kern w:val="0"/>
                <w:szCs w:val="21"/>
                <w:lang w:bidi="ar"/>
              </w:rPr>
              <w:t>第100章至第</w:t>
            </w:r>
            <w:r>
              <w:rPr>
                <w:rFonts w:hint="eastAsia" w:ascii="宋体" w:hAnsi="宋体" w:cs="宋体"/>
                <w:color w:val="000000"/>
                <w:kern w:val="0"/>
                <w:szCs w:val="21"/>
                <w:lang w:val="en-US" w:eastAsia="zh-CN" w:bidi="ar"/>
              </w:rPr>
              <w:t>4</w:t>
            </w:r>
            <w:r>
              <w:rPr>
                <w:rFonts w:hint="eastAsia" w:ascii="宋体" w:hAnsi="宋体" w:cs="宋体"/>
                <w:color w:val="000000"/>
                <w:kern w:val="0"/>
                <w:szCs w:val="21"/>
                <w:lang w:bidi="ar"/>
              </w:rPr>
              <w:t>00章合计</w:t>
            </w:r>
          </w:p>
        </w:tc>
        <w:tc>
          <w:tcPr>
            <w:tcW w:w="1955" w:type="dxa"/>
            <w:noWrap w:val="0"/>
            <w:vAlign w:val="top"/>
          </w:tcPr>
          <w:p w14:paraId="6E018CFC">
            <w:pPr>
              <w:jc w:val="center"/>
              <w:rPr>
                <w:rFonts w:hint="eastAsia" w:ascii="宋体" w:hAnsi="宋体"/>
                <w:szCs w:val="21"/>
              </w:rPr>
            </w:pPr>
          </w:p>
        </w:tc>
      </w:tr>
      <w:tr w14:paraId="3A65BF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0" w:type="dxa"/>
          </w:tblCellMar>
        </w:tblPrEx>
        <w:trPr>
          <w:trHeight w:val="794" w:hRule="atLeast"/>
        </w:trPr>
        <w:tc>
          <w:tcPr>
            <w:tcW w:w="1270" w:type="dxa"/>
            <w:noWrap w:val="0"/>
            <w:vAlign w:val="center"/>
          </w:tcPr>
          <w:p w14:paraId="3A39CB67">
            <w:pPr>
              <w:widowControl/>
              <w:jc w:val="center"/>
              <w:textAlignment w:val="center"/>
              <w:rPr>
                <w:rFonts w:hint="eastAsia" w:ascii="宋体" w:hAnsi="宋体" w:eastAsia="宋体"/>
                <w:lang w:eastAsia="zh-CN"/>
              </w:rPr>
            </w:pPr>
            <w:r>
              <w:rPr>
                <w:rFonts w:hint="eastAsia" w:ascii="宋体" w:hAnsi="宋体" w:cs="宋体"/>
                <w:color w:val="000000"/>
                <w:kern w:val="0"/>
                <w:szCs w:val="21"/>
                <w:lang w:val="en-US" w:eastAsia="zh-CN" w:bidi="ar"/>
              </w:rPr>
              <w:t>6</w:t>
            </w:r>
          </w:p>
        </w:tc>
        <w:tc>
          <w:tcPr>
            <w:tcW w:w="6003" w:type="dxa"/>
            <w:gridSpan w:val="2"/>
            <w:noWrap w:val="0"/>
            <w:vAlign w:val="center"/>
          </w:tcPr>
          <w:p w14:paraId="0050C86D">
            <w:pPr>
              <w:widowControl/>
              <w:jc w:val="center"/>
              <w:textAlignment w:val="center"/>
              <w:rPr>
                <w:rFonts w:ascii="宋体" w:hAnsi="宋体"/>
              </w:rPr>
            </w:pPr>
            <w:r>
              <w:rPr>
                <w:rFonts w:hint="eastAsia" w:ascii="宋体" w:hAnsi="宋体" w:cs="宋体"/>
                <w:color w:val="000000"/>
                <w:kern w:val="0"/>
                <w:szCs w:val="21"/>
                <w:lang w:bidi="ar"/>
              </w:rPr>
              <w:t>已包含在清单合计中的材料、工程设备、专业工程暂估价合计</w:t>
            </w:r>
          </w:p>
        </w:tc>
        <w:tc>
          <w:tcPr>
            <w:tcW w:w="1955" w:type="dxa"/>
            <w:noWrap w:val="0"/>
            <w:vAlign w:val="top"/>
          </w:tcPr>
          <w:p w14:paraId="1DC71487">
            <w:pPr>
              <w:jc w:val="center"/>
              <w:rPr>
                <w:rFonts w:hint="eastAsia" w:ascii="宋体" w:hAnsi="宋体"/>
                <w:szCs w:val="21"/>
              </w:rPr>
            </w:pPr>
          </w:p>
        </w:tc>
      </w:tr>
      <w:tr w14:paraId="3CD841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0" w:type="dxa"/>
          </w:tblCellMar>
        </w:tblPrEx>
        <w:trPr>
          <w:trHeight w:val="794" w:hRule="atLeast"/>
        </w:trPr>
        <w:tc>
          <w:tcPr>
            <w:tcW w:w="1270" w:type="dxa"/>
            <w:noWrap w:val="0"/>
            <w:vAlign w:val="center"/>
          </w:tcPr>
          <w:p w14:paraId="02E6A4FE">
            <w:pPr>
              <w:widowControl/>
              <w:jc w:val="center"/>
              <w:textAlignment w:val="center"/>
              <w:rPr>
                <w:rFonts w:hint="eastAsia" w:ascii="宋体" w:hAnsi="宋体" w:eastAsia="宋体"/>
                <w:lang w:eastAsia="zh-CN"/>
              </w:rPr>
            </w:pPr>
            <w:r>
              <w:rPr>
                <w:rFonts w:hint="eastAsia" w:ascii="宋体" w:hAnsi="宋体" w:cs="宋体"/>
                <w:color w:val="000000"/>
                <w:kern w:val="0"/>
                <w:szCs w:val="21"/>
                <w:lang w:val="en-US" w:eastAsia="zh-CN" w:bidi="ar"/>
              </w:rPr>
              <w:t>7</w:t>
            </w:r>
          </w:p>
        </w:tc>
        <w:tc>
          <w:tcPr>
            <w:tcW w:w="6003" w:type="dxa"/>
            <w:gridSpan w:val="2"/>
            <w:noWrap w:val="0"/>
            <w:vAlign w:val="center"/>
          </w:tcPr>
          <w:p w14:paraId="2329147A">
            <w:pPr>
              <w:widowControl/>
              <w:jc w:val="center"/>
              <w:textAlignment w:val="center"/>
              <w:rPr>
                <w:rFonts w:hint="eastAsia" w:ascii="宋体" w:hAnsi="宋体"/>
              </w:rPr>
            </w:pPr>
            <w:r>
              <w:rPr>
                <w:rFonts w:hint="eastAsia" w:ascii="宋体" w:hAnsi="宋体" w:cs="宋体"/>
                <w:color w:val="000000"/>
                <w:kern w:val="0"/>
                <w:szCs w:val="21"/>
                <w:lang w:bidi="ar"/>
              </w:rPr>
              <w:t>清单合计减去材料、工程设备、专业工程暂估价合计</w:t>
            </w:r>
          </w:p>
        </w:tc>
        <w:tc>
          <w:tcPr>
            <w:tcW w:w="1955" w:type="dxa"/>
            <w:noWrap w:val="0"/>
            <w:vAlign w:val="top"/>
          </w:tcPr>
          <w:p w14:paraId="6DAC5C3B">
            <w:pPr>
              <w:jc w:val="center"/>
              <w:rPr>
                <w:rFonts w:hint="eastAsia" w:ascii="宋体" w:hAnsi="宋体"/>
                <w:szCs w:val="21"/>
              </w:rPr>
            </w:pPr>
          </w:p>
        </w:tc>
      </w:tr>
      <w:tr w14:paraId="7296AB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0" w:type="dxa"/>
          </w:tblCellMar>
        </w:tblPrEx>
        <w:trPr>
          <w:trHeight w:val="794" w:hRule="atLeast"/>
        </w:trPr>
        <w:tc>
          <w:tcPr>
            <w:tcW w:w="1270" w:type="dxa"/>
            <w:noWrap w:val="0"/>
            <w:vAlign w:val="center"/>
          </w:tcPr>
          <w:p w14:paraId="43815BC7">
            <w:pPr>
              <w:widowControl/>
              <w:jc w:val="center"/>
              <w:textAlignment w:val="center"/>
              <w:rPr>
                <w:rFonts w:hint="eastAsia" w:ascii="宋体" w:hAnsi="宋体" w:eastAsia="宋体"/>
                <w:lang w:eastAsia="zh-CN"/>
              </w:rPr>
            </w:pPr>
            <w:r>
              <w:rPr>
                <w:rFonts w:hint="eastAsia" w:ascii="宋体" w:hAnsi="宋体" w:cs="宋体"/>
                <w:color w:val="000000"/>
                <w:kern w:val="0"/>
                <w:szCs w:val="21"/>
                <w:lang w:val="en-US" w:eastAsia="zh-CN" w:bidi="ar"/>
              </w:rPr>
              <w:t>8</w:t>
            </w:r>
          </w:p>
        </w:tc>
        <w:tc>
          <w:tcPr>
            <w:tcW w:w="6003" w:type="dxa"/>
            <w:gridSpan w:val="2"/>
            <w:noWrap w:val="0"/>
            <w:vAlign w:val="center"/>
          </w:tcPr>
          <w:p w14:paraId="51AB2C62">
            <w:pPr>
              <w:widowControl/>
              <w:jc w:val="center"/>
              <w:textAlignment w:val="center"/>
              <w:rPr>
                <w:rFonts w:hint="eastAsia" w:ascii="宋体" w:hAnsi="宋体"/>
              </w:rPr>
            </w:pPr>
            <w:r>
              <w:rPr>
                <w:rFonts w:hint="eastAsia" w:ascii="宋体" w:hAnsi="宋体" w:cs="宋体"/>
                <w:color w:val="000000"/>
                <w:kern w:val="0"/>
                <w:szCs w:val="21"/>
                <w:lang w:bidi="ar"/>
              </w:rPr>
              <w:t>计日工合计</w:t>
            </w:r>
          </w:p>
        </w:tc>
        <w:tc>
          <w:tcPr>
            <w:tcW w:w="1955" w:type="dxa"/>
            <w:noWrap w:val="0"/>
            <w:vAlign w:val="top"/>
          </w:tcPr>
          <w:p w14:paraId="178045EE">
            <w:pPr>
              <w:jc w:val="center"/>
              <w:rPr>
                <w:rFonts w:hint="eastAsia" w:ascii="宋体" w:hAnsi="宋体"/>
                <w:szCs w:val="21"/>
              </w:rPr>
            </w:pPr>
          </w:p>
        </w:tc>
      </w:tr>
      <w:tr w14:paraId="6B907A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0" w:type="dxa"/>
          </w:tblCellMar>
        </w:tblPrEx>
        <w:trPr>
          <w:trHeight w:val="794" w:hRule="atLeast"/>
        </w:trPr>
        <w:tc>
          <w:tcPr>
            <w:tcW w:w="1270" w:type="dxa"/>
            <w:noWrap w:val="0"/>
            <w:vAlign w:val="center"/>
          </w:tcPr>
          <w:p w14:paraId="2ED79FCD">
            <w:pPr>
              <w:widowControl/>
              <w:jc w:val="center"/>
              <w:textAlignment w:val="center"/>
              <w:rPr>
                <w:rFonts w:hint="eastAsia" w:ascii="宋体" w:hAnsi="宋体" w:eastAsia="宋体"/>
                <w:lang w:eastAsia="zh-CN"/>
              </w:rPr>
            </w:pPr>
            <w:r>
              <w:rPr>
                <w:rFonts w:hint="eastAsia" w:ascii="宋体" w:hAnsi="宋体" w:cs="宋体"/>
                <w:color w:val="000000"/>
                <w:kern w:val="0"/>
                <w:szCs w:val="21"/>
                <w:lang w:val="en-US" w:eastAsia="zh-CN" w:bidi="ar"/>
              </w:rPr>
              <w:t>9</w:t>
            </w:r>
          </w:p>
        </w:tc>
        <w:tc>
          <w:tcPr>
            <w:tcW w:w="6003" w:type="dxa"/>
            <w:gridSpan w:val="2"/>
            <w:noWrap w:val="0"/>
            <w:vAlign w:val="center"/>
          </w:tcPr>
          <w:p w14:paraId="5A84646A">
            <w:pPr>
              <w:widowControl/>
              <w:jc w:val="center"/>
              <w:textAlignment w:val="center"/>
              <w:rPr>
                <w:rFonts w:hint="eastAsia" w:ascii="宋体" w:hAnsi="宋体"/>
              </w:rPr>
            </w:pPr>
            <w:r>
              <w:rPr>
                <w:rFonts w:hint="eastAsia" w:ascii="宋体" w:hAnsi="宋体" w:cs="宋体"/>
                <w:color w:val="000000"/>
                <w:kern w:val="0"/>
                <w:szCs w:val="21"/>
                <w:lang w:bidi="ar"/>
              </w:rPr>
              <w:t>暂列金额（不含计日工总额）</w:t>
            </w:r>
          </w:p>
        </w:tc>
        <w:tc>
          <w:tcPr>
            <w:tcW w:w="1955" w:type="dxa"/>
            <w:noWrap w:val="0"/>
            <w:vAlign w:val="top"/>
          </w:tcPr>
          <w:p w14:paraId="126614B7">
            <w:pPr>
              <w:jc w:val="center"/>
              <w:rPr>
                <w:rFonts w:hint="eastAsia" w:ascii="宋体" w:hAnsi="宋体"/>
                <w:szCs w:val="21"/>
              </w:rPr>
            </w:pPr>
          </w:p>
        </w:tc>
      </w:tr>
      <w:tr w14:paraId="07600F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0" w:type="dxa"/>
          </w:tblCellMar>
        </w:tblPrEx>
        <w:trPr>
          <w:trHeight w:val="794" w:hRule="atLeast"/>
        </w:trPr>
        <w:tc>
          <w:tcPr>
            <w:tcW w:w="1270" w:type="dxa"/>
            <w:noWrap w:val="0"/>
            <w:vAlign w:val="center"/>
          </w:tcPr>
          <w:p w14:paraId="50DCA280">
            <w:pPr>
              <w:widowControl/>
              <w:jc w:val="center"/>
              <w:textAlignment w:val="center"/>
              <w:rPr>
                <w:rFonts w:hint="default" w:ascii="宋体" w:hAnsi="宋体" w:eastAsia="宋体"/>
                <w:lang w:val="en-US" w:eastAsia="zh-CN"/>
              </w:rPr>
            </w:pPr>
            <w:r>
              <w:rPr>
                <w:rFonts w:hint="eastAsia" w:ascii="宋体" w:hAnsi="宋体" w:cs="宋体"/>
                <w:color w:val="000000"/>
                <w:kern w:val="0"/>
                <w:szCs w:val="21"/>
                <w:lang w:val="en-US" w:eastAsia="zh-CN" w:bidi="ar"/>
              </w:rPr>
              <w:t>10</w:t>
            </w:r>
          </w:p>
        </w:tc>
        <w:tc>
          <w:tcPr>
            <w:tcW w:w="6003" w:type="dxa"/>
            <w:gridSpan w:val="2"/>
            <w:noWrap w:val="0"/>
            <w:vAlign w:val="center"/>
          </w:tcPr>
          <w:p w14:paraId="36428D0D">
            <w:pPr>
              <w:widowControl/>
              <w:jc w:val="center"/>
              <w:textAlignment w:val="center"/>
              <w:rPr>
                <w:rFonts w:hint="eastAsia" w:ascii="宋体" w:hAnsi="宋体"/>
              </w:rPr>
            </w:pPr>
            <w:r>
              <w:rPr>
                <w:rFonts w:hint="eastAsia" w:ascii="宋体" w:hAnsi="宋体" w:cs="宋体"/>
                <w:color w:val="000000"/>
                <w:kern w:val="0"/>
                <w:szCs w:val="21"/>
                <w:lang w:bidi="ar"/>
              </w:rPr>
              <w:t>投标</w:t>
            </w:r>
            <w:r>
              <w:rPr>
                <w:rFonts w:hint="eastAsia" w:ascii="宋体" w:hAnsi="宋体" w:cs="宋体"/>
                <w:color w:val="000000"/>
                <w:kern w:val="0"/>
                <w:szCs w:val="21"/>
                <w:lang w:val="en-US" w:eastAsia="zh-CN" w:bidi="ar"/>
              </w:rPr>
              <w:t>总</w:t>
            </w:r>
            <w:r>
              <w:rPr>
                <w:rFonts w:hint="eastAsia" w:ascii="宋体" w:hAnsi="宋体" w:cs="宋体"/>
                <w:color w:val="000000"/>
                <w:kern w:val="0"/>
                <w:szCs w:val="21"/>
                <w:lang w:bidi="ar"/>
              </w:rPr>
              <w:t>报价</w:t>
            </w:r>
          </w:p>
        </w:tc>
        <w:tc>
          <w:tcPr>
            <w:tcW w:w="1955" w:type="dxa"/>
            <w:noWrap w:val="0"/>
            <w:vAlign w:val="top"/>
          </w:tcPr>
          <w:p w14:paraId="6920F527">
            <w:pPr>
              <w:jc w:val="center"/>
              <w:rPr>
                <w:rFonts w:hint="eastAsia" w:ascii="宋体" w:hAnsi="宋体"/>
                <w:szCs w:val="21"/>
              </w:rPr>
            </w:pPr>
          </w:p>
        </w:tc>
      </w:tr>
    </w:tbl>
    <w:p w14:paraId="405F8B36">
      <w:pPr>
        <w:pStyle w:val="3"/>
        <w:spacing w:before="480" w:after="120" w:line="415" w:lineRule="auto"/>
        <w:jc w:val="both"/>
        <w:rPr>
          <w:rFonts w:hint="eastAsia" w:ascii="宋体" w:hAnsi="宋体" w:eastAsia="宋体" w:cs="宋体"/>
          <w:b w:val="0"/>
          <w:sz w:val="21"/>
          <w:szCs w:val="21"/>
        </w:rPr>
      </w:pPr>
    </w:p>
    <w:p w14:paraId="263743BC">
      <w:pPr>
        <w:spacing w:line="340" w:lineRule="exact"/>
        <w:rPr>
          <w:rFonts w:hint="eastAsia"/>
          <w:sz w:val="24"/>
          <w:szCs w:val="21"/>
        </w:rPr>
      </w:pPr>
    </w:p>
    <w:p w14:paraId="3B658783">
      <w:pPr>
        <w:tabs>
          <w:tab w:val="left" w:pos="3120"/>
        </w:tabs>
        <w:jc w:val="center"/>
        <w:outlineLvl w:val="2"/>
        <w:rPr>
          <w:rFonts w:hint="eastAsia" w:ascii="黑体" w:hAnsi="华文楷体" w:eastAsia="黑体"/>
          <w:sz w:val="44"/>
        </w:rPr>
      </w:pPr>
      <w:bookmarkStart w:id="84" w:name="_Toc496619691"/>
      <w:bookmarkStart w:id="85" w:name="_Toc87531984"/>
      <w:bookmarkStart w:id="86" w:name="_Toc29803"/>
      <w:bookmarkStart w:id="87" w:name="_Toc394582542"/>
      <w:bookmarkStart w:id="88" w:name="_Toc435864329"/>
      <w:bookmarkStart w:id="89" w:name="_Toc496620390"/>
      <w:r>
        <w:rPr>
          <w:rFonts w:hint="eastAsia" w:ascii="黑体" w:hAnsi="华文楷体" w:eastAsia="黑体"/>
          <w:sz w:val="44"/>
        </w:rPr>
        <w:br w:type="page"/>
      </w:r>
      <w:bookmarkEnd w:id="80"/>
      <w:bookmarkEnd w:id="81"/>
      <w:bookmarkEnd w:id="82"/>
      <w:bookmarkEnd w:id="83"/>
      <w:bookmarkEnd w:id="84"/>
      <w:bookmarkEnd w:id="85"/>
      <w:bookmarkEnd w:id="86"/>
      <w:bookmarkEnd w:id="87"/>
      <w:bookmarkEnd w:id="88"/>
      <w:bookmarkEnd w:id="89"/>
      <w:r>
        <w:rPr>
          <w:rFonts w:hint="eastAsia" w:ascii="黑体" w:hAnsi="华文楷体" w:eastAsia="黑体"/>
          <w:sz w:val="44"/>
        </w:rPr>
        <w:t>第</w:t>
      </w:r>
      <w:r>
        <w:rPr>
          <w:rFonts w:ascii="黑体" w:hAnsi="华文楷体" w:eastAsia="黑体"/>
          <w:sz w:val="44"/>
        </w:rPr>
        <w:t>100</w:t>
      </w:r>
      <w:r>
        <w:rPr>
          <w:rFonts w:hint="eastAsia" w:ascii="黑体" w:hAnsi="华文楷体" w:eastAsia="黑体"/>
          <w:sz w:val="44"/>
        </w:rPr>
        <w:t>章  总  则</w:t>
      </w:r>
    </w:p>
    <w:p w14:paraId="6888C1B4">
      <w:pPr>
        <w:tabs>
          <w:tab w:val="left" w:pos="3120"/>
        </w:tabs>
        <w:jc w:val="center"/>
        <w:rPr>
          <w:rFonts w:hint="eastAsia" w:ascii="黑体" w:hAnsi="华文楷体" w:eastAsia="黑体"/>
          <w:sz w:val="44"/>
        </w:rPr>
      </w:pPr>
    </w:p>
    <w:p w14:paraId="0DA4F818">
      <w:pPr>
        <w:tabs>
          <w:tab w:val="left" w:pos="3120"/>
        </w:tabs>
        <w:jc w:val="center"/>
        <w:rPr>
          <w:rFonts w:hint="eastAsia" w:ascii="黑体" w:eastAsia="黑体"/>
          <w:sz w:val="32"/>
        </w:rPr>
      </w:pPr>
      <w:r>
        <w:rPr>
          <w:rFonts w:hint="eastAsia" w:ascii="黑体" w:eastAsia="黑体"/>
          <w:sz w:val="32"/>
        </w:rPr>
        <w:t>第1</w:t>
      </w:r>
      <w:r>
        <w:rPr>
          <w:rFonts w:ascii="黑体" w:eastAsia="黑体"/>
          <w:sz w:val="32"/>
        </w:rPr>
        <w:t>01</w:t>
      </w:r>
      <w:r>
        <w:rPr>
          <w:rFonts w:hint="eastAsia" w:ascii="黑体" w:eastAsia="黑体"/>
          <w:sz w:val="32"/>
        </w:rPr>
        <w:t>节  通    则</w:t>
      </w:r>
    </w:p>
    <w:p w14:paraId="758ED6C1">
      <w:pPr>
        <w:tabs>
          <w:tab w:val="left" w:pos="3120"/>
        </w:tabs>
        <w:spacing w:line="360" w:lineRule="auto"/>
        <w:outlineLvl w:val="0"/>
        <w:rPr>
          <w:rFonts w:hint="eastAsia"/>
        </w:rPr>
      </w:pPr>
      <w:bookmarkStart w:id="90" w:name="_Toc435864330"/>
      <w:bookmarkStart w:id="91" w:name="_Toc465178798"/>
      <w:bookmarkStart w:id="92" w:name="_Toc465179159"/>
      <w:bookmarkStart w:id="93" w:name="_Toc496620391"/>
      <w:bookmarkStart w:id="94" w:name="_Toc10382"/>
      <w:bookmarkStart w:id="95" w:name="_Toc87531985"/>
      <w:bookmarkStart w:id="96" w:name="_Toc465178078"/>
      <w:bookmarkStart w:id="97" w:name="_Toc496619692"/>
      <w:r>
        <w:rPr>
          <w:rFonts w:hint="eastAsia" w:eastAsia="黑体"/>
          <w:sz w:val="28"/>
          <w:szCs w:val="28"/>
        </w:rPr>
        <w:t>1</w:t>
      </w:r>
      <w:r>
        <w:rPr>
          <w:rFonts w:eastAsia="黑体"/>
          <w:sz w:val="28"/>
          <w:szCs w:val="28"/>
        </w:rPr>
        <w:t>01.0</w:t>
      </w:r>
      <w:r>
        <w:rPr>
          <w:rFonts w:hint="eastAsia" w:eastAsia="黑体"/>
          <w:sz w:val="28"/>
          <w:szCs w:val="28"/>
        </w:rPr>
        <w:t>1</w:t>
      </w:r>
      <w:r>
        <w:rPr>
          <w:rFonts w:ascii="黑体" w:eastAsia="黑体"/>
          <w:sz w:val="28"/>
          <w:szCs w:val="28"/>
        </w:rPr>
        <w:t xml:space="preserve">  </w:t>
      </w:r>
      <w:r>
        <w:rPr>
          <w:rFonts w:hint="eastAsia" w:ascii="黑体" w:eastAsia="黑体"/>
          <w:sz w:val="28"/>
          <w:szCs w:val="28"/>
        </w:rPr>
        <w:t>范围</w:t>
      </w:r>
      <w:bookmarkEnd w:id="90"/>
      <w:bookmarkEnd w:id="91"/>
      <w:bookmarkEnd w:id="92"/>
      <w:bookmarkEnd w:id="93"/>
      <w:bookmarkEnd w:id="94"/>
      <w:bookmarkEnd w:id="95"/>
      <w:bookmarkEnd w:id="96"/>
      <w:bookmarkEnd w:id="97"/>
    </w:p>
    <w:p w14:paraId="1005A1AE">
      <w:pPr>
        <w:tabs>
          <w:tab w:val="left" w:pos="3120"/>
        </w:tabs>
        <w:spacing w:line="360" w:lineRule="auto"/>
        <w:ind w:firstLine="397"/>
        <w:rPr>
          <w:rFonts w:hint="eastAsia"/>
        </w:rPr>
      </w:pPr>
      <w:r>
        <w:rPr>
          <w:rFonts w:hint="eastAsia"/>
        </w:rPr>
        <w:t>第</w:t>
      </w:r>
      <w:r>
        <w:t>1</w:t>
      </w:r>
      <w:r>
        <w:rPr>
          <w:rFonts w:hint="eastAsia"/>
        </w:rPr>
        <w:t>条修改为：</w:t>
      </w:r>
    </w:p>
    <w:p w14:paraId="59F55267">
      <w:pPr>
        <w:tabs>
          <w:tab w:val="left" w:pos="3120"/>
        </w:tabs>
        <w:spacing w:line="360" w:lineRule="auto"/>
        <w:ind w:firstLine="397"/>
        <w:rPr>
          <w:rFonts w:hint="eastAsia"/>
        </w:rPr>
      </w:pPr>
      <w:r>
        <w:t>1．</w:t>
      </w:r>
      <w:r>
        <w:rPr>
          <w:rFonts w:hint="eastAsia"/>
        </w:rPr>
        <w:t>本“项目专用技术规范”结合本工程特点编写，连同“通用技术规范”，统称“本规范”，适用于</w:t>
      </w:r>
      <w:r>
        <w:rPr>
          <w:rFonts w:hint="eastAsia"/>
          <w:lang w:eastAsia="zh-CN"/>
        </w:rPr>
        <w:t>2026年秀洲区县道及以上公路小修及应急抢险项目</w:t>
      </w:r>
      <w:r>
        <w:rPr>
          <w:rFonts w:hint="eastAsia"/>
        </w:rPr>
        <w:t>。</w:t>
      </w:r>
    </w:p>
    <w:p w14:paraId="0DE0DE8A">
      <w:pPr>
        <w:tabs>
          <w:tab w:val="left" w:pos="3120"/>
        </w:tabs>
        <w:spacing w:line="360" w:lineRule="auto"/>
        <w:outlineLvl w:val="0"/>
        <w:rPr>
          <w:rFonts w:hint="eastAsia"/>
        </w:rPr>
      </w:pPr>
      <w:bookmarkStart w:id="98" w:name="_Toc465178799"/>
      <w:bookmarkStart w:id="99" w:name="_Toc496619693"/>
      <w:bookmarkStart w:id="100" w:name="_Toc465178079"/>
      <w:bookmarkStart w:id="101" w:name="_Toc87531986"/>
      <w:bookmarkStart w:id="102" w:name="_Toc28735"/>
      <w:bookmarkStart w:id="103" w:name="_Toc496620392"/>
      <w:bookmarkStart w:id="104" w:name="_Toc435864331"/>
      <w:bookmarkStart w:id="105" w:name="_Toc465179160"/>
      <w:r>
        <w:rPr>
          <w:rFonts w:hint="eastAsia" w:eastAsia="黑体"/>
          <w:sz w:val="28"/>
          <w:szCs w:val="28"/>
        </w:rPr>
        <w:t>1</w:t>
      </w:r>
      <w:r>
        <w:rPr>
          <w:rFonts w:eastAsia="黑体"/>
          <w:sz w:val="28"/>
          <w:szCs w:val="28"/>
        </w:rPr>
        <w:t>01.0</w:t>
      </w:r>
      <w:r>
        <w:rPr>
          <w:rFonts w:hint="eastAsia" w:eastAsia="黑体"/>
          <w:sz w:val="28"/>
          <w:szCs w:val="28"/>
        </w:rPr>
        <w:t>3</w:t>
      </w:r>
      <w:r>
        <w:rPr>
          <w:rFonts w:ascii="黑体" w:eastAsia="黑体"/>
          <w:sz w:val="28"/>
          <w:szCs w:val="28"/>
        </w:rPr>
        <w:t xml:space="preserve">  </w:t>
      </w:r>
      <w:r>
        <w:rPr>
          <w:rFonts w:hint="eastAsia" w:ascii="黑体" w:eastAsia="黑体"/>
          <w:sz w:val="28"/>
          <w:szCs w:val="28"/>
        </w:rPr>
        <w:t>标准与规范</w:t>
      </w:r>
      <w:bookmarkEnd w:id="98"/>
      <w:bookmarkEnd w:id="99"/>
      <w:bookmarkEnd w:id="100"/>
      <w:bookmarkEnd w:id="101"/>
      <w:bookmarkEnd w:id="102"/>
      <w:bookmarkEnd w:id="103"/>
      <w:bookmarkEnd w:id="104"/>
      <w:bookmarkEnd w:id="105"/>
    </w:p>
    <w:p w14:paraId="5D3ED05B">
      <w:pPr>
        <w:tabs>
          <w:tab w:val="left" w:pos="3120"/>
        </w:tabs>
        <w:spacing w:line="360" w:lineRule="auto"/>
        <w:ind w:firstLine="397"/>
        <w:rPr>
          <w:rFonts w:hint="eastAsia"/>
        </w:rPr>
      </w:pPr>
      <w:r>
        <w:rPr>
          <w:rFonts w:hint="eastAsia"/>
        </w:rPr>
        <w:t>第4条修改为：</w:t>
      </w:r>
    </w:p>
    <w:p w14:paraId="592C8257">
      <w:pPr>
        <w:tabs>
          <w:tab w:val="left" w:pos="3120"/>
        </w:tabs>
        <w:spacing w:line="360" w:lineRule="auto"/>
        <w:ind w:firstLine="397"/>
        <w:rPr>
          <w:rFonts w:hint="eastAsia"/>
        </w:rPr>
      </w:pPr>
      <w:r>
        <w:rPr>
          <w:rFonts w:hint="eastAsia"/>
        </w:rPr>
        <w:t>4</w:t>
      </w:r>
      <w:r>
        <w:t>．</w:t>
      </w:r>
      <w:r>
        <w:rPr>
          <w:rFonts w:hint="eastAsia"/>
        </w:rPr>
        <w:t>当适用于工程的几种标准与规范出现意义不明或不一致时，应由监理人作出解释和校正，并就此向承包人发出指令。若在引用的标准或规范发生分歧时，应按以下顺序优先考虑：</w:t>
      </w:r>
    </w:p>
    <w:p w14:paraId="2B6141CC">
      <w:pPr>
        <w:tabs>
          <w:tab w:val="left" w:pos="3120"/>
        </w:tabs>
        <w:spacing w:line="360" w:lineRule="auto"/>
        <w:ind w:firstLine="397"/>
        <w:rPr>
          <w:rFonts w:hint="eastAsia"/>
        </w:rPr>
      </w:pPr>
      <w:r>
        <w:rPr>
          <w:rFonts w:hint="eastAsia"/>
        </w:rPr>
        <w:t>a</w:t>
      </w:r>
      <w:r>
        <w:t>．</w:t>
      </w:r>
      <w:r>
        <w:rPr>
          <w:rFonts w:hint="eastAsia"/>
        </w:rPr>
        <w:t>本</w:t>
      </w:r>
      <w:r>
        <w:rPr>
          <w:rFonts w:hint="eastAsia" w:eastAsia="隶书"/>
        </w:rPr>
        <w:t>“</w:t>
      </w:r>
      <w:r>
        <w:rPr>
          <w:rFonts w:hint="eastAsia"/>
        </w:rPr>
        <w:t>项目专用技术规范</w:t>
      </w:r>
      <w:r>
        <w:rPr>
          <w:rFonts w:hint="eastAsia" w:eastAsia="隶书"/>
        </w:rPr>
        <w:t>”</w:t>
      </w:r>
      <w:r>
        <w:rPr>
          <w:rFonts w:hint="eastAsia"/>
        </w:rPr>
        <w:t>。</w:t>
      </w:r>
    </w:p>
    <w:p w14:paraId="5BDFFDB2">
      <w:pPr>
        <w:tabs>
          <w:tab w:val="left" w:pos="3120"/>
        </w:tabs>
        <w:spacing w:line="360" w:lineRule="auto"/>
        <w:ind w:firstLine="397"/>
        <w:rPr>
          <w:rFonts w:hint="eastAsia"/>
        </w:rPr>
      </w:pPr>
      <w:r>
        <w:rPr>
          <w:rFonts w:hint="eastAsia"/>
        </w:rPr>
        <w:t>b</w:t>
      </w:r>
      <w:r>
        <w:t>．</w:t>
      </w:r>
      <w:r>
        <w:rPr>
          <w:rFonts w:hint="eastAsia" w:eastAsia="隶书"/>
        </w:rPr>
        <w:t>“</w:t>
      </w:r>
      <w:r>
        <w:rPr>
          <w:rFonts w:hint="eastAsia"/>
        </w:rPr>
        <w:t>通用技术规范</w:t>
      </w:r>
      <w:r>
        <w:rPr>
          <w:rFonts w:hint="eastAsia" w:eastAsia="隶书"/>
        </w:rPr>
        <w:t>”</w:t>
      </w:r>
      <w:r>
        <w:rPr>
          <w:rFonts w:hint="eastAsia"/>
        </w:rPr>
        <w:t>采用《浙江省公路养护工程施工招标文件范本2024年版》（下册）中的《技术规范》。</w:t>
      </w:r>
    </w:p>
    <w:p w14:paraId="3F8A8136">
      <w:pPr>
        <w:tabs>
          <w:tab w:val="left" w:pos="3120"/>
        </w:tabs>
        <w:spacing w:line="360" w:lineRule="auto"/>
        <w:ind w:firstLine="397"/>
        <w:rPr>
          <w:rFonts w:hint="eastAsia"/>
        </w:rPr>
      </w:pPr>
      <w:r>
        <w:rPr>
          <w:rFonts w:hint="eastAsia"/>
        </w:rPr>
        <w:t>c</w:t>
      </w:r>
      <w:r>
        <w:t>．</w:t>
      </w:r>
      <w:r>
        <w:rPr>
          <w:rFonts w:hint="eastAsia"/>
        </w:rPr>
        <w:t>中华人民共和国国家标准。</w:t>
      </w:r>
    </w:p>
    <w:p w14:paraId="19AB03DA">
      <w:pPr>
        <w:tabs>
          <w:tab w:val="left" w:pos="3120"/>
        </w:tabs>
        <w:spacing w:line="360" w:lineRule="auto"/>
        <w:ind w:firstLine="397"/>
        <w:rPr>
          <w:rFonts w:hint="eastAsia"/>
        </w:rPr>
      </w:pPr>
      <w:r>
        <w:rPr>
          <w:rFonts w:hint="eastAsia"/>
        </w:rPr>
        <w:t>d</w:t>
      </w:r>
      <w:r>
        <w:t>．</w:t>
      </w:r>
      <w:r>
        <w:rPr>
          <w:rFonts w:hint="eastAsia"/>
        </w:rPr>
        <w:t>有关部门标准与规范。</w:t>
      </w:r>
    </w:p>
    <w:p w14:paraId="6A22CED0">
      <w:pPr>
        <w:tabs>
          <w:tab w:val="left" w:pos="3120"/>
        </w:tabs>
        <w:spacing w:line="360" w:lineRule="auto"/>
        <w:ind w:firstLine="397"/>
        <w:rPr>
          <w:rFonts w:hint="eastAsia"/>
        </w:rPr>
      </w:pPr>
    </w:p>
    <w:p w14:paraId="36006F48">
      <w:pPr>
        <w:tabs>
          <w:tab w:val="left" w:pos="3120"/>
        </w:tabs>
        <w:jc w:val="center"/>
        <w:rPr>
          <w:rFonts w:hint="eastAsia" w:ascii="黑体" w:eastAsia="黑体"/>
          <w:sz w:val="32"/>
        </w:rPr>
      </w:pPr>
      <w:r>
        <w:rPr>
          <w:rFonts w:hint="eastAsia" w:ascii="黑体" w:eastAsia="黑体"/>
          <w:sz w:val="32"/>
        </w:rPr>
        <w:t>第</w:t>
      </w:r>
      <w:r>
        <w:rPr>
          <w:rFonts w:hint="eastAsia" w:eastAsia="黑体"/>
          <w:sz w:val="32"/>
        </w:rPr>
        <w:t>1</w:t>
      </w:r>
      <w:r>
        <w:rPr>
          <w:rFonts w:eastAsia="黑体"/>
          <w:sz w:val="32"/>
        </w:rPr>
        <w:t>0</w:t>
      </w:r>
      <w:r>
        <w:rPr>
          <w:rFonts w:hint="eastAsia" w:eastAsia="黑体"/>
          <w:sz w:val="32"/>
        </w:rPr>
        <w:t>2</w:t>
      </w:r>
      <w:r>
        <w:rPr>
          <w:rFonts w:hint="eastAsia" w:ascii="黑体" w:eastAsia="黑体"/>
          <w:sz w:val="32"/>
        </w:rPr>
        <w:t>节  工程管理</w:t>
      </w:r>
    </w:p>
    <w:p w14:paraId="029CC5B1">
      <w:pPr>
        <w:tabs>
          <w:tab w:val="left" w:pos="3120"/>
        </w:tabs>
        <w:spacing w:line="360" w:lineRule="auto"/>
        <w:rPr>
          <w:rFonts w:hint="eastAsia" w:eastAsia="黑体"/>
          <w:sz w:val="28"/>
          <w:szCs w:val="28"/>
        </w:rPr>
      </w:pPr>
      <w:bookmarkStart w:id="106" w:name="_Toc355703693"/>
      <w:bookmarkStart w:id="107" w:name="_Toc324319676"/>
    </w:p>
    <w:p w14:paraId="39F5EB28">
      <w:pPr>
        <w:tabs>
          <w:tab w:val="left" w:pos="3120"/>
        </w:tabs>
        <w:spacing w:line="360" w:lineRule="auto"/>
        <w:outlineLvl w:val="0"/>
        <w:rPr>
          <w:rFonts w:hint="eastAsia" w:eastAsia="黑体"/>
          <w:sz w:val="28"/>
          <w:szCs w:val="28"/>
        </w:rPr>
      </w:pPr>
      <w:bookmarkStart w:id="108" w:name="_Toc496619694"/>
      <w:bookmarkStart w:id="109" w:name="_Toc87531987"/>
      <w:bookmarkStart w:id="110" w:name="_Toc465178080"/>
      <w:bookmarkStart w:id="111" w:name="_Toc9680"/>
      <w:bookmarkStart w:id="112" w:name="_Toc435864332"/>
      <w:bookmarkStart w:id="113" w:name="_Toc465178800"/>
      <w:bookmarkStart w:id="114" w:name="_Toc496620393"/>
      <w:bookmarkStart w:id="115" w:name="_Toc465179161"/>
      <w:r>
        <w:rPr>
          <w:rFonts w:hint="eastAsia" w:eastAsia="黑体"/>
          <w:sz w:val="28"/>
          <w:szCs w:val="28"/>
        </w:rPr>
        <w:t>102.01一般要求</w:t>
      </w:r>
      <w:bookmarkEnd w:id="108"/>
      <w:bookmarkEnd w:id="109"/>
      <w:bookmarkEnd w:id="110"/>
      <w:bookmarkEnd w:id="111"/>
      <w:bookmarkEnd w:id="112"/>
      <w:bookmarkEnd w:id="113"/>
      <w:bookmarkEnd w:id="114"/>
      <w:bookmarkEnd w:id="115"/>
    </w:p>
    <w:p w14:paraId="3DB7274A">
      <w:pPr>
        <w:spacing w:before="120" w:beforeLines="50" w:after="120" w:afterLines="50" w:line="360" w:lineRule="exact"/>
        <w:ind w:firstLine="420"/>
        <w:jc w:val="left"/>
        <w:rPr>
          <w:rFonts w:hint="eastAsia" w:ascii="宋体" w:hAnsi="宋体" w:cs="宋体"/>
          <w:bCs/>
          <w:szCs w:val="21"/>
        </w:rPr>
      </w:pPr>
      <w:r>
        <w:rPr>
          <w:rFonts w:hint="eastAsia" w:ascii="宋体" w:hAnsi="宋体" w:cs="宋体"/>
          <w:bCs/>
          <w:szCs w:val="21"/>
        </w:rPr>
        <w:t>增加第6、7款：</w:t>
      </w:r>
    </w:p>
    <w:p w14:paraId="1B207A40">
      <w:pPr>
        <w:spacing w:before="120" w:beforeLines="50" w:after="120" w:afterLines="50" w:line="360" w:lineRule="exact"/>
        <w:ind w:firstLine="420"/>
        <w:jc w:val="left"/>
        <w:rPr>
          <w:rFonts w:hint="eastAsia" w:ascii="宋体" w:hAnsi="宋体" w:cs="宋体"/>
          <w:bCs/>
          <w:szCs w:val="21"/>
        </w:rPr>
      </w:pPr>
      <w:r>
        <w:rPr>
          <w:rFonts w:hint="eastAsia" w:ascii="宋体" w:hAnsi="宋体" w:cs="宋体"/>
          <w:bCs/>
          <w:szCs w:val="21"/>
        </w:rPr>
        <w:t>6、除了发生不可抗力事件外，在任何情况下，承包人应确保公路畅通，公路结构物处于完好的技术状态。</w:t>
      </w:r>
    </w:p>
    <w:p w14:paraId="7A916B30">
      <w:pPr>
        <w:spacing w:before="120" w:beforeLines="50" w:after="120" w:afterLines="50" w:line="360" w:lineRule="exact"/>
        <w:ind w:firstLine="420"/>
        <w:jc w:val="left"/>
        <w:rPr>
          <w:rFonts w:hint="eastAsia" w:ascii="宋体" w:hAnsi="宋体" w:cs="宋体"/>
          <w:bCs/>
          <w:szCs w:val="21"/>
        </w:rPr>
      </w:pPr>
      <w:r>
        <w:rPr>
          <w:rFonts w:hint="eastAsia" w:ascii="宋体" w:hAnsi="宋体" w:cs="宋体"/>
          <w:bCs/>
          <w:szCs w:val="21"/>
        </w:rPr>
        <w:t>7、</w:t>
      </w:r>
      <w:r>
        <w:rPr>
          <w:rFonts w:hint="eastAsia"/>
        </w:rPr>
        <w:t>承包人应按发包人要求及时填报、维护公路养护站管理系统（包括日常巡查、台账及相关记录）。</w:t>
      </w:r>
    </w:p>
    <w:p w14:paraId="2D5D5F43">
      <w:pPr>
        <w:spacing w:before="120" w:beforeLines="50" w:after="120" w:afterLines="50" w:line="360" w:lineRule="exact"/>
        <w:ind w:firstLine="420" w:firstLineChars="200"/>
        <w:jc w:val="left"/>
        <w:rPr>
          <w:rFonts w:hint="eastAsia" w:ascii="宋体" w:hAnsi="宋体" w:cs="宋体"/>
          <w:bCs/>
          <w:szCs w:val="21"/>
        </w:rPr>
      </w:pPr>
      <w:r>
        <w:rPr>
          <w:rFonts w:hint="eastAsia" w:ascii="宋体" w:hAnsi="宋体" w:cs="宋体"/>
          <w:bCs/>
          <w:szCs w:val="21"/>
        </w:rPr>
        <w:t>增加</w:t>
      </w:r>
      <w:r>
        <w:rPr>
          <w:szCs w:val="21"/>
        </w:rPr>
        <w:t>102.03</w:t>
      </w:r>
      <w:r>
        <w:rPr>
          <w:rFonts w:hint="eastAsia" w:ascii="宋体" w:hAnsi="宋体" w:cs="宋体"/>
          <w:bCs/>
          <w:szCs w:val="21"/>
        </w:rPr>
        <w:t>人员培训</w:t>
      </w:r>
    </w:p>
    <w:p w14:paraId="5D71B2FD">
      <w:pPr>
        <w:spacing w:before="120" w:beforeLines="50" w:after="120" w:afterLines="50" w:line="360" w:lineRule="exact"/>
        <w:ind w:firstLine="420" w:firstLineChars="200"/>
        <w:jc w:val="left"/>
        <w:rPr>
          <w:rFonts w:hint="eastAsia" w:ascii="宋体" w:hAnsi="宋体" w:cs="宋体"/>
          <w:bCs/>
          <w:szCs w:val="21"/>
        </w:rPr>
      </w:pPr>
      <w:r>
        <w:rPr>
          <w:rFonts w:hint="eastAsia" w:ascii="宋体" w:hAnsi="宋体" w:cs="宋体"/>
          <w:bCs/>
          <w:szCs w:val="21"/>
        </w:rPr>
        <w:t>承包人应加强现场养护人员的岗位和工序教育，加强质量、安全知识的岗位培训，做到人人重视质量、人人重视安全，做到科学管理、文明养护。</w:t>
      </w:r>
    </w:p>
    <w:p w14:paraId="52867557">
      <w:pPr>
        <w:tabs>
          <w:tab w:val="left" w:pos="3120"/>
        </w:tabs>
        <w:spacing w:line="360" w:lineRule="auto"/>
        <w:outlineLvl w:val="0"/>
        <w:rPr>
          <w:rFonts w:hint="eastAsia" w:eastAsia="黑体"/>
          <w:sz w:val="28"/>
          <w:szCs w:val="28"/>
        </w:rPr>
      </w:pPr>
      <w:bookmarkStart w:id="116" w:name="_Toc435864333"/>
      <w:bookmarkStart w:id="117" w:name="_Toc29794"/>
      <w:bookmarkStart w:id="118" w:name="_Toc465178801"/>
      <w:bookmarkStart w:id="119" w:name="_Toc465178081"/>
      <w:bookmarkStart w:id="120" w:name="_Toc496620394"/>
      <w:bookmarkStart w:id="121" w:name="_Toc87531988"/>
      <w:bookmarkStart w:id="122" w:name="_Toc496619695"/>
      <w:bookmarkStart w:id="123" w:name="_Toc465179162"/>
      <w:r>
        <w:rPr>
          <w:rFonts w:hint="eastAsia" w:eastAsia="黑体"/>
          <w:sz w:val="28"/>
          <w:szCs w:val="28"/>
        </w:rPr>
        <w:t>102.04 养护记录</w:t>
      </w:r>
      <w:bookmarkEnd w:id="116"/>
      <w:bookmarkEnd w:id="117"/>
      <w:bookmarkEnd w:id="118"/>
      <w:bookmarkEnd w:id="119"/>
      <w:bookmarkEnd w:id="120"/>
      <w:bookmarkEnd w:id="121"/>
      <w:bookmarkEnd w:id="122"/>
      <w:bookmarkEnd w:id="123"/>
    </w:p>
    <w:p w14:paraId="08023C3E">
      <w:pPr>
        <w:spacing w:before="120" w:beforeLines="50" w:after="120" w:afterLines="50" w:line="360" w:lineRule="exact"/>
        <w:ind w:firstLine="420" w:firstLineChars="200"/>
        <w:jc w:val="left"/>
        <w:rPr>
          <w:rFonts w:hint="eastAsia" w:ascii="宋体" w:hAnsi="宋体" w:cs="宋体"/>
          <w:szCs w:val="21"/>
        </w:rPr>
      </w:pPr>
      <w:r>
        <w:rPr>
          <w:rFonts w:hint="eastAsia" w:ascii="宋体" w:hAnsi="宋体" w:cs="宋体"/>
          <w:szCs w:val="21"/>
        </w:rPr>
        <w:t>修改为：</w:t>
      </w:r>
    </w:p>
    <w:p w14:paraId="4C6BEEE3">
      <w:pPr>
        <w:spacing w:line="360" w:lineRule="auto"/>
        <w:ind w:firstLine="420" w:firstLineChars="200"/>
        <w:rPr>
          <w:rFonts w:hint="eastAsia" w:ascii="宋体" w:hAnsi="宋体" w:cs="宋体"/>
        </w:rPr>
      </w:pPr>
      <w:r>
        <w:rPr>
          <w:rFonts w:hint="eastAsia" w:ascii="宋体" w:hAnsi="宋体" w:cs="宋体"/>
        </w:rPr>
        <w:t>1、承包人应与养护承包进程同步形成、积累、整理及保管所有养护记录。</w:t>
      </w:r>
    </w:p>
    <w:p w14:paraId="1CB06036">
      <w:pPr>
        <w:spacing w:line="360" w:lineRule="auto"/>
        <w:rPr>
          <w:rFonts w:hint="eastAsia" w:ascii="宋体" w:hAnsi="宋体" w:cs="宋体"/>
        </w:rPr>
      </w:pPr>
      <w:r>
        <w:rPr>
          <w:rFonts w:hint="eastAsia" w:ascii="宋体" w:hAnsi="宋体" w:cs="宋体"/>
        </w:rPr>
        <w:t xml:space="preserve">    2、承包人应搜集、掌握下列信息：</w:t>
      </w:r>
    </w:p>
    <w:p w14:paraId="4BBCB952">
      <w:pPr>
        <w:spacing w:line="360" w:lineRule="auto"/>
        <w:rPr>
          <w:rFonts w:hint="eastAsia" w:ascii="宋体" w:hAnsi="宋体" w:cs="宋体"/>
          <w:color w:val="auto"/>
        </w:rPr>
      </w:pPr>
      <w:r>
        <w:rPr>
          <w:rFonts w:hint="eastAsia" w:ascii="宋体" w:hAnsi="宋体" w:cs="宋体"/>
        </w:rPr>
        <w:t xml:space="preserve">    (1)路况信息：包括动态信息和静态信息，动态信息指有关公路设施的路况、受灾等信息，静态信息指公路</w:t>
      </w:r>
      <w:r>
        <w:rPr>
          <w:rFonts w:hint="eastAsia" w:ascii="宋体" w:hAnsi="宋体" w:cs="宋体"/>
          <w:color w:val="auto"/>
        </w:rPr>
        <w:t>、桥梁、隧道等构造物的形状、尺寸等信息。</w:t>
      </w:r>
    </w:p>
    <w:p w14:paraId="574E8693">
      <w:pPr>
        <w:spacing w:line="360" w:lineRule="auto"/>
        <w:rPr>
          <w:rFonts w:hint="eastAsia" w:ascii="宋体" w:hAnsi="宋体" w:cs="宋体"/>
          <w:color w:val="auto"/>
        </w:rPr>
      </w:pPr>
      <w:r>
        <w:rPr>
          <w:rFonts w:hint="eastAsia" w:ascii="宋体" w:hAnsi="宋体" w:cs="宋体"/>
          <w:color w:val="auto"/>
        </w:rPr>
        <w:t xml:space="preserve">    (2)交通信息：有关交通量、车辆荷载、行驶速度、交通阻塞等信息。</w:t>
      </w:r>
    </w:p>
    <w:p w14:paraId="60737494">
      <w:pPr>
        <w:spacing w:line="360" w:lineRule="auto"/>
        <w:rPr>
          <w:rFonts w:hint="eastAsia" w:ascii="宋体" w:hAnsi="宋体" w:cs="宋体"/>
          <w:color w:val="auto"/>
        </w:rPr>
      </w:pPr>
      <w:r>
        <w:rPr>
          <w:rFonts w:hint="eastAsia" w:ascii="宋体" w:hAnsi="宋体" w:cs="宋体"/>
          <w:color w:val="auto"/>
        </w:rPr>
        <w:t xml:space="preserve">    (3)气象信息：有关雨、雪、雾、风、冰冻等信息。</w:t>
      </w:r>
    </w:p>
    <w:p w14:paraId="594ED403">
      <w:pPr>
        <w:spacing w:line="360" w:lineRule="auto"/>
        <w:rPr>
          <w:rFonts w:hint="eastAsia" w:ascii="宋体" w:hAnsi="宋体" w:cs="宋体"/>
          <w:color w:val="auto"/>
        </w:rPr>
      </w:pPr>
      <w:r>
        <w:rPr>
          <w:rFonts w:hint="eastAsia" w:ascii="宋体" w:hAnsi="宋体" w:cs="宋体"/>
          <w:color w:val="auto"/>
        </w:rPr>
        <w:t xml:space="preserve">    (4)路产信息：有关由于外来因素，路产受损时信息。</w:t>
      </w:r>
    </w:p>
    <w:p w14:paraId="1AC78933">
      <w:pPr>
        <w:spacing w:line="360" w:lineRule="auto"/>
        <w:rPr>
          <w:rFonts w:hint="eastAsia" w:ascii="宋体" w:hAnsi="宋体" w:cs="宋体"/>
          <w:color w:val="auto"/>
        </w:rPr>
      </w:pPr>
      <w:r>
        <w:rPr>
          <w:rFonts w:hint="eastAsia" w:ascii="宋体" w:hAnsi="宋体" w:cs="宋体"/>
          <w:color w:val="auto"/>
        </w:rPr>
        <w:t xml:space="preserve">    3、承包人应掌握和上报的资料：</w:t>
      </w:r>
    </w:p>
    <w:p w14:paraId="29C92DEE">
      <w:pPr>
        <w:spacing w:line="360" w:lineRule="auto"/>
        <w:rPr>
          <w:rFonts w:hint="eastAsia" w:ascii="宋体" w:hAnsi="宋体" w:cs="宋体"/>
          <w:color w:val="auto"/>
        </w:rPr>
      </w:pPr>
      <w:r>
        <w:rPr>
          <w:rFonts w:hint="eastAsia" w:ascii="宋体" w:hAnsi="宋体" w:cs="宋体"/>
          <w:color w:val="auto"/>
        </w:rPr>
        <w:t xml:space="preserve">    (1)承包人应根据发包人提供的资料，通过调查建立路况及养护工作台帐，格式应按公路行业管理部门规定的格式进行，并必须在规定时间上报各类由公路行业管理部门规定的报表。</w:t>
      </w:r>
    </w:p>
    <w:p w14:paraId="78BDB894">
      <w:pPr>
        <w:spacing w:line="360" w:lineRule="auto"/>
        <w:ind w:firstLine="420"/>
        <w:rPr>
          <w:rFonts w:hint="eastAsia" w:ascii="宋体" w:hAnsi="宋体" w:cs="宋体"/>
          <w:color w:val="auto"/>
        </w:rPr>
      </w:pPr>
      <w:r>
        <w:rPr>
          <w:rFonts w:hint="eastAsia" w:ascii="宋体" w:hAnsi="宋体" w:cs="宋体"/>
          <w:color w:val="auto"/>
        </w:rPr>
        <w:t>(2)承包人应努力提高管理水平，配合做好发包人或公路行业管理部门推广的设施管理系统等基础资料收集、管理系统的应用工作。</w:t>
      </w:r>
    </w:p>
    <w:p w14:paraId="34A353FC">
      <w:pPr>
        <w:spacing w:line="360" w:lineRule="auto"/>
        <w:ind w:firstLine="420" w:firstLineChars="200"/>
        <w:rPr>
          <w:rFonts w:hint="eastAsia" w:ascii="宋体" w:hAnsi="宋体" w:cs="宋体"/>
          <w:color w:val="auto"/>
        </w:rPr>
      </w:pPr>
      <w:r>
        <w:rPr>
          <w:rFonts w:hint="eastAsia" w:ascii="宋体" w:hAnsi="宋体" w:cs="宋体"/>
          <w:color w:val="auto"/>
        </w:rPr>
        <w:t>4、公路养护档案工作应贯彻执行《中华人民共和国档案法》和《中华人民共和国档案法实施办法》，并符合《交通档案管理办法》的有关规定，既要执行交通行业档案管理的制度、规范、标准，又要接受所在地区档案行政管理部门的业务指导与监督。</w:t>
      </w:r>
    </w:p>
    <w:p w14:paraId="44441504">
      <w:pPr>
        <w:tabs>
          <w:tab w:val="left" w:pos="3120"/>
        </w:tabs>
        <w:spacing w:line="360" w:lineRule="auto"/>
        <w:outlineLvl w:val="0"/>
        <w:rPr>
          <w:rFonts w:hint="eastAsia" w:eastAsia="黑体"/>
          <w:color w:val="auto"/>
          <w:sz w:val="28"/>
          <w:szCs w:val="28"/>
        </w:rPr>
      </w:pPr>
      <w:bookmarkStart w:id="124" w:name="_Toc465178082"/>
      <w:bookmarkStart w:id="125" w:name="_Toc87531989"/>
      <w:bookmarkStart w:id="126" w:name="_Toc465179163"/>
      <w:bookmarkStart w:id="127" w:name="_Toc496620395"/>
      <w:bookmarkStart w:id="128" w:name="_Toc465178802"/>
      <w:bookmarkStart w:id="129" w:name="_Toc15179"/>
      <w:bookmarkStart w:id="130" w:name="_Toc496619696"/>
      <w:bookmarkStart w:id="131" w:name="_Toc435864334"/>
      <w:r>
        <w:rPr>
          <w:rFonts w:hint="eastAsia" w:eastAsia="黑体"/>
          <w:color w:val="auto"/>
          <w:sz w:val="28"/>
          <w:szCs w:val="28"/>
        </w:rPr>
        <w:t>102.08养护作业安全措施</w:t>
      </w:r>
      <w:bookmarkEnd w:id="124"/>
      <w:bookmarkEnd w:id="125"/>
      <w:bookmarkEnd w:id="126"/>
      <w:bookmarkEnd w:id="127"/>
      <w:bookmarkEnd w:id="128"/>
      <w:bookmarkEnd w:id="129"/>
      <w:bookmarkEnd w:id="130"/>
      <w:bookmarkEnd w:id="131"/>
    </w:p>
    <w:p w14:paraId="7942C61D">
      <w:pPr>
        <w:spacing w:line="360" w:lineRule="auto"/>
        <w:ind w:firstLine="420"/>
        <w:rPr>
          <w:rFonts w:hint="eastAsia" w:ascii="宋体" w:hAnsi="宋体" w:cs="宋体"/>
          <w:color w:val="auto"/>
        </w:rPr>
      </w:pPr>
      <w:r>
        <w:rPr>
          <w:rFonts w:hint="eastAsia" w:ascii="宋体" w:hAnsi="宋体" w:cs="宋体"/>
          <w:color w:val="auto"/>
        </w:rPr>
        <w:t>增加第12～16项：</w:t>
      </w:r>
    </w:p>
    <w:p w14:paraId="0F9756AA">
      <w:pPr>
        <w:spacing w:line="360" w:lineRule="auto"/>
        <w:ind w:firstLine="420" w:firstLineChars="200"/>
        <w:rPr>
          <w:rFonts w:hint="eastAsia" w:ascii="宋体" w:hAnsi="宋体" w:cs="宋体"/>
          <w:color w:val="auto"/>
        </w:rPr>
      </w:pPr>
      <w:r>
        <w:rPr>
          <w:rFonts w:hint="eastAsia" w:ascii="宋体" w:hAnsi="宋体" w:cs="宋体"/>
          <w:color w:val="auto"/>
        </w:rPr>
        <w:t>12. 施工作业人员，应遵守交通管理法规并具有高度的安全责任感，统一着安全标志服，夜间还须穿着反光背心，不得随意在非封闭区域的行车道上活动或停留，必须穿越车道的，不准妨碍过往车辆，在确保安全情况下迅速通过。</w:t>
      </w:r>
    </w:p>
    <w:p w14:paraId="1DDA5FD4">
      <w:pPr>
        <w:spacing w:line="360" w:lineRule="auto"/>
        <w:ind w:firstLine="420" w:firstLineChars="200"/>
        <w:rPr>
          <w:rFonts w:hint="eastAsia" w:ascii="宋体" w:hAnsi="宋体" w:cs="宋体"/>
          <w:color w:val="auto"/>
        </w:rPr>
      </w:pPr>
      <w:r>
        <w:rPr>
          <w:rFonts w:hint="eastAsia" w:ascii="宋体" w:hAnsi="宋体" w:cs="宋体"/>
          <w:color w:val="auto"/>
        </w:rPr>
        <w:t>13. 公路主线零星坑槽修补、维修保养作业及专项、大修（如有）施工必须设置统一、规范、标准、清晰的标志标牌。</w:t>
      </w:r>
    </w:p>
    <w:p w14:paraId="5847DAFE">
      <w:pPr>
        <w:spacing w:line="360" w:lineRule="auto"/>
        <w:ind w:firstLine="420" w:firstLineChars="200"/>
        <w:rPr>
          <w:rFonts w:hint="eastAsia" w:ascii="宋体" w:hAnsi="宋体" w:cs="宋体"/>
          <w:color w:val="auto"/>
        </w:rPr>
      </w:pPr>
      <w:r>
        <w:rPr>
          <w:rFonts w:hint="eastAsia" w:ascii="宋体" w:hAnsi="宋体" w:cs="宋体"/>
          <w:color w:val="auto"/>
        </w:rPr>
        <w:t>14. 在施工作业区或在封闭车道、改变车辆流向时应设置防撞桶并采用警示锥形筒隔离，锥形筒（高度75CM）间距一般不大于15米；同一地点较长时间作业的，应视情况采用硬隔离；标志标牌等安全设施应有专人负责管理。</w:t>
      </w:r>
    </w:p>
    <w:p w14:paraId="429BEC63">
      <w:pPr>
        <w:spacing w:line="360" w:lineRule="auto"/>
        <w:ind w:firstLine="420" w:firstLineChars="200"/>
        <w:rPr>
          <w:rFonts w:hint="eastAsia" w:ascii="宋体" w:hAnsi="宋体" w:cs="宋体"/>
          <w:color w:val="auto"/>
          <w:highlight w:val="none"/>
        </w:rPr>
      </w:pPr>
      <w:r>
        <w:rPr>
          <w:rFonts w:hint="eastAsia" w:ascii="宋体" w:hAnsi="宋体" w:cs="宋体"/>
          <w:color w:val="auto"/>
        </w:rPr>
        <w:t>15. 利用车辆进行养护维修施工作业时，应在作业车辆上设置鲜明、规范的作业标志。养护维修作业车、交通管理车</w:t>
      </w:r>
      <w:r>
        <w:rPr>
          <w:rFonts w:hint="eastAsia" w:ascii="宋体" w:hAnsi="宋体" w:cs="宋体"/>
          <w:color w:val="auto"/>
          <w:highlight w:val="none"/>
        </w:rPr>
        <w:t>等相关车辆应保持车况良好，遵守交通法规。需停留的，应停放在封闭区域内，进出施工区域应避让过往车辆，专人指挥，确保安全。</w:t>
      </w:r>
    </w:p>
    <w:p w14:paraId="31A57210">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16. 承包人应严格按照浙交监【2013】43号文《关于进一步加强我省交通建设工程施工安全生产用管理的通知》、浙交〔2021〕12号《省交通运输厅关于印发《浙江省交通建设工程安全生产费用管理办法》的通知》和《公路养护安全作业规程》的规定采取安全措施，从而保证现场工作人员和第三方人员的人身财产安全。</w:t>
      </w:r>
    </w:p>
    <w:p w14:paraId="1CF72237">
      <w:pPr>
        <w:tabs>
          <w:tab w:val="left" w:pos="3120"/>
        </w:tabs>
        <w:spacing w:line="360" w:lineRule="auto"/>
        <w:outlineLvl w:val="0"/>
        <w:rPr>
          <w:rFonts w:hint="eastAsia" w:eastAsia="黑体"/>
          <w:color w:val="auto"/>
          <w:sz w:val="28"/>
          <w:szCs w:val="28"/>
          <w:highlight w:val="none"/>
        </w:rPr>
      </w:pPr>
      <w:bookmarkStart w:id="132" w:name="_Toc465178803"/>
      <w:bookmarkStart w:id="133" w:name="_Toc465179164"/>
      <w:bookmarkStart w:id="134" w:name="_Toc3425"/>
      <w:bookmarkStart w:id="135" w:name="_Toc87531990"/>
      <w:bookmarkStart w:id="136" w:name="_Toc496620396"/>
      <w:bookmarkStart w:id="137" w:name="_Toc465178083"/>
      <w:bookmarkStart w:id="138" w:name="_Toc496619697"/>
      <w:bookmarkStart w:id="139" w:name="_Toc435864335"/>
      <w:r>
        <w:rPr>
          <w:rFonts w:hint="eastAsia" w:eastAsia="黑体"/>
          <w:color w:val="auto"/>
          <w:sz w:val="28"/>
          <w:szCs w:val="28"/>
          <w:highlight w:val="none"/>
        </w:rPr>
        <w:t>102.10计量与支付</w:t>
      </w:r>
      <w:bookmarkEnd w:id="132"/>
      <w:bookmarkEnd w:id="133"/>
      <w:bookmarkEnd w:id="134"/>
      <w:bookmarkEnd w:id="135"/>
      <w:bookmarkEnd w:id="136"/>
      <w:bookmarkEnd w:id="137"/>
      <w:bookmarkEnd w:id="138"/>
      <w:bookmarkEnd w:id="139"/>
    </w:p>
    <w:p w14:paraId="053E66BB">
      <w:pPr>
        <w:spacing w:line="360" w:lineRule="auto"/>
        <w:outlineLvl w:val="0"/>
        <w:rPr>
          <w:rFonts w:hint="eastAsia" w:ascii="宋体" w:hAnsi="宋体" w:cs="宋体"/>
          <w:color w:val="auto"/>
          <w:highlight w:val="none"/>
        </w:rPr>
      </w:pPr>
      <w:bookmarkStart w:id="140" w:name="_Toc87531991"/>
      <w:bookmarkStart w:id="141" w:name="_Toc435864336"/>
      <w:bookmarkStart w:id="142" w:name="_Toc465179165"/>
      <w:bookmarkStart w:id="143" w:name="_Toc496619698"/>
      <w:bookmarkStart w:id="144" w:name="_Toc9885"/>
      <w:bookmarkStart w:id="145" w:name="_Toc496620397"/>
      <w:bookmarkStart w:id="146" w:name="_Toc465178804"/>
      <w:bookmarkStart w:id="147" w:name="_Toc465178084"/>
      <w:r>
        <w:rPr>
          <w:rFonts w:hint="eastAsia" w:ascii="宋体" w:hAnsi="宋体" w:cs="宋体"/>
          <w:color w:val="auto"/>
          <w:highlight w:val="none"/>
        </w:rPr>
        <w:t>1. 计量</w:t>
      </w:r>
      <w:bookmarkEnd w:id="140"/>
      <w:bookmarkEnd w:id="141"/>
      <w:bookmarkEnd w:id="142"/>
      <w:bookmarkEnd w:id="143"/>
      <w:bookmarkEnd w:id="144"/>
      <w:bookmarkEnd w:id="145"/>
      <w:bookmarkEnd w:id="146"/>
      <w:bookmarkEnd w:id="147"/>
    </w:p>
    <w:p w14:paraId="2BBEC8BC">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第（4）款修改为：</w:t>
      </w:r>
      <w:r>
        <w:rPr>
          <w:rFonts w:hint="eastAsia" w:hAnsi="宋体"/>
          <w:color w:val="auto"/>
          <w:szCs w:val="21"/>
          <w:highlight w:val="none"/>
        </w:rPr>
        <w:t>安全生产费应不低于投标价（不含安全生产费、建筑工程一切险保险费</w:t>
      </w:r>
      <w:r>
        <w:rPr>
          <w:rFonts w:hint="eastAsia" w:hAnsi="宋体"/>
          <w:color w:val="auto"/>
          <w:szCs w:val="21"/>
          <w:highlight w:val="none"/>
          <w:lang w:eastAsia="zh-CN"/>
        </w:rPr>
        <w:t>的</w:t>
      </w:r>
      <w:r>
        <w:rPr>
          <w:rFonts w:hint="eastAsia" w:hAnsi="宋体"/>
          <w:color w:val="auto"/>
          <w:szCs w:val="21"/>
          <w:highlight w:val="none"/>
        </w:rPr>
        <w:t>费用）的2%，</w:t>
      </w:r>
      <w:r>
        <w:rPr>
          <w:rFonts w:hint="eastAsia" w:ascii="宋体" w:hAnsi="宋体" w:cs="宋体"/>
          <w:color w:val="auto"/>
          <w:highlight w:val="none"/>
        </w:rPr>
        <w:t>包含安全维护、安全教育投入、安全评审费、安全协调费、交通安全管理费</w:t>
      </w:r>
      <w:r>
        <w:rPr>
          <w:rFonts w:hint="eastAsia" w:ascii="宋体" w:hAnsi="宋体" w:cs="宋体"/>
          <w:color w:val="auto"/>
          <w:highlight w:val="none"/>
          <w:lang w:eastAsia="zh-CN"/>
        </w:rPr>
        <w:t>、</w:t>
      </w:r>
      <w:r>
        <w:rPr>
          <w:rFonts w:hint="eastAsia" w:ascii="宋体" w:hAnsi="宋体" w:cs="宋体"/>
          <w:color w:val="auto"/>
          <w:highlight w:val="none"/>
          <w:lang w:val="en-US" w:eastAsia="zh-CN"/>
        </w:rPr>
        <w:t>安全生产责任险</w:t>
      </w:r>
      <w:r>
        <w:rPr>
          <w:rFonts w:hint="eastAsia" w:ascii="宋体" w:hAnsi="宋体" w:cs="宋体"/>
          <w:color w:val="auto"/>
          <w:highlight w:val="none"/>
        </w:rPr>
        <w:t>等</w:t>
      </w:r>
      <w:r>
        <w:rPr>
          <w:rFonts w:hint="eastAsia" w:ascii="宋体" w:hAnsi="宋体" w:cs="宋体"/>
          <w:color w:val="auto"/>
          <w:kern w:val="0"/>
          <w:sz w:val="18"/>
          <w:szCs w:val="18"/>
          <w:highlight w:val="none"/>
        </w:rPr>
        <w:t>。</w:t>
      </w:r>
      <w:r>
        <w:rPr>
          <w:rFonts w:hint="eastAsia" w:ascii="宋体" w:hAnsi="宋体" w:cs="宋体"/>
          <w:color w:val="auto"/>
          <w:highlight w:val="none"/>
        </w:rPr>
        <w:t>承包人如需在安全生产费以外增加安全投入，应在其他单价中予以考虑。</w:t>
      </w:r>
    </w:p>
    <w:p w14:paraId="4C93B809">
      <w:pPr>
        <w:spacing w:line="360" w:lineRule="auto"/>
        <w:outlineLvl w:val="0"/>
        <w:rPr>
          <w:rFonts w:hint="eastAsia" w:ascii="宋体" w:hAnsi="宋体" w:cs="宋体"/>
          <w:color w:val="auto"/>
          <w:highlight w:val="none"/>
        </w:rPr>
      </w:pPr>
      <w:bookmarkStart w:id="148" w:name="_Toc465179166"/>
      <w:bookmarkStart w:id="149" w:name="_Toc496620398"/>
      <w:bookmarkStart w:id="150" w:name="_Toc435864337"/>
      <w:bookmarkStart w:id="151" w:name="_Toc24731"/>
      <w:bookmarkStart w:id="152" w:name="_Toc87531992"/>
      <w:bookmarkStart w:id="153" w:name="_Toc496619699"/>
      <w:bookmarkStart w:id="154" w:name="_Toc465178085"/>
      <w:bookmarkStart w:id="155" w:name="_Toc465178805"/>
      <w:r>
        <w:rPr>
          <w:rFonts w:hint="eastAsia" w:ascii="宋体" w:hAnsi="宋体" w:cs="宋体"/>
          <w:color w:val="auto"/>
          <w:highlight w:val="none"/>
        </w:rPr>
        <w:t>2. 支付</w:t>
      </w:r>
      <w:bookmarkEnd w:id="148"/>
      <w:bookmarkEnd w:id="149"/>
      <w:bookmarkEnd w:id="150"/>
      <w:bookmarkEnd w:id="151"/>
      <w:bookmarkEnd w:id="152"/>
      <w:bookmarkEnd w:id="153"/>
      <w:bookmarkEnd w:id="154"/>
      <w:bookmarkEnd w:id="155"/>
    </w:p>
    <w:p w14:paraId="7158ED24">
      <w:pPr>
        <w:tabs>
          <w:tab w:val="left" w:pos="3120"/>
        </w:tabs>
        <w:spacing w:line="360" w:lineRule="auto"/>
        <w:ind w:firstLine="397"/>
        <w:rPr>
          <w:rFonts w:hint="eastAsia"/>
          <w:color w:val="auto"/>
          <w:highlight w:val="none"/>
        </w:rPr>
      </w:pPr>
      <w:r>
        <w:rPr>
          <w:rFonts w:hint="eastAsia" w:ascii="宋体" w:hAnsi="宋体" w:cs="宋体"/>
          <w:color w:val="auto"/>
          <w:highlight w:val="none"/>
        </w:rPr>
        <w:t>修改为：安全生产费按实计量支付，在竣工结算时按照浙交监【2013】43号文《关于进一步加强我省交通建设工程施工安全生产用管理的通知》、浙交〔2021〕12号《省交通运输厅关于印发《浙江省交通建设工程安全生产费用管理办法》的通知》要求按实际提供发票金额结算。</w:t>
      </w:r>
    </w:p>
    <w:p w14:paraId="776A3BD6">
      <w:pPr>
        <w:tabs>
          <w:tab w:val="left" w:pos="3120"/>
        </w:tabs>
        <w:jc w:val="center"/>
        <w:rPr>
          <w:rFonts w:hint="eastAsia" w:ascii="黑体" w:eastAsia="黑体"/>
          <w:color w:val="auto"/>
          <w:sz w:val="32"/>
          <w:highlight w:val="none"/>
        </w:rPr>
      </w:pPr>
    </w:p>
    <w:p w14:paraId="128BAAD9">
      <w:pPr>
        <w:tabs>
          <w:tab w:val="left" w:pos="3120"/>
        </w:tabs>
        <w:jc w:val="center"/>
        <w:rPr>
          <w:rFonts w:hint="eastAsia" w:ascii="黑体" w:eastAsia="黑体"/>
          <w:color w:val="auto"/>
          <w:sz w:val="32"/>
          <w:highlight w:val="none"/>
        </w:rPr>
      </w:pPr>
      <w:r>
        <w:rPr>
          <w:rFonts w:hint="eastAsia" w:ascii="黑体" w:eastAsia="黑体"/>
          <w:color w:val="auto"/>
          <w:sz w:val="32"/>
          <w:highlight w:val="none"/>
        </w:rPr>
        <w:t xml:space="preserve">   第</w:t>
      </w:r>
      <w:r>
        <w:rPr>
          <w:rFonts w:hint="eastAsia" w:eastAsia="黑体"/>
          <w:color w:val="auto"/>
          <w:sz w:val="32"/>
          <w:highlight w:val="none"/>
        </w:rPr>
        <w:t>1</w:t>
      </w:r>
      <w:r>
        <w:rPr>
          <w:rFonts w:eastAsia="黑体"/>
          <w:color w:val="auto"/>
          <w:sz w:val="32"/>
          <w:highlight w:val="none"/>
        </w:rPr>
        <w:t>0</w:t>
      </w:r>
      <w:r>
        <w:rPr>
          <w:rFonts w:hint="eastAsia" w:eastAsia="黑体"/>
          <w:color w:val="auto"/>
          <w:sz w:val="32"/>
          <w:highlight w:val="none"/>
        </w:rPr>
        <w:t>4</w:t>
      </w:r>
      <w:r>
        <w:rPr>
          <w:rFonts w:hint="eastAsia" w:ascii="黑体" w:eastAsia="黑体"/>
          <w:color w:val="auto"/>
          <w:sz w:val="32"/>
          <w:highlight w:val="none"/>
        </w:rPr>
        <w:t>节  承包人驻地建设</w:t>
      </w:r>
    </w:p>
    <w:p w14:paraId="209359E9">
      <w:pPr>
        <w:tabs>
          <w:tab w:val="left" w:pos="3120"/>
        </w:tabs>
        <w:jc w:val="center"/>
        <w:rPr>
          <w:rFonts w:hint="eastAsia" w:ascii="黑体" w:eastAsia="黑体"/>
          <w:color w:val="auto"/>
          <w:sz w:val="32"/>
          <w:highlight w:val="none"/>
        </w:rPr>
      </w:pPr>
    </w:p>
    <w:p w14:paraId="16B8333C">
      <w:pPr>
        <w:numPr>
          <w:ilvl w:val="1"/>
          <w:numId w:val="12"/>
        </w:numPr>
        <w:tabs>
          <w:tab w:val="left" w:pos="3120"/>
        </w:tabs>
        <w:spacing w:line="360" w:lineRule="auto"/>
        <w:rPr>
          <w:rFonts w:hint="eastAsia" w:ascii="黑体" w:eastAsia="黑体"/>
          <w:color w:val="auto"/>
          <w:sz w:val="28"/>
          <w:szCs w:val="28"/>
          <w:highlight w:val="none"/>
        </w:rPr>
      </w:pPr>
      <w:r>
        <w:rPr>
          <w:rFonts w:hint="eastAsia" w:ascii="黑体" w:eastAsia="黑体"/>
          <w:color w:val="auto"/>
          <w:sz w:val="28"/>
          <w:szCs w:val="28"/>
          <w:highlight w:val="none"/>
        </w:rPr>
        <w:t>一般要求</w:t>
      </w:r>
    </w:p>
    <w:p w14:paraId="3B7AC220">
      <w:pPr>
        <w:tabs>
          <w:tab w:val="left" w:pos="3120"/>
        </w:tabs>
        <w:spacing w:line="360" w:lineRule="auto"/>
        <w:ind w:firstLine="210" w:firstLineChars="100"/>
        <w:rPr>
          <w:rFonts w:hint="eastAsia"/>
          <w:color w:val="auto"/>
          <w:highlight w:val="none"/>
        </w:rPr>
      </w:pPr>
      <w:r>
        <w:rPr>
          <w:rFonts w:hint="eastAsia"/>
          <w:color w:val="auto"/>
          <w:highlight w:val="none"/>
        </w:rPr>
        <w:t>删除第2、5条，补充第6条：</w:t>
      </w:r>
    </w:p>
    <w:p w14:paraId="504B069E">
      <w:pPr>
        <w:numPr>
          <w:ilvl w:val="0"/>
          <w:numId w:val="13"/>
        </w:numPr>
        <w:tabs>
          <w:tab w:val="left" w:pos="3120"/>
        </w:tabs>
        <w:jc w:val="center"/>
        <w:rPr>
          <w:rFonts w:hint="eastAsia"/>
          <w:color w:val="auto"/>
          <w:highlight w:val="none"/>
        </w:rPr>
      </w:pPr>
      <w:r>
        <w:rPr>
          <w:rFonts w:hint="eastAsia"/>
          <w:color w:val="auto"/>
          <w:highlight w:val="none"/>
        </w:rPr>
        <w:t>养护人员工作服的配置和使用应符合相关文件要求，工作服上均应有所在单位的标识。</w:t>
      </w:r>
    </w:p>
    <w:p w14:paraId="4645AC94">
      <w:pPr>
        <w:numPr>
          <w:ilvl w:val="0"/>
          <w:numId w:val="0"/>
        </w:numPr>
        <w:tabs>
          <w:tab w:val="left" w:pos="3120"/>
        </w:tabs>
        <w:jc w:val="center"/>
        <w:rPr>
          <w:rFonts w:hint="eastAsia" w:ascii="黑体" w:eastAsia="黑体"/>
          <w:color w:val="auto"/>
          <w:sz w:val="32"/>
          <w:highlight w:val="none"/>
        </w:rPr>
      </w:pPr>
    </w:p>
    <w:p w14:paraId="616393B3">
      <w:pPr>
        <w:numPr>
          <w:ilvl w:val="0"/>
          <w:numId w:val="0"/>
        </w:numPr>
        <w:tabs>
          <w:tab w:val="left" w:pos="3120"/>
        </w:tabs>
        <w:jc w:val="center"/>
        <w:rPr>
          <w:rFonts w:hint="eastAsia" w:ascii="黑体" w:eastAsia="黑体"/>
          <w:color w:val="auto"/>
          <w:sz w:val="32"/>
          <w:highlight w:val="none"/>
        </w:rPr>
      </w:pPr>
      <w:r>
        <w:rPr>
          <w:rFonts w:hint="eastAsia" w:ascii="黑体" w:eastAsia="黑体"/>
          <w:color w:val="auto"/>
          <w:sz w:val="32"/>
          <w:highlight w:val="none"/>
        </w:rPr>
        <w:t>第</w:t>
      </w:r>
      <w:r>
        <w:rPr>
          <w:rFonts w:hint="eastAsia" w:eastAsia="黑体"/>
          <w:color w:val="auto"/>
          <w:sz w:val="32"/>
          <w:highlight w:val="none"/>
        </w:rPr>
        <w:t>1</w:t>
      </w:r>
      <w:r>
        <w:rPr>
          <w:rFonts w:eastAsia="黑体"/>
          <w:color w:val="auto"/>
          <w:sz w:val="32"/>
          <w:highlight w:val="none"/>
        </w:rPr>
        <w:t>0</w:t>
      </w:r>
      <w:r>
        <w:rPr>
          <w:rFonts w:hint="eastAsia" w:eastAsia="黑体"/>
          <w:color w:val="auto"/>
          <w:sz w:val="32"/>
          <w:highlight w:val="none"/>
        </w:rPr>
        <w:t>5</w:t>
      </w:r>
      <w:r>
        <w:rPr>
          <w:rFonts w:hint="eastAsia" w:ascii="黑体" w:eastAsia="黑体"/>
          <w:color w:val="auto"/>
          <w:sz w:val="32"/>
          <w:highlight w:val="none"/>
        </w:rPr>
        <w:t>节  养护巡查</w:t>
      </w:r>
    </w:p>
    <w:p w14:paraId="2DB6DAF6">
      <w:pPr>
        <w:tabs>
          <w:tab w:val="left" w:pos="3120"/>
        </w:tabs>
        <w:spacing w:line="360" w:lineRule="auto"/>
        <w:rPr>
          <w:rFonts w:eastAsia="黑体"/>
          <w:color w:val="auto"/>
          <w:sz w:val="28"/>
          <w:szCs w:val="28"/>
          <w:highlight w:val="none"/>
        </w:rPr>
      </w:pPr>
      <w:r>
        <w:rPr>
          <w:rFonts w:hint="eastAsia" w:eastAsia="黑体"/>
          <w:color w:val="auto"/>
          <w:sz w:val="28"/>
          <w:szCs w:val="28"/>
          <w:highlight w:val="none"/>
        </w:rPr>
        <w:t>105</w:t>
      </w:r>
      <w:r>
        <w:rPr>
          <w:rFonts w:eastAsia="黑体"/>
          <w:color w:val="auto"/>
          <w:sz w:val="28"/>
          <w:szCs w:val="28"/>
          <w:highlight w:val="none"/>
        </w:rPr>
        <w:t>.</w:t>
      </w:r>
      <w:r>
        <w:rPr>
          <w:rFonts w:hint="eastAsia" w:eastAsia="黑体"/>
          <w:color w:val="auto"/>
          <w:sz w:val="28"/>
          <w:szCs w:val="28"/>
          <w:highlight w:val="none"/>
        </w:rPr>
        <w:t>02</w:t>
      </w:r>
      <w:r>
        <w:rPr>
          <w:rFonts w:eastAsia="黑体"/>
          <w:color w:val="auto"/>
          <w:sz w:val="28"/>
          <w:szCs w:val="28"/>
          <w:highlight w:val="none"/>
        </w:rPr>
        <w:t xml:space="preserve">  </w:t>
      </w:r>
      <w:r>
        <w:rPr>
          <w:rFonts w:hint="eastAsia" w:eastAsia="黑体"/>
          <w:color w:val="auto"/>
          <w:sz w:val="28"/>
          <w:szCs w:val="28"/>
          <w:highlight w:val="none"/>
        </w:rPr>
        <w:t>具体要求</w:t>
      </w:r>
    </w:p>
    <w:p w14:paraId="29F38C34">
      <w:pPr>
        <w:spacing w:line="360" w:lineRule="exact"/>
        <w:ind w:firstLine="420" w:firstLineChars="200"/>
        <w:jc w:val="left"/>
        <w:rPr>
          <w:rFonts w:ascii="宋体" w:hAnsi="宋体"/>
          <w:color w:val="auto"/>
          <w:szCs w:val="21"/>
          <w:highlight w:val="none"/>
        </w:rPr>
      </w:pPr>
      <w:r>
        <w:rPr>
          <w:rFonts w:hint="eastAsia" w:ascii="宋体" w:hAnsi="宋体"/>
          <w:color w:val="auto"/>
          <w:szCs w:val="21"/>
          <w:highlight w:val="none"/>
        </w:rPr>
        <w:t>1．施工单位应组织人员日常巡查，</w:t>
      </w:r>
      <w:r>
        <w:rPr>
          <w:rFonts w:ascii="宋体" w:hAnsi="宋体"/>
          <w:color w:val="auto"/>
          <w:szCs w:val="21"/>
          <w:highlight w:val="none"/>
        </w:rPr>
        <w:t>巡查作业中，巡查人员应强化自我保护意识，按规定穿着安全标志服。</w:t>
      </w:r>
    </w:p>
    <w:p w14:paraId="4B18CCA8">
      <w:pPr>
        <w:spacing w:line="360" w:lineRule="exact"/>
        <w:ind w:firstLine="420" w:firstLineChars="200"/>
        <w:jc w:val="left"/>
        <w:rPr>
          <w:rFonts w:ascii="宋体" w:hAnsi="宋体"/>
          <w:color w:val="auto"/>
          <w:szCs w:val="21"/>
          <w:highlight w:val="none"/>
        </w:rPr>
      </w:pPr>
      <w:r>
        <w:rPr>
          <w:rFonts w:hint="eastAsia" w:ascii="宋体" w:hAnsi="宋体"/>
          <w:color w:val="auto"/>
          <w:szCs w:val="21"/>
          <w:highlight w:val="none"/>
        </w:rPr>
        <w:t>2</w:t>
      </w:r>
      <w:r>
        <w:rPr>
          <w:rFonts w:ascii="宋体" w:hAnsi="宋体"/>
          <w:color w:val="auto"/>
          <w:szCs w:val="21"/>
          <w:highlight w:val="none"/>
        </w:rPr>
        <w:t>．巡查作业中应有专人记录巡查情况，巡查结束后应尽快整理、汇总巡查记录，并通知养护作业部门采取相应措施。</w:t>
      </w:r>
    </w:p>
    <w:p w14:paraId="2B90184F">
      <w:pPr>
        <w:spacing w:line="360" w:lineRule="exact"/>
        <w:ind w:firstLine="420" w:firstLineChars="200"/>
        <w:jc w:val="left"/>
        <w:rPr>
          <w:rFonts w:hint="eastAsia" w:ascii="宋体" w:hAnsi="宋体" w:eastAsia="宋体"/>
          <w:color w:val="auto"/>
          <w:szCs w:val="21"/>
          <w:lang w:eastAsia="zh-CN"/>
        </w:rPr>
      </w:pPr>
      <w:r>
        <w:rPr>
          <w:rFonts w:hint="eastAsia" w:ascii="宋体" w:hAnsi="宋体"/>
          <w:color w:val="auto"/>
          <w:szCs w:val="21"/>
          <w:lang w:val="en-US" w:eastAsia="zh-CN"/>
        </w:rPr>
        <w:t>3.</w:t>
      </w:r>
      <w:r>
        <w:rPr>
          <w:rFonts w:hint="eastAsia" w:ascii="宋体" w:hAnsi="宋体"/>
          <w:color w:val="auto"/>
          <w:szCs w:val="21"/>
        </w:rPr>
        <w:t>巡视检查分为日常巡查、定期巡查、特殊巡查和专项巡查，各类巡查的内容、频率、方法、装备见表105-1</w:t>
      </w:r>
      <w:r>
        <w:rPr>
          <w:rFonts w:hint="eastAsia" w:ascii="宋体" w:hAnsi="宋体"/>
          <w:color w:val="auto"/>
          <w:szCs w:val="21"/>
          <w:lang w:eastAsia="zh-CN"/>
        </w:rPr>
        <w:t>。</w:t>
      </w:r>
    </w:p>
    <w:p w14:paraId="1D982411">
      <w:pPr>
        <w:spacing w:line="400" w:lineRule="exact"/>
        <w:jc w:val="center"/>
        <w:rPr>
          <w:rFonts w:hint="eastAsia"/>
          <w:color w:val="auto"/>
          <w:szCs w:val="21"/>
        </w:rPr>
      </w:pPr>
      <w:r>
        <w:rPr>
          <w:rFonts w:hint="eastAsia" w:ascii="黑体" w:eastAsia="黑体"/>
          <w:color w:val="auto"/>
          <w:sz w:val="24"/>
        </w:rPr>
        <w:t xml:space="preserve">  </w:t>
      </w:r>
      <w:r>
        <w:rPr>
          <w:rFonts w:hint="eastAsia" w:ascii="黑体" w:eastAsia="黑体"/>
          <w:color w:val="auto"/>
          <w:szCs w:val="21"/>
        </w:rPr>
        <w:t>巡视与检查的内容与方法</w:t>
      </w:r>
      <w:r>
        <w:rPr>
          <w:rFonts w:hint="eastAsia" w:ascii="黑体" w:eastAsia="黑体"/>
          <w:color w:val="auto"/>
          <w:sz w:val="24"/>
        </w:rPr>
        <w:t xml:space="preserve">            </w:t>
      </w:r>
      <w:r>
        <w:rPr>
          <w:rFonts w:hAnsi="宋体"/>
          <w:color w:val="auto"/>
          <w:szCs w:val="21"/>
        </w:rPr>
        <w:t>表</w:t>
      </w:r>
      <w:r>
        <w:rPr>
          <w:color w:val="auto"/>
          <w:szCs w:val="21"/>
        </w:rPr>
        <w:t>10</w:t>
      </w:r>
      <w:r>
        <w:rPr>
          <w:rFonts w:hint="eastAsia"/>
          <w:color w:val="auto"/>
          <w:szCs w:val="21"/>
        </w:rPr>
        <w:t>5</w:t>
      </w:r>
      <w:r>
        <w:rPr>
          <w:color w:val="auto"/>
          <w:szCs w:val="21"/>
        </w:rPr>
        <w:t>-1</w:t>
      </w:r>
    </w:p>
    <w:tbl>
      <w:tblPr>
        <w:tblStyle w:val="51"/>
        <w:tblpPr w:leftFromText="180" w:rightFromText="180" w:vertAnchor="text" w:horzAnchor="margin" w:tblpX="108" w:tblpY="506"/>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90"/>
        <w:gridCol w:w="2702"/>
        <w:gridCol w:w="1792"/>
        <w:gridCol w:w="1889"/>
        <w:gridCol w:w="1722"/>
      </w:tblGrid>
      <w:tr w14:paraId="231D04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4" w:hRule="atLeast"/>
        </w:trPr>
        <w:tc>
          <w:tcPr>
            <w:tcW w:w="990" w:type="dxa"/>
            <w:noWrap w:val="0"/>
            <w:vAlign w:val="center"/>
          </w:tcPr>
          <w:p w14:paraId="0C5A4CE9">
            <w:pPr>
              <w:spacing w:line="240" w:lineRule="exact"/>
              <w:jc w:val="center"/>
              <w:rPr>
                <w:rFonts w:hint="eastAsia"/>
                <w:color w:val="auto"/>
                <w:sz w:val="18"/>
                <w:szCs w:val="18"/>
              </w:rPr>
            </w:pPr>
            <w:r>
              <w:rPr>
                <w:rFonts w:hint="eastAsia"/>
                <w:color w:val="auto"/>
                <w:sz w:val="18"/>
                <w:szCs w:val="18"/>
              </w:rPr>
              <w:t>检查种类</w:t>
            </w:r>
          </w:p>
        </w:tc>
        <w:tc>
          <w:tcPr>
            <w:tcW w:w="2702" w:type="dxa"/>
            <w:noWrap w:val="0"/>
            <w:vAlign w:val="center"/>
          </w:tcPr>
          <w:p w14:paraId="00CA21D7">
            <w:pPr>
              <w:spacing w:line="240" w:lineRule="exact"/>
              <w:jc w:val="center"/>
              <w:rPr>
                <w:rFonts w:hint="eastAsia"/>
                <w:color w:val="auto"/>
                <w:sz w:val="18"/>
                <w:szCs w:val="18"/>
              </w:rPr>
            </w:pPr>
            <w:r>
              <w:rPr>
                <w:rFonts w:hint="eastAsia"/>
                <w:color w:val="auto"/>
                <w:sz w:val="18"/>
                <w:szCs w:val="18"/>
              </w:rPr>
              <w:t>巡查内容</w:t>
            </w:r>
          </w:p>
        </w:tc>
        <w:tc>
          <w:tcPr>
            <w:tcW w:w="1792" w:type="dxa"/>
            <w:noWrap w:val="0"/>
            <w:vAlign w:val="center"/>
          </w:tcPr>
          <w:p w14:paraId="227902E2">
            <w:pPr>
              <w:spacing w:line="240" w:lineRule="exact"/>
              <w:jc w:val="center"/>
              <w:rPr>
                <w:rFonts w:hint="eastAsia"/>
                <w:color w:val="auto"/>
                <w:sz w:val="18"/>
                <w:szCs w:val="18"/>
              </w:rPr>
            </w:pPr>
            <w:r>
              <w:rPr>
                <w:rFonts w:hint="eastAsia"/>
                <w:color w:val="auto"/>
                <w:sz w:val="18"/>
                <w:szCs w:val="18"/>
              </w:rPr>
              <w:t>巡查频率</w:t>
            </w:r>
          </w:p>
        </w:tc>
        <w:tc>
          <w:tcPr>
            <w:tcW w:w="1889" w:type="dxa"/>
            <w:noWrap w:val="0"/>
            <w:vAlign w:val="center"/>
          </w:tcPr>
          <w:p w14:paraId="68D18397">
            <w:pPr>
              <w:spacing w:line="240" w:lineRule="exact"/>
              <w:jc w:val="center"/>
              <w:rPr>
                <w:rFonts w:hint="eastAsia"/>
                <w:color w:val="auto"/>
                <w:sz w:val="18"/>
                <w:szCs w:val="18"/>
              </w:rPr>
            </w:pPr>
            <w:r>
              <w:rPr>
                <w:rFonts w:hint="eastAsia"/>
                <w:color w:val="auto"/>
                <w:sz w:val="18"/>
                <w:szCs w:val="18"/>
              </w:rPr>
              <w:t>巡查方法</w:t>
            </w:r>
          </w:p>
        </w:tc>
        <w:tc>
          <w:tcPr>
            <w:tcW w:w="1722" w:type="dxa"/>
            <w:noWrap w:val="0"/>
            <w:vAlign w:val="center"/>
          </w:tcPr>
          <w:p w14:paraId="0B9A4E06">
            <w:pPr>
              <w:spacing w:line="240" w:lineRule="exact"/>
              <w:jc w:val="center"/>
              <w:rPr>
                <w:rFonts w:hint="eastAsia"/>
                <w:color w:val="auto"/>
                <w:sz w:val="18"/>
                <w:szCs w:val="18"/>
              </w:rPr>
            </w:pPr>
            <w:r>
              <w:rPr>
                <w:rFonts w:hint="eastAsia"/>
                <w:color w:val="auto"/>
                <w:sz w:val="18"/>
                <w:szCs w:val="18"/>
              </w:rPr>
              <w:t>巡查装备</w:t>
            </w:r>
          </w:p>
        </w:tc>
      </w:tr>
      <w:tr w14:paraId="2D83D1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04" w:hRule="atLeast"/>
        </w:trPr>
        <w:tc>
          <w:tcPr>
            <w:tcW w:w="990" w:type="dxa"/>
            <w:noWrap w:val="0"/>
            <w:vAlign w:val="center"/>
          </w:tcPr>
          <w:p w14:paraId="367403A6">
            <w:pPr>
              <w:spacing w:line="240" w:lineRule="exact"/>
              <w:jc w:val="center"/>
              <w:rPr>
                <w:rFonts w:hint="eastAsia"/>
                <w:color w:val="auto"/>
                <w:sz w:val="18"/>
                <w:szCs w:val="18"/>
              </w:rPr>
            </w:pPr>
            <w:r>
              <w:rPr>
                <w:rFonts w:hint="eastAsia"/>
                <w:color w:val="auto"/>
                <w:sz w:val="18"/>
                <w:szCs w:val="18"/>
              </w:rPr>
              <w:t>日常巡查</w:t>
            </w:r>
          </w:p>
        </w:tc>
        <w:tc>
          <w:tcPr>
            <w:tcW w:w="2702" w:type="dxa"/>
            <w:noWrap w:val="0"/>
            <w:vAlign w:val="center"/>
          </w:tcPr>
          <w:p w14:paraId="0D43B3D7">
            <w:pPr>
              <w:spacing w:line="260" w:lineRule="exact"/>
              <w:ind w:firstLine="180" w:firstLineChars="100"/>
              <w:jc w:val="left"/>
              <w:rPr>
                <w:rFonts w:hint="eastAsia"/>
                <w:color w:val="auto"/>
                <w:sz w:val="18"/>
                <w:szCs w:val="18"/>
              </w:rPr>
            </w:pPr>
            <w:r>
              <w:rPr>
                <w:rFonts w:hint="eastAsia"/>
                <w:color w:val="auto"/>
                <w:sz w:val="18"/>
                <w:szCs w:val="18"/>
              </w:rPr>
              <w:t>检查路面、构造物及附属设施的完好程度，发现各类病害及可能诱发病害的因素，发现有可能妨碍道路交通的路障</w:t>
            </w:r>
          </w:p>
        </w:tc>
        <w:tc>
          <w:tcPr>
            <w:tcW w:w="1792" w:type="dxa"/>
            <w:noWrap w:val="0"/>
            <w:vAlign w:val="center"/>
          </w:tcPr>
          <w:p w14:paraId="2506FCEA">
            <w:pPr>
              <w:spacing w:line="260" w:lineRule="exact"/>
              <w:ind w:firstLine="200"/>
              <w:jc w:val="left"/>
              <w:rPr>
                <w:rFonts w:hint="eastAsia"/>
                <w:color w:val="auto"/>
                <w:sz w:val="18"/>
                <w:szCs w:val="18"/>
              </w:rPr>
            </w:pPr>
            <w:r>
              <w:rPr>
                <w:rFonts w:hint="eastAsia"/>
                <w:color w:val="auto"/>
                <w:sz w:val="18"/>
                <w:szCs w:val="18"/>
              </w:rPr>
              <w:t>国省道及重要县道：每天一次，双向全程</w:t>
            </w:r>
          </w:p>
          <w:p w14:paraId="30061AF4">
            <w:pPr>
              <w:spacing w:line="260" w:lineRule="exact"/>
              <w:ind w:firstLine="200"/>
              <w:jc w:val="left"/>
              <w:rPr>
                <w:rFonts w:hint="eastAsia"/>
                <w:color w:val="auto"/>
                <w:sz w:val="18"/>
                <w:szCs w:val="18"/>
              </w:rPr>
            </w:pPr>
            <w:r>
              <w:rPr>
                <w:rFonts w:hint="eastAsia"/>
                <w:color w:val="auto"/>
                <w:sz w:val="18"/>
                <w:szCs w:val="18"/>
              </w:rPr>
              <w:t>普通县道两天一次</w:t>
            </w:r>
          </w:p>
        </w:tc>
        <w:tc>
          <w:tcPr>
            <w:tcW w:w="1889" w:type="dxa"/>
            <w:noWrap w:val="0"/>
            <w:vAlign w:val="center"/>
          </w:tcPr>
          <w:p w14:paraId="31B5CE90">
            <w:pPr>
              <w:spacing w:line="260" w:lineRule="exact"/>
              <w:ind w:firstLine="200"/>
              <w:jc w:val="left"/>
              <w:rPr>
                <w:rFonts w:hint="eastAsia"/>
                <w:color w:val="auto"/>
                <w:sz w:val="18"/>
                <w:szCs w:val="18"/>
              </w:rPr>
            </w:pPr>
            <w:r>
              <w:rPr>
                <w:rFonts w:hint="eastAsia"/>
                <w:color w:val="auto"/>
                <w:sz w:val="18"/>
                <w:szCs w:val="18"/>
              </w:rPr>
              <w:t>车行为主，人工观测、目测及手工计量，辅以摄影或摄像</w:t>
            </w:r>
          </w:p>
        </w:tc>
        <w:tc>
          <w:tcPr>
            <w:tcW w:w="1722" w:type="dxa"/>
            <w:noWrap w:val="0"/>
            <w:vAlign w:val="center"/>
          </w:tcPr>
          <w:p w14:paraId="57AC0122">
            <w:pPr>
              <w:spacing w:line="260" w:lineRule="exact"/>
              <w:ind w:firstLine="200"/>
              <w:jc w:val="left"/>
              <w:rPr>
                <w:rFonts w:hint="eastAsia"/>
                <w:color w:val="auto"/>
                <w:sz w:val="18"/>
                <w:szCs w:val="18"/>
              </w:rPr>
            </w:pPr>
            <w:r>
              <w:rPr>
                <w:rFonts w:hint="eastAsia"/>
                <w:color w:val="auto"/>
                <w:sz w:val="18"/>
                <w:szCs w:val="18"/>
              </w:rPr>
              <w:t>有明显标识、装备黄色警示灯的</w:t>
            </w:r>
            <w:r>
              <w:rPr>
                <w:rFonts w:hint="eastAsia" w:ascii="宋体" w:hAnsi="宋体" w:cs="宋体"/>
                <w:color w:val="auto"/>
                <w:sz w:val="18"/>
                <w:szCs w:val="18"/>
              </w:rPr>
              <w:t>检查</w:t>
            </w:r>
            <w:r>
              <w:rPr>
                <w:rFonts w:hint="eastAsia"/>
                <w:color w:val="auto"/>
                <w:sz w:val="18"/>
                <w:szCs w:val="18"/>
              </w:rPr>
              <w:t>车，摄影或摄像器材，卷尺及检查锤等工具</w:t>
            </w:r>
          </w:p>
        </w:tc>
      </w:tr>
      <w:tr w14:paraId="207FC9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51" w:hRule="atLeast"/>
        </w:trPr>
        <w:tc>
          <w:tcPr>
            <w:tcW w:w="990" w:type="dxa"/>
            <w:noWrap w:val="0"/>
            <w:vAlign w:val="center"/>
          </w:tcPr>
          <w:p w14:paraId="2A95833E">
            <w:pPr>
              <w:spacing w:line="240" w:lineRule="exact"/>
              <w:jc w:val="center"/>
              <w:rPr>
                <w:rFonts w:hint="eastAsia"/>
                <w:color w:val="auto"/>
                <w:sz w:val="18"/>
                <w:szCs w:val="18"/>
              </w:rPr>
            </w:pPr>
            <w:r>
              <w:rPr>
                <w:rFonts w:hint="eastAsia"/>
                <w:color w:val="auto"/>
                <w:sz w:val="18"/>
                <w:szCs w:val="18"/>
              </w:rPr>
              <w:t>定期巡查</w:t>
            </w:r>
          </w:p>
        </w:tc>
        <w:tc>
          <w:tcPr>
            <w:tcW w:w="2702" w:type="dxa"/>
            <w:noWrap w:val="0"/>
            <w:vAlign w:val="center"/>
          </w:tcPr>
          <w:p w14:paraId="12393B66">
            <w:pPr>
              <w:spacing w:line="260" w:lineRule="exact"/>
              <w:ind w:firstLine="200"/>
              <w:jc w:val="left"/>
              <w:rPr>
                <w:rFonts w:hint="eastAsia"/>
                <w:color w:val="auto"/>
                <w:sz w:val="18"/>
                <w:szCs w:val="18"/>
              </w:rPr>
            </w:pPr>
            <w:r>
              <w:rPr>
                <w:rFonts w:hint="eastAsia"/>
                <w:color w:val="auto"/>
                <w:sz w:val="18"/>
                <w:szCs w:val="18"/>
              </w:rPr>
              <w:t>检查整个养护单元中包括路基、路面、桥涵、隧道及附属设施等在内的全部养护项目</w:t>
            </w:r>
          </w:p>
        </w:tc>
        <w:tc>
          <w:tcPr>
            <w:tcW w:w="1792" w:type="dxa"/>
            <w:noWrap w:val="0"/>
            <w:vAlign w:val="center"/>
          </w:tcPr>
          <w:p w14:paraId="13E26298">
            <w:pPr>
              <w:spacing w:line="260" w:lineRule="exact"/>
              <w:ind w:firstLine="200"/>
              <w:jc w:val="left"/>
              <w:rPr>
                <w:rFonts w:hint="eastAsia"/>
                <w:color w:val="auto"/>
                <w:sz w:val="18"/>
                <w:szCs w:val="18"/>
              </w:rPr>
            </w:pPr>
            <w:r>
              <w:rPr>
                <w:rFonts w:hint="eastAsia"/>
                <w:color w:val="auto"/>
                <w:sz w:val="18"/>
                <w:szCs w:val="18"/>
              </w:rPr>
              <w:t>每月一次，双向全程</w:t>
            </w:r>
          </w:p>
        </w:tc>
        <w:tc>
          <w:tcPr>
            <w:tcW w:w="1889" w:type="dxa"/>
            <w:noWrap w:val="0"/>
            <w:vAlign w:val="center"/>
          </w:tcPr>
          <w:p w14:paraId="40A05FF8">
            <w:pPr>
              <w:spacing w:line="260" w:lineRule="exact"/>
              <w:ind w:firstLine="200"/>
              <w:jc w:val="left"/>
              <w:rPr>
                <w:rFonts w:hint="eastAsia"/>
                <w:color w:val="auto"/>
                <w:sz w:val="18"/>
                <w:szCs w:val="18"/>
              </w:rPr>
            </w:pPr>
            <w:r>
              <w:rPr>
                <w:rFonts w:hint="eastAsia"/>
                <w:color w:val="auto"/>
                <w:sz w:val="18"/>
                <w:szCs w:val="18"/>
              </w:rPr>
              <w:t>步行检查路段不少于双向</w:t>
            </w:r>
            <w:r>
              <w:rPr>
                <w:color w:val="auto"/>
                <w:sz w:val="18"/>
                <w:szCs w:val="18"/>
              </w:rPr>
              <w:t>1km</w:t>
            </w:r>
            <w:r>
              <w:rPr>
                <w:rFonts w:hint="eastAsia"/>
                <w:color w:val="auto"/>
                <w:sz w:val="18"/>
                <w:szCs w:val="18"/>
              </w:rPr>
              <w:t>，其余车行。定性与定量观测检查结合，重要情况应予摄影或摄像</w:t>
            </w:r>
          </w:p>
        </w:tc>
        <w:tc>
          <w:tcPr>
            <w:tcW w:w="1722" w:type="dxa"/>
            <w:noWrap w:val="0"/>
            <w:vAlign w:val="center"/>
          </w:tcPr>
          <w:p w14:paraId="277FC17E">
            <w:pPr>
              <w:spacing w:line="260" w:lineRule="exact"/>
              <w:ind w:firstLine="200"/>
              <w:jc w:val="left"/>
              <w:rPr>
                <w:rFonts w:hint="eastAsia"/>
                <w:color w:val="auto"/>
                <w:sz w:val="18"/>
                <w:szCs w:val="18"/>
              </w:rPr>
            </w:pPr>
            <w:r>
              <w:rPr>
                <w:rFonts w:hint="eastAsia"/>
                <w:color w:val="auto"/>
                <w:sz w:val="18"/>
                <w:szCs w:val="18"/>
              </w:rPr>
              <w:t>同日常</w:t>
            </w:r>
            <w:r>
              <w:rPr>
                <w:rFonts w:hint="eastAsia" w:ascii="宋体" w:hAnsi="宋体" w:cs="宋体"/>
                <w:color w:val="auto"/>
                <w:sz w:val="18"/>
                <w:szCs w:val="18"/>
              </w:rPr>
              <w:t>巡查</w:t>
            </w:r>
            <w:r>
              <w:rPr>
                <w:rFonts w:hint="eastAsia"/>
                <w:color w:val="auto"/>
                <w:sz w:val="18"/>
                <w:szCs w:val="18"/>
              </w:rPr>
              <w:t>，参加人员较多时可再配备一辆普通车辆，但在行驶途中应位于巡查车前方</w:t>
            </w:r>
          </w:p>
        </w:tc>
      </w:tr>
      <w:tr w14:paraId="0389C4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61" w:hRule="atLeast"/>
        </w:trPr>
        <w:tc>
          <w:tcPr>
            <w:tcW w:w="990" w:type="dxa"/>
            <w:noWrap w:val="0"/>
            <w:vAlign w:val="center"/>
          </w:tcPr>
          <w:p w14:paraId="330A0DB8">
            <w:pPr>
              <w:spacing w:line="240" w:lineRule="exact"/>
              <w:jc w:val="center"/>
              <w:rPr>
                <w:rFonts w:hint="eastAsia"/>
                <w:color w:val="auto"/>
                <w:sz w:val="18"/>
                <w:szCs w:val="18"/>
              </w:rPr>
            </w:pPr>
            <w:r>
              <w:rPr>
                <w:rFonts w:hint="eastAsia"/>
                <w:color w:val="auto"/>
                <w:sz w:val="18"/>
                <w:szCs w:val="18"/>
              </w:rPr>
              <w:t>特殊巡查</w:t>
            </w:r>
          </w:p>
        </w:tc>
        <w:tc>
          <w:tcPr>
            <w:tcW w:w="2702" w:type="dxa"/>
            <w:noWrap w:val="0"/>
            <w:vAlign w:val="center"/>
          </w:tcPr>
          <w:p w14:paraId="4EB4008A">
            <w:pPr>
              <w:spacing w:line="260" w:lineRule="exact"/>
              <w:ind w:firstLine="200"/>
              <w:jc w:val="left"/>
              <w:rPr>
                <w:rFonts w:hint="eastAsia"/>
                <w:color w:val="auto"/>
                <w:sz w:val="18"/>
                <w:szCs w:val="18"/>
              </w:rPr>
            </w:pPr>
            <w:r>
              <w:rPr>
                <w:rFonts w:hint="eastAsia"/>
                <w:color w:val="auto"/>
                <w:sz w:val="18"/>
                <w:szCs w:val="18"/>
              </w:rPr>
              <w:t>在恶劣气象条件下发生的暴雨、台风、大雾、严重冰冻及其它可能危及路面正常使用的灾害性气候时进行的</w:t>
            </w:r>
            <w:r>
              <w:rPr>
                <w:rFonts w:hint="eastAsia" w:ascii="宋体" w:hAnsi="宋体" w:cs="宋体"/>
                <w:color w:val="auto"/>
                <w:sz w:val="18"/>
                <w:szCs w:val="18"/>
              </w:rPr>
              <w:t>巡查</w:t>
            </w:r>
            <w:r>
              <w:rPr>
                <w:rFonts w:hint="eastAsia"/>
                <w:color w:val="auto"/>
                <w:sz w:val="18"/>
                <w:szCs w:val="18"/>
              </w:rPr>
              <w:t>，包括防汛防台</w:t>
            </w:r>
            <w:r>
              <w:rPr>
                <w:rFonts w:hint="eastAsia" w:ascii="宋体" w:hAnsi="宋体" w:cs="宋体"/>
                <w:color w:val="auto"/>
                <w:sz w:val="18"/>
                <w:szCs w:val="18"/>
              </w:rPr>
              <w:t>巡查</w:t>
            </w:r>
            <w:r>
              <w:rPr>
                <w:rFonts w:hint="eastAsia"/>
                <w:color w:val="auto"/>
                <w:sz w:val="18"/>
                <w:szCs w:val="18"/>
              </w:rPr>
              <w:t>、雾天巡查、冰雪巡查等</w:t>
            </w:r>
          </w:p>
        </w:tc>
        <w:tc>
          <w:tcPr>
            <w:tcW w:w="1792" w:type="dxa"/>
            <w:noWrap w:val="0"/>
            <w:vAlign w:val="center"/>
          </w:tcPr>
          <w:p w14:paraId="6BA1FD91">
            <w:pPr>
              <w:spacing w:line="260" w:lineRule="exact"/>
              <w:ind w:firstLine="200"/>
              <w:jc w:val="left"/>
              <w:rPr>
                <w:rFonts w:hint="eastAsia"/>
                <w:color w:val="auto"/>
                <w:sz w:val="18"/>
                <w:szCs w:val="18"/>
              </w:rPr>
            </w:pPr>
            <w:r>
              <w:rPr>
                <w:rFonts w:hint="eastAsia"/>
                <w:color w:val="auto"/>
                <w:sz w:val="18"/>
                <w:szCs w:val="18"/>
              </w:rPr>
              <w:t>在灾害性天气到来之前进行预防性</w:t>
            </w:r>
            <w:r>
              <w:rPr>
                <w:rFonts w:hint="eastAsia" w:ascii="宋体" w:hAnsi="宋体" w:cs="宋体"/>
                <w:color w:val="auto"/>
                <w:sz w:val="18"/>
                <w:szCs w:val="18"/>
              </w:rPr>
              <w:t>巡查</w:t>
            </w:r>
            <w:r>
              <w:rPr>
                <w:rFonts w:hint="eastAsia"/>
                <w:color w:val="auto"/>
                <w:sz w:val="18"/>
                <w:szCs w:val="18"/>
              </w:rPr>
              <w:t>；在灾害性天气中进行应急性</w:t>
            </w:r>
            <w:r>
              <w:rPr>
                <w:rFonts w:hint="eastAsia" w:ascii="宋体" w:hAnsi="宋体" w:cs="宋体"/>
                <w:color w:val="auto"/>
                <w:sz w:val="18"/>
                <w:szCs w:val="18"/>
              </w:rPr>
              <w:t>巡查</w:t>
            </w:r>
            <w:r>
              <w:rPr>
                <w:rFonts w:hint="eastAsia"/>
                <w:color w:val="auto"/>
                <w:sz w:val="18"/>
                <w:szCs w:val="18"/>
              </w:rPr>
              <w:t>；在灾害性天气过后进行补救性巡查</w:t>
            </w:r>
          </w:p>
        </w:tc>
        <w:tc>
          <w:tcPr>
            <w:tcW w:w="1889" w:type="dxa"/>
            <w:noWrap w:val="0"/>
            <w:vAlign w:val="center"/>
          </w:tcPr>
          <w:p w14:paraId="2D2F42E5">
            <w:pPr>
              <w:spacing w:line="260" w:lineRule="exact"/>
              <w:ind w:firstLine="200"/>
              <w:jc w:val="left"/>
              <w:rPr>
                <w:rFonts w:hint="eastAsia"/>
                <w:color w:val="auto"/>
                <w:sz w:val="18"/>
                <w:szCs w:val="18"/>
              </w:rPr>
            </w:pPr>
            <w:r>
              <w:rPr>
                <w:rFonts w:hint="eastAsia"/>
                <w:color w:val="auto"/>
                <w:sz w:val="18"/>
                <w:szCs w:val="18"/>
              </w:rPr>
              <w:t>车行为主，</w:t>
            </w:r>
            <w:r>
              <w:rPr>
                <w:rFonts w:hint="eastAsia" w:ascii="宋体" w:hAnsi="宋体" w:cs="宋体"/>
                <w:color w:val="auto"/>
                <w:sz w:val="18"/>
                <w:szCs w:val="18"/>
              </w:rPr>
              <w:t>巡查</w:t>
            </w:r>
            <w:r>
              <w:rPr>
                <w:rFonts w:hint="eastAsia"/>
                <w:color w:val="auto"/>
                <w:sz w:val="18"/>
                <w:szCs w:val="18"/>
              </w:rPr>
              <w:t>车速适当降低，发现异常情况应立即向应急抢险指挥中心报告</w:t>
            </w:r>
          </w:p>
        </w:tc>
        <w:tc>
          <w:tcPr>
            <w:tcW w:w="1722" w:type="dxa"/>
            <w:noWrap w:val="0"/>
            <w:vAlign w:val="center"/>
          </w:tcPr>
          <w:p w14:paraId="49B88BB9">
            <w:pPr>
              <w:spacing w:line="260" w:lineRule="exact"/>
              <w:ind w:firstLine="200"/>
              <w:jc w:val="left"/>
              <w:rPr>
                <w:rFonts w:hint="eastAsia"/>
                <w:color w:val="auto"/>
                <w:sz w:val="18"/>
                <w:szCs w:val="18"/>
              </w:rPr>
            </w:pPr>
            <w:r>
              <w:rPr>
                <w:rFonts w:hint="eastAsia" w:ascii="宋体" w:hAnsi="宋体" w:cs="宋体"/>
                <w:color w:val="auto"/>
                <w:sz w:val="18"/>
                <w:szCs w:val="18"/>
              </w:rPr>
              <w:t>巡查</w:t>
            </w:r>
            <w:r>
              <w:rPr>
                <w:rFonts w:hint="eastAsia"/>
                <w:color w:val="auto"/>
                <w:sz w:val="18"/>
                <w:szCs w:val="18"/>
              </w:rPr>
              <w:t>车同上，并应配备可靠的通讯设备和摄影、摄像器材，夜间</w:t>
            </w:r>
            <w:r>
              <w:rPr>
                <w:rFonts w:hint="eastAsia" w:ascii="宋体" w:hAnsi="宋体" w:cs="宋体"/>
                <w:color w:val="auto"/>
                <w:sz w:val="18"/>
                <w:szCs w:val="18"/>
              </w:rPr>
              <w:t>巡查</w:t>
            </w:r>
            <w:r>
              <w:rPr>
                <w:rFonts w:hint="eastAsia"/>
                <w:color w:val="auto"/>
                <w:sz w:val="18"/>
                <w:szCs w:val="18"/>
              </w:rPr>
              <w:t>时还应配备有效的照明设备</w:t>
            </w:r>
          </w:p>
        </w:tc>
      </w:tr>
      <w:tr w14:paraId="2C437B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10" w:hRule="atLeast"/>
        </w:trPr>
        <w:tc>
          <w:tcPr>
            <w:tcW w:w="990" w:type="dxa"/>
            <w:noWrap w:val="0"/>
            <w:vAlign w:val="center"/>
          </w:tcPr>
          <w:p w14:paraId="79C1AEB4">
            <w:pPr>
              <w:spacing w:line="240" w:lineRule="exact"/>
              <w:jc w:val="center"/>
              <w:rPr>
                <w:rFonts w:hint="eastAsia"/>
                <w:color w:val="auto"/>
                <w:sz w:val="18"/>
                <w:szCs w:val="18"/>
              </w:rPr>
            </w:pPr>
            <w:r>
              <w:rPr>
                <w:rFonts w:hint="eastAsia"/>
                <w:color w:val="auto"/>
                <w:sz w:val="18"/>
                <w:szCs w:val="18"/>
              </w:rPr>
              <w:t>专项巡查</w:t>
            </w:r>
          </w:p>
        </w:tc>
        <w:tc>
          <w:tcPr>
            <w:tcW w:w="2702" w:type="dxa"/>
            <w:noWrap w:val="0"/>
            <w:vAlign w:val="center"/>
          </w:tcPr>
          <w:p w14:paraId="017D53D1">
            <w:pPr>
              <w:spacing w:line="260" w:lineRule="exact"/>
              <w:ind w:firstLine="200"/>
              <w:jc w:val="left"/>
              <w:rPr>
                <w:rFonts w:hint="eastAsia"/>
                <w:color w:val="auto"/>
                <w:sz w:val="18"/>
                <w:szCs w:val="18"/>
              </w:rPr>
            </w:pPr>
            <w:r>
              <w:rPr>
                <w:rFonts w:hint="eastAsia"/>
                <w:color w:val="auto"/>
                <w:sz w:val="18"/>
                <w:szCs w:val="18"/>
              </w:rPr>
              <w:t>对某些数量较多且危害较大的路基坍方、桥梁冲毁或路面病害等以及路面状况发生异常变化的特殊路段进行较为细致的检查</w:t>
            </w:r>
          </w:p>
        </w:tc>
        <w:tc>
          <w:tcPr>
            <w:tcW w:w="1792" w:type="dxa"/>
            <w:noWrap w:val="0"/>
            <w:vAlign w:val="center"/>
          </w:tcPr>
          <w:p w14:paraId="07925C0E">
            <w:pPr>
              <w:spacing w:line="260" w:lineRule="exact"/>
              <w:ind w:firstLine="200"/>
              <w:jc w:val="left"/>
              <w:rPr>
                <w:rFonts w:hint="eastAsia"/>
                <w:color w:val="auto"/>
                <w:sz w:val="18"/>
                <w:szCs w:val="18"/>
              </w:rPr>
            </w:pPr>
            <w:r>
              <w:rPr>
                <w:rFonts w:hint="eastAsia"/>
                <w:color w:val="auto"/>
                <w:sz w:val="18"/>
                <w:szCs w:val="18"/>
              </w:rPr>
              <w:t>根据实际需要决定</w:t>
            </w:r>
          </w:p>
        </w:tc>
        <w:tc>
          <w:tcPr>
            <w:tcW w:w="1889" w:type="dxa"/>
            <w:noWrap w:val="0"/>
            <w:vAlign w:val="center"/>
          </w:tcPr>
          <w:p w14:paraId="03D07836">
            <w:pPr>
              <w:spacing w:line="260" w:lineRule="exact"/>
              <w:ind w:firstLine="200"/>
              <w:jc w:val="left"/>
              <w:rPr>
                <w:rFonts w:hint="eastAsia"/>
                <w:color w:val="auto"/>
                <w:sz w:val="18"/>
                <w:szCs w:val="18"/>
              </w:rPr>
            </w:pPr>
            <w:r>
              <w:rPr>
                <w:rFonts w:hint="eastAsia"/>
                <w:color w:val="auto"/>
                <w:sz w:val="18"/>
                <w:szCs w:val="18"/>
              </w:rPr>
              <w:t>车行与步行结合，定位、定量观测，重要情况应予摄影或摄像</w:t>
            </w:r>
          </w:p>
        </w:tc>
        <w:tc>
          <w:tcPr>
            <w:tcW w:w="1722" w:type="dxa"/>
            <w:noWrap w:val="0"/>
            <w:vAlign w:val="center"/>
          </w:tcPr>
          <w:p w14:paraId="7EC1396C">
            <w:pPr>
              <w:spacing w:line="260" w:lineRule="exact"/>
              <w:ind w:firstLine="200"/>
              <w:jc w:val="left"/>
              <w:rPr>
                <w:rFonts w:hint="eastAsia"/>
                <w:color w:val="auto"/>
                <w:sz w:val="18"/>
                <w:szCs w:val="18"/>
              </w:rPr>
            </w:pPr>
            <w:r>
              <w:rPr>
                <w:rFonts w:hint="eastAsia"/>
                <w:color w:val="auto"/>
                <w:sz w:val="18"/>
                <w:szCs w:val="18"/>
              </w:rPr>
              <w:t>同日常</w:t>
            </w:r>
            <w:r>
              <w:rPr>
                <w:rFonts w:hint="eastAsia" w:ascii="宋体" w:hAnsi="宋体" w:cs="宋体"/>
                <w:color w:val="auto"/>
                <w:sz w:val="18"/>
                <w:szCs w:val="18"/>
              </w:rPr>
              <w:t>巡查</w:t>
            </w:r>
            <w:r>
              <w:rPr>
                <w:rFonts w:hint="eastAsia"/>
                <w:color w:val="auto"/>
                <w:sz w:val="18"/>
                <w:szCs w:val="18"/>
              </w:rPr>
              <w:t>，并备以与检查内容相适应的测量仪器</w:t>
            </w:r>
          </w:p>
        </w:tc>
      </w:tr>
    </w:tbl>
    <w:p w14:paraId="6010321F">
      <w:pPr>
        <w:spacing w:line="360" w:lineRule="exact"/>
        <w:ind w:firstLine="420" w:firstLineChars="200"/>
        <w:jc w:val="left"/>
        <w:rPr>
          <w:rFonts w:ascii="宋体" w:hAnsi="宋体"/>
          <w:color w:val="auto"/>
          <w:szCs w:val="21"/>
        </w:rPr>
      </w:pPr>
      <w:r>
        <w:rPr>
          <w:rFonts w:hint="eastAsia" w:ascii="宋体" w:hAnsi="宋体"/>
          <w:color w:val="auto"/>
          <w:szCs w:val="21"/>
          <w:lang w:val="en-US" w:eastAsia="zh-CN"/>
        </w:rPr>
        <w:t>4</w:t>
      </w:r>
      <w:r>
        <w:rPr>
          <w:rFonts w:ascii="宋体" w:hAnsi="宋体"/>
          <w:color w:val="auto"/>
          <w:szCs w:val="21"/>
        </w:rPr>
        <w:t>．巡查作业中，巡查人员应强化自我保护意识，按规定穿着安全标志服。巡查车车速一般控制在40～50km/h，并按规定开启示警灯。如遇到需要停车检查的情况，应停在紧急停车带（停车道、避车道或路边）上。如果必须停在行车道上时，应开启巡查车的危险报警闪光灯，并采取必要的安全措施，巡查人员应在巡查车的前方迅速完成检查或测量作业。</w:t>
      </w:r>
    </w:p>
    <w:p w14:paraId="614A41D8">
      <w:pPr>
        <w:spacing w:line="360" w:lineRule="exact"/>
        <w:ind w:firstLine="420" w:firstLineChars="200"/>
        <w:jc w:val="left"/>
        <w:rPr>
          <w:rFonts w:ascii="宋体" w:hAnsi="宋体"/>
          <w:color w:val="auto"/>
          <w:szCs w:val="21"/>
        </w:rPr>
      </w:pPr>
      <w:r>
        <w:rPr>
          <w:rFonts w:hint="eastAsia" w:ascii="宋体" w:hAnsi="宋体"/>
          <w:color w:val="auto"/>
          <w:szCs w:val="21"/>
          <w:lang w:val="en-US" w:eastAsia="zh-CN"/>
        </w:rPr>
        <w:t>5</w:t>
      </w:r>
      <w:r>
        <w:rPr>
          <w:rFonts w:ascii="宋体" w:hAnsi="宋体"/>
          <w:color w:val="auto"/>
          <w:szCs w:val="21"/>
        </w:rPr>
        <w:t>．巡查作业中应有专人记录巡查情况，巡查结束后应尽快整理、汇总巡查记录，并通知养护作业部门采取相应措施。</w:t>
      </w:r>
    </w:p>
    <w:p w14:paraId="52036E4C">
      <w:pPr>
        <w:spacing w:line="360" w:lineRule="exact"/>
        <w:ind w:firstLine="420" w:firstLineChars="200"/>
        <w:jc w:val="left"/>
        <w:rPr>
          <w:rFonts w:ascii="宋体" w:hAnsi="宋体"/>
          <w:color w:val="auto"/>
          <w:szCs w:val="21"/>
        </w:rPr>
      </w:pPr>
      <w:r>
        <w:rPr>
          <w:rFonts w:hint="eastAsia" w:ascii="宋体" w:hAnsi="宋体"/>
          <w:color w:val="auto"/>
          <w:szCs w:val="21"/>
          <w:lang w:val="en-US" w:eastAsia="zh-CN"/>
        </w:rPr>
        <w:t>6</w:t>
      </w:r>
      <w:r>
        <w:rPr>
          <w:rFonts w:ascii="宋体" w:hAnsi="宋体"/>
          <w:color w:val="auto"/>
          <w:szCs w:val="21"/>
        </w:rPr>
        <w:t>．应每天记录当地的气象预报和实际天气情况。在多风、多雨、多雾、多雪、多冰冻季节，应随时注意天气的变化，必要时应与当地气象台、站取得并保持联系，随时获取最新气象信息，</w:t>
      </w:r>
      <w:r>
        <w:rPr>
          <w:rFonts w:hint="eastAsia" w:ascii="宋体" w:hAnsi="宋体"/>
          <w:color w:val="auto"/>
          <w:szCs w:val="21"/>
        </w:rPr>
        <w:t>利用平板电脑及时与业主现场连线。</w:t>
      </w:r>
    </w:p>
    <w:p w14:paraId="07801EB6">
      <w:pPr>
        <w:spacing w:line="360" w:lineRule="exact"/>
        <w:ind w:firstLine="420" w:firstLineChars="200"/>
        <w:jc w:val="left"/>
        <w:rPr>
          <w:rFonts w:ascii="宋体" w:hAnsi="宋体"/>
          <w:color w:val="auto"/>
          <w:szCs w:val="21"/>
        </w:rPr>
      </w:pPr>
      <w:r>
        <w:rPr>
          <w:rFonts w:hint="eastAsia" w:ascii="宋体" w:hAnsi="宋体"/>
          <w:color w:val="auto"/>
          <w:szCs w:val="21"/>
          <w:lang w:val="en-US" w:eastAsia="zh-CN"/>
        </w:rPr>
        <w:t>7</w:t>
      </w:r>
      <w:r>
        <w:rPr>
          <w:rFonts w:ascii="宋体" w:hAnsi="宋体"/>
          <w:color w:val="auto"/>
          <w:szCs w:val="21"/>
        </w:rPr>
        <w:t>．路基的局部塌方应及时组织清理，与桥台的连接部位产生错台且最大高差达2cm以上时，应及时予以修复。</w:t>
      </w:r>
    </w:p>
    <w:p w14:paraId="5B49E1E4">
      <w:pPr>
        <w:spacing w:line="360" w:lineRule="exact"/>
        <w:ind w:firstLine="420" w:firstLineChars="200"/>
        <w:jc w:val="left"/>
        <w:rPr>
          <w:rFonts w:hint="eastAsia" w:ascii="宋体" w:hAnsi="宋体"/>
          <w:color w:val="auto"/>
          <w:szCs w:val="21"/>
        </w:rPr>
      </w:pPr>
      <w:r>
        <w:rPr>
          <w:rFonts w:hint="eastAsia" w:ascii="宋体" w:hAnsi="宋体"/>
          <w:color w:val="auto"/>
          <w:szCs w:val="21"/>
          <w:lang w:val="en-US" w:eastAsia="zh-CN"/>
        </w:rPr>
        <w:t>8</w:t>
      </w:r>
      <w:r>
        <w:rPr>
          <w:rFonts w:ascii="宋体" w:hAnsi="宋体"/>
          <w:color w:val="auto"/>
          <w:szCs w:val="21"/>
        </w:rPr>
        <w:t>．台后接近桥台部位的纵向坡差超过5‰时，应及时予以修复。</w:t>
      </w:r>
    </w:p>
    <w:p w14:paraId="015B6996">
      <w:pPr>
        <w:spacing w:line="360" w:lineRule="exact"/>
        <w:ind w:firstLine="420" w:firstLineChars="200"/>
        <w:rPr>
          <w:rFonts w:hint="eastAsia" w:ascii="宋体" w:hAnsi="宋体"/>
          <w:color w:val="auto"/>
          <w:szCs w:val="21"/>
          <w:highlight w:val="none"/>
        </w:rPr>
      </w:pPr>
      <w:r>
        <w:rPr>
          <w:rFonts w:hint="eastAsia" w:ascii="宋体" w:hAnsi="宋体"/>
          <w:color w:val="auto"/>
          <w:szCs w:val="21"/>
          <w:lang w:val="en-US" w:eastAsia="zh-CN"/>
        </w:rPr>
        <w:t>9</w:t>
      </w:r>
      <w:r>
        <w:rPr>
          <w:rFonts w:hint="eastAsia" w:ascii="宋体" w:hAnsi="宋体"/>
          <w:color w:val="auto"/>
          <w:szCs w:val="21"/>
        </w:rPr>
        <w:t>、路况巡查频率最低要求：国省道及重要县道1次/</w:t>
      </w:r>
      <w:r>
        <w:rPr>
          <w:rFonts w:hint="eastAsia" w:ascii="宋体" w:hAnsi="宋体"/>
          <w:color w:val="auto"/>
          <w:szCs w:val="21"/>
          <w:highlight w:val="none"/>
        </w:rPr>
        <w:t>天，普通县道1次/2天，路基、边坡边沟及沿线设施1次/月，恶劣天气及突发情况根据业主要求频率加大；巡查报告提供巡查轨迹、视频，可供监管。</w:t>
      </w:r>
    </w:p>
    <w:p w14:paraId="1BB4C9C5">
      <w:pPr>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lang w:val="en-US" w:eastAsia="zh-CN"/>
        </w:rPr>
        <w:t>10</w:t>
      </w:r>
      <w:r>
        <w:rPr>
          <w:rFonts w:hint="eastAsia" w:ascii="宋体" w:hAnsi="宋体"/>
          <w:color w:val="auto"/>
          <w:szCs w:val="21"/>
          <w:highlight w:val="none"/>
        </w:rPr>
        <w:t xml:space="preserve">、人员及设备配置最低要求：人员一组（2人），巡查车辆一辆(配备轨迹查询及视频功能)，数码相机一台，打印机一台； </w:t>
      </w:r>
    </w:p>
    <w:p w14:paraId="593AAE80">
      <w:pPr>
        <w:spacing w:line="360" w:lineRule="exact"/>
        <w:ind w:firstLine="420" w:firstLineChars="200"/>
        <w:jc w:val="left"/>
        <w:rPr>
          <w:rFonts w:hint="eastAsia" w:ascii="宋体" w:hAnsi="宋体" w:cs="宋体"/>
          <w:color w:val="auto"/>
          <w:szCs w:val="21"/>
          <w:highlight w:val="none"/>
        </w:rPr>
      </w:pPr>
      <w:r>
        <w:rPr>
          <w:rFonts w:hint="eastAsia" w:ascii="宋体" w:hAnsi="宋体"/>
          <w:color w:val="auto"/>
          <w:szCs w:val="21"/>
          <w:highlight w:val="none"/>
          <w:lang w:val="en-US" w:eastAsia="zh-CN"/>
        </w:rPr>
        <w:t>11</w:t>
      </w:r>
      <w:r>
        <w:rPr>
          <w:rFonts w:hint="eastAsia" w:ascii="宋体" w:hAnsi="宋体"/>
          <w:color w:val="auto"/>
          <w:szCs w:val="21"/>
          <w:highlight w:val="none"/>
        </w:rPr>
        <w:t>、巡查内容：路面、桥涵、绿化，路基、边坡边沟、沿线设施，标志标牌，候车亭、交通安全</w:t>
      </w:r>
      <w:r>
        <w:rPr>
          <w:rFonts w:hint="eastAsia" w:ascii="宋体" w:hAnsi="宋体" w:cs="宋体"/>
          <w:color w:val="auto"/>
          <w:szCs w:val="21"/>
          <w:highlight w:val="none"/>
        </w:rPr>
        <w:t>设施等公路沿线的保洁、坑洞、安全、施工等所有路况信息和“三防”工作等专项排查工作。</w:t>
      </w:r>
    </w:p>
    <w:p w14:paraId="3321AF62">
      <w:pPr>
        <w:spacing w:line="36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12</w:t>
      </w:r>
      <w:r>
        <w:rPr>
          <w:rFonts w:hint="eastAsia" w:ascii="宋体" w:hAnsi="宋体" w:cs="宋体"/>
          <w:color w:val="auto"/>
          <w:szCs w:val="21"/>
          <w:highlight w:val="none"/>
        </w:rPr>
        <w:t>、巡查报告：路况巡查情况应在每天下午4点上报局公路养护科（周末或法定假日顺延至下一工作日上午9点），若有紧急情况应随时上报。</w:t>
      </w:r>
    </w:p>
    <w:p w14:paraId="3113D6C3">
      <w:pPr>
        <w:spacing w:line="36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13</w:t>
      </w:r>
      <w:r>
        <w:rPr>
          <w:rFonts w:hint="eastAsia" w:ascii="宋体" w:hAnsi="宋体" w:cs="宋体"/>
          <w:color w:val="auto"/>
          <w:szCs w:val="21"/>
          <w:highlight w:val="none"/>
        </w:rPr>
        <w:t>、巡查车辆的管理：非车辆故障，承包人不得擅自变更巡查车辆；巡查车辆仅限用于路况巡查，非路况巡查时段，车辆必须停放在发包人指定地点。</w:t>
      </w:r>
    </w:p>
    <w:p w14:paraId="051FC6D8">
      <w:pPr>
        <w:spacing w:line="360" w:lineRule="exact"/>
        <w:ind w:firstLine="420" w:firstLineChars="200"/>
        <w:jc w:val="left"/>
        <w:rPr>
          <w:rFonts w:hint="default" w:ascii="宋体" w:hAnsi="宋体" w:eastAsia="宋体"/>
          <w:color w:val="auto"/>
          <w:szCs w:val="21"/>
          <w:highlight w:val="none"/>
          <w:lang w:val="en-US" w:eastAsia="zh-CN"/>
        </w:rPr>
      </w:pPr>
      <w:r>
        <w:rPr>
          <w:rFonts w:hint="eastAsia" w:ascii="宋体" w:hAnsi="宋体" w:cs="宋体"/>
          <w:color w:val="auto"/>
          <w:szCs w:val="21"/>
          <w:highlight w:val="none"/>
          <w:lang w:val="en-US" w:eastAsia="zh-CN"/>
        </w:rPr>
        <w:t>14</w:t>
      </w:r>
      <w:r>
        <w:rPr>
          <w:rFonts w:hint="eastAsia" w:ascii="宋体" w:hAnsi="宋体" w:cs="宋体"/>
          <w:color w:val="auto"/>
          <w:szCs w:val="21"/>
          <w:highlight w:val="none"/>
        </w:rPr>
        <w:t>、路况巡查人员需更换要提前一个月报给承包人审批。</w:t>
      </w:r>
    </w:p>
    <w:p w14:paraId="722C9F01">
      <w:pPr>
        <w:spacing w:before="120" w:beforeLines="50" w:after="120" w:afterLines="50" w:line="360" w:lineRule="exact"/>
        <w:jc w:val="left"/>
        <w:rPr>
          <w:rFonts w:hint="eastAsia"/>
          <w:b/>
          <w:color w:val="auto"/>
          <w:sz w:val="28"/>
          <w:szCs w:val="28"/>
          <w:highlight w:val="none"/>
        </w:rPr>
      </w:pPr>
      <w:r>
        <w:rPr>
          <w:b/>
          <w:color w:val="auto"/>
          <w:sz w:val="28"/>
          <w:szCs w:val="28"/>
          <w:highlight w:val="none"/>
        </w:rPr>
        <w:t>10</w:t>
      </w:r>
      <w:r>
        <w:rPr>
          <w:rFonts w:hint="eastAsia"/>
          <w:b/>
          <w:color w:val="auto"/>
          <w:sz w:val="28"/>
          <w:szCs w:val="28"/>
          <w:highlight w:val="none"/>
        </w:rPr>
        <w:t>5</w:t>
      </w:r>
      <w:r>
        <w:rPr>
          <w:b/>
          <w:color w:val="auto"/>
          <w:sz w:val="28"/>
          <w:szCs w:val="28"/>
          <w:highlight w:val="none"/>
        </w:rPr>
        <w:t>.0</w:t>
      </w:r>
      <w:r>
        <w:rPr>
          <w:rFonts w:hint="eastAsia"/>
          <w:b/>
          <w:color w:val="auto"/>
          <w:sz w:val="28"/>
          <w:szCs w:val="28"/>
          <w:highlight w:val="none"/>
        </w:rPr>
        <w:t>3</w:t>
      </w:r>
      <w:r>
        <w:rPr>
          <w:b/>
          <w:color w:val="auto"/>
          <w:sz w:val="28"/>
          <w:szCs w:val="28"/>
          <w:highlight w:val="none"/>
        </w:rPr>
        <w:t xml:space="preserve">  </w:t>
      </w:r>
      <w:r>
        <w:rPr>
          <w:rFonts w:hint="eastAsia" w:ascii="黑体" w:eastAsia="黑体"/>
          <w:color w:val="auto"/>
          <w:sz w:val="28"/>
          <w:szCs w:val="28"/>
          <w:highlight w:val="none"/>
        </w:rPr>
        <w:t>计量与支付</w:t>
      </w:r>
    </w:p>
    <w:p w14:paraId="098B8B56">
      <w:pPr>
        <w:spacing w:line="360" w:lineRule="exact"/>
        <w:ind w:firstLine="420" w:firstLineChars="200"/>
        <w:jc w:val="left"/>
        <w:rPr>
          <w:rFonts w:ascii="宋体" w:hAnsi="宋体" w:cs="宋体"/>
          <w:color w:val="auto"/>
          <w:szCs w:val="21"/>
          <w:highlight w:val="none"/>
        </w:rPr>
      </w:pPr>
      <w:r>
        <w:rPr>
          <w:rFonts w:ascii="宋体" w:hAnsi="宋体" w:cs="宋体"/>
          <w:color w:val="auto"/>
          <w:szCs w:val="21"/>
          <w:highlight w:val="none"/>
        </w:rPr>
        <w:t>1．计量</w:t>
      </w:r>
    </w:p>
    <w:p w14:paraId="2A84BA12">
      <w:pPr>
        <w:spacing w:line="360" w:lineRule="exact"/>
        <w:ind w:firstLine="420" w:firstLineChars="200"/>
        <w:jc w:val="left"/>
        <w:rPr>
          <w:rFonts w:ascii="宋体" w:hAnsi="宋体" w:cs="宋体"/>
          <w:color w:val="auto"/>
          <w:szCs w:val="21"/>
          <w:highlight w:val="none"/>
        </w:rPr>
      </w:pPr>
      <w:r>
        <w:rPr>
          <w:rFonts w:ascii="宋体" w:hAnsi="宋体" w:cs="宋体"/>
          <w:color w:val="auto"/>
          <w:szCs w:val="21"/>
          <w:highlight w:val="none"/>
        </w:rPr>
        <w:t>养护合同承包期内的巡查费用</w:t>
      </w:r>
      <w:r>
        <w:rPr>
          <w:rFonts w:hint="eastAsia" w:ascii="宋体" w:hAnsi="宋体" w:cs="宋体"/>
          <w:color w:val="auto"/>
          <w:szCs w:val="21"/>
          <w:highlight w:val="none"/>
        </w:rPr>
        <w:t>根据巡查情况并结合养护管理手册相关考核办法，</w:t>
      </w:r>
      <w:r>
        <w:rPr>
          <w:rFonts w:ascii="宋体" w:hAnsi="宋体" w:cs="宋体"/>
          <w:color w:val="auto"/>
          <w:szCs w:val="21"/>
          <w:highlight w:val="none"/>
        </w:rPr>
        <w:t>以计</w:t>
      </w:r>
      <w:r>
        <w:rPr>
          <w:rFonts w:hint="eastAsia" w:ascii="宋体" w:hAnsi="宋体" w:cs="宋体"/>
          <w:color w:val="auto"/>
          <w:szCs w:val="21"/>
          <w:highlight w:val="none"/>
        </w:rPr>
        <w:t>量。</w:t>
      </w:r>
    </w:p>
    <w:p w14:paraId="6DD77EC3">
      <w:pPr>
        <w:spacing w:line="360" w:lineRule="exact"/>
        <w:ind w:firstLine="420" w:firstLineChars="200"/>
        <w:jc w:val="left"/>
        <w:rPr>
          <w:rFonts w:ascii="宋体" w:hAnsi="宋体" w:cs="宋体"/>
          <w:color w:val="auto"/>
          <w:szCs w:val="21"/>
          <w:highlight w:val="none"/>
        </w:rPr>
      </w:pPr>
      <w:r>
        <w:rPr>
          <w:rFonts w:ascii="宋体" w:hAnsi="宋体" w:cs="宋体"/>
          <w:color w:val="auto"/>
          <w:szCs w:val="21"/>
          <w:highlight w:val="none"/>
        </w:rPr>
        <w:t>2．支付</w:t>
      </w:r>
    </w:p>
    <w:p w14:paraId="1B86B0FE">
      <w:pPr>
        <w:spacing w:line="360" w:lineRule="exact"/>
        <w:ind w:firstLine="420" w:firstLineChars="200"/>
        <w:jc w:val="left"/>
        <w:rPr>
          <w:rFonts w:ascii="宋体" w:hAnsi="宋体" w:cs="宋体"/>
          <w:color w:val="auto"/>
          <w:szCs w:val="21"/>
          <w:highlight w:val="none"/>
        </w:rPr>
      </w:pPr>
      <w:r>
        <w:rPr>
          <w:rFonts w:hint="eastAsia" w:cs="宋体"/>
          <w:color w:val="auto"/>
          <w:szCs w:val="21"/>
          <w:highlight w:val="none"/>
        </w:rPr>
        <w:t>根据实际完成并经发包人确认的工程量乘以相应细目单价，按月计量，按季支付</w:t>
      </w:r>
      <w:r>
        <w:rPr>
          <w:rFonts w:ascii="宋体" w:hAnsi="宋体" w:cs="宋体"/>
          <w:color w:val="auto"/>
          <w:szCs w:val="21"/>
          <w:highlight w:val="none"/>
        </w:rPr>
        <w:t>。此项费用包括承包人巡查</w:t>
      </w:r>
      <w:r>
        <w:rPr>
          <w:rFonts w:hint="eastAsia" w:ascii="宋体" w:hAnsi="宋体"/>
          <w:color w:val="auto"/>
          <w:szCs w:val="21"/>
          <w:highlight w:val="none"/>
        </w:rPr>
        <w:t>路面、桥涵、绿化，路基、边坡边沟、沿线设施，标志标牌，候车亭、交通安全设施等公路沿线的保洁、坑洞、安全、施工等所有路况信息和“三防”工作等专项排查工作</w:t>
      </w:r>
      <w:r>
        <w:rPr>
          <w:rFonts w:ascii="宋体" w:hAnsi="宋体" w:cs="宋体"/>
          <w:color w:val="auto"/>
          <w:szCs w:val="21"/>
          <w:highlight w:val="none"/>
        </w:rPr>
        <w:t>的完好程度，检查路障以及与路政管理等相关工作内容所需要的费用。</w:t>
      </w:r>
    </w:p>
    <w:p w14:paraId="1B4BED59">
      <w:pPr>
        <w:spacing w:after="120" w:afterLines="50" w:line="340" w:lineRule="exact"/>
        <w:ind w:firstLine="420" w:firstLineChars="200"/>
        <w:jc w:val="left"/>
        <w:rPr>
          <w:rFonts w:ascii="宋体" w:hAnsi="宋体" w:cs="宋体"/>
          <w:color w:val="auto"/>
          <w:szCs w:val="21"/>
        </w:rPr>
      </w:pPr>
      <w:r>
        <w:rPr>
          <w:rFonts w:ascii="宋体" w:hAnsi="宋体" w:cs="宋体"/>
          <w:color w:val="auto"/>
          <w:szCs w:val="21"/>
        </w:rPr>
        <w:t>3．支付子目</w:t>
      </w:r>
    </w:p>
    <w:tbl>
      <w:tblPr>
        <w:tblStyle w:val="5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67"/>
        <w:gridCol w:w="5950"/>
        <w:gridCol w:w="1574"/>
      </w:tblGrid>
      <w:tr w14:paraId="0E9FBA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6" w:hRule="atLeast"/>
          <w:jc w:val="center"/>
        </w:trPr>
        <w:tc>
          <w:tcPr>
            <w:tcW w:w="1367" w:type="dxa"/>
            <w:noWrap w:val="0"/>
            <w:vAlign w:val="center"/>
          </w:tcPr>
          <w:p w14:paraId="65F6A5E8">
            <w:pPr>
              <w:spacing w:line="240" w:lineRule="exact"/>
              <w:jc w:val="center"/>
              <w:rPr>
                <w:rFonts w:hint="eastAsia" w:ascii="宋体" w:hAnsi="宋体" w:cs="宋体"/>
                <w:color w:val="auto"/>
                <w:szCs w:val="21"/>
              </w:rPr>
            </w:pPr>
            <w:r>
              <w:rPr>
                <w:rFonts w:hint="eastAsia" w:ascii="宋体" w:hAnsi="宋体" w:cs="宋体"/>
                <w:color w:val="auto"/>
                <w:szCs w:val="21"/>
              </w:rPr>
              <w:t>子目号</w:t>
            </w:r>
          </w:p>
        </w:tc>
        <w:tc>
          <w:tcPr>
            <w:tcW w:w="5950" w:type="dxa"/>
            <w:noWrap w:val="0"/>
            <w:vAlign w:val="center"/>
          </w:tcPr>
          <w:p w14:paraId="6C3F4E42">
            <w:pPr>
              <w:spacing w:line="240" w:lineRule="exact"/>
              <w:jc w:val="center"/>
              <w:rPr>
                <w:rFonts w:hint="eastAsia" w:ascii="宋体" w:hAnsi="宋体" w:cs="宋体"/>
                <w:color w:val="auto"/>
                <w:szCs w:val="21"/>
              </w:rPr>
            </w:pPr>
            <w:r>
              <w:rPr>
                <w:rFonts w:hint="eastAsia" w:ascii="宋体" w:hAnsi="宋体" w:cs="宋体"/>
                <w:color w:val="auto"/>
                <w:szCs w:val="21"/>
              </w:rPr>
              <w:t>子目名称</w:t>
            </w:r>
          </w:p>
        </w:tc>
        <w:tc>
          <w:tcPr>
            <w:tcW w:w="1574" w:type="dxa"/>
            <w:noWrap w:val="0"/>
            <w:vAlign w:val="center"/>
          </w:tcPr>
          <w:p w14:paraId="5B126070">
            <w:pPr>
              <w:spacing w:line="240" w:lineRule="exact"/>
              <w:jc w:val="center"/>
              <w:rPr>
                <w:rFonts w:hint="eastAsia" w:ascii="宋体" w:hAnsi="宋体" w:cs="宋体"/>
                <w:color w:val="auto"/>
                <w:szCs w:val="21"/>
              </w:rPr>
            </w:pPr>
            <w:r>
              <w:rPr>
                <w:rFonts w:hint="eastAsia" w:ascii="宋体" w:hAnsi="宋体" w:cs="宋体"/>
                <w:color w:val="auto"/>
                <w:szCs w:val="21"/>
              </w:rPr>
              <w:t>单 位</w:t>
            </w:r>
          </w:p>
        </w:tc>
      </w:tr>
      <w:tr w14:paraId="7B29FF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5" w:hRule="atLeast"/>
          <w:jc w:val="center"/>
        </w:trPr>
        <w:tc>
          <w:tcPr>
            <w:tcW w:w="1367" w:type="dxa"/>
            <w:noWrap w:val="0"/>
            <w:vAlign w:val="center"/>
          </w:tcPr>
          <w:p w14:paraId="2FE17D05">
            <w:pPr>
              <w:spacing w:line="240" w:lineRule="exact"/>
              <w:jc w:val="center"/>
              <w:rPr>
                <w:rFonts w:hint="eastAsia" w:ascii="宋体" w:hAnsi="宋体" w:cs="宋体"/>
                <w:color w:val="auto"/>
                <w:szCs w:val="21"/>
              </w:rPr>
            </w:pPr>
            <w:r>
              <w:rPr>
                <w:rFonts w:hint="eastAsia" w:ascii="宋体" w:hAnsi="宋体" w:cs="宋体"/>
                <w:color w:val="auto"/>
                <w:szCs w:val="21"/>
              </w:rPr>
              <w:t>105</w:t>
            </w:r>
          </w:p>
        </w:tc>
        <w:tc>
          <w:tcPr>
            <w:tcW w:w="5950" w:type="dxa"/>
            <w:noWrap w:val="0"/>
            <w:vAlign w:val="center"/>
          </w:tcPr>
          <w:p w14:paraId="2E8FED05">
            <w:pPr>
              <w:spacing w:line="240" w:lineRule="exact"/>
              <w:rPr>
                <w:rFonts w:hint="eastAsia" w:ascii="宋体" w:hAnsi="宋体" w:cs="宋体"/>
                <w:color w:val="auto"/>
                <w:szCs w:val="21"/>
              </w:rPr>
            </w:pPr>
            <w:r>
              <w:rPr>
                <w:rFonts w:hint="eastAsia" w:ascii="宋体" w:hAnsi="宋体" w:cs="宋体"/>
                <w:color w:val="auto"/>
                <w:szCs w:val="21"/>
              </w:rPr>
              <w:t>巡查费</w:t>
            </w:r>
          </w:p>
        </w:tc>
        <w:tc>
          <w:tcPr>
            <w:tcW w:w="1574" w:type="dxa"/>
            <w:noWrap w:val="0"/>
            <w:vAlign w:val="center"/>
          </w:tcPr>
          <w:p w14:paraId="59896165">
            <w:pPr>
              <w:spacing w:line="240" w:lineRule="exact"/>
              <w:jc w:val="center"/>
              <w:rPr>
                <w:rFonts w:hint="eastAsia" w:ascii="宋体" w:hAnsi="宋体" w:cs="宋体"/>
                <w:color w:val="auto"/>
                <w:szCs w:val="21"/>
              </w:rPr>
            </w:pPr>
          </w:p>
        </w:tc>
      </w:tr>
      <w:tr w14:paraId="7A7F1D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5" w:hRule="atLeast"/>
          <w:jc w:val="center"/>
        </w:trPr>
        <w:tc>
          <w:tcPr>
            <w:tcW w:w="1367" w:type="dxa"/>
            <w:noWrap w:val="0"/>
            <w:vAlign w:val="center"/>
          </w:tcPr>
          <w:p w14:paraId="65D941CB">
            <w:pPr>
              <w:jc w:val="center"/>
              <w:rPr>
                <w:rFonts w:hint="eastAsia" w:ascii="宋体" w:hAnsi="宋体"/>
                <w:bCs/>
                <w:color w:val="auto"/>
                <w:szCs w:val="21"/>
              </w:rPr>
            </w:pPr>
            <w:r>
              <w:rPr>
                <w:rFonts w:hint="eastAsia" w:ascii="宋体" w:hAnsi="宋体"/>
                <w:bCs/>
                <w:color w:val="auto"/>
                <w:szCs w:val="21"/>
              </w:rPr>
              <w:t>-a</w:t>
            </w:r>
          </w:p>
        </w:tc>
        <w:tc>
          <w:tcPr>
            <w:tcW w:w="5950" w:type="dxa"/>
            <w:noWrap w:val="0"/>
            <w:vAlign w:val="center"/>
          </w:tcPr>
          <w:p w14:paraId="07E516A3">
            <w:pPr>
              <w:rPr>
                <w:rFonts w:hint="eastAsia" w:ascii="宋体" w:hAnsi="宋体"/>
                <w:color w:val="auto"/>
                <w:szCs w:val="21"/>
              </w:rPr>
            </w:pPr>
            <w:r>
              <w:rPr>
                <w:rFonts w:hint="eastAsia" w:ascii="宋体" w:hAnsi="宋体"/>
                <w:color w:val="auto"/>
                <w:szCs w:val="21"/>
              </w:rPr>
              <w:t>汽车巡查费（1辆）</w:t>
            </w:r>
          </w:p>
        </w:tc>
        <w:tc>
          <w:tcPr>
            <w:tcW w:w="1574" w:type="dxa"/>
            <w:noWrap w:val="0"/>
            <w:vAlign w:val="center"/>
          </w:tcPr>
          <w:p w14:paraId="2C7517AA">
            <w:pPr>
              <w:jc w:val="center"/>
              <w:rPr>
                <w:rFonts w:hint="eastAsia" w:ascii="宋体" w:hAnsi="宋体"/>
                <w:color w:val="auto"/>
                <w:szCs w:val="21"/>
              </w:rPr>
            </w:pPr>
            <w:r>
              <w:rPr>
                <w:rFonts w:hint="eastAsia" w:ascii="宋体" w:hAnsi="宋体"/>
                <w:color w:val="auto"/>
                <w:szCs w:val="21"/>
              </w:rPr>
              <w:t>月</w:t>
            </w:r>
          </w:p>
        </w:tc>
      </w:tr>
    </w:tbl>
    <w:p w14:paraId="3D87D168">
      <w:pPr>
        <w:tabs>
          <w:tab w:val="left" w:pos="3120"/>
        </w:tabs>
        <w:jc w:val="center"/>
        <w:rPr>
          <w:rFonts w:hint="eastAsia" w:ascii="黑体" w:eastAsia="黑体"/>
          <w:color w:val="auto"/>
          <w:sz w:val="32"/>
        </w:rPr>
      </w:pPr>
      <w:r>
        <w:rPr>
          <w:rFonts w:hint="eastAsia" w:ascii="黑体" w:eastAsia="黑体"/>
          <w:color w:val="auto"/>
          <w:sz w:val="32"/>
        </w:rPr>
        <w:t>第107节 应急抢险</w:t>
      </w:r>
    </w:p>
    <w:p w14:paraId="55AD3D87">
      <w:pPr>
        <w:tabs>
          <w:tab w:val="left" w:pos="3120"/>
        </w:tabs>
        <w:spacing w:line="360" w:lineRule="auto"/>
        <w:outlineLvl w:val="0"/>
        <w:rPr>
          <w:rFonts w:hint="eastAsia" w:eastAsia="黑体"/>
          <w:color w:val="auto"/>
          <w:sz w:val="28"/>
          <w:szCs w:val="28"/>
        </w:rPr>
      </w:pPr>
      <w:bookmarkStart w:id="156" w:name="_Toc465179167"/>
      <w:bookmarkStart w:id="157" w:name="_Toc465178086"/>
      <w:bookmarkStart w:id="158" w:name="_Toc496619700"/>
      <w:bookmarkStart w:id="159" w:name="_Toc496620399"/>
      <w:bookmarkStart w:id="160" w:name="_Toc17660"/>
      <w:bookmarkStart w:id="161" w:name="_Toc465178806"/>
      <w:bookmarkStart w:id="162" w:name="_Toc435864338"/>
      <w:bookmarkStart w:id="163" w:name="_Toc87531993"/>
      <w:r>
        <w:rPr>
          <w:rFonts w:hint="eastAsia" w:eastAsia="黑体"/>
          <w:color w:val="auto"/>
          <w:sz w:val="28"/>
          <w:szCs w:val="28"/>
        </w:rPr>
        <w:t>107.01要求</w:t>
      </w:r>
      <w:bookmarkEnd w:id="156"/>
      <w:bookmarkEnd w:id="157"/>
      <w:bookmarkEnd w:id="158"/>
      <w:bookmarkEnd w:id="159"/>
      <w:bookmarkEnd w:id="160"/>
      <w:bookmarkEnd w:id="161"/>
      <w:bookmarkEnd w:id="162"/>
      <w:bookmarkEnd w:id="163"/>
    </w:p>
    <w:p w14:paraId="365811A8">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1. 因本工程特殊性，需及时排除因各种自然灾害及突发事件引起的公路通行不畅，要求承包人组建两支应急抢险队伍。应急抢险单位应组建不少于40人的应急抢险队伍，人员名单应与养护人员花名册同时上报业主备案。人员名单内容需包含队长和队员名字、年龄、身份证号码、联系方式及作业技能。按照《公路养护安全作业规程》（JTG H30-2015）的要求，配备必要的养护安全作业设备、设施及标识。应急抢险设备至少配置养护作业车2辆、油锯4把、水泵4组、发电机2组，挖掘机2台，其他小型工器具若干。应急抢险分队必须按要求上岗作业，保持人员的稳定性，按照发包人的指示做好应急抢险工作；在应急抢险工作中，注意保留</w:t>
      </w:r>
      <w:r>
        <w:rPr>
          <w:rFonts w:ascii="宋体" w:hAnsi="宋体" w:cs="宋体"/>
          <w:color w:val="auto"/>
          <w:szCs w:val="21"/>
        </w:rPr>
        <w:t>实施前后的影像资料</w:t>
      </w:r>
      <w:r>
        <w:rPr>
          <w:rFonts w:hint="eastAsia" w:ascii="宋体" w:hAnsi="宋体" w:cs="宋体"/>
          <w:color w:val="auto"/>
          <w:szCs w:val="21"/>
        </w:rPr>
        <w:t>，并做好各类</w:t>
      </w:r>
      <w:r>
        <w:rPr>
          <w:rFonts w:ascii="宋体" w:hAnsi="宋体" w:cs="宋体"/>
          <w:color w:val="auto"/>
          <w:szCs w:val="21"/>
        </w:rPr>
        <w:t>工程资料</w:t>
      </w:r>
      <w:r>
        <w:rPr>
          <w:rFonts w:hint="eastAsia" w:ascii="宋体" w:hAnsi="宋体" w:cs="宋体"/>
          <w:color w:val="auto"/>
          <w:szCs w:val="21"/>
        </w:rPr>
        <w:t>的留存和</w:t>
      </w:r>
      <w:r>
        <w:rPr>
          <w:rFonts w:ascii="宋体" w:hAnsi="宋体" w:cs="宋体"/>
          <w:color w:val="auto"/>
          <w:szCs w:val="21"/>
        </w:rPr>
        <w:t>及时归档</w:t>
      </w:r>
      <w:r>
        <w:rPr>
          <w:rFonts w:hint="eastAsia" w:ascii="宋体" w:hAnsi="宋体" w:cs="宋体"/>
          <w:color w:val="auto"/>
          <w:szCs w:val="21"/>
        </w:rPr>
        <w:t>。</w:t>
      </w:r>
    </w:p>
    <w:p w14:paraId="1C0AEF5F">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2.</w:t>
      </w:r>
      <w:r>
        <w:rPr>
          <w:rFonts w:hint="eastAsia" w:ascii="宋体" w:hAnsi="宋体"/>
          <w:color w:val="auto"/>
          <w:sz w:val="24"/>
        </w:rPr>
        <w:t xml:space="preserve"> </w:t>
      </w:r>
      <w:r>
        <w:rPr>
          <w:rFonts w:hint="eastAsia" w:ascii="宋体" w:hAnsi="宋体" w:cs="宋体"/>
          <w:color w:val="auto"/>
          <w:szCs w:val="21"/>
        </w:rPr>
        <w:t>应急抢险范围：遭受冰雪、强降雨、台风等恶劣天气或公路交通安全事故期间及其他影响交通安全畅通情行。。</w:t>
      </w:r>
    </w:p>
    <w:p w14:paraId="4CCB288A">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3. 应急抢险工作时间：恶劣天气期间以及晚上（晚上6点至第二天上午7点），提前做好冷补沥青、碎石、煤渣、工业盐等常用应急抢险物资的储备工作；恶劣天气、突发事件期间建立24小时值班制度，值班地点为嘉兴公路站；恶劣天气应急响应时间不超过20分钟，普通应急处理不超过40分钟。</w:t>
      </w:r>
    </w:p>
    <w:p w14:paraId="5A09D877">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4．发包人指令要求承包人提供抢险物资和机械的承包人需无条件的配合。</w:t>
      </w:r>
    </w:p>
    <w:p w14:paraId="65CDF103">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5. 发包人将根据需要定期及不定期对应急分队进行演练，承包人应积极配合。</w:t>
      </w:r>
    </w:p>
    <w:p w14:paraId="4A1FC545">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6. 承包人需无条件的配合各类迎检及应急抢险工作，并按需要配备汽吊、挖机、推土机</w:t>
      </w:r>
      <w:r>
        <w:rPr>
          <w:rFonts w:hint="eastAsia" w:ascii="宋体" w:hAnsi="宋体" w:cs="宋体"/>
          <w:color w:val="auto"/>
          <w:szCs w:val="21"/>
          <w:lang w:val="en-US" w:eastAsia="zh-CN"/>
        </w:rPr>
        <w:t>及</w:t>
      </w:r>
      <w:r>
        <w:rPr>
          <w:rFonts w:hint="eastAsia" w:ascii="宋体" w:hAnsi="宋体" w:cs="宋体"/>
          <w:color w:val="auto"/>
          <w:szCs w:val="21"/>
        </w:rPr>
        <w:t>装载机等机械以备急需。</w:t>
      </w:r>
    </w:p>
    <w:p w14:paraId="5364083E">
      <w:pPr>
        <w:tabs>
          <w:tab w:val="left" w:pos="3120"/>
        </w:tabs>
        <w:spacing w:line="360" w:lineRule="auto"/>
        <w:outlineLvl w:val="0"/>
        <w:rPr>
          <w:rFonts w:hint="eastAsia" w:eastAsia="黑体"/>
          <w:color w:val="auto"/>
          <w:sz w:val="28"/>
          <w:szCs w:val="28"/>
        </w:rPr>
      </w:pPr>
      <w:bookmarkStart w:id="164" w:name="_Toc465179170"/>
      <w:bookmarkStart w:id="165" w:name="_Toc496619701"/>
      <w:bookmarkStart w:id="166" w:name="_Toc465178089"/>
      <w:bookmarkStart w:id="167" w:name="_Toc87531994"/>
      <w:bookmarkStart w:id="168" w:name="_Toc496620400"/>
      <w:bookmarkStart w:id="169" w:name="_Toc465178809"/>
      <w:r>
        <w:rPr>
          <w:rFonts w:hint="eastAsia" w:eastAsia="黑体"/>
          <w:color w:val="auto"/>
          <w:sz w:val="28"/>
          <w:szCs w:val="28"/>
        </w:rPr>
        <w:t>107.02计量与支付</w:t>
      </w:r>
      <w:bookmarkEnd w:id="164"/>
      <w:bookmarkEnd w:id="165"/>
      <w:bookmarkEnd w:id="166"/>
      <w:bookmarkEnd w:id="167"/>
      <w:bookmarkEnd w:id="168"/>
      <w:bookmarkEnd w:id="169"/>
    </w:p>
    <w:p w14:paraId="2650A194">
      <w:pPr>
        <w:spacing w:before="120" w:beforeLines="50" w:after="120" w:afterLines="50" w:line="360" w:lineRule="auto"/>
        <w:ind w:firstLine="315" w:firstLineChars="150"/>
        <w:jc w:val="left"/>
        <w:outlineLvl w:val="0"/>
        <w:rPr>
          <w:rFonts w:hint="eastAsia" w:ascii="宋体" w:hAnsi="宋体" w:cs="宋体"/>
          <w:color w:val="auto"/>
          <w:szCs w:val="21"/>
        </w:rPr>
      </w:pPr>
      <w:bookmarkStart w:id="170" w:name="_Toc87531995"/>
      <w:bookmarkStart w:id="171" w:name="_Toc435864341"/>
      <w:bookmarkStart w:id="172" w:name="_Toc496619702"/>
      <w:bookmarkStart w:id="173" w:name="_Toc465178810"/>
      <w:bookmarkStart w:id="174" w:name="_Toc29578"/>
      <w:bookmarkStart w:id="175" w:name="_Toc496620401"/>
      <w:bookmarkStart w:id="176" w:name="_Toc465178090"/>
      <w:bookmarkStart w:id="177" w:name="_Toc465179171"/>
      <w:r>
        <w:rPr>
          <w:rFonts w:hint="eastAsia" w:ascii="宋体" w:hAnsi="宋体" w:cs="宋体"/>
          <w:color w:val="auto"/>
          <w:szCs w:val="21"/>
        </w:rPr>
        <w:t>1. 计量</w:t>
      </w:r>
      <w:bookmarkEnd w:id="170"/>
      <w:bookmarkEnd w:id="171"/>
      <w:bookmarkEnd w:id="172"/>
      <w:bookmarkEnd w:id="173"/>
      <w:bookmarkEnd w:id="174"/>
      <w:bookmarkEnd w:id="175"/>
      <w:bookmarkEnd w:id="176"/>
      <w:bookmarkEnd w:id="177"/>
    </w:p>
    <w:p w14:paraId="0DEBDD0E">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1）应急抢险日常应急处置（非恶劣天气下白天的公路应急突发事件处置及配合迎检工作等）人工费、突发事件的应急抢险（恶劣天气、突发事件以及夜间的交通事故、路面清理等抢险工作）费用、部分县道交通流量调查费用，分别按实际发生的数量乘以人工费单价计算，人工费单价包含交通工具以及小型机具的使用、劳务费、规费、税金、保险、管理费等一切费用。人工费工日按8小时计算，不足4小时按0.5工日计量，超过4小时不足8小时按1工日计量。</w:t>
      </w:r>
    </w:p>
    <w:p w14:paraId="43BB07DB">
      <w:pPr>
        <w:spacing w:line="360" w:lineRule="auto"/>
        <w:ind w:firstLine="420" w:firstLineChars="200"/>
        <w:rPr>
          <w:rFonts w:hint="eastAsia" w:ascii="宋体" w:hAnsi="宋体" w:cs="宋体"/>
          <w:szCs w:val="21"/>
        </w:rPr>
      </w:pPr>
      <w:r>
        <w:rPr>
          <w:rFonts w:hint="eastAsia" w:ascii="宋体" w:hAnsi="宋体" w:cs="宋体"/>
          <w:color w:val="auto"/>
          <w:szCs w:val="21"/>
        </w:rPr>
        <w:t>（2）应急保畅及设备的使用费按月计量。承担全区公路应急保畅应急电话值班（至</w:t>
      </w:r>
      <w:r>
        <w:rPr>
          <w:rFonts w:hint="eastAsia" w:ascii="宋体" w:hAnsi="宋体" w:cs="宋体"/>
          <w:szCs w:val="21"/>
        </w:rPr>
        <w:t>少2人电话24小时畅通），无条件的配合各类迎检及应急抢险机械设备。</w:t>
      </w:r>
    </w:p>
    <w:p w14:paraId="5205F17D">
      <w:pPr>
        <w:spacing w:line="360" w:lineRule="auto"/>
        <w:ind w:firstLine="420" w:firstLineChars="200"/>
        <w:rPr>
          <w:rFonts w:hint="eastAsia" w:ascii="宋体" w:hAnsi="宋体" w:cs="宋体"/>
          <w:szCs w:val="21"/>
        </w:rPr>
      </w:pPr>
      <w:bookmarkStart w:id="178" w:name="_Toc496620402"/>
      <w:bookmarkStart w:id="179" w:name="_Toc435864342"/>
      <w:bookmarkStart w:id="180" w:name="_Toc4117"/>
      <w:bookmarkStart w:id="181" w:name="_Toc496619703"/>
      <w:bookmarkStart w:id="182" w:name="_Toc465178091"/>
      <w:bookmarkStart w:id="183" w:name="_Toc87531996"/>
      <w:bookmarkStart w:id="184" w:name="_Toc465178811"/>
      <w:bookmarkStart w:id="185" w:name="_Toc465179172"/>
      <w:r>
        <w:rPr>
          <w:rFonts w:hint="eastAsia" w:ascii="宋体" w:hAnsi="宋体" w:cs="宋体"/>
          <w:szCs w:val="21"/>
        </w:rPr>
        <w:t>2. 支付</w:t>
      </w:r>
      <w:bookmarkEnd w:id="178"/>
      <w:bookmarkEnd w:id="179"/>
      <w:bookmarkEnd w:id="180"/>
      <w:bookmarkEnd w:id="181"/>
      <w:bookmarkEnd w:id="182"/>
      <w:bookmarkEnd w:id="183"/>
      <w:bookmarkEnd w:id="184"/>
      <w:bookmarkEnd w:id="185"/>
    </w:p>
    <w:p w14:paraId="66F578DC">
      <w:pPr>
        <w:spacing w:line="360" w:lineRule="auto"/>
        <w:ind w:firstLine="420" w:firstLineChars="200"/>
        <w:rPr>
          <w:rFonts w:hint="eastAsia" w:ascii="宋体" w:hAnsi="宋体" w:cs="宋体"/>
          <w:szCs w:val="21"/>
        </w:rPr>
      </w:pPr>
      <w:r>
        <w:rPr>
          <w:rFonts w:hint="eastAsia" w:ascii="宋体" w:hAnsi="宋体" w:cs="宋体"/>
          <w:szCs w:val="21"/>
        </w:rPr>
        <w:t>根据实际完成并经发包人确认的工程量乘以相应细目单价，按月计量，按季支付。</w:t>
      </w:r>
    </w:p>
    <w:p w14:paraId="16A32E73">
      <w:pPr>
        <w:tabs>
          <w:tab w:val="left" w:pos="3120"/>
        </w:tabs>
        <w:spacing w:line="360" w:lineRule="auto"/>
        <w:rPr>
          <w:rFonts w:hint="eastAsia"/>
        </w:rPr>
      </w:pPr>
      <w:r>
        <w:rPr>
          <w:rFonts w:hint="eastAsia"/>
        </w:rPr>
        <w:t>3.支付子目</w:t>
      </w:r>
    </w:p>
    <w:tbl>
      <w:tblPr>
        <w:tblStyle w:val="5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30"/>
        <w:gridCol w:w="4946"/>
        <w:gridCol w:w="1879"/>
      </w:tblGrid>
      <w:tr w14:paraId="181FC1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7" w:hRule="atLeast"/>
          <w:jc w:val="center"/>
        </w:trPr>
        <w:tc>
          <w:tcPr>
            <w:tcW w:w="2030" w:type="dxa"/>
            <w:noWrap w:val="0"/>
            <w:vAlign w:val="center"/>
          </w:tcPr>
          <w:p w14:paraId="47132697">
            <w:pPr>
              <w:spacing w:line="260" w:lineRule="exact"/>
              <w:jc w:val="center"/>
              <w:rPr>
                <w:rFonts w:hint="eastAsia"/>
                <w:sz w:val="18"/>
                <w:szCs w:val="18"/>
              </w:rPr>
            </w:pPr>
            <w:r>
              <w:rPr>
                <w:rFonts w:hint="eastAsia"/>
                <w:sz w:val="18"/>
                <w:szCs w:val="18"/>
              </w:rPr>
              <w:t>子目号</w:t>
            </w:r>
          </w:p>
        </w:tc>
        <w:tc>
          <w:tcPr>
            <w:tcW w:w="4946" w:type="dxa"/>
            <w:noWrap w:val="0"/>
            <w:vAlign w:val="center"/>
          </w:tcPr>
          <w:p w14:paraId="6CA6EB0A">
            <w:pPr>
              <w:spacing w:line="260" w:lineRule="exact"/>
              <w:jc w:val="center"/>
              <w:rPr>
                <w:rFonts w:hint="eastAsia"/>
                <w:sz w:val="18"/>
                <w:szCs w:val="18"/>
              </w:rPr>
            </w:pPr>
            <w:r>
              <w:rPr>
                <w:rFonts w:hint="eastAsia"/>
                <w:sz w:val="18"/>
                <w:szCs w:val="18"/>
              </w:rPr>
              <w:t>子目名称</w:t>
            </w:r>
          </w:p>
        </w:tc>
        <w:tc>
          <w:tcPr>
            <w:tcW w:w="1879" w:type="dxa"/>
            <w:noWrap w:val="0"/>
            <w:vAlign w:val="center"/>
          </w:tcPr>
          <w:p w14:paraId="5AEEDD60">
            <w:pPr>
              <w:spacing w:line="260" w:lineRule="exact"/>
              <w:jc w:val="center"/>
              <w:rPr>
                <w:rFonts w:hint="eastAsia"/>
                <w:sz w:val="18"/>
                <w:szCs w:val="18"/>
              </w:rPr>
            </w:pPr>
            <w:r>
              <w:rPr>
                <w:rFonts w:hint="eastAsia"/>
                <w:sz w:val="18"/>
                <w:szCs w:val="18"/>
              </w:rPr>
              <w:t>单 位</w:t>
            </w:r>
          </w:p>
        </w:tc>
      </w:tr>
      <w:tr w14:paraId="4DB1F6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7" w:hRule="atLeast"/>
          <w:jc w:val="center"/>
        </w:trPr>
        <w:tc>
          <w:tcPr>
            <w:tcW w:w="2030" w:type="dxa"/>
            <w:noWrap w:val="0"/>
            <w:vAlign w:val="center"/>
          </w:tcPr>
          <w:p w14:paraId="5F15A8C7">
            <w:pPr>
              <w:keepNext w:val="0"/>
              <w:keepLines w:val="0"/>
              <w:widowControl/>
              <w:suppressLineNumbers w:val="0"/>
              <w:jc w:val="center"/>
              <w:textAlignment w:val="center"/>
              <w:rPr>
                <w:rFonts w:hint="eastAsia" w:ascii="宋体" w:hAnsi="宋体" w:cs="宋体"/>
                <w:szCs w:val="21"/>
              </w:rPr>
            </w:pPr>
            <w:r>
              <w:rPr>
                <w:rFonts w:hint="eastAsia" w:ascii="宋体" w:hAnsi="宋体" w:eastAsia="宋体" w:cs="宋体"/>
                <w:i w:val="0"/>
                <w:iCs w:val="0"/>
                <w:color w:val="000000"/>
                <w:kern w:val="0"/>
                <w:sz w:val="18"/>
                <w:szCs w:val="18"/>
                <w:u w:val="none"/>
                <w:lang w:val="en-US" w:eastAsia="zh-CN" w:bidi="ar"/>
              </w:rPr>
              <w:t>107</w:t>
            </w:r>
          </w:p>
        </w:tc>
        <w:tc>
          <w:tcPr>
            <w:tcW w:w="4946" w:type="dxa"/>
            <w:noWrap w:val="0"/>
            <w:vAlign w:val="center"/>
          </w:tcPr>
          <w:p w14:paraId="778683E9">
            <w:pPr>
              <w:keepNext w:val="0"/>
              <w:keepLines w:val="0"/>
              <w:widowControl/>
              <w:suppressLineNumbers w:val="0"/>
              <w:jc w:val="left"/>
              <w:textAlignment w:val="center"/>
              <w:rPr>
                <w:rFonts w:hint="eastAsia" w:ascii="宋体" w:hAnsi="宋体" w:cs="宋体"/>
                <w:szCs w:val="21"/>
              </w:rPr>
            </w:pPr>
            <w:r>
              <w:rPr>
                <w:rFonts w:hint="eastAsia" w:ascii="宋体" w:hAnsi="宋体" w:eastAsia="宋体" w:cs="宋体"/>
                <w:i w:val="0"/>
                <w:iCs w:val="0"/>
                <w:color w:val="000000"/>
                <w:kern w:val="0"/>
                <w:sz w:val="18"/>
                <w:szCs w:val="18"/>
                <w:u w:val="none"/>
                <w:lang w:val="en-US" w:eastAsia="zh-CN" w:bidi="ar"/>
              </w:rPr>
              <w:t>应急抢修</w:t>
            </w:r>
          </w:p>
        </w:tc>
        <w:tc>
          <w:tcPr>
            <w:tcW w:w="1879" w:type="dxa"/>
            <w:noWrap w:val="0"/>
            <w:vAlign w:val="center"/>
          </w:tcPr>
          <w:p w14:paraId="65F92872">
            <w:pPr>
              <w:jc w:val="center"/>
              <w:rPr>
                <w:rFonts w:hint="eastAsia" w:ascii="宋体" w:hAnsi="宋体" w:cs="宋体"/>
                <w:szCs w:val="21"/>
              </w:rPr>
            </w:pPr>
          </w:p>
        </w:tc>
      </w:tr>
      <w:tr w14:paraId="37ABC2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7" w:hRule="atLeast"/>
          <w:jc w:val="center"/>
        </w:trPr>
        <w:tc>
          <w:tcPr>
            <w:tcW w:w="2030" w:type="dxa"/>
            <w:noWrap w:val="0"/>
            <w:vAlign w:val="center"/>
          </w:tcPr>
          <w:p w14:paraId="46D62695">
            <w:pPr>
              <w:keepNext w:val="0"/>
              <w:keepLines w:val="0"/>
              <w:widowControl/>
              <w:suppressLineNumbers w:val="0"/>
              <w:jc w:val="center"/>
              <w:textAlignment w:val="center"/>
              <w:rPr>
                <w:rFonts w:hint="eastAsia" w:ascii="宋体" w:hAnsi="宋体" w:cs="宋体"/>
                <w:szCs w:val="21"/>
              </w:rPr>
            </w:pPr>
            <w:r>
              <w:rPr>
                <w:rFonts w:hint="eastAsia" w:ascii="宋体" w:hAnsi="宋体" w:eastAsia="宋体" w:cs="宋体"/>
                <w:i w:val="0"/>
                <w:iCs w:val="0"/>
                <w:color w:val="000000"/>
                <w:kern w:val="0"/>
                <w:sz w:val="18"/>
                <w:szCs w:val="18"/>
                <w:u w:val="none"/>
                <w:lang w:val="en-US" w:eastAsia="zh-CN" w:bidi="ar"/>
              </w:rPr>
              <w:t>107-1</w:t>
            </w:r>
          </w:p>
        </w:tc>
        <w:tc>
          <w:tcPr>
            <w:tcW w:w="4946" w:type="dxa"/>
            <w:noWrap w:val="0"/>
            <w:vAlign w:val="center"/>
          </w:tcPr>
          <w:p w14:paraId="05E1BBC5">
            <w:pPr>
              <w:keepNext w:val="0"/>
              <w:keepLines w:val="0"/>
              <w:widowControl/>
              <w:suppressLineNumbers w:val="0"/>
              <w:jc w:val="left"/>
              <w:textAlignment w:val="center"/>
              <w:rPr>
                <w:rFonts w:hint="eastAsia" w:ascii="宋体" w:hAnsi="宋体" w:cs="宋体"/>
                <w:szCs w:val="21"/>
              </w:rPr>
            </w:pPr>
            <w:r>
              <w:rPr>
                <w:rFonts w:hint="eastAsia" w:ascii="宋体" w:hAnsi="宋体" w:eastAsia="宋体" w:cs="宋体"/>
                <w:i w:val="0"/>
                <w:iCs w:val="0"/>
                <w:color w:val="000000"/>
                <w:kern w:val="0"/>
                <w:sz w:val="18"/>
                <w:szCs w:val="18"/>
                <w:u w:val="none"/>
                <w:lang w:val="en-US" w:eastAsia="zh-CN" w:bidi="ar"/>
              </w:rPr>
              <w:t>应急处置人工</w:t>
            </w:r>
          </w:p>
        </w:tc>
        <w:tc>
          <w:tcPr>
            <w:tcW w:w="1879" w:type="dxa"/>
            <w:noWrap w:val="0"/>
            <w:vAlign w:val="center"/>
          </w:tcPr>
          <w:p w14:paraId="492CD03A">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18"/>
                <w:szCs w:val="18"/>
                <w:u w:val="none"/>
                <w:lang w:val="en-US" w:eastAsia="zh-CN" w:bidi="ar"/>
              </w:rPr>
              <w:t>工日</w:t>
            </w:r>
          </w:p>
        </w:tc>
      </w:tr>
      <w:tr w14:paraId="30262E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7" w:hRule="atLeast"/>
          <w:jc w:val="center"/>
        </w:trPr>
        <w:tc>
          <w:tcPr>
            <w:tcW w:w="2030" w:type="dxa"/>
            <w:noWrap w:val="0"/>
            <w:vAlign w:val="center"/>
          </w:tcPr>
          <w:p w14:paraId="1BDCB0AB">
            <w:pPr>
              <w:keepNext w:val="0"/>
              <w:keepLines w:val="0"/>
              <w:widowControl/>
              <w:suppressLineNumbers w:val="0"/>
              <w:jc w:val="center"/>
              <w:textAlignment w:val="center"/>
              <w:rPr>
                <w:rFonts w:hint="eastAsia" w:ascii="宋体" w:hAnsi="宋体" w:cs="宋体"/>
                <w:szCs w:val="21"/>
              </w:rPr>
            </w:pPr>
            <w:r>
              <w:rPr>
                <w:rFonts w:hint="eastAsia" w:ascii="宋体" w:hAnsi="宋体" w:eastAsia="宋体" w:cs="宋体"/>
                <w:i w:val="0"/>
                <w:iCs w:val="0"/>
                <w:color w:val="000000"/>
                <w:kern w:val="0"/>
                <w:sz w:val="18"/>
                <w:szCs w:val="18"/>
                <w:u w:val="none"/>
                <w:lang w:val="en-US" w:eastAsia="zh-CN" w:bidi="ar"/>
              </w:rPr>
              <w:t>107-2</w:t>
            </w:r>
          </w:p>
        </w:tc>
        <w:tc>
          <w:tcPr>
            <w:tcW w:w="4946" w:type="dxa"/>
            <w:noWrap w:val="0"/>
            <w:vAlign w:val="center"/>
          </w:tcPr>
          <w:p w14:paraId="24CB50D3">
            <w:pPr>
              <w:keepNext w:val="0"/>
              <w:keepLines w:val="0"/>
              <w:widowControl/>
              <w:suppressLineNumbers w:val="0"/>
              <w:jc w:val="left"/>
              <w:textAlignment w:val="center"/>
              <w:rPr>
                <w:rFonts w:hint="eastAsia" w:ascii="宋体" w:hAnsi="宋体" w:cs="宋体"/>
                <w:szCs w:val="21"/>
              </w:rPr>
            </w:pPr>
            <w:r>
              <w:rPr>
                <w:rFonts w:hint="eastAsia" w:ascii="宋体" w:hAnsi="宋体" w:eastAsia="宋体" w:cs="宋体"/>
                <w:i w:val="0"/>
                <w:iCs w:val="0"/>
                <w:color w:val="000000"/>
                <w:kern w:val="0"/>
                <w:sz w:val="18"/>
                <w:szCs w:val="18"/>
                <w:u w:val="none"/>
                <w:lang w:val="en-US" w:eastAsia="zh-CN" w:bidi="ar"/>
              </w:rPr>
              <w:t>应急保畅及设备的使用费</w:t>
            </w:r>
          </w:p>
        </w:tc>
        <w:tc>
          <w:tcPr>
            <w:tcW w:w="1879" w:type="dxa"/>
            <w:noWrap w:val="0"/>
            <w:vAlign w:val="center"/>
          </w:tcPr>
          <w:p w14:paraId="61F3DEBB">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18"/>
                <w:szCs w:val="18"/>
                <w:u w:val="none"/>
                <w:lang w:val="en-US" w:eastAsia="zh-CN" w:bidi="ar"/>
              </w:rPr>
              <w:t>月</w:t>
            </w:r>
          </w:p>
        </w:tc>
      </w:tr>
      <w:tr w14:paraId="7A1175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7" w:hRule="atLeast"/>
          <w:jc w:val="center"/>
        </w:trPr>
        <w:tc>
          <w:tcPr>
            <w:tcW w:w="2030" w:type="dxa"/>
            <w:noWrap w:val="0"/>
            <w:vAlign w:val="center"/>
          </w:tcPr>
          <w:p w14:paraId="3BBDFF2B">
            <w:pPr>
              <w:keepNext w:val="0"/>
              <w:keepLines w:val="0"/>
              <w:widowControl/>
              <w:suppressLineNumbers w:val="0"/>
              <w:jc w:val="center"/>
              <w:textAlignment w:val="center"/>
              <w:rPr>
                <w:rFonts w:hint="eastAsia" w:ascii="宋体" w:hAnsi="宋体" w:cs="宋体"/>
                <w:szCs w:val="21"/>
              </w:rPr>
            </w:pPr>
            <w:r>
              <w:rPr>
                <w:rFonts w:hint="eastAsia" w:ascii="宋体" w:hAnsi="宋体" w:eastAsia="宋体" w:cs="宋体"/>
                <w:i w:val="0"/>
                <w:iCs w:val="0"/>
                <w:color w:val="000000"/>
                <w:kern w:val="0"/>
                <w:sz w:val="18"/>
                <w:szCs w:val="18"/>
                <w:u w:val="none"/>
                <w:lang w:val="en-US" w:eastAsia="zh-CN" w:bidi="ar"/>
              </w:rPr>
              <w:t>107-3</w:t>
            </w:r>
          </w:p>
        </w:tc>
        <w:tc>
          <w:tcPr>
            <w:tcW w:w="4946" w:type="dxa"/>
            <w:noWrap w:val="0"/>
            <w:vAlign w:val="center"/>
          </w:tcPr>
          <w:p w14:paraId="48C99034">
            <w:pPr>
              <w:keepNext w:val="0"/>
              <w:keepLines w:val="0"/>
              <w:widowControl/>
              <w:suppressLineNumbers w:val="0"/>
              <w:jc w:val="left"/>
              <w:textAlignment w:val="center"/>
              <w:rPr>
                <w:rFonts w:hint="eastAsia" w:ascii="宋体" w:hAnsi="宋体" w:cs="宋体"/>
                <w:szCs w:val="21"/>
              </w:rPr>
            </w:pPr>
            <w:r>
              <w:rPr>
                <w:rFonts w:hint="eastAsia" w:ascii="宋体" w:hAnsi="宋体" w:eastAsia="宋体" w:cs="宋体"/>
                <w:i w:val="0"/>
                <w:iCs w:val="0"/>
                <w:color w:val="000000"/>
                <w:kern w:val="0"/>
                <w:sz w:val="18"/>
                <w:szCs w:val="18"/>
                <w:u w:val="none"/>
                <w:lang w:val="en-US" w:eastAsia="zh-CN" w:bidi="ar"/>
              </w:rPr>
              <w:t>应急物资</w:t>
            </w:r>
          </w:p>
        </w:tc>
        <w:tc>
          <w:tcPr>
            <w:tcW w:w="1879" w:type="dxa"/>
            <w:noWrap w:val="0"/>
            <w:vAlign w:val="center"/>
          </w:tcPr>
          <w:p w14:paraId="00B026A4">
            <w:pPr>
              <w:jc w:val="center"/>
              <w:rPr>
                <w:rFonts w:hint="eastAsia"/>
              </w:rPr>
            </w:pPr>
          </w:p>
        </w:tc>
      </w:tr>
      <w:tr w14:paraId="2DEB3C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7" w:hRule="atLeast"/>
          <w:jc w:val="center"/>
        </w:trPr>
        <w:tc>
          <w:tcPr>
            <w:tcW w:w="2030" w:type="dxa"/>
            <w:noWrap w:val="0"/>
            <w:vAlign w:val="center"/>
          </w:tcPr>
          <w:p w14:paraId="797CC527">
            <w:pPr>
              <w:keepNext w:val="0"/>
              <w:keepLines w:val="0"/>
              <w:widowControl/>
              <w:suppressLineNumbers w:val="0"/>
              <w:jc w:val="center"/>
              <w:textAlignment w:val="center"/>
              <w:rPr>
                <w:rFonts w:hint="eastAsia" w:ascii="宋体" w:hAnsi="宋体" w:cs="宋体"/>
                <w:szCs w:val="21"/>
              </w:rPr>
            </w:pPr>
            <w:r>
              <w:rPr>
                <w:rFonts w:hint="eastAsia" w:ascii="宋体" w:hAnsi="宋体" w:eastAsia="宋体" w:cs="宋体"/>
                <w:i w:val="0"/>
                <w:iCs w:val="0"/>
                <w:color w:val="000000"/>
                <w:kern w:val="0"/>
                <w:sz w:val="18"/>
                <w:szCs w:val="18"/>
                <w:u w:val="none"/>
                <w:lang w:val="en-US" w:eastAsia="zh-CN" w:bidi="ar"/>
              </w:rPr>
              <w:t>-a</w:t>
            </w:r>
          </w:p>
        </w:tc>
        <w:tc>
          <w:tcPr>
            <w:tcW w:w="4946" w:type="dxa"/>
            <w:noWrap w:val="0"/>
            <w:vAlign w:val="center"/>
          </w:tcPr>
          <w:p w14:paraId="0ABAD179">
            <w:pPr>
              <w:keepNext w:val="0"/>
              <w:keepLines w:val="0"/>
              <w:widowControl/>
              <w:suppressLineNumbers w:val="0"/>
              <w:jc w:val="left"/>
              <w:textAlignment w:val="center"/>
              <w:rPr>
                <w:rFonts w:hint="eastAsia" w:ascii="宋体" w:hAnsi="宋体" w:cs="宋体"/>
                <w:szCs w:val="21"/>
              </w:rPr>
            </w:pPr>
            <w:r>
              <w:rPr>
                <w:rFonts w:hint="eastAsia" w:ascii="宋体" w:hAnsi="宋体" w:eastAsia="宋体" w:cs="宋体"/>
                <w:i w:val="0"/>
                <w:iCs w:val="0"/>
                <w:color w:val="000000"/>
                <w:kern w:val="0"/>
                <w:sz w:val="18"/>
                <w:szCs w:val="18"/>
                <w:u w:val="none"/>
                <w:lang w:val="en-US" w:eastAsia="zh-CN" w:bidi="ar"/>
              </w:rPr>
              <w:t>融雪剂</w:t>
            </w:r>
          </w:p>
        </w:tc>
        <w:tc>
          <w:tcPr>
            <w:tcW w:w="1879" w:type="dxa"/>
            <w:noWrap w:val="0"/>
            <w:vAlign w:val="center"/>
          </w:tcPr>
          <w:p w14:paraId="67863E5B">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18"/>
                <w:szCs w:val="18"/>
                <w:u w:val="none"/>
                <w:lang w:val="en-US" w:eastAsia="zh-CN" w:bidi="ar"/>
              </w:rPr>
              <w:t>吨</w:t>
            </w:r>
          </w:p>
        </w:tc>
      </w:tr>
      <w:tr w14:paraId="5CF5B4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7" w:hRule="atLeast"/>
          <w:jc w:val="center"/>
        </w:trPr>
        <w:tc>
          <w:tcPr>
            <w:tcW w:w="2030" w:type="dxa"/>
            <w:noWrap w:val="0"/>
            <w:vAlign w:val="center"/>
          </w:tcPr>
          <w:p w14:paraId="5BE42B00">
            <w:pPr>
              <w:keepNext w:val="0"/>
              <w:keepLines w:val="0"/>
              <w:widowControl/>
              <w:suppressLineNumbers w:val="0"/>
              <w:jc w:val="center"/>
              <w:textAlignment w:val="center"/>
              <w:rPr>
                <w:rFonts w:hint="eastAsia" w:ascii="宋体" w:hAnsi="宋体" w:cs="宋体"/>
                <w:szCs w:val="21"/>
              </w:rPr>
            </w:pPr>
            <w:r>
              <w:rPr>
                <w:rFonts w:hint="eastAsia" w:ascii="宋体" w:hAnsi="宋体" w:eastAsia="宋体" w:cs="宋体"/>
                <w:i w:val="0"/>
                <w:iCs w:val="0"/>
                <w:color w:val="000000"/>
                <w:kern w:val="0"/>
                <w:sz w:val="18"/>
                <w:szCs w:val="18"/>
                <w:u w:val="none"/>
                <w:lang w:val="en-US" w:eastAsia="zh-CN" w:bidi="ar"/>
              </w:rPr>
              <w:t>-b</w:t>
            </w:r>
          </w:p>
        </w:tc>
        <w:tc>
          <w:tcPr>
            <w:tcW w:w="4946" w:type="dxa"/>
            <w:noWrap w:val="0"/>
            <w:vAlign w:val="center"/>
          </w:tcPr>
          <w:p w14:paraId="74E1E43C">
            <w:pPr>
              <w:keepNext w:val="0"/>
              <w:keepLines w:val="0"/>
              <w:widowControl/>
              <w:suppressLineNumbers w:val="0"/>
              <w:jc w:val="left"/>
              <w:textAlignment w:val="center"/>
              <w:rPr>
                <w:rFonts w:hint="eastAsia" w:ascii="宋体" w:hAnsi="宋体" w:cs="宋体"/>
                <w:szCs w:val="21"/>
              </w:rPr>
            </w:pPr>
            <w:r>
              <w:rPr>
                <w:rFonts w:hint="eastAsia" w:ascii="宋体" w:hAnsi="宋体" w:eastAsia="宋体" w:cs="宋体"/>
                <w:i w:val="0"/>
                <w:iCs w:val="0"/>
                <w:color w:val="000000"/>
                <w:kern w:val="0"/>
                <w:sz w:val="18"/>
                <w:szCs w:val="18"/>
                <w:u w:val="none"/>
                <w:lang w:val="en-US" w:eastAsia="zh-CN" w:bidi="ar"/>
              </w:rPr>
              <w:t>草包</w:t>
            </w:r>
          </w:p>
        </w:tc>
        <w:tc>
          <w:tcPr>
            <w:tcW w:w="1879" w:type="dxa"/>
            <w:noWrap w:val="0"/>
            <w:vAlign w:val="center"/>
          </w:tcPr>
          <w:p w14:paraId="33339DAB">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18"/>
                <w:szCs w:val="18"/>
                <w:u w:val="none"/>
                <w:lang w:val="en-US" w:eastAsia="zh-CN" w:bidi="ar"/>
              </w:rPr>
              <w:t>个</w:t>
            </w:r>
          </w:p>
        </w:tc>
      </w:tr>
      <w:tr w14:paraId="42AD85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7" w:hRule="atLeast"/>
          <w:jc w:val="center"/>
        </w:trPr>
        <w:tc>
          <w:tcPr>
            <w:tcW w:w="2030" w:type="dxa"/>
            <w:noWrap w:val="0"/>
            <w:vAlign w:val="center"/>
          </w:tcPr>
          <w:p w14:paraId="2B772AF3">
            <w:pPr>
              <w:keepNext w:val="0"/>
              <w:keepLines w:val="0"/>
              <w:widowControl/>
              <w:suppressLineNumbers w:val="0"/>
              <w:jc w:val="center"/>
              <w:textAlignment w:val="center"/>
              <w:rPr>
                <w:rFonts w:hint="eastAsia" w:ascii="宋体" w:hAnsi="宋体" w:cs="宋体"/>
                <w:szCs w:val="21"/>
              </w:rPr>
            </w:pPr>
            <w:r>
              <w:rPr>
                <w:rFonts w:hint="eastAsia" w:ascii="宋体" w:hAnsi="宋体" w:eastAsia="宋体" w:cs="宋体"/>
                <w:i w:val="0"/>
                <w:iCs w:val="0"/>
                <w:color w:val="000000"/>
                <w:kern w:val="0"/>
                <w:sz w:val="18"/>
                <w:szCs w:val="18"/>
                <w:u w:val="none"/>
                <w:lang w:val="en-US" w:eastAsia="zh-CN" w:bidi="ar"/>
              </w:rPr>
              <w:t>-c</w:t>
            </w:r>
          </w:p>
        </w:tc>
        <w:tc>
          <w:tcPr>
            <w:tcW w:w="4946" w:type="dxa"/>
            <w:noWrap w:val="0"/>
            <w:vAlign w:val="center"/>
          </w:tcPr>
          <w:p w14:paraId="5F7EA380">
            <w:pPr>
              <w:keepNext w:val="0"/>
              <w:keepLines w:val="0"/>
              <w:widowControl/>
              <w:suppressLineNumbers w:val="0"/>
              <w:jc w:val="left"/>
              <w:textAlignment w:val="center"/>
              <w:rPr>
                <w:rFonts w:hint="eastAsia" w:ascii="宋体" w:hAnsi="宋体" w:cs="宋体"/>
                <w:szCs w:val="21"/>
              </w:rPr>
            </w:pPr>
            <w:r>
              <w:rPr>
                <w:rFonts w:hint="eastAsia" w:ascii="宋体" w:hAnsi="宋体" w:eastAsia="宋体" w:cs="宋体"/>
                <w:i w:val="0"/>
                <w:iCs w:val="0"/>
                <w:color w:val="000000"/>
                <w:kern w:val="0"/>
                <w:sz w:val="18"/>
                <w:szCs w:val="18"/>
                <w:u w:val="none"/>
                <w:lang w:val="en-US" w:eastAsia="zh-CN" w:bidi="ar"/>
              </w:rPr>
              <w:t>石粉</w:t>
            </w:r>
          </w:p>
        </w:tc>
        <w:tc>
          <w:tcPr>
            <w:tcW w:w="1879" w:type="dxa"/>
            <w:noWrap w:val="0"/>
            <w:vAlign w:val="center"/>
          </w:tcPr>
          <w:p w14:paraId="7498326F">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18"/>
                <w:szCs w:val="18"/>
                <w:u w:val="none"/>
                <w:lang w:val="en-US" w:eastAsia="zh-CN" w:bidi="ar"/>
              </w:rPr>
              <w:t>吨</w:t>
            </w:r>
          </w:p>
        </w:tc>
      </w:tr>
      <w:tr w14:paraId="2B4369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7" w:hRule="atLeast"/>
          <w:jc w:val="center"/>
        </w:trPr>
        <w:tc>
          <w:tcPr>
            <w:tcW w:w="2030" w:type="dxa"/>
            <w:noWrap w:val="0"/>
            <w:vAlign w:val="center"/>
          </w:tcPr>
          <w:p w14:paraId="4F56212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-d</w:t>
            </w:r>
          </w:p>
        </w:tc>
        <w:tc>
          <w:tcPr>
            <w:tcW w:w="4946" w:type="dxa"/>
            <w:noWrap w:val="0"/>
            <w:vAlign w:val="center"/>
          </w:tcPr>
          <w:p w14:paraId="46AD8986">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铁锹</w:t>
            </w:r>
          </w:p>
        </w:tc>
        <w:tc>
          <w:tcPr>
            <w:tcW w:w="1879" w:type="dxa"/>
            <w:noWrap w:val="0"/>
            <w:vAlign w:val="center"/>
          </w:tcPr>
          <w:p w14:paraId="6ED583E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把</w:t>
            </w:r>
          </w:p>
        </w:tc>
      </w:tr>
    </w:tbl>
    <w:p w14:paraId="0220BED0">
      <w:pPr>
        <w:spacing w:line="360" w:lineRule="auto"/>
        <w:ind w:firstLine="420" w:firstLineChars="200"/>
        <w:rPr>
          <w:rFonts w:hint="eastAsia" w:ascii="宋体" w:hAnsi="宋体"/>
          <w:szCs w:val="21"/>
        </w:rPr>
      </w:pPr>
    </w:p>
    <w:p w14:paraId="35A62734">
      <w:pPr>
        <w:tabs>
          <w:tab w:val="left" w:pos="3120"/>
        </w:tabs>
        <w:spacing w:line="360" w:lineRule="auto"/>
        <w:ind w:firstLine="420" w:firstLineChars="200"/>
      </w:pPr>
    </w:p>
    <w:p w14:paraId="1EE9C7C2">
      <w:pPr>
        <w:tabs>
          <w:tab w:val="left" w:pos="3120"/>
        </w:tabs>
        <w:spacing w:line="360" w:lineRule="auto"/>
        <w:ind w:firstLine="420" w:firstLineChars="200"/>
        <w:rPr>
          <w:rFonts w:hint="eastAsia"/>
        </w:rPr>
      </w:pPr>
    </w:p>
    <w:bookmarkEnd w:id="106"/>
    <w:bookmarkEnd w:id="107"/>
    <w:p w14:paraId="358A2257">
      <w:pPr>
        <w:jc w:val="center"/>
        <w:outlineLvl w:val="2"/>
        <w:rPr>
          <w:rFonts w:hint="eastAsia" w:ascii="黑体" w:hAnsi="宋体" w:eastAsia="黑体"/>
          <w:sz w:val="44"/>
        </w:rPr>
      </w:pPr>
      <w:bookmarkStart w:id="186" w:name="_Toc496620404"/>
      <w:bookmarkStart w:id="187" w:name="_Toc87531998"/>
      <w:bookmarkStart w:id="188" w:name="_Toc496619705"/>
      <w:r>
        <w:rPr>
          <w:rFonts w:hint="eastAsia" w:ascii="黑体" w:hAnsi="宋体" w:eastAsia="黑体"/>
          <w:sz w:val="44"/>
        </w:rPr>
        <w:t>第200章  路    基</w:t>
      </w:r>
      <w:bookmarkEnd w:id="186"/>
      <w:bookmarkEnd w:id="187"/>
      <w:bookmarkEnd w:id="188"/>
    </w:p>
    <w:p w14:paraId="17FF531A">
      <w:pPr>
        <w:tabs>
          <w:tab w:val="left" w:pos="3120"/>
        </w:tabs>
        <w:jc w:val="center"/>
        <w:rPr>
          <w:rFonts w:hint="eastAsia" w:ascii="黑体" w:eastAsia="黑体"/>
          <w:sz w:val="32"/>
        </w:rPr>
      </w:pPr>
      <w:bookmarkStart w:id="189" w:name="_Toc306811457"/>
      <w:bookmarkStart w:id="190" w:name="_Toc242940961"/>
      <w:bookmarkStart w:id="191" w:name="_Toc247705125"/>
      <w:r>
        <w:rPr>
          <w:rFonts w:hint="eastAsia" w:ascii="黑体" w:eastAsia="黑体"/>
          <w:sz w:val="32"/>
        </w:rPr>
        <w:t>第</w:t>
      </w:r>
      <w:r>
        <w:rPr>
          <w:rFonts w:hint="eastAsia" w:eastAsia="黑体"/>
          <w:sz w:val="32"/>
        </w:rPr>
        <w:t>2</w:t>
      </w:r>
      <w:r>
        <w:rPr>
          <w:rFonts w:eastAsia="黑体"/>
          <w:sz w:val="32"/>
        </w:rPr>
        <w:t>0</w:t>
      </w:r>
      <w:r>
        <w:rPr>
          <w:rFonts w:hint="eastAsia" w:eastAsia="黑体"/>
          <w:sz w:val="32"/>
        </w:rPr>
        <w:t>2</w:t>
      </w:r>
      <w:r>
        <w:rPr>
          <w:rFonts w:hint="eastAsia" w:ascii="黑体" w:eastAsia="黑体"/>
          <w:sz w:val="32"/>
        </w:rPr>
        <w:t>节  维  修</w:t>
      </w:r>
    </w:p>
    <w:p w14:paraId="33E63B57">
      <w:pPr>
        <w:tabs>
          <w:tab w:val="left" w:pos="3120"/>
        </w:tabs>
        <w:spacing w:line="360" w:lineRule="auto"/>
        <w:outlineLvl w:val="0"/>
        <w:rPr>
          <w:rFonts w:hint="eastAsia" w:eastAsia="黑体"/>
          <w:sz w:val="28"/>
          <w:szCs w:val="28"/>
        </w:rPr>
      </w:pPr>
      <w:bookmarkStart w:id="192" w:name="_Toc87531999"/>
      <w:r>
        <w:rPr>
          <w:rFonts w:hint="eastAsia" w:eastAsia="黑体"/>
          <w:sz w:val="28"/>
          <w:szCs w:val="28"/>
        </w:rPr>
        <w:t>202.07计量支付</w:t>
      </w:r>
      <w:bookmarkEnd w:id="192"/>
    </w:p>
    <w:p w14:paraId="5F494903">
      <w:pPr>
        <w:tabs>
          <w:tab w:val="left" w:pos="3120"/>
        </w:tabs>
        <w:spacing w:line="360" w:lineRule="auto"/>
        <w:rPr>
          <w:rFonts w:hint="eastAsia"/>
        </w:rPr>
      </w:pPr>
      <w:r>
        <w:rPr>
          <w:rFonts w:hint="eastAsia"/>
        </w:rPr>
        <w:t>1.计量</w:t>
      </w:r>
    </w:p>
    <w:p w14:paraId="3516DE8A">
      <w:pPr>
        <w:tabs>
          <w:tab w:val="left" w:pos="3120"/>
        </w:tabs>
        <w:spacing w:line="360" w:lineRule="auto"/>
        <w:rPr>
          <w:rFonts w:hint="eastAsia"/>
        </w:rPr>
      </w:pPr>
      <w:r>
        <w:rPr>
          <w:rFonts w:hint="eastAsia"/>
        </w:rPr>
        <w:t>增加第（5）条：</w:t>
      </w:r>
    </w:p>
    <w:p w14:paraId="323E8362">
      <w:pPr>
        <w:tabs>
          <w:tab w:val="left" w:pos="3120"/>
        </w:tabs>
        <w:spacing w:line="360" w:lineRule="auto"/>
        <w:rPr>
          <w:rFonts w:hint="eastAsia"/>
        </w:rPr>
      </w:pPr>
      <w:r>
        <w:rPr>
          <w:rFonts w:hint="eastAsia"/>
        </w:rPr>
        <w:t>（5）宕渣按实际完成并经碾压后的工程量以m</w:t>
      </w:r>
      <w:r>
        <w:rPr>
          <w:rFonts w:hint="eastAsia"/>
          <w:vertAlign w:val="superscript"/>
        </w:rPr>
        <w:t>3</w:t>
      </w:r>
      <w:r>
        <w:rPr>
          <w:rFonts w:hint="eastAsia"/>
        </w:rPr>
        <w:t>计量。</w:t>
      </w:r>
    </w:p>
    <w:p w14:paraId="02DBD358">
      <w:pPr>
        <w:tabs>
          <w:tab w:val="left" w:pos="3120"/>
        </w:tabs>
        <w:spacing w:line="360" w:lineRule="auto"/>
        <w:rPr>
          <w:rFonts w:hint="eastAsia"/>
        </w:rPr>
      </w:pPr>
      <w:r>
        <w:rPr>
          <w:rFonts w:hint="eastAsia"/>
        </w:rPr>
        <w:t>3.支付子目</w:t>
      </w:r>
    </w:p>
    <w:tbl>
      <w:tblPr>
        <w:tblStyle w:val="5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30"/>
        <w:gridCol w:w="4946"/>
        <w:gridCol w:w="1879"/>
      </w:tblGrid>
      <w:tr w14:paraId="38065B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7" w:hRule="atLeast"/>
          <w:jc w:val="center"/>
        </w:trPr>
        <w:tc>
          <w:tcPr>
            <w:tcW w:w="2030" w:type="dxa"/>
            <w:noWrap w:val="0"/>
            <w:vAlign w:val="center"/>
          </w:tcPr>
          <w:p w14:paraId="50C18AFA">
            <w:pPr>
              <w:spacing w:line="260" w:lineRule="exact"/>
              <w:jc w:val="center"/>
              <w:rPr>
                <w:rFonts w:hint="eastAsia"/>
                <w:sz w:val="18"/>
                <w:szCs w:val="18"/>
              </w:rPr>
            </w:pPr>
            <w:r>
              <w:rPr>
                <w:rFonts w:hint="eastAsia"/>
                <w:sz w:val="18"/>
                <w:szCs w:val="18"/>
              </w:rPr>
              <w:t>子目号</w:t>
            </w:r>
          </w:p>
        </w:tc>
        <w:tc>
          <w:tcPr>
            <w:tcW w:w="4946" w:type="dxa"/>
            <w:noWrap w:val="0"/>
            <w:vAlign w:val="center"/>
          </w:tcPr>
          <w:p w14:paraId="3570E591">
            <w:pPr>
              <w:spacing w:line="260" w:lineRule="exact"/>
              <w:jc w:val="center"/>
              <w:rPr>
                <w:rFonts w:hint="eastAsia"/>
                <w:sz w:val="18"/>
                <w:szCs w:val="18"/>
              </w:rPr>
            </w:pPr>
            <w:r>
              <w:rPr>
                <w:rFonts w:hint="eastAsia"/>
                <w:sz w:val="18"/>
                <w:szCs w:val="18"/>
              </w:rPr>
              <w:t>子目名称</w:t>
            </w:r>
          </w:p>
        </w:tc>
        <w:tc>
          <w:tcPr>
            <w:tcW w:w="1879" w:type="dxa"/>
            <w:noWrap w:val="0"/>
            <w:vAlign w:val="center"/>
          </w:tcPr>
          <w:p w14:paraId="601D103A">
            <w:pPr>
              <w:spacing w:line="260" w:lineRule="exact"/>
              <w:jc w:val="center"/>
              <w:rPr>
                <w:rFonts w:hint="eastAsia"/>
                <w:sz w:val="18"/>
                <w:szCs w:val="18"/>
              </w:rPr>
            </w:pPr>
            <w:r>
              <w:rPr>
                <w:rFonts w:hint="eastAsia"/>
                <w:sz w:val="18"/>
                <w:szCs w:val="18"/>
              </w:rPr>
              <w:t>单 位</w:t>
            </w:r>
          </w:p>
        </w:tc>
      </w:tr>
      <w:tr w14:paraId="0742EE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7" w:hRule="atLeast"/>
          <w:jc w:val="center"/>
        </w:trPr>
        <w:tc>
          <w:tcPr>
            <w:tcW w:w="2030" w:type="dxa"/>
            <w:noWrap w:val="0"/>
            <w:vAlign w:val="center"/>
          </w:tcPr>
          <w:p w14:paraId="241597C2">
            <w:pPr>
              <w:spacing w:line="260" w:lineRule="exact"/>
              <w:jc w:val="center"/>
              <w:rPr>
                <w:rFonts w:hint="eastAsia" w:ascii="宋体" w:hAnsi="宋体" w:cs="宋体"/>
                <w:szCs w:val="21"/>
              </w:rPr>
            </w:pPr>
            <w:r>
              <w:rPr>
                <w:rFonts w:hint="eastAsia" w:ascii="宋体" w:hAnsi="宋体" w:cs="宋体"/>
                <w:szCs w:val="21"/>
              </w:rPr>
              <w:t>202-8</w:t>
            </w:r>
          </w:p>
        </w:tc>
        <w:tc>
          <w:tcPr>
            <w:tcW w:w="4946" w:type="dxa"/>
            <w:noWrap w:val="0"/>
            <w:vAlign w:val="center"/>
          </w:tcPr>
          <w:p w14:paraId="4ECB76A8">
            <w:pPr>
              <w:spacing w:line="260" w:lineRule="exact"/>
              <w:ind w:left="105" w:leftChars="50"/>
              <w:rPr>
                <w:rFonts w:hint="eastAsia" w:ascii="宋体" w:hAnsi="宋体" w:cs="宋体"/>
                <w:szCs w:val="21"/>
              </w:rPr>
            </w:pPr>
            <w:r>
              <w:rPr>
                <w:rFonts w:hint="eastAsia" w:ascii="宋体" w:hAnsi="宋体" w:cs="宋体"/>
                <w:szCs w:val="21"/>
              </w:rPr>
              <w:t>宕渣</w:t>
            </w:r>
          </w:p>
        </w:tc>
        <w:tc>
          <w:tcPr>
            <w:tcW w:w="1879" w:type="dxa"/>
            <w:noWrap w:val="0"/>
            <w:vAlign w:val="center"/>
          </w:tcPr>
          <w:p w14:paraId="23B07891">
            <w:pPr>
              <w:spacing w:line="260" w:lineRule="exact"/>
              <w:jc w:val="center"/>
              <w:rPr>
                <w:rFonts w:hint="eastAsia" w:ascii="宋体" w:hAnsi="宋体" w:cs="宋体"/>
                <w:szCs w:val="21"/>
              </w:rPr>
            </w:pPr>
            <w:r>
              <w:rPr>
                <w:rFonts w:hint="eastAsia"/>
              </w:rPr>
              <w:t>m3</w:t>
            </w:r>
          </w:p>
        </w:tc>
      </w:tr>
    </w:tbl>
    <w:p w14:paraId="4517474C">
      <w:pPr>
        <w:tabs>
          <w:tab w:val="left" w:pos="3120"/>
        </w:tabs>
        <w:spacing w:line="360" w:lineRule="exact"/>
        <w:rPr>
          <w:rFonts w:hint="eastAsia"/>
        </w:rPr>
      </w:pPr>
    </w:p>
    <w:p w14:paraId="3E5734E7">
      <w:pPr>
        <w:jc w:val="center"/>
        <w:outlineLvl w:val="2"/>
        <w:rPr>
          <w:rFonts w:hint="eastAsia" w:ascii="方正姚体" w:eastAsia="方正姚体"/>
          <w:sz w:val="32"/>
        </w:rPr>
      </w:pPr>
      <w:bookmarkStart w:id="193" w:name="_Toc28590"/>
      <w:bookmarkStart w:id="194" w:name="_Toc496620405"/>
      <w:bookmarkStart w:id="195" w:name="_Toc496619706"/>
      <w:bookmarkStart w:id="196" w:name="_Toc435864344"/>
      <w:bookmarkStart w:id="197" w:name="_Toc87532000"/>
      <w:bookmarkStart w:id="198" w:name="_Toc394582544"/>
      <w:r>
        <w:rPr>
          <w:rFonts w:hint="eastAsia" w:ascii="黑体" w:hAnsi="宋体" w:eastAsia="黑体"/>
          <w:sz w:val="44"/>
        </w:rPr>
        <w:t>第</w:t>
      </w:r>
      <w:r>
        <w:rPr>
          <w:rFonts w:eastAsia="黑体"/>
          <w:sz w:val="44"/>
        </w:rPr>
        <w:t>300</w:t>
      </w:r>
      <w:r>
        <w:rPr>
          <w:rFonts w:hint="eastAsia" w:ascii="黑体" w:hAnsi="宋体" w:eastAsia="黑体"/>
          <w:sz w:val="44"/>
        </w:rPr>
        <w:t>章  路    面</w:t>
      </w:r>
      <w:bookmarkEnd w:id="193"/>
      <w:bookmarkEnd w:id="194"/>
      <w:bookmarkEnd w:id="195"/>
      <w:bookmarkEnd w:id="196"/>
      <w:bookmarkEnd w:id="197"/>
      <w:bookmarkEnd w:id="198"/>
    </w:p>
    <w:p w14:paraId="47E5814C">
      <w:pPr>
        <w:tabs>
          <w:tab w:val="left" w:pos="3120"/>
        </w:tabs>
        <w:jc w:val="center"/>
        <w:rPr>
          <w:rFonts w:hint="eastAsia" w:ascii="黑体" w:eastAsia="黑体"/>
          <w:sz w:val="32"/>
        </w:rPr>
      </w:pPr>
    </w:p>
    <w:p w14:paraId="04B2EB77">
      <w:pPr>
        <w:tabs>
          <w:tab w:val="left" w:pos="3120"/>
        </w:tabs>
        <w:jc w:val="center"/>
        <w:rPr>
          <w:rFonts w:hint="eastAsia" w:ascii="黑体" w:eastAsia="黑体"/>
          <w:sz w:val="32"/>
        </w:rPr>
      </w:pPr>
      <w:r>
        <w:rPr>
          <w:rFonts w:hint="eastAsia" w:ascii="黑体" w:eastAsia="黑体"/>
          <w:sz w:val="32"/>
        </w:rPr>
        <w:t>第</w:t>
      </w:r>
      <w:r>
        <w:rPr>
          <w:rFonts w:eastAsia="黑体"/>
          <w:sz w:val="32"/>
        </w:rPr>
        <w:t>30</w:t>
      </w:r>
      <w:r>
        <w:rPr>
          <w:rFonts w:hint="eastAsia" w:eastAsia="黑体"/>
          <w:sz w:val="32"/>
        </w:rPr>
        <w:t>2</w:t>
      </w:r>
      <w:r>
        <w:rPr>
          <w:rFonts w:hint="eastAsia" w:ascii="黑体" w:eastAsia="黑体"/>
          <w:sz w:val="32"/>
        </w:rPr>
        <w:t>节  维  修</w:t>
      </w:r>
    </w:p>
    <w:p w14:paraId="6DF7B5D5">
      <w:pPr>
        <w:spacing w:before="120" w:beforeLines="50" w:after="120" w:afterLines="50" w:line="360" w:lineRule="exact"/>
        <w:jc w:val="left"/>
        <w:rPr>
          <w:rFonts w:hint="eastAsia"/>
          <w:sz w:val="28"/>
          <w:szCs w:val="28"/>
        </w:rPr>
      </w:pPr>
      <w:r>
        <w:rPr>
          <w:rFonts w:hint="eastAsia"/>
          <w:b/>
          <w:sz w:val="28"/>
          <w:szCs w:val="28"/>
        </w:rPr>
        <w:t>302</w:t>
      </w:r>
      <w:r>
        <w:rPr>
          <w:b/>
          <w:sz w:val="28"/>
          <w:szCs w:val="28"/>
        </w:rPr>
        <w:t>.0</w:t>
      </w:r>
      <w:r>
        <w:rPr>
          <w:rFonts w:hint="eastAsia"/>
          <w:b/>
          <w:sz w:val="28"/>
          <w:szCs w:val="28"/>
        </w:rPr>
        <w:t>2</w:t>
      </w:r>
      <w:r>
        <w:rPr>
          <w:b/>
          <w:sz w:val="28"/>
          <w:szCs w:val="28"/>
        </w:rPr>
        <w:t xml:space="preserve">  </w:t>
      </w:r>
      <w:r>
        <w:rPr>
          <w:rFonts w:hint="eastAsia" w:ascii="黑体" w:eastAsia="黑体"/>
          <w:sz w:val="28"/>
          <w:szCs w:val="28"/>
        </w:rPr>
        <w:t>水泥混凝土路面病害的维修</w:t>
      </w:r>
    </w:p>
    <w:p w14:paraId="4F668CCA">
      <w:pPr>
        <w:spacing w:line="360" w:lineRule="exact"/>
        <w:ind w:firstLine="420" w:firstLineChars="200"/>
        <w:jc w:val="left"/>
        <w:rPr>
          <w:rFonts w:ascii="宋体" w:hAnsi="宋体"/>
          <w:szCs w:val="21"/>
        </w:rPr>
      </w:pPr>
      <w:r>
        <w:rPr>
          <w:rFonts w:ascii="宋体" w:hAnsi="宋体"/>
          <w:szCs w:val="21"/>
        </w:rPr>
        <w:t>1．水泥混凝土路面的接缝应保持完好，表面平顺。保养及填缝料更换应符合下列要求：</w:t>
      </w:r>
    </w:p>
    <w:p w14:paraId="1FE3C33E">
      <w:pPr>
        <w:spacing w:line="360" w:lineRule="exact"/>
        <w:ind w:firstLine="420" w:firstLineChars="200"/>
        <w:jc w:val="left"/>
        <w:rPr>
          <w:rFonts w:ascii="宋体" w:hAnsi="宋体"/>
          <w:szCs w:val="21"/>
        </w:rPr>
      </w:pPr>
      <w:r>
        <w:rPr>
          <w:rFonts w:ascii="宋体" w:hAnsi="宋体"/>
          <w:szCs w:val="21"/>
        </w:rPr>
        <w:t>（1）填缝料凸出板面，高速公路、一级公路超出3mm，其它等级公路超过5mm时应铲平；</w:t>
      </w:r>
    </w:p>
    <w:p w14:paraId="725D4D2B">
      <w:pPr>
        <w:spacing w:line="360" w:lineRule="exact"/>
        <w:ind w:firstLine="420" w:firstLineChars="200"/>
        <w:jc w:val="left"/>
        <w:rPr>
          <w:rFonts w:ascii="宋体" w:hAnsi="宋体"/>
          <w:szCs w:val="21"/>
        </w:rPr>
      </w:pPr>
      <w:r>
        <w:rPr>
          <w:rFonts w:ascii="宋体" w:hAnsi="宋体"/>
          <w:szCs w:val="21"/>
        </w:rPr>
        <w:t>（2）填缝料外溢流淌到接缝两侧面板，影响路面平整度和路容时应予清除；</w:t>
      </w:r>
    </w:p>
    <w:p w14:paraId="2DCE7282">
      <w:pPr>
        <w:spacing w:line="360" w:lineRule="exact"/>
        <w:ind w:firstLine="420" w:firstLineChars="200"/>
        <w:jc w:val="left"/>
        <w:rPr>
          <w:rFonts w:ascii="宋体" w:hAnsi="宋体"/>
          <w:szCs w:val="21"/>
        </w:rPr>
      </w:pPr>
      <w:r>
        <w:rPr>
          <w:rFonts w:ascii="宋体" w:hAnsi="宋体"/>
          <w:szCs w:val="21"/>
        </w:rPr>
        <w:t>（3）杂物嵌入接缝时应予清除，若杂物系小石块及其它坚硬物时，应及时剔除。</w:t>
      </w:r>
    </w:p>
    <w:p w14:paraId="6EE86ADB">
      <w:pPr>
        <w:spacing w:line="360" w:lineRule="exact"/>
        <w:ind w:firstLine="420" w:firstLineChars="200"/>
        <w:jc w:val="left"/>
        <w:rPr>
          <w:rFonts w:ascii="宋体" w:hAnsi="宋体"/>
          <w:szCs w:val="21"/>
        </w:rPr>
      </w:pPr>
      <w:r>
        <w:rPr>
          <w:rFonts w:ascii="宋体" w:hAnsi="宋体"/>
          <w:szCs w:val="21"/>
        </w:rPr>
        <w:t>（4）应对填缝料进行周期性或日常性的更换。更换周期一般为2～3年；如填缝料局部脱落时应进行灌缝填补；填缝料脱落缺失大于三分之一缝长或填缝料老化、接缝渗水严重时应立即进行整条接缝的填缝料更换，更换前应清除原接缝内的填缝料和杂物，新灌注填缝料时应做到饱满、密实、粘结牢固；</w:t>
      </w:r>
    </w:p>
    <w:p w14:paraId="181807DB">
      <w:pPr>
        <w:spacing w:line="360" w:lineRule="exact"/>
        <w:ind w:firstLine="420" w:firstLineChars="200"/>
        <w:jc w:val="left"/>
        <w:rPr>
          <w:rFonts w:ascii="宋体" w:hAnsi="宋体"/>
          <w:szCs w:val="21"/>
        </w:rPr>
      </w:pPr>
      <w:r>
        <w:rPr>
          <w:rFonts w:ascii="宋体" w:hAnsi="宋体"/>
          <w:szCs w:val="21"/>
        </w:rPr>
        <w:t>（5）填缝料技术要求应符合《公路水泥混凝土路面养护技术规范》（JTJ 073.1-2001）附录A.2的规定。</w:t>
      </w:r>
    </w:p>
    <w:p w14:paraId="1C79F8B1">
      <w:pPr>
        <w:spacing w:line="360" w:lineRule="exact"/>
        <w:ind w:firstLine="420" w:firstLineChars="200"/>
        <w:jc w:val="left"/>
        <w:rPr>
          <w:rFonts w:ascii="宋体" w:hAnsi="宋体"/>
          <w:szCs w:val="21"/>
          <w:highlight w:val="none"/>
        </w:rPr>
      </w:pPr>
      <w:r>
        <w:rPr>
          <w:rFonts w:ascii="宋体" w:hAnsi="宋体"/>
          <w:szCs w:val="21"/>
          <w:highlight w:val="none"/>
        </w:rPr>
        <w:t>2．裂缝维修方法</w:t>
      </w:r>
    </w:p>
    <w:p w14:paraId="5BDBA21E">
      <w:pPr>
        <w:spacing w:line="450" w:lineRule="exact"/>
        <w:ind w:firstLine="405"/>
        <w:jc w:val="left"/>
        <w:rPr>
          <w:rFonts w:ascii="宋体" w:hAnsi="宋体"/>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1</w:t>
      </w:r>
      <w:r>
        <w:rPr>
          <w:rFonts w:hint="eastAsia" w:ascii="宋体" w:hAnsi="宋体"/>
          <w:color w:val="auto"/>
          <w:szCs w:val="21"/>
          <w:highlight w:val="none"/>
          <w:lang w:eastAsia="zh-CN"/>
        </w:rPr>
        <w:t>）</w:t>
      </w:r>
      <w:r>
        <w:rPr>
          <w:rFonts w:hint="eastAsia" w:ascii="宋体" w:hAnsi="宋体"/>
          <w:color w:val="auto"/>
          <w:szCs w:val="21"/>
          <w:highlight w:val="none"/>
        </w:rPr>
        <w:t>本工程维修采用机械清缝后灌缝，实际施工时不管开槽数量多少，结算时单价不作调整。</w:t>
      </w:r>
    </w:p>
    <w:p w14:paraId="5CABEF99">
      <w:pPr>
        <w:spacing w:line="450" w:lineRule="exact"/>
        <w:ind w:firstLine="405"/>
        <w:jc w:val="left"/>
        <w:rPr>
          <w:rFonts w:ascii="宋体" w:hAnsi="宋体"/>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2</w:t>
      </w:r>
      <w:r>
        <w:rPr>
          <w:rFonts w:hint="eastAsia" w:ascii="宋体" w:hAnsi="宋体"/>
          <w:color w:val="auto"/>
          <w:szCs w:val="21"/>
          <w:highlight w:val="none"/>
          <w:lang w:eastAsia="zh-CN"/>
        </w:rPr>
        <w:t>）</w:t>
      </w:r>
      <w:r>
        <w:rPr>
          <w:rFonts w:hint="eastAsia" w:ascii="宋体" w:hAnsi="宋体"/>
          <w:color w:val="auto"/>
          <w:szCs w:val="21"/>
          <w:highlight w:val="none"/>
        </w:rPr>
        <w:t>采用高压吹尘机将槽内的碎渣及裂缝两侧至少10cm范围内的灰尘彻底吹干净。</w:t>
      </w:r>
    </w:p>
    <w:p w14:paraId="6BF2DD09">
      <w:pPr>
        <w:spacing w:line="360" w:lineRule="exact"/>
        <w:ind w:firstLine="420" w:firstLineChars="200"/>
        <w:jc w:val="left"/>
        <w:rPr>
          <w:rFonts w:ascii="宋体" w:hAnsi="宋体"/>
          <w:szCs w:val="21"/>
        </w:rPr>
      </w:pPr>
      <w:r>
        <w:rPr>
          <w:rFonts w:ascii="宋体" w:hAnsi="宋体"/>
          <w:szCs w:val="21"/>
        </w:rPr>
        <w:t>3．板边、板角修补</w:t>
      </w:r>
    </w:p>
    <w:p w14:paraId="018F68C3">
      <w:pPr>
        <w:spacing w:line="360" w:lineRule="exact"/>
        <w:ind w:firstLine="420" w:firstLineChars="200"/>
        <w:jc w:val="left"/>
        <w:rPr>
          <w:rFonts w:ascii="宋体" w:hAnsi="宋体"/>
          <w:szCs w:val="21"/>
        </w:rPr>
      </w:pPr>
      <w:r>
        <w:rPr>
          <w:rFonts w:ascii="宋体" w:hAnsi="宋体"/>
          <w:szCs w:val="21"/>
        </w:rPr>
        <w:t>（1）板边修补基本要求：</w:t>
      </w:r>
    </w:p>
    <w:p w14:paraId="12EFF85D">
      <w:pPr>
        <w:spacing w:line="360" w:lineRule="exact"/>
        <w:ind w:firstLine="420" w:firstLineChars="200"/>
        <w:jc w:val="left"/>
        <w:rPr>
          <w:rFonts w:ascii="宋体" w:hAnsi="宋体"/>
          <w:szCs w:val="21"/>
        </w:rPr>
      </w:pPr>
      <w:r>
        <w:rPr>
          <w:rFonts w:ascii="宋体" w:hAnsi="宋体"/>
          <w:szCs w:val="21"/>
        </w:rPr>
        <w:t>a．当对水泥混凝土面板轻度剥落进行修补时，应将剥落的表面清理干净，用沥青混合料或接缝材料修补平整。</w:t>
      </w:r>
    </w:p>
    <w:p w14:paraId="1E6FADF7">
      <w:pPr>
        <w:spacing w:line="360" w:lineRule="exact"/>
        <w:ind w:firstLine="420" w:firstLineChars="200"/>
        <w:jc w:val="left"/>
        <w:rPr>
          <w:rFonts w:ascii="宋体" w:hAnsi="宋体"/>
          <w:szCs w:val="21"/>
        </w:rPr>
      </w:pPr>
      <w:r>
        <w:rPr>
          <w:rFonts w:ascii="宋体" w:hAnsi="宋体"/>
          <w:szCs w:val="21"/>
        </w:rPr>
        <w:t>b．当板边严重剥落时，其修补方法参照本规范第302.02-2（2）项进行。</w:t>
      </w:r>
    </w:p>
    <w:p w14:paraId="102E07F7">
      <w:pPr>
        <w:spacing w:line="360" w:lineRule="exact"/>
        <w:ind w:firstLine="420" w:firstLineChars="200"/>
        <w:jc w:val="left"/>
        <w:rPr>
          <w:rFonts w:ascii="宋体" w:hAnsi="宋体"/>
          <w:szCs w:val="21"/>
        </w:rPr>
      </w:pPr>
      <w:r>
        <w:rPr>
          <w:rFonts w:ascii="宋体" w:hAnsi="宋体"/>
          <w:szCs w:val="21"/>
        </w:rPr>
        <w:t>c．当板边全深度破碎，其修补方法参照本规范第302.02-2（3）项进行。</w:t>
      </w:r>
    </w:p>
    <w:p w14:paraId="72974012">
      <w:pPr>
        <w:spacing w:line="360" w:lineRule="exact"/>
        <w:ind w:firstLine="420" w:firstLineChars="200"/>
        <w:jc w:val="left"/>
        <w:rPr>
          <w:rFonts w:ascii="宋体" w:hAnsi="宋体"/>
          <w:szCs w:val="21"/>
        </w:rPr>
      </w:pPr>
      <w:r>
        <w:rPr>
          <w:rFonts w:ascii="宋体" w:hAnsi="宋体"/>
          <w:szCs w:val="21"/>
        </w:rPr>
        <w:t>（2）板边修补基本要求：</w:t>
      </w:r>
    </w:p>
    <w:p w14:paraId="29133E80">
      <w:pPr>
        <w:spacing w:line="360" w:lineRule="exact"/>
        <w:ind w:firstLine="420" w:firstLineChars="200"/>
        <w:jc w:val="left"/>
        <w:rPr>
          <w:rFonts w:ascii="宋体" w:hAnsi="宋体"/>
          <w:szCs w:val="21"/>
        </w:rPr>
      </w:pPr>
      <w:r>
        <w:rPr>
          <w:rFonts w:ascii="宋体" w:hAnsi="宋体"/>
          <w:szCs w:val="21"/>
        </w:rPr>
        <w:t>a．板角断裂应按破裂面的大小确定切割范围。</w:t>
      </w:r>
    </w:p>
    <w:p w14:paraId="462FF1ED">
      <w:pPr>
        <w:spacing w:line="360" w:lineRule="exact"/>
        <w:ind w:firstLine="420" w:firstLineChars="200"/>
        <w:jc w:val="left"/>
        <w:rPr>
          <w:rFonts w:ascii="宋体" w:hAnsi="宋体"/>
          <w:szCs w:val="21"/>
        </w:rPr>
      </w:pPr>
      <w:r>
        <w:rPr>
          <w:rFonts w:ascii="宋体" w:hAnsi="宋体"/>
          <w:szCs w:val="21"/>
        </w:rPr>
        <w:t>b．切缝后凿除破损部位时，应凿成规则的垂直面。对原有钢筋不应切断，如果钢筋难以全部保留，至少也要保留20～30cm长的钢筋头，且应长短交错。</w:t>
      </w:r>
    </w:p>
    <w:p w14:paraId="537E8866">
      <w:pPr>
        <w:spacing w:line="360" w:lineRule="exact"/>
        <w:ind w:firstLine="420" w:firstLineChars="200"/>
        <w:jc w:val="left"/>
        <w:rPr>
          <w:rFonts w:ascii="宋体" w:hAnsi="宋体"/>
          <w:szCs w:val="21"/>
        </w:rPr>
      </w:pPr>
      <w:r>
        <w:rPr>
          <w:rFonts w:ascii="宋体" w:hAnsi="宋体"/>
          <w:szCs w:val="21"/>
        </w:rPr>
        <w:t>c．原有活动传力杆，如果有缺陷应予以更换并在新老混凝土之间加设传力杆，传力杆间距控制在30cm。</w:t>
      </w:r>
    </w:p>
    <w:p w14:paraId="465DD563">
      <w:pPr>
        <w:spacing w:line="360" w:lineRule="exact"/>
        <w:ind w:firstLine="420" w:firstLineChars="200"/>
        <w:jc w:val="left"/>
        <w:rPr>
          <w:rFonts w:ascii="宋体" w:hAnsi="宋体"/>
          <w:szCs w:val="21"/>
        </w:rPr>
      </w:pPr>
      <w:r>
        <w:rPr>
          <w:rFonts w:ascii="宋体" w:hAnsi="宋体"/>
          <w:szCs w:val="21"/>
        </w:rPr>
        <w:t>d．基层不良时，可采用C15号混凝土浇筑基层。</w:t>
      </w:r>
    </w:p>
    <w:p w14:paraId="7675BF0D">
      <w:pPr>
        <w:spacing w:line="360" w:lineRule="exact"/>
        <w:ind w:firstLine="420" w:firstLineChars="200"/>
        <w:jc w:val="left"/>
        <w:rPr>
          <w:rFonts w:ascii="宋体" w:hAnsi="宋体"/>
          <w:szCs w:val="21"/>
        </w:rPr>
      </w:pPr>
      <w:r>
        <w:rPr>
          <w:rFonts w:ascii="宋体" w:hAnsi="宋体"/>
          <w:szCs w:val="21"/>
        </w:rPr>
        <w:t>e．与原有路面板的接缝面应涂刷沥青。如为胀缝，应设置接缝板。</w:t>
      </w:r>
    </w:p>
    <w:p w14:paraId="5113D458">
      <w:pPr>
        <w:spacing w:line="360" w:lineRule="exact"/>
        <w:ind w:firstLine="420" w:firstLineChars="200"/>
        <w:jc w:val="left"/>
        <w:rPr>
          <w:rFonts w:ascii="宋体" w:hAnsi="宋体"/>
          <w:szCs w:val="21"/>
        </w:rPr>
      </w:pPr>
      <w:r>
        <w:rPr>
          <w:rFonts w:ascii="宋体" w:hAnsi="宋体"/>
          <w:szCs w:val="21"/>
        </w:rPr>
        <w:t>f．现浇混凝土，与老混凝土面板之间的接缝应切出宽3mm深4mm的接缝槽，并灌入填缝材料。</w:t>
      </w:r>
    </w:p>
    <w:p w14:paraId="06DEC878">
      <w:pPr>
        <w:spacing w:line="360" w:lineRule="exact"/>
        <w:ind w:firstLine="420" w:firstLineChars="200"/>
        <w:jc w:val="left"/>
        <w:rPr>
          <w:rFonts w:ascii="宋体" w:hAnsi="宋体"/>
          <w:szCs w:val="21"/>
        </w:rPr>
      </w:pPr>
      <w:bookmarkStart w:id="199" w:name="_Toc465179175"/>
      <w:bookmarkStart w:id="200" w:name="_Toc18482"/>
      <w:bookmarkStart w:id="201" w:name="_Toc465178094"/>
      <w:bookmarkStart w:id="202" w:name="_Toc435864345"/>
      <w:bookmarkStart w:id="203" w:name="_Toc465178814"/>
      <w:r>
        <w:rPr>
          <w:rFonts w:ascii="宋体" w:hAnsi="宋体"/>
          <w:szCs w:val="21"/>
        </w:rPr>
        <w:t>4．唧泥处理</w:t>
      </w:r>
      <w:bookmarkEnd w:id="199"/>
      <w:bookmarkEnd w:id="200"/>
      <w:bookmarkEnd w:id="201"/>
      <w:bookmarkEnd w:id="202"/>
      <w:bookmarkEnd w:id="203"/>
    </w:p>
    <w:p w14:paraId="78264409">
      <w:pPr>
        <w:spacing w:line="360" w:lineRule="exact"/>
        <w:ind w:firstLine="420" w:firstLineChars="200"/>
        <w:jc w:val="left"/>
        <w:rPr>
          <w:rFonts w:ascii="宋体" w:hAnsi="宋体"/>
          <w:szCs w:val="21"/>
        </w:rPr>
      </w:pPr>
      <w:r>
        <w:rPr>
          <w:rFonts w:ascii="宋体" w:hAnsi="宋体"/>
          <w:szCs w:val="21"/>
        </w:rPr>
        <w:t>（1）水泥混凝土路面唧泥病害，应结合大中修工程采取压浆办法进行处治。</w:t>
      </w:r>
    </w:p>
    <w:p w14:paraId="2169EC88">
      <w:pPr>
        <w:spacing w:line="360" w:lineRule="exact"/>
        <w:ind w:firstLine="420" w:firstLineChars="200"/>
        <w:jc w:val="left"/>
        <w:rPr>
          <w:rFonts w:ascii="宋体" w:hAnsi="宋体"/>
          <w:szCs w:val="21"/>
        </w:rPr>
      </w:pPr>
      <w:r>
        <w:rPr>
          <w:rFonts w:ascii="宋体" w:hAnsi="宋体"/>
          <w:szCs w:val="21"/>
        </w:rPr>
        <w:t>（2）水泥混凝土路面板进行压浆处理后，应对接缝及时灌缝，其要求按本规范第203.01款执行。</w:t>
      </w:r>
    </w:p>
    <w:p w14:paraId="74E743DB">
      <w:pPr>
        <w:spacing w:line="360" w:lineRule="exact"/>
        <w:ind w:firstLine="420" w:firstLineChars="200"/>
        <w:jc w:val="left"/>
        <w:rPr>
          <w:rFonts w:ascii="宋体" w:hAnsi="宋体"/>
          <w:szCs w:val="21"/>
        </w:rPr>
      </w:pPr>
      <w:r>
        <w:rPr>
          <w:rFonts w:ascii="宋体" w:hAnsi="宋体"/>
          <w:szCs w:val="21"/>
        </w:rPr>
        <w:t>（3）设置排水设施基本要求：</w:t>
      </w:r>
    </w:p>
    <w:p w14:paraId="7D4B4C10">
      <w:pPr>
        <w:spacing w:line="360" w:lineRule="exact"/>
        <w:ind w:firstLine="420" w:firstLineChars="200"/>
        <w:jc w:val="left"/>
        <w:rPr>
          <w:rFonts w:ascii="宋体" w:hAnsi="宋体"/>
          <w:szCs w:val="21"/>
        </w:rPr>
      </w:pPr>
      <w:r>
        <w:rPr>
          <w:rFonts w:ascii="宋体" w:hAnsi="宋体"/>
          <w:szCs w:val="21"/>
        </w:rPr>
        <w:t>a．路面和路肩应该保持设计横坡，宜铺设硬路肩；</w:t>
      </w:r>
    </w:p>
    <w:p w14:paraId="316C2F90">
      <w:pPr>
        <w:spacing w:line="360" w:lineRule="exact"/>
        <w:ind w:firstLine="420" w:firstLineChars="200"/>
        <w:jc w:val="left"/>
        <w:rPr>
          <w:rFonts w:ascii="宋体" w:hAnsi="宋体"/>
          <w:szCs w:val="21"/>
        </w:rPr>
      </w:pPr>
      <w:r>
        <w:rPr>
          <w:rFonts w:ascii="宋体" w:hAnsi="宋体"/>
          <w:szCs w:val="21"/>
        </w:rPr>
        <w:t>b．路面裂缝、接缝以及路面与硬路肩接缝应进行密封；</w:t>
      </w:r>
    </w:p>
    <w:p w14:paraId="1AF09E2F">
      <w:pPr>
        <w:spacing w:line="360" w:lineRule="exact"/>
        <w:ind w:firstLine="420" w:firstLineChars="200"/>
        <w:jc w:val="left"/>
        <w:rPr>
          <w:rFonts w:ascii="宋体" w:hAnsi="宋体"/>
          <w:szCs w:val="21"/>
        </w:rPr>
      </w:pPr>
      <w:r>
        <w:rPr>
          <w:rFonts w:ascii="宋体" w:hAnsi="宋体"/>
          <w:szCs w:val="21"/>
        </w:rPr>
        <w:t>c．设置纵向积水管和横向出水管。</w:t>
      </w:r>
    </w:p>
    <w:p w14:paraId="54EAF7C2">
      <w:pPr>
        <w:spacing w:line="360" w:lineRule="exact"/>
        <w:ind w:firstLine="420" w:firstLineChars="200"/>
        <w:jc w:val="left"/>
        <w:rPr>
          <w:rFonts w:ascii="宋体" w:hAnsi="宋体"/>
          <w:szCs w:val="21"/>
        </w:rPr>
      </w:pPr>
      <w:r>
        <w:rPr>
          <w:rFonts w:ascii="宋体" w:hAnsi="宋体"/>
          <w:szCs w:val="21"/>
        </w:rPr>
        <w:t>① 在水泥路面的外侧边缘挖一条纵向沟，宽约15～25cm，沟深挖至集料基层之下15cm，横沟与纵沟的交角应在45～90°之间，横沟间的距离约30m，见图302-6。</w:t>
      </w:r>
    </w:p>
    <w:p w14:paraId="44F9648F">
      <w:pPr>
        <w:spacing w:line="360" w:lineRule="exact"/>
        <w:ind w:firstLine="420" w:firstLineChars="200"/>
        <w:jc w:val="left"/>
        <w:rPr>
          <w:rFonts w:ascii="宋体" w:hAnsi="宋体"/>
          <w:szCs w:val="21"/>
        </w:rPr>
      </w:pPr>
      <w:r>
        <w:rPr>
          <w:rFonts w:ascii="宋体" w:hAnsi="宋体"/>
          <w:szCs w:val="21"/>
        </w:rPr>
        <w:t>② 积水管一般采用</w:t>
      </w:r>
      <w:r>
        <w:rPr>
          <w:rFonts w:hint="eastAsia" w:ascii="宋体" w:hAnsi="宋体"/>
          <w:szCs w:val="21"/>
        </w:rPr>
        <w:t>φ</w:t>
      </w:r>
      <w:r>
        <w:rPr>
          <w:rFonts w:ascii="宋体" w:hAnsi="宋体"/>
          <w:szCs w:val="21"/>
        </w:rPr>
        <w:t>7.5cm多孔塑料管，出水管为无孔塑料管；</w:t>
      </w:r>
    </w:p>
    <w:p w14:paraId="76169311">
      <w:pPr>
        <w:spacing w:line="360" w:lineRule="exact"/>
        <w:ind w:firstLine="420" w:firstLineChars="200"/>
        <w:jc w:val="left"/>
        <w:rPr>
          <w:rFonts w:ascii="宋体" w:hAnsi="宋体"/>
          <w:szCs w:val="21"/>
        </w:rPr>
      </w:pPr>
      <w:r>
        <w:rPr>
          <w:rFonts w:ascii="宋体" w:hAnsi="宋体"/>
          <w:szCs w:val="21"/>
        </w:rPr>
        <w:t>③ 设置纵向和横向水管，并按设计的距离将积水管和出水管连接起来；</w:t>
      </w:r>
    </w:p>
    <w:p w14:paraId="7900265F">
      <w:pPr>
        <w:spacing w:line="360" w:lineRule="exact"/>
        <w:ind w:firstLine="420" w:firstLineChars="200"/>
        <w:jc w:val="left"/>
        <w:rPr>
          <w:rFonts w:ascii="宋体" w:hAnsi="宋体"/>
          <w:szCs w:val="21"/>
        </w:rPr>
      </w:pPr>
      <w:r>
        <w:rPr>
          <w:rFonts w:ascii="宋体" w:hAnsi="宋体"/>
          <w:szCs w:val="21"/>
        </w:rPr>
        <w:t>④ 纵向多孔管应包一层渗透性较强的土工织物；</w:t>
      </w:r>
    </w:p>
    <w:p w14:paraId="463342FC">
      <w:pPr>
        <w:spacing w:line="360" w:lineRule="exact"/>
        <w:ind w:firstLine="420" w:firstLineChars="200"/>
        <w:jc w:val="left"/>
        <w:rPr>
          <w:rFonts w:ascii="宋体" w:hAnsi="宋体"/>
          <w:szCs w:val="21"/>
        </w:rPr>
      </w:pPr>
      <w:r>
        <w:rPr>
          <w:rFonts w:ascii="宋体" w:hAnsi="宋体"/>
          <w:szCs w:val="21"/>
        </w:rPr>
        <w:t>⑤ 积水管和出水管放入沟槽时，其底部应平顺，横向出水管的坡度应大于或等于纵向排水坡度，出水管的管端应延伸到排水沟内，并设端墙；</w:t>
      </w:r>
    </w:p>
    <w:p w14:paraId="1B4B79AA">
      <w:pPr>
        <w:jc w:val="center"/>
        <w:rPr>
          <w:rFonts w:ascii="宋体" w:hAnsi="宋体"/>
          <w:szCs w:val="21"/>
        </w:rPr>
      </w:pPr>
      <w:r>
        <w:rPr>
          <w:rFonts w:ascii="宋体" w:hAnsi="宋体"/>
          <w:szCs w:val="21"/>
        </w:rPr>
        <w:drawing>
          <wp:inline distT="0" distB="0" distL="114300" distR="114300">
            <wp:extent cx="3413125" cy="2422525"/>
            <wp:effectExtent l="0" t="0" r="15875" b="15875"/>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15"/>
                    <a:srcRect b="6314"/>
                    <a:stretch>
                      <a:fillRect/>
                    </a:stretch>
                  </pic:blipFill>
                  <pic:spPr>
                    <a:xfrm>
                      <a:off x="0" y="0"/>
                      <a:ext cx="3413125" cy="2422525"/>
                    </a:xfrm>
                    <a:prstGeom prst="rect">
                      <a:avLst/>
                    </a:prstGeom>
                    <a:noFill/>
                    <a:ln>
                      <a:noFill/>
                    </a:ln>
                  </pic:spPr>
                </pic:pic>
              </a:graphicData>
            </a:graphic>
          </wp:inline>
        </w:drawing>
      </w:r>
    </w:p>
    <w:p w14:paraId="4628C961">
      <w:pPr>
        <w:spacing w:after="120" w:afterLines="50" w:line="360" w:lineRule="exact"/>
        <w:jc w:val="center"/>
        <w:rPr>
          <w:rFonts w:hint="eastAsia" w:ascii="宋体" w:hAnsi="宋体"/>
          <w:szCs w:val="21"/>
        </w:rPr>
      </w:pPr>
      <w:r>
        <w:rPr>
          <w:rFonts w:hint="eastAsia" w:ascii="宋体" w:hAnsi="宋体"/>
          <w:szCs w:val="21"/>
        </w:rPr>
        <w:t>图302-6   边部排水管布置图（单位：cm）</w:t>
      </w:r>
    </w:p>
    <w:p w14:paraId="76CB9565">
      <w:pPr>
        <w:spacing w:line="360" w:lineRule="exact"/>
        <w:ind w:firstLine="420" w:firstLineChars="200"/>
        <w:jc w:val="left"/>
        <w:rPr>
          <w:rFonts w:hint="eastAsia" w:ascii="宋体" w:hAnsi="宋体"/>
          <w:szCs w:val="21"/>
        </w:rPr>
      </w:pPr>
      <w:r>
        <w:rPr>
          <w:rFonts w:hint="eastAsia" w:ascii="宋体" w:hAnsi="宋体" w:cs="宋体"/>
          <w:szCs w:val="21"/>
        </w:rPr>
        <w:t xml:space="preserve">⑥ </w:t>
      </w:r>
      <w:r>
        <w:rPr>
          <w:rFonts w:hint="eastAsia" w:ascii="宋体" w:hAnsi="宋体"/>
          <w:szCs w:val="21"/>
        </w:rPr>
        <w:t>管的外围应填放粗砂等渗滤集料，并振动压实；</w:t>
      </w:r>
    </w:p>
    <w:p w14:paraId="2DC49070">
      <w:pPr>
        <w:spacing w:line="360" w:lineRule="exact"/>
        <w:ind w:firstLine="420" w:firstLineChars="200"/>
        <w:jc w:val="left"/>
        <w:rPr>
          <w:rFonts w:hint="eastAsia" w:ascii="宋体" w:hAnsi="宋体"/>
          <w:szCs w:val="21"/>
        </w:rPr>
      </w:pPr>
      <w:r>
        <w:rPr>
          <w:rFonts w:hint="eastAsia" w:ascii="宋体" w:hAnsi="宋体" w:cs="宋体"/>
          <w:szCs w:val="21"/>
        </w:rPr>
        <w:t xml:space="preserve">⑦ </w:t>
      </w:r>
      <w:r>
        <w:rPr>
          <w:rFonts w:hint="eastAsia" w:ascii="宋体" w:hAnsi="宋体"/>
          <w:szCs w:val="21"/>
        </w:rPr>
        <w:t>回填沟槽时，应采用与原路肩相同的材料恢复原状。</w:t>
      </w:r>
    </w:p>
    <w:p w14:paraId="182A186F">
      <w:pPr>
        <w:spacing w:line="360" w:lineRule="exact"/>
        <w:ind w:firstLine="420" w:firstLineChars="200"/>
        <w:jc w:val="left"/>
        <w:rPr>
          <w:rFonts w:hint="eastAsia" w:ascii="宋体" w:hAnsi="宋体"/>
          <w:szCs w:val="21"/>
        </w:rPr>
      </w:pPr>
      <w:r>
        <w:rPr>
          <w:rFonts w:ascii="宋体" w:hAnsi="宋体"/>
          <w:szCs w:val="21"/>
        </w:rPr>
        <w:t>d</w:t>
      </w:r>
      <w:r>
        <w:rPr>
          <w:rFonts w:hint="eastAsia" w:ascii="宋体" w:hAnsi="宋体"/>
          <w:szCs w:val="21"/>
        </w:rPr>
        <w:t>．盲沟设置基本要求</w:t>
      </w:r>
    </w:p>
    <w:p w14:paraId="6543B56F">
      <w:pPr>
        <w:spacing w:line="360" w:lineRule="exact"/>
        <w:ind w:firstLine="420" w:firstLineChars="200"/>
        <w:jc w:val="left"/>
        <w:rPr>
          <w:rFonts w:hint="eastAsia" w:ascii="宋体" w:hAnsi="宋体"/>
          <w:szCs w:val="21"/>
        </w:rPr>
      </w:pPr>
      <w:r>
        <w:rPr>
          <w:rFonts w:hint="eastAsia" w:ascii="宋体" w:hAnsi="宋体" w:cs="宋体"/>
          <w:szCs w:val="21"/>
        </w:rPr>
        <w:t xml:space="preserve">① </w:t>
      </w:r>
      <w:r>
        <w:rPr>
          <w:rFonts w:hint="eastAsia" w:ascii="宋体" w:hAnsi="宋体"/>
          <w:szCs w:val="21"/>
        </w:rPr>
        <w:t>在沿水泥路面外侧挖纵向沟时，沟底应低于面板以下1</w:t>
      </w:r>
      <w:r>
        <w:rPr>
          <w:rFonts w:ascii="宋体" w:hAnsi="宋体"/>
          <w:szCs w:val="21"/>
        </w:rPr>
        <w:t>0cm</w:t>
      </w:r>
      <w:r>
        <w:rPr>
          <w:rFonts w:hint="eastAsia" w:ascii="宋体" w:hAnsi="宋体"/>
          <w:szCs w:val="21"/>
        </w:rPr>
        <w:t>，在水泥路面接缝处挖横向沟，见图302-7</w:t>
      </w:r>
    </w:p>
    <w:p w14:paraId="18377DB6">
      <w:pPr>
        <w:spacing w:line="360" w:lineRule="exact"/>
        <w:ind w:firstLine="420" w:firstLineChars="200"/>
        <w:jc w:val="left"/>
        <w:rPr>
          <w:rFonts w:hint="eastAsia" w:ascii="宋体" w:hAnsi="宋体"/>
          <w:szCs w:val="21"/>
        </w:rPr>
      </w:pPr>
      <w:r>
        <w:rPr>
          <w:rFonts w:hint="eastAsia" w:ascii="宋体" w:hAnsi="宋体" w:cs="宋体"/>
          <w:szCs w:val="21"/>
        </w:rPr>
        <w:t xml:space="preserve">② </w:t>
      </w:r>
      <w:r>
        <w:rPr>
          <w:rFonts w:hint="eastAsia" w:ascii="宋体" w:hAnsi="宋体"/>
          <w:szCs w:val="21"/>
        </w:rPr>
        <w:t>沟槽底面及外侧铺油毡隔离层，沿水泥路面交界处及盲沟顶部铺设土工布过滤层；</w:t>
      </w:r>
    </w:p>
    <w:p w14:paraId="7AFEC74D">
      <w:pPr>
        <w:spacing w:line="360" w:lineRule="exact"/>
        <w:ind w:firstLine="420" w:firstLineChars="200"/>
        <w:jc w:val="left"/>
        <w:rPr>
          <w:rFonts w:hint="eastAsia" w:ascii="宋体" w:hAnsi="宋体"/>
          <w:szCs w:val="21"/>
        </w:rPr>
      </w:pPr>
      <w:r>
        <w:rPr>
          <w:rFonts w:hint="eastAsia" w:ascii="宋体" w:hAnsi="宋体" w:cs="宋体"/>
          <w:szCs w:val="21"/>
        </w:rPr>
        <w:t xml:space="preserve">③ </w:t>
      </w:r>
      <w:r>
        <w:rPr>
          <w:rFonts w:hint="eastAsia" w:ascii="宋体" w:hAnsi="宋体"/>
          <w:szCs w:val="21"/>
        </w:rPr>
        <w:t>盲沟内宜填筑碎（砾）石过滤材料；</w:t>
      </w:r>
    </w:p>
    <w:p w14:paraId="165A631A">
      <w:pPr>
        <w:jc w:val="center"/>
        <w:rPr>
          <w:rFonts w:ascii="宋体" w:hAnsi="宋体"/>
          <w:szCs w:val="21"/>
        </w:rPr>
      </w:pPr>
      <w:r>
        <w:rPr>
          <w:rFonts w:ascii="宋体" w:hAnsi="宋体"/>
          <w:szCs w:val="21"/>
        </w:rPr>
        <w:drawing>
          <wp:inline distT="0" distB="0" distL="114300" distR="114300">
            <wp:extent cx="4683125" cy="1753870"/>
            <wp:effectExtent l="0" t="0" r="3175" b="1778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16">
                      <a:lum contrast="12000"/>
                    </a:blip>
                    <a:srcRect l="19963" t="79974" r="13493"/>
                    <a:stretch>
                      <a:fillRect/>
                    </a:stretch>
                  </pic:blipFill>
                  <pic:spPr>
                    <a:xfrm>
                      <a:off x="0" y="0"/>
                      <a:ext cx="4683125" cy="1753870"/>
                    </a:xfrm>
                    <a:prstGeom prst="rect">
                      <a:avLst/>
                    </a:prstGeom>
                    <a:noFill/>
                    <a:ln>
                      <a:noFill/>
                    </a:ln>
                  </pic:spPr>
                </pic:pic>
              </a:graphicData>
            </a:graphic>
          </wp:inline>
        </w:drawing>
      </w:r>
    </w:p>
    <w:p w14:paraId="77C2728E">
      <w:pPr>
        <w:spacing w:line="200" w:lineRule="exact"/>
        <w:ind w:firstLine="2415" w:firstLineChars="1150"/>
        <w:jc w:val="left"/>
        <w:rPr>
          <w:rFonts w:hint="eastAsia" w:ascii="宋体" w:hAnsi="宋体"/>
          <w:szCs w:val="21"/>
        </w:rPr>
      </w:pPr>
      <w:r>
        <w:rPr>
          <w:rFonts w:hint="eastAsia" w:ascii="宋体" w:hAnsi="宋体"/>
          <w:szCs w:val="21"/>
        </w:rPr>
        <w:t>盲沟布置图                             盲沟构造图（单位：</w:t>
      </w:r>
      <w:r>
        <w:rPr>
          <w:rFonts w:ascii="宋体" w:hAnsi="宋体"/>
          <w:szCs w:val="21"/>
        </w:rPr>
        <w:t>cm</w:t>
      </w:r>
      <w:r>
        <w:rPr>
          <w:rFonts w:hint="eastAsia" w:ascii="宋体" w:hAnsi="宋体"/>
          <w:szCs w:val="21"/>
        </w:rPr>
        <w:t>）</w:t>
      </w:r>
    </w:p>
    <w:p w14:paraId="5AF486B1">
      <w:pPr>
        <w:spacing w:line="360" w:lineRule="exact"/>
        <w:jc w:val="center"/>
        <w:rPr>
          <w:rFonts w:hint="eastAsia" w:ascii="宋体" w:hAnsi="宋体"/>
          <w:szCs w:val="21"/>
        </w:rPr>
      </w:pPr>
      <w:r>
        <w:rPr>
          <w:rFonts w:hint="eastAsia" w:ascii="宋体" w:hAnsi="宋体"/>
          <w:szCs w:val="21"/>
        </w:rPr>
        <w:t>图302-7</w:t>
      </w:r>
    </w:p>
    <w:p w14:paraId="012DD0C4">
      <w:pPr>
        <w:spacing w:line="360" w:lineRule="exact"/>
        <w:ind w:firstLine="420" w:firstLineChars="200"/>
        <w:jc w:val="left"/>
        <w:rPr>
          <w:rFonts w:hint="eastAsia" w:ascii="宋体" w:hAnsi="宋体"/>
          <w:szCs w:val="21"/>
        </w:rPr>
      </w:pPr>
      <w:r>
        <w:rPr>
          <w:rFonts w:hint="eastAsia" w:ascii="宋体" w:hAnsi="宋体" w:cs="宋体"/>
          <w:szCs w:val="21"/>
        </w:rPr>
        <w:t xml:space="preserve">④ </w:t>
      </w:r>
      <w:r>
        <w:rPr>
          <w:rFonts w:hint="eastAsia" w:ascii="宋体" w:hAnsi="宋体"/>
          <w:szCs w:val="21"/>
        </w:rPr>
        <w:t>盲沟上应用相同材料恢复路面（路肩）。</w:t>
      </w:r>
    </w:p>
    <w:p w14:paraId="7E5484A1">
      <w:pPr>
        <w:spacing w:line="360" w:lineRule="exact"/>
        <w:ind w:firstLine="420" w:firstLineChars="200"/>
        <w:jc w:val="left"/>
        <w:rPr>
          <w:rFonts w:ascii="宋体" w:hAnsi="宋体"/>
          <w:szCs w:val="21"/>
        </w:rPr>
      </w:pPr>
      <w:r>
        <w:rPr>
          <w:rFonts w:ascii="宋体" w:hAnsi="宋体"/>
          <w:szCs w:val="21"/>
        </w:rPr>
        <w:t>5．错台处治</w:t>
      </w:r>
    </w:p>
    <w:p w14:paraId="5B736F37">
      <w:pPr>
        <w:spacing w:line="360" w:lineRule="exact"/>
        <w:ind w:firstLine="420" w:firstLineChars="200"/>
        <w:jc w:val="left"/>
        <w:rPr>
          <w:rFonts w:hint="eastAsia" w:ascii="宋体" w:hAnsi="宋体"/>
          <w:szCs w:val="21"/>
        </w:rPr>
      </w:pPr>
      <w:r>
        <w:rPr>
          <w:rFonts w:hint="eastAsia" w:ascii="宋体" w:hAnsi="宋体"/>
          <w:szCs w:val="21"/>
        </w:rPr>
        <w:t>（1）错台的处治方法有磨平法和填补法两种，可按错台的轻重程度选定。</w:t>
      </w:r>
    </w:p>
    <w:p w14:paraId="0C27441B">
      <w:pPr>
        <w:spacing w:line="360" w:lineRule="exact"/>
        <w:ind w:firstLine="420" w:firstLineChars="200"/>
        <w:jc w:val="left"/>
        <w:rPr>
          <w:rFonts w:hint="eastAsia" w:ascii="宋体" w:hAnsi="宋体"/>
          <w:szCs w:val="21"/>
        </w:rPr>
      </w:pPr>
      <w:r>
        <w:rPr>
          <w:rFonts w:hint="eastAsia" w:ascii="宋体" w:hAnsi="宋体"/>
          <w:szCs w:val="21"/>
        </w:rPr>
        <w:t>（2）高差小于等于</w:t>
      </w:r>
      <w:r>
        <w:rPr>
          <w:rFonts w:ascii="宋体" w:hAnsi="宋体"/>
          <w:szCs w:val="21"/>
        </w:rPr>
        <w:t>10mm</w:t>
      </w:r>
      <w:r>
        <w:rPr>
          <w:rFonts w:hint="eastAsia" w:ascii="宋体" w:hAnsi="宋体"/>
          <w:szCs w:val="21"/>
        </w:rPr>
        <w:t>的错台，可采用磨平机磨平，或人工磨平。</w:t>
      </w:r>
    </w:p>
    <w:p w14:paraId="593A1671">
      <w:pPr>
        <w:spacing w:line="360" w:lineRule="exact"/>
        <w:ind w:firstLine="420" w:firstLineChars="200"/>
        <w:jc w:val="left"/>
        <w:rPr>
          <w:rFonts w:hint="eastAsia" w:ascii="宋体" w:hAnsi="宋体"/>
          <w:szCs w:val="21"/>
        </w:rPr>
      </w:pPr>
      <w:r>
        <w:rPr>
          <w:rFonts w:ascii="宋体" w:hAnsi="宋体"/>
          <w:szCs w:val="21"/>
        </w:rPr>
        <w:t>a</w:t>
      </w:r>
      <w:r>
        <w:rPr>
          <w:rFonts w:hint="eastAsia" w:ascii="宋体" w:hAnsi="宋体"/>
          <w:szCs w:val="21"/>
        </w:rPr>
        <w:t>．应从错台最高点开始向四周扩展，边磨边用三米直尺找平，直至相邻两块板齐平为止；</w:t>
      </w:r>
    </w:p>
    <w:p w14:paraId="007D5F11">
      <w:pPr>
        <w:spacing w:line="360" w:lineRule="exact"/>
        <w:ind w:firstLine="420" w:firstLineChars="200"/>
        <w:jc w:val="left"/>
        <w:rPr>
          <w:rFonts w:hint="eastAsia" w:ascii="宋体" w:hAnsi="宋体"/>
          <w:szCs w:val="21"/>
        </w:rPr>
      </w:pPr>
      <w:r>
        <w:rPr>
          <w:rFonts w:ascii="宋体" w:hAnsi="宋体"/>
          <w:szCs w:val="21"/>
        </w:rPr>
        <w:t>b</w:t>
      </w:r>
      <w:r>
        <w:rPr>
          <w:rFonts w:hint="eastAsia" w:ascii="宋体" w:hAnsi="宋体"/>
          <w:szCs w:val="21"/>
        </w:rPr>
        <w:t>．磨平后，接缝内应将杂物清除干净，并吹净灰尘，及时将嵌缝料填入。</w:t>
      </w:r>
    </w:p>
    <w:p w14:paraId="45E8E304">
      <w:pPr>
        <w:spacing w:line="360" w:lineRule="exact"/>
        <w:ind w:firstLine="420" w:firstLineChars="200"/>
        <w:jc w:val="left"/>
        <w:rPr>
          <w:rFonts w:hint="eastAsia" w:ascii="宋体" w:hAnsi="宋体"/>
          <w:szCs w:val="21"/>
        </w:rPr>
      </w:pPr>
      <w:r>
        <w:rPr>
          <w:rFonts w:hint="eastAsia" w:ascii="宋体" w:hAnsi="宋体"/>
          <w:szCs w:val="21"/>
        </w:rPr>
        <w:t>（3）高差大于</w:t>
      </w:r>
      <w:r>
        <w:rPr>
          <w:rFonts w:ascii="宋体" w:hAnsi="宋体"/>
          <w:szCs w:val="21"/>
        </w:rPr>
        <w:t>10mm</w:t>
      </w:r>
      <w:r>
        <w:rPr>
          <w:rFonts w:hint="eastAsia" w:ascii="宋体" w:hAnsi="宋体"/>
          <w:szCs w:val="21"/>
        </w:rPr>
        <w:t>的严重错台，可采取沥青砂或水泥混凝土进行处治。</w:t>
      </w:r>
    </w:p>
    <w:p w14:paraId="2B7EB74F">
      <w:pPr>
        <w:spacing w:line="360" w:lineRule="exact"/>
        <w:ind w:firstLine="420" w:firstLineChars="200"/>
        <w:jc w:val="left"/>
        <w:rPr>
          <w:rFonts w:ascii="宋体" w:hAnsi="宋体"/>
          <w:szCs w:val="21"/>
        </w:rPr>
      </w:pPr>
      <w:r>
        <w:rPr>
          <w:rFonts w:ascii="宋体" w:hAnsi="宋体"/>
          <w:szCs w:val="21"/>
        </w:rPr>
        <w:t>6．坑洞修补</w:t>
      </w:r>
    </w:p>
    <w:p w14:paraId="4F4E9BDE">
      <w:pPr>
        <w:spacing w:line="360" w:lineRule="exact"/>
        <w:ind w:firstLine="420" w:firstLineChars="200"/>
        <w:jc w:val="left"/>
        <w:rPr>
          <w:rFonts w:hint="eastAsia" w:ascii="宋体" w:hAnsi="宋体"/>
          <w:szCs w:val="21"/>
        </w:rPr>
      </w:pPr>
      <w:r>
        <w:rPr>
          <w:rFonts w:hint="eastAsia" w:ascii="宋体" w:hAnsi="宋体"/>
          <w:szCs w:val="21"/>
        </w:rPr>
        <w:t>坑洞修补应根据不同情况采取相应措施进行。</w:t>
      </w:r>
    </w:p>
    <w:p w14:paraId="08082469">
      <w:pPr>
        <w:spacing w:line="360" w:lineRule="exact"/>
        <w:ind w:firstLine="420" w:firstLineChars="200"/>
        <w:jc w:val="left"/>
        <w:rPr>
          <w:rFonts w:hint="eastAsia" w:ascii="宋体" w:hAnsi="宋体"/>
          <w:szCs w:val="21"/>
        </w:rPr>
      </w:pPr>
      <w:r>
        <w:rPr>
          <w:rFonts w:hint="eastAsia" w:ascii="宋体" w:hAnsi="宋体"/>
          <w:szCs w:val="21"/>
        </w:rPr>
        <w:t>（1）对个别的坑洞，应清除洞内杂物，用水泥砂浆等材料填充，达到平整密实；</w:t>
      </w:r>
    </w:p>
    <w:p w14:paraId="26657689">
      <w:pPr>
        <w:spacing w:line="360" w:lineRule="exact"/>
        <w:ind w:firstLine="420" w:firstLineChars="200"/>
        <w:jc w:val="left"/>
        <w:rPr>
          <w:rFonts w:hint="eastAsia" w:ascii="宋体" w:hAnsi="宋体"/>
          <w:szCs w:val="21"/>
        </w:rPr>
      </w:pPr>
      <w:r>
        <w:rPr>
          <w:rFonts w:hint="eastAsia" w:ascii="宋体" w:hAnsi="宋体"/>
          <w:szCs w:val="21"/>
        </w:rPr>
        <w:t>（2）对较多坑洞且连成一片的，应采取以下薄层修补方法进行修补：</w:t>
      </w:r>
    </w:p>
    <w:p w14:paraId="0CCE717A">
      <w:pPr>
        <w:spacing w:line="360" w:lineRule="exact"/>
        <w:ind w:firstLine="420" w:firstLineChars="200"/>
        <w:jc w:val="left"/>
        <w:rPr>
          <w:rFonts w:hint="eastAsia" w:ascii="宋体" w:hAnsi="宋体"/>
          <w:szCs w:val="21"/>
        </w:rPr>
      </w:pPr>
      <w:r>
        <w:rPr>
          <w:rFonts w:ascii="宋体" w:hAnsi="宋体"/>
          <w:szCs w:val="21"/>
        </w:rPr>
        <w:t>a</w:t>
      </w:r>
      <w:r>
        <w:rPr>
          <w:rFonts w:hint="eastAsia" w:ascii="宋体" w:hAnsi="宋体"/>
          <w:szCs w:val="21"/>
        </w:rPr>
        <w:t>．切割面积的图形边线，应与路面中心线平行或垂直；</w:t>
      </w:r>
    </w:p>
    <w:p w14:paraId="03F622F5">
      <w:pPr>
        <w:spacing w:line="360" w:lineRule="exact"/>
        <w:ind w:firstLine="420" w:firstLineChars="200"/>
        <w:jc w:val="left"/>
        <w:rPr>
          <w:rFonts w:hint="eastAsia" w:ascii="宋体" w:hAnsi="宋体"/>
          <w:szCs w:val="21"/>
        </w:rPr>
      </w:pPr>
      <w:r>
        <w:rPr>
          <w:rFonts w:ascii="宋体" w:hAnsi="宋体"/>
          <w:szCs w:val="21"/>
        </w:rPr>
        <w:t>b</w:t>
      </w:r>
      <w:r>
        <w:rPr>
          <w:rFonts w:hint="eastAsia" w:ascii="宋体" w:hAnsi="宋体"/>
          <w:szCs w:val="21"/>
        </w:rPr>
        <w:t>．切割的深度应在6</w:t>
      </w:r>
      <w:r>
        <w:rPr>
          <w:rFonts w:ascii="宋体" w:hAnsi="宋体"/>
          <w:szCs w:val="21"/>
        </w:rPr>
        <w:t>cm</w:t>
      </w:r>
      <w:r>
        <w:rPr>
          <w:rFonts w:hint="eastAsia" w:ascii="宋体" w:hAnsi="宋体"/>
          <w:szCs w:val="21"/>
        </w:rPr>
        <w:t>以上，并将切割面内的光滑面凿毛；</w:t>
      </w:r>
    </w:p>
    <w:p w14:paraId="329E895A">
      <w:pPr>
        <w:spacing w:line="360" w:lineRule="exact"/>
        <w:ind w:firstLine="420" w:firstLineChars="200"/>
        <w:jc w:val="left"/>
        <w:rPr>
          <w:rFonts w:hint="eastAsia" w:ascii="宋体" w:hAnsi="宋体"/>
          <w:szCs w:val="21"/>
        </w:rPr>
      </w:pPr>
      <w:r>
        <w:rPr>
          <w:rFonts w:ascii="宋体" w:hAnsi="宋体"/>
          <w:szCs w:val="21"/>
        </w:rPr>
        <w:t>c</w:t>
      </w:r>
      <w:r>
        <w:rPr>
          <w:rFonts w:hint="eastAsia" w:ascii="宋体" w:hAnsi="宋体"/>
          <w:szCs w:val="21"/>
        </w:rPr>
        <w:t>．应清除槽内的混凝土碎屑；</w:t>
      </w:r>
    </w:p>
    <w:p w14:paraId="001AD277">
      <w:pPr>
        <w:spacing w:line="360" w:lineRule="exact"/>
        <w:ind w:firstLine="420" w:firstLineChars="200"/>
        <w:jc w:val="left"/>
        <w:rPr>
          <w:rFonts w:hint="eastAsia" w:ascii="宋体" w:hAnsi="宋体"/>
          <w:szCs w:val="21"/>
        </w:rPr>
      </w:pPr>
      <w:r>
        <w:rPr>
          <w:rFonts w:ascii="宋体" w:hAnsi="宋体"/>
          <w:szCs w:val="21"/>
        </w:rPr>
        <w:t>d</w:t>
      </w:r>
      <w:r>
        <w:rPr>
          <w:rFonts w:hint="eastAsia" w:ascii="宋体" w:hAnsi="宋体"/>
          <w:szCs w:val="21"/>
        </w:rPr>
        <w:t>．混凝土拌和物填入槽内，振捣密实，并保持与原混凝土面板齐平。</w:t>
      </w:r>
    </w:p>
    <w:p w14:paraId="0EB46849">
      <w:pPr>
        <w:spacing w:line="360" w:lineRule="exact"/>
        <w:ind w:firstLine="420" w:firstLineChars="200"/>
        <w:jc w:val="left"/>
        <w:rPr>
          <w:rFonts w:hint="eastAsia" w:ascii="宋体" w:hAnsi="宋体"/>
          <w:szCs w:val="21"/>
        </w:rPr>
      </w:pPr>
      <w:r>
        <w:rPr>
          <w:rFonts w:ascii="宋体" w:hAnsi="宋体"/>
          <w:szCs w:val="21"/>
        </w:rPr>
        <w:t>e</w:t>
      </w:r>
      <w:r>
        <w:rPr>
          <w:rFonts w:hint="eastAsia" w:ascii="宋体" w:hAnsi="宋体"/>
          <w:szCs w:val="21"/>
        </w:rPr>
        <w:t>．宜喷洒养护剂养生；</w:t>
      </w:r>
    </w:p>
    <w:p w14:paraId="0B7FB359">
      <w:pPr>
        <w:spacing w:line="360" w:lineRule="exact"/>
        <w:ind w:firstLine="420" w:firstLineChars="200"/>
        <w:jc w:val="left"/>
        <w:rPr>
          <w:rFonts w:hint="eastAsia" w:ascii="宋体" w:hAnsi="宋体"/>
          <w:szCs w:val="21"/>
        </w:rPr>
      </w:pPr>
      <w:r>
        <w:rPr>
          <w:rFonts w:ascii="宋体" w:hAnsi="宋体"/>
          <w:szCs w:val="21"/>
        </w:rPr>
        <w:t>f</w:t>
      </w:r>
      <w:r>
        <w:rPr>
          <w:rFonts w:hint="eastAsia" w:ascii="宋体" w:hAnsi="宋体"/>
          <w:szCs w:val="21"/>
        </w:rPr>
        <w:t>．待混凝土达到通车强度后方可开放交通。</w:t>
      </w:r>
    </w:p>
    <w:p w14:paraId="3EE7855A">
      <w:pPr>
        <w:spacing w:line="360" w:lineRule="exact"/>
        <w:ind w:firstLine="420" w:firstLineChars="200"/>
        <w:jc w:val="left"/>
        <w:rPr>
          <w:rFonts w:hint="eastAsia" w:ascii="宋体" w:hAnsi="宋体"/>
          <w:szCs w:val="21"/>
        </w:rPr>
      </w:pPr>
      <w:r>
        <w:rPr>
          <w:rFonts w:hint="eastAsia" w:ascii="宋体" w:hAnsi="宋体"/>
          <w:szCs w:val="21"/>
        </w:rPr>
        <w:t>（3）低等级公路对面积较大，深度在3</w:t>
      </w:r>
      <w:r>
        <w:rPr>
          <w:rFonts w:ascii="宋体" w:hAnsi="宋体"/>
          <w:szCs w:val="21"/>
        </w:rPr>
        <w:t>cm</w:t>
      </w:r>
      <w:r>
        <w:rPr>
          <w:rFonts w:hint="eastAsia" w:ascii="宋体" w:hAnsi="宋体"/>
          <w:szCs w:val="21"/>
        </w:rPr>
        <w:t>以内，成片的坑洞，可用以下沥青混凝土修补方法进行修补：</w:t>
      </w:r>
    </w:p>
    <w:p w14:paraId="7AE2C7B0">
      <w:pPr>
        <w:spacing w:line="360" w:lineRule="exact"/>
        <w:ind w:firstLine="420" w:firstLineChars="200"/>
        <w:jc w:val="left"/>
        <w:rPr>
          <w:rFonts w:hint="eastAsia" w:ascii="宋体" w:hAnsi="宋体"/>
          <w:szCs w:val="21"/>
        </w:rPr>
      </w:pPr>
      <w:r>
        <w:rPr>
          <w:rFonts w:ascii="宋体" w:hAnsi="宋体"/>
          <w:szCs w:val="21"/>
        </w:rPr>
        <w:t>a</w:t>
      </w:r>
      <w:r>
        <w:rPr>
          <w:rFonts w:hint="eastAsia" w:ascii="宋体" w:hAnsi="宋体"/>
          <w:szCs w:val="21"/>
        </w:rPr>
        <w:t>．用风镐凿除一个处治区，其图形边线应与路中心线平行或垂直；</w:t>
      </w:r>
    </w:p>
    <w:p w14:paraId="4A6034D4">
      <w:pPr>
        <w:spacing w:line="360" w:lineRule="exact"/>
        <w:ind w:firstLine="420" w:firstLineChars="200"/>
        <w:jc w:val="left"/>
        <w:rPr>
          <w:rFonts w:hint="eastAsia" w:ascii="宋体" w:hAnsi="宋体"/>
          <w:szCs w:val="21"/>
        </w:rPr>
      </w:pPr>
      <w:r>
        <w:rPr>
          <w:rFonts w:ascii="宋体" w:hAnsi="宋体"/>
          <w:szCs w:val="21"/>
        </w:rPr>
        <w:t>b</w:t>
      </w:r>
      <w:r>
        <w:rPr>
          <w:rFonts w:hint="eastAsia" w:ascii="宋体" w:hAnsi="宋体"/>
          <w:szCs w:val="21"/>
        </w:rPr>
        <w:t>．凿除深度以2～3</w:t>
      </w:r>
      <w:r>
        <w:rPr>
          <w:rFonts w:ascii="宋体" w:hAnsi="宋体"/>
          <w:szCs w:val="21"/>
        </w:rPr>
        <w:t>cm</w:t>
      </w:r>
      <w:r>
        <w:rPr>
          <w:rFonts w:hint="eastAsia" w:ascii="宋体" w:hAnsi="宋体"/>
          <w:szCs w:val="21"/>
        </w:rPr>
        <w:t>为宜，并清除混凝土碎屑；</w:t>
      </w:r>
    </w:p>
    <w:p w14:paraId="238839B3">
      <w:pPr>
        <w:spacing w:line="360" w:lineRule="exact"/>
        <w:ind w:firstLine="420" w:firstLineChars="200"/>
        <w:jc w:val="left"/>
        <w:rPr>
          <w:rFonts w:hint="eastAsia" w:ascii="宋体" w:hAnsi="宋体"/>
          <w:szCs w:val="21"/>
        </w:rPr>
      </w:pPr>
      <w:r>
        <w:rPr>
          <w:rFonts w:ascii="宋体" w:hAnsi="宋体"/>
          <w:szCs w:val="21"/>
        </w:rPr>
        <w:t>c</w:t>
      </w:r>
      <w:r>
        <w:rPr>
          <w:rFonts w:hint="eastAsia" w:ascii="宋体" w:hAnsi="宋体"/>
          <w:szCs w:val="21"/>
        </w:rPr>
        <w:t>．铺筑沥青混凝土前，应将凿除的槽底面和槽壁洒黏层沥青，其用量为0.4～0.6</w:t>
      </w:r>
      <w:r>
        <w:rPr>
          <w:rFonts w:ascii="宋体" w:hAnsi="宋体"/>
          <w:szCs w:val="21"/>
        </w:rPr>
        <w:t>kg/m</w:t>
      </w:r>
      <w:r>
        <w:rPr>
          <w:rFonts w:ascii="宋体" w:hAnsi="宋体"/>
          <w:szCs w:val="21"/>
          <w:vertAlign w:val="superscript"/>
        </w:rPr>
        <w:t>2</w:t>
      </w:r>
      <w:r>
        <w:rPr>
          <w:rFonts w:hint="eastAsia" w:ascii="宋体" w:hAnsi="宋体"/>
          <w:szCs w:val="21"/>
        </w:rPr>
        <w:t>；</w:t>
      </w:r>
    </w:p>
    <w:p w14:paraId="3905EB60">
      <w:pPr>
        <w:spacing w:line="360" w:lineRule="exact"/>
        <w:ind w:firstLine="420" w:firstLineChars="200"/>
        <w:jc w:val="left"/>
        <w:rPr>
          <w:rFonts w:hint="eastAsia" w:ascii="宋体" w:hAnsi="宋体"/>
          <w:szCs w:val="21"/>
        </w:rPr>
      </w:pPr>
      <w:r>
        <w:rPr>
          <w:rFonts w:ascii="宋体" w:hAnsi="宋体"/>
          <w:szCs w:val="21"/>
        </w:rPr>
        <w:t>d</w:t>
      </w:r>
      <w:r>
        <w:rPr>
          <w:rFonts w:hint="eastAsia" w:ascii="宋体" w:hAnsi="宋体"/>
          <w:szCs w:val="21"/>
        </w:rPr>
        <w:t>．沥青混凝土应碾压密实平整；</w:t>
      </w:r>
    </w:p>
    <w:p w14:paraId="10EB40C0">
      <w:pPr>
        <w:spacing w:line="360" w:lineRule="exact"/>
        <w:ind w:firstLine="420" w:firstLineChars="200"/>
        <w:jc w:val="left"/>
        <w:rPr>
          <w:rFonts w:hint="eastAsia" w:ascii="宋体" w:hAnsi="宋体"/>
          <w:szCs w:val="21"/>
        </w:rPr>
      </w:pPr>
      <w:r>
        <w:rPr>
          <w:rFonts w:ascii="宋体" w:hAnsi="宋体"/>
          <w:szCs w:val="21"/>
        </w:rPr>
        <w:t>e</w:t>
      </w:r>
      <w:r>
        <w:rPr>
          <w:rFonts w:hint="eastAsia" w:ascii="宋体" w:hAnsi="宋体"/>
          <w:szCs w:val="21"/>
        </w:rPr>
        <w:t>．待沥青混凝土冷却后，控制车速通行。</w:t>
      </w:r>
    </w:p>
    <w:p w14:paraId="50526AC3">
      <w:pPr>
        <w:tabs>
          <w:tab w:val="left" w:pos="3120"/>
        </w:tabs>
        <w:spacing w:line="360" w:lineRule="auto"/>
        <w:rPr>
          <w:rFonts w:hint="eastAsia" w:eastAsia="黑体"/>
          <w:sz w:val="28"/>
          <w:szCs w:val="28"/>
        </w:rPr>
      </w:pPr>
      <w:r>
        <w:rPr>
          <w:rFonts w:hint="eastAsia" w:eastAsia="黑体"/>
          <w:sz w:val="28"/>
          <w:szCs w:val="28"/>
        </w:rPr>
        <w:t>302</w:t>
      </w:r>
      <w:r>
        <w:rPr>
          <w:rFonts w:eastAsia="黑体"/>
          <w:sz w:val="28"/>
          <w:szCs w:val="28"/>
        </w:rPr>
        <w:t>.0</w:t>
      </w:r>
      <w:r>
        <w:rPr>
          <w:rFonts w:hint="eastAsia" w:eastAsia="黑体"/>
          <w:sz w:val="28"/>
          <w:szCs w:val="28"/>
        </w:rPr>
        <w:t xml:space="preserve">3 </w:t>
      </w:r>
      <w:r>
        <w:rPr>
          <w:rFonts w:eastAsia="黑体"/>
          <w:sz w:val="28"/>
          <w:szCs w:val="28"/>
        </w:rPr>
        <w:t xml:space="preserve"> </w:t>
      </w:r>
      <w:r>
        <w:rPr>
          <w:rFonts w:hint="eastAsia" w:eastAsia="黑体"/>
          <w:sz w:val="28"/>
          <w:szCs w:val="28"/>
        </w:rPr>
        <w:t>沥青路面病害的维修</w:t>
      </w:r>
    </w:p>
    <w:p w14:paraId="448B4B55">
      <w:pPr>
        <w:spacing w:line="450" w:lineRule="exact"/>
        <w:rPr>
          <w:rFonts w:ascii="宋体" w:hAnsi="宋体"/>
          <w:color w:val="auto"/>
          <w:szCs w:val="21"/>
          <w:highlight w:val="none"/>
        </w:rPr>
      </w:pPr>
      <w:r>
        <w:rPr>
          <w:rFonts w:hint="eastAsia" w:ascii="宋体" w:hAnsi="宋体"/>
          <w:color w:val="auto"/>
          <w:szCs w:val="21"/>
          <w:highlight w:val="none"/>
        </w:rPr>
        <w:t xml:space="preserve">    1、本工程沥青灌缝方式主要采用机械开槽灌缝和机械不开槽灌缝，开槽或不开槽具体划分，由业主和施工单位根据现场裂缝情况决定，费用综合考虑在投标单价中，实际施工时不管开槽数量多少，结算时单价不作调整。</w:t>
      </w:r>
    </w:p>
    <w:p w14:paraId="745EA5D7">
      <w:pPr>
        <w:numPr>
          <w:ilvl w:val="0"/>
          <w:numId w:val="14"/>
        </w:numPr>
        <w:spacing w:line="450" w:lineRule="exact"/>
        <w:ind w:firstLine="420" w:firstLineChars="200"/>
        <w:outlineLvl w:val="0"/>
        <w:rPr>
          <w:rFonts w:ascii="宋体" w:hAnsi="宋体"/>
          <w:color w:val="auto"/>
          <w:szCs w:val="21"/>
          <w:highlight w:val="none"/>
        </w:rPr>
      </w:pPr>
      <w:bookmarkStart w:id="204" w:name="_Toc45655215"/>
      <w:r>
        <w:rPr>
          <w:rFonts w:hint="eastAsia" w:ascii="宋体" w:hAnsi="宋体"/>
          <w:color w:val="auto"/>
          <w:szCs w:val="21"/>
          <w:highlight w:val="none"/>
        </w:rPr>
        <w:t>机械灌缝（开槽）：先用开槽机沿裂缝进行跟踪开槽，开槽深宽比不应超过2:1，开槽宽度至少为1cm,深度为1.5cm</w:t>
      </w:r>
      <w:r>
        <w:rPr>
          <w:rFonts w:hint="eastAsia" w:ascii="宋体" w:hAnsi="宋体" w:cs="仿宋_GB2312"/>
          <w:color w:val="auto"/>
          <w:szCs w:val="21"/>
          <w:highlight w:val="none"/>
        </w:rPr>
        <w:t>～</w:t>
      </w:r>
      <w:r>
        <w:rPr>
          <w:rFonts w:hint="eastAsia" w:ascii="宋体" w:hAnsi="宋体"/>
          <w:color w:val="auto"/>
          <w:szCs w:val="21"/>
          <w:highlight w:val="none"/>
        </w:rPr>
        <w:t>2cm，用高压吹尘机将槽内的碎渣及裂缝两侧至少10cm范围内的灰尘彻底吹干净，并用热气喷枪对缝臂进行除潮加热，最后对灌缝胶预热到规定的温度用灌缝机对开槽后的裂缝进行灌缝密封。</w:t>
      </w:r>
      <w:bookmarkEnd w:id="204"/>
    </w:p>
    <w:p w14:paraId="1C401CDF">
      <w:pPr>
        <w:numPr>
          <w:ilvl w:val="0"/>
          <w:numId w:val="14"/>
        </w:numPr>
        <w:spacing w:line="450" w:lineRule="exact"/>
        <w:ind w:left="0" w:leftChars="0" w:firstLine="420" w:firstLineChars="200"/>
        <w:rPr>
          <w:rFonts w:ascii="宋体" w:hAnsi="宋体" w:eastAsia="宋体" w:cs="宋体"/>
          <w:color w:val="auto"/>
          <w:sz w:val="24"/>
          <w:highlight w:val="none"/>
          <w:lang w:eastAsia="zh-Hans"/>
        </w:rPr>
      </w:pPr>
      <w:r>
        <w:rPr>
          <w:rFonts w:hint="eastAsia" w:ascii="宋体" w:hAnsi="宋体"/>
          <w:color w:val="auto"/>
          <w:szCs w:val="21"/>
          <w:highlight w:val="none"/>
        </w:rPr>
        <w:t>机械灌缝：用高压吹尘机将槽内的灰尘彻底吹干净，并用热气喷枪对缝臂进行除潮加热，最后对灌缝胶预热到规定的温度用灌缝机对裂缝进行灌缝密封。</w:t>
      </w:r>
    </w:p>
    <w:p w14:paraId="74888A91">
      <w:pPr>
        <w:numPr>
          <w:ilvl w:val="0"/>
          <w:numId w:val="14"/>
        </w:numPr>
        <w:spacing w:line="450" w:lineRule="exact"/>
        <w:ind w:left="0" w:leftChars="0"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沥青路面灌缝(四新技术)</w:t>
      </w:r>
    </w:p>
    <w:p w14:paraId="106F892A">
      <w:pPr>
        <w:numPr>
          <w:ilvl w:val="0"/>
          <w:numId w:val="0"/>
        </w:numPr>
        <w:spacing w:line="450" w:lineRule="exact"/>
        <w:ind w:leftChars="200"/>
        <w:rPr>
          <w:rFonts w:hint="eastAsia" w:ascii="宋体" w:hAnsi="宋体" w:eastAsia="宋体" w:cs="Times New Roman"/>
          <w:color w:val="auto"/>
          <w:szCs w:val="21"/>
          <w:highlight w:val="none"/>
        </w:rPr>
      </w:pPr>
      <w:r>
        <w:rPr>
          <w:rFonts w:hint="eastAsia" w:ascii="宋体" w:hAnsi="宋体"/>
          <w:b/>
          <w:color w:val="auto"/>
          <w:szCs w:val="21"/>
          <w:highlight w:val="none"/>
        </w:rPr>
        <w:t>（1） 施工工艺</w:t>
      </w:r>
    </w:p>
    <w:p w14:paraId="6272B20C">
      <w:pPr>
        <w:numPr>
          <w:ilvl w:val="0"/>
          <w:numId w:val="0"/>
        </w:numPr>
        <w:spacing w:line="450" w:lineRule="exact"/>
        <w:ind w:firstLine="420" w:firstLineChars="200"/>
        <w:outlineLvl w:val="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将路面病害切开一定的宽度和深度的槽口，能为</w:t>
      </w:r>
      <w:r>
        <w:rPr>
          <w:rFonts w:hint="default" w:ascii="宋体" w:hAnsi="宋体" w:eastAsia="宋体" w:cs="Times New Roman"/>
          <w:color w:val="auto"/>
          <w:szCs w:val="21"/>
          <w:highlight w:val="none"/>
        </w:rPr>
        <w:t>长寿命沥青路面柔性修复</w:t>
      </w:r>
      <w:r>
        <w:rPr>
          <w:rFonts w:hint="eastAsia" w:ascii="宋体" w:hAnsi="宋体" w:eastAsia="宋体" w:cs="Times New Roman"/>
          <w:color w:val="auto"/>
          <w:szCs w:val="21"/>
          <w:highlight w:val="none"/>
        </w:rPr>
        <w:t>材料提供一</w:t>
      </w:r>
      <w:r>
        <w:rPr>
          <w:rFonts w:hint="eastAsia" w:ascii="宋体" w:hAnsi="宋体" w:eastAsia="宋体" w:cs="Times New Roman"/>
          <w:color w:val="auto"/>
          <w:szCs w:val="21"/>
          <w:highlight w:val="none"/>
          <w:lang w:val="en-US" w:eastAsia="zh-CN"/>
        </w:rPr>
        <w:t>定</w:t>
      </w:r>
      <w:r>
        <w:rPr>
          <w:rFonts w:hint="eastAsia" w:ascii="宋体" w:hAnsi="宋体" w:eastAsia="宋体" w:cs="Times New Roman"/>
          <w:color w:val="auto"/>
          <w:szCs w:val="21"/>
          <w:highlight w:val="none"/>
        </w:rPr>
        <w:t>的容量以应付冬夏温度差异带来的热应力；通过预处理剂喷涂解决面层沥青老化问题；</w:t>
      </w:r>
      <w:r>
        <w:rPr>
          <w:rFonts w:hint="eastAsia" w:ascii="宋体" w:hAnsi="宋体" w:eastAsia="宋体" w:cs="Times New Roman"/>
          <w:color w:val="auto"/>
          <w:szCs w:val="21"/>
          <w:highlight w:val="none"/>
          <w:lang w:eastAsia="zh-Hans"/>
        </w:rPr>
        <w:t>利用负压</w:t>
      </w:r>
      <w:r>
        <w:rPr>
          <w:rFonts w:hint="eastAsia" w:ascii="宋体" w:hAnsi="宋体" w:eastAsia="宋体" w:cs="Times New Roman"/>
          <w:color w:val="auto"/>
          <w:szCs w:val="21"/>
          <w:highlight w:val="none"/>
        </w:rPr>
        <w:t>除尘设备清理，清理缝内杂物及松散老化的碎料；</w:t>
      </w:r>
      <w:r>
        <w:rPr>
          <w:rFonts w:hint="eastAsia" w:ascii="宋体" w:hAnsi="宋体" w:eastAsia="宋体" w:cs="Times New Roman"/>
          <w:color w:val="auto"/>
          <w:szCs w:val="21"/>
          <w:highlight w:val="none"/>
          <w:lang w:eastAsia="zh-Hans"/>
        </w:rPr>
        <w:t>利用无明火的</w:t>
      </w:r>
      <w:r>
        <w:rPr>
          <w:rFonts w:hint="eastAsia" w:ascii="宋体" w:hAnsi="宋体" w:eastAsia="宋体" w:cs="Times New Roman"/>
          <w:color w:val="auto"/>
          <w:szCs w:val="21"/>
          <w:highlight w:val="none"/>
        </w:rPr>
        <w:t>高压</w:t>
      </w:r>
      <w:r>
        <w:rPr>
          <w:rFonts w:hint="eastAsia" w:ascii="宋体" w:hAnsi="宋体" w:eastAsia="宋体" w:cs="Times New Roman"/>
          <w:color w:val="auto"/>
          <w:szCs w:val="21"/>
          <w:highlight w:val="none"/>
          <w:lang w:eastAsia="zh-Hans"/>
        </w:rPr>
        <w:t>热空气喷枪</w:t>
      </w:r>
      <w:r>
        <w:rPr>
          <w:rFonts w:hint="eastAsia" w:ascii="宋体" w:hAnsi="宋体" w:eastAsia="宋体" w:cs="Times New Roman"/>
          <w:color w:val="auto"/>
          <w:szCs w:val="21"/>
          <w:highlight w:val="none"/>
        </w:rPr>
        <w:t>保证</w:t>
      </w:r>
      <w:r>
        <w:rPr>
          <w:rFonts w:hint="eastAsia" w:ascii="宋体" w:hAnsi="宋体" w:eastAsia="宋体" w:cs="Times New Roman"/>
          <w:color w:val="auto"/>
          <w:szCs w:val="21"/>
          <w:highlight w:val="none"/>
          <w:lang w:eastAsia="zh-Hans"/>
        </w:rPr>
        <w:t>作业面的干燥；</w:t>
      </w:r>
      <w:r>
        <w:rPr>
          <w:rFonts w:hint="default" w:ascii="宋体" w:hAnsi="宋体" w:eastAsia="宋体" w:cs="Times New Roman"/>
          <w:color w:val="auto"/>
          <w:szCs w:val="21"/>
          <w:highlight w:val="none"/>
        </w:rPr>
        <w:t>长寿命</w:t>
      </w:r>
      <w:r>
        <w:rPr>
          <w:rFonts w:hint="eastAsia" w:ascii="宋体" w:hAnsi="宋体" w:eastAsia="宋体" w:cs="Times New Roman"/>
          <w:color w:val="auto"/>
          <w:szCs w:val="21"/>
          <w:highlight w:val="none"/>
        </w:rPr>
        <w:t>柔性材料</w:t>
      </w:r>
      <w:r>
        <w:rPr>
          <w:rFonts w:hint="eastAsia" w:ascii="宋体" w:hAnsi="宋体" w:eastAsia="宋体" w:cs="Times New Roman"/>
          <w:color w:val="auto"/>
          <w:szCs w:val="21"/>
          <w:highlight w:val="none"/>
          <w:lang w:eastAsia="zh-Hans"/>
        </w:rPr>
        <w:t>配合专用加热设备配合确保</w:t>
      </w:r>
      <w:r>
        <w:rPr>
          <w:rFonts w:hint="default" w:ascii="宋体" w:hAnsi="宋体" w:eastAsia="宋体" w:cs="Times New Roman"/>
          <w:color w:val="auto"/>
          <w:szCs w:val="21"/>
          <w:highlight w:val="none"/>
        </w:rPr>
        <w:t>长寿命沥青路面柔性修复</w:t>
      </w:r>
      <w:r>
        <w:rPr>
          <w:rFonts w:hint="eastAsia" w:ascii="宋体" w:hAnsi="宋体" w:eastAsia="宋体" w:cs="Times New Roman"/>
          <w:color w:val="auto"/>
          <w:szCs w:val="21"/>
          <w:highlight w:val="none"/>
        </w:rPr>
        <w:t>材料</w:t>
      </w:r>
      <w:r>
        <w:rPr>
          <w:rFonts w:hint="eastAsia" w:ascii="宋体" w:hAnsi="宋体" w:eastAsia="宋体" w:cs="Times New Roman"/>
          <w:color w:val="auto"/>
          <w:szCs w:val="21"/>
          <w:highlight w:val="none"/>
          <w:lang w:eastAsia="zh-Hans"/>
        </w:rPr>
        <w:t>与</w:t>
      </w:r>
      <w:r>
        <w:rPr>
          <w:rFonts w:hint="eastAsia" w:ascii="宋体" w:hAnsi="宋体" w:eastAsia="宋体" w:cs="Times New Roman"/>
          <w:color w:val="auto"/>
          <w:szCs w:val="21"/>
          <w:highlight w:val="none"/>
        </w:rPr>
        <w:t>老路面结合紧密，起到粘结两侧立面，在受温差、交通载荷等作用下发生横向或纵向位移变化时能够吸收相关内应力适应位移量变化的作用，起到封水效果。</w:t>
      </w:r>
    </w:p>
    <w:p w14:paraId="55E813AC">
      <w:pPr>
        <w:numPr>
          <w:ilvl w:val="0"/>
          <w:numId w:val="0"/>
        </w:numPr>
        <w:spacing w:line="450" w:lineRule="exact"/>
        <w:ind w:firstLine="420" w:firstLineChars="200"/>
        <w:jc w:val="left"/>
        <w:rPr>
          <w:rFonts w:hint="eastAsia" w:ascii="宋体" w:hAnsi="宋体" w:eastAsia="宋体" w:cs="Times New Roman"/>
          <w:color w:val="auto"/>
          <w:szCs w:val="21"/>
          <w:highlight w:val="none"/>
        </w:rPr>
      </w:pPr>
      <w:r>
        <w:rPr>
          <w:rFonts w:hint="default" w:ascii="宋体" w:hAnsi="宋体" w:eastAsia="宋体" w:cs="Times New Roman"/>
          <w:color w:val="auto"/>
          <w:szCs w:val="21"/>
          <w:highlight w:val="none"/>
        </w:rPr>
        <w:t>长寿命</w:t>
      </w:r>
      <w:r>
        <w:rPr>
          <w:rFonts w:hint="eastAsia" w:ascii="宋体" w:hAnsi="宋体" w:eastAsia="宋体" w:cs="Times New Roman"/>
          <w:color w:val="auto"/>
          <w:szCs w:val="21"/>
          <w:highlight w:val="none"/>
        </w:rPr>
        <w:t>沥青路面柔性养护工艺所使用的预处理剂是由重环烷烃类蒸馏油、树脂、高聚物改性剂等原料配制而成；所使用的柔性</w:t>
      </w:r>
      <w:r>
        <w:rPr>
          <w:rFonts w:hint="eastAsia" w:ascii="宋体" w:hAnsi="宋体" w:eastAsia="宋体" w:cs="Times New Roman"/>
          <w:color w:val="auto"/>
          <w:szCs w:val="21"/>
          <w:highlight w:val="none"/>
          <w:lang w:val="en-US" w:eastAsia="zh-Hans"/>
        </w:rPr>
        <w:t>修复</w:t>
      </w:r>
      <w:r>
        <w:rPr>
          <w:rFonts w:hint="eastAsia" w:ascii="宋体" w:hAnsi="宋体" w:eastAsia="宋体" w:cs="Times New Roman"/>
          <w:color w:val="auto"/>
          <w:szCs w:val="21"/>
          <w:highlight w:val="none"/>
        </w:rPr>
        <w:t>材料是由基质沥青、改性剂、抗老化剂、树脂、纤维等原料配制而成。</w:t>
      </w:r>
    </w:p>
    <w:p w14:paraId="386D5037">
      <w:pPr>
        <w:rPr>
          <w:rFonts w:hint="eastAsia" w:ascii="宋体" w:hAnsi="宋体" w:eastAsia="宋体" w:cs="宋体"/>
          <w:color w:val="auto"/>
          <w:sz w:val="24"/>
          <w:highlight w:val="none"/>
        </w:rPr>
      </w:pPr>
    </w:p>
    <w:p w14:paraId="7575B4F4">
      <w:pPr>
        <w:spacing w:line="360" w:lineRule="auto"/>
        <w:jc w:val="center"/>
        <w:rPr>
          <w:rFonts w:ascii="宋体" w:hAnsi="宋体" w:cs="宋体"/>
          <w:b/>
          <w:bCs/>
          <w:color w:val="auto"/>
          <w:sz w:val="21"/>
          <w:szCs w:val="21"/>
          <w:highlight w:val="none"/>
        </w:rPr>
      </w:pPr>
      <w:r>
        <w:rPr>
          <w:rFonts w:hint="eastAsia" w:ascii="宋体" w:hAnsi="宋体" w:cs="宋体"/>
          <w:b/>
          <w:bCs/>
          <w:color w:val="auto"/>
          <w:sz w:val="21"/>
          <w:szCs w:val="21"/>
          <w:highlight w:val="none"/>
          <w:lang w:val="en-US" w:eastAsia="zh-Hans"/>
        </w:rPr>
        <w:t>表</w:t>
      </w:r>
      <w:r>
        <w:rPr>
          <w:rFonts w:hint="default" w:ascii="宋体" w:hAnsi="宋体" w:cs="宋体"/>
          <w:b/>
          <w:bCs/>
          <w:color w:val="auto"/>
          <w:sz w:val="21"/>
          <w:szCs w:val="21"/>
          <w:highlight w:val="none"/>
          <w:lang w:eastAsia="zh-Hans"/>
        </w:rPr>
        <w:t xml:space="preserve">2-1 </w:t>
      </w:r>
      <w:r>
        <w:rPr>
          <w:rFonts w:hint="eastAsia" w:ascii="宋体" w:hAnsi="宋体" w:cs="宋体"/>
          <w:b/>
          <w:bCs/>
          <w:color w:val="auto"/>
          <w:sz w:val="21"/>
          <w:szCs w:val="21"/>
          <w:highlight w:val="none"/>
          <w:lang w:eastAsia="zh-Hans"/>
        </w:rPr>
        <w:t>预处理剂</w:t>
      </w:r>
      <w:r>
        <w:rPr>
          <w:rFonts w:hint="eastAsia" w:ascii="宋体" w:hAnsi="宋体" w:eastAsia="宋体" w:cs="宋体"/>
          <w:b/>
          <w:bCs/>
          <w:color w:val="auto"/>
          <w:sz w:val="21"/>
          <w:szCs w:val="21"/>
          <w:highlight w:val="none"/>
          <w:lang w:eastAsia="zh-Hans"/>
        </w:rPr>
        <w:t>的</w:t>
      </w:r>
      <w:r>
        <w:rPr>
          <w:rFonts w:hint="eastAsia" w:ascii="宋体" w:hAnsi="宋体" w:eastAsia="宋体" w:cs="宋体"/>
          <w:b/>
          <w:bCs/>
          <w:color w:val="auto"/>
          <w:sz w:val="21"/>
          <w:szCs w:val="21"/>
          <w:highlight w:val="none"/>
        </w:rPr>
        <w:t>技术指标</w:t>
      </w:r>
    </w:p>
    <w:tbl>
      <w:tblPr>
        <w:tblStyle w:val="51"/>
        <w:tblpPr w:leftFromText="180" w:rightFromText="180" w:vertAnchor="text" w:horzAnchor="page" w:tblpX="1924" w:tblpY="73"/>
        <w:tblOverlap w:val="never"/>
        <w:tblW w:w="8274" w:type="dxa"/>
        <w:tblInd w:w="0" w:type="dxa"/>
        <w:tblLayout w:type="fixed"/>
        <w:tblCellMar>
          <w:top w:w="0" w:type="dxa"/>
          <w:left w:w="108" w:type="dxa"/>
          <w:bottom w:w="0" w:type="dxa"/>
          <w:right w:w="108" w:type="dxa"/>
        </w:tblCellMar>
      </w:tblPr>
      <w:tblGrid>
        <w:gridCol w:w="2184"/>
        <w:gridCol w:w="1806"/>
        <w:gridCol w:w="1155"/>
        <w:gridCol w:w="1573"/>
        <w:gridCol w:w="1556"/>
      </w:tblGrid>
      <w:tr w14:paraId="34F42590">
        <w:tblPrEx>
          <w:tblCellMar>
            <w:top w:w="0" w:type="dxa"/>
            <w:left w:w="108" w:type="dxa"/>
            <w:bottom w:w="0" w:type="dxa"/>
            <w:right w:w="108" w:type="dxa"/>
          </w:tblCellMar>
        </w:tblPrEx>
        <w:trPr>
          <w:trHeight w:val="202" w:hRule="atLeast"/>
        </w:trPr>
        <w:tc>
          <w:tcPr>
            <w:tcW w:w="2184" w:type="dxa"/>
            <w:tcBorders>
              <w:top w:val="single" w:color="auto" w:sz="12" w:space="0"/>
              <w:left w:val="single" w:color="auto" w:sz="12" w:space="0"/>
              <w:bottom w:val="single" w:color="auto" w:sz="6" w:space="0"/>
              <w:right w:val="single" w:color="auto" w:sz="6" w:space="0"/>
              <w:tl2br w:val="nil"/>
              <w:tr2bl w:val="nil"/>
            </w:tcBorders>
            <w:noWrap w:val="0"/>
            <w:vAlign w:val="center"/>
          </w:tcPr>
          <w:p w14:paraId="245C9DC7">
            <w:pPr>
              <w:pStyle w:val="284"/>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测试内容</w:t>
            </w:r>
          </w:p>
        </w:tc>
        <w:tc>
          <w:tcPr>
            <w:tcW w:w="2961" w:type="dxa"/>
            <w:gridSpan w:val="2"/>
            <w:tcBorders>
              <w:top w:val="single" w:color="auto" w:sz="12" w:space="0"/>
              <w:left w:val="single" w:color="auto" w:sz="6" w:space="0"/>
              <w:bottom w:val="single" w:color="auto" w:sz="6" w:space="0"/>
              <w:right w:val="single" w:color="auto" w:sz="6" w:space="0"/>
              <w:tl2br w:val="nil"/>
              <w:tr2bl w:val="nil"/>
            </w:tcBorders>
            <w:noWrap w:val="0"/>
            <w:vAlign w:val="center"/>
          </w:tcPr>
          <w:p w14:paraId="79FB6220">
            <w:pPr>
              <w:pStyle w:val="284"/>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测试方法</w:t>
            </w:r>
          </w:p>
        </w:tc>
        <w:tc>
          <w:tcPr>
            <w:tcW w:w="3129" w:type="dxa"/>
            <w:gridSpan w:val="2"/>
            <w:tcBorders>
              <w:top w:val="single" w:color="auto" w:sz="12" w:space="0"/>
              <w:left w:val="single" w:color="auto" w:sz="6" w:space="0"/>
              <w:bottom w:val="single" w:color="auto" w:sz="6" w:space="0"/>
              <w:right w:val="single" w:color="auto" w:sz="12" w:space="0"/>
              <w:tl2br w:val="nil"/>
              <w:tr2bl w:val="nil"/>
            </w:tcBorders>
            <w:noWrap w:val="0"/>
            <w:vAlign w:val="center"/>
          </w:tcPr>
          <w:p w14:paraId="6B068D99">
            <w:pPr>
              <w:pStyle w:val="284"/>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要求</w:t>
            </w:r>
          </w:p>
        </w:tc>
      </w:tr>
      <w:tr w14:paraId="165201D5">
        <w:tblPrEx>
          <w:tblCellMar>
            <w:top w:w="0" w:type="dxa"/>
            <w:left w:w="108" w:type="dxa"/>
            <w:bottom w:w="0" w:type="dxa"/>
            <w:right w:w="108" w:type="dxa"/>
          </w:tblCellMar>
        </w:tblPrEx>
        <w:trPr>
          <w:trHeight w:val="293" w:hRule="atLeast"/>
        </w:trPr>
        <w:tc>
          <w:tcPr>
            <w:tcW w:w="2184" w:type="dxa"/>
            <w:tcBorders>
              <w:top w:val="single" w:color="auto" w:sz="6" w:space="0"/>
              <w:left w:val="single" w:color="auto" w:sz="12" w:space="0"/>
              <w:bottom w:val="single" w:color="auto" w:sz="6" w:space="0"/>
              <w:right w:val="single" w:color="auto" w:sz="6" w:space="0"/>
              <w:tl2br w:val="nil"/>
              <w:tr2bl w:val="nil"/>
            </w:tcBorders>
            <w:noWrap w:val="0"/>
            <w:vAlign w:val="center"/>
          </w:tcPr>
          <w:p w14:paraId="2AC99481">
            <w:pPr>
              <w:pStyle w:val="284"/>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测试参数</w:t>
            </w:r>
          </w:p>
        </w:tc>
        <w:tc>
          <w:tcPr>
            <w:tcW w:w="1806"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8D43E64">
            <w:pPr>
              <w:pStyle w:val="284"/>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ASTM</w:t>
            </w:r>
          </w:p>
        </w:tc>
        <w:tc>
          <w:tcPr>
            <w:tcW w:w="115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E2C6E5F">
            <w:pPr>
              <w:pStyle w:val="284"/>
              <w:spacing w:line="360" w:lineRule="auto"/>
              <w:jc w:val="center"/>
              <w:rPr>
                <w:rFonts w:ascii="宋体" w:hAnsi="宋体" w:cs="宋体"/>
                <w:color w:val="auto"/>
                <w:sz w:val="21"/>
                <w:szCs w:val="21"/>
                <w:highlight w:val="none"/>
              </w:rPr>
            </w:pPr>
          </w:p>
        </w:tc>
        <w:tc>
          <w:tcPr>
            <w:tcW w:w="157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F224D14">
            <w:pPr>
              <w:pStyle w:val="284"/>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最小值</w:t>
            </w:r>
          </w:p>
        </w:tc>
        <w:tc>
          <w:tcPr>
            <w:tcW w:w="1556" w:type="dxa"/>
            <w:tcBorders>
              <w:top w:val="single" w:color="auto" w:sz="6" w:space="0"/>
              <w:left w:val="single" w:color="auto" w:sz="6" w:space="0"/>
              <w:bottom w:val="single" w:color="auto" w:sz="6" w:space="0"/>
              <w:right w:val="single" w:color="auto" w:sz="12" w:space="0"/>
              <w:tl2br w:val="nil"/>
              <w:tr2bl w:val="nil"/>
            </w:tcBorders>
            <w:noWrap w:val="0"/>
            <w:vAlign w:val="center"/>
          </w:tcPr>
          <w:p w14:paraId="6AE518A2">
            <w:pPr>
              <w:pStyle w:val="284"/>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最大值</w:t>
            </w:r>
          </w:p>
        </w:tc>
      </w:tr>
      <w:tr w14:paraId="60737778">
        <w:tblPrEx>
          <w:tblCellMar>
            <w:top w:w="0" w:type="dxa"/>
            <w:left w:w="108" w:type="dxa"/>
            <w:bottom w:w="0" w:type="dxa"/>
            <w:right w:w="108" w:type="dxa"/>
          </w:tblCellMar>
        </w:tblPrEx>
        <w:trPr>
          <w:trHeight w:val="231" w:hRule="atLeast"/>
        </w:trPr>
        <w:tc>
          <w:tcPr>
            <w:tcW w:w="2184" w:type="dxa"/>
            <w:tcBorders>
              <w:top w:val="single" w:color="auto" w:sz="6" w:space="0"/>
              <w:left w:val="single" w:color="auto" w:sz="12" w:space="0"/>
              <w:bottom w:val="single" w:color="auto" w:sz="6" w:space="0"/>
              <w:right w:val="single" w:color="auto" w:sz="6" w:space="0"/>
              <w:tl2br w:val="nil"/>
              <w:tr2bl w:val="nil"/>
            </w:tcBorders>
            <w:noWrap w:val="0"/>
            <w:vAlign w:val="center"/>
          </w:tcPr>
          <w:p w14:paraId="4125F65A">
            <w:pPr>
              <w:pStyle w:val="284"/>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粘度@25℃，SFS</w:t>
            </w:r>
          </w:p>
        </w:tc>
        <w:tc>
          <w:tcPr>
            <w:tcW w:w="1806"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2A3A0B3">
            <w:pPr>
              <w:pStyle w:val="284"/>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D-244</w:t>
            </w:r>
          </w:p>
        </w:tc>
        <w:tc>
          <w:tcPr>
            <w:tcW w:w="115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37E3BA4">
            <w:pPr>
              <w:pStyle w:val="284"/>
              <w:spacing w:line="360" w:lineRule="auto"/>
              <w:jc w:val="center"/>
              <w:rPr>
                <w:rFonts w:ascii="宋体" w:hAnsi="宋体" w:cs="宋体"/>
                <w:color w:val="auto"/>
                <w:sz w:val="21"/>
                <w:szCs w:val="21"/>
                <w:highlight w:val="none"/>
              </w:rPr>
            </w:pPr>
          </w:p>
        </w:tc>
        <w:tc>
          <w:tcPr>
            <w:tcW w:w="157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1430AAC">
            <w:pPr>
              <w:pStyle w:val="284"/>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2</w:t>
            </w:r>
            <w:r>
              <w:rPr>
                <w:rFonts w:ascii="宋体" w:hAnsi="宋体" w:cs="宋体"/>
                <w:color w:val="auto"/>
                <w:sz w:val="21"/>
                <w:szCs w:val="21"/>
                <w:highlight w:val="none"/>
              </w:rPr>
              <w:t>0</w:t>
            </w:r>
          </w:p>
        </w:tc>
        <w:tc>
          <w:tcPr>
            <w:tcW w:w="1556" w:type="dxa"/>
            <w:tcBorders>
              <w:top w:val="single" w:color="auto" w:sz="6" w:space="0"/>
              <w:left w:val="single" w:color="auto" w:sz="6" w:space="0"/>
              <w:bottom w:val="single" w:color="auto" w:sz="6" w:space="0"/>
              <w:right w:val="single" w:color="auto" w:sz="12" w:space="0"/>
              <w:tl2br w:val="nil"/>
              <w:tr2bl w:val="nil"/>
            </w:tcBorders>
            <w:noWrap w:val="0"/>
            <w:vAlign w:val="center"/>
          </w:tcPr>
          <w:p w14:paraId="62130B88">
            <w:pPr>
              <w:pStyle w:val="284"/>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150</w:t>
            </w:r>
          </w:p>
        </w:tc>
      </w:tr>
      <w:tr w14:paraId="1D5312F4">
        <w:tblPrEx>
          <w:tblCellMar>
            <w:top w:w="0" w:type="dxa"/>
            <w:left w:w="108" w:type="dxa"/>
            <w:bottom w:w="0" w:type="dxa"/>
            <w:right w:w="108" w:type="dxa"/>
          </w:tblCellMar>
        </w:tblPrEx>
        <w:trPr>
          <w:trHeight w:val="231" w:hRule="atLeast"/>
        </w:trPr>
        <w:tc>
          <w:tcPr>
            <w:tcW w:w="2184" w:type="dxa"/>
            <w:tcBorders>
              <w:top w:val="single" w:color="auto" w:sz="6" w:space="0"/>
              <w:left w:val="single" w:color="auto" w:sz="12" w:space="0"/>
              <w:bottom w:val="single" w:color="auto" w:sz="6" w:space="0"/>
              <w:right w:val="single" w:color="auto" w:sz="6" w:space="0"/>
              <w:tl2br w:val="nil"/>
              <w:tr2bl w:val="nil"/>
            </w:tcBorders>
            <w:noWrap w:val="0"/>
            <w:vAlign w:val="center"/>
          </w:tcPr>
          <w:p w14:paraId="72E9ED34">
            <w:pPr>
              <w:pStyle w:val="284"/>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过筛测试，% w</w:t>
            </w:r>
          </w:p>
        </w:tc>
        <w:tc>
          <w:tcPr>
            <w:tcW w:w="1806"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8AFAD4B">
            <w:pPr>
              <w:pStyle w:val="284"/>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D-244（mod）</w:t>
            </w:r>
          </w:p>
        </w:tc>
        <w:tc>
          <w:tcPr>
            <w:tcW w:w="115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17D6055">
            <w:pPr>
              <w:pStyle w:val="284"/>
              <w:spacing w:line="360" w:lineRule="auto"/>
              <w:jc w:val="center"/>
              <w:rPr>
                <w:rFonts w:ascii="宋体" w:hAnsi="宋体" w:cs="宋体"/>
                <w:color w:val="auto"/>
                <w:sz w:val="21"/>
                <w:szCs w:val="21"/>
                <w:highlight w:val="none"/>
              </w:rPr>
            </w:pPr>
          </w:p>
        </w:tc>
        <w:tc>
          <w:tcPr>
            <w:tcW w:w="157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63F7421">
            <w:pPr>
              <w:pStyle w:val="284"/>
              <w:spacing w:line="360" w:lineRule="auto"/>
              <w:jc w:val="center"/>
              <w:rPr>
                <w:rFonts w:ascii="宋体" w:hAnsi="宋体" w:cs="宋体"/>
                <w:color w:val="auto"/>
                <w:sz w:val="21"/>
                <w:szCs w:val="21"/>
                <w:highlight w:val="none"/>
              </w:rPr>
            </w:pPr>
          </w:p>
        </w:tc>
        <w:tc>
          <w:tcPr>
            <w:tcW w:w="1556" w:type="dxa"/>
            <w:tcBorders>
              <w:top w:val="single" w:color="auto" w:sz="6" w:space="0"/>
              <w:left w:val="single" w:color="auto" w:sz="6" w:space="0"/>
              <w:bottom w:val="single" w:color="auto" w:sz="6" w:space="0"/>
              <w:right w:val="single" w:color="auto" w:sz="12" w:space="0"/>
              <w:tl2br w:val="nil"/>
              <w:tr2bl w:val="nil"/>
            </w:tcBorders>
            <w:noWrap w:val="0"/>
            <w:vAlign w:val="center"/>
          </w:tcPr>
          <w:p w14:paraId="71F6F5F8">
            <w:pPr>
              <w:pStyle w:val="284"/>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0.1</w:t>
            </w:r>
          </w:p>
        </w:tc>
      </w:tr>
      <w:tr w14:paraId="3628ED65">
        <w:tblPrEx>
          <w:tblCellMar>
            <w:top w:w="0" w:type="dxa"/>
            <w:left w:w="108" w:type="dxa"/>
            <w:bottom w:w="0" w:type="dxa"/>
            <w:right w:w="108" w:type="dxa"/>
          </w:tblCellMar>
        </w:tblPrEx>
        <w:trPr>
          <w:trHeight w:val="231" w:hRule="atLeast"/>
        </w:trPr>
        <w:tc>
          <w:tcPr>
            <w:tcW w:w="2184" w:type="dxa"/>
            <w:tcBorders>
              <w:top w:val="single" w:color="auto" w:sz="6" w:space="0"/>
              <w:left w:val="single" w:color="auto" w:sz="12" w:space="0"/>
              <w:bottom w:val="single" w:color="auto" w:sz="6" w:space="0"/>
              <w:right w:val="single" w:color="auto" w:sz="6" w:space="0"/>
              <w:tl2br w:val="nil"/>
              <w:tr2bl w:val="nil"/>
            </w:tcBorders>
            <w:noWrap w:val="0"/>
            <w:vAlign w:val="center"/>
          </w:tcPr>
          <w:p w14:paraId="6EB0EC1C">
            <w:pPr>
              <w:pStyle w:val="284"/>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粒子载荷试验</w:t>
            </w:r>
          </w:p>
        </w:tc>
        <w:tc>
          <w:tcPr>
            <w:tcW w:w="1806"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6DBC267">
            <w:pPr>
              <w:pStyle w:val="284"/>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D-244</w:t>
            </w:r>
          </w:p>
        </w:tc>
        <w:tc>
          <w:tcPr>
            <w:tcW w:w="115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B79C4CF">
            <w:pPr>
              <w:pStyle w:val="284"/>
              <w:spacing w:line="360" w:lineRule="auto"/>
              <w:jc w:val="center"/>
              <w:rPr>
                <w:rFonts w:ascii="宋体" w:hAnsi="宋体" w:cs="宋体"/>
                <w:color w:val="auto"/>
                <w:sz w:val="21"/>
                <w:szCs w:val="21"/>
                <w:highlight w:val="none"/>
              </w:rPr>
            </w:pPr>
          </w:p>
        </w:tc>
        <w:tc>
          <w:tcPr>
            <w:tcW w:w="3129" w:type="dxa"/>
            <w:gridSpan w:val="2"/>
            <w:tcBorders>
              <w:top w:val="single" w:color="auto" w:sz="6" w:space="0"/>
              <w:left w:val="single" w:color="auto" w:sz="6" w:space="0"/>
              <w:bottom w:val="single" w:color="auto" w:sz="6" w:space="0"/>
              <w:right w:val="single" w:color="auto" w:sz="12" w:space="0"/>
              <w:tl2br w:val="nil"/>
              <w:tr2bl w:val="nil"/>
            </w:tcBorders>
            <w:noWrap w:val="0"/>
            <w:vAlign w:val="center"/>
          </w:tcPr>
          <w:p w14:paraId="1C81BE2D">
            <w:pPr>
              <w:pStyle w:val="284"/>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阳离子带正电（+）</w:t>
            </w:r>
          </w:p>
        </w:tc>
      </w:tr>
      <w:tr w14:paraId="27E7413F">
        <w:tblPrEx>
          <w:tblCellMar>
            <w:top w:w="0" w:type="dxa"/>
            <w:left w:w="108" w:type="dxa"/>
            <w:bottom w:w="0" w:type="dxa"/>
            <w:right w:w="108" w:type="dxa"/>
          </w:tblCellMar>
        </w:tblPrEx>
        <w:trPr>
          <w:trHeight w:val="256" w:hRule="atLeast"/>
        </w:trPr>
        <w:tc>
          <w:tcPr>
            <w:tcW w:w="2184" w:type="dxa"/>
            <w:tcBorders>
              <w:top w:val="single" w:color="auto" w:sz="6" w:space="0"/>
              <w:left w:val="single" w:color="auto" w:sz="12" w:space="0"/>
              <w:bottom w:val="single" w:color="auto" w:sz="6" w:space="0"/>
              <w:right w:val="single" w:color="auto" w:sz="6" w:space="0"/>
              <w:tl2br w:val="nil"/>
              <w:tr2bl w:val="nil"/>
            </w:tcBorders>
            <w:noWrap w:val="0"/>
            <w:vAlign w:val="center"/>
          </w:tcPr>
          <w:p w14:paraId="39649FF1">
            <w:pPr>
              <w:pStyle w:val="284"/>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混凝土拌和</w:t>
            </w:r>
          </w:p>
        </w:tc>
        <w:tc>
          <w:tcPr>
            <w:tcW w:w="1806"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D4E1BEA">
            <w:pPr>
              <w:pStyle w:val="284"/>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D-244</w:t>
            </w:r>
          </w:p>
        </w:tc>
        <w:tc>
          <w:tcPr>
            <w:tcW w:w="115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E3B3BEE">
            <w:pPr>
              <w:pStyle w:val="284"/>
              <w:spacing w:line="360" w:lineRule="auto"/>
              <w:jc w:val="center"/>
              <w:rPr>
                <w:rFonts w:ascii="宋体" w:hAnsi="宋体" w:cs="宋体"/>
                <w:color w:val="auto"/>
                <w:sz w:val="21"/>
                <w:szCs w:val="21"/>
                <w:highlight w:val="none"/>
              </w:rPr>
            </w:pPr>
          </w:p>
        </w:tc>
        <w:tc>
          <w:tcPr>
            <w:tcW w:w="157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D7BACB7">
            <w:pPr>
              <w:pStyle w:val="284"/>
              <w:spacing w:line="360" w:lineRule="auto"/>
              <w:jc w:val="center"/>
              <w:rPr>
                <w:rFonts w:ascii="宋体" w:hAnsi="宋体" w:cs="宋体"/>
                <w:color w:val="auto"/>
                <w:sz w:val="21"/>
                <w:szCs w:val="21"/>
                <w:highlight w:val="none"/>
              </w:rPr>
            </w:pPr>
          </w:p>
        </w:tc>
        <w:tc>
          <w:tcPr>
            <w:tcW w:w="1556" w:type="dxa"/>
            <w:tcBorders>
              <w:top w:val="single" w:color="auto" w:sz="6" w:space="0"/>
              <w:left w:val="single" w:color="auto" w:sz="6" w:space="0"/>
              <w:bottom w:val="single" w:color="auto" w:sz="6" w:space="0"/>
              <w:right w:val="single" w:color="auto" w:sz="12" w:space="0"/>
              <w:tl2br w:val="nil"/>
              <w:tr2bl w:val="nil"/>
            </w:tcBorders>
            <w:noWrap w:val="0"/>
            <w:vAlign w:val="center"/>
          </w:tcPr>
          <w:p w14:paraId="057DD32B">
            <w:pPr>
              <w:pStyle w:val="284"/>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2.0</w:t>
            </w:r>
          </w:p>
        </w:tc>
      </w:tr>
      <w:tr w14:paraId="383F914B">
        <w:tblPrEx>
          <w:tblCellMar>
            <w:top w:w="0" w:type="dxa"/>
            <w:left w:w="108" w:type="dxa"/>
            <w:bottom w:w="0" w:type="dxa"/>
            <w:right w:w="108" w:type="dxa"/>
          </w:tblCellMar>
        </w:tblPrEx>
        <w:trPr>
          <w:trHeight w:val="231" w:hRule="atLeast"/>
        </w:trPr>
        <w:tc>
          <w:tcPr>
            <w:tcW w:w="2184" w:type="dxa"/>
            <w:tcBorders>
              <w:top w:val="single" w:color="auto" w:sz="6" w:space="0"/>
              <w:left w:val="single" w:color="auto" w:sz="12" w:space="0"/>
              <w:bottom w:val="single" w:color="auto" w:sz="6" w:space="0"/>
              <w:right w:val="single" w:color="auto" w:sz="6" w:space="0"/>
              <w:tl2br w:val="nil"/>
              <w:tr2bl w:val="nil"/>
            </w:tcBorders>
            <w:noWrap w:val="0"/>
            <w:vAlign w:val="center"/>
          </w:tcPr>
          <w:p w14:paraId="1ACB4C98">
            <w:pPr>
              <w:pStyle w:val="284"/>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齿轮泵送稳定性</w:t>
            </w:r>
          </w:p>
        </w:tc>
        <w:tc>
          <w:tcPr>
            <w:tcW w:w="1806"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341D993">
            <w:pPr>
              <w:pStyle w:val="284"/>
              <w:spacing w:line="360" w:lineRule="auto"/>
              <w:jc w:val="center"/>
              <w:rPr>
                <w:rFonts w:ascii="宋体" w:hAnsi="宋体" w:cs="宋体"/>
                <w:color w:val="auto"/>
                <w:sz w:val="21"/>
                <w:szCs w:val="21"/>
                <w:highlight w:val="none"/>
              </w:rPr>
            </w:pPr>
          </w:p>
        </w:tc>
        <w:tc>
          <w:tcPr>
            <w:tcW w:w="115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9ECE695">
            <w:pPr>
              <w:pStyle w:val="284"/>
              <w:spacing w:line="360" w:lineRule="auto"/>
              <w:jc w:val="center"/>
              <w:rPr>
                <w:rFonts w:ascii="宋体" w:hAnsi="宋体" w:cs="宋体"/>
                <w:color w:val="auto"/>
                <w:sz w:val="21"/>
                <w:szCs w:val="21"/>
                <w:highlight w:val="none"/>
              </w:rPr>
            </w:pPr>
          </w:p>
        </w:tc>
        <w:tc>
          <w:tcPr>
            <w:tcW w:w="3129" w:type="dxa"/>
            <w:gridSpan w:val="2"/>
            <w:tcBorders>
              <w:top w:val="single" w:color="auto" w:sz="6" w:space="0"/>
              <w:left w:val="single" w:color="auto" w:sz="6" w:space="0"/>
              <w:bottom w:val="single" w:color="auto" w:sz="6" w:space="0"/>
              <w:right w:val="single" w:color="auto" w:sz="12" w:space="0"/>
              <w:tl2br w:val="nil"/>
              <w:tr2bl w:val="nil"/>
            </w:tcBorders>
            <w:noWrap w:val="0"/>
            <w:vAlign w:val="center"/>
          </w:tcPr>
          <w:p w14:paraId="1F2C743E">
            <w:pPr>
              <w:pStyle w:val="284"/>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通过</w:t>
            </w:r>
          </w:p>
        </w:tc>
      </w:tr>
      <w:tr w14:paraId="43B216D4">
        <w:tblPrEx>
          <w:tblCellMar>
            <w:top w:w="0" w:type="dxa"/>
            <w:left w:w="108" w:type="dxa"/>
            <w:bottom w:w="0" w:type="dxa"/>
            <w:right w:w="108" w:type="dxa"/>
          </w:tblCellMar>
        </w:tblPrEx>
        <w:trPr>
          <w:trHeight w:val="231" w:hRule="atLeast"/>
        </w:trPr>
        <w:tc>
          <w:tcPr>
            <w:tcW w:w="2184" w:type="dxa"/>
            <w:tcBorders>
              <w:top w:val="single" w:color="auto" w:sz="6" w:space="0"/>
              <w:left w:val="single" w:color="auto" w:sz="12" w:space="0"/>
              <w:bottom w:val="single" w:color="auto" w:sz="6" w:space="0"/>
              <w:right w:val="single" w:color="auto" w:sz="6" w:space="0"/>
              <w:tl2br w:val="nil"/>
              <w:tr2bl w:val="nil"/>
            </w:tcBorders>
            <w:noWrap w:val="0"/>
            <w:vAlign w:val="center"/>
          </w:tcPr>
          <w:p w14:paraId="2F1994E0">
            <w:pPr>
              <w:pStyle w:val="284"/>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5天稳固测试，% w</w:t>
            </w:r>
          </w:p>
        </w:tc>
        <w:tc>
          <w:tcPr>
            <w:tcW w:w="1806"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D5F625D">
            <w:pPr>
              <w:pStyle w:val="284"/>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D-244</w:t>
            </w:r>
          </w:p>
        </w:tc>
        <w:tc>
          <w:tcPr>
            <w:tcW w:w="115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12B3A7B">
            <w:pPr>
              <w:pStyle w:val="284"/>
              <w:spacing w:line="360" w:lineRule="auto"/>
              <w:jc w:val="center"/>
              <w:rPr>
                <w:rFonts w:ascii="宋体" w:hAnsi="宋体" w:cs="宋体"/>
                <w:color w:val="auto"/>
                <w:sz w:val="21"/>
                <w:szCs w:val="21"/>
                <w:highlight w:val="none"/>
              </w:rPr>
            </w:pPr>
          </w:p>
        </w:tc>
        <w:tc>
          <w:tcPr>
            <w:tcW w:w="157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F704EA2">
            <w:pPr>
              <w:pStyle w:val="284"/>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w:t>
            </w:r>
          </w:p>
        </w:tc>
        <w:tc>
          <w:tcPr>
            <w:tcW w:w="1556" w:type="dxa"/>
            <w:tcBorders>
              <w:top w:val="single" w:color="auto" w:sz="6" w:space="0"/>
              <w:left w:val="single" w:color="auto" w:sz="6" w:space="0"/>
              <w:bottom w:val="single" w:color="auto" w:sz="6" w:space="0"/>
              <w:right w:val="single" w:color="auto" w:sz="12" w:space="0"/>
              <w:tl2br w:val="nil"/>
              <w:tr2bl w:val="nil"/>
            </w:tcBorders>
            <w:noWrap w:val="0"/>
            <w:vAlign w:val="center"/>
          </w:tcPr>
          <w:p w14:paraId="50C29F05">
            <w:pPr>
              <w:pStyle w:val="284"/>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5</w:t>
            </w:r>
          </w:p>
        </w:tc>
      </w:tr>
      <w:tr w14:paraId="7CB44884">
        <w:tblPrEx>
          <w:tblCellMar>
            <w:top w:w="0" w:type="dxa"/>
            <w:left w:w="108" w:type="dxa"/>
            <w:bottom w:w="0" w:type="dxa"/>
            <w:right w:w="108" w:type="dxa"/>
          </w:tblCellMar>
        </w:tblPrEx>
        <w:trPr>
          <w:trHeight w:val="231" w:hRule="atLeast"/>
        </w:trPr>
        <w:tc>
          <w:tcPr>
            <w:tcW w:w="2184" w:type="dxa"/>
            <w:tcBorders>
              <w:top w:val="single" w:color="auto" w:sz="6" w:space="0"/>
              <w:left w:val="single" w:color="auto" w:sz="12" w:space="0"/>
              <w:bottom w:val="single" w:color="auto" w:sz="6" w:space="0"/>
              <w:right w:val="single" w:color="auto" w:sz="6" w:space="0"/>
              <w:tl2br w:val="nil"/>
              <w:tr2bl w:val="nil"/>
            </w:tcBorders>
            <w:noWrap w:val="0"/>
            <w:vAlign w:val="center"/>
          </w:tcPr>
          <w:p w14:paraId="57288904">
            <w:pPr>
              <w:pStyle w:val="284"/>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残留物，% w</w:t>
            </w:r>
          </w:p>
        </w:tc>
        <w:tc>
          <w:tcPr>
            <w:tcW w:w="1806"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E5754AA">
            <w:pPr>
              <w:pStyle w:val="284"/>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D-244（mod）</w:t>
            </w:r>
          </w:p>
        </w:tc>
        <w:tc>
          <w:tcPr>
            <w:tcW w:w="115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975A1C0">
            <w:pPr>
              <w:pStyle w:val="284"/>
              <w:spacing w:line="360" w:lineRule="auto"/>
              <w:jc w:val="center"/>
              <w:rPr>
                <w:rFonts w:ascii="宋体" w:hAnsi="宋体" w:cs="宋体"/>
                <w:color w:val="auto"/>
                <w:sz w:val="21"/>
                <w:szCs w:val="21"/>
                <w:highlight w:val="none"/>
              </w:rPr>
            </w:pPr>
          </w:p>
        </w:tc>
        <w:tc>
          <w:tcPr>
            <w:tcW w:w="157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C5A19FE">
            <w:pPr>
              <w:pStyle w:val="284"/>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64</w:t>
            </w:r>
          </w:p>
        </w:tc>
        <w:tc>
          <w:tcPr>
            <w:tcW w:w="1556" w:type="dxa"/>
            <w:tcBorders>
              <w:top w:val="single" w:color="auto" w:sz="6" w:space="0"/>
              <w:left w:val="single" w:color="auto" w:sz="6" w:space="0"/>
              <w:bottom w:val="single" w:color="auto" w:sz="6" w:space="0"/>
              <w:right w:val="single" w:color="auto" w:sz="12" w:space="0"/>
              <w:tl2br w:val="nil"/>
              <w:tr2bl w:val="nil"/>
            </w:tcBorders>
            <w:noWrap w:val="0"/>
            <w:vAlign w:val="center"/>
          </w:tcPr>
          <w:p w14:paraId="49763063">
            <w:pPr>
              <w:pStyle w:val="284"/>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w:t>
            </w:r>
          </w:p>
        </w:tc>
      </w:tr>
      <w:tr w14:paraId="6DB557B4">
        <w:tblPrEx>
          <w:tblCellMar>
            <w:top w:w="0" w:type="dxa"/>
            <w:left w:w="108" w:type="dxa"/>
            <w:bottom w:w="0" w:type="dxa"/>
            <w:right w:w="108" w:type="dxa"/>
          </w:tblCellMar>
        </w:tblPrEx>
        <w:trPr>
          <w:trHeight w:val="231" w:hRule="atLeast"/>
        </w:trPr>
        <w:tc>
          <w:tcPr>
            <w:tcW w:w="2184" w:type="dxa"/>
            <w:tcBorders>
              <w:top w:val="single" w:color="auto" w:sz="6" w:space="0"/>
              <w:left w:val="single" w:color="auto" w:sz="12" w:space="0"/>
              <w:bottom w:val="single" w:color="auto" w:sz="6" w:space="0"/>
              <w:right w:val="single" w:color="auto" w:sz="6" w:space="0"/>
              <w:tl2br w:val="nil"/>
              <w:tr2bl w:val="nil"/>
            </w:tcBorders>
            <w:noWrap w:val="0"/>
            <w:vAlign w:val="center"/>
          </w:tcPr>
          <w:p w14:paraId="16F196AD">
            <w:pPr>
              <w:pStyle w:val="284"/>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蒸馏法残留物试验</w:t>
            </w:r>
          </w:p>
        </w:tc>
        <w:tc>
          <w:tcPr>
            <w:tcW w:w="1806"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697F32F">
            <w:pPr>
              <w:pStyle w:val="284"/>
              <w:spacing w:line="360" w:lineRule="auto"/>
              <w:jc w:val="center"/>
              <w:rPr>
                <w:rFonts w:ascii="宋体" w:hAnsi="宋体" w:cs="宋体"/>
                <w:color w:val="auto"/>
                <w:sz w:val="21"/>
                <w:szCs w:val="21"/>
                <w:highlight w:val="none"/>
              </w:rPr>
            </w:pPr>
          </w:p>
        </w:tc>
        <w:tc>
          <w:tcPr>
            <w:tcW w:w="115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E300D68">
            <w:pPr>
              <w:pStyle w:val="284"/>
              <w:spacing w:line="360" w:lineRule="auto"/>
              <w:jc w:val="center"/>
              <w:rPr>
                <w:rFonts w:ascii="宋体" w:hAnsi="宋体" w:cs="宋体"/>
                <w:color w:val="auto"/>
                <w:sz w:val="21"/>
                <w:szCs w:val="21"/>
                <w:highlight w:val="none"/>
              </w:rPr>
            </w:pPr>
          </w:p>
        </w:tc>
        <w:tc>
          <w:tcPr>
            <w:tcW w:w="157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FF76ACC">
            <w:pPr>
              <w:pStyle w:val="284"/>
              <w:spacing w:line="360" w:lineRule="auto"/>
              <w:jc w:val="center"/>
              <w:rPr>
                <w:rFonts w:ascii="宋体" w:hAnsi="宋体" w:cs="宋体"/>
                <w:color w:val="auto"/>
                <w:sz w:val="21"/>
                <w:szCs w:val="21"/>
                <w:highlight w:val="none"/>
              </w:rPr>
            </w:pPr>
          </w:p>
        </w:tc>
        <w:tc>
          <w:tcPr>
            <w:tcW w:w="1556" w:type="dxa"/>
            <w:tcBorders>
              <w:top w:val="single" w:color="auto" w:sz="6" w:space="0"/>
              <w:left w:val="single" w:color="auto" w:sz="6" w:space="0"/>
              <w:bottom w:val="single" w:color="auto" w:sz="6" w:space="0"/>
              <w:right w:val="single" w:color="auto" w:sz="12" w:space="0"/>
              <w:tl2br w:val="nil"/>
              <w:tr2bl w:val="nil"/>
            </w:tcBorders>
            <w:noWrap w:val="0"/>
            <w:vAlign w:val="center"/>
          </w:tcPr>
          <w:p w14:paraId="4C49F434">
            <w:pPr>
              <w:pStyle w:val="284"/>
              <w:spacing w:line="360" w:lineRule="auto"/>
              <w:jc w:val="center"/>
              <w:rPr>
                <w:rFonts w:ascii="宋体" w:hAnsi="宋体" w:cs="宋体"/>
                <w:color w:val="auto"/>
                <w:sz w:val="21"/>
                <w:szCs w:val="21"/>
                <w:highlight w:val="none"/>
              </w:rPr>
            </w:pPr>
          </w:p>
        </w:tc>
      </w:tr>
      <w:tr w14:paraId="26971B22">
        <w:tblPrEx>
          <w:tblCellMar>
            <w:top w:w="0" w:type="dxa"/>
            <w:left w:w="108" w:type="dxa"/>
            <w:bottom w:w="0" w:type="dxa"/>
            <w:right w:w="108" w:type="dxa"/>
          </w:tblCellMar>
        </w:tblPrEx>
        <w:trPr>
          <w:trHeight w:val="231" w:hRule="atLeast"/>
        </w:trPr>
        <w:tc>
          <w:tcPr>
            <w:tcW w:w="2184" w:type="dxa"/>
            <w:tcBorders>
              <w:top w:val="single" w:color="auto" w:sz="6" w:space="0"/>
              <w:left w:val="single" w:color="auto" w:sz="12" w:space="0"/>
              <w:bottom w:val="single" w:color="auto" w:sz="6" w:space="0"/>
              <w:right w:val="single" w:color="auto" w:sz="6" w:space="0"/>
              <w:tl2br w:val="nil"/>
              <w:tr2bl w:val="nil"/>
            </w:tcBorders>
            <w:noWrap w:val="0"/>
            <w:vAlign w:val="center"/>
          </w:tcPr>
          <w:p w14:paraId="70E97919">
            <w:pPr>
              <w:pStyle w:val="284"/>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粘度@60℃，cSt</w:t>
            </w:r>
          </w:p>
        </w:tc>
        <w:tc>
          <w:tcPr>
            <w:tcW w:w="1806"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EE5BC6B">
            <w:pPr>
              <w:pStyle w:val="284"/>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D-2170</w:t>
            </w:r>
          </w:p>
        </w:tc>
        <w:tc>
          <w:tcPr>
            <w:tcW w:w="115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E467175">
            <w:pPr>
              <w:pStyle w:val="284"/>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w:t>
            </w:r>
          </w:p>
        </w:tc>
        <w:tc>
          <w:tcPr>
            <w:tcW w:w="157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44B4422">
            <w:pPr>
              <w:pStyle w:val="284"/>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1000</w:t>
            </w:r>
          </w:p>
        </w:tc>
        <w:tc>
          <w:tcPr>
            <w:tcW w:w="1556" w:type="dxa"/>
            <w:tcBorders>
              <w:top w:val="single" w:color="auto" w:sz="6" w:space="0"/>
              <w:left w:val="single" w:color="auto" w:sz="6" w:space="0"/>
              <w:bottom w:val="single" w:color="auto" w:sz="6" w:space="0"/>
              <w:right w:val="single" w:color="auto" w:sz="12" w:space="0"/>
              <w:tl2br w:val="nil"/>
              <w:tr2bl w:val="nil"/>
            </w:tcBorders>
            <w:noWrap w:val="0"/>
            <w:vAlign w:val="center"/>
          </w:tcPr>
          <w:p w14:paraId="0ED8B27F">
            <w:pPr>
              <w:pStyle w:val="284"/>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4000</w:t>
            </w:r>
          </w:p>
        </w:tc>
      </w:tr>
      <w:tr w14:paraId="32D5F23C">
        <w:tblPrEx>
          <w:tblCellMar>
            <w:top w:w="0" w:type="dxa"/>
            <w:left w:w="108" w:type="dxa"/>
            <w:bottom w:w="0" w:type="dxa"/>
            <w:right w:w="108" w:type="dxa"/>
          </w:tblCellMar>
        </w:tblPrEx>
        <w:trPr>
          <w:trHeight w:val="231" w:hRule="atLeast"/>
        </w:trPr>
        <w:tc>
          <w:tcPr>
            <w:tcW w:w="2184" w:type="dxa"/>
            <w:tcBorders>
              <w:top w:val="single" w:color="auto" w:sz="6" w:space="0"/>
              <w:left w:val="single" w:color="auto" w:sz="12" w:space="0"/>
              <w:bottom w:val="single" w:color="auto" w:sz="6" w:space="0"/>
              <w:right w:val="single" w:color="auto" w:sz="6" w:space="0"/>
              <w:tl2br w:val="nil"/>
              <w:tr2bl w:val="nil"/>
            </w:tcBorders>
            <w:noWrap w:val="0"/>
            <w:vAlign w:val="center"/>
          </w:tcPr>
          <w:p w14:paraId="34F2968A">
            <w:pPr>
              <w:pStyle w:val="284"/>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软沥青分配比率</w:t>
            </w:r>
          </w:p>
        </w:tc>
        <w:tc>
          <w:tcPr>
            <w:tcW w:w="1806" w:type="dxa"/>
            <w:vMerge w:val="restart"/>
            <w:tcBorders>
              <w:top w:val="single" w:color="auto" w:sz="6" w:space="0"/>
              <w:left w:val="single" w:color="auto" w:sz="6" w:space="0"/>
              <w:right w:val="single" w:color="auto" w:sz="6" w:space="0"/>
              <w:tl2br w:val="nil"/>
              <w:tr2bl w:val="nil"/>
            </w:tcBorders>
            <w:noWrap w:val="0"/>
            <w:vAlign w:val="center"/>
          </w:tcPr>
          <w:p w14:paraId="4901AC9C">
            <w:pPr>
              <w:pStyle w:val="284"/>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D-2006-70</w:t>
            </w:r>
          </w:p>
        </w:tc>
        <w:tc>
          <w:tcPr>
            <w:tcW w:w="1155" w:type="dxa"/>
            <w:vMerge w:val="restart"/>
            <w:tcBorders>
              <w:top w:val="single" w:color="auto" w:sz="6" w:space="0"/>
              <w:left w:val="single" w:color="auto" w:sz="6" w:space="0"/>
              <w:right w:val="single" w:color="auto" w:sz="6" w:space="0"/>
              <w:tl2br w:val="nil"/>
              <w:tr2bl w:val="nil"/>
            </w:tcBorders>
            <w:noWrap w:val="0"/>
            <w:vAlign w:val="center"/>
          </w:tcPr>
          <w:p w14:paraId="40DBFD22">
            <w:pPr>
              <w:pStyle w:val="284"/>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w:t>
            </w:r>
          </w:p>
        </w:tc>
        <w:tc>
          <w:tcPr>
            <w:tcW w:w="1573" w:type="dxa"/>
            <w:vMerge w:val="restart"/>
            <w:tcBorders>
              <w:top w:val="single" w:color="auto" w:sz="6" w:space="0"/>
              <w:left w:val="single" w:color="auto" w:sz="6" w:space="0"/>
              <w:right w:val="single" w:color="auto" w:sz="6" w:space="0"/>
              <w:tl2br w:val="nil"/>
              <w:tr2bl w:val="nil"/>
            </w:tcBorders>
            <w:noWrap w:val="0"/>
            <w:vAlign w:val="center"/>
          </w:tcPr>
          <w:p w14:paraId="1F0B15B9">
            <w:pPr>
              <w:pStyle w:val="284"/>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0.7</w:t>
            </w:r>
          </w:p>
        </w:tc>
        <w:tc>
          <w:tcPr>
            <w:tcW w:w="1556" w:type="dxa"/>
            <w:vMerge w:val="restart"/>
            <w:tcBorders>
              <w:top w:val="single" w:color="auto" w:sz="6" w:space="0"/>
              <w:left w:val="single" w:color="auto" w:sz="6" w:space="0"/>
              <w:right w:val="single" w:color="auto" w:sz="12" w:space="0"/>
              <w:tl2br w:val="nil"/>
              <w:tr2bl w:val="nil"/>
            </w:tcBorders>
            <w:noWrap w:val="0"/>
            <w:vAlign w:val="center"/>
          </w:tcPr>
          <w:p w14:paraId="1DCA0E9E">
            <w:pPr>
              <w:pStyle w:val="284"/>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1.1</w:t>
            </w:r>
          </w:p>
        </w:tc>
      </w:tr>
      <w:tr w14:paraId="23C6088E">
        <w:tblPrEx>
          <w:tblCellMar>
            <w:top w:w="0" w:type="dxa"/>
            <w:left w:w="108" w:type="dxa"/>
            <w:bottom w:w="0" w:type="dxa"/>
            <w:right w:w="108" w:type="dxa"/>
          </w:tblCellMar>
        </w:tblPrEx>
        <w:trPr>
          <w:trHeight w:val="94" w:hRule="atLeast"/>
        </w:trPr>
        <w:tc>
          <w:tcPr>
            <w:tcW w:w="2184" w:type="dxa"/>
            <w:tcBorders>
              <w:top w:val="single" w:color="auto" w:sz="6" w:space="0"/>
              <w:left w:val="single" w:color="auto" w:sz="12" w:space="0"/>
              <w:bottom w:val="single" w:color="auto" w:sz="6" w:space="0"/>
              <w:right w:val="single" w:color="auto" w:sz="6" w:space="0"/>
              <w:tl2br w:val="nil"/>
              <w:tr2bl w:val="nil"/>
            </w:tcBorders>
            <w:noWrap w:val="0"/>
            <w:vAlign w:val="center"/>
          </w:tcPr>
          <w:p w14:paraId="06CC60CB">
            <w:pPr>
              <w:pStyle w:val="284"/>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PC+A1/S+A2</w:t>
            </w:r>
          </w:p>
        </w:tc>
        <w:tc>
          <w:tcPr>
            <w:tcW w:w="1806" w:type="dxa"/>
            <w:vMerge w:val="continue"/>
            <w:tcBorders>
              <w:left w:val="single" w:color="auto" w:sz="6" w:space="0"/>
              <w:bottom w:val="single" w:color="auto" w:sz="6" w:space="0"/>
              <w:right w:val="single" w:color="auto" w:sz="6" w:space="0"/>
              <w:tl2br w:val="nil"/>
              <w:tr2bl w:val="nil"/>
            </w:tcBorders>
            <w:noWrap w:val="0"/>
            <w:vAlign w:val="center"/>
          </w:tcPr>
          <w:p w14:paraId="6D0C5EE9">
            <w:pPr>
              <w:pStyle w:val="284"/>
              <w:spacing w:line="360" w:lineRule="auto"/>
              <w:jc w:val="center"/>
              <w:rPr>
                <w:rFonts w:ascii="宋体" w:hAnsi="宋体" w:cs="宋体"/>
                <w:color w:val="auto"/>
                <w:sz w:val="21"/>
                <w:szCs w:val="21"/>
                <w:highlight w:val="none"/>
              </w:rPr>
            </w:pPr>
          </w:p>
        </w:tc>
        <w:tc>
          <w:tcPr>
            <w:tcW w:w="1155" w:type="dxa"/>
            <w:vMerge w:val="continue"/>
            <w:tcBorders>
              <w:left w:val="single" w:color="auto" w:sz="6" w:space="0"/>
              <w:bottom w:val="single" w:color="auto" w:sz="6" w:space="0"/>
              <w:right w:val="single" w:color="auto" w:sz="6" w:space="0"/>
              <w:tl2br w:val="nil"/>
              <w:tr2bl w:val="nil"/>
            </w:tcBorders>
            <w:noWrap w:val="0"/>
            <w:vAlign w:val="center"/>
          </w:tcPr>
          <w:p w14:paraId="5721745A">
            <w:pPr>
              <w:pStyle w:val="284"/>
              <w:spacing w:line="360" w:lineRule="auto"/>
              <w:jc w:val="center"/>
              <w:rPr>
                <w:rFonts w:ascii="宋体" w:hAnsi="宋体" w:cs="宋体"/>
                <w:color w:val="auto"/>
                <w:sz w:val="21"/>
                <w:szCs w:val="21"/>
                <w:highlight w:val="none"/>
              </w:rPr>
            </w:pPr>
          </w:p>
        </w:tc>
        <w:tc>
          <w:tcPr>
            <w:tcW w:w="1573" w:type="dxa"/>
            <w:vMerge w:val="continue"/>
            <w:tcBorders>
              <w:left w:val="single" w:color="auto" w:sz="6" w:space="0"/>
              <w:bottom w:val="single" w:color="auto" w:sz="6" w:space="0"/>
              <w:right w:val="single" w:color="auto" w:sz="6" w:space="0"/>
              <w:tl2br w:val="nil"/>
              <w:tr2bl w:val="nil"/>
            </w:tcBorders>
            <w:noWrap w:val="0"/>
            <w:vAlign w:val="center"/>
          </w:tcPr>
          <w:p w14:paraId="035C3E71">
            <w:pPr>
              <w:pStyle w:val="284"/>
              <w:spacing w:line="360" w:lineRule="auto"/>
              <w:jc w:val="center"/>
              <w:rPr>
                <w:rFonts w:ascii="宋体" w:hAnsi="宋体" w:cs="宋体"/>
                <w:color w:val="auto"/>
                <w:sz w:val="21"/>
                <w:szCs w:val="21"/>
                <w:highlight w:val="none"/>
              </w:rPr>
            </w:pPr>
          </w:p>
        </w:tc>
        <w:tc>
          <w:tcPr>
            <w:tcW w:w="1556" w:type="dxa"/>
            <w:vMerge w:val="continue"/>
            <w:tcBorders>
              <w:left w:val="single" w:color="auto" w:sz="6" w:space="0"/>
              <w:bottom w:val="single" w:color="auto" w:sz="6" w:space="0"/>
              <w:right w:val="single" w:color="auto" w:sz="12" w:space="0"/>
              <w:tl2br w:val="nil"/>
              <w:tr2bl w:val="nil"/>
            </w:tcBorders>
            <w:noWrap w:val="0"/>
            <w:vAlign w:val="center"/>
          </w:tcPr>
          <w:p w14:paraId="770221E9">
            <w:pPr>
              <w:pStyle w:val="284"/>
              <w:spacing w:line="360" w:lineRule="auto"/>
              <w:jc w:val="center"/>
              <w:rPr>
                <w:rFonts w:ascii="宋体" w:hAnsi="宋体" w:cs="宋体"/>
                <w:color w:val="auto"/>
                <w:sz w:val="21"/>
                <w:szCs w:val="21"/>
                <w:highlight w:val="none"/>
              </w:rPr>
            </w:pPr>
          </w:p>
        </w:tc>
      </w:tr>
      <w:tr w14:paraId="6E7BBE00">
        <w:tblPrEx>
          <w:tblCellMar>
            <w:top w:w="0" w:type="dxa"/>
            <w:left w:w="108" w:type="dxa"/>
            <w:bottom w:w="0" w:type="dxa"/>
            <w:right w:w="108" w:type="dxa"/>
          </w:tblCellMar>
        </w:tblPrEx>
        <w:trPr>
          <w:trHeight w:val="231" w:hRule="atLeast"/>
        </w:trPr>
        <w:tc>
          <w:tcPr>
            <w:tcW w:w="2184" w:type="dxa"/>
            <w:tcBorders>
              <w:top w:val="single" w:color="auto" w:sz="6" w:space="0"/>
              <w:left w:val="single" w:color="auto" w:sz="12" w:space="0"/>
              <w:bottom w:val="single" w:color="auto" w:sz="6" w:space="0"/>
              <w:right w:val="single" w:color="auto" w:sz="6" w:space="0"/>
              <w:tl2br w:val="nil"/>
              <w:tr2bl w:val="nil"/>
            </w:tcBorders>
            <w:noWrap w:val="0"/>
            <w:vAlign w:val="center"/>
          </w:tcPr>
          <w:p w14:paraId="5B14E840">
            <w:pPr>
              <w:pStyle w:val="284"/>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PC/S比率</w:t>
            </w:r>
          </w:p>
        </w:tc>
        <w:tc>
          <w:tcPr>
            <w:tcW w:w="1806"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8E38984">
            <w:pPr>
              <w:pStyle w:val="284"/>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D-2006-70</w:t>
            </w:r>
          </w:p>
        </w:tc>
        <w:tc>
          <w:tcPr>
            <w:tcW w:w="115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C408B67">
            <w:pPr>
              <w:pStyle w:val="284"/>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w:t>
            </w:r>
          </w:p>
        </w:tc>
        <w:tc>
          <w:tcPr>
            <w:tcW w:w="1573"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3F865CB">
            <w:pPr>
              <w:pStyle w:val="284"/>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0.5</w:t>
            </w:r>
          </w:p>
        </w:tc>
        <w:tc>
          <w:tcPr>
            <w:tcW w:w="1556" w:type="dxa"/>
            <w:tcBorders>
              <w:top w:val="single" w:color="auto" w:sz="6" w:space="0"/>
              <w:left w:val="single" w:color="auto" w:sz="6" w:space="0"/>
              <w:bottom w:val="single" w:color="auto" w:sz="6" w:space="0"/>
              <w:right w:val="single" w:color="auto" w:sz="12" w:space="0"/>
              <w:tl2br w:val="nil"/>
              <w:tr2bl w:val="nil"/>
            </w:tcBorders>
            <w:noWrap w:val="0"/>
            <w:vAlign w:val="center"/>
          </w:tcPr>
          <w:p w14:paraId="788C736C">
            <w:pPr>
              <w:pStyle w:val="284"/>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w:t>
            </w:r>
          </w:p>
        </w:tc>
      </w:tr>
      <w:tr w14:paraId="49D4C067">
        <w:tblPrEx>
          <w:tblCellMar>
            <w:top w:w="0" w:type="dxa"/>
            <w:left w:w="108" w:type="dxa"/>
            <w:bottom w:w="0" w:type="dxa"/>
            <w:right w:w="108" w:type="dxa"/>
          </w:tblCellMar>
        </w:tblPrEx>
        <w:trPr>
          <w:trHeight w:val="231" w:hRule="atLeast"/>
        </w:trPr>
        <w:tc>
          <w:tcPr>
            <w:tcW w:w="2184" w:type="dxa"/>
            <w:tcBorders>
              <w:top w:val="single" w:color="auto" w:sz="6" w:space="0"/>
              <w:left w:val="single" w:color="auto" w:sz="12" w:space="0"/>
              <w:bottom w:val="single" w:color="auto" w:sz="12" w:space="0"/>
              <w:right w:val="single" w:color="auto" w:sz="6" w:space="0"/>
              <w:tl2br w:val="nil"/>
              <w:tr2bl w:val="nil"/>
            </w:tcBorders>
            <w:noWrap w:val="0"/>
            <w:vAlign w:val="center"/>
          </w:tcPr>
          <w:p w14:paraId="693DE0E4">
            <w:pPr>
              <w:pStyle w:val="284"/>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沥青质，% w</w:t>
            </w:r>
          </w:p>
        </w:tc>
        <w:tc>
          <w:tcPr>
            <w:tcW w:w="1806" w:type="dxa"/>
            <w:tcBorders>
              <w:top w:val="single" w:color="auto" w:sz="6" w:space="0"/>
              <w:left w:val="single" w:color="auto" w:sz="6" w:space="0"/>
              <w:bottom w:val="single" w:color="auto" w:sz="12" w:space="0"/>
              <w:right w:val="single" w:color="auto" w:sz="6" w:space="0"/>
              <w:tl2br w:val="nil"/>
              <w:tr2bl w:val="nil"/>
            </w:tcBorders>
            <w:noWrap w:val="0"/>
            <w:vAlign w:val="center"/>
          </w:tcPr>
          <w:p w14:paraId="4B9EDD80">
            <w:pPr>
              <w:pStyle w:val="284"/>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D-2006-70</w:t>
            </w:r>
          </w:p>
        </w:tc>
        <w:tc>
          <w:tcPr>
            <w:tcW w:w="1155" w:type="dxa"/>
            <w:tcBorders>
              <w:top w:val="single" w:color="auto" w:sz="6" w:space="0"/>
              <w:left w:val="single" w:color="auto" w:sz="6" w:space="0"/>
              <w:bottom w:val="single" w:color="auto" w:sz="12" w:space="0"/>
              <w:right w:val="single" w:color="auto" w:sz="6" w:space="0"/>
              <w:tl2br w:val="nil"/>
              <w:tr2bl w:val="nil"/>
            </w:tcBorders>
            <w:noWrap w:val="0"/>
            <w:vAlign w:val="center"/>
          </w:tcPr>
          <w:p w14:paraId="09FC1639">
            <w:pPr>
              <w:pStyle w:val="284"/>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w:t>
            </w:r>
          </w:p>
        </w:tc>
        <w:tc>
          <w:tcPr>
            <w:tcW w:w="1573" w:type="dxa"/>
            <w:tcBorders>
              <w:top w:val="single" w:color="auto" w:sz="6" w:space="0"/>
              <w:left w:val="single" w:color="auto" w:sz="6" w:space="0"/>
              <w:bottom w:val="single" w:color="auto" w:sz="12" w:space="0"/>
              <w:right w:val="single" w:color="auto" w:sz="6" w:space="0"/>
              <w:tl2br w:val="nil"/>
              <w:tr2bl w:val="nil"/>
            </w:tcBorders>
            <w:noWrap w:val="0"/>
            <w:vAlign w:val="center"/>
          </w:tcPr>
          <w:p w14:paraId="040CA9FD">
            <w:pPr>
              <w:pStyle w:val="284"/>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w:t>
            </w:r>
          </w:p>
        </w:tc>
        <w:tc>
          <w:tcPr>
            <w:tcW w:w="1556" w:type="dxa"/>
            <w:tcBorders>
              <w:top w:val="single" w:color="auto" w:sz="6" w:space="0"/>
              <w:left w:val="single" w:color="auto" w:sz="6" w:space="0"/>
              <w:bottom w:val="single" w:color="auto" w:sz="12" w:space="0"/>
              <w:right w:val="single" w:color="auto" w:sz="12" w:space="0"/>
              <w:tl2br w:val="nil"/>
              <w:tr2bl w:val="nil"/>
            </w:tcBorders>
            <w:noWrap w:val="0"/>
            <w:vAlign w:val="center"/>
          </w:tcPr>
          <w:p w14:paraId="0B60DE2D">
            <w:pPr>
              <w:pStyle w:val="284"/>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11.0</w:t>
            </w:r>
          </w:p>
        </w:tc>
      </w:tr>
    </w:tbl>
    <w:p w14:paraId="3A51C78A">
      <w:pPr>
        <w:spacing w:line="360" w:lineRule="auto"/>
        <w:jc w:val="center"/>
        <w:rPr>
          <w:rFonts w:hint="eastAsia" w:ascii="宋体" w:hAnsi="宋体" w:eastAsia="宋体" w:cs="宋体"/>
          <w:b/>
          <w:bCs/>
          <w:color w:val="auto"/>
          <w:sz w:val="10"/>
          <w:szCs w:val="10"/>
          <w:highlight w:val="none"/>
          <w:lang w:val="en-US" w:eastAsia="zh-Hans"/>
        </w:rPr>
      </w:pPr>
    </w:p>
    <w:p w14:paraId="70BB9B8E">
      <w:pPr>
        <w:spacing w:line="360" w:lineRule="auto"/>
        <w:jc w:val="center"/>
        <w:rPr>
          <w:rFonts w:ascii="宋体" w:hAnsi="宋体" w:eastAsia="宋体" w:cs="宋体"/>
          <w:color w:val="auto"/>
          <w:sz w:val="21"/>
          <w:szCs w:val="21"/>
          <w:highlight w:val="none"/>
        </w:rPr>
      </w:pPr>
      <w:r>
        <w:rPr>
          <w:rFonts w:hint="eastAsia" w:ascii="宋体" w:hAnsi="宋体" w:eastAsia="宋体" w:cs="宋体"/>
          <w:b/>
          <w:bCs/>
          <w:color w:val="auto"/>
          <w:sz w:val="21"/>
          <w:szCs w:val="21"/>
          <w:highlight w:val="none"/>
          <w:lang w:val="en-US" w:eastAsia="zh-Hans"/>
        </w:rPr>
        <w:t>表</w:t>
      </w:r>
      <w:r>
        <w:rPr>
          <w:rFonts w:hint="default" w:ascii="宋体" w:hAnsi="宋体" w:eastAsia="宋体" w:cs="宋体"/>
          <w:b/>
          <w:bCs/>
          <w:color w:val="auto"/>
          <w:sz w:val="21"/>
          <w:szCs w:val="21"/>
          <w:highlight w:val="none"/>
          <w:lang w:eastAsia="zh-Hans"/>
        </w:rPr>
        <w:t xml:space="preserve">2-2 </w:t>
      </w:r>
      <w:r>
        <w:rPr>
          <w:rFonts w:hint="default" w:ascii="宋体" w:hAnsi="宋体" w:eastAsia="宋体" w:cs="宋体"/>
          <w:b/>
          <w:bCs/>
          <w:color w:val="auto"/>
          <w:sz w:val="21"/>
          <w:szCs w:val="21"/>
          <w:highlight w:val="none"/>
        </w:rPr>
        <w:t>长寿命沥青路面柔性修复</w:t>
      </w:r>
      <w:r>
        <w:rPr>
          <w:rFonts w:hint="eastAsia" w:ascii="宋体" w:hAnsi="宋体" w:eastAsia="宋体" w:cs="宋体"/>
          <w:b/>
          <w:bCs/>
          <w:color w:val="auto"/>
          <w:sz w:val="21"/>
          <w:szCs w:val="21"/>
          <w:highlight w:val="none"/>
        </w:rPr>
        <w:t>材料的技术指标</w:t>
      </w:r>
    </w:p>
    <w:tbl>
      <w:tblPr>
        <w:tblStyle w:val="51"/>
        <w:tblpPr w:leftFromText="180" w:rightFromText="180" w:vertAnchor="text" w:horzAnchor="page" w:tblpXSpec="center" w:tblpY="133"/>
        <w:tblOverlap w:val="never"/>
        <w:tblW w:w="4999" w:type="pct"/>
        <w:jc w:val="center"/>
        <w:tblLayout w:type="autofit"/>
        <w:tblCellMar>
          <w:top w:w="0" w:type="dxa"/>
          <w:left w:w="108" w:type="dxa"/>
          <w:bottom w:w="0" w:type="dxa"/>
          <w:right w:w="108" w:type="dxa"/>
        </w:tblCellMar>
      </w:tblPr>
      <w:tblGrid>
        <w:gridCol w:w="2839"/>
        <w:gridCol w:w="2339"/>
        <w:gridCol w:w="1889"/>
        <w:gridCol w:w="1697"/>
      </w:tblGrid>
      <w:tr w14:paraId="4D5BF7C6">
        <w:tblPrEx>
          <w:tblCellMar>
            <w:top w:w="0" w:type="dxa"/>
            <w:left w:w="108" w:type="dxa"/>
            <w:bottom w:w="0" w:type="dxa"/>
            <w:right w:w="108" w:type="dxa"/>
          </w:tblCellMar>
        </w:tblPrEx>
        <w:trPr>
          <w:trHeight w:val="270" w:hRule="atLeast"/>
          <w:jc w:val="center"/>
        </w:trPr>
        <w:tc>
          <w:tcPr>
            <w:tcW w:w="1619" w:type="pct"/>
            <w:tcBorders>
              <w:top w:val="single" w:color="auto" w:sz="12" w:space="0"/>
              <w:left w:val="single" w:color="auto" w:sz="12" w:space="0"/>
              <w:bottom w:val="single" w:color="auto" w:sz="6" w:space="0"/>
              <w:right w:val="single" w:color="auto" w:sz="6" w:space="0"/>
              <w:tl2br w:val="nil"/>
              <w:tr2bl w:val="nil"/>
            </w:tcBorders>
            <w:noWrap w:val="0"/>
            <w:vAlign w:val="center"/>
          </w:tcPr>
          <w:p w14:paraId="7B1D2E6D">
            <w:pPr>
              <w:pStyle w:val="284"/>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测试内容</w:t>
            </w:r>
          </w:p>
        </w:tc>
        <w:tc>
          <w:tcPr>
            <w:tcW w:w="1334" w:type="pct"/>
            <w:tcBorders>
              <w:top w:val="single" w:color="auto" w:sz="12" w:space="0"/>
              <w:left w:val="single" w:color="auto" w:sz="6" w:space="0"/>
              <w:bottom w:val="single" w:color="auto" w:sz="6" w:space="0"/>
              <w:right w:val="single" w:color="auto" w:sz="6" w:space="0"/>
              <w:tl2br w:val="nil"/>
              <w:tr2bl w:val="nil"/>
            </w:tcBorders>
            <w:noWrap w:val="0"/>
            <w:vAlign w:val="center"/>
          </w:tcPr>
          <w:p w14:paraId="230A1B75">
            <w:pPr>
              <w:pStyle w:val="284"/>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测试方法</w:t>
            </w:r>
          </w:p>
        </w:tc>
        <w:tc>
          <w:tcPr>
            <w:tcW w:w="2045" w:type="pct"/>
            <w:gridSpan w:val="2"/>
            <w:tcBorders>
              <w:top w:val="single" w:color="auto" w:sz="12" w:space="0"/>
              <w:left w:val="single" w:color="auto" w:sz="6" w:space="0"/>
              <w:bottom w:val="single" w:color="auto" w:sz="6" w:space="0"/>
              <w:right w:val="single" w:color="auto" w:sz="12" w:space="0"/>
              <w:tl2br w:val="nil"/>
              <w:tr2bl w:val="nil"/>
            </w:tcBorders>
            <w:noWrap w:val="0"/>
            <w:vAlign w:val="center"/>
          </w:tcPr>
          <w:p w14:paraId="331673F9">
            <w:pPr>
              <w:pStyle w:val="284"/>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要求</w:t>
            </w:r>
          </w:p>
        </w:tc>
      </w:tr>
      <w:tr w14:paraId="1B1BBEA4">
        <w:tblPrEx>
          <w:tblCellMar>
            <w:top w:w="0" w:type="dxa"/>
            <w:left w:w="108" w:type="dxa"/>
            <w:bottom w:w="0" w:type="dxa"/>
            <w:right w:w="108" w:type="dxa"/>
          </w:tblCellMar>
        </w:tblPrEx>
        <w:trPr>
          <w:trHeight w:val="254" w:hRule="atLeast"/>
          <w:jc w:val="center"/>
        </w:trPr>
        <w:tc>
          <w:tcPr>
            <w:tcW w:w="1619" w:type="pct"/>
            <w:tcBorders>
              <w:top w:val="single" w:color="auto" w:sz="6" w:space="0"/>
              <w:left w:val="single" w:color="auto" w:sz="12" w:space="0"/>
              <w:bottom w:val="single" w:color="auto" w:sz="6" w:space="0"/>
              <w:right w:val="single" w:color="auto" w:sz="6" w:space="0"/>
              <w:tl2br w:val="nil"/>
              <w:tr2bl w:val="nil"/>
            </w:tcBorders>
            <w:noWrap w:val="0"/>
            <w:vAlign w:val="center"/>
          </w:tcPr>
          <w:p w14:paraId="5D080084">
            <w:pPr>
              <w:pStyle w:val="284"/>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测试参数</w:t>
            </w:r>
          </w:p>
        </w:tc>
        <w:tc>
          <w:tcPr>
            <w:tcW w:w="1334" w:type="pct"/>
            <w:tcBorders>
              <w:top w:val="single" w:color="auto" w:sz="6" w:space="0"/>
              <w:left w:val="single" w:color="auto" w:sz="6" w:space="0"/>
              <w:bottom w:val="single" w:color="auto" w:sz="6" w:space="0"/>
              <w:right w:val="single" w:color="auto" w:sz="6" w:space="0"/>
              <w:tl2br w:val="nil"/>
              <w:tr2bl w:val="nil"/>
            </w:tcBorders>
            <w:noWrap w:val="0"/>
            <w:vAlign w:val="center"/>
          </w:tcPr>
          <w:p w14:paraId="1336358A">
            <w:pPr>
              <w:pStyle w:val="284"/>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ASTM</w:t>
            </w:r>
          </w:p>
        </w:tc>
        <w:tc>
          <w:tcPr>
            <w:tcW w:w="1077" w:type="pct"/>
            <w:tcBorders>
              <w:top w:val="single" w:color="auto" w:sz="6" w:space="0"/>
              <w:left w:val="single" w:color="auto" w:sz="6" w:space="0"/>
              <w:bottom w:val="single" w:color="auto" w:sz="6" w:space="0"/>
              <w:right w:val="single" w:color="auto" w:sz="6" w:space="0"/>
              <w:tl2br w:val="nil"/>
              <w:tr2bl w:val="nil"/>
            </w:tcBorders>
            <w:noWrap w:val="0"/>
            <w:vAlign w:val="center"/>
          </w:tcPr>
          <w:p w14:paraId="3C867364">
            <w:pPr>
              <w:pStyle w:val="284"/>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最小值</w:t>
            </w:r>
          </w:p>
        </w:tc>
        <w:tc>
          <w:tcPr>
            <w:tcW w:w="968" w:type="pct"/>
            <w:tcBorders>
              <w:top w:val="single" w:color="auto" w:sz="6" w:space="0"/>
              <w:left w:val="single" w:color="auto" w:sz="6" w:space="0"/>
              <w:bottom w:val="single" w:color="auto" w:sz="6" w:space="0"/>
              <w:right w:val="single" w:color="auto" w:sz="12" w:space="0"/>
              <w:tl2br w:val="nil"/>
              <w:tr2bl w:val="nil"/>
            </w:tcBorders>
            <w:noWrap w:val="0"/>
            <w:vAlign w:val="center"/>
          </w:tcPr>
          <w:p w14:paraId="79BE1B59">
            <w:pPr>
              <w:pStyle w:val="284"/>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最大值</w:t>
            </w:r>
          </w:p>
        </w:tc>
      </w:tr>
      <w:tr w14:paraId="059CB7E3">
        <w:tblPrEx>
          <w:tblCellMar>
            <w:top w:w="0" w:type="dxa"/>
            <w:left w:w="108" w:type="dxa"/>
            <w:bottom w:w="0" w:type="dxa"/>
            <w:right w:w="108" w:type="dxa"/>
          </w:tblCellMar>
        </w:tblPrEx>
        <w:trPr>
          <w:trHeight w:val="120" w:hRule="atLeast"/>
          <w:jc w:val="center"/>
        </w:trPr>
        <w:tc>
          <w:tcPr>
            <w:tcW w:w="1619" w:type="pct"/>
            <w:tcBorders>
              <w:top w:val="single" w:color="auto" w:sz="6" w:space="0"/>
              <w:left w:val="single" w:color="auto" w:sz="12" w:space="0"/>
              <w:bottom w:val="single" w:color="auto" w:sz="6" w:space="0"/>
              <w:right w:val="single" w:color="auto" w:sz="6" w:space="0"/>
              <w:tl2br w:val="nil"/>
              <w:tr2bl w:val="nil"/>
            </w:tcBorders>
            <w:noWrap w:val="0"/>
            <w:vAlign w:val="top"/>
          </w:tcPr>
          <w:p w14:paraId="06693693">
            <w:pPr>
              <w:pStyle w:val="284"/>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 xml:space="preserve">锥入度（25℃） </w:t>
            </w:r>
          </w:p>
        </w:tc>
        <w:tc>
          <w:tcPr>
            <w:tcW w:w="1334" w:type="pct"/>
            <w:tcBorders>
              <w:top w:val="single" w:color="auto" w:sz="6" w:space="0"/>
              <w:left w:val="single" w:color="auto" w:sz="6" w:space="0"/>
              <w:bottom w:val="single" w:color="auto" w:sz="6" w:space="0"/>
              <w:right w:val="single" w:color="auto" w:sz="6" w:space="0"/>
              <w:tl2br w:val="nil"/>
              <w:tr2bl w:val="nil"/>
            </w:tcBorders>
            <w:noWrap w:val="0"/>
            <w:vAlign w:val="center"/>
          </w:tcPr>
          <w:p w14:paraId="0E7A67CE">
            <w:pPr>
              <w:pStyle w:val="284"/>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D5329</w:t>
            </w:r>
          </w:p>
        </w:tc>
        <w:tc>
          <w:tcPr>
            <w:tcW w:w="1077" w:type="pct"/>
            <w:tcBorders>
              <w:top w:val="single" w:color="auto" w:sz="6" w:space="0"/>
              <w:left w:val="single" w:color="auto" w:sz="6" w:space="0"/>
              <w:bottom w:val="single" w:color="auto" w:sz="6" w:space="0"/>
              <w:right w:val="single" w:color="auto" w:sz="6" w:space="0"/>
              <w:tl2br w:val="nil"/>
              <w:tr2bl w:val="nil"/>
            </w:tcBorders>
            <w:noWrap w:val="0"/>
            <w:vAlign w:val="center"/>
          </w:tcPr>
          <w:p w14:paraId="7BE739BE">
            <w:pPr>
              <w:pStyle w:val="284"/>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35</w:t>
            </w:r>
          </w:p>
        </w:tc>
        <w:tc>
          <w:tcPr>
            <w:tcW w:w="968" w:type="pct"/>
            <w:tcBorders>
              <w:top w:val="single" w:color="auto" w:sz="6" w:space="0"/>
              <w:left w:val="single" w:color="auto" w:sz="6" w:space="0"/>
              <w:bottom w:val="single" w:color="auto" w:sz="6" w:space="0"/>
              <w:right w:val="single" w:color="auto" w:sz="12" w:space="0"/>
              <w:tl2br w:val="nil"/>
              <w:tr2bl w:val="nil"/>
            </w:tcBorders>
            <w:noWrap w:val="0"/>
            <w:vAlign w:val="center"/>
          </w:tcPr>
          <w:p w14:paraId="1E20B0E9">
            <w:pPr>
              <w:pStyle w:val="284"/>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55</w:t>
            </w:r>
          </w:p>
        </w:tc>
      </w:tr>
      <w:tr w14:paraId="3D961ED3">
        <w:tblPrEx>
          <w:tblCellMar>
            <w:top w:w="0" w:type="dxa"/>
            <w:left w:w="108" w:type="dxa"/>
            <w:bottom w:w="0" w:type="dxa"/>
            <w:right w:w="108" w:type="dxa"/>
          </w:tblCellMar>
        </w:tblPrEx>
        <w:trPr>
          <w:trHeight w:val="90" w:hRule="atLeast"/>
          <w:jc w:val="center"/>
        </w:trPr>
        <w:tc>
          <w:tcPr>
            <w:tcW w:w="1619" w:type="pct"/>
            <w:tcBorders>
              <w:top w:val="single" w:color="auto" w:sz="6" w:space="0"/>
              <w:left w:val="single" w:color="auto" w:sz="12" w:space="0"/>
              <w:bottom w:val="single" w:color="auto" w:sz="6" w:space="0"/>
              <w:right w:val="single" w:color="auto" w:sz="6" w:space="0"/>
              <w:tl2br w:val="nil"/>
              <w:tr2bl w:val="nil"/>
            </w:tcBorders>
            <w:noWrap w:val="0"/>
            <w:vAlign w:val="top"/>
          </w:tcPr>
          <w:p w14:paraId="5DA8428E">
            <w:pPr>
              <w:pStyle w:val="284"/>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回弹性（25℃）</w:t>
            </w:r>
          </w:p>
        </w:tc>
        <w:tc>
          <w:tcPr>
            <w:tcW w:w="1334" w:type="pct"/>
            <w:tcBorders>
              <w:top w:val="single" w:color="auto" w:sz="6" w:space="0"/>
              <w:left w:val="single" w:color="auto" w:sz="6" w:space="0"/>
              <w:bottom w:val="single" w:color="auto" w:sz="6" w:space="0"/>
              <w:right w:val="single" w:color="auto" w:sz="6" w:space="0"/>
              <w:tl2br w:val="nil"/>
              <w:tr2bl w:val="nil"/>
            </w:tcBorders>
            <w:noWrap w:val="0"/>
            <w:vAlign w:val="center"/>
          </w:tcPr>
          <w:p w14:paraId="15AA0F7F">
            <w:pPr>
              <w:pStyle w:val="284"/>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D5329</w:t>
            </w:r>
          </w:p>
        </w:tc>
        <w:tc>
          <w:tcPr>
            <w:tcW w:w="1077" w:type="pct"/>
            <w:tcBorders>
              <w:top w:val="single" w:color="auto" w:sz="6" w:space="0"/>
              <w:left w:val="single" w:color="auto" w:sz="6" w:space="0"/>
              <w:bottom w:val="single" w:color="auto" w:sz="6" w:space="0"/>
              <w:right w:val="single" w:color="auto" w:sz="4" w:space="0"/>
              <w:tl2br w:val="nil"/>
              <w:tr2bl w:val="nil"/>
            </w:tcBorders>
            <w:noWrap w:val="0"/>
            <w:vAlign w:val="center"/>
          </w:tcPr>
          <w:p w14:paraId="3863F486">
            <w:pPr>
              <w:pStyle w:val="284"/>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40%</w:t>
            </w:r>
          </w:p>
        </w:tc>
        <w:tc>
          <w:tcPr>
            <w:tcW w:w="968" w:type="pct"/>
            <w:tcBorders>
              <w:top w:val="single" w:color="auto" w:sz="6" w:space="0"/>
              <w:left w:val="single" w:color="auto" w:sz="4" w:space="0"/>
              <w:bottom w:val="single" w:color="auto" w:sz="6" w:space="0"/>
              <w:right w:val="single" w:color="auto" w:sz="12" w:space="0"/>
              <w:tl2br w:val="nil"/>
              <w:tr2bl w:val="nil"/>
            </w:tcBorders>
            <w:noWrap w:val="0"/>
            <w:vAlign w:val="center"/>
          </w:tcPr>
          <w:p w14:paraId="40006033">
            <w:pPr>
              <w:pStyle w:val="284"/>
              <w:spacing w:line="360" w:lineRule="auto"/>
              <w:jc w:val="center"/>
              <w:rPr>
                <w:rFonts w:ascii="宋体" w:hAnsi="宋体" w:cs="宋体"/>
                <w:color w:val="auto"/>
                <w:sz w:val="21"/>
                <w:szCs w:val="21"/>
                <w:highlight w:val="none"/>
              </w:rPr>
            </w:pPr>
          </w:p>
        </w:tc>
      </w:tr>
      <w:tr w14:paraId="72B45682">
        <w:tblPrEx>
          <w:tblCellMar>
            <w:top w:w="0" w:type="dxa"/>
            <w:left w:w="108" w:type="dxa"/>
            <w:bottom w:w="0" w:type="dxa"/>
            <w:right w:w="108" w:type="dxa"/>
          </w:tblCellMar>
        </w:tblPrEx>
        <w:trPr>
          <w:trHeight w:val="90" w:hRule="atLeast"/>
          <w:jc w:val="center"/>
        </w:trPr>
        <w:tc>
          <w:tcPr>
            <w:tcW w:w="1619" w:type="pct"/>
            <w:tcBorders>
              <w:top w:val="single" w:color="auto" w:sz="6" w:space="0"/>
              <w:left w:val="single" w:color="auto" w:sz="12" w:space="0"/>
              <w:bottom w:val="single" w:color="auto" w:sz="6" w:space="0"/>
              <w:right w:val="single" w:color="auto" w:sz="6" w:space="0"/>
              <w:tl2br w:val="nil"/>
              <w:tr2bl w:val="nil"/>
            </w:tcBorders>
            <w:noWrap w:val="0"/>
            <w:vAlign w:val="top"/>
          </w:tcPr>
          <w:p w14:paraId="754BB55A">
            <w:pPr>
              <w:pStyle w:val="284"/>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软化点</w:t>
            </w:r>
          </w:p>
        </w:tc>
        <w:tc>
          <w:tcPr>
            <w:tcW w:w="1334" w:type="pct"/>
            <w:tcBorders>
              <w:top w:val="single" w:color="auto" w:sz="6" w:space="0"/>
              <w:left w:val="single" w:color="auto" w:sz="6" w:space="0"/>
              <w:bottom w:val="single" w:color="auto" w:sz="6" w:space="0"/>
              <w:right w:val="single" w:color="auto" w:sz="6" w:space="0"/>
              <w:tl2br w:val="nil"/>
              <w:tr2bl w:val="nil"/>
            </w:tcBorders>
            <w:noWrap w:val="0"/>
            <w:vAlign w:val="center"/>
          </w:tcPr>
          <w:p w14:paraId="3154CB66">
            <w:pPr>
              <w:pStyle w:val="284"/>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D36</w:t>
            </w:r>
          </w:p>
        </w:tc>
        <w:tc>
          <w:tcPr>
            <w:tcW w:w="1077" w:type="pct"/>
            <w:tcBorders>
              <w:top w:val="single" w:color="auto" w:sz="6" w:space="0"/>
              <w:left w:val="single" w:color="auto" w:sz="6" w:space="0"/>
              <w:bottom w:val="single" w:color="auto" w:sz="6" w:space="0"/>
              <w:right w:val="single" w:color="auto" w:sz="4" w:space="0"/>
              <w:tl2br w:val="nil"/>
              <w:tr2bl w:val="nil"/>
            </w:tcBorders>
            <w:noWrap w:val="0"/>
            <w:vAlign w:val="center"/>
          </w:tcPr>
          <w:p w14:paraId="5FD2B432">
            <w:pPr>
              <w:pStyle w:val="284"/>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93℃</w:t>
            </w:r>
          </w:p>
        </w:tc>
        <w:tc>
          <w:tcPr>
            <w:tcW w:w="968" w:type="pct"/>
            <w:tcBorders>
              <w:top w:val="single" w:color="auto" w:sz="6" w:space="0"/>
              <w:left w:val="single" w:color="auto" w:sz="4" w:space="0"/>
              <w:bottom w:val="single" w:color="auto" w:sz="6" w:space="0"/>
              <w:right w:val="single" w:color="auto" w:sz="12" w:space="0"/>
              <w:tl2br w:val="nil"/>
              <w:tr2bl w:val="nil"/>
            </w:tcBorders>
            <w:noWrap w:val="0"/>
            <w:vAlign w:val="center"/>
          </w:tcPr>
          <w:p w14:paraId="60AEB2D7">
            <w:pPr>
              <w:pStyle w:val="284"/>
              <w:spacing w:line="360" w:lineRule="auto"/>
              <w:jc w:val="center"/>
              <w:rPr>
                <w:rFonts w:ascii="宋体" w:hAnsi="宋体" w:cs="宋体"/>
                <w:color w:val="auto"/>
                <w:sz w:val="21"/>
                <w:szCs w:val="21"/>
                <w:highlight w:val="none"/>
              </w:rPr>
            </w:pPr>
          </w:p>
        </w:tc>
      </w:tr>
      <w:tr w14:paraId="7538441A">
        <w:tblPrEx>
          <w:tblCellMar>
            <w:top w:w="0" w:type="dxa"/>
            <w:left w:w="108" w:type="dxa"/>
            <w:bottom w:w="0" w:type="dxa"/>
            <w:right w:w="108" w:type="dxa"/>
          </w:tblCellMar>
        </w:tblPrEx>
        <w:trPr>
          <w:trHeight w:val="132" w:hRule="atLeast"/>
          <w:jc w:val="center"/>
        </w:trPr>
        <w:tc>
          <w:tcPr>
            <w:tcW w:w="1619" w:type="pct"/>
            <w:tcBorders>
              <w:top w:val="single" w:color="auto" w:sz="6" w:space="0"/>
              <w:left w:val="single" w:color="auto" w:sz="12" w:space="0"/>
              <w:bottom w:val="single" w:color="auto" w:sz="6" w:space="0"/>
              <w:right w:val="single" w:color="auto" w:sz="6" w:space="0"/>
              <w:tl2br w:val="nil"/>
              <w:tr2bl w:val="nil"/>
            </w:tcBorders>
            <w:noWrap w:val="0"/>
            <w:vAlign w:val="top"/>
          </w:tcPr>
          <w:p w14:paraId="1B8C1289">
            <w:pPr>
              <w:pStyle w:val="284"/>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延展性（25℃）</w:t>
            </w:r>
          </w:p>
        </w:tc>
        <w:tc>
          <w:tcPr>
            <w:tcW w:w="1334" w:type="pct"/>
            <w:tcBorders>
              <w:top w:val="single" w:color="auto" w:sz="6" w:space="0"/>
              <w:left w:val="single" w:color="auto" w:sz="6" w:space="0"/>
              <w:bottom w:val="single" w:color="auto" w:sz="6" w:space="0"/>
              <w:right w:val="single" w:color="auto" w:sz="6" w:space="0"/>
              <w:tl2br w:val="nil"/>
              <w:tr2bl w:val="nil"/>
            </w:tcBorders>
            <w:noWrap w:val="0"/>
            <w:vAlign w:val="center"/>
          </w:tcPr>
          <w:p w14:paraId="0348529D">
            <w:pPr>
              <w:pStyle w:val="284"/>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D113</w:t>
            </w:r>
          </w:p>
        </w:tc>
        <w:tc>
          <w:tcPr>
            <w:tcW w:w="1077" w:type="pct"/>
            <w:tcBorders>
              <w:top w:val="single" w:color="auto" w:sz="6" w:space="0"/>
              <w:left w:val="single" w:color="auto" w:sz="6" w:space="0"/>
              <w:bottom w:val="single" w:color="auto" w:sz="6" w:space="0"/>
              <w:right w:val="single" w:color="auto" w:sz="4" w:space="0"/>
              <w:tl2br w:val="nil"/>
              <w:tr2bl w:val="nil"/>
            </w:tcBorders>
            <w:noWrap w:val="0"/>
            <w:vAlign w:val="center"/>
          </w:tcPr>
          <w:p w14:paraId="2FC16CD6">
            <w:pPr>
              <w:pStyle w:val="284"/>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300 mm</w:t>
            </w:r>
          </w:p>
        </w:tc>
        <w:tc>
          <w:tcPr>
            <w:tcW w:w="968" w:type="pct"/>
            <w:tcBorders>
              <w:top w:val="single" w:color="auto" w:sz="6" w:space="0"/>
              <w:left w:val="single" w:color="auto" w:sz="4" w:space="0"/>
              <w:bottom w:val="single" w:color="auto" w:sz="6" w:space="0"/>
              <w:right w:val="single" w:color="auto" w:sz="12" w:space="0"/>
              <w:tl2br w:val="nil"/>
              <w:tr2bl w:val="nil"/>
            </w:tcBorders>
            <w:noWrap w:val="0"/>
            <w:vAlign w:val="center"/>
          </w:tcPr>
          <w:p w14:paraId="22E84103">
            <w:pPr>
              <w:pStyle w:val="284"/>
              <w:spacing w:line="360" w:lineRule="auto"/>
              <w:jc w:val="center"/>
              <w:rPr>
                <w:rFonts w:ascii="宋体" w:hAnsi="宋体" w:cs="宋体"/>
                <w:color w:val="auto"/>
                <w:sz w:val="21"/>
                <w:szCs w:val="21"/>
                <w:highlight w:val="none"/>
              </w:rPr>
            </w:pPr>
          </w:p>
        </w:tc>
      </w:tr>
      <w:tr w14:paraId="7D9A6B04">
        <w:tblPrEx>
          <w:tblCellMar>
            <w:top w:w="0" w:type="dxa"/>
            <w:left w:w="108" w:type="dxa"/>
            <w:bottom w:w="0" w:type="dxa"/>
            <w:right w:w="108" w:type="dxa"/>
          </w:tblCellMar>
        </w:tblPrEx>
        <w:trPr>
          <w:trHeight w:val="295" w:hRule="atLeast"/>
          <w:jc w:val="center"/>
        </w:trPr>
        <w:tc>
          <w:tcPr>
            <w:tcW w:w="1619" w:type="pct"/>
            <w:tcBorders>
              <w:top w:val="single" w:color="auto" w:sz="6" w:space="0"/>
              <w:left w:val="single" w:color="auto" w:sz="12" w:space="0"/>
              <w:bottom w:val="single" w:color="auto" w:sz="6" w:space="0"/>
              <w:right w:val="single" w:color="auto" w:sz="6" w:space="0"/>
              <w:tl2br w:val="nil"/>
              <w:tr2bl w:val="nil"/>
            </w:tcBorders>
            <w:noWrap w:val="0"/>
            <w:vAlign w:val="top"/>
          </w:tcPr>
          <w:p w14:paraId="5E98B5CE">
            <w:pPr>
              <w:pStyle w:val="284"/>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柔韧性</w:t>
            </w:r>
          </w:p>
        </w:tc>
        <w:tc>
          <w:tcPr>
            <w:tcW w:w="1334" w:type="pct"/>
            <w:tcBorders>
              <w:top w:val="single" w:color="auto" w:sz="6" w:space="0"/>
              <w:left w:val="single" w:color="auto" w:sz="6" w:space="0"/>
              <w:bottom w:val="single" w:color="auto" w:sz="6" w:space="0"/>
              <w:right w:val="single" w:color="auto" w:sz="6" w:space="0"/>
              <w:tl2br w:val="nil"/>
              <w:tr2bl w:val="nil"/>
            </w:tcBorders>
            <w:noWrap w:val="0"/>
            <w:vAlign w:val="center"/>
          </w:tcPr>
          <w:p w14:paraId="7CA3D09C">
            <w:pPr>
              <w:pStyle w:val="284"/>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D113(mod)</w:t>
            </w:r>
          </w:p>
        </w:tc>
        <w:tc>
          <w:tcPr>
            <w:tcW w:w="2045" w:type="pct"/>
            <w:gridSpan w:val="2"/>
            <w:tcBorders>
              <w:top w:val="single" w:color="auto" w:sz="6" w:space="0"/>
              <w:left w:val="single" w:color="auto" w:sz="6" w:space="0"/>
              <w:bottom w:val="single" w:color="auto" w:sz="6" w:space="0"/>
              <w:right w:val="single" w:color="auto" w:sz="12" w:space="0"/>
              <w:tl2br w:val="nil"/>
              <w:tr2bl w:val="nil"/>
            </w:tcBorders>
            <w:noWrap w:val="0"/>
            <w:vAlign w:val="center"/>
          </w:tcPr>
          <w:p w14:paraId="1F38BD09">
            <w:pPr>
              <w:pStyle w:val="284"/>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通过 -7℃</w:t>
            </w:r>
          </w:p>
        </w:tc>
      </w:tr>
      <w:tr w14:paraId="61713631">
        <w:tblPrEx>
          <w:tblCellMar>
            <w:top w:w="0" w:type="dxa"/>
            <w:left w:w="108" w:type="dxa"/>
            <w:bottom w:w="0" w:type="dxa"/>
            <w:right w:w="108" w:type="dxa"/>
          </w:tblCellMar>
        </w:tblPrEx>
        <w:trPr>
          <w:trHeight w:val="90" w:hRule="atLeast"/>
          <w:jc w:val="center"/>
        </w:trPr>
        <w:tc>
          <w:tcPr>
            <w:tcW w:w="1619" w:type="pct"/>
            <w:tcBorders>
              <w:top w:val="single" w:color="auto" w:sz="6" w:space="0"/>
              <w:left w:val="single" w:color="auto" w:sz="12" w:space="0"/>
              <w:bottom w:val="single" w:color="auto" w:sz="6" w:space="0"/>
              <w:right w:val="single" w:color="auto" w:sz="6" w:space="0"/>
              <w:tl2br w:val="nil"/>
              <w:tr2bl w:val="nil"/>
            </w:tcBorders>
            <w:noWrap w:val="0"/>
            <w:vAlign w:val="top"/>
          </w:tcPr>
          <w:p w14:paraId="47338CA9">
            <w:pPr>
              <w:pStyle w:val="284"/>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流动性（60℃）</w:t>
            </w:r>
          </w:p>
        </w:tc>
        <w:tc>
          <w:tcPr>
            <w:tcW w:w="1334" w:type="pct"/>
            <w:tcBorders>
              <w:top w:val="single" w:color="auto" w:sz="6" w:space="0"/>
              <w:left w:val="single" w:color="auto" w:sz="6" w:space="0"/>
              <w:bottom w:val="single" w:color="auto" w:sz="6" w:space="0"/>
              <w:right w:val="single" w:color="auto" w:sz="6" w:space="0"/>
              <w:tl2br w:val="nil"/>
              <w:tr2bl w:val="nil"/>
            </w:tcBorders>
            <w:noWrap w:val="0"/>
            <w:vAlign w:val="center"/>
          </w:tcPr>
          <w:p w14:paraId="11CF25EE">
            <w:pPr>
              <w:pStyle w:val="284"/>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D5329</w:t>
            </w:r>
          </w:p>
        </w:tc>
        <w:tc>
          <w:tcPr>
            <w:tcW w:w="1077" w:type="pct"/>
            <w:tcBorders>
              <w:top w:val="single" w:color="auto" w:sz="6" w:space="0"/>
              <w:left w:val="single" w:color="auto" w:sz="6" w:space="0"/>
              <w:bottom w:val="single" w:color="auto" w:sz="6" w:space="0"/>
              <w:right w:val="single" w:color="auto" w:sz="6" w:space="0"/>
              <w:tl2br w:val="nil"/>
              <w:tr2bl w:val="nil"/>
            </w:tcBorders>
            <w:noWrap w:val="0"/>
            <w:vAlign w:val="center"/>
          </w:tcPr>
          <w:p w14:paraId="5CB7E405">
            <w:pPr>
              <w:pStyle w:val="284"/>
              <w:spacing w:line="360" w:lineRule="auto"/>
              <w:jc w:val="center"/>
              <w:rPr>
                <w:rFonts w:ascii="宋体" w:hAnsi="宋体" w:cs="宋体"/>
                <w:color w:val="auto"/>
                <w:sz w:val="21"/>
                <w:szCs w:val="21"/>
                <w:highlight w:val="none"/>
              </w:rPr>
            </w:pPr>
          </w:p>
        </w:tc>
        <w:tc>
          <w:tcPr>
            <w:tcW w:w="968" w:type="pct"/>
            <w:tcBorders>
              <w:top w:val="single" w:color="auto" w:sz="6" w:space="0"/>
              <w:left w:val="single" w:color="auto" w:sz="6" w:space="0"/>
              <w:bottom w:val="single" w:color="auto" w:sz="6" w:space="0"/>
              <w:right w:val="single" w:color="auto" w:sz="12" w:space="0"/>
              <w:tl2br w:val="nil"/>
              <w:tr2bl w:val="nil"/>
            </w:tcBorders>
            <w:noWrap w:val="0"/>
            <w:vAlign w:val="center"/>
          </w:tcPr>
          <w:p w14:paraId="4FD612F7">
            <w:pPr>
              <w:pStyle w:val="284"/>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3 mm</w:t>
            </w:r>
          </w:p>
        </w:tc>
      </w:tr>
      <w:tr w14:paraId="518F38E9">
        <w:tblPrEx>
          <w:tblCellMar>
            <w:top w:w="0" w:type="dxa"/>
            <w:left w:w="108" w:type="dxa"/>
            <w:bottom w:w="0" w:type="dxa"/>
            <w:right w:w="108" w:type="dxa"/>
          </w:tblCellMar>
        </w:tblPrEx>
        <w:trPr>
          <w:trHeight w:val="145" w:hRule="atLeast"/>
          <w:jc w:val="center"/>
        </w:trPr>
        <w:tc>
          <w:tcPr>
            <w:tcW w:w="1619" w:type="pct"/>
            <w:tcBorders>
              <w:top w:val="single" w:color="auto" w:sz="6" w:space="0"/>
              <w:left w:val="single" w:color="auto" w:sz="12" w:space="0"/>
              <w:bottom w:val="single" w:color="auto" w:sz="6" w:space="0"/>
              <w:right w:val="single" w:color="auto" w:sz="6" w:space="0"/>
              <w:tl2br w:val="nil"/>
              <w:tr2bl w:val="nil"/>
            </w:tcBorders>
            <w:noWrap w:val="0"/>
            <w:vAlign w:val="top"/>
          </w:tcPr>
          <w:p w14:paraId="6CE57BBD">
            <w:pPr>
              <w:pStyle w:val="284"/>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布氏粘度（204℃）</w:t>
            </w:r>
          </w:p>
        </w:tc>
        <w:tc>
          <w:tcPr>
            <w:tcW w:w="1334" w:type="pct"/>
            <w:tcBorders>
              <w:top w:val="single" w:color="auto" w:sz="6" w:space="0"/>
              <w:left w:val="single" w:color="auto" w:sz="6" w:space="0"/>
              <w:bottom w:val="single" w:color="auto" w:sz="6" w:space="0"/>
              <w:right w:val="single" w:color="auto" w:sz="6" w:space="0"/>
              <w:tl2br w:val="nil"/>
              <w:tr2bl w:val="nil"/>
            </w:tcBorders>
            <w:noWrap w:val="0"/>
            <w:vAlign w:val="center"/>
          </w:tcPr>
          <w:p w14:paraId="37989A13">
            <w:pPr>
              <w:pStyle w:val="284"/>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D2669</w:t>
            </w:r>
          </w:p>
        </w:tc>
        <w:tc>
          <w:tcPr>
            <w:tcW w:w="1077" w:type="pct"/>
            <w:tcBorders>
              <w:top w:val="single" w:color="auto" w:sz="6" w:space="0"/>
              <w:left w:val="single" w:color="auto" w:sz="6" w:space="0"/>
              <w:bottom w:val="single" w:color="auto" w:sz="6" w:space="0"/>
              <w:right w:val="single" w:color="auto" w:sz="6" w:space="0"/>
              <w:tl2br w:val="nil"/>
              <w:tr2bl w:val="nil"/>
            </w:tcBorders>
            <w:noWrap w:val="0"/>
            <w:vAlign w:val="center"/>
          </w:tcPr>
          <w:p w14:paraId="3C3A0027">
            <w:pPr>
              <w:pStyle w:val="284"/>
              <w:spacing w:line="360" w:lineRule="auto"/>
              <w:jc w:val="center"/>
              <w:rPr>
                <w:rFonts w:ascii="宋体" w:hAnsi="宋体" w:cs="宋体"/>
                <w:color w:val="auto"/>
                <w:sz w:val="21"/>
                <w:szCs w:val="21"/>
                <w:highlight w:val="none"/>
              </w:rPr>
            </w:pPr>
          </w:p>
        </w:tc>
        <w:tc>
          <w:tcPr>
            <w:tcW w:w="968" w:type="pct"/>
            <w:tcBorders>
              <w:top w:val="single" w:color="auto" w:sz="6" w:space="0"/>
              <w:left w:val="single" w:color="auto" w:sz="6" w:space="0"/>
              <w:bottom w:val="single" w:color="auto" w:sz="6" w:space="0"/>
              <w:right w:val="single" w:color="auto" w:sz="12" w:space="0"/>
              <w:tl2br w:val="nil"/>
              <w:tr2bl w:val="nil"/>
            </w:tcBorders>
            <w:noWrap w:val="0"/>
            <w:vAlign w:val="center"/>
          </w:tcPr>
          <w:p w14:paraId="6AFE1BEA">
            <w:pPr>
              <w:pStyle w:val="284"/>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 xml:space="preserve">  100 泊</w:t>
            </w:r>
          </w:p>
        </w:tc>
      </w:tr>
      <w:tr w14:paraId="78FB5BF6">
        <w:tblPrEx>
          <w:tblCellMar>
            <w:top w:w="0" w:type="dxa"/>
            <w:left w:w="108" w:type="dxa"/>
            <w:bottom w:w="0" w:type="dxa"/>
            <w:right w:w="108" w:type="dxa"/>
          </w:tblCellMar>
        </w:tblPrEx>
        <w:trPr>
          <w:trHeight w:val="363" w:hRule="atLeast"/>
          <w:jc w:val="center"/>
        </w:trPr>
        <w:tc>
          <w:tcPr>
            <w:tcW w:w="1619" w:type="pct"/>
            <w:tcBorders>
              <w:top w:val="single" w:color="auto" w:sz="6" w:space="0"/>
              <w:left w:val="single" w:color="auto" w:sz="12" w:space="0"/>
              <w:bottom w:val="single" w:color="auto" w:sz="4" w:space="0"/>
              <w:right w:val="single" w:color="auto" w:sz="6" w:space="0"/>
              <w:tl2br w:val="nil"/>
              <w:tr2bl w:val="nil"/>
            </w:tcBorders>
            <w:noWrap w:val="0"/>
            <w:vAlign w:val="top"/>
          </w:tcPr>
          <w:p w14:paraId="04702378">
            <w:pPr>
              <w:pStyle w:val="284"/>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粘结力拉伸量测试</w:t>
            </w:r>
          </w:p>
        </w:tc>
        <w:tc>
          <w:tcPr>
            <w:tcW w:w="1334" w:type="pct"/>
            <w:tcBorders>
              <w:top w:val="single" w:color="auto" w:sz="6" w:space="0"/>
              <w:left w:val="single" w:color="auto" w:sz="6" w:space="0"/>
              <w:bottom w:val="single" w:color="auto" w:sz="4" w:space="0"/>
              <w:right w:val="single" w:color="auto" w:sz="6" w:space="0"/>
              <w:tl2br w:val="nil"/>
              <w:tr2bl w:val="nil"/>
            </w:tcBorders>
            <w:noWrap w:val="0"/>
            <w:vAlign w:val="center"/>
          </w:tcPr>
          <w:p w14:paraId="64EA13D2">
            <w:pPr>
              <w:pStyle w:val="284"/>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D5329</w:t>
            </w:r>
          </w:p>
        </w:tc>
        <w:tc>
          <w:tcPr>
            <w:tcW w:w="1077" w:type="pct"/>
            <w:tcBorders>
              <w:top w:val="single" w:color="auto" w:sz="6" w:space="0"/>
              <w:left w:val="single" w:color="auto" w:sz="6" w:space="0"/>
              <w:bottom w:val="single" w:color="auto" w:sz="4" w:space="0"/>
              <w:right w:val="single" w:color="auto" w:sz="6" w:space="0"/>
              <w:tl2br w:val="nil"/>
              <w:tr2bl w:val="nil"/>
            </w:tcBorders>
            <w:noWrap w:val="0"/>
            <w:vAlign w:val="center"/>
          </w:tcPr>
          <w:p w14:paraId="147CFC01">
            <w:pPr>
              <w:pStyle w:val="284"/>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500%</w:t>
            </w:r>
          </w:p>
        </w:tc>
        <w:tc>
          <w:tcPr>
            <w:tcW w:w="968" w:type="pct"/>
            <w:tcBorders>
              <w:top w:val="single" w:color="auto" w:sz="6" w:space="0"/>
              <w:left w:val="single" w:color="auto" w:sz="6" w:space="0"/>
              <w:bottom w:val="single" w:color="auto" w:sz="4" w:space="0"/>
              <w:right w:val="single" w:color="auto" w:sz="12" w:space="0"/>
              <w:tl2br w:val="nil"/>
              <w:tr2bl w:val="nil"/>
            </w:tcBorders>
            <w:noWrap w:val="0"/>
            <w:vAlign w:val="center"/>
          </w:tcPr>
          <w:p w14:paraId="5127DA38">
            <w:pPr>
              <w:pStyle w:val="284"/>
              <w:spacing w:line="360" w:lineRule="auto"/>
              <w:jc w:val="center"/>
              <w:rPr>
                <w:rFonts w:ascii="宋体" w:hAnsi="宋体" w:cs="宋体"/>
                <w:color w:val="auto"/>
                <w:sz w:val="21"/>
                <w:szCs w:val="21"/>
                <w:highlight w:val="none"/>
              </w:rPr>
            </w:pPr>
          </w:p>
        </w:tc>
      </w:tr>
      <w:tr w14:paraId="62272FC3">
        <w:tblPrEx>
          <w:tblCellMar>
            <w:top w:w="0" w:type="dxa"/>
            <w:left w:w="108" w:type="dxa"/>
            <w:bottom w:w="0" w:type="dxa"/>
            <w:right w:w="108" w:type="dxa"/>
          </w:tblCellMar>
        </w:tblPrEx>
        <w:trPr>
          <w:trHeight w:val="255" w:hRule="atLeast"/>
          <w:jc w:val="center"/>
        </w:trPr>
        <w:tc>
          <w:tcPr>
            <w:tcW w:w="1619" w:type="pct"/>
            <w:tcBorders>
              <w:top w:val="single" w:color="auto" w:sz="4" w:space="0"/>
              <w:left w:val="single" w:color="auto" w:sz="12" w:space="0"/>
              <w:bottom w:val="single" w:color="auto" w:sz="6" w:space="0"/>
              <w:right w:val="single" w:color="auto" w:sz="6" w:space="0"/>
              <w:tl2br w:val="nil"/>
              <w:tr2bl w:val="nil"/>
            </w:tcBorders>
            <w:noWrap w:val="0"/>
            <w:vAlign w:val="top"/>
          </w:tcPr>
          <w:p w14:paraId="4B809249">
            <w:pPr>
              <w:pStyle w:val="284"/>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可持续加热时长</w:t>
            </w:r>
          </w:p>
        </w:tc>
        <w:tc>
          <w:tcPr>
            <w:tcW w:w="1334" w:type="pct"/>
            <w:tcBorders>
              <w:top w:val="single" w:color="auto" w:sz="4" w:space="0"/>
              <w:left w:val="single" w:color="auto" w:sz="6" w:space="0"/>
              <w:bottom w:val="single" w:color="auto" w:sz="4" w:space="0"/>
              <w:right w:val="single" w:color="auto" w:sz="6" w:space="0"/>
              <w:tl2br w:val="nil"/>
              <w:tr2bl w:val="nil"/>
            </w:tcBorders>
            <w:noWrap w:val="0"/>
            <w:vAlign w:val="center"/>
          </w:tcPr>
          <w:p w14:paraId="4EDDBAFA">
            <w:pPr>
              <w:pStyle w:val="284"/>
              <w:spacing w:line="360" w:lineRule="auto"/>
              <w:jc w:val="center"/>
              <w:rPr>
                <w:rFonts w:ascii="宋体" w:hAnsi="宋体" w:cs="宋体"/>
                <w:color w:val="auto"/>
                <w:sz w:val="21"/>
                <w:szCs w:val="21"/>
                <w:highlight w:val="none"/>
              </w:rPr>
            </w:pPr>
          </w:p>
        </w:tc>
        <w:tc>
          <w:tcPr>
            <w:tcW w:w="1077" w:type="pct"/>
            <w:tcBorders>
              <w:top w:val="single" w:color="auto" w:sz="4" w:space="0"/>
              <w:left w:val="single" w:color="auto" w:sz="6" w:space="0"/>
              <w:bottom w:val="single" w:color="auto" w:sz="4" w:space="0"/>
              <w:right w:val="single" w:color="auto" w:sz="6" w:space="0"/>
              <w:tl2br w:val="nil"/>
              <w:tr2bl w:val="nil"/>
            </w:tcBorders>
            <w:noWrap w:val="0"/>
            <w:vAlign w:val="center"/>
          </w:tcPr>
          <w:p w14:paraId="79E4FCA0">
            <w:pPr>
              <w:pStyle w:val="284"/>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12小时</w:t>
            </w:r>
          </w:p>
        </w:tc>
        <w:tc>
          <w:tcPr>
            <w:tcW w:w="968" w:type="pct"/>
            <w:tcBorders>
              <w:top w:val="single" w:color="auto" w:sz="4" w:space="0"/>
              <w:left w:val="single" w:color="auto" w:sz="6" w:space="0"/>
              <w:bottom w:val="single" w:color="auto" w:sz="4" w:space="0"/>
              <w:right w:val="single" w:color="auto" w:sz="12" w:space="0"/>
              <w:tl2br w:val="nil"/>
              <w:tr2bl w:val="nil"/>
            </w:tcBorders>
            <w:noWrap w:val="0"/>
            <w:vAlign w:val="center"/>
          </w:tcPr>
          <w:p w14:paraId="1D55F540">
            <w:pPr>
              <w:pStyle w:val="284"/>
              <w:spacing w:line="360" w:lineRule="auto"/>
              <w:jc w:val="center"/>
              <w:rPr>
                <w:rFonts w:ascii="宋体" w:hAnsi="宋体" w:cs="宋体"/>
                <w:color w:val="auto"/>
                <w:sz w:val="21"/>
                <w:szCs w:val="21"/>
                <w:highlight w:val="none"/>
              </w:rPr>
            </w:pPr>
          </w:p>
        </w:tc>
      </w:tr>
      <w:tr w14:paraId="7430C8D5">
        <w:tblPrEx>
          <w:tblCellMar>
            <w:top w:w="0" w:type="dxa"/>
            <w:left w:w="108" w:type="dxa"/>
            <w:bottom w:w="0" w:type="dxa"/>
            <w:right w:w="108" w:type="dxa"/>
          </w:tblCellMar>
        </w:tblPrEx>
        <w:trPr>
          <w:trHeight w:val="90" w:hRule="atLeast"/>
          <w:jc w:val="center"/>
        </w:trPr>
        <w:tc>
          <w:tcPr>
            <w:tcW w:w="1619" w:type="pct"/>
            <w:tcBorders>
              <w:top w:val="single" w:color="auto" w:sz="6" w:space="0"/>
              <w:left w:val="single" w:color="auto" w:sz="12" w:space="0"/>
              <w:bottom w:val="single" w:color="auto" w:sz="6" w:space="0"/>
              <w:right w:val="single" w:color="auto" w:sz="6" w:space="0"/>
              <w:tl2br w:val="nil"/>
              <w:tr2bl w:val="nil"/>
            </w:tcBorders>
            <w:noWrap w:val="0"/>
            <w:vAlign w:val="top"/>
          </w:tcPr>
          <w:p w14:paraId="2CC0EA0E">
            <w:pPr>
              <w:pStyle w:val="284"/>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最低加热施工温度</w:t>
            </w:r>
          </w:p>
        </w:tc>
        <w:tc>
          <w:tcPr>
            <w:tcW w:w="1334" w:type="pct"/>
            <w:tcBorders>
              <w:top w:val="single" w:color="auto" w:sz="4" w:space="0"/>
              <w:left w:val="single" w:color="auto" w:sz="6" w:space="0"/>
              <w:bottom w:val="single" w:color="auto" w:sz="6" w:space="0"/>
              <w:right w:val="single" w:color="auto" w:sz="6" w:space="0"/>
              <w:tl2br w:val="nil"/>
              <w:tr2bl w:val="nil"/>
            </w:tcBorders>
            <w:noWrap w:val="0"/>
            <w:vAlign w:val="center"/>
          </w:tcPr>
          <w:p w14:paraId="0F7C718E">
            <w:pPr>
              <w:pStyle w:val="284"/>
              <w:spacing w:line="360" w:lineRule="auto"/>
              <w:jc w:val="center"/>
              <w:rPr>
                <w:rFonts w:ascii="宋体" w:hAnsi="宋体" w:cs="宋体"/>
                <w:color w:val="auto"/>
                <w:sz w:val="21"/>
                <w:szCs w:val="21"/>
                <w:highlight w:val="none"/>
              </w:rPr>
            </w:pPr>
          </w:p>
        </w:tc>
        <w:tc>
          <w:tcPr>
            <w:tcW w:w="1077" w:type="pct"/>
            <w:tcBorders>
              <w:top w:val="single" w:color="auto" w:sz="4" w:space="0"/>
              <w:left w:val="single" w:color="auto" w:sz="6" w:space="0"/>
              <w:bottom w:val="single" w:color="auto" w:sz="6" w:space="0"/>
              <w:right w:val="single" w:color="auto" w:sz="6" w:space="0"/>
              <w:tl2br w:val="nil"/>
              <w:tr2bl w:val="nil"/>
            </w:tcBorders>
            <w:noWrap w:val="0"/>
            <w:vAlign w:val="center"/>
          </w:tcPr>
          <w:p w14:paraId="0345E59D">
            <w:pPr>
              <w:pStyle w:val="284"/>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193℃</w:t>
            </w:r>
          </w:p>
        </w:tc>
        <w:tc>
          <w:tcPr>
            <w:tcW w:w="968" w:type="pct"/>
            <w:tcBorders>
              <w:top w:val="single" w:color="auto" w:sz="4" w:space="0"/>
              <w:left w:val="single" w:color="auto" w:sz="6" w:space="0"/>
              <w:bottom w:val="single" w:color="auto" w:sz="6" w:space="0"/>
              <w:right w:val="single" w:color="auto" w:sz="12" w:space="0"/>
              <w:tl2br w:val="nil"/>
              <w:tr2bl w:val="nil"/>
            </w:tcBorders>
            <w:noWrap w:val="0"/>
            <w:vAlign w:val="center"/>
          </w:tcPr>
          <w:p w14:paraId="48627D02">
            <w:pPr>
              <w:pStyle w:val="284"/>
              <w:spacing w:line="360" w:lineRule="auto"/>
              <w:jc w:val="center"/>
              <w:rPr>
                <w:rFonts w:ascii="宋体" w:hAnsi="宋体" w:cs="宋体"/>
                <w:color w:val="auto"/>
                <w:sz w:val="21"/>
                <w:szCs w:val="21"/>
                <w:highlight w:val="none"/>
              </w:rPr>
            </w:pPr>
          </w:p>
        </w:tc>
      </w:tr>
      <w:tr w14:paraId="7CF84477">
        <w:tblPrEx>
          <w:tblCellMar>
            <w:top w:w="0" w:type="dxa"/>
            <w:left w:w="108" w:type="dxa"/>
            <w:bottom w:w="0" w:type="dxa"/>
            <w:right w:w="108" w:type="dxa"/>
          </w:tblCellMar>
        </w:tblPrEx>
        <w:trPr>
          <w:trHeight w:val="183" w:hRule="atLeast"/>
          <w:jc w:val="center"/>
        </w:trPr>
        <w:tc>
          <w:tcPr>
            <w:tcW w:w="1619" w:type="pct"/>
            <w:tcBorders>
              <w:top w:val="single" w:color="auto" w:sz="6" w:space="0"/>
              <w:left w:val="single" w:color="auto" w:sz="12" w:space="0"/>
              <w:bottom w:val="single" w:color="auto" w:sz="12" w:space="0"/>
              <w:right w:val="single" w:color="auto" w:sz="6" w:space="0"/>
              <w:tl2br w:val="nil"/>
              <w:tr2bl w:val="nil"/>
            </w:tcBorders>
            <w:noWrap w:val="0"/>
            <w:vAlign w:val="center"/>
          </w:tcPr>
          <w:p w14:paraId="77ECC888">
            <w:pPr>
              <w:pStyle w:val="284"/>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最高安全加热温度</w:t>
            </w:r>
          </w:p>
        </w:tc>
        <w:tc>
          <w:tcPr>
            <w:tcW w:w="1334" w:type="pct"/>
            <w:tcBorders>
              <w:top w:val="single" w:color="auto" w:sz="6" w:space="0"/>
              <w:left w:val="single" w:color="auto" w:sz="6" w:space="0"/>
              <w:bottom w:val="single" w:color="auto" w:sz="12" w:space="0"/>
              <w:right w:val="single" w:color="auto" w:sz="6" w:space="0"/>
              <w:tl2br w:val="nil"/>
              <w:tr2bl w:val="nil"/>
            </w:tcBorders>
            <w:noWrap w:val="0"/>
            <w:vAlign w:val="center"/>
          </w:tcPr>
          <w:p w14:paraId="0CEDF3CE">
            <w:pPr>
              <w:pStyle w:val="284"/>
              <w:spacing w:line="360" w:lineRule="auto"/>
              <w:jc w:val="center"/>
              <w:rPr>
                <w:rFonts w:ascii="宋体" w:hAnsi="宋体" w:cs="宋体"/>
                <w:color w:val="auto"/>
                <w:sz w:val="21"/>
                <w:szCs w:val="21"/>
                <w:highlight w:val="none"/>
              </w:rPr>
            </w:pPr>
          </w:p>
        </w:tc>
        <w:tc>
          <w:tcPr>
            <w:tcW w:w="1077" w:type="pct"/>
            <w:tcBorders>
              <w:top w:val="single" w:color="auto" w:sz="6" w:space="0"/>
              <w:left w:val="single" w:color="auto" w:sz="6" w:space="0"/>
              <w:bottom w:val="single" w:color="auto" w:sz="12" w:space="0"/>
              <w:right w:val="single" w:color="auto" w:sz="6" w:space="0"/>
              <w:tl2br w:val="nil"/>
              <w:tr2bl w:val="nil"/>
            </w:tcBorders>
            <w:noWrap w:val="0"/>
            <w:vAlign w:val="center"/>
          </w:tcPr>
          <w:p w14:paraId="69625BD1">
            <w:pPr>
              <w:pStyle w:val="284"/>
              <w:spacing w:line="360" w:lineRule="auto"/>
              <w:jc w:val="center"/>
              <w:rPr>
                <w:rFonts w:ascii="宋体" w:hAnsi="宋体" w:cs="宋体"/>
                <w:color w:val="auto"/>
                <w:sz w:val="21"/>
                <w:szCs w:val="21"/>
                <w:highlight w:val="none"/>
              </w:rPr>
            </w:pPr>
          </w:p>
        </w:tc>
        <w:tc>
          <w:tcPr>
            <w:tcW w:w="968" w:type="pct"/>
            <w:tcBorders>
              <w:top w:val="single" w:color="auto" w:sz="6" w:space="0"/>
              <w:left w:val="single" w:color="auto" w:sz="6" w:space="0"/>
              <w:bottom w:val="single" w:color="auto" w:sz="12" w:space="0"/>
              <w:right w:val="single" w:color="auto" w:sz="12" w:space="0"/>
              <w:tl2br w:val="nil"/>
              <w:tr2bl w:val="nil"/>
            </w:tcBorders>
            <w:noWrap w:val="0"/>
            <w:vAlign w:val="center"/>
          </w:tcPr>
          <w:p w14:paraId="0CE1C1ED">
            <w:pPr>
              <w:pStyle w:val="284"/>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204℃</w:t>
            </w:r>
          </w:p>
        </w:tc>
      </w:tr>
    </w:tbl>
    <w:p w14:paraId="57780109">
      <w:pPr>
        <w:numPr>
          <w:ilvl w:val="0"/>
          <w:numId w:val="0"/>
        </w:numPr>
        <w:spacing w:line="450" w:lineRule="exact"/>
        <w:ind w:leftChars="200"/>
        <w:rPr>
          <w:rFonts w:hint="eastAsia" w:ascii="宋体" w:hAnsi="宋体" w:eastAsia="宋体" w:cs="Times New Roman"/>
          <w:b/>
          <w:color w:val="auto"/>
          <w:sz w:val="21"/>
          <w:szCs w:val="21"/>
          <w:highlight w:val="none"/>
        </w:rPr>
      </w:pPr>
      <w:r>
        <w:rPr>
          <w:rFonts w:hint="eastAsia" w:ascii="宋体" w:hAnsi="宋体" w:eastAsia="宋体" w:cs="Times New Roman"/>
          <w:b/>
          <w:color w:val="auto"/>
          <w:sz w:val="21"/>
          <w:szCs w:val="21"/>
          <w:highlight w:val="none"/>
          <w:lang w:eastAsia="zh-CN"/>
        </w:rPr>
        <w:t>（</w:t>
      </w:r>
      <w:r>
        <w:rPr>
          <w:rFonts w:hint="eastAsia" w:ascii="宋体" w:hAnsi="宋体" w:eastAsia="宋体" w:cs="Times New Roman"/>
          <w:b/>
          <w:color w:val="auto"/>
          <w:sz w:val="21"/>
          <w:szCs w:val="21"/>
          <w:highlight w:val="none"/>
          <w:lang w:val="en-US" w:eastAsia="zh-CN"/>
        </w:rPr>
        <w:t>2</w:t>
      </w:r>
      <w:r>
        <w:rPr>
          <w:rFonts w:hint="eastAsia" w:ascii="宋体" w:hAnsi="宋体" w:eastAsia="宋体" w:cs="Times New Roman"/>
          <w:b/>
          <w:color w:val="auto"/>
          <w:sz w:val="21"/>
          <w:szCs w:val="21"/>
          <w:highlight w:val="none"/>
          <w:lang w:eastAsia="zh-CN"/>
        </w:rPr>
        <w:t>）</w:t>
      </w:r>
      <w:r>
        <w:rPr>
          <w:rFonts w:hint="eastAsia" w:ascii="宋体" w:hAnsi="宋体" w:eastAsia="宋体" w:cs="Times New Roman"/>
          <w:b/>
          <w:color w:val="auto"/>
          <w:sz w:val="21"/>
          <w:szCs w:val="21"/>
          <w:highlight w:val="none"/>
        </w:rPr>
        <w:t>质量控制与完工验收</w:t>
      </w:r>
    </w:p>
    <w:p w14:paraId="73D833DD">
      <w:pPr>
        <w:ind w:firstLine="630" w:firstLineChars="3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Hans"/>
        </w:rPr>
        <w:t>1</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施工过程质量控制</w:t>
      </w:r>
    </w:p>
    <w:p w14:paraId="4AC0D993">
      <w:pPr>
        <w:rPr>
          <w:rFonts w:ascii="宋体" w:hAnsi="宋体" w:eastAsia="宋体" w:cs="宋体"/>
          <w:color w:val="auto"/>
          <w:sz w:val="21"/>
          <w:szCs w:val="21"/>
          <w:highlight w:val="none"/>
          <w:lang w:val="zh-CN"/>
        </w:rPr>
      </w:pPr>
      <w:r>
        <w:rPr>
          <w:rFonts w:hint="default" w:ascii="宋体" w:hAnsi="宋体" w:eastAsia="宋体" w:cs="宋体"/>
          <w:color w:val="auto"/>
          <w:sz w:val="21"/>
          <w:szCs w:val="21"/>
          <w:highlight w:val="none"/>
        </w:rPr>
        <w:t>长寿命沥青路面柔性修复工艺</w:t>
      </w:r>
      <w:r>
        <w:rPr>
          <w:rFonts w:hint="eastAsia" w:ascii="宋体" w:hAnsi="宋体" w:eastAsia="宋体" w:cs="宋体"/>
          <w:color w:val="auto"/>
          <w:sz w:val="21"/>
          <w:szCs w:val="21"/>
          <w:highlight w:val="none"/>
        </w:rPr>
        <w:t>在施工过程中的质量控制一般由施工单位进行自检。各路段养护施工单位都需要设有专职质检员负责工程的质量自检工作，自检</w:t>
      </w:r>
      <w:r>
        <w:rPr>
          <w:rFonts w:hint="eastAsia" w:ascii="宋体" w:hAnsi="宋体" w:eastAsia="宋体" w:cs="宋体"/>
          <w:color w:val="auto"/>
          <w:sz w:val="21"/>
          <w:szCs w:val="21"/>
          <w:highlight w:val="none"/>
          <w:lang w:val="zh-CN"/>
        </w:rPr>
        <w:t>项目、频率及方法如</w:t>
      </w:r>
      <w:r>
        <w:rPr>
          <w:rFonts w:hint="eastAsia" w:ascii="宋体" w:hAnsi="宋体" w:eastAsia="宋体" w:cs="宋体"/>
          <w:color w:val="auto"/>
          <w:sz w:val="21"/>
          <w:szCs w:val="21"/>
          <w:highlight w:val="none"/>
          <w:lang w:eastAsia="zh-Hans"/>
        </w:rPr>
        <w:t>表</w:t>
      </w:r>
      <w:r>
        <w:rPr>
          <w:rFonts w:hint="eastAsia" w:ascii="宋体" w:hAnsi="宋体" w:eastAsia="宋体" w:cs="宋体"/>
          <w:color w:val="auto"/>
          <w:sz w:val="21"/>
          <w:szCs w:val="21"/>
          <w:highlight w:val="none"/>
        </w:rPr>
        <w:t>6.1</w:t>
      </w:r>
      <w:r>
        <w:rPr>
          <w:rFonts w:hint="eastAsia" w:ascii="宋体" w:hAnsi="宋体" w:eastAsia="宋体" w:cs="宋体"/>
          <w:color w:val="auto"/>
          <w:sz w:val="21"/>
          <w:szCs w:val="21"/>
          <w:highlight w:val="none"/>
          <w:lang w:val="zh-CN"/>
        </w:rPr>
        <w:t>所示。</w:t>
      </w:r>
    </w:p>
    <w:p w14:paraId="3E014C34">
      <w:pPr>
        <w:spacing w:line="360" w:lineRule="auto"/>
        <w:jc w:val="center"/>
        <w:rPr>
          <w:rFonts w:hint="eastAsia" w:ascii="宋体" w:hAnsi="宋体" w:eastAsia="宋体" w:cs="宋体"/>
          <w:b/>
          <w:bCs/>
          <w:color w:val="auto"/>
          <w:sz w:val="21"/>
          <w:szCs w:val="21"/>
          <w:highlight w:val="none"/>
          <w:lang w:val="zh-CN"/>
        </w:rPr>
      </w:pPr>
    </w:p>
    <w:p w14:paraId="0393C319">
      <w:pPr>
        <w:spacing w:line="360" w:lineRule="auto"/>
        <w:jc w:val="center"/>
        <w:rPr>
          <w:rFonts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zh-CN"/>
        </w:rPr>
        <w:t>表</w:t>
      </w:r>
      <w:r>
        <w:rPr>
          <w:rFonts w:hint="eastAsia" w:ascii="宋体" w:hAnsi="宋体" w:eastAsia="宋体" w:cs="宋体"/>
          <w:b/>
          <w:bCs/>
          <w:color w:val="auto"/>
          <w:sz w:val="21"/>
          <w:szCs w:val="21"/>
          <w:highlight w:val="none"/>
        </w:rPr>
        <w:t>3.1  施工过程质量控制要求</w:t>
      </w:r>
    </w:p>
    <w:tbl>
      <w:tblPr>
        <w:tblStyle w:val="51"/>
        <w:tblW w:w="8883" w:type="dxa"/>
        <w:tblInd w:w="0" w:type="dxa"/>
        <w:tblLayout w:type="fixed"/>
        <w:tblCellMar>
          <w:top w:w="0" w:type="dxa"/>
          <w:left w:w="108" w:type="dxa"/>
          <w:bottom w:w="0" w:type="dxa"/>
          <w:right w:w="108" w:type="dxa"/>
        </w:tblCellMar>
      </w:tblPr>
      <w:tblGrid>
        <w:gridCol w:w="1342"/>
        <w:gridCol w:w="3101"/>
        <w:gridCol w:w="1765"/>
        <w:gridCol w:w="2675"/>
      </w:tblGrid>
      <w:tr w14:paraId="592BC89E">
        <w:tblPrEx>
          <w:tblCellMar>
            <w:top w:w="0" w:type="dxa"/>
            <w:left w:w="108" w:type="dxa"/>
            <w:bottom w:w="0" w:type="dxa"/>
            <w:right w:w="108" w:type="dxa"/>
          </w:tblCellMar>
        </w:tblPrEx>
        <w:trPr>
          <w:trHeight w:val="151" w:hRule="atLeast"/>
        </w:trPr>
        <w:tc>
          <w:tcPr>
            <w:tcW w:w="1342" w:type="dxa"/>
            <w:tcBorders>
              <w:top w:val="single" w:color="auto" w:sz="6" w:space="0"/>
              <w:left w:val="single" w:color="auto" w:sz="4" w:space="0"/>
              <w:bottom w:val="single" w:color="auto" w:sz="4" w:space="0"/>
              <w:right w:val="single" w:color="auto" w:sz="6" w:space="0"/>
            </w:tcBorders>
            <w:noWrap w:val="0"/>
            <w:vAlign w:val="center"/>
          </w:tcPr>
          <w:p w14:paraId="13085461">
            <w:pPr>
              <w:spacing w:line="36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项目</w:t>
            </w:r>
          </w:p>
        </w:tc>
        <w:tc>
          <w:tcPr>
            <w:tcW w:w="3101" w:type="dxa"/>
            <w:tcBorders>
              <w:top w:val="single" w:color="auto" w:sz="6" w:space="0"/>
              <w:left w:val="single" w:color="auto" w:sz="6" w:space="0"/>
              <w:bottom w:val="single" w:color="auto" w:sz="6" w:space="0"/>
              <w:right w:val="single" w:color="auto" w:sz="6" w:space="0"/>
            </w:tcBorders>
            <w:noWrap w:val="0"/>
            <w:vAlign w:val="center"/>
          </w:tcPr>
          <w:p w14:paraId="64C69A51">
            <w:pPr>
              <w:spacing w:line="36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要求</w:t>
            </w:r>
          </w:p>
        </w:tc>
        <w:tc>
          <w:tcPr>
            <w:tcW w:w="1765" w:type="dxa"/>
            <w:tcBorders>
              <w:top w:val="single" w:color="auto" w:sz="6" w:space="0"/>
              <w:left w:val="single" w:color="auto" w:sz="6" w:space="0"/>
              <w:bottom w:val="single" w:color="auto" w:sz="6" w:space="0"/>
              <w:right w:val="single" w:color="auto" w:sz="6" w:space="0"/>
            </w:tcBorders>
            <w:noWrap w:val="0"/>
            <w:vAlign w:val="center"/>
          </w:tcPr>
          <w:p w14:paraId="609BAD6E">
            <w:pPr>
              <w:spacing w:line="36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检验频率</w:t>
            </w:r>
          </w:p>
        </w:tc>
        <w:tc>
          <w:tcPr>
            <w:tcW w:w="2675" w:type="dxa"/>
            <w:tcBorders>
              <w:top w:val="single" w:color="auto" w:sz="6" w:space="0"/>
              <w:left w:val="single" w:color="auto" w:sz="6" w:space="0"/>
              <w:bottom w:val="single" w:color="auto" w:sz="6" w:space="0"/>
              <w:right w:val="single" w:color="auto" w:sz="4" w:space="0"/>
            </w:tcBorders>
            <w:noWrap w:val="0"/>
            <w:vAlign w:val="center"/>
          </w:tcPr>
          <w:p w14:paraId="63A10A34">
            <w:pPr>
              <w:spacing w:line="36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检验方法</w:t>
            </w:r>
          </w:p>
        </w:tc>
      </w:tr>
      <w:tr w14:paraId="115E3FAE">
        <w:tblPrEx>
          <w:tblCellMar>
            <w:top w:w="0" w:type="dxa"/>
            <w:left w:w="108" w:type="dxa"/>
            <w:bottom w:w="0" w:type="dxa"/>
            <w:right w:w="108" w:type="dxa"/>
          </w:tblCellMar>
        </w:tblPrEx>
        <w:trPr>
          <w:trHeight w:val="226" w:hRule="atLeast"/>
        </w:trPr>
        <w:tc>
          <w:tcPr>
            <w:tcW w:w="1342" w:type="dxa"/>
            <w:tcBorders>
              <w:top w:val="single" w:color="auto" w:sz="4" w:space="0"/>
              <w:left w:val="single" w:color="auto" w:sz="4" w:space="0"/>
              <w:bottom w:val="single" w:color="auto" w:sz="4" w:space="0"/>
              <w:right w:val="single" w:color="auto" w:sz="6" w:space="0"/>
            </w:tcBorders>
            <w:noWrap w:val="0"/>
            <w:vAlign w:val="center"/>
          </w:tcPr>
          <w:p w14:paraId="1014F03B">
            <w:p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Hans"/>
              </w:rPr>
              <w:t>贴</w:t>
            </w:r>
            <w:r>
              <w:rPr>
                <w:rFonts w:hint="eastAsia" w:ascii="宋体" w:hAnsi="宋体" w:eastAsia="宋体" w:cs="宋体"/>
                <w:color w:val="auto"/>
                <w:sz w:val="21"/>
                <w:szCs w:val="21"/>
                <w:highlight w:val="none"/>
              </w:rPr>
              <w:t>封层厚度</w:t>
            </w:r>
          </w:p>
        </w:tc>
        <w:tc>
          <w:tcPr>
            <w:tcW w:w="3101" w:type="dxa"/>
            <w:tcBorders>
              <w:top w:val="single" w:color="auto" w:sz="6" w:space="0"/>
              <w:left w:val="single" w:color="auto" w:sz="6" w:space="0"/>
              <w:bottom w:val="single" w:color="auto" w:sz="6" w:space="0"/>
              <w:right w:val="single" w:color="auto" w:sz="6" w:space="0"/>
            </w:tcBorders>
            <w:noWrap w:val="0"/>
            <w:vAlign w:val="center"/>
          </w:tcPr>
          <w:p w14:paraId="676343FE">
            <w:pPr>
              <w:spacing w:line="36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≤3毫米</w:t>
            </w:r>
          </w:p>
        </w:tc>
        <w:tc>
          <w:tcPr>
            <w:tcW w:w="1765" w:type="dxa"/>
            <w:tcBorders>
              <w:top w:val="single" w:color="auto" w:sz="6" w:space="0"/>
              <w:left w:val="single" w:color="auto" w:sz="6" w:space="0"/>
              <w:bottom w:val="single" w:color="auto" w:sz="6" w:space="0"/>
              <w:right w:val="single" w:color="auto" w:sz="6" w:space="0"/>
            </w:tcBorders>
            <w:noWrap w:val="0"/>
            <w:vAlign w:val="center"/>
          </w:tcPr>
          <w:p w14:paraId="33A3059B">
            <w:pPr>
              <w:spacing w:line="36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1次/100m</w:t>
            </w:r>
          </w:p>
        </w:tc>
        <w:tc>
          <w:tcPr>
            <w:tcW w:w="2675" w:type="dxa"/>
            <w:tcBorders>
              <w:top w:val="single" w:color="auto" w:sz="6" w:space="0"/>
              <w:left w:val="single" w:color="auto" w:sz="6" w:space="0"/>
              <w:bottom w:val="single" w:color="auto" w:sz="6" w:space="0"/>
              <w:right w:val="single" w:color="auto" w:sz="4" w:space="0"/>
            </w:tcBorders>
            <w:noWrap w:val="0"/>
            <w:vAlign w:val="center"/>
          </w:tcPr>
          <w:p w14:paraId="1C0223C2">
            <w:pPr>
              <w:spacing w:line="36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钢尺测量或其他有效手段</w:t>
            </w:r>
          </w:p>
        </w:tc>
      </w:tr>
      <w:tr w14:paraId="1DB443E5">
        <w:tblPrEx>
          <w:tblCellMar>
            <w:top w:w="0" w:type="dxa"/>
            <w:left w:w="108" w:type="dxa"/>
            <w:bottom w:w="0" w:type="dxa"/>
            <w:right w:w="108" w:type="dxa"/>
          </w:tblCellMar>
        </w:tblPrEx>
        <w:trPr>
          <w:trHeight w:val="258" w:hRule="atLeast"/>
        </w:trPr>
        <w:tc>
          <w:tcPr>
            <w:tcW w:w="1342" w:type="dxa"/>
            <w:vMerge w:val="restart"/>
            <w:tcBorders>
              <w:top w:val="single" w:color="auto" w:sz="4" w:space="0"/>
              <w:left w:val="single" w:color="auto" w:sz="4" w:space="0"/>
              <w:right w:val="single" w:color="auto" w:sz="4" w:space="0"/>
            </w:tcBorders>
            <w:noWrap w:val="0"/>
            <w:vAlign w:val="center"/>
          </w:tcPr>
          <w:p w14:paraId="4355E47A">
            <w:pPr>
              <w:spacing w:line="36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外观</w:t>
            </w:r>
          </w:p>
        </w:tc>
        <w:tc>
          <w:tcPr>
            <w:tcW w:w="3101" w:type="dxa"/>
            <w:tcBorders>
              <w:top w:val="single" w:color="auto" w:sz="6" w:space="0"/>
              <w:left w:val="single" w:color="auto" w:sz="4" w:space="0"/>
              <w:bottom w:val="single" w:color="auto" w:sz="6" w:space="0"/>
              <w:right w:val="single" w:color="auto" w:sz="6" w:space="0"/>
            </w:tcBorders>
            <w:noWrap w:val="0"/>
            <w:vAlign w:val="center"/>
          </w:tcPr>
          <w:p w14:paraId="5B3CA9A5">
            <w:pPr>
              <w:spacing w:line="36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贴封层边缘整齐，表面平整</w:t>
            </w:r>
          </w:p>
        </w:tc>
        <w:tc>
          <w:tcPr>
            <w:tcW w:w="1765" w:type="dxa"/>
            <w:tcBorders>
              <w:top w:val="single" w:color="auto" w:sz="6" w:space="0"/>
              <w:left w:val="single" w:color="auto" w:sz="6" w:space="0"/>
              <w:bottom w:val="single" w:color="auto" w:sz="6" w:space="0"/>
              <w:right w:val="single" w:color="auto" w:sz="6" w:space="0"/>
            </w:tcBorders>
            <w:noWrap w:val="0"/>
            <w:vAlign w:val="center"/>
          </w:tcPr>
          <w:p w14:paraId="1491822E">
            <w:pPr>
              <w:spacing w:line="36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全线连续</w:t>
            </w:r>
          </w:p>
        </w:tc>
        <w:tc>
          <w:tcPr>
            <w:tcW w:w="2675" w:type="dxa"/>
            <w:tcBorders>
              <w:top w:val="single" w:color="auto" w:sz="6" w:space="0"/>
              <w:left w:val="single" w:color="auto" w:sz="6" w:space="0"/>
              <w:bottom w:val="single" w:color="auto" w:sz="6" w:space="0"/>
              <w:right w:val="single" w:color="auto" w:sz="4" w:space="0"/>
            </w:tcBorders>
            <w:noWrap w:val="0"/>
            <w:vAlign w:val="center"/>
          </w:tcPr>
          <w:p w14:paraId="40ACAD6D">
            <w:pPr>
              <w:spacing w:line="36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目测</w:t>
            </w:r>
          </w:p>
        </w:tc>
      </w:tr>
      <w:tr w14:paraId="112BB142">
        <w:tblPrEx>
          <w:tblCellMar>
            <w:top w:w="0" w:type="dxa"/>
            <w:left w:w="108" w:type="dxa"/>
            <w:bottom w:w="0" w:type="dxa"/>
            <w:right w:w="108" w:type="dxa"/>
          </w:tblCellMar>
        </w:tblPrEx>
        <w:trPr>
          <w:trHeight w:val="403" w:hRule="atLeast"/>
        </w:trPr>
        <w:tc>
          <w:tcPr>
            <w:tcW w:w="1342" w:type="dxa"/>
            <w:vMerge w:val="continue"/>
            <w:tcBorders>
              <w:left w:val="single" w:color="auto" w:sz="4" w:space="0"/>
              <w:bottom w:val="single" w:color="auto" w:sz="6" w:space="0"/>
              <w:right w:val="single" w:color="auto" w:sz="4" w:space="0"/>
            </w:tcBorders>
            <w:noWrap w:val="0"/>
            <w:vAlign w:val="center"/>
          </w:tcPr>
          <w:p w14:paraId="43B9DA52">
            <w:pPr>
              <w:spacing w:line="360" w:lineRule="auto"/>
              <w:jc w:val="center"/>
              <w:rPr>
                <w:rFonts w:ascii="宋体" w:hAnsi="宋体" w:eastAsia="宋体" w:cs="宋体"/>
                <w:color w:val="auto"/>
                <w:sz w:val="21"/>
                <w:szCs w:val="21"/>
                <w:highlight w:val="none"/>
              </w:rPr>
            </w:pPr>
          </w:p>
        </w:tc>
        <w:tc>
          <w:tcPr>
            <w:tcW w:w="3101" w:type="dxa"/>
            <w:tcBorders>
              <w:top w:val="single" w:color="auto" w:sz="6" w:space="0"/>
              <w:left w:val="single" w:color="auto" w:sz="6" w:space="0"/>
              <w:bottom w:val="single" w:color="auto" w:sz="6" w:space="0"/>
              <w:right w:val="single" w:color="auto" w:sz="6" w:space="0"/>
            </w:tcBorders>
            <w:noWrap w:val="0"/>
            <w:vAlign w:val="center"/>
          </w:tcPr>
          <w:p w14:paraId="73497BAC">
            <w:pPr>
              <w:spacing w:line="360" w:lineRule="auto"/>
              <w:ind w:firstLine="150"/>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贴封层表面光滑，无气泡</w:t>
            </w:r>
          </w:p>
        </w:tc>
        <w:tc>
          <w:tcPr>
            <w:tcW w:w="1765" w:type="dxa"/>
            <w:tcBorders>
              <w:top w:val="single" w:color="auto" w:sz="6" w:space="0"/>
              <w:left w:val="single" w:color="auto" w:sz="6" w:space="0"/>
              <w:bottom w:val="single" w:color="auto" w:sz="6" w:space="0"/>
              <w:right w:val="single" w:color="auto" w:sz="6" w:space="0"/>
            </w:tcBorders>
            <w:noWrap w:val="0"/>
            <w:vAlign w:val="center"/>
          </w:tcPr>
          <w:p w14:paraId="1410E677">
            <w:pPr>
              <w:spacing w:line="36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全线连续</w:t>
            </w:r>
          </w:p>
        </w:tc>
        <w:tc>
          <w:tcPr>
            <w:tcW w:w="2675" w:type="dxa"/>
            <w:tcBorders>
              <w:top w:val="single" w:color="auto" w:sz="6" w:space="0"/>
              <w:left w:val="single" w:color="auto" w:sz="6" w:space="0"/>
              <w:bottom w:val="single" w:color="auto" w:sz="6" w:space="0"/>
              <w:right w:val="single" w:color="auto" w:sz="4" w:space="0"/>
            </w:tcBorders>
            <w:noWrap w:val="0"/>
            <w:vAlign w:val="center"/>
          </w:tcPr>
          <w:p w14:paraId="30258FCF">
            <w:pPr>
              <w:spacing w:line="36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目测</w:t>
            </w:r>
          </w:p>
        </w:tc>
      </w:tr>
      <w:tr w14:paraId="0247226F">
        <w:tblPrEx>
          <w:tblCellMar>
            <w:top w:w="0" w:type="dxa"/>
            <w:left w:w="108" w:type="dxa"/>
            <w:bottom w:w="0" w:type="dxa"/>
            <w:right w:w="108" w:type="dxa"/>
          </w:tblCellMar>
        </w:tblPrEx>
        <w:trPr>
          <w:trHeight w:val="213" w:hRule="atLeast"/>
        </w:trPr>
        <w:tc>
          <w:tcPr>
            <w:tcW w:w="1342" w:type="dxa"/>
            <w:tcBorders>
              <w:top w:val="single" w:color="auto" w:sz="6" w:space="0"/>
              <w:left w:val="single" w:color="auto" w:sz="4" w:space="0"/>
              <w:bottom w:val="single" w:color="auto" w:sz="6" w:space="0"/>
              <w:right w:val="single" w:color="auto" w:sz="6" w:space="0"/>
            </w:tcBorders>
            <w:noWrap w:val="0"/>
            <w:vAlign w:val="center"/>
          </w:tcPr>
          <w:p w14:paraId="0DE40E44">
            <w:pPr>
              <w:spacing w:line="36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行驶性</w:t>
            </w:r>
          </w:p>
        </w:tc>
        <w:tc>
          <w:tcPr>
            <w:tcW w:w="3101" w:type="dxa"/>
            <w:tcBorders>
              <w:top w:val="single" w:color="auto" w:sz="6" w:space="0"/>
              <w:left w:val="single" w:color="auto" w:sz="6" w:space="0"/>
              <w:bottom w:val="single" w:color="auto" w:sz="6" w:space="0"/>
              <w:right w:val="single" w:color="auto" w:sz="6" w:space="0"/>
            </w:tcBorders>
            <w:noWrap w:val="0"/>
            <w:vAlign w:val="center"/>
          </w:tcPr>
          <w:p w14:paraId="0DC119C4">
            <w:pPr>
              <w:spacing w:line="36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车辆碾压不粘胎、不变形</w:t>
            </w:r>
          </w:p>
        </w:tc>
        <w:tc>
          <w:tcPr>
            <w:tcW w:w="1765" w:type="dxa"/>
            <w:tcBorders>
              <w:top w:val="single" w:color="auto" w:sz="6" w:space="0"/>
              <w:left w:val="single" w:color="auto" w:sz="6" w:space="0"/>
              <w:bottom w:val="single" w:color="auto" w:sz="6" w:space="0"/>
              <w:right w:val="single" w:color="auto" w:sz="6" w:space="0"/>
            </w:tcBorders>
            <w:noWrap w:val="0"/>
            <w:vAlign w:val="center"/>
          </w:tcPr>
          <w:p w14:paraId="79BA4AAC">
            <w:pPr>
              <w:spacing w:line="36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全线连续</w:t>
            </w:r>
          </w:p>
        </w:tc>
        <w:tc>
          <w:tcPr>
            <w:tcW w:w="2675" w:type="dxa"/>
            <w:tcBorders>
              <w:top w:val="single" w:color="auto" w:sz="6" w:space="0"/>
              <w:left w:val="single" w:color="auto" w:sz="6" w:space="0"/>
              <w:bottom w:val="single" w:color="auto" w:sz="4" w:space="0"/>
              <w:right w:val="single" w:color="auto" w:sz="4" w:space="0"/>
            </w:tcBorders>
            <w:noWrap w:val="0"/>
            <w:vAlign w:val="center"/>
          </w:tcPr>
          <w:p w14:paraId="69250EF0">
            <w:pPr>
              <w:spacing w:line="36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目测</w:t>
            </w:r>
          </w:p>
        </w:tc>
      </w:tr>
    </w:tbl>
    <w:p w14:paraId="1128D7F8">
      <w:pPr>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工程验收</w:t>
      </w:r>
    </w:p>
    <w:p w14:paraId="742904D0">
      <w:pPr>
        <w:rPr>
          <w:rFonts w:ascii="宋体" w:hAnsi="宋体" w:eastAsia="宋体" w:cs="宋体"/>
          <w:color w:val="auto"/>
          <w:sz w:val="21"/>
          <w:szCs w:val="21"/>
          <w:highlight w:val="none"/>
          <w:lang w:val="zh-CN"/>
        </w:rPr>
      </w:pPr>
      <w:r>
        <w:rPr>
          <w:rFonts w:hint="default" w:ascii="宋体" w:hAnsi="宋体" w:eastAsia="宋体" w:cs="宋体"/>
          <w:color w:val="auto"/>
          <w:sz w:val="21"/>
          <w:szCs w:val="21"/>
          <w:highlight w:val="none"/>
        </w:rPr>
        <w:t>长寿命沥青路面柔性修复工艺</w:t>
      </w:r>
      <w:r>
        <w:rPr>
          <w:rFonts w:hint="eastAsia" w:ascii="宋体" w:hAnsi="宋体" w:eastAsia="宋体" w:cs="宋体"/>
          <w:color w:val="auto"/>
          <w:sz w:val="21"/>
          <w:szCs w:val="21"/>
          <w:highlight w:val="none"/>
          <w:lang w:eastAsia="zh-Hans"/>
        </w:rPr>
        <w:t>的</w:t>
      </w:r>
      <w:r>
        <w:rPr>
          <w:rFonts w:hint="eastAsia" w:ascii="宋体" w:hAnsi="宋体" w:eastAsia="宋体" w:cs="宋体"/>
          <w:color w:val="auto"/>
          <w:sz w:val="21"/>
          <w:szCs w:val="21"/>
          <w:highlight w:val="none"/>
          <w:lang w:val="en-US" w:eastAsia="zh-Hans"/>
        </w:rPr>
        <w:t>工程</w:t>
      </w:r>
      <w:r>
        <w:rPr>
          <w:rFonts w:hint="eastAsia" w:ascii="宋体" w:hAnsi="宋体" w:eastAsia="宋体" w:cs="宋体"/>
          <w:color w:val="auto"/>
          <w:sz w:val="21"/>
          <w:szCs w:val="21"/>
          <w:highlight w:val="none"/>
          <w:lang w:eastAsia="zh-Hans"/>
        </w:rPr>
        <w:t>验收</w:t>
      </w:r>
      <w:r>
        <w:rPr>
          <w:rFonts w:hint="eastAsia" w:ascii="宋体" w:hAnsi="宋体" w:eastAsia="宋体" w:cs="宋体"/>
          <w:color w:val="auto"/>
          <w:sz w:val="21"/>
          <w:szCs w:val="21"/>
          <w:highlight w:val="none"/>
        </w:rPr>
        <w:t>以</w:t>
      </w:r>
      <w:r>
        <w:rPr>
          <w:rFonts w:hint="eastAsia" w:ascii="宋体" w:hAnsi="宋体" w:eastAsia="宋体" w:cs="宋体"/>
          <w:color w:val="auto"/>
          <w:sz w:val="21"/>
          <w:szCs w:val="21"/>
          <w:highlight w:val="none"/>
          <w:lang w:eastAsia="zh-Hans"/>
        </w:rPr>
        <w:t>现场</w:t>
      </w:r>
      <w:r>
        <w:rPr>
          <w:rFonts w:hint="eastAsia" w:ascii="宋体" w:hAnsi="宋体" w:eastAsia="宋体" w:cs="宋体"/>
          <w:color w:val="auto"/>
          <w:sz w:val="21"/>
          <w:szCs w:val="21"/>
          <w:highlight w:val="none"/>
        </w:rPr>
        <w:t>抽检为主。验收项目、要求和方法</w:t>
      </w:r>
      <w:r>
        <w:rPr>
          <w:rFonts w:hint="eastAsia" w:ascii="宋体" w:hAnsi="宋体" w:eastAsia="宋体" w:cs="宋体"/>
          <w:color w:val="auto"/>
          <w:sz w:val="21"/>
          <w:szCs w:val="21"/>
          <w:highlight w:val="none"/>
          <w:lang w:val="zh-CN"/>
        </w:rPr>
        <w:t>如</w:t>
      </w:r>
      <w:r>
        <w:rPr>
          <w:rFonts w:hint="eastAsia" w:ascii="宋体" w:hAnsi="宋体" w:eastAsia="宋体" w:cs="宋体"/>
          <w:color w:val="auto"/>
          <w:sz w:val="21"/>
          <w:szCs w:val="21"/>
          <w:highlight w:val="none"/>
        </w:rPr>
        <w:t>表3.2</w:t>
      </w:r>
      <w:r>
        <w:rPr>
          <w:rFonts w:hint="eastAsia" w:ascii="宋体" w:hAnsi="宋体" w:eastAsia="宋体" w:cs="宋体"/>
          <w:color w:val="auto"/>
          <w:sz w:val="21"/>
          <w:szCs w:val="21"/>
          <w:highlight w:val="none"/>
          <w:lang w:val="zh-CN"/>
        </w:rPr>
        <w:t>所示。</w:t>
      </w:r>
    </w:p>
    <w:p w14:paraId="79871072">
      <w:pPr>
        <w:jc w:val="center"/>
        <w:rPr>
          <w:rFonts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 xml:space="preserve">表3.2 </w:t>
      </w:r>
      <w:r>
        <w:rPr>
          <w:rFonts w:hint="default" w:ascii="宋体" w:hAnsi="宋体" w:eastAsia="宋体" w:cs="宋体"/>
          <w:b/>
          <w:bCs/>
          <w:color w:val="auto"/>
          <w:sz w:val="21"/>
          <w:szCs w:val="21"/>
          <w:highlight w:val="none"/>
        </w:rPr>
        <w:t>长寿命沥青路面柔性修复工艺</w:t>
      </w:r>
      <w:r>
        <w:rPr>
          <w:rFonts w:hint="eastAsia" w:ascii="宋体" w:hAnsi="宋体" w:eastAsia="宋体" w:cs="宋体"/>
          <w:b/>
          <w:bCs/>
          <w:color w:val="auto"/>
          <w:sz w:val="21"/>
          <w:szCs w:val="21"/>
          <w:highlight w:val="none"/>
          <w:lang w:val="zh-CN"/>
        </w:rPr>
        <w:t>交工验收检验要求</w:t>
      </w:r>
    </w:p>
    <w:tbl>
      <w:tblPr>
        <w:tblStyle w:val="51"/>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4"/>
        <w:gridCol w:w="1773"/>
        <w:gridCol w:w="3818"/>
        <w:gridCol w:w="2115"/>
      </w:tblGrid>
      <w:tr w14:paraId="24776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4" w:type="dxa"/>
            <w:noWrap w:val="0"/>
            <w:vAlign w:val="center"/>
          </w:tcPr>
          <w:p w14:paraId="23D4ACD9">
            <w:pPr>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773" w:type="dxa"/>
            <w:noWrap w:val="0"/>
            <w:vAlign w:val="center"/>
          </w:tcPr>
          <w:p w14:paraId="0B5E311C">
            <w:pPr>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检验项目</w:t>
            </w:r>
          </w:p>
        </w:tc>
        <w:tc>
          <w:tcPr>
            <w:tcW w:w="3818" w:type="dxa"/>
            <w:noWrap w:val="0"/>
            <w:vAlign w:val="center"/>
          </w:tcPr>
          <w:p w14:paraId="4DEE8F8A">
            <w:pPr>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验收要求</w:t>
            </w:r>
          </w:p>
        </w:tc>
        <w:tc>
          <w:tcPr>
            <w:tcW w:w="2115" w:type="dxa"/>
            <w:noWrap w:val="0"/>
            <w:vAlign w:val="center"/>
          </w:tcPr>
          <w:p w14:paraId="58F6CC60">
            <w:pPr>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检验方法</w:t>
            </w:r>
          </w:p>
        </w:tc>
      </w:tr>
      <w:tr w14:paraId="15E20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714" w:type="dxa"/>
            <w:noWrap w:val="0"/>
            <w:vAlign w:val="center"/>
          </w:tcPr>
          <w:p w14:paraId="3A935C7D">
            <w:pPr>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773" w:type="dxa"/>
            <w:noWrap w:val="0"/>
            <w:vAlign w:val="center"/>
          </w:tcPr>
          <w:p w14:paraId="56ED9F07">
            <w:pPr>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槽口宽度</w:t>
            </w:r>
          </w:p>
        </w:tc>
        <w:tc>
          <w:tcPr>
            <w:tcW w:w="3818" w:type="dxa"/>
            <w:noWrap w:val="0"/>
            <w:vAlign w:val="center"/>
          </w:tcPr>
          <w:p w14:paraId="23F3ED68">
            <w:pPr>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Hans"/>
              </w:rPr>
              <w:t>.0</w:t>
            </w:r>
            <w:r>
              <w:rPr>
                <w:rFonts w:hint="eastAsia" w:ascii="宋体" w:hAnsi="宋体" w:eastAsia="宋体" w:cs="宋体"/>
                <w:color w:val="auto"/>
                <w:sz w:val="21"/>
                <w:szCs w:val="21"/>
                <w:highlight w:val="none"/>
              </w:rPr>
              <w:t>㎝</w:t>
            </w:r>
          </w:p>
        </w:tc>
        <w:tc>
          <w:tcPr>
            <w:tcW w:w="2115" w:type="dxa"/>
            <w:noWrap w:val="0"/>
            <w:vAlign w:val="center"/>
          </w:tcPr>
          <w:p w14:paraId="4A57A827">
            <w:pPr>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钢板尺测量</w:t>
            </w:r>
          </w:p>
        </w:tc>
      </w:tr>
      <w:tr w14:paraId="6737F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714" w:type="dxa"/>
            <w:noWrap w:val="0"/>
            <w:vAlign w:val="center"/>
          </w:tcPr>
          <w:p w14:paraId="250FBE13">
            <w:pPr>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773" w:type="dxa"/>
            <w:noWrap w:val="0"/>
            <w:vAlign w:val="center"/>
          </w:tcPr>
          <w:p w14:paraId="3E664EC7">
            <w:pPr>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槽口深度</w:t>
            </w:r>
          </w:p>
        </w:tc>
        <w:tc>
          <w:tcPr>
            <w:tcW w:w="3818" w:type="dxa"/>
            <w:noWrap w:val="0"/>
            <w:vAlign w:val="center"/>
          </w:tcPr>
          <w:p w14:paraId="3667F5E2">
            <w:pPr>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≥1.2㎝</w:t>
            </w:r>
          </w:p>
        </w:tc>
        <w:tc>
          <w:tcPr>
            <w:tcW w:w="2115" w:type="dxa"/>
            <w:noWrap w:val="0"/>
            <w:vAlign w:val="center"/>
          </w:tcPr>
          <w:p w14:paraId="1431937B">
            <w:pPr>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钢板尺测量</w:t>
            </w:r>
          </w:p>
        </w:tc>
      </w:tr>
      <w:tr w14:paraId="45C62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trPr>
        <w:tc>
          <w:tcPr>
            <w:tcW w:w="714" w:type="dxa"/>
            <w:noWrap w:val="0"/>
            <w:vAlign w:val="center"/>
          </w:tcPr>
          <w:p w14:paraId="262A5270">
            <w:pPr>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773" w:type="dxa"/>
            <w:noWrap w:val="0"/>
            <w:vAlign w:val="center"/>
          </w:tcPr>
          <w:p w14:paraId="1B263639">
            <w:pPr>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深宽比</w:t>
            </w:r>
          </w:p>
        </w:tc>
        <w:tc>
          <w:tcPr>
            <w:tcW w:w="3818" w:type="dxa"/>
            <w:noWrap w:val="0"/>
            <w:vAlign w:val="center"/>
          </w:tcPr>
          <w:p w14:paraId="55DEC9FD">
            <w:pPr>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＜2:1</w:t>
            </w:r>
          </w:p>
        </w:tc>
        <w:tc>
          <w:tcPr>
            <w:tcW w:w="2115" w:type="dxa"/>
            <w:noWrap w:val="0"/>
            <w:vAlign w:val="center"/>
          </w:tcPr>
          <w:p w14:paraId="0AE82FBB">
            <w:pPr>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钢板尺测量</w:t>
            </w:r>
          </w:p>
        </w:tc>
      </w:tr>
      <w:tr w14:paraId="101A3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trPr>
        <w:tc>
          <w:tcPr>
            <w:tcW w:w="714" w:type="dxa"/>
            <w:noWrap w:val="0"/>
            <w:vAlign w:val="center"/>
          </w:tcPr>
          <w:p w14:paraId="24C18637">
            <w:pPr>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1773" w:type="dxa"/>
            <w:noWrap w:val="0"/>
            <w:vAlign w:val="center"/>
          </w:tcPr>
          <w:p w14:paraId="495EE650">
            <w:pPr>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贴封层厚度</w:t>
            </w:r>
          </w:p>
        </w:tc>
        <w:tc>
          <w:tcPr>
            <w:tcW w:w="3818" w:type="dxa"/>
            <w:noWrap w:val="0"/>
            <w:vAlign w:val="center"/>
          </w:tcPr>
          <w:p w14:paraId="3CA55EFA">
            <w:pPr>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2115" w:type="dxa"/>
            <w:noWrap w:val="0"/>
            <w:vAlign w:val="center"/>
          </w:tcPr>
          <w:p w14:paraId="74ADDBE6">
            <w:pPr>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钢板尺测量</w:t>
            </w:r>
          </w:p>
        </w:tc>
      </w:tr>
      <w:tr w14:paraId="1EC69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4" w:type="dxa"/>
            <w:noWrap w:val="0"/>
            <w:vAlign w:val="center"/>
          </w:tcPr>
          <w:p w14:paraId="7AECB056">
            <w:pPr>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5 </w:t>
            </w:r>
          </w:p>
        </w:tc>
        <w:tc>
          <w:tcPr>
            <w:tcW w:w="1773" w:type="dxa"/>
            <w:noWrap w:val="0"/>
            <w:vAlign w:val="center"/>
          </w:tcPr>
          <w:p w14:paraId="4B9CA076">
            <w:pPr>
              <w:jc w:val="center"/>
              <w:rPr>
                <w:rFonts w:ascii="宋体" w:hAnsi="宋体" w:eastAsia="宋体" w:cs="宋体"/>
                <w:color w:val="auto"/>
                <w:sz w:val="21"/>
                <w:szCs w:val="21"/>
                <w:highlight w:val="none"/>
              </w:rPr>
            </w:pPr>
            <w:r>
              <w:rPr>
                <w:rFonts w:hint="default" w:ascii="宋体" w:hAnsi="宋体" w:eastAsia="宋体" w:cs="宋体"/>
                <w:color w:val="auto"/>
                <w:sz w:val="21"/>
                <w:szCs w:val="21"/>
                <w:highlight w:val="none"/>
              </w:rPr>
              <w:t>长寿命</w:t>
            </w:r>
            <w:r>
              <w:rPr>
                <w:rFonts w:hint="eastAsia" w:ascii="宋体" w:hAnsi="宋体" w:eastAsia="宋体" w:cs="宋体"/>
                <w:color w:val="auto"/>
                <w:sz w:val="21"/>
                <w:szCs w:val="21"/>
                <w:highlight w:val="none"/>
              </w:rPr>
              <w:t>柔性材料</w:t>
            </w:r>
          </w:p>
          <w:p w14:paraId="60FB560E">
            <w:pPr>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粘结性能</w:t>
            </w:r>
          </w:p>
        </w:tc>
        <w:tc>
          <w:tcPr>
            <w:tcW w:w="3818" w:type="dxa"/>
            <w:noWrap w:val="0"/>
            <w:vAlign w:val="center"/>
          </w:tcPr>
          <w:p w14:paraId="492F0AC7">
            <w:pP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与槽壁及槽口两侧路面粘结牢固</w:t>
            </w:r>
          </w:p>
        </w:tc>
        <w:tc>
          <w:tcPr>
            <w:tcW w:w="2115" w:type="dxa"/>
            <w:noWrap w:val="0"/>
            <w:vAlign w:val="center"/>
          </w:tcPr>
          <w:p w14:paraId="679800B1">
            <w:pPr>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肉眼观察，外力拉扯</w:t>
            </w:r>
          </w:p>
        </w:tc>
      </w:tr>
      <w:tr w14:paraId="6072F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4" w:type="dxa"/>
            <w:noWrap w:val="0"/>
            <w:vAlign w:val="center"/>
          </w:tcPr>
          <w:p w14:paraId="10947190">
            <w:pPr>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6 </w:t>
            </w:r>
          </w:p>
        </w:tc>
        <w:tc>
          <w:tcPr>
            <w:tcW w:w="1773" w:type="dxa"/>
            <w:noWrap w:val="0"/>
            <w:vAlign w:val="center"/>
          </w:tcPr>
          <w:p w14:paraId="1C70983D">
            <w:pPr>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外观</w:t>
            </w:r>
          </w:p>
        </w:tc>
        <w:tc>
          <w:tcPr>
            <w:tcW w:w="3818" w:type="dxa"/>
            <w:noWrap w:val="0"/>
            <w:vAlign w:val="center"/>
          </w:tcPr>
          <w:p w14:paraId="3C7ADB40">
            <w:pP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贴封层边缘整齐，表面平整、光滑、无气泡，手感软硬一致，不粘、不变形。</w:t>
            </w:r>
          </w:p>
        </w:tc>
        <w:tc>
          <w:tcPr>
            <w:tcW w:w="2115" w:type="dxa"/>
            <w:noWrap w:val="0"/>
            <w:vAlign w:val="center"/>
          </w:tcPr>
          <w:p w14:paraId="0ED91F5C">
            <w:pPr>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肉眼观察，手按，脚踩</w:t>
            </w:r>
          </w:p>
        </w:tc>
      </w:tr>
    </w:tbl>
    <w:p w14:paraId="7830D535">
      <w:pPr>
        <w:spacing w:line="360" w:lineRule="auto"/>
        <w:rPr>
          <w:rFonts w:ascii="宋体" w:hAnsi="宋体" w:eastAsia="宋体" w:cs="宋体"/>
          <w:color w:val="auto"/>
          <w:sz w:val="21"/>
          <w:szCs w:val="21"/>
          <w:highlight w:val="none"/>
        </w:rPr>
      </w:pPr>
    </w:p>
    <w:p w14:paraId="1A50F06D">
      <w:pPr>
        <w:ind w:firstLine="420" w:firstLineChars="200"/>
        <w:rPr>
          <w:rFonts w:ascii="宋体" w:hAnsi="宋体" w:eastAsia="宋体" w:cs="宋体"/>
          <w:color w:val="auto"/>
          <w:sz w:val="21"/>
          <w:szCs w:val="21"/>
          <w:highlight w:val="none"/>
        </w:rPr>
      </w:pPr>
      <w:r>
        <w:rPr>
          <w:rFonts w:ascii="宋体" w:hAnsi="宋体" w:eastAsia="宋体" w:cs="宋体"/>
          <w:color w:val="auto"/>
          <w:sz w:val="21"/>
          <w:szCs w:val="21"/>
          <w:highlight w:val="none"/>
        </w:rPr>
        <w:t xml:space="preserve">3 </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质保责任</w:t>
      </w:r>
    </w:p>
    <w:p w14:paraId="3D3004B0">
      <w:pPr>
        <w:jc w:val="left"/>
        <w:rPr>
          <w:rFonts w:hint="eastAsia" w:ascii="宋体" w:hAnsi="宋体"/>
          <w:color w:val="auto"/>
          <w:sz w:val="21"/>
          <w:szCs w:val="21"/>
          <w:highlight w:val="none"/>
        </w:rPr>
      </w:pPr>
      <w:r>
        <w:rPr>
          <w:rFonts w:hint="default" w:ascii="宋体" w:hAnsi="宋体" w:eastAsia="宋体" w:cs="宋体"/>
          <w:color w:val="auto"/>
          <w:sz w:val="21"/>
          <w:szCs w:val="21"/>
          <w:highlight w:val="none"/>
        </w:rPr>
        <w:t>长寿命沥青路面柔性修复工艺</w:t>
      </w:r>
      <w:r>
        <w:rPr>
          <w:rFonts w:hint="eastAsia" w:ascii="宋体" w:hAnsi="宋体" w:eastAsia="宋体" w:cs="宋体"/>
          <w:color w:val="auto"/>
          <w:sz w:val="21"/>
          <w:szCs w:val="21"/>
          <w:highlight w:val="none"/>
        </w:rPr>
        <w:t>要求在缺陷责任期内，被</w:t>
      </w:r>
      <w:r>
        <w:rPr>
          <w:rFonts w:hint="eastAsia" w:ascii="宋体" w:hAnsi="宋体" w:eastAsia="宋体" w:cs="宋体"/>
          <w:color w:val="auto"/>
          <w:sz w:val="21"/>
          <w:szCs w:val="21"/>
          <w:highlight w:val="none"/>
          <w:lang w:val="en-US" w:eastAsia="zh-Hans"/>
        </w:rPr>
        <w:t>修复</w:t>
      </w:r>
      <w:r>
        <w:rPr>
          <w:rFonts w:hint="eastAsia" w:ascii="宋体" w:hAnsi="宋体" w:eastAsia="宋体" w:cs="宋体"/>
          <w:color w:val="auto"/>
          <w:sz w:val="21"/>
          <w:szCs w:val="21"/>
          <w:highlight w:val="none"/>
        </w:rPr>
        <w:t>位置的材料保持与接触面的有效粘结，不脱落、不粘胎、不开裂、基本不变形；两侧贴封完整密水。</w:t>
      </w:r>
    </w:p>
    <w:p w14:paraId="43D197D5">
      <w:pPr>
        <w:spacing w:line="450" w:lineRule="exact"/>
        <w:rPr>
          <w:rFonts w:ascii="宋体" w:hAnsi="宋体"/>
          <w:color w:val="auto"/>
          <w:szCs w:val="21"/>
          <w:highlight w:val="none"/>
        </w:rPr>
      </w:pPr>
      <w:r>
        <w:rPr>
          <w:rFonts w:hint="eastAsia" w:ascii="宋体" w:hAnsi="宋体"/>
          <w:color w:val="auto"/>
          <w:szCs w:val="21"/>
          <w:highlight w:val="none"/>
        </w:rPr>
        <w:t xml:space="preserve">    4、路面沥青灌缝工艺流程</w:t>
      </w:r>
    </w:p>
    <w:p w14:paraId="7C765EF2">
      <w:pPr>
        <w:spacing w:line="440" w:lineRule="exact"/>
        <w:rPr>
          <w:rFonts w:ascii="宋体" w:hAnsi="宋体"/>
          <w:b/>
          <w:color w:val="auto"/>
          <w:szCs w:val="21"/>
          <w:highlight w:val="none"/>
        </w:rPr>
      </w:pPr>
      <w:r>
        <w:rPr>
          <w:rFonts w:hint="eastAsia" w:ascii="宋体" w:hAnsi="宋体"/>
          <w:b/>
          <w:color w:val="auto"/>
          <w:szCs w:val="21"/>
          <w:highlight w:val="none"/>
        </w:rPr>
        <w:t xml:space="preserve">   （1） 施工工艺</w:t>
      </w:r>
    </w:p>
    <w:p w14:paraId="091A7747">
      <w:pPr>
        <w:spacing w:line="440" w:lineRule="exact"/>
        <w:rPr>
          <w:rFonts w:ascii="宋体" w:hAnsi="宋体"/>
          <w:color w:val="auto"/>
          <w:szCs w:val="21"/>
          <w:highlight w:val="none"/>
        </w:rPr>
      </w:pPr>
      <w:r>
        <w:rPr>
          <w:color w:val="auto"/>
          <w:highlight w:val="none"/>
        </w:rPr>
        <w:drawing>
          <wp:anchor distT="0" distB="0" distL="114300" distR="114300" simplePos="0" relativeHeight="251661312" behindDoc="0" locked="0" layoutInCell="1" allowOverlap="1">
            <wp:simplePos x="0" y="0"/>
            <wp:positionH relativeFrom="column">
              <wp:posOffset>-200025</wp:posOffset>
            </wp:positionH>
            <wp:positionV relativeFrom="paragraph">
              <wp:posOffset>198120</wp:posOffset>
            </wp:positionV>
            <wp:extent cx="1955800" cy="2253615"/>
            <wp:effectExtent l="0" t="0" r="6350" b="13335"/>
            <wp:wrapSquare wrapText="bothSides"/>
            <wp:docPr id="7" name="图片 6" descr="沥青路面施工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沥青路面施工流程图"/>
                    <pic:cNvPicPr>
                      <a:picLocks noChangeAspect="1"/>
                    </pic:cNvPicPr>
                  </pic:nvPicPr>
                  <pic:blipFill>
                    <a:blip r:embed="rId17"/>
                    <a:stretch>
                      <a:fillRect/>
                    </a:stretch>
                  </pic:blipFill>
                  <pic:spPr>
                    <a:xfrm>
                      <a:off x="0" y="0"/>
                      <a:ext cx="1955800" cy="2253615"/>
                    </a:xfrm>
                    <a:prstGeom prst="rect">
                      <a:avLst/>
                    </a:prstGeom>
                    <a:noFill/>
                    <a:ln>
                      <a:noFill/>
                    </a:ln>
                  </pic:spPr>
                </pic:pic>
              </a:graphicData>
            </a:graphic>
          </wp:anchor>
        </w:drawing>
      </w:r>
      <w:r>
        <w:rPr>
          <w:rFonts w:ascii="宋体" w:hAnsi="宋体"/>
          <w:color w:val="auto"/>
          <w:szCs w:val="21"/>
          <w:highlight w:val="none"/>
        </w:rPr>
        <w:t>①</w:t>
      </w:r>
      <w:r>
        <w:rPr>
          <w:rFonts w:hint="eastAsia" w:ascii="宋体" w:hAnsi="宋体"/>
          <w:color w:val="auto"/>
          <w:szCs w:val="21"/>
          <w:highlight w:val="none"/>
        </w:rPr>
        <w:t xml:space="preserve"> 设备使用前应例行检查，如燃油箱存油量、机油油位，管路、软管接头情况及零部件紧固情况。</w:t>
      </w:r>
    </w:p>
    <w:p w14:paraId="11E3E292">
      <w:pPr>
        <w:spacing w:line="440" w:lineRule="exact"/>
        <w:ind w:left="630" w:leftChars="300" w:firstLine="105" w:firstLineChars="50"/>
        <w:rPr>
          <w:rFonts w:ascii="宋体" w:hAnsi="宋体"/>
          <w:color w:val="auto"/>
          <w:szCs w:val="21"/>
          <w:highlight w:val="none"/>
        </w:rPr>
      </w:pPr>
      <w:r>
        <w:rPr>
          <w:rFonts w:hint="eastAsia" w:ascii="宋体" w:hAnsi="宋体" w:cs="宋体"/>
          <w:color w:val="auto"/>
          <w:szCs w:val="21"/>
          <w:highlight w:val="none"/>
        </w:rPr>
        <w:t xml:space="preserve">② </w:t>
      </w:r>
      <w:r>
        <w:rPr>
          <w:rFonts w:hint="eastAsia" w:ascii="宋体" w:hAnsi="宋体"/>
          <w:color w:val="auto"/>
          <w:szCs w:val="21"/>
          <w:highlight w:val="none"/>
        </w:rPr>
        <w:t>按交通施工安全规定摆放安全警示牌、路椎等设施，确保施工场地安全及过往行车安全。</w:t>
      </w:r>
    </w:p>
    <w:p w14:paraId="00418993">
      <w:pPr>
        <w:spacing w:line="440" w:lineRule="exact"/>
        <w:rPr>
          <w:rFonts w:ascii="宋体" w:hAnsi="宋体"/>
          <w:color w:val="auto"/>
          <w:spacing w:val="-10"/>
          <w:szCs w:val="21"/>
          <w:highlight w:val="none"/>
        </w:rPr>
      </w:pPr>
      <w:r>
        <w:rPr>
          <w:rFonts w:hint="eastAsia" w:ascii="宋体" w:hAnsi="宋体" w:cs="宋体"/>
          <w:color w:val="auto"/>
          <w:szCs w:val="21"/>
          <w:highlight w:val="none"/>
        </w:rPr>
        <w:t xml:space="preserve"> ③ </w:t>
      </w:r>
      <w:r>
        <w:rPr>
          <w:rFonts w:hint="eastAsia" w:ascii="宋体" w:hAnsi="宋体"/>
          <w:color w:val="auto"/>
          <w:spacing w:val="-10"/>
          <w:szCs w:val="21"/>
          <w:highlight w:val="none"/>
        </w:rPr>
        <w:t>按养护设计要求调整开槽宽度及深度，沿路面不规则裂缝进行跟踪开出均匀凹槽。</w:t>
      </w:r>
    </w:p>
    <w:p w14:paraId="44465B3E">
      <w:pPr>
        <w:spacing w:line="440" w:lineRule="exact"/>
        <w:rPr>
          <w:rFonts w:ascii="宋体" w:hAnsi="宋体"/>
          <w:color w:val="auto"/>
          <w:szCs w:val="21"/>
          <w:highlight w:val="none"/>
        </w:rPr>
      </w:pPr>
      <w:r>
        <w:rPr>
          <w:rFonts w:hint="eastAsia" w:ascii="宋体" w:hAnsi="宋体" w:cs="宋体"/>
          <w:color w:val="auto"/>
          <w:szCs w:val="21"/>
          <w:highlight w:val="none"/>
        </w:rPr>
        <w:t xml:space="preserve"> ④ </w:t>
      </w:r>
      <w:r>
        <w:rPr>
          <w:rFonts w:hint="eastAsia" w:ascii="宋体" w:hAnsi="宋体"/>
          <w:color w:val="auto"/>
          <w:szCs w:val="21"/>
          <w:highlight w:val="none"/>
        </w:rPr>
        <w:t>使用高压吹尘机对开槽后路面进行高压除尘，使开槽后的路面无尘砂、无残留老料，检查合格后进行下一工序。</w:t>
      </w:r>
    </w:p>
    <w:p w14:paraId="1F53464A">
      <w:pPr>
        <w:spacing w:line="450" w:lineRule="exact"/>
        <w:rPr>
          <w:rFonts w:ascii="宋体" w:hAnsi="宋体"/>
          <w:color w:val="auto"/>
          <w:szCs w:val="21"/>
          <w:highlight w:val="none"/>
        </w:rPr>
      </w:pPr>
      <w:r>
        <w:rPr>
          <w:rFonts w:hint="eastAsia" w:ascii="宋体" w:hAnsi="宋体" w:cs="宋体"/>
          <w:color w:val="auto"/>
          <w:szCs w:val="21"/>
          <w:highlight w:val="none"/>
        </w:rPr>
        <w:t xml:space="preserve">⑤ </w:t>
      </w:r>
      <w:r>
        <w:rPr>
          <w:rFonts w:hint="eastAsia" w:ascii="宋体" w:hAnsi="宋体"/>
          <w:color w:val="auto"/>
          <w:szCs w:val="21"/>
          <w:highlight w:val="none"/>
        </w:rPr>
        <w:t>热气喷枪一方面去除潮湿路面中的水份，形成一个干燥的结合面；另一方面热气喷枪所产生的热量可瞬间对路面沥青进行加热，软化路面沥青混凝土结构面层，使热熔灌缝材料与路面形成热接触效应，增加路面与材料之间的粘接性。检查合格后进行下一工序。</w:t>
      </w:r>
    </w:p>
    <w:p w14:paraId="01F7866C">
      <w:pPr>
        <w:spacing w:line="450" w:lineRule="exact"/>
        <w:rPr>
          <w:rFonts w:ascii="宋体" w:hAnsi="宋体"/>
          <w:color w:val="auto"/>
          <w:szCs w:val="21"/>
          <w:highlight w:val="none"/>
        </w:rPr>
      </w:pPr>
      <w:r>
        <w:rPr>
          <w:rFonts w:hint="eastAsia" w:ascii="宋体" w:hAnsi="宋体" w:cs="宋体"/>
          <w:color w:val="auto"/>
          <w:szCs w:val="21"/>
          <w:highlight w:val="none"/>
        </w:rPr>
        <w:t xml:space="preserve">⑥ </w:t>
      </w:r>
      <w:r>
        <w:rPr>
          <w:rFonts w:hint="eastAsia" w:ascii="宋体" w:hAnsi="宋体"/>
          <w:color w:val="auto"/>
          <w:szCs w:val="21"/>
          <w:highlight w:val="none"/>
        </w:rPr>
        <w:t>操作人员手执灌缝枪，随热气喷枪之后进行灌缝。灌缝时需选用压力注射式灌缝设备，确保缝槽内不存留空气。可选用拉式或拖式走向，完成裂缝密封。</w:t>
      </w:r>
    </w:p>
    <w:p w14:paraId="713A8F1A">
      <w:pPr>
        <w:spacing w:line="450" w:lineRule="exact"/>
        <w:rPr>
          <w:rFonts w:ascii="宋体" w:hAnsi="宋体"/>
          <w:color w:val="auto"/>
          <w:szCs w:val="21"/>
          <w:highlight w:val="none"/>
        </w:rPr>
      </w:pPr>
      <w:r>
        <w:rPr>
          <w:rFonts w:hint="eastAsia" w:ascii="宋体" w:hAnsi="宋体" w:cs="宋体"/>
          <w:color w:val="auto"/>
          <w:szCs w:val="21"/>
          <w:highlight w:val="none"/>
        </w:rPr>
        <w:t xml:space="preserve">⑦ </w:t>
      </w:r>
      <w:r>
        <w:rPr>
          <w:rFonts w:hint="eastAsia" w:ascii="宋体" w:hAnsi="宋体"/>
          <w:color w:val="auto"/>
          <w:szCs w:val="21"/>
          <w:highlight w:val="none"/>
        </w:rPr>
        <w:t>待材料表干后开放交通。</w:t>
      </w:r>
    </w:p>
    <w:p w14:paraId="6170F267">
      <w:pPr>
        <w:spacing w:line="450" w:lineRule="exact"/>
        <w:rPr>
          <w:rFonts w:ascii="宋体" w:hAnsi="宋体"/>
          <w:b/>
          <w:color w:val="auto"/>
          <w:szCs w:val="21"/>
          <w:highlight w:val="none"/>
        </w:rPr>
      </w:pPr>
      <w:r>
        <w:rPr>
          <w:rFonts w:hint="eastAsia" w:ascii="宋体" w:hAnsi="宋体"/>
          <w:b/>
          <w:color w:val="auto"/>
          <w:szCs w:val="21"/>
          <w:highlight w:val="none"/>
        </w:rPr>
        <w:t>（2）施工工艺示意图</w:t>
      </w:r>
    </w:p>
    <w:p w14:paraId="6ED93999">
      <w:pPr>
        <w:spacing w:line="360" w:lineRule="auto"/>
        <w:rPr>
          <w:rFonts w:ascii="宋体" w:hAnsi="宋体"/>
          <w:b/>
          <w:color w:val="auto"/>
          <w:sz w:val="24"/>
          <w:highlight w:val="none"/>
        </w:rPr>
      </w:pPr>
      <w:r>
        <w:rPr>
          <w:color w:val="auto"/>
          <w:highlight w:val="none"/>
        </w:rPr>
        <w:drawing>
          <wp:anchor distT="0" distB="0" distL="114300" distR="114300" simplePos="0" relativeHeight="251660288" behindDoc="0" locked="0" layoutInCell="1" allowOverlap="1">
            <wp:simplePos x="0" y="0"/>
            <wp:positionH relativeFrom="column">
              <wp:posOffset>2649855</wp:posOffset>
            </wp:positionH>
            <wp:positionV relativeFrom="paragraph">
              <wp:posOffset>196850</wp:posOffset>
            </wp:positionV>
            <wp:extent cx="1009015" cy="932180"/>
            <wp:effectExtent l="0" t="0" r="635" b="1270"/>
            <wp:wrapTight wrapText="bothSides">
              <wp:wrapPolygon>
                <wp:start x="0" y="0"/>
                <wp:lineTo x="0" y="21188"/>
                <wp:lineTo x="21206" y="21188"/>
                <wp:lineTo x="21206" y="0"/>
                <wp:lineTo x="0" y="0"/>
              </wp:wrapPolygon>
            </wp:wrapTight>
            <wp:docPr id="9" name="图片 5" descr="灌缝后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灌缝后9"/>
                    <pic:cNvPicPr>
                      <a:picLocks noChangeAspect="1"/>
                    </pic:cNvPicPr>
                  </pic:nvPicPr>
                  <pic:blipFill>
                    <a:blip r:embed="rId18"/>
                    <a:stretch>
                      <a:fillRect/>
                    </a:stretch>
                  </pic:blipFill>
                  <pic:spPr>
                    <a:xfrm>
                      <a:off x="0" y="0"/>
                      <a:ext cx="1009015" cy="932180"/>
                    </a:xfrm>
                    <a:prstGeom prst="rect">
                      <a:avLst/>
                    </a:prstGeom>
                    <a:noFill/>
                    <a:ln>
                      <a:noFill/>
                    </a:ln>
                  </pic:spPr>
                </pic:pic>
              </a:graphicData>
            </a:graphic>
          </wp:anchor>
        </w:drawing>
      </w:r>
      <w:r>
        <w:rPr>
          <w:color w:val="auto"/>
          <w:highlight w:val="none"/>
        </w:rPr>
        <w:drawing>
          <wp:anchor distT="0" distB="0" distL="114300" distR="114300" simplePos="0" relativeHeight="251659264" behindDoc="0" locked="0" layoutInCell="1" allowOverlap="1">
            <wp:simplePos x="0" y="0"/>
            <wp:positionH relativeFrom="column">
              <wp:posOffset>390525</wp:posOffset>
            </wp:positionH>
            <wp:positionV relativeFrom="paragraph">
              <wp:posOffset>149225</wp:posOffset>
            </wp:positionV>
            <wp:extent cx="1042670" cy="954405"/>
            <wp:effectExtent l="0" t="0" r="5080" b="17145"/>
            <wp:wrapTight wrapText="bothSides">
              <wp:wrapPolygon>
                <wp:start x="0" y="0"/>
                <wp:lineTo x="0" y="21126"/>
                <wp:lineTo x="21311" y="21126"/>
                <wp:lineTo x="21311" y="0"/>
                <wp:lineTo x="0" y="0"/>
              </wp:wrapPolygon>
            </wp:wrapTight>
            <wp:docPr id="8" name="图片 4" descr="开槽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开槽后"/>
                    <pic:cNvPicPr>
                      <a:picLocks noChangeAspect="1"/>
                    </pic:cNvPicPr>
                  </pic:nvPicPr>
                  <pic:blipFill>
                    <a:blip r:embed="rId19"/>
                    <a:stretch>
                      <a:fillRect/>
                    </a:stretch>
                  </pic:blipFill>
                  <pic:spPr>
                    <a:xfrm>
                      <a:off x="0" y="0"/>
                      <a:ext cx="1042670" cy="954405"/>
                    </a:xfrm>
                    <a:prstGeom prst="rect">
                      <a:avLst/>
                    </a:prstGeom>
                    <a:noFill/>
                    <a:ln>
                      <a:noFill/>
                    </a:ln>
                  </pic:spPr>
                </pic:pic>
              </a:graphicData>
            </a:graphic>
          </wp:anchor>
        </w:drawing>
      </w:r>
    </w:p>
    <w:p w14:paraId="1A2FD423">
      <w:pPr>
        <w:spacing w:line="360" w:lineRule="auto"/>
        <w:rPr>
          <w:rFonts w:ascii="宋体" w:hAnsi="宋体"/>
          <w:b/>
          <w:color w:val="auto"/>
          <w:sz w:val="24"/>
          <w:highlight w:val="none"/>
        </w:rPr>
      </w:pPr>
    </w:p>
    <w:p w14:paraId="2A309F4D">
      <w:pPr>
        <w:spacing w:line="360" w:lineRule="auto"/>
        <w:rPr>
          <w:rFonts w:ascii="宋体" w:hAnsi="宋体"/>
          <w:b/>
          <w:color w:val="auto"/>
          <w:sz w:val="24"/>
          <w:highlight w:val="none"/>
        </w:rPr>
      </w:pPr>
    </w:p>
    <w:p w14:paraId="6536E45E">
      <w:pPr>
        <w:spacing w:line="480" w:lineRule="auto"/>
        <w:rPr>
          <w:rFonts w:ascii="宋体" w:hAnsi="宋体"/>
          <w:b/>
          <w:bCs/>
          <w:color w:val="auto"/>
          <w:sz w:val="24"/>
          <w:highlight w:val="none"/>
        </w:rPr>
      </w:pPr>
    </w:p>
    <w:p w14:paraId="0A3F9387">
      <w:pPr>
        <w:spacing w:line="450" w:lineRule="exact"/>
        <w:rPr>
          <w:rFonts w:ascii="宋体" w:hAnsi="宋体"/>
          <w:b/>
          <w:bCs/>
          <w:color w:val="auto"/>
          <w:szCs w:val="21"/>
          <w:highlight w:val="none"/>
        </w:rPr>
      </w:pPr>
      <w:r>
        <w:rPr>
          <w:rFonts w:hint="eastAsia" w:ascii="宋体" w:hAnsi="宋体"/>
          <w:b/>
          <w:bCs/>
          <w:color w:val="auto"/>
          <w:szCs w:val="21"/>
          <w:highlight w:val="none"/>
        </w:rPr>
        <w:t>（3）在施工期间应完成下列操作，以保证有足够数量和规定温度的热熔材料：</w:t>
      </w:r>
    </w:p>
    <w:p w14:paraId="5B732B87">
      <w:pPr>
        <w:spacing w:line="450" w:lineRule="exact"/>
        <w:ind w:firstLine="420" w:firstLineChars="200"/>
        <w:outlineLvl w:val="0"/>
        <w:rPr>
          <w:rFonts w:ascii="宋体" w:hAnsi="宋体"/>
          <w:bCs/>
          <w:color w:val="auto"/>
          <w:szCs w:val="21"/>
          <w:highlight w:val="none"/>
        </w:rPr>
      </w:pPr>
      <w:bookmarkStart w:id="205" w:name="_Toc45655216"/>
      <w:r>
        <w:rPr>
          <w:rFonts w:hint="eastAsia" w:ascii="宋体" w:hAnsi="宋体"/>
          <w:bCs/>
          <w:color w:val="auto"/>
          <w:szCs w:val="21"/>
          <w:highlight w:val="none"/>
        </w:rPr>
        <w:t>1、检查喷嘴处和熔箱内的材料温度；</w:t>
      </w:r>
      <w:bookmarkEnd w:id="205"/>
    </w:p>
    <w:p w14:paraId="060DFAB5">
      <w:pPr>
        <w:spacing w:line="450" w:lineRule="exact"/>
        <w:ind w:firstLine="420" w:firstLineChars="200"/>
        <w:rPr>
          <w:rFonts w:ascii="宋体" w:hAnsi="宋体"/>
          <w:bCs/>
          <w:color w:val="auto"/>
          <w:szCs w:val="21"/>
          <w:highlight w:val="none"/>
        </w:rPr>
      </w:pPr>
      <w:r>
        <w:rPr>
          <w:rFonts w:hint="eastAsia" w:ascii="宋体" w:hAnsi="宋体"/>
          <w:bCs/>
          <w:color w:val="auto"/>
          <w:szCs w:val="21"/>
          <w:highlight w:val="none"/>
        </w:rPr>
        <w:t>2、调整加热温度控制装置，以达到推荐的施工温度（或者尽可能地接近推荐施工温度，避免超过安全加热温度）；</w:t>
      </w:r>
    </w:p>
    <w:p w14:paraId="6FCF7FA6">
      <w:pPr>
        <w:spacing w:line="450" w:lineRule="exact"/>
        <w:ind w:firstLine="420" w:firstLineChars="200"/>
        <w:rPr>
          <w:rFonts w:ascii="宋体" w:hAnsi="宋体"/>
          <w:bCs/>
          <w:color w:val="auto"/>
          <w:szCs w:val="21"/>
          <w:highlight w:val="none"/>
        </w:rPr>
      </w:pPr>
      <w:r>
        <w:rPr>
          <w:rFonts w:hint="eastAsia" w:ascii="宋体" w:hAnsi="宋体"/>
          <w:bCs/>
          <w:color w:val="auto"/>
          <w:szCs w:val="21"/>
          <w:highlight w:val="none"/>
        </w:rPr>
        <w:t>3、应常检查灌缝料的温度，必要时予以调整；</w:t>
      </w:r>
    </w:p>
    <w:p w14:paraId="4DD650F5">
      <w:pPr>
        <w:spacing w:line="450" w:lineRule="exact"/>
        <w:ind w:firstLine="420" w:firstLineChars="200"/>
        <w:rPr>
          <w:rFonts w:ascii="宋体" w:hAnsi="宋体"/>
          <w:bCs/>
          <w:color w:val="auto"/>
          <w:szCs w:val="21"/>
          <w:highlight w:val="none"/>
        </w:rPr>
      </w:pPr>
      <w:r>
        <w:rPr>
          <w:rFonts w:hint="eastAsia" w:ascii="宋体" w:hAnsi="宋体"/>
          <w:bCs/>
          <w:color w:val="auto"/>
          <w:szCs w:val="21"/>
          <w:highlight w:val="none"/>
        </w:rPr>
        <w:t>4、注意观察化料温度变化；</w:t>
      </w:r>
    </w:p>
    <w:p w14:paraId="5E9CC3F4">
      <w:pPr>
        <w:spacing w:line="450" w:lineRule="exact"/>
        <w:ind w:firstLine="420" w:firstLineChars="200"/>
        <w:rPr>
          <w:rFonts w:ascii="宋体" w:hAnsi="宋体"/>
          <w:b/>
          <w:bCs/>
          <w:color w:val="auto"/>
          <w:szCs w:val="21"/>
          <w:highlight w:val="none"/>
        </w:rPr>
      </w:pPr>
      <w:r>
        <w:rPr>
          <w:rFonts w:hint="eastAsia" w:ascii="宋体" w:hAnsi="宋体"/>
          <w:bCs/>
          <w:color w:val="auto"/>
          <w:szCs w:val="21"/>
          <w:highlight w:val="none"/>
        </w:rPr>
        <w:t>5、定期检查熔锅内材料数量，必要时，予以添加。</w:t>
      </w:r>
    </w:p>
    <w:p w14:paraId="562608AB">
      <w:pPr>
        <w:spacing w:line="450" w:lineRule="exact"/>
        <w:rPr>
          <w:rFonts w:ascii="宋体" w:hAnsi="宋体"/>
          <w:b/>
          <w:bCs/>
          <w:color w:val="auto"/>
          <w:szCs w:val="21"/>
          <w:highlight w:val="none"/>
        </w:rPr>
      </w:pPr>
      <w:r>
        <w:rPr>
          <w:rFonts w:hint="eastAsia" w:ascii="宋体" w:hAnsi="宋体"/>
          <w:b/>
          <w:bCs/>
          <w:color w:val="auto"/>
          <w:szCs w:val="21"/>
          <w:highlight w:val="none"/>
        </w:rPr>
        <w:t xml:space="preserve"> （4）施工前后对比 </w:t>
      </w:r>
    </w:p>
    <w:tbl>
      <w:tblPr>
        <w:tblStyle w:val="51"/>
        <w:tblpPr w:leftFromText="180" w:rightFromText="180" w:vertAnchor="text" w:horzAnchor="margin" w:tblpXSpec="center" w:tblpY="314"/>
        <w:tblOverlap w:val="never"/>
        <w:tblW w:w="0" w:type="auto"/>
        <w:tblInd w:w="0" w:type="dxa"/>
        <w:tblLayout w:type="fixed"/>
        <w:tblCellMar>
          <w:top w:w="0" w:type="dxa"/>
          <w:left w:w="108" w:type="dxa"/>
          <w:bottom w:w="0" w:type="dxa"/>
          <w:right w:w="108" w:type="dxa"/>
        </w:tblCellMar>
      </w:tblPr>
      <w:tblGrid>
        <w:gridCol w:w="3089"/>
        <w:gridCol w:w="3072"/>
        <w:gridCol w:w="3058"/>
      </w:tblGrid>
      <w:tr w14:paraId="65E0F56B">
        <w:tblPrEx>
          <w:tblCellMar>
            <w:top w:w="0" w:type="dxa"/>
            <w:left w:w="108" w:type="dxa"/>
            <w:bottom w:w="0" w:type="dxa"/>
            <w:right w:w="108" w:type="dxa"/>
          </w:tblCellMar>
        </w:tblPrEx>
        <w:trPr>
          <w:trHeight w:val="1850" w:hRule="atLeast"/>
        </w:trPr>
        <w:tc>
          <w:tcPr>
            <w:tcW w:w="3089" w:type="dxa"/>
            <w:noWrap w:val="0"/>
            <w:vAlign w:val="center"/>
          </w:tcPr>
          <w:p w14:paraId="4F14E563">
            <w:pPr>
              <w:spacing w:line="360" w:lineRule="auto"/>
              <w:rPr>
                <w:color w:val="auto"/>
                <w:highlight w:val="none"/>
              </w:rPr>
            </w:pPr>
            <w:r>
              <w:rPr>
                <w:color w:val="auto"/>
                <w:highlight w:val="none"/>
              </w:rPr>
              <w:drawing>
                <wp:inline distT="0" distB="0" distL="114300" distR="114300">
                  <wp:extent cx="1623060" cy="1212215"/>
                  <wp:effectExtent l="0" t="0" r="15240" b="6985"/>
                  <wp:docPr id="10" name="图片 1" descr="01开槽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01开槽前"/>
                          <pic:cNvPicPr>
                            <a:picLocks noChangeAspect="1"/>
                          </pic:cNvPicPr>
                        </pic:nvPicPr>
                        <pic:blipFill>
                          <a:blip r:embed="rId20"/>
                          <a:stretch>
                            <a:fillRect/>
                          </a:stretch>
                        </pic:blipFill>
                        <pic:spPr>
                          <a:xfrm>
                            <a:off x="0" y="0"/>
                            <a:ext cx="1623060" cy="1212215"/>
                          </a:xfrm>
                          <a:prstGeom prst="rect">
                            <a:avLst/>
                          </a:prstGeom>
                          <a:noFill/>
                          <a:ln>
                            <a:noFill/>
                          </a:ln>
                        </pic:spPr>
                      </pic:pic>
                    </a:graphicData>
                  </a:graphic>
                </wp:inline>
              </w:drawing>
            </w:r>
          </w:p>
        </w:tc>
        <w:tc>
          <w:tcPr>
            <w:tcW w:w="3072" w:type="dxa"/>
            <w:noWrap w:val="0"/>
            <w:vAlign w:val="center"/>
          </w:tcPr>
          <w:p w14:paraId="68F5FFF0">
            <w:pPr>
              <w:spacing w:line="360" w:lineRule="auto"/>
              <w:rPr>
                <w:color w:val="auto"/>
                <w:highlight w:val="none"/>
              </w:rPr>
            </w:pPr>
            <w:r>
              <w:rPr>
                <w:color w:val="auto"/>
                <w:highlight w:val="none"/>
              </w:rPr>
              <w:drawing>
                <wp:inline distT="0" distB="0" distL="114300" distR="114300">
                  <wp:extent cx="1638300" cy="1238250"/>
                  <wp:effectExtent l="0" t="0" r="0" b="0"/>
                  <wp:docPr id="3" name="图片 2" descr="02开槽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02开槽后"/>
                          <pic:cNvPicPr>
                            <a:picLocks noChangeAspect="1"/>
                          </pic:cNvPicPr>
                        </pic:nvPicPr>
                        <pic:blipFill>
                          <a:blip r:embed="rId21"/>
                          <a:stretch>
                            <a:fillRect/>
                          </a:stretch>
                        </pic:blipFill>
                        <pic:spPr>
                          <a:xfrm>
                            <a:off x="0" y="0"/>
                            <a:ext cx="1638300" cy="1238250"/>
                          </a:xfrm>
                          <a:prstGeom prst="rect">
                            <a:avLst/>
                          </a:prstGeom>
                          <a:noFill/>
                          <a:ln>
                            <a:noFill/>
                          </a:ln>
                        </pic:spPr>
                      </pic:pic>
                    </a:graphicData>
                  </a:graphic>
                </wp:inline>
              </w:drawing>
            </w:r>
          </w:p>
        </w:tc>
        <w:tc>
          <w:tcPr>
            <w:tcW w:w="3058" w:type="dxa"/>
            <w:noWrap w:val="0"/>
            <w:vAlign w:val="center"/>
          </w:tcPr>
          <w:p w14:paraId="28426440">
            <w:pPr>
              <w:spacing w:line="360" w:lineRule="auto"/>
              <w:rPr>
                <w:color w:val="auto"/>
                <w:highlight w:val="none"/>
              </w:rPr>
            </w:pPr>
            <w:r>
              <w:rPr>
                <w:color w:val="auto"/>
                <w:highlight w:val="none"/>
              </w:rPr>
              <w:drawing>
                <wp:inline distT="0" distB="0" distL="114300" distR="114300">
                  <wp:extent cx="1638300" cy="1228725"/>
                  <wp:effectExtent l="0" t="0" r="0" b="9525"/>
                  <wp:docPr id="11" name="图片 3" descr="灌缝后效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灌缝后效果"/>
                          <pic:cNvPicPr>
                            <a:picLocks noChangeAspect="1"/>
                          </pic:cNvPicPr>
                        </pic:nvPicPr>
                        <pic:blipFill>
                          <a:blip r:embed="rId22"/>
                          <a:stretch>
                            <a:fillRect/>
                          </a:stretch>
                        </pic:blipFill>
                        <pic:spPr>
                          <a:xfrm>
                            <a:off x="0" y="0"/>
                            <a:ext cx="1638300" cy="1228725"/>
                          </a:xfrm>
                          <a:prstGeom prst="rect">
                            <a:avLst/>
                          </a:prstGeom>
                          <a:noFill/>
                          <a:ln>
                            <a:noFill/>
                          </a:ln>
                        </pic:spPr>
                      </pic:pic>
                    </a:graphicData>
                  </a:graphic>
                </wp:inline>
              </w:drawing>
            </w:r>
          </w:p>
        </w:tc>
      </w:tr>
    </w:tbl>
    <w:p w14:paraId="7EE25D8E">
      <w:pPr>
        <w:spacing w:line="450" w:lineRule="exact"/>
        <w:rPr>
          <w:rFonts w:ascii="宋体" w:hAnsi="宋体"/>
          <w:color w:val="auto"/>
          <w:szCs w:val="21"/>
          <w:highlight w:val="none"/>
        </w:rPr>
      </w:pPr>
      <w:r>
        <w:rPr>
          <w:rFonts w:hint="eastAsia" w:ascii="宋体" w:hAnsi="宋体"/>
          <w:b/>
          <w:bCs/>
          <w:color w:val="auto"/>
          <w:szCs w:val="21"/>
          <w:highlight w:val="none"/>
        </w:rPr>
        <w:t xml:space="preserve">（5）施工优势 </w:t>
      </w:r>
    </w:p>
    <w:p w14:paraId="28BA2AEC">
      <w:pPr>
        <w:spacing w:line="450" w:lineRule="exact"/>
        <w:ind w:firstLine="422" w:firstLineChars="200"/>
        <w:rPr>
          <w:rFonts w:ascii="宋体" w:hAnsi="宋体"/>
          <w:color w:val="auto"/>
          <w:szCs w:val="21"/>
          <w:highlight w:val="none"/>
        </w:rPr>
      </w:pPr>
      <w:r>
        <w:rPr>
          <w:rFonts w:hint="eastAsia" w:ascii="宋体" w:hAnsi="宋体"/>
          <w:b/>
          <w:bCs/>
          <w:color w:val="auto"/>
          <w:szCs w:val="21"/>
          <w:highlight w:val="none"/>
        </w:rPr>
        <w:t>A</w:t>
      </w:r>
      <w:r>
        <w:rPr>
          <w:rFonts w:hint="eastAsia" w:ascii="宋体" w:hAnsi="宋体"/>
          <w:color w:val="auto"/>
          <w:szCs w:val="21"/>
          <w:highlight w:val="none"/>
        </w:rPr>
        <w:t>、开槽能够彻底地将沥青路面中杂物清除，使下一步的灌缝有一平整结合面；</w:t>
      </w:r>
    </w:p>
    <w:p w14:paraId="35A52129">
      <w:pPr>
        <w:spacing w:line="450" w:lineRule="exact"/>
        <w:ind w:firstLine="422" w:firstLineChars="200"/>
        <w:rPr>
          <w:rFonts w:ascii="宋体" w:hAnsi="宋体"/>
          <w:color w:val="auto"/>
          <w:szCs w:val="21"/>
          <w:highlight w:val="none"/>
        </w:rPr>
      </w:pPr>
      <w:r>
        <w:rPr>
          <w:rFonts w:hint="eastAsia" w:ascii="宋体" w:hAnsi="宋体"/>
          <w:b/>
          <w:bCs/>
          <w:color w:val="auto"/>
          <w:szCs w:val="21"/>
          <w:highlight w:val="none"/>
        </w:rPr>
        <w:t>B</w:t>
      </w:r>
      <w:r>
        <w:rPr>
          <w:rFonts w:hint="eastAsia" w:ascii="宋体" w:hAnsi="宋体"/>
          <w:color w:val="auto"/>
          <w:szCs w:val="21"/>
          <w:highlight w:val="none"/>
        </w:rPr>
        <w:t>、高压吹尘机可快速彻底清理开槽后残留的杂物，加速工作进程，并可有效清洁路面，以确保在施工过程中达到路面卫生要求；</w:t>
      </w:r>
    </w:p>
    <w:p w14:paraId="092DFF39">
      <w:pPr>
        <w:spacing w:line="450" w:lineRule="exact"/>
        <w:ind w:firstLine="422" w:firstLineChars="200"/>
        <w:rPr>
          <w:rFonts w:ascii="宋体" w:hAnsi="宋体"/>
          <w:color w:val="auto"/>
          <w:szCs w:val="21"/>
          <w:highlight w:val="none"/>
        </w:rPr>
      </w:pPr>
      <w:r>
        <w:rPr>
          <w:rFonts w:hint="eastAsia" w:ascii="宋体" w:hAnsi="宋体"/>
          <w:b/>
          <w:bCs/>
          <w:color w:val="auto"/>
          <w:szCs w:val="21"/>
          <w:highlight w:val="none"/>
        </w:rPr>
        <w:t>C</w:t>
      </w:r>
      <w:r>
        <w:rPr>
          <w:rFonts w:hint="eastAsia" w:ascii="宋体" w:hAnsi="宋体"/>
          <w:color w:val="auto"/>
          <w:szCs w:val="21"/>
          <w:highlight w:val="none"/>
        </w:rPr>
        <w:t>、热气喷枪可与灌缝输料软管同步进行工作，提高施工工艺中热接触效率，增强材料与缝壁粘接强度及施工的及时性；</w:t>
      </w:r>
    </w:p>
    <w:p w14:paraId="58642CD8">
      <w:pPr>
        <w:spacing w:line="450" w:lineRule="exact"/>
        <w:ind w:firstLine="422" w:firstLineChars="200"/>
        <w:rPr>
          <w:rFonts w:hint="eastAsia"/>
          <w:highlight w:val="none"/>
          <w:lang w:val="en-US" w:eastAsia="zh-CN"/>
        </w:rPr>
      </w:pPr>
      <w:r>
        <w:rPr>
          <w:rFonts w:hint="eastAsia" w:ascii="宋体" w:hAnsi="宋体"/>
          <w:b/>
          <w:color w:val="auto"/>
          <w:szCs w:val="21"/>
          <w:highlight w:val="none"/>
        </w:rPr>
        <w:t>D、</w:t>
      </w:r>
      <w:r>
        <w:rPr>
          <w:rFonts w:hint="eastAsia" w:ascii="宋体" w:hAnsi="宋体"/>
          <w:color w:val="auto"/>
          <w:szCs w:val="21"/>
          <w:highlight w:val="none"/>
        </w:rPr>
        <w:t>灌缝工艺尤其重要，COALER系列路面裂缝灌缝机方型输料口设计，两侧增加延伸群力,使灌缝效果美观整齐且充分完成防水、防砂、高粘接功效。施工灌料时，灌出的材料平行并微高于路面1—2mm封闭裂缝，使灌缝随温度变化有一定的胀缩空间，也可避免跳车现象的发生。</w:t>
      </w:r>
    </w:p>
    <w:p w14:paraId="0BD2D6C5">
      <w:pPr>
        <w:spacing w:line="360" w:lineRule="auto"/>
        <w:ind w:firstLine="422" w:firstLineChars="200"/>
        <w:jc w:val="left"/>
        <w:rPr>
          <w:rFonts w:hint="eastAsia"/>
          <w:b/>
          <w:bCs/>
        </w:rPr>
      </w:pPr>
      <w:r>
        <w:rPr>
          <w:rFonts w:hint="eastAsia"/>
          <w:b/>
          <w:bCs/>
        </w:rPr>
        <w:t>补充：14.人行道彩砖铺设</w:t>
      </w:r>
    </w:p>
    <w:p w14:paraId="06FF1BBB">
      <w:pPr>
        <w:spacing w:line="360" w:lineRule="auto"/>
        <w:ind w:firstLine="420" w:firstLineChars="200"/>
        <w:jc w:val="left"/>
      </w:pPr>
      <w:r>
        <w:rPr>
          <w:rFonts w:hint="eastAsia"/>
        </w:rPr>
        <w:t>（1）人行道彩砖铺设前用</w:t>
      </w:r>
      <w:r>
        <w:t>水泥砂浆找平，施工时要严格控制含水量，一般要求是捏起来能成团，便于铺设上层的彩色地面砖。</w:t>
      </w:r>
      <w:r>
        <w:rPr>
          <w:rFonts w:hint="eastAsia"/>
        </w:rPr>
        <w:t>彩砖</w:t>
      </w:r>
      <w:r>
        <w:t>铺砌时要求表面湿润，有利于砂浆与地面砖的结合。</w:t>
      </w:r>
    </w:p>
    <w:p w14:paraId="4991E3F5">
      <w:pPr>
        <w:spacing w:line="360" w:lineRule="auto"/>
        <w:ind w:firstLine="420" w:firstLineChars="200"/>
        <w:jc w:val="left"/>
      </w:pPr>
      <w:r>
        <w:rPr>
          <w:rFonts w:hint="eastAsia"/>
        </w:rPr>
        <w:t>（2）人行道彩砖铺设</w:t>
      </w:r>
      <w:r>
        <w:t>一般采用“放线定位法”顺序铺砌，板底应紧贴砂浆层，砂浆应饱满、密实，不得有“虚空”现象。</w:t>
      </w:r>
    </w:p>
    <w:p w14:paraId="7FD5F036">
      <w:pPr>
        <w:spacing w:line="360" w:lineRule="auto"/>
        <w:ind w:firstLine="420" w:firstLineChars="200"/>
        <w:jc w:val="left"/>
      </w:pPr>
      <w:r>
        <w:rPr>
          <w:rFonts w:hint="eastAsia"/>
        </w:rPr>
        <w:t>（3）</w:t>
      </w:r>
      <w:r>
        <w:t>要经常用3米直尺纵横和斜角方向靠量面层平整度，发现不符合要求的及时整修。</w:t>
      </w:r>
    </w:p>
    <w:p w14:paraId="69CC65D5">
      <w:pPr>
        <w:spacing w:line="360" w:lineRule="auto"/>
        <w:ind w:firstLine="420" w:firstLineChars="200"/>
        <w:jc w:val="left"/>
      </w:pPr>
      <w:r>
        <w:rPr>
          <w:rFonts w:hint="eastAsia"/>
        </w:rPr>
        <w:t>（4）</w:t>
      </w:r>
      <w:r>
        <w:t>盲道触感导向块材料的色彩与相邻无触感背景区有明显对比，块材表面为深黄色。</w:t>
      </w:r>
    </w:p>
    <w:p w14:paraId="2FAEF028">
      <w:pPr>
        <w:spacing w:line="360" w:lineRule="auto"/>
        <w:ind w:firstLine="420" w:firstLineChars="200"/>
        <w:jc w:val="left"/>
      </w:pPr>
      <w:r>
        <w:rPr>
          <w:rFonts w:hint="eastAsia"/>
        </w:rPr>
        <w:t>（5）</w:t>
      </w:r>
      <w:r>
        <w:t>盲道在缘石尽端处及缘石坡道位置要避开雨水口位置。</w:t>
      </w:r>
    </w:p>
    <w:p w14:paraId="16469C26">
      <w:pPr>
        <w:spacing w:line="360" w:lineRule="auto"/>
        <w:ind w:firstLine="420" w:firstLineChars="200"/>
        <w:jc w:val="left"/>
      </w:pPr>
      <w:r>
        <w:rPr>
          <w:rFonts w:hint="eastAsia"/>
        </w:rPr>
        <w:t>（6）</w:t>
      </w:r>
      <w:r>
        <w:t>人行道中地下管线井盖与地面接平。</w:t>
      </w:r>
    </w:p>
    <w:p w14:paraId="72A1A8A1">
      <w:pPr>
        <w:spacing w:line="360" w:lineRule="auto"/>
        <w:ind w:firstLine="420" w:firstLineChars="200"/>
        <w:jc w:val="left"/>
        <w:rPr>
          <w:rFonts w:hint="eastAsia"/>
        </w:rPr>
      </w:pPr>
      <w:r>
        <w:rPr>
          <w:rFonts w:hint="eastAsia"/>
        </w:rPr>
        <w:t>（7）</w:t>
      </w:r>
      <w:r>
        <w:t>美观是彩色地面砖人行道施工质量控制的关键，砖底的水泥砂浆找平层应平整、密实，彩色地面砖完全坐实，上下层结成整体，相邻块紧贴，表面平整，线条挺刮，图案拼装正确</w:t>
      </w:r>
      <w:r>
        <w:rPr>
          <w:rFonts w:hint="eastAsia"/>
        </w:rPr>
        <w:t>。</w:t>
      </w:r>
    </w:p>
    <w:p w14:paraId="21FC804E">
      <w:pPr>
        <w:spacing w:line="360" w:lineRule="auto"/>
        <w:ind w:firstLine="422" w:firstLineChars="200"/>
        <w:jc w:val="left"/>
        <w:rPr>
          <w:rFonts w:hint="eastAsia" w:ascii="宋体" w:hAnsi="宋体"/>
          <w:b/>
          <w:color w:val="auto"/>
          <w:szCs w:val="21"/>
          <w:highlight w:val="none"/>
          <w:lang w:val="en-US" w:eastAsia="zh-CN"/>
        </w:rPr>
      </w:pPr>
      <w:r>
        <w:rPr>
          <w:rFonts w:hint="eastAsia" w:ascii="宋体" w:hAnsi="宋体"/>
          <w:b/>
          <w:color w:val="auto"/>
          <w:szCs w:val="21"/>
          <w:highlight w:val="none"/>
          <w:lang w:val="en-US" w:eastAsia="zh-CN"/>
        </w:rPr>
        <w:t>补充：15地聚合物注浆</w:t>
      </w:r>
    </w:p>
    <w:p w14:paraId="41C2E106">
      <w:pPr>
        <w:spacing w:line="360" w:lineRule="auto"/>
        <w:ind w:firstLine="420" w:firstLineChars="200"/>
        <w:rPr>
          <w:rFonts w:hint="eastAsia" w:ascii="宋体" w:hAnsi="宋体" w:eastAsia="宋体" w:cs="Times New Roman"/>
          <w:color w:val="auto"/>
          <w:highlight w:val="none"/>
          <w:lang w:val="en-US" w:eastAsia="zh-CN"/>
        </w:rPr>
      </w:pPr>
      <w:r>
        <w:rPr>
          <w:rFonts w:hint="eastAsia" w:ascii="宋体" w:hAnsi="宋体" w:eastAsia="宋体" w:cs="Times New Roman"/>
          <w:color w:val="auto"/>
          <w:highlight w:val="none"/>
          <w:lang w:val="en-US" w:eastAsia="zh-CN"/>
        </w:rPr>
        <w:t>1)注浆加固技术方案:</w:t>
      </w:r>
    </w:p>
    <w:p w14:paraId="208614F6">
      <w:pPr>
        <w:spacing w:line="360" w:lineRule="auto"/>
        <w:ind w:firstLine="420" w:firstLineChars="200"/>
        <w:rPr>
          <w:rFonts w:hint="eastAsia" w:ascii="宋体" w:hAnsi="宋体" w:eastAsia="宋体" w:cs="Times New Roman"/>
          <w:color w:val="auto"/>
          <w:highlight w:val="none"/>
          <w:lang w:val="en-US" w:eastAsia="zh-CN"/>
        </w:rPr>
      </w:pPr>
      <w:r>
        <w:rPr>
          <w:rFonts w:hint="eastAsia" w:ascii="宋体" w:hAnsi="宋体" w:eastAsia="宋体" w:cs="Times New Roman"/>
          <w:color w:val="auto"/>
          <w:highlight w:val="none"/>
          <w:lang w:val="en-US" w:eastAsia="zh-CN"/>
        </w:rPr>
        <w:t>①弯沉复测一孔位布置一钻孔→埋注浆管→管口周围密封→浆料拌制→路注浆一浆孔封堵一拔管一基层注浆(步骤同上)→养护-开放交通→交工验</w:t>
      </w:r>
    </w:p>
    <w:p w14:paraId="23585EA0">
      <w:pPr>
        <w:spacing w:line="360" w:lineRule="auto"/>
        <w:ind w:firstLine="420" w:firstLineChars="200"/>
        <w:rPr>
          <w:rFonts w:hint="eastAsia" w:ascii="宋体" w:hAnsi="宋体" w:eastAsia="宋体" w:cs="Times New Roman"/>
          <w:color w:val="auto"/>
          <w:highlight w:val="none"/>
          <w:lang w:val="en-US" w:eastAsia="zh-CN"/>
        </w:rPr>
      </w:pPr>
      <w:r>
        <w:rPr>
          <w:rFonts w:hint="eastAsia" w:ascii="宋体" w:hAnsi="宋体" w:eastAsia="宋体" w:cs="Times New Roman"/>
          <w:color w:val="auto"/>
          <w:highlight w:val="none"/>
          <w:lang w:val="en-US" w:eastAsia="zh-CN"/>
        </w:rPr>
        <w:t>②针对路基和路面基层存在问题采取路基和路面基层同时加固方法可以提高其强度利定性，对于路面基层加固，注浆深度穿透原路面垫层，达到垫层以下10cm；对于路基加固，应达到路基工作区深度(现场还应参考现状道路基层损坏情况和钻孔取样时见湿土、见水或透水孔来确定注浆深度)。先对路基进行注浆加固，4~8h后再对基层进行注浆加固。</w:t>
      </w:r>
    </w:p>
    <w:p w14:paraId="213830D5">
      <w:pPr>
        <w:spacing w:line="360" w:lineRule="auto"/>
        <w:rPr>
          <w:rFonts w:hint="eastAsia" w:ascii="宋体" w:hAnsi="宋体" w:eastAsia="宋体" w:cs="Times New Roman"/>
          <w:color w:val="auto"/>
          <w:highlight w:val="none"/>
          <w:lang w:val="en-US" w:eastAsia="zh-CN"/>
        </w:rPr>
      </w:pPr>
      <w:r>
        <w:rPr>
          <w:rFonts w:hint="eastAsia" w:ascii="宋体" w:hAnsi="宋体" w:eastAsia="宋体" w:cs="Times New Roman"/>
          <w:color w:val="auto"/>
          <w:highlight w:val="none"/>
          <w:lang w:val="en-US" w:eastAsia="zh-CN"/>
        </w:rPr>
        <w:t>③注浆孔孔径采用直径50mm，孔距1.5m，基层注浆孔与路基注浆孔交替呈梅花桩布置④注浆管采用夹管注浆方式。注浆结束后当浆液达到初凝状态方可拔管拔管后应及时采用快硬砂浆封堵抹平，确保孔内填充密实。</w:t>
      </w:r>
    </w:p>
    <w:p w14:paraId="120FF900">
      <w:pPr>
        <w:spacing w:line="360" w:lineRule="auto"/>
        <w:rPr>
          <w:rFonts w:hint="default" w:ascii="宋体" w:hAnsi="宋体" w:eastAsia="宋体" w:cs="Times New Roman"/>
          <w:color w:val="auto"/>
          <w:highlight w:val="none"/>
          <w:lang w:val="en-US" w:eastAsia="zh-CN"/>
        </w:rPr>
      </w:pPr>
      <w:r>
        <w:rPr>
          <w:rFonts w:hint="default" w:ascii="宋体" w:hAnsi="宋体" w:eastAsia="宋体" w:cs="Times New Roman"/>
          <w:color w:val="auto"/>
          <w:highlight w:val="none"/>
          <w:lang w:val="en-US" w:eastAsia="zh-CN"/>
        </w:rPr>
        <w:t>2)控制指标</w:t>
      </w:r>
    </w:p>
    <w:p w14:paraId="555529CD">
      <w:pPr>
        <w:spacing w:line="360" w:lineRule="auto"/>
        <w:ind w:firstLine="420" w:firstLineChars="200"/>
        <w:rPr>
          <w:rFonts w:hint="default" w:ascii="宋体" w:hAnsi="宋体" w:eastAsia="宋体" w:cs="Times New Roman"/>
          <w:color w:val="auto"/>
          <w:highlight w:val="none"/>
          <w:lang w:val="en-US" w:eastAsia="zh-CN"/>
        </w:rPr>
      </w:pPr>
      <w:r>
        <w:rPr>
          <w:rFonts w:hint="default" w:ascii="宋体" w:hAnsi="宋体" w:eastAsia="宋体" w:cs="Times New Roman"/>
          <w:color w:val="auto"/>
          <w:highlight w:val="none"/>
          <w:lang w:val="en-US" w:eastAsia="zh-CN"/>
        </w:rPr>
        <w:t>基层注浆控制标准路面起拱&lt;3mm、工作压力宜为0.5~1.0Mpa(不包括起始压力)</w:t>
      </w:r>
    </w:p>
    <w:p w14:paraId="6E464F00">
      <w:pPr>
        <w:spacing w:line="360" w:lineRule="auto"/>
        <w:rPr>
          <w:rFonts w:hint="default" w:ascii="宋体" w:hAnsi="宋体" w:eastAsia="宋体" w:cs="Times New Roman"/>
          <w:color w:val="auto"/>
          <w:highlight w:val="none"/>
          <w:lang w:val="en-US" w:eastAsia="zh-CN"/>
        </w:rPr>
      </w:pPr>
      <w:r>
        <w:rPr>
          <w:rFonts w:hint="default" w:ascii="宋体" w:hAnsi="宋体" w:eastAsia="宋体" w:cs="Times New Roman"/>
          <w:color w:val="auto"/>
          <w:highlight w:val="none"/>
          <w:lang w:val="en-US" w:eastAsia="zh-CN"/>
        </w:rPr>
        <w:t>路基注浆控制标准路面起拱&lt;3mm、工作压力宜为0.5~1.5Mpa(不包括起始压力)。</w:t>
      </w:r>
    </w:p>
    <w:p w14:paraId="07798F03">
      <w:pPr>
        <w:spacing w:line="360" w:lineRule="auto"/>
        <w:rPr>
          <w:rFonts w:hint="default" w:ascii="宋体" w:hAnsi="宋体" w:eastAsia="宋体" w:cs="Times New Roman"/>
          <w:color w:val="auto"/>
          <w:highlight w:val="none"/>
          <w:lang w:val="en-US" w:eastAsia="zh-CN"/>
        </w:rPr>
      </w:pPr>
      <w:r>
        <w:rPr>
          <w:rFonts w:hint="default" w:ascii="宋体" w:hAnsi="宋体" w:eastAsia="宋体" w:cs="Times New Roman"/>
          <w:color w:val="auto"/>
          <w:highlight w:val="none"/>
          <w:lang w:val="en-US" w:eastAsia="zh-CN"/>
        </w:rPr>
        <w:t>弯沉检测:施工单位进场前需对老路进行弯沉复测，注浆加固7天后进行初次弯沉检测，随后在适当时间对检测不合格的局部路段进行补浆，28天进行竣工前最终弯沉测试。注浆后道路基层顶弯沉值提升 30%或达到设计标准。</w:t>
      </w:r>
    </w:p>
    <w:p w14:paraId="17303478">
      <w:pPr>
        <w:spacing w:line="360" w:lineRule="auto"/>
        <w:rPr>
          <w:rFonts w:hint="default" w:ascii="宋体" w:hAnsi="宋体" w:eastAsia="宋体" w:cs="Times New Roman"/>
          <w:color w:val="auto"/>
          <w:highlight w:val="none"/>
          <w:lang w:val="en-US" w:eastAsia="zh-CN"/>
        </w:rPr>
      </w:pPr>
      <w:r>
        <w:rPr>
          <w:rFonts w:hint="default" w:ascii="宋体" w:hAnsi="宋体" w:eastAsia="宋体" w:cs="Times New Roman"/>
          <w:color w:val="auto"/>
          <w:highlight w:val="none"/>
          <w:lang w:val="en-US" w:eastAsia="zh-CN"/>
        </w:rPr>
        <w:t>外观鉴定: a、注浆孔应采用水泥砂浆或相应的路面材料封填密实填补至与路面齐平。</w:t>
      </w:r>
    </w:p>
    <w:p w14:paraId="7C8BECD6">
      <w:pPr>
        <w:spacing w:line="360" w:lineRule="auto"/>
        <w:ind w:firstLine="1050" w:firstLineChars="500"/>
        <w:rPr>
          <w:rFonts w:hint="default" w:ascii="宋体" w:hAnsi="宋体" w:eastAsia="宋体" w:cs="Times New Roman"/>
          <w:color w:val="auto"/>
          <w:highlight w:val="none"/>
          <w:lang w:val="en-US" w:eastAsia="zh-CN"/>
        </w:rPr>
      </w:pPr>
      <w:r>
        <w:rPr>
          <w:rFonts w:hint="default" w:ascii="宋体" w:hAnsi="宋体" w:eastAsia="宋体" w:cs="Times New Roman"/>
          <w:color w:val="auto"/>
          <w:highlight w:val="none"/>
          <w:lang w:val="en-US" w:eastAsia="zh-CN"/>
        </w:rPr>
        <w:t>b、注浆加固范围内的路面不应有明显起拱。</w:t>
      </w:r>
    </w:p>
    <w:p w14:paraId="4138C798">
      <w:pPr>
        <w:spacing w:line="360" w:lineRule="auto"/>
        <w:rPr>
          <w:rFonts w:hint="default" w:ascii="宋体" w:hAnsi="宋体" w:eastAsia="宋体" w:cs="Times New Roman"/>
          <w:color w:val="auto"/>
          <w:highlight w:val="none"/>
          <w:lang w:val="en-US" w:eastAsia="zh-CN"/>
        </w:rPr>
      </w:pPr>
      <w:r>
        <w:rPr>
          <w:rFonts w:hint="default" w:ascii="宋体" w:hAnsi="宋体" w:eastAsia="宋体" w:cs="Times New Roman"/>
          <w:color w:val="auto"/>
          <w:highlight w:val="none"/>
          <w:lang w:val="en-US" w:eastAsia="zh-CN"/>
        </w:rPr>
        <w:t>3)注浆材料</w:t>
      </w:r>
    </w:p>
    <w:p w14:paraId="14A0368B">
      <w:pPr>
        <w:spacing w:line="360" w:lineRule="auto"/>
        <w:jc w:val="center"/>
        <w:rPr>
          <w:rFonts w:hint="default" w:ascii="宋体" w:hAnsi="宋体" w:eastAsia="宋体" w:cs="Times New Roman"/>
          <w:color w:val="auto"/>
          <w:highlight w:val="none"/>
          <w:lang w:val="en-US" w:eastAsia="zh-CN"/>
        </w:rPr>
      </w:pPr>
      <w:r>
        <w:rPr>
          <w:rFonts w:hint="default" w:ascii="宋体" w:hAnsi="宋体" w:eastAsia="宋体" w:cs="Times New Roman"/>
          <w:color w:val="auto"/>
          <w:highlight w:val="none"/>
          <w:lang w:val="en-US" w:eastAsia="zh-CN"/>
        </w:rPr>
        <w:t>地聚合物注浆加固施工配合比</w:t>
      </w:r>
    </w:p>
    <w:tbl>
      <w:tblPr>
        <w:tblStyle w:val="52"/>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38F594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4261" w:type="dxa"/>
            <w:tcBorders>
              <w:tl2br w:val="nil"/>
              <w:tr2bl w:val="nil"/>
            </w:tcBorders>
            <w:noWrap w:val="0"/>
            <w:vAlign w:val="top"/>
          </w:tcPr>
          <w:p w14:paraId="5EFF6E97">
            <w:pPr>
              <w:spacing w:line="360" w:lineRule="auto"/>
              <w:jc w:val="center"/>
              <w:rPr>
                <w:rFonts w:hint="default" w:ascii="宋体" w:hAnsi="宋体" w:eastAsia="宋体" w:cs="Times New Roman"/>
                <w:color w:val="auto"/>
                <w:highlight w:val="none"/>
                <w:vertAlign w:val="baseline"/>
                <w:lang w:val="en-US" w:eastAsia="zh-CN"/>
              </w:rPr>
            </w:pPr>
            <w:r>
              <w:rPr>
                <w:rFonts w:hint="default" w:ascii="宋体" w:hAnsi="宋体" w:eastAsia="宋体" w:cs="Times New Roman"/>
                <w:color w:val="auto"/>
                <w:highlight w:val="none"/>
                <w:vertAlign w:val="baseline"/>
                <w:lang w:val="en-US" w:eastAsia="zh-CN"/>
              </w:rPr>
              <w:t>地聚合物</w:t>
            </w:r>
          </w:p>
        </w:tc>
        <w:tc>
          <w:tcPr>
            <w:tcW w:w="4261" w:type="dxa"/>
            <w:tcBorders>
              <w:tl2br w:val="nil"/>
              <w:tr2bl w:val="nil"/>
            </w:tcBorders>
            <w:noWrap w:val="0"/>
            <w:vAlign w:val="top"/>
          </w:tcPr>
          <w:p w14:paraId="290E3AD6">
            <w:pPr>
              <w:spacing w:line="360" w:lineRule="auto"/>
              <w:jc w:val="center"/>
              <w:rPr>
                <w:rFonts w:hint="default" w:ascii="宋体" w:hAnsi="宋体" w:eastAsia="宋体" w:cs="Times New Roman"/>
                <w:color w:val="auto"/>
                <w:highlight w:val="none"/>
                <w:vertAlign w:val="baseline"/>
                <w:lang w:val="en-US" w:eastAsia="zh-CN"/>
              </w:rPr>
            </w:pPr>
            <w:r>
              <w:rPr>
                <w:rFonts w:hint="default" w:ascii="宋体" w:hAnsi="宋体" w:eastAsia="宋体" w:cs="Times New Roman"/>
                <w:color w:val="auto"/>
                <w:highlight w:val="none"/>
                <w:vertAlign w:val="baseline"/>
                <w:lang w:val="en-US" w:eastAsia="zh-CN"/>
              </w:rPr>
              <w:t>水</w:t>
            </w:r>
          </w:p>
        </w:tc>
      </w:tr>
      <w:tr w14:paraId="748F63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61" w:type="dxa"/>
            <w:tcBorders>
              <w:tl2br w:val="nil"/>
              <w:tr2bl w:val="nil"/>
            </w:tcBorders>
            <w:noWrap w:val="0"/>
            <w:vAlign w:val="top"/>
          </w:tcPr>
          <w:p w14:paraId="6CE90306">
            <w:pPr>
              <w:spacing w:line="360" w:lineRule="auto"/>
              <w:jc w:val="center"/>
              <w:rPr>
                <w:rFonts w:hint="default" w:ascii="宋体" w:hAnsi="宋体" w:eastAsia="宋体" w:cs="Times New Roman"/>
                <w:color w:val="auto"/>
                <w:highlight w:val="none"/>
                <w:vertAlign w:val="baseline"/>
                <w:lang w:val="en-US" w:eastAsia="zh-CN"/>
              </w:rPr>
            </w:pPr>
            <w:r>
              <w:rPr>
                <w:rFonts w:hint="eastAsia" w:ascii="宋体" w:hAnsi="宋体" w:eastAsia="宋体" w:cs="Times New Roman"/>
                <w:color w:val="auto"/>
                <w:highlight w:val="none"/>
                <w:vertAlign w:val="baseline"/>
                <w:lang w:val="en-US" w:eastAsia="zh-CN"/>
              </w:rPr>
              <w:t>1</w:t>
            </w:r>
          </w:p>
        </w:tc>
        <w:tc>
          <w:tcPr>
            <w:tcW w:w="4261" w:type="dxa"/>
            <w:tcBorders>
              <w:tl2br w:val="nil"/>
              <w:tr2bl w:val="nil"/>
            </w:tcBorders>
            <w:noWrap w:val="0"/>
            <w:vAlign w:val="top"/>
          </w:tcPr>
          <w:p w14:paraId="67ED6035">
            <w:pPr>
              <w:spacing w:line="360" w:lineRule="auto"/>
              <w:jc w:val="center"/>
              <w:rPr>
                <w:rFonts w:hint="default" w:ascii="宋体" w:hAnsi="宋体" w:eastAsia="宋体" w:cs="Times New Roman"/>
                <w:color w:val="auto"/>
                <w:highlight w:val="none"/>
                <w:vertAlign w:val="baseline"/>
                <w:lang w:val="en-US" w:eastAsia="zh-CN"/>
              </w:rPr>
            </w:pPr>
            <w:r>
              <w:rPr>
                <w:rFonts w:hint="default" w:ascii="宋体" w:hAnsi="宋体" w:eastAsia="宋体" w:cs="Times New Roman"/>
                <w:color w:val="auto"/>
                <w:highlight w:val="none"/>
                <w:vertAlign w:val="baseline"/>
                <w:lang w:val="en-US" w:eastAsia="zh-CN"/>
              </w:rPr>
              <w:t>0.36</w:t>
            </w:r>
          </w:p>
        </w:tc>
      </w:tr>
    </w:tbl>
    <w:p w14:paraId="28A4D7E5">
      <w:pPr>
        <w:spacing w:line="360" w:lineRule="auto"/>
        <w:jc w:val="center"/>
        <w:rPr>
          <w:rFonts w:hint="default" w:ascii="宋体" w:hAnsi="宋体" w:eastAsia="宋体" w:cs="Times New Roman"/>
          <w:color w:val="auto"/>
          <w:highlight w:val="none"/>
          <w:lang w:val="en-US" w:eastAsia="zh-CN"/>
        </w:rPr>
      </w:pPr>
      <w:r>
        <w:rPr>
          <w:rFonts w:hint="default" w:ascii="宋体" w:hAnsi="宋体" w:eastAsia="宋体" w:cs="Times New Roman"/>
          <w:color w:val="auto"/>
          <w:highlight w:val="none"/>
          <w:lang w:val="en-US" w:eastAsia="zh-CN"/>
        </w:rPr>
        <w:t>地聚合物注浆材料性能指标</w:t>
      </w:r>
    </w:p>
    <w:tbl>
      <w:tblPr>
        <w:tblStyle w:val="52"/>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17"/>
        <w:gridCol w:w="1217"/>
        <w:gridCol w:w="1217"/>
        <w:gridCol w:w="1217"/>
        <w:gridCol w:w="1218"/>
        <w:gridCol w:w="1218"/>
        <w:gridCol w:w="1218"/>
      </w:tblGrid>
      <w:tr w14:paraId="6C9E67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17" w:type="dxa"/>
            <w:vMerge w:val="restart"/>
            <w:tcBorders>
              <w:tl2br w:val="nil"/>
              <w:tr2bl w:val="nil"/>
            </w:tcBorders>
            <w:noWrap w:val="0"/>
            <w:vAlign w:val="top"/>
          </w:tcPr>
          <w:p w14:paraId="13103789">
            <w:pPr>
              <w:spacing w:line="360" w:lineRule="auto"/>
              <w:jc w:val="center"/>
              <w:rPr>
                <w:rFonts w:hint="default" w:ascii="宋体" w:hAnsi="宋体" w:eastAsia="宋体" w:cs="Times New Roman"/>
                <w:color w:val="auto"/>
                <w:highlight w:val="none"/>
                <w:vertAlign w:val="baseline"/>
                <w:lang w:val="en-US" w:eastAsia="zh-CN"/>
              </w:rPr>
            </w:pPr>
            <w:r>
              <w:rPr>
                <w:rFonts w:hint="default" w:ascii="宋体" w:hAnsi="宋体" w:eastAsia="宋体" w:cs="Times New Roman"/>
                <w:color w:val="auto"/>
                <w:highlight w:val="none"/>
                <w:vertAlign w:val="baseline"/>
                <w:lang w:val="en-US" w:eastAsia="zh-CN"/>
              </w:rPr>
              <w:t>类型</w:t>
            </w:r>
          </w:p>
        </w:tc>
        <w:tc>
          <w:tcPr>
            <w:tcW w:w="1217" w:type="dxa"/>
            <w:vMerge w:val="restart"/>
            <w:tcBorders>
              <w:tl2br w:val="nil"/>
              <w:tr2bl w:val="nil"/>
            </w:tcBorders>
            <w:noWrap w:val="0"/>
            <w:vAlign w:val="top"/>
          </w:tcPr>
          <w:p w14:paraId="17B29AE7">
            <w:pPr>
              <w:spacing w:line="360" w:lineRule="auto"/>
              <w:jc w:val="center"/>
              <w:rPr>
                <w:rFonts w:hint="default" w:ascii="宋体" w:hAnsi="宋体" w:eastAsia="宋体" w:cs="Times New Roman"/>
                <w:color w:val="auto"/>
                <w:highlight w:val="none"/>
                <w:vertAlign w:val="baseline"/>
                <w:lang w:val="en-US" w:eastAsia="zh-CN"/>
              </w:rPr>
            </w:pPr>
            <w:r>
              <w:rPr>
                <w:rFonts w:hint="default" w:ascii="宋体" w:hAnsi="宋体" w:eastAsia="宋体" w:cs="Times New Roman"/>
                <w:color w:val="auto"/>
                <w:highlight w:val="none"/>
                <w:vertAlign w:val="baseline"/>
                <w:lang w:val="en-US" w:eastAsia="zh-CN"/>
              </w:rPr>
              <w:t>流动度</w:t>
            </w:r>
          </w:p>
          <w:p w14:paraId="6872489E">
            <w:pPr>
              <w:spacing w:line="360" w:lineRule="auto"/>
              <w:jc w:val="center"/>
              <w:rPr>
                <w:rFonts w:hint="default" w:ascii="宋体" w:hAnsi="宋体" w:eastAsia="宋体" w:cs="Times New Roman"/>
                <w:color w:val="auto"/>
                <w:highlight w:val="none"/>
                <w:vertAlign w:val="baseline"/>
                <w:lang w:val="en-US" w:eastAsia="zh-CN"/>
              </w:rPr>
            </w:pPr>
            <w:r>
              <w:rPr>
                <w:rFonts w:hint="eastAsia" w:ascii="宋体" w:hAnsi="宋体" w:eastAsia="宋体" w:cs="Times New Roman"/>
                <w:color w:val="auto"/>
                <w:highlight w:val="none"/>
                <w:vertAlign w:val="baseline"/>
                <w:lang w:val="en-US" w:eastAsia="zh-CN"/>
              </w:rPr>
              <w:t>（s）</w:t>
            </w:r>
          </w:p>
        </w:tc>
        <w:tc>
          <w:tcPr>
            <w:tcW w:w="2434" w:type="dxa"/>
            <w:gridSpan w:val="2"/>
            <w:tcBorders>
              <w:tl2br w:val="nil"/>
              <w:tr2bl w:val="nil"/>
            </w:tcBorders>
            <w:noWrap w:val="0"/>
            <w:vAlign w:val="top"/>
          </w:tcPr>
          <w:p w14:paraId="13956481">
            <w:pPr>
              <w:spacing w:line="360" w:lineRule="auto"/>
              <w:jc w:val="center"/>
              <w:rPr>
                <w:rFonts w:hint="default" w:ascii="宋体" w:hAnsi="宋体" w:eastAsia="宋体" w:cs="Times New Roman"/>
                <w:color w:val="auto"/>
                <w:highlight w:val="none"/>
                <w:vertAlign w:val="baseline"/>
                <w:lang w:val="en-US" w:eastAsia="zh-CN"/>
              </w:rPr>
            </w:pPr>
            <w:r>
              <w:rPr>
                <w:rFonts w:hint="default" w:ascii="宋体" w:hAnsi="宋体" w:eastAsia="宋体" w:cs="Times New Roman"/>
                <w:color w:val="auto"/>
                <w:highlight w:val="none"/>
                <w:vertAlign w:val="baseline"/>
                <w:lang w:val="en-US" w:eastAsia="zh-CN"/>
              </w:rPr>
              <w:t>泌水率(%)</w:t>
            </w:r>
          </w:p>
        </w:tc>
        <w:tc>
          <w:tcPr>
            <w:tcW w:w="3654" w:type="dxa"/>
            <w:gridSpan w:val="3"/>
            <w:tcBorders>
              <w:tl2br w:val="nil"/>
              <w:tr2bl w:val="nil"/>
            </w:tcBorders>
            <w:noWrap w:val="0"/>
            <w:vAlign w:val="top"/>
          </w:tcPr>
          <w:p w14:paraId="31683AC3">
            <w:pPr>
              <w:spacing w:line="360" w:lineRule="auto"/>
              <w:jc w:val="center"/>
              <w:rPr>
                <w:rFonts w:hint="default" w:ascii="宋体" w:hAnsi="宋体" w:eastAsia="宋体" w:cs="Times New Roman"/>
                <w:color w:val="auto"/>
                <w:highlight w:val="none"/>
                <w:vertAlign w:val="baseline"/>
                <w:lang w:val="en-US" w:eastAsia="zh-CN"/>
              </w:rPr>
            </w:pPr>
            <w:r>
              <w:rPr>
                <w:rFonts w:hint="default" w:ascii="宋体" w:hAnsi="宋体" w:eastAsia="宋体" w:cs="Times New Roman"/>
                <w:color w:val="auto"/>
                <w:highlight w:val="none"/>
                <w:vertAlign w:val="baseline"/>
                <w:lang w:val="en-US" w:eastAsia="zh-CN"/>
              </w:rPr>
              <w:t>抗压强度(MPa)</w:t>
            </w:r>
          </w:p>
        </w:tc>
      </w:tr>
      <w:tr w14:paraId="3EC8AC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17" w:type="dxa"/>
            <w:vMerge w:val="continue"/>
            <w:tcBorders>
              <w:tl2br w:val="nil"/>
              <w:tr2bl w:val="nil"/>
            </w:tcBorders>
            <w:noWrap w:val="0"/>
            <w:vAlign w:val="top"/>
          </w:tcPr>
          <w:p w14:paraId="50506C56">
            <w:pPr>
              <w:spacing w:line="360" w:lineRule="auto"/>
              <w:jc w:val="center"/>
              <w:rPr>
                <w:rFonts w:hint="default" w:ascii="宋体" w:hAnsi="宋体" w:eastAsia="宋体" w:cs="Times New Roman"/>
                <w:color w:val="auto"/>
                <w:highlight w:val="none"/>
                <w:vertAlign w:val="baseline"/>
                <w:lang w:val="en-US" w:eastAsia="zh-CN"/>
              </w:rPr>
            </w:pPr>
          </w:p>
        </w:tc>
        <w:tc>
          <w:tcPr>
            <w:tcW w:w="1217" w:type="dxa"/>
            <w:vMerge w:val="continue"/>
            <w:tcBorders>
              <w:tl2br w:val="nil"/>
              <w:tr2bl w:val="nil"/>
            </w:tcBorders>
            <w:noWrap w:val="0"/>
            <w:vAlign w:val="top"/>
          </w:tcPr>
          <w:p w14:paraId="4F61E4AD">
            <w:pPr>
              <w:spacing w:line="360" w:lineRule="auto"/>
              <w:jc w:val="center"/>
              <w:rPr>
                <w:rFonts w:hint="default" w:ascii="宋体" w:hAnsi="宋体" w:eastAsia="宋体" w:cs="Times New Roman"/>
                <w:color w:val="auto"/>
                <w:highlight w:val="none"/>
                <w:vertAlign w:val="baseline"/>
                <w:lang w:val="en-US" w:eastAsia="zh-CN"/>
              </w:rPr>
            </w:pPr>
          </w:p>
        </w:tc>
        <w:tc>
          <w:tcPr>
            <w:tcW w:w="1217" w:type="dxa"/>
            <w:tcBorders>
              <w:tl2br w:val="nil"/>
              <w:tr2bl w:val="nil"/>
            </w:tcBorders>
            <w:noWrap w:val="0"/>
            <w:vAlign w:val="top"/>
          </w:tcPr>
          <w:p w14:paraId="766700AB">
            <w:pPr>
              <w:spacing w:line="360" w:lineRule="auto"/>
              <w:jc w:val="center"/>
              <w:rPr>
                <w:rFonts w:hint="default" w:ascii="宋体" w:hAnsi="宋体" w:eastAsia="宋体" w:cs="Times New Roman"/>
                <w:color w:val="auto"/>
                <w:highlight w:val="none"/>
                <w:vertAlign w:val="baseline"/>
                <w:lang w:val="en-US" w:eastAsia="zh-CN"/>
              </w:rPr>
            </w:pPr>
            <w:r>
              <w:rPr>
                <w:rFonts w:hint="default" w:ascii="宋体" w:hAnsi="宋体" w:eastAsia="宋体" w:cs="Times New Roman"/>
                <w:color w:val="auto"/>
                <w:highlight w:val="none"/>
                <w:vertAlign w:val="baseline"/>
                <w:lang w:val="en-US" w:eastAsia="zh-CN"/>
              </w:rPr>
              <w:t>3h</w:t>
            </w:r>
          </w:p>
        </w:tc>
        <w:tc>
          <w:tcPr>
            <w:tcW w:w="1217" w:type="dxa"/>
            <w:tcBorders>
              <w:tl2br w:val="nil"/>
              <w:tr2bl w:val="nil"/>
            </w:tcBorders>
            <w:noWrap w:val="0"/>
            <w:vAlign w:val="top"/>
          </w:tcPr>
          <w:p w14:paraId="17119BCD">
            <w:pPr>
              <w:spacing w:line="360" w:lineRule="auto"/>
              <w:jc w:val="center"/>
              <w:rPr>
                <w:rFonts w:hint="default" w:ascii="宋体" w:hAnsi="宋体" w:eastAsia="宋体" w:cs="Times New Roman"/>
                <w:color w:val="auto"/>
                <w:highlight w:val="none"/>
                <w:vertAlign w:val="baseline"/>
                <w:lang w:val="en-US" w:eastAsia="zh-CN"/>
              </w:rPr>
            </w:pPr>
            <w:r>
              <w:rPr>
                <w:rFonts w:hint="default" w:ascii="宋体" w:hAnsi="宋体" w:eastAsia="宋体" w:cs="Times New Roman"/>
                <w:color w:val="auto"/>
                <w:highlight w:val="none"/>
                <w:vertAlign w:val="baseline"/>
                <w:lang w:val="en-US" w:eastAsia="zh-CN"/>
              </w:rPr>
              <w:t>24h</w:t>
            </w:r>
          </w:p>
        </w:tc>
        <w:tc>
          <w:tcPr>
            <w:tcW w:w="1218" w:type="dxa"/>
            <w:tcBorders>
              <w:tl2br w:val="nil"/>
              <w:tr2bl w:val="nil"/>
            </w:tcBorders>
            <w:noWrap w:val="0"/>
            <w:vAlign w:val="top"/>
          </w:tcPr>
          <w:p w14:paraId="5368E541">
            <w:pPr>
              <w:spacing w:line="360" w:lineRule="auto"/>
              <w:jc w:val="center"/>
              <w:rPr>
                <w:rFonts w:hint="default" w:ascii="宋体" w:hAnsi="宋体" w:eastAsia="宋体" w:cs="Times New Roman"/>
                <w:color w:val="auto"/>
                <w:highlight w:val="none"/>
                <w:vertAlign w:val="baseline"/>
                <w:lang w:val="en-US" w:eastAsia="zh-CN"/>
              </w:rPr>
            </w:pPr>
            <w:r>
              <w:rPr>
                <w:rFonts w:hint="default" w:ascii="宋体" w:hAnsi="宋体" w:eastAsia="宋体" w:cs="Times New Roman"/>
                <w:color w:val="auto"/>
                <w:highlight w:val="none"/>
                <w:vertAlign w:val="baseline"/>
                <w:lang w:val="en-US" w:eastAsia="zh-CN"/>
              </w:rPr>
              <w:t>1d</w:t>
            </w:r>
          </w:p>
        </w:tc>
        <w:tc>
          <w:tcPr>
            <w:tcW w:w="1218" w:type="dxa"/>
            <w:tcBorders>
              <w:tl2br w:val="nil"/>
              <w:tr2bl w:val="nil"/>
            </w:tcBorders>
            <w:noWrap w:val="0"/>
            <w:vAlign w:val="top"/>
          </w:tcPr>
          <w:p w14:paraId="61888BD9">
            <w:pPr>
              <w:spacing w:line="360" w:lineRule="auto"/>
              <w:jc w:val="center"/>
              <w:rPr>
                <w:rFonts w:hint="default" w:ascii="宋体" w:hAnsi="宋体" w:eastAsia="宋体" w:cs="Times New Roman"/>
                <w:color w:val="auto"/>
                <w:highlight w:val="none"/>
                <w:vertAlign w:val="baseline"/>
                <w:lang w:val="en-US" w:eastAsia="zh-CN"/>
              </w:rPr>
            </w:pPr>
            <w:r>
              <w:rPr>
                <w:rFonts w:hint="eastAsia" w:ascii="宋体" w:hAnsi="宋体" w:eastAsia="宋体" w:cs="Times New Roman"/>
                <w:color w:val="auto"/>
                <w:highlight w:val="none"/>
                <w:vertAlign w:val="baseline"/>
                <w:lang w:val="en-US" w:eastAsia="zh-CN"/>
              </w:rPr>
              <w:t>7</w:t>
            </w:r>
            <w:r>
              <w:rPr>
                <w:rFonts w:hint="default" w:ascii="宋体" w:hAnsi="宋体" w:eastAsia="宋体" w:cs="Times New Roman"/>
                <w:color w:val="auto"/>
                <w:highlight w:val="none"/>
                <w:vertAlign w:val="baseline"/>
                <w:lang w:val="en-US" w:eastAsia="zh-CN"/>
              </w:rPr>
              <w:t>d</w:t>
            </w:r>
          </w:p>
        </w:tc>
        <w:tc>
          <w:tcPr>
            <w:tcW w:w="1218" w:type="dxa"/>
            <w:tcBorders>
              <w:tl2br w:val="nil"/>
              <w:tr2bl w:val="nil"/>
            </w:tcBorders>
            <w:noWrap w:val="0"/>
            <w:vAlign w:val="top"/>
          </w:tcPr>
          <w:p w14:paraId="774BF791">
            <w:pPr>
              <w:spacing w:line="360" w:lineRule="auto"/>
              <w:jc w:val="center"/>
              <w:rPr>
                <w:rFonts w:hint="default" w:ascii="宋体" w:hAnsi="宋体" w:eastAsia="宋体" w:cs="Times New Roman"/>
                <w:color w:val="auto"/>
                <w:highlight w:val="none"/>
                <w:vertAlign w:val="baseline"/>
                <w:lang w:val="en-US" w:eastAsia="zh-CN"/>
              </w:rPr>
            </w:pPr>
            <w:r>
              <w:rPr>
                <w:rFonts w:hint="default" w:ascii="宋体" w:hAnsi="宋体" w:eastAsia="宋体" w:cs="Times New Roman"/>
                <w:color w:val="auto"/>
                <w:highlight w:val="none"/>
                <w:vertAlign w:val="baseline"/>
                <w:lang w:val="en-US" w:eastAsia="zh-CN"/>
              </w:rPr>
              <w:t>28d</w:t>
            </w:r>
          </w:p>
        </w:tc>
      </w:tr>
      <w:tr w14:paraId="4ED19E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17" w:type="dxa"/>
            <w:tcBorders>
              <w:tl2br w:val="nil"/>
              <w:tr2bl w:val="nil"/>
            </w:tcBorders>
            <w:noWrap w:val="0"/>
            <w:vAlign w:val="top"/>
          </w:tcPr>
          <w:p w14:paraId="4FF67B87">
            <w:pPr>
              <w:spacing w:line="360" w:lineRule="auto"/>
              <w:jc w:val="center"/>
              <w:rPr>
                <w:rFonts w:hint="default" w:ascii="宋体" w:hAnsi="宋体" w:eastAsia="宋体" w:cs="Times New Roman"/>
                <w:color w:val="auto"/>
                <w:highlight w:val="none"/>
                <w:vertAlign w:val="baseline"/>
                <w:lang w:val="en-US" w:eastAsia="zh-CN"/>
              </w:rPr>
            </w:pPr>
            <w:r>
              <w:rPr>
                <w:rFonts w:hint="default" w:ascii="宋体" w:hAnsi="宋体" w:eastAsia="宋体" w:cs="Times New Roman"/>
                <w:color w:val="auto"/>
                <w:highlight w:val="none"/>
                <w:vertAlign w:val="baseline"/>
                <w:lang w:val="en-US" w:eastAsia="zh-CN"/>
              </w:rPr>
              <w:t>Z</w:t>
            </w:r>
            <w:r>
              <w:rPr>
                <w:rFonts w:hint="eastAsia" w:ascii="宋体" w:hAnsi="宋体" w:eastAsia="宋体" w:cs="Times New Roman"/>
                <w:color w:val="auto"/>
                <w:highlight w:val="none"/>
                <w:vertAlign w:val="baseline"/>
                <w:lang w:val="en-US" w:eastAsia="zh-CN"/>
              </w:rPr>
              <w:t>JL</w:t>
            </w:r>
            <w:r>
              <w:rPr>
                <w:rFonts w:hint="default" w:ascii="宋体" w:hAnsi="宋体" w:eastAsia="宋体" w:cs="Times New Roman"/>
                <w:color w:val="auto"/>
                <w:highlight w:val="none"/>
                <w:vertAlign w:val="baseline"/>
                <w:lang w:val="en-US" w:eastAsia="zh-CN"/>
              </w:rPr>
              <w:t>-II 型</w:t>
            </w:r>
          </w:p>
        </w:tc>
        <w:tc>
          <w:tcPr>
            <w:tcW w:w="1217" w:type="dxa"/>
            <w:tcBorders>
              <w:tl2br w:val="nil"/>
              <w:tr2bl w:val="nil"/>
            </w:tcBorders>
            <w:noWrap w:val="0"/>
            <w:vAlign w:val="top"/>
          </w:tcPr>
          <w:p w14:paraId="10826DEB">
            <w:pPr>
              <w:spacing w:line="360" w:lineRule="auto"/>
              <w:jc w:val="center"/>
              <w:rPr>
                <w:rFonts w:hint="default" w:ascii="宋体" w:hAnsi="宋体" w:eastAsia="宋体" w:cs="Times New Roman"/>
                <w:color w:val="auto"/>
                <w:highlight w:val="none"/>
                <w:vertAlign w:val="baseline"/>
                <w:lang w:val="en-US" w:eastAsia="zh-CN"/>
              </w:rPr>
            </w:pPr>
            <w:r>
              <w:rPr>
                <w:rFonts w:hint="default" w:ascii="宋体" w:hAnsi="宋体" w:eastAsia="宋体" w:cs="Times New Roman"/>
                <w:color w:val="auto"/>
                <w:highlight w:val="none"/>
                <w:vertAlign w:val="baseline"/>
                <w:lang w:val="en-US" w:eastAsia="zh-CN"/>
              </w:rPr>
              <w:t>15~20</w:t>
            </w:r>
          </w:p>
        </w:tc>
        <w:tc>
          <w:tcPr>
            <w:tcW w:w="1217" w:type="dxa"/>
            <w:tcBorders>
              <w:tl2br w:val="nil"/>
              <w:tr2bl w:val="nil"/>
            </w:tcBorders>
            <w:noWrap w:val="0"/>
            <w:vAlign w:val="top"/>
          </w:tcPr>
          <w:p w14:paraId="71772150">
            <w:pPr>
              <w:spacing w:line="360" w:lineRule="auto"/>
              <w:jc w:val="center"/>
              <w:rPr>
                <w:rFonts w:hint="default" w:ascii="宋体" w:hAnsi="宋体" w:eastAsia="宋体" w:cs="Times New Roman"/>
                <w:color w:val="auto"/>
                <w:highlight w:val="none"/>
                <w:vertAlign w:val="baseline"/>
                <w:lang w:val="en-US" w:eastAsia="zh-CN"/>
              </w:rPr>
            </w:pPr>
            <w:r>
              <w:rPr>
                <w:rFonts w:hint="eastAsia" w:ascii="宋体" w:hAnsi="宋体" w:eastAsia="宋体" w:cs="Times New Roman"/>
                <w:color w:val="auto"/>
                <w:highlight w:val="none"/>
                <w:vertAlign w:val="baseline"/>
                <w:lang w:val="en-US" w:eastAsia="zh-CN"/>
              </w:rPr>
              <w:t>0</w:t>
            </w:r>
          </w:p>
        </w:tc>
        <w:tc>
          <w:tcPr>
            <w:tcW w:w="1217" w:type="dxa"/>
            <w:tcBorders>
              <w:tl2br w:val="nil"/>
              <w:tr2bl w:val="nil"/>
            </w:tcBorders>
            <w:noWrap w:val="0"/>
            <w:vAlign w:val="top"/>
          </w:tcPr>
          <w:p w14:paraId="544450A5">
            <w:pPr>
              <w:spacing w:line="360" w:lineRule="auto"/>
              <w:jc w:val="center"/>
              <w:rPr>
                <w:rFonts w:hint="default" w:ascii="宋体" w:hAnsi="宋体" w:eastAsia="宋体" w:cs="Times New Roman"/>
                <w:color w:val="auto"/>
                <w:highlight w:val="none"/>
                <w:vertAlign w:val="baseline"/>
                <w:lang w:val="en-US" w:eastAsia="zh-CN"/>
              </w:rPr>
            </w:pPr>
            <w:r>
              <w:rPr>
                <w:rFonts w:hint="eastAsia" w:ascii="宋体" w:hAnsi="宋体" w:eastAsia="宋体" w:cs="Times New Roman"/>
                <w:color w:val="auto"/>
                <w:highlight w:val="none"/>
                <w:vertAlign w:val="baseline"/>
                <w:lang w:val="en-US" w:eastAsia="zh-CN"/>
              </w:rPr>
              <w:t>0</w:t>
            </w:r>
          </w:p>
        </w:tc>
        <w:tc>
          <w:tcPr>
            <w:tcW w:w="1218" w:type="dxa"/>
            <w:tcBorders>
              <w:tl2br w:val="nil"/>
              <w:tr2bl w:val="nil"/>
            </w:tcBorders>
            <w:noWrap w:val="0"/>
            <w:vAlign w:val="top"/>
          </w:tcPr>
          <w:p w14:paraId="51CEC733">
            <w:pPr>
              <w:spacing w:line="360" w:lineRule="auto"/>
              <w:jc w:val="center"/>
              <w:rPr>
                <w:rFonts w:hint="default" w:ascii="宋体" w:hAnsi="宋体" w:eastAsia="宋体" w:cs="Times New Roman"/>
                <w:color w:val="auto"/>
                <w:highlight w:val="none"/>
                <w:vertAlign w:val="baseline"/>
                <w:lang w:val="en-US" w:eastAsia="zh-CN"/>
              </w:rPr>
            </w:pPr>
            <w:r>
              <w:rPr>
                <w:rFonts w:hint="eastAsia" w:ascii="宋体" w:hAnsi="宋体" w:eastAsia="宋体" w:cs="Times New Roman"/>
                <w:color w:val="auto"/>
                <w:highlight w:val="none"/>
                <w:vertAlign w:val="baseline"/>
                <w:lang w:val="en-US" w:eastAsia="zh-CN"/>
              </w:rPr>
              <w:t>≥</w:t>
            </w:r>
            <w:r>
              <w:rPr>
                <w:rFonts w:hint="default" w:ascii="宋体" w:hAnsi="宋体" w:eastAsia="宋体" w:cs="Times New Roman"/>
                <w:color w:val="auto"/>
                <w:highlight w:val="none"/>
                <w:vertAlign w:val="baseline"/>
                <w:lang w:val="en-US" w:eastAsia="zh-CN"/>
              </w:rPr>
              <w:t>12.0</w:t>
            </w:r>
          </w:p>
        </w:tc>
        <w:tc>
          <w:tcPr>
            <w:tcW w:w="1218" w:type="dxa"/>
            <w:tcBorders>
              <w:tl2br w:val="nil"/>
              <w:tr2bl w:val="nil"/>
            </w:tcBorders>
            <w:noWrap w:val="0"/>
            <w:vAlign w:val="top"/>
          </w:tcPr>
          <w:p w14:paraId="04B307ED">
            <w:pPr>
              <w:spacing w:line="360" w:lineRule="auto"/>
              <w:jc w:val="center"/>
              <w:rPr>
                <w:rFonts w:hint="default" w:ascii="宋体" w:hAnsi="宋体" w:eastAsia="宋体" w:cs="Times New Roman"/>
                <w:color w:val="auto"/>
                <w:highlight w:val="none"/>
                <w:vertAlign w:val="baseline"/>
                <w:lang w:val="en-US" w:eastAsia="zh-CN"/>
              </w:rPr>
            </w:pPr>
            <w:r>
              <w:rPr>
                <w:rFonts w:hint="eastAsia" w:ascii="宋体" w:hAnsi="宋体" w:eastAsia="宋体" w:cs="Times New Roman"/>
                <w:color w:val="auto"/>
                <w:highlight w:val="none"/>
                <w:vertAlign w:val="baseline"/>
                <w:lang w:val="en-US" w:eastAsia="zh-CN"/>
              </w:rPr>
              <w:t>≥</w:t>
            </w:r>
            <w:r>
              <w:rPr>
                <w:rFonts w:hint="default" w:ascii="宋体" w:hAnsi="宋体" w:eastAsia="宋体" w:cs="Times New Roman"/>
                <w:color w:val="auto"/>
                <w:highlight w:val="none"/>
                <w:vertAlign w:val="baseline"/>
                <w:lang w:val="en-US" w:eastAsia="zh-CN"/>
              </w:rPr>
              <w:t>25.0</w:t>
            </w:r>
          </w:p>
        </w:tc>
        <w:tc>
          <w:tcPr>
            <w:tcW w:w="1218" w:type="dxa"/>
            <w:tcBorders>
              <w:tl2br w:val="nil"/>
              <w:tr2bl w:val="nil"/>
            </w:tcBorders>
            <w:noWrap w:val="0"/>
            <w:vAlign w:val="top"/>
          </w:tcPr>
          <w:p w14:paraId="4912F649">
            <w:pPr>
              <w:spacing w:line="360" w:lineRule="auto"/>
              <w:jc w:val="center"/>
              <w:rPr>
                <w:rFonts w:hint="default" w:ascii="宋体" w:hAnsi="宋体" w:eastAsia="宋体" w:cs="Times New Roman"/>
                <w:color w:val="auto"/>
                <w:highlight w:val="none"/>
                <w:vertAlign w:val="baseline"/>
                <w:lang w:val="en-US" w:eastAsia="zh-CN"/>
              </w:rPr>
            </w:pPr>
            <w:r>
              <w:rPr>
                <w:rFonts w:hint="eastAsia" w:ascii="宋体" w:hAnsi="宋体" w:eastAsia="宋体" w:cs="Times New Roman"/>
                <w:color w:val="auto"/>
                <w:highlight w:val="none"/>
                <w:vertAlign w:val="baseline"/>
                <w:lang w:val="en-US" w:eastAsia="zh-CN"/>
              </w:rPr>
              <w:t>≥</w:t>
            </w:r>
            <w:r>
              <w:rPr>
                <w:rFonts w:hint="default" w:ascii="宋体" w:hAnsi="宋体" w:eastAsia="宋体" w:cs="Times New Roman"/>
                <w:color w:val="auto"/>
                <w:highlight w:val="none"/>
                <w:vertAlign w:val="baseline"/>
                <w:lang w:val="en-US" w:eastAsia="zh-CN"/>
              </w:rPr>
              <w:t>50.0</w:t>
            </w:r>
          </w:p>
        </w:tc>
      </w:tr>
    </w:tbl>
    <w:p w14:paraId="61DE2ED6">
      <w:pPr>
        <w:spacing w:line="360" w:lineRule="auto"/>
        <w:jc w:val="left"/>
        <w:rPr>
          <w:rFonts w:hint="default" w:ascii="宋体" w:hAnsi="宋体" w:eastAsia="宋体" w:cs="Times New Roman"/>
          <w:color w:val="auto"/>
          <w:highlight w:val="none"/>
          <w:lang w:val="en-US" w:eastAsia="zh-CN"/>
        </w:rPr>
      </w:pPr>
      <w:r>
        <w:rPr>
          <w:rFonts w:hint="default" w:ascii="宋体" w:hAnsi="宋体" w:eastAsia="宋体" w:cs="Times New Roman"/>
          <w:color w:val="auto"/>
          <w:highlight w:val="none"/>
          <w:lang w:val="en-US" w:eastAsia="zh-CN"/>
        </w:rPr>
        <w:t>4)施工过程特殊情况处理措施</w:t>
      </w:r>
    </w:p>
    <w:p w14:paraId="76766263">
      <w:pPr>
        <w:spacing w:line="360" w:lineRule="auto"/>
        <w:jc w:val="left"/>
        <w:rPr>
          <w:rFonts w:hint="default" w:ascii="宋体" w:hAnsi="宋体" w:eastAsia="宋体" w:cs="Times New Roman"/>
          <w:color w:val="auto"/>
          <w:highlight w:val="none"/>
          <w:lang w:val="en-US" w:eastAsia="zh-CN"/>
        </w:rPr>
      </w:pPr>
      <w:r>
        <w:rPr>
          <w:rFonts w:hint="default" w:ascii="宋体" w:hAnsi="宋体" w:eastAsia="宋体" w:cs="Times New Roman"/>
          <w:color w:val="auto"/>
          <w:highlight w:val="none"/>
          <w:lang w:val="en-US" w:eastAsia="zh-CN"/>
        </w:rPr>
        <w:t>a)窜浆</w:t>
      </w:r>
    </w:p>
    <w:p w14:paraId="75DE0FB0">
      <w:pPr>
        <w:spacing w:line="360" w:lineRule="auto"/>
        <w:jc w:val="left"/>
        <w:rPr>
          <w:rFonts w:hint="default" w:ascii="宋体" w:hAnsi="宋体" w:eastAsia="宋体" w:cs="Times New Roman"/>
          <w:color w:val="auto"/>
          <w:highlight w:val="none"/>
          <w:lang w:val="en-US" w:eastAsia="zh-CN"/>
        </w:rPr>
      </w:pPr>
      <w:r>
        <w:rPr>
          <w:rFonts w:hint="default" w:ascii="宋体" w:hAnsi="宋体" w:eastAsia="宋体" w:cs="Times New Roman"/>
          <w:color w:val="auto"/>
          <w:highlight w:val="none"/>
          <w:lang w:val="en-US" w:eastAsia="zh-CN"/>
        </w:rPr>
        <w:t>(1)加大孔距</w:t>
      </w:r>
      <w:r>
        <w:rPr>
          <w:rFonts w:hint="eastAsia" w:ascii="宋体" w:hAnsi="宋体" w:eastAsia="宋体" w:cs="Times New Roman"/>
          <w:color w:val="auto"/>
          <w:highlight w:val="none"/>
          <w:lang w:val="en-US" w:eastAsia="zh-CN"/>
        </w:rPr>
        <w:t>；</w:t>
      </w:r>
    </w:p>
    <w:p w14:paraId="2B37AA76">
      <w:pPr>
        <w:spacing w:line="360" w:lineRule="auto"/>
        <w:jc w:val="left"/>
        <w:rPr>
          <w:rFonts w:hint="default" w:ascii="宋体" w:hAnsi="宋体" w:eastAsia="宋体" w:cs="Times New Roman"/>
          <w:color w:val="auto"/>
          <w:highlight w:val="none"/>
          <w:lang w:val="en-US" w:eastAsia="zh-CN"/>
        </w:rPr>
      </w:pPr>
      <w:r>
        <w:rPr>
          <w:rFonts w:hint="default" w:ascii="宋体" w:hAnsi="宋体" w:eastAsia="宋体" w:cs="Times New Roman"/>
          <w:color w:val="auto"/>
          <w:highlight w:val="none"/>
          <w:lang w:val="en-US" w:eastAsia="zh-CN"/>
        </w:rPr>
        <w:t>(2)适当延长相邻两个次序孔施工时间的间隔，使得前一次序孔浆液基本凝固或具有一定强度后，再开始后一次序钻孔</w:t>
      </w:r>
      <w:r>
        <w:rPr>
          <w:rFonts w:hint="eastAsia" w:ascii="宋体" w:hAnsi="宋体" w:eastAsia="宋体" w:cs="Times New Roman"/>
          <w:color w:val="auto"/>
          <w:highlight w:val="none"/>
          <w:lang w:val="en-US" w:eastAsia="zh-CN"/>
        </w:rPr>
        <w:t>；</w:t>
      </w:r>
    </w:p>
    <w:p w14:paraId="66C42D0C">
      <w:pPr>
        <w:spacing w:line="360" w:lineRule="auto"/>
        <w:jc w:val="left"/>
        <w:rPr>
          <w:rFonts w:hint="default" w:ascii="宋体" w:hAnsi="宋体" w:eastAsia="宋体" w:cs="Times New Roman"/>
          <w:color w:val="auto"/>
          <w:highlight w:val="none"/>
          <w:lang w:val="en-US" w:eastAsia="zh-CN"/>
        </w:rPr>
      </w:pPr>
      <w:r>
        <w:rPr>
          <w:rFonts w:hint="default" w:ascii="宋体" w:hAnsi="宋体" w:eastAsia="宋体" w:cs="Times New Roman"/>
          <w:color w:val="auto"/>
          <w:highlight w:val="none"/>
          <w:lang w:val="en-US" w:eastAsia="zh-CN"/>
        </w:rPr>
        <w:t>(3)串浆孔若为待注孔，采用同时并联注浆的方法处理</w:t>
      </w:r>
      <w:r>
        <w:rPr>
          <w:rFonts w:hint="eastAsia" w:ascii="宋体" w:hAnsi="宋体" w:eastAsia="宋体" w:cs="Times New Roman"/>
          <w:color w:val="auto"/>
          <w:highlight w:val="none"/>
          <w:lang w:val="en-US" w:eastAsia="zh-CN"/>
        </w:rPr>
        <w:t>；</w:t>
      </w:r>
    </w:p>
    <w:p w14:paraId="29FAFB36">
      <w:pPr>
        <w:spacing w:line="360" w:lineRule="auto"/>
        <w:jc w:val="left"/>
        <w:rPr>
          <w:rFonts w:hint="default" w:ascii="宋体" w:hAnsi="宋体" w:eastAsia="宋体" w:cs="Times New Roman"/>
          <w:color w:val="auto"/>
          <w:highlight w:val="none"/>
          <w:lang w:val="en-US" w:eastAsia="zh-CN"/>
        </w:rPr>
      </w:pPr>
      <w:r>
        <w:rPr>
          <w:rFonts w:hint="default" w:ascii="宋体" w:hAnsi="宋体" w:eastAsia="宋体" w:cs="Times New Roman"/>
          <w:color w:val="auto"/>
          <w:highlight w:val="none"/>
          <w:lang w:val="en-US" w:eastAsia="zh-CN"/>
        </w:rPr>
        <w:t>(4)串浆孔若正在钻孔，停钻封孔注浆完后恢复。</w:t>
      </w:r>
    </w:p>
    <w:p w14:paraId="5ACF7F7A">
      <w:pPr>
        <w:spacing w:line="360" w:lineRule="auto"/>
        <w:jc w:val="left"/>
        <w:rPr>
          <w:rFonts w:hint="default" w:ascii="宋体" w:hAnsi="宋体" w:eastAsia="宋体" w:cs="Times New Roman"/>
          <w:color w:val="auto"/>
          <w:highlight w:val="none"/>
          <w:lang w:val="en-US" w:eastAsia="zh-CN"/>
        </w:rPr>
      </w:pPr>
      <w:r>
        <w:rPr>
          <w:rFonts w:hint="default" w:ascii="宋体" w:hAnsi="宋体" w:eastAsia="宋体" w:cs="Times New Roman"/>
          <w:color w:val="auto"/>
          <w:highlight w:val="none"/>
          <w:lang w:val="en-US" w:eastAsia="zh-CN"/>
        </w:rPr>
        <w:t>b)冒浆</w:t>
      </w:r>
    </w:p>
    <w:p w14:paraId="7A2B6C3C">
      <w:pPr>
        <w:spacing w:line="360" w:lineRule="auto"/>
        <w:jc w:val="left"/>
        <w:rPr>
          <w:rFonts w:hint="eastAsia" w:ascii="宋体" w:hAnsi="宋体" w:eastAsia="宋体" w:cs="Times New Roman"/>
          <w:color w:val="auto"/>
          <w:highlight w:val="none"/>
          <w:lang w:val="en-US" w:eastAsia="zh-CN"/>
        </w:rPr>
      </w:pPr>
      <w:r>
        <w:rPr>
          <w:rFonts w:hint="default" w:ascii="宋体" w:hAnsi="宋体" w:eastAsia="宋体" w:cs="Times New Roman"/>
          <w:color w:val="auto"/>
          <w:highlight w:val="none"/>
          <w:lang w:val="en-US" w:eastAsia="zh-CN"/>
        </w:rPr>
        <w:t>(1)降低注浆压力，同时提高浆液浓度</w:t>
      </w:r>
      <w:r>
        <w:rPr>
          <w:rFonts w:hint="eastAsia" w:ascii="宋体" w:hAnsi="宋体" w:eastAsia="宋体" w:cs="Times New Roman"/>
          <w:color w:val="auto"/>
          <w:highlight w:val="none"/>
          <w:lang w:val="en-US" w:eastAsia="zh-CN"/>
        </w:rPr>
        <w:t>；</w:t>
      </w:r>
    </w:p>
    <w:p w14:paraId="01B5F4F0">
      <w:pPr>
        <w:spacing w:line="360" w:lineRule="auto"/>
        <w:jc w:val="left"/>
        <w:rPr>
          <w:rFonts w:hint="default" w:ascii="宋体" w:hAnsi="宋体" w:eastAsia="宋体" w:cs="Times New Roman"/>
          <w:color w:val="auto"/>
          <w:highlight w:val="none"/>
          <w:lang w:val="en-US" w:eastAsia="zh-CN"/>
        </w:rPr>
      </w:pPr>
      <w:r>
        <w:rPr>
          <w:rFonts w:hint="default" w:ascii="宋体" w:hAnsi="宋体" w:eastAsia="宋体" w:cs="Times New Roman"/>
          <w:color w:val="auto"/>
          <w:highlight w:val="none"/>
          <w:lang w:val="en-US" w:eastAsia="zh-CN"/>
        </w:rPr>
        <w:t>(2)限量注浆控制单位吸浆量</w:t>
      </w:r>
      <w:r>
        <w:rPr>
          <w:rFonts w:hint="eastAsia" w:ascii="宋体" w:hAnsi="宋体" w:eastAsia="宋体" w:cs="Times New Roman"/>
          <w:color w:val="auto"/>
          <w:highlight w:val="none"/>
          <w:lang w:val="en-US" w:eastAsia="zh-CN"/>
        </w:rPr>
        <w:t>：</w:t>
      </w:r>
    </w:p>
    <w:p w14:paraId="2D53E4A3">
      <w:pPr>
        <w:spacing w:line="360" w:lineRule="auto"/>
        <w:jc w:val="left"/>
        <w:rPr>
          <w:rFonts w:hint="default" w:ascii="宋体" w:hAnsi="宋体" w:eastAsia="宋体" w:cs="Times New Roman"/>
          <w:color w:val="auto"/>
          <w:highlight w:val="none"/>
          <w:lang w:val="en-US" w:eastAsia="zh-CN"/>
        </w:rPr>
      </w:pPr>
      <w:r>
        <w:rPr>
          <w:rFonts w:hint="default" w:ascii="宋体" w:hAnsi="宋体" w:eastAsia="宋体" w:cs="Times New Roman"/>
          <w:color w:val="auto"/>
          <w:highlight w:val="none"/>
          <w:lang w:val="en-US" w:eastAsia="zh-CN"/>
        </w:rPr>
        <w:t>(3)间歇注浆的方法，即发现冒浆后就停止注浆待15min左右再注浆。</w:t>
      </w:r>
    </w:p>
    <w:p w14:paraId="135D87F3">
      <w:pPr>
        <w:spacing w:line="360" w:lineRule="auto"/>
        <w:jc w:val="left"/>
        <w:rPr>
          <w:rFonts w:hint="default" w:ascii="宋体" w:hAnsi="宋体" w:eastAsia="宋体" w:cs="Times New Roman"/>
          <w:color w:val="auto"/>
          <w:highlight w:val="none"/>
          <w:lang w:val="en-US" w:eastAsia="zh-CN"/>
        </w:rPr>
      </w:pPr>
      <w:r>
        <w:rPr>
          <w:rFonts w:hint="default" w:ascii="宋体" w:hAnsi="宋体" w:eastAsia="宋体" w:cs="Times New Roman"/>
          <w:color w:val="auto"/>
          <w:highlight w:val="none"/>
          <w:lang w:val="en-US" w:eastAsia="zh-CN"/>
        </w:rPr>
        <w:t>c)抬动</w:t>
      </w:r>
    </w:p>
    <w:p w14:paraId="317E46B3">
      <w:pPr>
        <w:spacing w:line="360" w:lineRule="auto"/>
        <w:ind w:firstLine="420" w:firstLineChars="200"/>
        <w:jc w:val="left"/>
        <w:rPr>
          <w:rFonts w:hint="default" w:ascii="宋体" w:hAnsi="宋体" w:eastAsia="宋体" w:cs="Times New Roman"/>
          <w:color w:val="auto"/>
          <w:highlight w:val="none"/>
          <w:lang w:val="en-US" w:eastAsia="zh-CN"/>
        </w:rPr>
      </w:pPr>
      <w:r>
        <w:rPr>
          <w:rFonts w:hint="default" w:ascii="宋体" w:hAnsi="宋体" w:eastAsia="宋体" w:cs="Times New Roman"/>
          <w:color w:val="auto"/>
          <w:highlight w:val="none"/>
          <w:lang w:val="en-US" w:eastAsia="zh-CN"/>
        </w:rPr>
        <w:t>路面抬高控制在 3.0cm 以内，对个别隆起的区域应及时铲挖平整。超出上述控制量时，应停止注浆，过大时采用反压式回复。在技术与经济可行的条件下尽可能降低路面抬动，施工时拟采取以下措施</w:t>
      </w:r>
      <w:r>
        <w:rPr>
          <w:rFonts w:hint="eastAsia" w:ascii="宋体" w:hAnsi="宋体" w:eastAsia="宋体" w:cs="Times New Roman"/>
          <w:color w:val="auto"/>
          <w:highlight w:val="none"/>
          <w:lang w:val="en-US" w:eastAsia="zh-CN"/>
        </w:rPr>
        <w:t>：</w:t>
      </w:r>
    </w:p>
    <w:p w14:paraId="1B572A57">
      <w:pPr>
        <w:spacing w:line="360" w:lineRule="auto"/>
        <w:jc w:val="left"/>
        <w:rPr>
          <w:rFonts w:hint="default" w:ascii="宋体" w:hAnsi="宋体" w:eastAsia="宋体" w:cs="Times New Roman"/>
          <w:color w:val="auto"/>
          <w:highlight w:val="none"/>
          <w:lang w:val="en-US" w:eastAsia="zh-CN"/>
        </w:rPr>
      </w:pPr>
      <w:r>
        <w:rPr>
          <w:rFonts w:hint="default" w:ascii="宋体" w:hAnsi="宋体" w:eastAsia="宋体" w:cs="Times New Roman"/>
          <w:color w:val="auto"/>
          <w:highlight w:val="none"/>
          <w:lang w:val="en-US" w:eastAsia="zh-CN"/>
        </w:rPr>
        <w:t>(1)考虑缩小布孔间距以降低注浆压力。</w:t>
      </w:r>
    </w:p>
    <w:p w14:paraId="1DC8023E">
      <w:pPr>
        <w:spacing w:line="360" w:lineRule="auto"/>
        <w:jc w:val="left"/>
        <w:rPr>
          <w:rFonts w:hint="default" w:ascii="宋体" w:hAnsi="宋体" w:eastAsia="宋体" w:cs="Times New Roman"/>
          <w:color w:val="auto"/>
          <w:highlight w:val="none"/>
          <w:lang w:val="en-US" w:eastAsia="zh-CN"/>
        </w:rPr>
      </w:pPr>
      <w:r>
        <w:rPr>
          <w:rFonts w:hint="default" w:ascii="宋体" w:hAnsi="宋体" w:eastAsia="宋体" w:cs="Times New Roman"/>
          <w:color w:val="auto"/>
          <w:highlight w:val="none"/>
          <w:lang w:val="en-US" w:eastAsia="zh-CN"/>
        </w:rPr>
        <w:t>(2)分层钻孔，提高表层土体的抗变形能力。</w:t>
      </w:r>
    </w:p>
    <w:p w14:paraId="37D9E753">
      <w:pPr>
        <w:spacing w:line="360" w:lineRule="auto"/>
        <w:jc w:val="left"/>
        <w:rPr>
          <w:rFonts w:hint="default" w:ascii="宋体" w:hAnsi="宋体" w:eastAsia="宋体" w:cs="Times New Roman"/>
          <w:color w:val="auto"/>
          <w:highlight w:val="none"/>
          <w:lang w:val="en-US" w:eastAsia="zh-CN"/>
        </w:rPr>
      </w:pPr>
      <w:r>
        <w:rPr>
          <w:rFonts w:hint="default" w:ascii="宋体" w:hAnsi="宋体" w:eastAsia="宋体" w:cs="Times New Roman"/>
          <w:color w:val="auto"/>
          <w:highlight w:val="none"/>
          <w:lang w:val="en-US" w:eastAsia="zh-CN"/>
        </w:rPr>
        <w:t>(3)低压小流量注浆。</w:t>
      </w:r>
    </w:p>
    <w:p w14:paraId="2E4E2492">
      <w:pPr>
        <w:tabs>
          <w:tab w:val="left" w:pos="3120"/>
        </w:tabs>
        <w:spacing w:line="360" w:lineRule="auto"/>
        <w:rPr>
          <w:rFonts w:hint="eastAsia" w:eastAsia="黑体"/>
          <w:sz w:val="28"/>
          <w:szCs w:val="28"/>
        </w:rPr>
      </w:pPr>
      <w:r>
        <w:rPr>
          <w:rFonts w:hint="eastAsia" w:eastAsia="黑体"/>
          <w:sz w:val="28"/>
          <w:szCs w:val="28"/>
        </w:rPr>
        <w:t>302</w:t>
      </w:r>
      <w:r>
        <w:rPr>
          <w:rFonts w:eastAsia="黑体"/>
          <w:sz w:val="28"/>
          <w:szCs w:val="28"/>
        </w:rPr>
        <w:t>.0</w:t>
      </w:r>
      <w:r>
        <w:rPr>
          <w:rFonts w:hint="eastAsia" w:eastAsia="黑体"/>
          <w:sz w:val="28"/>
          <w:szCs w:val="28"/>
        </w:rPr>
        <w:t xml:space="preserve">5 </w:t>
      </w:r>
      <w:r>
        <w:rPr>
          <w:rFonts w:eastAsia="黑体"/>
          <w:sz w:val="28"/>
          <w:szCs w:val="28"/>
        </w:rPr>
        <w:t xml:space="preserve"> </w:t>
      </w:r>
      <w:r>
        <w:rPr>
          <w:rFonts w:hint="eastAsia" w:eastAsia="黑体"/>
          <w:sz w:val="28"/>
          <w:szCs w:val="28"/>
        </w:rPr>
        <w:t>计量与支付</w:t>
      </w:r>
    </w:p>
    <w:p w14:paraId="09DBC96C">
      <w:pPr>
        <w:numPr>
          <w:ilvl w:val="0"/>
          <w:numId w:val="15"/>
        </w:numPr>
        <w:spacing w:line="400" w:lineRule="exact"/>
        <w:ind w:firstLine="420" w:firstLineChars="200"/>
        <w:jc w:val="left"/>
      </w:pPr>
      <w:r>
        <w:t>计量</w:t>
      </w:r>
    </w:p>
    <w:p w14:paraId="7B93D228">
      <w:pPr>
        <w:spacing w:line="400" w:lineRule="exact"/>
        <w:jc w:val="left"/>
        <w:rPr>
          <w:rFonts w:hint="eastAsia"/>
        </w:rPr>
      </w:pPr>
      <w:r>
        <w:rPr>
          <w:rFonts w:hint="eastAsia"/>
        </w:rPr>
        <w:t xml:space="preserve">    第（1）条修改为：</w:t>
      </w:r>
    </w:p>
    <w:p w14:paraId="2B0B00C4">
      <w:pPr>
        <w:spacing w:line="400" w:lineRule="exact"/>
        <w:jc w:val="left"/>
        <w:rPr>
          <w:rFonts w:hint="eastAsia"/>
        </w:rPr>
      </w:pPr>
      <w:r>
        <w:rPr>
          <w:rFonts w:hint="eastAsia"/>
        </w:rPr>
        <w:t xml:space="preserve">    （1）水泥混凝土路面的破板修复根据混凝土板的碎裂、断角、坑洞及混凝土强度，按破板损坏程度以实际完成的数量按m</w:t>
      </w:r>
      <w:r>
        <w:rPr>
          <w:rFonts w:hint="eastAsia"/>
          <w:vertAlign w:val="superscript"/>
        </w:rPr>
        <w:t>3</w:t>
      </w:r>
      <w:r>
        <w:rPr>
          <w:rFonts w:hint="eastAsia"/>
        </w:rPr>
        <w:t>计量，包含一切维修材料，设备台班和人工费，承包人报价时已综合考虑。</w:t>
      </w:r>
    </w:p>
    <w:p w14:paraId="773187B5">
      <w:pPr>
        <w:spacing w:line="400" w:lineRule="exact"/>
        <w:ind w:firstLine="420" w:firstLineChars="200"/>
        <w:jc w:val="left"/>
        <w:rPr>
          <w:rFonts w:hint="eastAsia"/>
          <w:strike/>
        </w:rPr>
      </w:pPr>
      <w:r>
        <w:rPr>
          <w:rFonts w:hint="eastAsia"/>
        </w:rPr>
        <w:t>第（2）条修改为：</w:t>
      </w:r>
    </w:p>
    <w:p w14:paraId="5DDC997C">
      <w:pPr>
        <w:spacing w:line="400" w:lineRule="exact"/>
        <w:ind w:firstLine="420" w:firstLineChars="200"/>
        <w:jc w:val="left"/>
        <w:rPr>
          <w:rFonts w:hint="eastAsia"/>
        </w:rPr>
      </w:pPr>
      <w:r>
        <w:rPr>
          <w:rFonts w:hint="eastAsia"/>
        </w:rPr>
        <w:t>（2）灌缝胶灌缝以实际施工并经发包人验收合格的工程量以m计量。</w:t>
      </w:r>
    </w:p>
    <w:p w14:paraId="03A5D104">
      <w:pPr>
        <w:spacing w:line="400" w:lineRule="exact"/>
        <w:ind w:firstLine="420" w:firstLineChars="200"/>
        <w:jc w:val="left"/>
        <w:rPr>
          <w:rFonts w:hint="eastAsia"/>
        </w:rPr>
      </w:pPr>
      <w:r>
        <w:rPr>
          <w:rFonts w:hint="eastAsia"/>
        </w:rPr>
        <w:t>补充第（4）、（5）、（6）、（7）、（8）、（9）条：</w:t>
      </w:r>
    </w:p>
    <w:p w14:paraId="1A47579C">
      <w:pPr>
        <w:spacing w:line="400" w:lineRule="exact"/>
        <w:ind w:firstLine="420" w:firstLineChars="200"/>
        <w:jc w:val="left"/>
        <w:rPr>
          <w:rFonts w:hint="eastAsia"/>
        </w:rPr>
      </w:pPr>
      <w:r>
        <w:rPr>
          <w:rFonts w:hint="eastAsia"/>
        </w:rPr>
        <w:t>（4）沥青混凝土路面修复根据修复面积及沥青混凝土的不同分为</w:t>
      </w:r>
      <w:r>
        <w:rPr>
          <w:rFonts w:hint="eastAsia" w:ascii="宋体" w:hAnsi="宋体" w:cs="宋体"/>
          <w:szCs w:val="21"/>
        </w:rPr>
        <w:t>沥青混凝土路面小修、沥青混凝土路面大面积小修</w:t>
      </w:r>
      <w:r>
        <w:rPr>
          <w:rFonts w:hint="eastAsia"/>
        </w:rPr>
        <w:t>，分别以实际施工并经发包人验收合格的工程量按相应细目以m</w:t>
      </w:r>
      <w:r>
        <w:rPr>
          <w:rFonts w:hint="eastAsia"/>
          <w:vertAlign w:val="superscript"/>
        </w:rPr>
        <w:t>3</w:t>
      </w:r>
      <w:r>
        <w:rPr>
          <w:rFonts w:hint="eastAsia"/>
        </w:rPr>
        <w:t>计量。</w:t>
      </w:r>
      <w:r>
        <w:rPr>
          <w:rFonts w:hint="eastAsia" w:ascii="宋体" w:hAnsi="宋体" w:cs="宋体"/>
          <w:szCs w:val="21"/>
        </w:rPr>
        <w:t>沥青混凝土路面大面积小修是指单块50平方米以上或单条线路总面积不少于500平方米的小修。</w:t>
      </w:r>
    </w:p>
    <w:p w14:paraId="255D5176">
      <w:pPr>
        <w:spacing w:line="400" w:lineRule="exact"/>
        <w:ind w:firstLine="420" w:firstLineChars="200"/>
        <w:jc w:val="left"/>
        <w:rPr>
          <w:rFonts w:hint="eastAsia"/>
        </w:rPr>
      </w:pPr>
      <w:r>
        <w:rPr>
          <w:rFonts w:hint="eastAsia"/>
        </w:rPr>
        <w:t>（5）粘层应以实际施工并经发包人验收合格</w:t>
      </w:r>
      <w:r>
        <w:rPr>
          <w:rFonts w:hint="eastAsia"/>
          <w:lang w:eastAsia="zh-CN"/>
        </w:rPr>
        <w:t>的</w:t>
      </w:r>
      <w:r>
        <w:rPr>
          <w:rFonts w:hint="eastAsia"/>
        </w:rPr>
        <w:t>喷洒面积计算（有多层时应分别计算），以m</w:t>
      </w:r>
      <w:r>
        <w:rPr>
          <w:rFonts w:hint="eastAsia"/>
          <w:vertAlign w:val="superscript"/>
        </w:rPr>
        <w:t>2</w:t>
      </w:r>
      <w:r>
        <w:rPr>
          <w:rFonts w:hint="eastAsia"/>
        </w:rPr>
        <w:t>计量。</w:t>
      </w:r>
    </w:p>
    <w:p w14:paraId="5ED06AB1">
      <w:pPr>
        <w:spacing w:line="400" w:lineRule="exact"/>
        <w:ind w:firstLine="420" w:firstLineChars="200"/>
        <w:jc w:val="left"/>
        <w:rPr>
          <w:rFonts w:hint="eastAsia"/>
        </w:rPr>
      </w:pPr>
      <w:r>
        <w:rPr>
          <w:rFonts w:hint="eastAsia"/>
        </w:rPr>
        <w:t>（6）维修用碎石经发包人验收合格的工程量以m</w:t>
      </w:r>
      <w:r>
        <w:rPr>
          <w:rFonts w:hint="eastAsia"/>
          <w:vertAlign w:val="superscript"/>
        </w:rPr>
        <w:t>3</w:t>
      </w:r>
      <w:r>
        <w:rPr>
          <w:rFonts w:hint="eastAsia"/>
        </w:rPr>
        <w:t>计量。</w:t>
      </w:r>
    </w:p>
    <w:p w14:paraId="6677E9F0">
      <w:pPr>
        <w:spacing w:line="400" w:lineRule="exact"/>
        <w:ind w:firstLine="420" w:firstLineChars="200"/>
        <w:jc w:val="left"/>
        <w:rPr>
          <w:rFonts w:hint="eastAsia"/>
        </w:rPr>
      </w:pPr>
      <w:r>
        <w:rPr>
          <w:rFonts w:hint="eastAsia"/>
        </w:rPr>
        <w:t>（7）基层维修以</w:t>
      </w:r>
      <w:r>
        <w:t>完成的病害种类的面积</w:t>
      </w:r>
      <w:r>
        <w:rPr>
          <w:rFonts w:hint="eastAsia"/>
        </w:rPr>
        <w:t>以m</w:t>
      </w:r>
      <w:r>
        <w:rPr>
          <w:rFonts w:hint="eastAsia"/>
          <w:vertAlign w:val="superscript"/>
        </w:rPr>
        <w:t>3</w:t>
      </w:r>
      <w:r>
        <w:rPr>
          <w:rFonts w:hint="eastAsia"/>
        </w:rPr>
        <w:t>计量。</w:t>
      </w:r>
    </w:p>
    <w:p w14:paraId="07BE5B85">
      <w:pPr>
        <w:spacing w:line="400" w:lineRule="exact"/>
        <w:ind w:firstLine="420" w:firstLineChars="200"/>
        <w:jc w:val="left"/>
        <w:rPr>
          <w:rFonts w:hint="eastAsia"/>
        </w:rPr>
      </w:pPr>
      <w:r>
        <w:rPr>
          <w:rFonts w:hint="eastAsia"/>
        </w:rPr>
        <w:t>（8）</w:t>
      </w:r>
      <w:r>
        <w:rPr>
          <w:rFonts w:hint="eastAsia" w:ascii="宋体" w:hAnsi="宋体" w:cs="宋体"/>
          <w:szCs w:val="21"/>
        </w:rPr>
        <w:t>人行道彩砖维修</w:t>
      </w:r>
      <w:r>
        <w:rPr>
          <w:rFonts w:hint="eastAsia"/>
        </w:rPr>
        <w:t>以实际施工并经发包人验收合格的工程量按相应细目以m</w:t>
      </w:r>
      <w:r>
        <w:rPr>
          <w:rFonts w:hint="eastAsia"/>
          <w:vertAlign w:val="superscript"/>
        </w:rPr>
        <w:t>2</w:t>
      </w:r>
      <w:r>
        <w:rPr>
          <w:rFonts w:hint="eastAsia"/>
        </w:rPr>
        <w:t>计量。</w:t>
      </w:r>
    </w:p>
    <w:p w14:paraId="4A41F6CC">
      <w:pPr>
        <w:spacing w:line="400" w:lineRule="exact"/>
        <w:ind w:firstLine="420" w:firstLineChars="200"/>
        <w:jc w:val="left"/>
        <w:rPr>
          <w:rFonts w:hint="eastAsia"/>
        </w:rPr>
      </w:pPr>
      <w:r>
        <w:rPr>
          <w:rFonts w:hint="eastAsia"/>
        </w:rPr>
        <w:t>（9）地聚合物注浆以实际施工并经发包人验收合格的灌浆面积按相应细目以m</w:t>
      </w:r>
      <w:r>
        <w:rPr>
          <w:rFonts w:hint="eastAsia"/>
          <w:vertAlign w:val="superscript"/>
        </w:rPr>
        <w:t>2</w:t>
      </w:r>
      <w:r>
        <w:rPr>
          <w:rFonts w:hint="eastAsia"/>
        </w:rPr>
        <w:t>计量，要求灌浆深度不小于1.2m。</w:t>
      </w:r>
    </w:p>
    <w:p w14:paraId="13EF9D66">
      <w:pPr>
        <w:spacing w:line="400" w:lineRule="exact"/>
        <w:ind w:firstLine="420" w:firstLineChars="200"/>
        <w:jc w:val="left"/>
        <w:rPr>
          <w:rFonts w:hint="eastAsia"/>
        </w:rPr>
      </w:pPr>
      <w:r>
        <w:rPr>
          <w:rFonts w:hint="eastAsia"/>
          <w:lang w:eastAsia="zh-CN"/>
        </w:rPr>
        <w:t>（</w:t>
      </w:r>
      <w:r>
        <w:rPr>
          <w:rFonts w:hint="eastAsia"/>
          <w:lang w:val="en-US" w:eastAsia="zh-CN"/>
        </w:rPr>
        <w:t>10</w:t>
      </w:r>
      <w:r>
        <w:rPr>
          <w:rFonts w:hint="eastAsia"/>
          <w:lang w:eastAsia="zh-CN"/>
        </w:rPr>
        <w:t>）磨耗层</w:t>
      </w:r>
      <w:r>
        <w:rPr>
          <w:rFonts w:hint="eastAsia"/>
        </w:rPr>
        <w:t>以实际施工并经发包人验收合格</w:t>
      </w:r>
      <w:r>
        <w:rPr>
          <w:rFonts w:hint="eastAsia"/>
          <w:lang w:eastAsia="zh-CN"/>
        </w:rPr>
        <w:t>的</w:t>
      </w:r>
      <w:r>
        <w:rPr>
          <w:rFonts w:hint="eastAsia"/>
        </w:rPr>
        <w:t>面积计算，以m</w:t>
      </w:r>
      <w:r>
        <w:rPr>
          <w:rFonts w:hint="eastAsia"/>
          <w:vertAlign w:val="superscript"/>
        </w:rPr>
        <w:t>2</w:t>
      </w:r>
      <w:r>
        <w:rPr>
          <w:rFonts w:hint="eastAsia"/>
        </w:rPr>
        <w:t>计量。</w:t>
      </w:r>
    </w:p>
    <w:p w14:paraId="54D48102">
      <w:pPr>
        <w:spacing w:line="400" w:lineRule="exact"/>
        <w:ind w:firstLine="420" w:firstLineChars="200"/>
        <w:jc w:val="left"/>
        <w:outlineLvl w:val="0"/>
        <w:rPr>
          <w:rFonts w:hint="eastAsia"/>
        </w:rPr>
      </w:pPr>
      <w:bookmarkStart w:id="206" w:name="_Toc22104"/>
      <w:bookmarkStart w:id="207" w:name="_Toc496620406"/>
      <w:bookmarkStart w:id="208" w:name="_Toc435864346"/>
      <w:bookmarkStart w:id="209" w:name="_Toc87532001"/>
      <w:bookmarkStart w:id="210" w:name="_Toc496619707"/>
      <w:bookmarkStart w:id="211" w:name="_Toc465179176"/>
      <w:bookmarkStart w:id="212" w:name="_Toc465178095"/>
      <w:bookmarkStart w:id="213" w:name="_Toc465178815"/>
      <w:r>
        <w:t>2．支付</w:t>
      </w:r>
      <w:bookmarkEnd w:id="206"/>
      <w:bookmarkEnd w:id="207"/>
      <w:bookmarkEnd w:id="208"/>
      <w:bookmarkEnd w:id="209"/>
      <w:bookmarkEnd w:id="210"/>
      <w:bookmarkEnd w:id="211"/>
      <w:bookmarkEnd w:id="212"/>
      <w:bookmarkEnd w:id="213"/>
    </w:p>
    <w:p w14:paraId="339BA7A1">
      <w:pPr>
        <w:spacing w:line="400" w:lineRule="exact"/>
        <w:ind w:firstLine="420" w:firstLineChars="200"/>
        <w:jc w:val="left"/>
        <w:rPr>
          <w:rFonts w:hint="eastAsia" w:ascii="宋体" w:hAnsi="宋体" w:cs="宋体"/>
          <w:szCs w:val="21"/>
        </w:rPr>
      </w:pPr>
      <w:r>
        <w:rPr>
          <w:rFonts w:ascii="宋体" w:hAnsi="宋体" w:cs="宋体"/>
          <w:szCs w:val="21"/>
        </w:rPr>
        <w:t>（1）水泥混凝土路面维修以实际完成的</w:t>
      </w:r>
      <w:r>
        <w:rPr>
          <w:rFonts w:hint="eastAsia" w:ascii="宋体" w:hAnsi="宋体" w:cs="宋体"/>
          <w:szCs w:val="21"/>
        </w:rPr>
        <w:t>体</w:t>
      </w:r>
      <w:r>
        <w:rPr>
          <w:rFonts w:ascii="宋体" w:hAnsi="宋体" w:cs="宋体"/>
          <w:szCs w:val="21"/>
        </w:rPr>
        <w:t>积，按合同单价计算</w:t>
      </w:r>
      <w:r>
        <w:rPr>
          <w:rFonts w:hint="eastAsia"/>
        </w:rPr>
        <w:t>按期</w:t>
      </w:r>
      <w:r>
        <w:rPr>
          <w:rFonts w:ascii="宋体" w:hAnsi="宋体" w:cs="宋体"/>
          <w:szCs w:val="21"/>
        </w:rPr>
        <w:t>支付。此项支付包括施工安全、运行维护，挖、凿破损混凝土，</w:t>
      </w:r>
      <w:r>
        <w:rPr>
          <w:rFonts w:hint="eastAsia" w:ascii="宋体" w:hAnsi="宋体" w:cs="宋体"/>
          <w:szCs w:val="21"/>
        </w:rPr>
        <w:t>废料外运，</w:t>
      </w:r>
      <w:r>
        <w:rPr>
          <w:rFonts w:ascii="宋体" w:hAnsi="宋体" w:cs="宋体"/>
          <w:szCs w:val="21"/>
        </w:rPr>
        <w:t>周边凿毛、冲洗、配料、拌和、填筑、捣固、养生等相关作业所必须的费用，是对工程的全部偿付。</w:t>
      </w:r>
    </w:p>
    <w:p w14:paraId="20C8B2BF">
      <w:pPr>
        <w:spacing w:line="400" w:lineRule="exact"/>
        <w:ind w:firstLine="420" w:firstLineChars="200"/>
        <w:jc w:val="left"/>
        <w:rPr>
          <w:rFonts w:ascii="宋体" w:hAnsi="宋体" w:cs="宋体"/>
          <w:color w:val="auto"/>
          <w:szCs w:val="21"/>
        </w:rPr>
      </w:pPr>
      <w:r>
        <w:rPr>
          <w:rFonts w:hint="eastAsia" w:ascii="宋体" w:hAnsi="宋体" w:cs="宋体"/>
          <w:szCs w:val="21"/>
        </w:rPr>
        <w:t>(2)</w:t>
      </w:r>
      <w:r>
        <w:rPr>
          <w:rFonts w:ascii="宋体" w:hAnsi="宋体" w:cs="宋体"/>
          <w:szCs w:val="21"/>
        </w:rPr>
        <w:t xml:space="preserve"> </w:t>
      </w:r>
      <w:r>
        <w:rPr>
          <w:rFonts w:hint="eastAsia" w:ascii="宋体" w:hAnsi="宋体" w:cs="宋体"/>
          <w:szCs w:val="21"/>
        </w:rPr>
        <w:t>沥青路面小修</w:t>
      </w:r>
      <w:r>
        <w:rPr>
          <w:rFonts w:hint="eastAsia" w:ascii="宋体" w:hAnsi="宋体" w:cs="宋体"/>
          <w:color w:val="auto"/>
          <w:szCs w:val="21"/>
        </w:rPr>
        <w:t>、沥青混凝土路面大面积小修</w:t>
      </w:r>
      <w:r>
        <w:rPr>
          <w:rFonts w:ascii="宋体" w:hAnsi="宋体" w:cs="宋体"/>
          <w:color w:val="auto"/>
          <w:szCs w:val="21"/>
        </w:rPr>
        <w:t>以实际完成的</w:t>
      </w:r>
      <w:r>
        <w:rPr>
          <w:rFonts w:hint="eastAsia" w:ascii="宋体" w:hAnsi="宋体" w:cs="宋体"/>
          <w:color w:val="auto"/>
          <w:szCs w:val="21"/>
        </w:rPr>
        <w:t>体</w:t>
      </w:r>
      <w:r>
        <w:rPr>
          <w:rFonts w:ascii="宋体" w:hAnsi="宋体" w:cs="宋体"/>
          <w:color w:val="auto"/>
          <w:szCs w:val="21"/>
        </w:rPr>
        <w:t>积，按合同单价计算</w:t>
      </w:r>
      <w:r>
        <w:rPr>
          <w:rFonts w:hint="eastAsia"/>
          <w:color w:val="auto"/>
        </w:rPr>
        <w:t>按期</w:t>
      </w:r>
      <w:r>
        <w:rPr>
          <w:rFonts w:ascii="宋体" w:hAnsi="宋体" w:cs="宋体"/>
          <w:color w:val="auto"/>
          <w:szCs w:val="21"/>
        </w:rPr>
        <w:t>支付。此项支付包括施工安全、运行维护，铣刨，废料外运，清扫，</w:t>
      </w:r>
      <w:r>
        <w:rPr>
          <w:rFonts w:hint="eastAsia" w:ascii="宋体" w:hAnsi="宋体" w:cs="宋体"/>
          <w:color w:val="auto"/>
          <w:szCs w:val="21"/>
        </w:rPr>
        <w:t>裂</w:t>
      </w:r>
      <w:r>
        <w:rPr>
          <w:rFonts w:ascii="宋体" w:hAnsi="宋体" w:cs="宋体"/>
          <w:color w:val="auto"/>
          <w:szCs w:val="21"/>
        </w:rPr>
        <w:t>缝</w:t>
      </w:r>
      <w:r>
        <w:rPr>
          <w:rFonts w:hint="eastAsia" w:ascii="宋体" w:hAnsi="宋体" w:cs="宋体"/>
          <w:color w:val="auto"/>
          <w:szCs w:val="21"/>
        </w:rPr>
        <w:t>封闭，沥青切割封边，沥青混合料的制备及其拌和、运输</w:t>
      </w:r>
      <w:r>
        <w:rPr>
          <w:rFonts w:ascii="宋体" w:hAnsi="宋体" w:cs="宋体"/>
          <w:color w:val="auto"/>
          <w:szCs w:val="21"/>
        </w:rPr>
        <w:t>，摊铺，碾压，养生，清理现场等相关作业所必须的费用，是对工程的全部偿付</w:t>
      </w:r>
      <w:r>
        <w:rPr>
          <w:rFonts w:hint="eastAsia" w:ascii="宋体" w:hAnsi="宋体" w:cs="宋体"/>
          <w:color w:val="auto"/>
          <w:szCs w:val="21"/>
        </w:rPr>
        <w:t>，其中计量验收未完成封边不予计量</w:t>
      </w:r>
      <w:r>
        <w:rPr>
          <w:rFonts w:ascii="宋体" w:hAnsi="宋体" w:cs="宋体"/>
          <w:color w:val="auto"/>
          <w:szCs w:val="21"/>
        </w:rPr>
        <w:t>。</w:t>
      </w:r>
    </w:p>
    <w:p w14:paraId="17CA1774">
      <w:pPr>
        <w:spacing w:line="400" w:lineRule="exact"/>
        <w:ind w:firstLine="420" w:firstLineChars="200"/>
        <w:jc w:val="left"/>
        <w:rPr>
          <w:rFonts w:hint="eastAsia"/>
        </w:rPr>
      </w:pPr>
      <w:r>
        <w:rPr>
          <w:rFonts w:ascii="宋体" w:hAnsi="宋体" w:cs="宋体"/>
          <w:szCs w:val="21"/>
        </w:rPr>
        <w:t>（</w:t>
      </w:r>
      <w:r>
        <w:rPr>
          <w:rFonts w:hint="eastAsia" w:ascii="宋体" w:hAnsi="宋体" w:cs="宋体"/>
          <w:szCs w:val="21"/>
        </w:rPr>
        <w:t>3</w:t>
      </w:r>
      <w:r>
        <w:rPr>
          <w:rFonts w:ascii="宋体" w:hAnsi="宋体" w:cs="宋体"/>
          <w:szCs w:val="21"/>
        </w:rPr>
        <w:t>）</w:t>
      </w:r>
      <w:r>
        <w:rPr>
          <w:rFonts w:ascii="宋体" w:hAnsi="宋体"/>
          <w:color w:val="auto"/>
          <w:szCs w:val="21"/>
          <w:highlight w:val="none"/>
        </w:rPr>
        <w:t>沥青混凝土的裂缝灌缝根据裂缝类型，按实际施工完成的缝的长度，按合同单价计算支付。此项支付包括</w:t>
      </w:r>
      <w:r>
        <w:rPr>
          <w:rFonts w:ascii="宋体" w:hAnsi="宋体" w:eastAsia="宋体" w:cs="Times New Roman"/>
          <w:color w:val="auto"/>
          <w:szCs w:val="21"/>
          <w:highlight w:val="none"/>
        </w:rPr>
        <w:t>施工安全、运行维护，清扫裂缝，熬油，运输，喷灯加温，灌缝，撒砂填充，熨平，清理现场等相关作业所必须的费用，是对工程的全部偿付。</w:t>
      </w:r>
    </w:p>
    <w:p w14:paraId="2E925F52">
      <w:pPr>
        <w:spacing w:line="400" w:lineRule="exact"/>
        <w:ind w:firstLine="420" w:firstLineChars="200"/>
        <w:jc w:val="left"/>
        <w:rPr>
          <w:rFonts w:hint="eastAsia" w:ascii="宋体" w:hAnsi="宋体" w:cs="宋体"/>
          <w:szCs w:val="21"/>
        </w:rPr>
      </w:pPr>
      <w:r>
        <w:rPr>
          <w:rFonts w:ascii="宋体" w:hAnsi="宋体" w:cs="宋体"/>
          <w:szCs w:val="21"/>
        </w:rPr>
        <w:t>（</w:t>
      </w:r>
      <w:r>
        <w:rPr>
          <w:rFonts w:hint="eastAsia" w:ascii="宋体" w:hAnsi="宋体" w:cs="宋体"/>
          <w:szCs w:val="21"/>
        </w:rPr>
        <w:t>4</w:t>
      </w:r>
      <w:r>
        <w:rPr>
          <w:rFonts w:ascii="宋体" w:hAnsi="宋体" w:cs="宋体"/>
          <w:szCs w:val="21"/>
        </w:rPr>
        <w:t>）</w:t>
      </w:r>
      <w:r>
        <w:rPr>
          <w:rFonts w:hint="eastAsia" w:ascii="宋体" w:hAnsi="宋体" w:cs="宋体"/>
          <w:szCs w:val="21"/>
        </w:rPr>
        <w:t>维修用</w:t>
      </w:r>
      <w:r>
        <w:rPr>
          <w:rFonts w:hint="eastAsia"/>
        </w:rPr>
        <w:t>碎石</w:t>
      </w:r>
      <w:r>
        <w:rPr>
          <w:rFonts w:ascii="宋体" w:hAnsi="宋体" w:cs="宋体"/>
          <w:szCs w:val="21"/>
        </w:rPr>
        <w:t>以实际完成的</w:t>
      </w:r>
      <w:r>
        <w:rPr>
          <w:rFonts w:hint="eastAsia" w:ascii="宋体" w:hAnsi="宋体" w:cs="宋体"/>
          <w:szCs w:val="21"/>
        </w:rPr>
        <w:t>体</w:t>
      </w:r>
      <w:r>
        <w:rPr>
          <w:rFonts w:ascii="宋体" w:hAnsi="宋体" w:cs="宋体"/>
          <w:szCs w:val="21"/>
        </w:rPr>
        <w:t>积，按合同单价计算</w:t>
      </w:r>
      <w:r>
        <w:rPr>
          <w:rFonts w:hint="eastAsia"/>
        </w:rPr>
        <w:t>按期</w:t>
      </w:r>
      <w:r>
        <w:rPr>
          <w:rFonts w:ascii="宋体" w:hAnsi="宋体" w:cs="宋体"/>
          <w:szCs w:val="21"/>
        </w:rPr>
        <w:t>支付。此项支付包括施工安全、运行维护，</w:t>
      </w:r>
      <w:r>
        <w:rPr>
          <w:rFonts w:hint="eastAsia" w:ascii="宋体" w:hAnsi="宋体" w:cs="宋体"/>
          <w:szCs w:val="21"/>
        </w:rPr>
        <w:t>病害部位的开槽、挖除、清底</w:t>
      </w:r>
      <w:r>
        <w:rPr>
          <w:rFonts w:ascii="宋体" w:hAnsi="宋体" w:cs="宋体"/>
          <w:szCs w:val="21"/>
        </w:rPr>
        <w:t>，废料外运，配料，铺筑，</w:t>
      </w:r>
      <w:r>
        <w:rPr>
          <w:rFonts w:hint="eastAsia" w:ascii="宋体" w:hAnsi="宋体" w:cs="宋体"/>
          <w:szCs w:val="21"/>
        </w:rPr>
        <w:t>摊平、压实</w:t>
      </w:r>
      <w:r>
        <w:rPr>
          <w:rFonts w:ascii="宋体" w:hAnsi="宋体" w:cs="宋体"/>
          <w:szCs w:val="21"/>
        </w:rPr>
        <w:t>，清理现场等相关作业所必须的费用，是对工程的全部偿付。</w:t>
      </w:r>
    </w:p>
    <w:p w14:paraId="0A094770">
      <w:pPr>
        <w:spacing w:line="400" w:lineRule="exact"/>
        <w:ind w:firstLine="420" w:firstLineChars="200"/>
        <w:jc w:val="left"/>
        <w:rPr>
          <w:rFonts w:hint="eastAsia" w:ascii="宋体" w:hAnsi="宋体" w:cs="宋体"/>
          <w:szCs w:val="21"/>
        </w:rPr>
      </w:pPr>
      <w:r>
        <w:rPr>
          <w:rFonts w:ascii="宋体" w:hAnsi="宋体" w:cs="宋体"/>
          <w:szCs w:val="21"/>
        </w:rPr>
        <w:t>（</w:t>
      </w:r>
      <w:r>
        <w:rPr>
          <w:rFonts w:hint="eastAsia" w:ascii="宋体" w:hAnsi="宋体" w:cs="宋体"/>
          <w:szCs w:val="21"/>
        </w:rPr>
        <w:t>5</w:t>
      </w:r>
      <w:r>
        <w:rPr>
          <w:rFonts w:ascii="宋体" w:hAnsi="宋体" w:cs="宋体"/>
          <w:szCs w:val="21"/>
        </w:rPr>
        <w:t>）</w:t>
      </w:r>
      <w:r>
        <w:rPr>
          <w:rFonts w:hint="eastAsia"/>
        </w:rPr>
        <w:t>基层维修以</w:t>
      </w:r>
      <w:r>
        <w:rPr>
          <w:rFonts w:ascii="宋体" w:hAnsi="宋体" w:cs="宋体"/>
          <w:szCs w:val="21"/>
        </w:rPr>
        <w:t>实际施工完成的病害种类的面积，按合同单价计算</w:t>
      </w:r>
      <w:r>
        <w:rPr>
          <w:rFonts w:hint="eastAsia"/>
        </w:rPr>
        <w:t>按期</w:t>
      </w:r>
      <w:r>
        <w:rPr>
          <w:rFonts w:ascii="宋体" w:hAnsi="宋体" w:cs="宋体"/>
          <w:szCs w:val="21"/>
        </w:rPr>
        <w:t>支付。此项支付包括施工安全、运行维护，清扫，整平路面，洒水，配料，拌和，铺筑，养生，清理现场等相关作业所必须的费用，是对工程的全部偿付。</w:t>
      </w:r>
    </w:p>
    <w:p w14:paraId="61AF7DD0">
      <w:pPr>
        <w:spacing w:line="400" w:lineRule="exact"/>
        <w:ind w:firstLine="420" w:firstLineChars="200"/>
        <w:jc w:val="left"/>
        <w:rPr>
          <w:rFonts w:ascii="宋体" w:hAnsi="宋体" w:cs="宋体"/>
          <w:szCs w:val="21"/>
        </w:rPr>
      </w:pPr>
      <w:r>
        <w:rPr>
          <w:rFonts w:hint="eastAsia" w:ascii="宋体" w:hAnsi="宋体" w:cs="宋体"/>
          <w:szCs w:val="21"/>
        </w:rPr>
        <w:t>（6</w:t>
      </w:r>
      <w:r>
        <w:rPr>
          <w:rFonts w:ascii="宋体" w:hAnsi="宋体" w:cs="宋体"/>
          <w:szCs w:val="21"/>
        </w:rPr>
        <w:t>）</w:t>
      </w:r>
      <w:r>
        <w:rPr>
          <w:rFonts w:hint="eastAsia" w:ascii="宋体" w:hAnsi="宋体" w:cs="宋体"/>
          <w:szCs w:val="21"/>
        </w:rPr>
        <w:t>人行道彩砖维修</w:t>
      </w:r>
      <w:r>
        <w:rPr>
          <w:rFonts w:hint="eastAsia"/>
        </w:rPr>
        <w:t>以</w:t>
      </w:r>
      <w:r>
        <w:rPr>
          <w:rFonts w:ascii="宋体" w:hAnsi="宋体" w:cs="宋体"/>
          <w:szCs w:val="21"/>
        </w:rPr>
        <w:t>实际施工完成的面积，按合同单价计算</w:t>
      </w:r>
      <w:r>
        <w:rPr>
          <w:rFonts w:hint="eastAsia"/>
        </w:rPr>
        <w:t>按期</w:t>
      </w:r>
      <w:r>
        <w:rPr>
          <w:rFonts w:ascii="宋体" w:hAnsi="宋体" w:cs="宋体"/>
          <w:szCs w:val="21"/>
        </w:rPr>
        <w:t>支付。此项支付包括施工安全、运行维护，挖</w:t>
      </w:r>
      <w:r>
        <w:rPr>
          <w:rFonts w:hint="eastAsia" w:ascii="宋体" w:hAnsi="宋体" w:cs="宋体"/>
          <w:szCs w:val="21"/>
        </w:rPr>
        <w:t>除</w:t>
      </w:r>
      <w:r>
        <w:rPr>
          <w:rFonts w:ascii="宋体" w:hAnsi="宋体" w:cs="宋体"/>
          <w:szCs w:val="21"/>
        </w:rPr>
        <w:t>破损</w:t>
      </w:r>
      <w:r>
        <w:rPr>
          <w:rFonts w:hint="eastAsia" w:ascii="宋体" w:hAnsi="宋体" w:cs="宋体"/>
          <w:szCs w:val="21"/>
        </w:rPr>
        <w:t>彩砖及基层</w:t>
      </w:r>
      <w:r>
        <w:rPr>
          <w:rFonts w:ascii="宋体" w:hAnsi="宋体" w:cs="宋体"/>
          <w:szCs w:val="21"/>
        </w:rPr>
        <w:t>，</w:t>
      </w:r>
      <w:r>
        <w:rPr>
          <w:rFonts w:hint="eastAsia" w:ascii="宋体" w:hAnsi="宋体" w:cs="宋体"/>
          <w:szCs w:val="21"/>
        </w:rPr>
        <w:t>废料外运，</w:t>
      </w:r>
      <w:r>
        <w:rPr>
          <w:rFonts w:ascii="宋体" w:hAnsi="宋体" w:cs="宋体"/>
          <w:szCs w:val="21"/>
        </w:rPr>
        <w:t>清扫，整平路面，</w:t>
      </w:r>
      <w:r>
        <w:rPr>
          <w:rFonts w:hint="eastAsia" w:ascii="宋体" w:hAnsi="宋体" w:cs="宋体"/>
          <w:szCs w:val="21"/>
        </w:rPr>
        <w:t>水泥砂浆</w:t>
      </w:r>
      <w:r>
        <w:rPr>
          <w:rFonts w:ascii="宋体" w:hAnsi="宋体" w:cs="宋体"/>
          <w:szCs w:val="21"/>
        </w:rPr>
        <w:t>拌和，</w:t>
      </w:r>
      <w:r>
        <w:rPr>
          <w:rFonts w:hint="eastAsia" w:ascii="宋体" w:hAnsi="宋体" w:cs="宋体"/>
          <w:szCs w:val="21"/>
        </w:rPr>
        <w:t>彩砖铺设</w:t>
      </w:r>
      <w:r>
        <w:rPr>
          <w:rFonts w:ascii="宋体" w:hAnsi="宋体" w:cs="宋体"/>
          <w:szCs w:val="21"/>
        </w:rPr>
        <w:t>，清理现场等相关作业所必须的费用，是对工程的全部偿付。</w:t>
      </w:r>
    </w:p>
    <w:p w14:paraId="273C05C8">
      <w:pPr>
        <w:spacing w:line="400" w:lineRule="exact"/>
        <w:ind w:firstLine="420" w:firstLineChars="200"/>
        <w:jc w:val="left"/>
        <w:rPr>
          <w:rFonts w:ascii="宋体" w:hAnsi="宋体" w:cs="宋体"/>
          <w:szCs w:val="21"/>
        </w:rPr>
      </w:pPr>
      <w:r>
        <w:rPr>
          <w:rFonts w:hint="eastAsia" w:ascii="宋体" w:hAnsi="宋体" w:cs="宋体"/>
          <w:szCs w:val="21"/>
        </w:rPr>
        <w:t>（7</w:t>
      </w:r>
      <w:r>
        <w:rPr>
          <w:rFonts w:ascii="宋体" w:hAnsi="宋体" w:cs="宋体"/>
          <w:szCs w:val="21"/>
        </w:rPr>
        <w:t>）</w:t>
      </w:r>
      <w:r>
        <w:rPr>
          <w:rFonts w:hint="eastAsia" w:ascii="宋体" w:hAnsi="宋体" w:cs="宋体"/>
          <w:szCs w:val="21"/>
        </w:rPr>
        <w:t>地聚合物注浆</w:t>
      </w:r>
      <w:r>
        <w:rPr>
          <w:rFonts w:hint="eastAsia"/>
        </w:rPr>
        <w:t>以</w:t>
      </w:r>
      <w:r>
        <w:rPr>
          <w:rFonts w:ascii="宋体" w:hAnsi="宋体" w:cs="宋体"/>
          <w:szCs w:val="21"/>
        </w:rPr>
        <w:t>实际施工完成</w:t>
      </w:r>
      <w:r>
        <w:rPr>
          <w:rFonts w:hint="eastAsia" w:ascii="宋体" w:hAnsi="宋体" w:cs="宋体"/>
          <w:szCs w:val="21"/>
        </w:rPr>
        <w:t>灌浆</w:t>
      </w:r>
      <w:r>
        <w:rPr>
          <w:rFonts w:ascii="宋体" w:hAnsi="宋体" w:cs="宋体"/>
          <w:szCs w:val="21"/>
        </w:rPr>
        <w:t>的</w:t>
      </w:r>
      <w:r>
        <w:rPr>
          <w:rFonts w:hint="eastAsia" w:ascii="宋体" w:hAnsi="宋体" w:cs="宋体"/>
          <w:szCs w:val="21"/>
        </w:rPr>
        <w:t>面积</w:t>
      </w:r>
      <w:r>
        <w:rPr>
          <w:rFonts w:ascii="宋体" w:hAnsi="宋体" w:cs="宋体"/>
          <w:szCs w:val="21"/>
        </w:rPr>
        <w:t>，按合同单价计算</w:t>
      </w:r>
      <w:r>
        <w:rPr>
          <w:rFonts w:hint="eastAsia"/>
        </w:rPr>
        <w:t>按期</w:t>
      </w:r>
      <w:r>
        <w:rPr>
          <w:rFonts w:ascii="宋体" w:hAnsi="宋体" w:cs="宋体"/>
          <w:szCs w:val="21"/>
        </w:rPr>
        <w:t>支付。此项支付包括施工安全、运行维护，</w:t>
      </w:r>
      <w:r>
        <w:rPr>
          <w:rFonts w:hint="eastAsia" w:ascii="宋体" w:hAnsi="宋体" w:cs="宋体"/>
          <w:szCs w:val="21"/>
        </w:rPr>
        <w:t>钻孔，场地清理，制备地聚合物浆液，清孔，插拔注浆管，压浆，清洗压浆设备，清理现场</w:t>
      </w:r>
      <w:r>
        <w:rPr>
          <w:rFonts w:ascii="宋体" w:hAnsi="宋体" w:cs="宋体"/>
          <w:szCs w:val="21"/>
        </w:rPr>
        <w:t>等相关作业所必须的费用，是对工程的全部偿付。</w:t>
      </w:r>
    </w:p>
    <w:p w14:paraId="7FC41ED1">
      <w:pPr>
        <w:spacing w:line="400" w:lineRule="exact"/>
        <w:ind w:firstLine="420" w:firstLineChars="200"/>
        <w:jc w:val="left"/>
        <w:rPr>
          <w:rFonts w:ascii="宋体" w:hAnsi="宋体" w:cs="宋体"/>
          <w:szCs w:val="21"/>
        </w:rPr>
      </w:pPr>
      <w:r>
        <w:rPr>
          <w:rFonts w:hint="eastAsia" w:ascii="宋体" w:hAnsi="宋体" w:cs="宋体"/>
          <w:szCs w:val="21"/>
          <w:lang w:eastAsia="zh-CN"/>
        </w:rPr>
        <w:t>（</w:t>
      </w:r>
      <w:r>
        <w:rPr>
          <w:rFonts w:hint="eastAsia" w:ascii="宋体" w:hAnsi="宋体" w:cs="宋体"/>
          <w:szCs w:val="21"/>
          <w:lang w:val="en-US" w:eastAsia="zh-CN"/>
        </w:rPr>
        <w:t>8</w:t>
      </w:r>
      <w:r>
        <w:rPr>
          <w:rFonts w:hint="eastAsia" w:ascii="宋体" w:hAnsi="宋体" w:cs="宋体"/>
          <w:szCs w:val="21"/>
          <w:lang w:eastAsia="zh-CN"/>
        </w:rPr>
        <w:t>）渗固磨耗层、</w:t>
      </w:r>
      <w:r>
        <w:rPr>
          <w:rFonts w:hint="eastAsia" w:ascii="宋体" w:hAnsi="宋体" w:cs="宋体"/>
          <w:szCs w:val="21"/>
          <w:lang w:val="en-US" w:eastAsia="zh-CN"/>
        </w:rPr>
        <w:t>沥青磨耗层</w:t>
      </w:r>
      <w:r>
        <w:rPr>
          <w:rFonts w:hint="eastAsia"/>
        </w:rPr>
        <w:t>以</w:t>
      </w:r>
      <w:r>
        <w:rPr>
          <w:rFonts w:ascii="宋体" w:hAnsi="宋体" w:cs="宋体"/>
          <w:szCs w:val="21"/>
        </w:rPr>
        <w:t>实际施工完成的面积，按合同单价计算</w:t>
      </w:r>
      <w:r>
        <w:rPr>
          <w:rFonts w:hint="eastAsia"/>
        </w:rPr>
        <w:t>按期</w:t>
      </w:r>
      <w:r>
        <w:rPr>
          <w:rFonts w:ascii="宋体" w:hAnsi="宋体" w:cs="宋体"/>
          <w:szCs w:val="21"/>
        </w:rPr>
        <w:t>支付。此项支付包括施工安全、运行维护</w:t>
      </w:r>
      <w:r>
        <w:rPr>
          <w:rFonts w:hint="eastAsia" w:ascii="宋体" w:hAnsi="宋体" w:cs="宋体"/>
          <w:szCs w:val="21"/>
          <w:lang w:eastAsia="zh-CN"/>
        </w:rPr>
        <w:t>、</w:t>
      </w:r>
      <w:r>
        <w:rPr>
          <w:rFonts w:hint="eastAsia" w:ascii="宋体" w:hAnsi="宋体" w:cs="宋体"/>
          <w:szCs w:val="21"/>
        </w:rPr>
        <w:t>底层处理、混合料摊铺、温度管控和碾压</w:t>
      </w:r>
      <w:r>
        <w:rPr>
          <w:rFonts w:ascii="宋体" w:hAnsi="宋体" w:cs="宋体"/>
          <w:szCs w:val="21"/>
        </w:rPr>
        <w:t>等相关作业所必须的费用，是对工程的全部偿付。</w:t>
      </w:r>
    </w:p>
    <w:p w14:paraId="08FD43AC">
      <w:pPr>
        <w:spacing w:line="400" w:lineRule="exact"/>
        <w:ind w:firstLine="420" w:firstLineChars="200"/>
        <w:jc w:val="left"/>
        <w:outlineLvl w:val="0"/>
        <w:rPr>
          <w:rFonts w:hint="eastAsia"/>
        </w:rPr>
      </w:pPr>
      <w:bookmarkStart w:id="214" w:name="_Toc496619708"/>
      <w:bookmarkStart w:id="215" w:name="_Toc496620407"/>
      <w:bookmarkStart w:id="216" w:name="_Toc465179177"/>
      <w:bookmarkStart w:id="217" w:name="_Toc465178816"/>
      <w:bookmarkStart w:id="218" w:name="_Toc465178096"/>
      <w:bookmarkStart w:id="219" w:name="_Toc87532002"/>
      <w:bookmarkStart w:id="220" w:name="_Toc435864347"/>
      <w:bookmarkStart w:id="221" w:name="_Toc30853"/>
      <w:r>
        <w:rPr>
          <w:rFonts w:hint="eastAsia"/>
        </w:rPr>
        <w:t>3．支付子目</w:t>
      </w:r>
      <w:bookmarkEnd w:id="214"/>
      <w:bookmarkEnd w:id="215"/>
      <w:bookmarkEnd w:id="216"/>
      <w:bookmarkEnd w:id="217"/>
      <w:bookmarkEnd w:id="218"/>
      <w:bookmarkEnd w:id="219"/>
      <w:bookmarkEnd w:id="220"/>
      <w:bookmarkEnd w:id="221"/>
    </w:p>
    <w:bookmarkEnd w:id="189"/>
    <w:bookmarkEnd w:id="190"/>
    <w:bookmarkEnd w:id="191"/>
    <w:tbl>
      <w:tblPr>
        <w:tblStyle w:val="5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68"/>
        <w:gridCol w:w="5685"/>
        <w:gridCol w:w="1118"/>
      </w:tblGrid>
      <w:tr w14:paraId="7BB376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421" w:hRule="atLeast"/>
          <w:jc w:val="center"/>
        </w:trPr>
        <w:tc>
          <w:tcPr>
            <w:tcW w:w="1168" w:type="dxa"/>
            <w:noWrap w:val="0"/>
            <w:vAlign w:val="center"/>
          </w:tcPr>
          <w:p w14:paraId="058ADA8B">
            <w:pPr>
              <w:spacing w:line="240" w:lineRule="exact"/>
              <w:jc w:val="center"/>
              <w:rPr>
                <w:rFonts w:hint="eastAsia" w:ascii="宋体" w:hAnsi="宋体" w:cs="宋体"/>
                <w:szCs w:val="21"/>
              </w:rPr>
            </w:pPr>
            <w:r>
              <w:rPr>
                <w:rFonts w:hint="eastAsia" w:ascii="宋体" w:hAnsi="宋体" w:cs="宋体"/>
                <w:szCs w:val="21"/>
              </w:rPr>
              <w:t>子目号</w:t>
            </w:r>
          </w:p>
        </w:tc>
        <w:tc>
          <w:tcPr>
            <w:tcW w:w="5685" w:type="dxa"/>
            <w:noWrap w:val="0"/>
            <w:vAlign w:val="center"/>
          </w:tcPr>
          <w:p w14:paraId="2DAC7DEA">
            <w:pPr>
              <w:spacing w:line="240" w:lineRule="exact"/>
              <w:jc w:val="center"/>
              <w:rPr>
                <w:rFonts w:hint="eastAsia" w:ascii="宋体" w:hAnsi="宋体" w:cs="宋体"/>
                <w:szCs w:val="21"/>
              </w:rPr>
            </w:pPr>
            <w:r>
              <w:rPr>
                <w:rFonts w:hint="eastAsia" w:ascii="宋体" w:hAnsi="宋体" w:cs="宋体"/>
                <w:szCs w:val="21"/>
              </w:rPr>
              <w:t>子目名称</w:t>
            </w:r>
          </w:p>
        </w:tc>
        <w:tc>
          <w:tcPr>
            <w:tcW w:w="1118" w:type="dxa"/>
            <w:noWrap w:val="0"/>
            <w:vAlign w:val="center"/>
          </w:tcPr>
          <w:p w14:paraId="7C67A25B">
            <w:pPr>
              <w:spacing w:line="240" w:lineRule="exact"/>
              <w:jc w:val="center"/>
              <w:rPr>
                <w:rFonts w:hint="eastAsia" w:ascii="宋体" w:hAnsi="宋体" w:cs="宋体"/>
                <w:szCs w:val="21"/>
              </w:rPr>
            </w:pPr>
            <w:r>
              <w:rPr>
                <w:rFonts w:hint="eastAsia" w:ascii="宋体" w:hAnsi="宋体" w:cs="宋体"/>
                <w:szCs w:val="21"/>
              </w:rPr>
              <w:t>单 位</w:t>
            </w:r>
          </w:p>
        </w:tc>
      </w:tr>
      <w:tr w14:paraId="093968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1" w:hRule="atLeast"/>
          <w:jc w:val="center"/>
        </w:trPr>
        <w:tc>
          <w:tcPr>
            <w:tcW w:w="1168" w:type="dxa"/>
            <w:noWrap w:val="0"/>
            <w:vAlign w:val="center"/>
          </w:tcPr>
          <w:p w14:paraId="793AA0FC">
            <w:pPr>
              <w:keepNext w:val="0"/>
              <w:keepLines w:val="0"/>
              <w:widowControl/>
              <w:suppressLineNumbers w:val="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302</w:t>
            </w:r>
          </w:p>
        </w:tc>
        <w:tc>
          <w:tcPr>
            <w:tcW w:w="5685" w:type="dxa"/>
            <w:noWrap w:val="0"/>
            <w:vAlign w:val="center"/>
          </w:tcPr>
          <w:p w14:paraId="326A05A7">
            <w:pPr>
              <w:keepNext w:val="0"/>
              <w:keepLines w:val="0"/>
              <w:widowControl/>
              <w:suppressLineNumbers w:val="0"/>
              <w:jc w:val="left"/>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维修</w:t>
            </w:r>
          </w:p>
        </w:tc>
        <w:tc>
          <w:tcPr>
            <w:tcW w:w="1118" w:type="dxa"/>
            <w:noWrap w:val="0"/>
            <w:vAlign w:val="center"/>
          </w:tcPr>
          <w:p w14:paraId="2B92966F">
            <w:pPr>
              <w:jc w:val="center"/>
              <w:rPr>
                <w:rFonts w:hint="eastAsia" w:ascii="宋体" w:hAnsi="宋体" w:cs="宋体"/>
                <w:sz w:val="21"/>
                <w:szCs w:val="21"/>
              </w:rPr>
            </w:pPr>
          </w:p>
        </w:tc>
      </w:tr>
      <w:tr w14:paraId="5D20B5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1" w:hRule="atLeast"/>
          <w:jc w:val="center"/>
        </w:trPr>
        <w:tc>
          <w:tcPr>
            <w:tcW w:w="1168" w:type="dxa"/>
            <w:noWrap w:val="0"/>
            <w:vAlign w:val="center"/>
          </w:tcPr>
          <w:p w14:paraId="71963ED9">
            <w:pPr>
              <w:keepNext w:val="0"/>
              <w:keepLines w:val="0"/>
              <w:widowControl/>
              <w:suppressLineNumbers w:val="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302-1</w:t>
            </w:r>
          </w:p>
        </w:tc>
        <w:tc>
          <w:tcPr>
            <w:tcW w:w="5685" w:type="dxa"/>
            <w:noWrap w:val="0"/>
            <w:vAlign w:val="center"/>
          </w:tcPr>
          <w:p w14:paraId="453AC3A3">
            <w:pPr>
              <w:keepNext w:val="0"/>
              <w:keepLines w:val="0"/>
              <w:widowControl/>
              <w:suppressLineNumbers w:val="0"/>
              <w:jc w:val="left"/>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破板修复</w:t>
            </w:r>
          </w:p>
        </w:tc>
        <w:tc>
          <w:tcPr>
            <w:tcW w:w="1118" w:type="dxa"/>
            <w:noWrap w:val="0"/>
            <w:vAlign w:val="center"/>
          </w:tcPr>
          <w:p w14:paraId="74A1C1D9">
            <w:pPr>
              <w:jc w:val="center"/>
              <w:rPr>
                <w:rFonts w:hint="eastAsia" w:ascii="宋体" w:hAnsi="宋体" w:cs="宋体"/>
                <w:sz w:val="21"/>
                <w:szCs w:val="21"/>
              </w:rPr>
            </w:pPr>
          </w:p>
        </w:tc>
      </w:tr>
      <w:tr w14:paraId="233F85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1" w:hRule="atLeast"/>
          <w:jc w:val="center"/>
        </w:trPr>
        <w:tc>
          <w:tcPr>
            <w:tcW w:w="1168" w:type="dxa"/>
            <w:noWrap w:val="0"/>
            <w:vAlign w:val="center"/>
          </w:tcPr>
          <w:p w14:paraId="72DD2173">
            <w:pPr>
              <w:keepNext w:val="0"/>
              <w:keepLines w:val="0"/>
              <w:widowControl/>
              <w:suppressLineNumbers w:val="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-a</w:t>
            </w:r>
          </w:p>
        </w:tc>
        <w:tc>
          <w:tcPr>
            <w:tcW w:w="5685" w:type="dxa"/>
            <w:noWrap w:val="0"/>
            <w:vAlign w:val="center"/>
          </w:tcPr>
          <w:p w14:paraId="35B2087F">
            <w:pPr>
              <w:keepNext w:val="0"/>
              <w:keepLines w:val="0"/>
              <w:widowControl/>
              <w:suppressLineNumbers w:val="0"/>
              <w:jc w:val="left"/>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C40混凝土修复</w:t>
            </w:r>
          </w:p>
        </w:tc>
        <w:tc>
          <w:tcPr>
            <w:tcW w:w="1118" w:type="dxa"/>
            <w:noWrap w:val="0"/>
            <w:vAlign w:val="center"/>
          </w:tcPr>
          <w:p w14:paraId="4C2092B2">
            <w:pPr>
              <w:keepNext w:val="0"/>
              <w:keepLines w:val="0"/>
              <w:widowControl/>
              <w:suppressLineNumbers w:val="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m3</w:t>
            </w:r>
          </w:p>
        </w:tc>
      </w:tr>
      <w:tr w14:paraId="4131F5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1" w:hRule="atLeast"/>
          <w:jc w:val="center"/>
        </w:trPr>
        <w:tc>
          <w:tcPr>
            <w:tcW w:w="1168" w:type="dxa"/>
            <w:noWrap w:val="0"/>
            <w:vAlign w:val="center"/>
          </w:tcPr>
          <w:p w14:paraId="67569000">
            <w:pPr>
              <w:keepNext w:val="0"/>
              <w:keepLines w:val="0"/>
              <w:widowControl/>
              <w:suppressLineNumbers w:val="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-b</w:t>
            </w:r>
          </w:p>
        </w:tc>
        <w:tc>
          <w:tcPr>
            <w:tcW w:w="5685" w:type="dxa"/>
            <w:noWrap w:val="0"/>
            <w:vAlign w:val="center"/>
          </w:tcPr>
          <w:p w14:paraId="4294373C">
            <w:pPr>
              <w:keepNext w:val="0"/>
              <w:keepLines w:val="0"/>
              <w:widowControl/>
              <w:suppressLineNumbers w:val="0"/>
              <w:jc w:val="left"/>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沥青混凝土路面局部小修（AC-13C)</w:t>
            </w:r>
          </w:p>
        </w:tc>
        <w:tc>
          <w:tcPr>
            <w:tcW w:w="1118" w:type="dxa"/>
            <w:noWrap w:val="0"/>
            <w:vAlign w:val="center"/>
          </w:tcPr>
          <w:p w14:paraId="51D23957">
            <w:pPr>
              <w:keepNext w:val="0"/>
              <w:keepLines w:val="0"/>
              <w:widowControl/>
              <w:suppressLineNumbers w:val="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m3</w:t>
            </w:r>
          </w:p>
        </w:tc>
      </w:tr>
      <w:tr w14:paraId="69E184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1" w:hRule="atLeast"/>
          <w:jc w:val="center"/>
        </w:trPr>
        <w:tc>
          <w:tcPr>
            <w:tcW w:w="1168" w:type="dxa"/>
            <w:noWrap w:val="0"/>
            <w:vAlign w:val="center"/>
          </w:tcPr>
          <w:p w14:paraId="350BE16F">
            <w:pPr>
              <w:keepNext w:val="0"/>
              <w:keepLines w:val="0"/>
              <w:widowControl/>
              <w:suppressLineNumbers w:val="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-c</w:t>
            </w:r>
          </w:p>
        </w:tc>
        <w:tc>
          <w:tcPr>
            <w:tcW w:w="5685" w:type="dxa"/>
            <w:noWrap w:val="0"/>
            <w:vAlign w:val="center"/>
          </w:tcPr>
          <w:p w14:paraId="5525B6F0">
            <w:pPr>
              <w:keepNext w:val="0"/>
              <w:keepLines w:val="0"/>
              <w:widowControl/>
              <w:suppressLineNumbers w:val="0"/>
              <w:jc w:val="left"/>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沥青混凝土路面大面积小修</w:t>
            </w:r>
          </w:p>
        </w:tc>
        <w:tc>
          <w:tcPr>
            <w:tcW w:w="1118" w:type="dxa"/>
            <w:noWrap w:val="0"/>
            <w:vAlign w:val="center"/>
          </w:tcPr>
          <w:p w14:paraId="53A5DFF1">
            <w:pPr>
              <w:jc w:val="center"/>
              <w:rPr>
                <w:rFonts w:hint="eastAsia" w:ascii="宋体" w:hAnsi="宋体" w:cs="宋体"/>
                <w:sz w:val="21"/>
                <w:szCs w:val="21"/>
              </w:rPr>
            </w:pPr>
          </w:p>
        </w:tc>
      </w:tr>
      <w:tr w14:paraId="45EC2E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1" w:hRule="atLeast"/>
          <w:jc w:val="center"/>
        </w:trPr>
        <w:tc>
          <w:tcPr>
            <w:tcW w:w="1168" w:type="dxa"/>
            <w:noWrap w:val="0"/>
            <w:vAlign w:val="center"/>
          </w:tcPr>
          <w:p w14:paraId="6A8AC19D">
            <w:pPr>
              <w:keepNext w:val="0"/>
              <w:keepLines w:val="0"/>
              <w:widowControl/>
              <w:suppressLineNumbers w:val="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-c1</w:t>
            </w:r>
          </w:p>
        </w:tc>
        <w:tc>
          <w:tcPr>
            <w:tcW w:w="5685" w:type="dxa"/>
            <w:noWrap w:val="0"/>
            <w:vAlign w:val="center"/>
          </w:tcPr>
          <w:p w14:paraId="5E70BFD5">
            <w:pPr>
              <w:keepNext w:val="0"/>
              <w:keepLines w:val="0"/>
              <w:widowControl/>
              <w:suppressLineNumbers w:val="0"/>
              <w:jc w:val="left"/>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普通热拌沥青混凝土（AC-13C)</w:t>
            </w:r>
          </w:p>
        </w:tc>
        <w:tc>
          <w:tcPr>
            <w:tcW w:w="1118" w:type="dxa"/>
            <w:noWrap w:val="0"/>
            <w:vAlign w:val="center"/>
          </w:tcPr>
          <w:p w14:paraId="5D8ED0C2">
            <w:pPr>
              <w:keepNext w:val="0"/>
              <w:keepLines w:val="0"/>
              <w:widowControl/>
              <w:suppressLineNumbers w:val="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m3</w:t>
            </w:r>
          </w:p>
        </w:tc>
      </w:tr>
      <w:tr w14:paraId="2288C4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1" w:hRule="atLeast"/>
          <w:jc w:val="center"/>
        </w:trPr>
        <w:tc>
          <w:tcPr>
            <w:tcW w:w="1168" w:type="dxa"/>
            <w:noWrap w:val="0"/>
            <w:vAlign w:val="center"/>
          </w:tcPr>
          <w:p w14:paraId="74FA75C4">
            <w:pPr>
              <w:keepNext w:val="0"/>
              <w:keepLines w:val="0"/>
              <w:widowControl/>
              <w:suppressLineNumbers w:val="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-c2</w:t>
            </w:r>
          </w:p>
        </w:tc>
        <w:tc>
          <w:tcPr>
            <w:tcW w:w="5685" w:type="dxa"/>
            <w:noWrap w:val="0"/>
            <w:vAlign w:val="center"/>
          </w:tcPr>
          <w:p w14:paraId="397A99CF">
            <w:pPr>
              <w:keepNext w:val="0"/>
              <w:keepLines w:val="0"/>
              <w:widowControl/>
              <w:suppressLineNumbers w:val="0"/>
              <w:jc w:val="left"/>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普通热拌沥青混凝土(AC-20C)</w:t>
            </w:r>
          </w:p>
        </w:tc>
        <w:tc>
          <w:tcPr>
            <w:tcW w:w="1118" w:type="dxa"/>
            <w:noWrap w:val="0"/>
            <w:vAlign w:val="center"/>
          </w:tcPr>
          <w:p w14:paraId="099F2177">
            <w:pPr>
              <w:keepNext w:val="0"/>
              <w:keepLines w:val="0"/>
              <w:widowControl/>
              <w:suppressLineNumbers w:val="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m3</w:t>
            </w:r>
          </w:p>
        </w:tc>
      </w:tr>
      <w:tr w14:paraId="023A0A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1" w:hRule="atLeast"/>
          <w:jc w:val="center"/>
        </w:trPr>
        <w:tc>
          <w:tcPr>
            <w:tcW w:w="1168" w:type="dxa"/>
            <w:noWrap w:val="0"/>
            <w:vAlign w:val="center"/>
          </w:tcPr>
          <w:p w14:paraId="6D12A281">
            <w:pPr>
              <w:keepNext w:val="0"/>
              <w:keepLines w:val="0"/>
              <w:widowControl/>
              <w:suppressLineNumbers w:val="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-c3</w:t>
            </w:r>
          </w:p>
        </w:tc>
        <w:tc>
          <w:tcPr>
            <w:tcW w:w="5685" w:type="dxa"/>
            <w:noWrap w:val="0"/>
            <w:vAlign w:val="center"/>
          </w:tcPr>
          <w:p w14:paraId="3AEC46F2">
            <w:pPr>
              <w:keepNext w:val="0"/>
              <w:keepLines w:val="0"/>
              <w:widowControl/>
              <w:suppressLineNumbers w:val="0"/>
              <w:jc w:val="left"/>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普通热拌沥青混凝土(ATB-25)</w:t>
            </w:r>
          </w:p>
        </w:tc>
        <w:tc>
          <w:tcPr>
            <w:tcW w:w="1118" w:type="dxa"/>
            <w:noWrap w:val="0"/>
            <w:vAlign w:val="center"/>
          </w:tcPr>
          <w:p w14:paraId="30420134">
            <w:pPr>
              <w:keepNext w:val="0"/>
              <w:keepLines w:val="0"/>
              <w:widowControl/>
              <w:suppressLineNumbers w:val="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m3</w:t>
            </w:r>
          </w:p>
        </w:tc>
      </w:tr>
      <w:tr w14:paraId="63F64C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1" w:hRule="atLeast"/>
          <w:jc w:val="center"/>
        </w:trPr>
        <w:tc>
          <w:tcPr>
            <w:tcW w:w="1168" w:type="dxa"/>
            <w:noWrap w:val="0"/>
            <w:vAlign w:val="center"/>
          </w:tcPr>
          <w:p w14:paraId="777B2B5F">
            <w:pPr>
              <w:keepNext w:val="0"/>
              <w:keepLines w:val="0"/>
              <w:widowControl/>
              <w:suppressLineNumbers w:val="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-c4</w:t>
            </w:r>
          </w:p>
        </w:tc>
        <w:tc>
          <w:tcPr>
            <w:tcW w:w="5685" w:type="dxa"/>
            <w:noWrap w:val="0"/>
            <w:vAlign w:val="center"/>
          </w:tcPr>
          <w:p w14:paraId="080D2EB4">
            <w:pPr>
              <w:keepNext w:val="0"/>
              <w:keepLines w:val="0"/>
              <w:widowControl/>
              <w:suppressLineNumbers w:val="0"/>
              <w:jc w:val="left"/>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改性沥青混凝土(AC-13C SBS)</w:t>
            </w:r>
          </w:p>
        </w:tc>
        <w:tc>
          <w:tcPr>
            <w:tcW w:w="1118" w:type="dxa"/>
            <w:noWrap w:val="0"/>
            <w:vAlign w:val="center"/>
          </w:tcPr>
          <w:p w14:paraId="64767994">
            <w:pPr>
              <w:keepNext w:val="0"/>
              <w:keepLines w:val="0"/>
              <w:widowControl/>
              <w:suppressLineNumbers w:val="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m3</w:t>
            </w:r>
          </w:p>
        </w:tc>
      </w:tr>
      <w:tr w14:paraId="3E6EEA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1" w:hRule="atLeast"/>
          <w:jc w:val="center"/>
        </w:trPr>
        <w:tc>
          <w:tcPr>
            <w:tcW w:w="1168" w:type="dxa"/>
            <w:noWrap w:val="0"/>
            <w:vAlign w:val="center"/>
          </w:tcPr>
          <w:p w14:paraId="142A8D7C">
            <w:pPr>
              <w:keepNext w:val="0"/>
              <w:keepLines w:val="0"/>
              <w:widowControl/>
              <w:suppressLineNumbers w:val="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-c5</w:t>
            </w:r>
          </w:p>
        </w:tc>
        <w:tc>
          <w:tcPr>
            <w:tcW w:w="5685" w:type="dxa"/>
            <w:noWrap w:val="0"/>
            <w:vAlign w:val="center"/>
          </w:tcPr>
          <w:p w14:paraId="0AB08107">
            <w:pPr>
              <w:keepNext w:val="0"/>
              <w:keepLines w:val="0"/>
              <w:widowControl/>
              <w:suppressLineNumbers w:val="0"/>
              <w:jc w:val="left"/>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改性沥青混凝土(SMA-13）</w:t>
            </w:r>
          </w:p>
        </w:tc>
        <w:tc>
          <w:tcPr>
            <w:tcW w:w="1118" w:type="dxa"/>
            <w:noWrap w:val="0"/>
            <w:vAlign w:val="center"/>
          </w:tcPr>
          <w:p w14:paraId="1A946AA7">
            <w:pPr>
              <w:keepNext w:val="0"/>
              <w:keepLines w:val="0"/>
              <w:widowControl/>
              <w:suppressLineNumbers w:val="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m3</w:t>
            </w:r>
          </w:p>
        </w:tc>
      </w:tr>
      <w:tr w14:paraId="45F9BC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1" w:hRule="atLeast"/>
          <w:jc w:val="center"/>
        </w:trPr>
        <w:tc>
          <w:tcPr>
            <w:tcW w:w="1168" w:type="dxa"/>
            <w:noWrap w:val="0"/>
            <w:vAlign w:val="center"/>
          </w:tcPr>
          <w:p w14:paraId="4CFE9AE5">
            <w:pPr>
              <w:keepNext w:val="0"/>
              <w:keepLines w:val="0"/>
              <w:widowControl/>
              <w:suppressLineNumbers w:val="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-d</w:t>
            </w:r>
          </w:p>
        </w:tc>
        <w:tc>
          <w:tcPr>
            <w:tcW w:w="5685" w:type="dxa"/>
            <w:noWrap w:val="0"/>
            <w:vAlign w:val="center"/>
          </w:tcPr>
          <w:p w14:paraId="442AAB35">
            <w:pPr>
              <w:keepNext w:val="0"/>
              <w:keepLines w:val="0"/>
              <w:widowControl/>
              <w:suppressLineNumbers w:val="0"/>
              <w:jc w:val="left"/>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乳化沥青粘层</w:t>
            </w:r>
          </w:p>
        </w:tc>
        <w:tc>
          <w:tcPr>
            <w:tcW w:w="1118" w:type="dxa"/>
            <w:noWrap w:val="0"/>
            <w:vAlign w:val="center"/>
          </w:tcPr>
          <w:p w14:paraId="45914276">
            <w:pPr>
              <w:keepNext w:val="0"/>
              <w:keepLines w:val="0"/>
              <w:widowControl/>
              <w:suppressLineNumbers w:val="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m2</w:t>
            </w:r>
          </w:p>
        </w:tc>
      </w:tr>
      <w:tr w14:paraId="4B9BE6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1" w:hRule="atLeast"/>
          <w:jc w:val="center"/>
        </w:trPr>
        <w:tc>
          <w:tcPr>
            <w:tcW w:w="1168" w:type="dxa"/>
            <w:noWrap w:val="0"/>
            <w:vAlign w:val="center"/>
          </w:tcPr>
          <w:p w14:paraId="74B176A8">
            <w:pPr>
              <w:keepNext w:val="0"/>
              <w:keepLines w:val="0"/>
              <w:widowControl/>
              <w:suppressLineNumbers w:val="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-e</w:t>
            </w:r>
          </w:p>
        </w:tc>
        <w:tc>
          <w:tcPr>
            <w:tcW w:w="5685" w:type="dxa"/>
            <w:noWrap w:val="0"/>
            <w:vAlign w:val="center"/>
          </w:tcPr>
          <w:p w14:paraId="1906F006">
            <w:pPr>
              <w:keepNext w:val="0"/>
              <w:keepLines w:val="0"/>
              <w:widowControl/>
              <w:suppressLineNumbers w:val="0"/>
              <w:jc w:val="left"/>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冷补沥青混凝土</w:t>
            </w:r>
          </w:p>
        </w:tc>
        <w:tc>
          <w:tcPr>
            <w:tcW w:w="1118" w:type="dxa"/>
            <w:noWrap w:val="0"/>
            <w:vAlign w:val="center"/>
          </w:tcPr>
          <w:p w14:paraId="5D5BA331">
            <w:pPr>
              <w:keepNext w:val="0"/>
              <w:keepLines w:val="0"/>
              <w:widowControl/>
              <w:suppressLineNumbers w:val="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m3</w:t>
            </w:r>
          </w:p>
        </w:tc>
      </w:tr>
      <w:tr w14:paraId="1DF05C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1" w:hRule="atLeast"/>
          <w:jc w:val="center"/>
        </w:trPr>
        <w:tc>
          <w:tcPr>
            <w:tcW w:w="1168" w:type="dxa"/>
            <w:noWrap w:val="0"/>
            <w:vAlign w:val="center"/>
          </w:tcPr>
          <w:p w14:paraId="148C5586">
            <w:pPr>
              <w:keepNext w:val="0"/>
              <w:keepLines w:val="0"/>
              <w:widowControl/>
              <w:suppressLineNumbers w:val="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-f</w:t>
            </w:r>
          </w:p>
        </w:tc>
        <w:tc>
          <w:tcPr>
            <w:tcW w:w="5685" w:type="dxa"/>
            <w:noWrap w:val="0"/>
            <w:vAlign w:val="center"/>
          </w:tcPr>
          <w:p w14:paraId="14A59EB2">
            <w:pPr>
              <w:keepNext w:val="0"/>
              <w:keepLines w:val="0"/>
              <w:widowControl/>
              <w:suppressLineNumbers w:val="0"/>
              <w:jc w:val="left"/>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灌入式沥青砼（SBS）</w:t>
            </w:r>
          </w:p>
        </w:tc>
        <w:tc>
          <w:tcPr>
            <w:tcW w:w="1118" w:type="dxa"/>
            <w:noWrap w:val="0"/>
            <w:vAlign w:val="center"/>
          </w:tcPr>
          <w:p w14:paraId="369D354F">
            <w:pPr>
              <w:keepNext w:val="0"/>
              <w:keepLines w:val="0"/>
              <w:widowControl/>
              <w:suppressLineNumbers w:val="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m3</w:t>
            </w:r>
          </w:p>
        </w:tc>
      </w:tr>
      <w:tr w14:paraId="3EC2AB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1" w:hRule="atLeast"/>
          <w:jc w:val="center"/>
        </w:trPr>
        <w:tc>
          <w:tcPr>
            <w:tcW w:w="1168" w:type="dxa"/>
            <w:noWrap w:val="0"/>
            <w:vAlign w:val="center"/>
          </w:tcPr>
          <w:p w14:paraId="54A2E767">
            <w:pPr>
              <w:keepNext w:val="0"/>
              <w:keepLines w:val="0"/>
              <w:widowControl/>
              <w:suppressLineNumbers w:val="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-g</w:t>
            </w:r>
          </w:p>
        </w:tc>
        <w:tc>
          <w:tcPr>
            <w:tcW w:w="5685" w:type="dxa"/>
            <w:noWrap w:val="0"/>
            <w:vAlign w:val="center"/>
          </w:tcPr>
          <w:p w14:paraId="730283E8">
            <w:pPr>
              <w:keepNext w:val="0"/>
              <w:keepLines w:val="0"/>
              <w:widowControl/>
              <w:suppressLineNumbers w:val="0"/>
              <w:jc w:val="left"/>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1cm渗固磨耗层</w:t>
            </w:r>
          </w:p>
        </w:tc>
        <w:tc>
          <w:tcPr>
            <w:tcW w:w="1118" w:type="dxa"/>
            <w:noWrap w:val="0"/>
            <w:vAlign w:val="center"/>
          </w:tcPr>
          <w:p w14:paraId="7DCF01D0">
            <w:pPr>
              <w:keepNext w:val="0"/>
              <w:keepLines w:val="0"/>
              <w:widowControl/>
              <w:suppressLineNumbers w:val="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m2</w:t>
            </w:r>
          </w:p>
        </w:tc>
      </w:tr>
      <w:tr w14:paraId="184C41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1" w:hRule="atLeast"/>
          <w:jc w:val="center"/>
        </w:trPr>
        <w:tc>
          <w:tcPr>
            <w:tcW w:w="1168" w:type="dxa"/>
            <w:noWrap w:val="0"/>
            <w:vAlign w:val="center"/>
          </w:tcPr>
          <w:p w14:paraId="3B72D8C4">
            <w:pPr>
              <w:keepNext w:val="0"/>
              <w:keepLines w:val="0"/>
              <w:widowControl/>
              <w:suppressLineNumbers w:val="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-h</w:t>
            </w:r>
          </w:p>
        </w:tc>
        <w:tc>
          <w:tcPr>
            <w:tcW w:w="5685" w:type="dxa"/>
            <w:noWrap w:val="0"/>
            <w:vAlign w:val="center"/>
          </w:tcPr>
          <w:p w14:paraId="410AD5D4">
            <w:pPr>
              <w:keepNext w:val="0"/>
              <w:keepLines w:val="0"/>
              <w:widowControl/>
              <w:suppressLineNumbers w:val="0"/>
              <w:jc w:val="left"/>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1.5cm超薄沥青磨耗层</w:t>
            </w:r>
          </w:p>
        </w:tc>
        <w:tc>
          <w:tcPr>
            <w:tcW w:w="1118" w:type="dxa"/>
            <w:noWrap w:val="0"/>
            <w:vAlign w:val="center"/>
          </w:tcPr>
          <w:p w14:paraId="13606655">
            <w:pPr>
              <w:keepNext w:val="0"/>
              <w:keepLines w:val="0"/>
              <w:widowControl/>
              <w:suppressLineNumbers w:val="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m2</w:t>
            </w:r>
          </w:p>
        </w:tc>
      </w:tr>
      <w:tr w14:paraId="2BAAAE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1" w:hRule="atLeast"/>
          <w:jc w:val="center"/>
        </w:trPr>
        <w:tc>
          <w:tcPr>
            <w:tcW w:w="1168" w:type="dxa"/>
            <w:noWrap w:val="0"/>
            <w:vAlign w:val="center"/>
          </w:tcPr>
          <w:p w14:paraId="499F0CD2">
            <w:pPr>
              <w:keepNext w:val="0"/>
              <w:keepLines w:val="0"/>
              <w:widowControl/>
              <w:suppressLineNumbers w:val="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302-2</w:t>
            </w:r>
          </w:p>
        </w:tc>
        <w:tc>
          <w:tcPr>
            <w:tcW w:w="5685" w:type="dxa"/>
            <w:noWrap w:val="0"/>
            <w:vAlign w:val="center"/>
          </w:tcPr>
          <w:p w14:paraId="2C8BC9D8">
            <w:pPr>
              <w:keepNext w:val="0"/>
              <w:keepLines w:val="0"/>
              <w:widowControl/>
              <w:suppressLineNumbers w:val="0"/>
              <w:jc w:val="left"/>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地聚合物注浆</w:t>
            </w:r>
          </w:p>
        </w:tc>
        <w:tc>
          <w:tcPr>
            <w:tcW w:w="1118" w:type="dxa"/>
            <w:noWrap w:val="0"/>
            <w:vAlign w:val="center"/>
          </w:tcPr>
          <w:p w14:paraId="3DA39F22">
            <w:pPr>
              <w:keepNext w:val="0"/>
              <w:keepLines w:val="0"/>
              <w:widowControl/>
              <w:suppressLineNumbers w:val="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m2</w:t>
            </w:r>
          </w:p>
        </w:tc>
      </w:tr>
      <w:tr w14:paraId="3D532D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1" w:hRule="atLeast"/>
          <w:jc w:val="center"/>
        </w:trPr>
        <w:tc>
          <w:tcPr>
            <w:tcW w:w="1168" w:type="dxa"/>
            <w:noWrap w:val="0"/>
            <w:vAlign w:val="center"/>
          </w:tcPr>
          <w:p w14:paraId="4E860BEE">
            <w:pPr>
              <w:keepNext w:val="0"/>
              <w:keepLines w:val="0"/>
              <w:widowControl/>
              <w:suppressLineNumbers w:val="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303</w:t>
            </w:r>
          </w:p>
        </w:tc>
        <w:tc>
          <w:tcPr>
            <w:tcW w:w="5685" w:type="dxa"/>
            <w:noWrap w:val="0"/>
            <w:vAlign w:val="center"/>
          </w:tcPr>
          <w:p w14:paraId="55CCDD1A">
            <w:pPr>
              <w:keepNext w:val="0"/>
              <w:keepLines w:val="0"/>
              <w:widowControl/>
              <w:suppressLineNumbers w:val="0"/>
              <w:jc w:val="left"/>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沥青混凝土路面维修</w:t>
            </w:r>
          </w:p>
        </w:tc>
        <w:tc>
          <w:tcPr>
            <w:tcW w:w="1118" w:type="dxa"/>
            <w:noWrap w:val="0"/>
            <w:vAlign w:val="center"/>
          </w:tcPr>
          <w:p w14:paraId="340B768A">
            <w:pPr>
              <w:jc w:val="center"/>
              <w:rPr>
                <w:rFonts w:hint="eastAsia" w:ascii="宋体" w:hAnsi="宋体" w:cs="宋体"/>
                <w:sz w:val="21"/>
                <w:szCs w:val="21"/>
              </w:rPr>
            </w:pPr>
          </w:p>
        </w:tc>
      </w:tr>
      <w:tr w14:paraId="4A9BB9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1" w:hRule="atLeast"/>
          <w:jc w:val="center"/>
        </w:trPr>
        <w:tc>
          <w:tcPr>
            <w:tcW w:w="1168" w:type="dxa"/>
            <w:noWrap w:val="0"/>
            <w:vAlign w:val="center"/>
          </w:tcPr>
          <w:p w14:paraId="531A9591">
            <w:pPr>
              <w:keepNext w:val="0"/>
              <w:keepLines w:val="0"/>
              <w:widowControl/>
              <w:suppressLineNumbers w:val="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303-1</w:t>
            </w:r>
          </w:p>
        </w:tc>
        <w:tc>
          <w:tcPr>
            <w:tcW w:w="5685" w:type="dxa"/>
            <w:noWrap w:val="0"/>
            <w:vAlign w:val="center"/>
          </w:tcPr>
          <w:p w14:paraId="527668D1">
            <w:pPr>
              <w:keepNext w:val="0"/>
              <w:keepLines w:val="0"/>
              <w:widowControl/>
              <w:suppressLineNumbers w:val="0"/>
              <w:jc w:val="left"/>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纵横向裂缝维修</w:t>
            </w:r>
          </w:p>
        </w:tc>
        <w:tc>
          <w:tcPr>
            <w:tcW w:w="1118" w:type="dxa"/>
            <w:noWrap w:val="0"/>
            <w:vAlign w:val="center"/>
          </w:tcPr>
          <w:p w14:paraId="4B923D7D">
            <w:pPr>
              <w:jc w:val="center"/>
              <w:rPr>
                <w:rFonts w:hint="eastAsia" w:ascii="宋体" w:hAnsi="宋体" w:cs="宋体"/>
                <w:sz w:val="21"/>
                <w:szCs w:val="21"/>
              </w:rPr>
            </w:pPr>
          </w:p>
        </w:tc>
      </w:tr>
      <w:tr w14:paraId="795DFB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1" w:hRule="atLeast"/>
          <w:jc w:val="center"/>
        </w:trPr>
        <w:tc>
          <w:tcPr>
            <w:tcW w:w="1168" w:type="dxa"/>
            <w:noWrap w:val="0"/>
            <w:vAlign w:val="center"/>
          </w:tcPr>
          <w:p w14:paraId="249707DE">
            <w:pPr>
              <w:keepNext w:val="0"/>
              <w:keepLines w:val="0"/>
              <w:widowControl/>
              <w:suppressLineNumbers w:val="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-a</w:t>
            </w:r>
          </w:p>
        </w:tc>
        <w:tc>
          <w:tcPr>
            <w:tcW w:w="5685" w:type="dxa"/>
            <w:noWrap w:val="0"/>
            <w:vAlign w:val="center"/>
          </w:tcPr>
          <w:p w14:paraId="1CE85DFA">
            <w:pPr>
              <w:keepNext w:val="0"/>
              <w:keepLines w:val="0"/>
              <w:widowControl/>
              <w:suppressLineNumbers w:val="0"/>
              <w:jc w:val="left"/>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裂缝灌缝</w:t>
            </w:r>
          </w:p>
        </w:tc>
        <w:tc>
          <w:tcPr>
            <w:tcW w:w="1118" w:type="dxa"/>
            <w:noWrap w:val="0"/>
            <w:vAlign w:val="center"/>
          </w:tcPr>
          <w:p w14:paraId="6749A862">
            <w:pPr>
              <w:jc w:val="center"/>
              <w:rPr>
                <w:rFonts w:hint="eastAsia" w:ascii="宋体" w:hAnsi="宋体" w:cs="宋体"/>
                <w:sz w:val="21"/>
                <w:szCs w:val="21"/>
              </w:rPr>
            </w:pPr>
          </w:p>
        </w:tc>
      </w:tr>
      <w:tr w14:paraId="65F303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1" w:hRule="atLeast"/>
          <w:jc w:val="center"/>
        </w:trPr>
        <w:tc>
          <w:tcPr>
            <w:tcW w:w="1168" w:type="dxa"/>
            <w:noWrap w:val="0"/>
            <w:vAlign w:val="center"/>
          </w:tcPr>
          <w:p w14:paraId="6646948B">
            <w:pPr>
              <w:keepNext w:val="0"/>
              <w:keepLines w:val="0"/>
              <w:widowControl/>
              <w:suppressLineNumbers w:val="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-1</w:t>
            </w:r>
          </w:p>
        </w:tc>
        <w:tc>
          <w:tcPr>
            <w:tcW w:w="5685" w:type="dxa"/>
            <w:noWrap w:val="0"/>
            <w:vAlign w:val="center"/>
          </w:tcPr>
          <w:p w14:paraId="3372CAC3">
            <w:pPr>
              <w:keepNext w:val="0"/>
              <w:keepLines w:val="0"/>
              <w:widowControl/>
              <w:suppressLineNumbers w:val="0"/>
              <w:jc w:val="left"/>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沥青路面灌缝(四新技术)</w:t>
            </w:r>
          </w:p>
        </w:tc>
        <w:tc>
          <w:tcPr>
            <w:tcW w:w="1118" w:type="dxa"/>
            <w:noWrap w:val="0"/>
            <w:vAlign w:val="center"/>
          </w:tcPr>
          <w:p w14:paraId="7E02A798">
            <w:pPr>
              <w:keepNext w:val="0"/>
              <w:keepLines w:val="0"/>
              <w:widowControl/>
              <w:suppressLineNumbers w:val="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m</w:t>
            </w:r>
          </w:p>
        </w:tc>
      </w:tr>
      <w:tr w14:paraId="44F89F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1" w:hRule="atLeast"/>
          <w:jc w:val="center"/>
        </w:trPr>
        <w:tc>
          <w:tcPr>
            <w:tcW w:w="1168" w:type="dxa"/>
            <w:noWrap w:val="0"/>
            <w:vAlign w:val="center"/>
          </w:tcPr>
          <w:p w14:paraId="08ECDEDE">
            <w:pPr>
              <w:keepNext w:val="0"/>
              <w:keepLines w:val="0"/>
              <w:widowControl/>
              <w:suppressLineNumbers w:val="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-2</w:t>
            </w:r>
          </w:p>
        </w:tc>
        <w:tc>
          <w:tcPr>
            <w:tcW w:w="5685" w:type="dxa"/>
            <w:noWrap w:val="0"/>
            <w:vAlign w:val="center"/>
          </w:tcPr>
          <w:p w14:paraId="31158C1C">
            <w:pPr>
              <w:keepNext w:val="0"/>
              <w:keepLines w:val="0"/>
              <w:widowControl/>
              <w:suppressLineNumbers w:val="0"/>
              <w:jc w:val="left"/>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沥青路面裂缝灌缝（普通灌缝）</w:t>
            </w:r>
          </w:p>
        </w:tc>
        <w:tc>
          <w:tcPr>
            <w:tcW w:w="1118" w:type="dxa"/>
            <w:noWrap w:val="0"/>
            <w:vAlign w:val="center"/>
          </w:tcPr>
          <w:p w14:paraId="75BD2733">
            <w:pPr>
              <w:keepNext w:val="0"/>
              <w:keepLines w:val="0"/>
              <w:widowControl/>
              <w:suppressLineNumbers w:val="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m</w:t>
            </w:r>
          </w:p>
        </w:tc>
      </w:tr>
      <w:tr w14:paraId="2C9CEA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1" w:hRule="atLeast"/>
          <w:jc w:val="center"/>
        </w:trPr>
        <w:tc>
          <w:tcPr>
            <w:tcW w:w="1168" w:type="dxa"/>
            <w:noWrap w:val="0"/>
            <w:vAlign w:val="center"/>
          </w:tcPr>
          <w:p w14:paraId="1FBB554B">
            <w:pPr>
              <w:keepNext w:val="0"/>
              <w:keepLines w:val="0"/>
              <w:widowControl/>
              <w:suppressLineNumbers w:val="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304</w:t>
            </w:r>
          </w:p>
        </w:tc>
        <w:tc>
          <w:tcPr>
            <w:tcW w:w="5685" w:type="dxa"/>
            <w:noWrap w:val="0"/>
            <w:vAlign w:val="center"/>
          </w:tcPr>
          <w:p w14:paraId="4F712AD9">
            <w:pPr>
              <w:keepNext w:val="0"/>
              <w:keepLines w:val="0"/>
              <w:widowControl/>
              <w:suppressLineNumbers w:val="0"/>
              <w:jc w:val="left"/>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结构物接顺及其它路面维修</w:t>
            </w:r>
          </w:p>
        </w:tc>
        <w:tc>
          <w:tcPr>
            <w:tcW w:w="1118" w:type="dxa"/>
            <w:noWrap w:val="0"/>
            <w:vAlign w:val="center"/>
          </w:tcPr>
          <w:p w14:paraId="41FFC9E6">
            <w:pPr>
              <w:jc w:val="center"/>
              <w:rPr>
                <w:rFonts w:hint="eastAsia" w:ascii="宋体" w:hAnsi="宋体" w:cs="宋体"/>
                <w:sz w:val="21"/>
                <w:szCs w:val="21"/>
              </w:rPr>
            </w:pPr>
          </w:p>
        </w:tc>
      </w:tr>
      <w:tr w14:paraId="4453B2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1" w:hRule="atLeast"/>
          <w:jc w:val="center"/>
        </w:trPr>
        <w:tc>
          <w:tcPr>
            <w:tcW w:w="1168" w:type="dxa"/>
            <w:noWrap w:val="0"/>
            <w:vAlign w:val="center"/>
          </w:tcPr>
          <w:p w14:paraId="1B4A5836">
            <w:pPr>
              <w:keepNext w:val="0"/>
              <w:keepLines w:val="0"/>
              <w:widowControl/>
              <w:suppressLineNumbers w:val="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304-1</w:t>
            </w:r>
          </w:p>
        </w:tc>
        <w:tc>
          <w:tcPr>
            <w:tcW w:w="5685" w:type="dxa"/>
            <w:noWrap w:val="0"/>
            <w:vAlign w:val="center"/>
          </w:tcPr>
          <w:p w14:paraId="5507E9F3">
            <w:pPr>
              <w:keepNext w:val="0"/>
              <w:keepLines w:val="0"/>
              <w:widowControl/>
              <w:suppressLineNumbers w:val="0"/>
              <w:jc w:val="left"/>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碎石</w:t>
            </w:r>
          </w:p>
        </w:tc>
        <w:tc>
          <w:tcPr>
            <w:tcW w:w="1118" w:type="dxa"/>
            <w:noWrap w:val="0"/>
            <w:vAlign w:val="center"/>
          </w:tcPr>
          <w:p w14:paraId="56EB10B1">
            <w:pPr>
              <w:keepNext w:val="0"/>
              <w:keepLines w:val="0"/>
              <w:widowControl/>
              <w:suppressLineNumbers w:val="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m3</w:t>
            </w:r>
          </w:p>
        </w:tc>
      </w:tr>
      <w:tr w14:paraId="73E4AB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1" w:hRule="atLeast"/>
          <w:jc w:val="center"/>
        </w:trPr>
        <w:tc>
          <w:tcPr>
            <w:tcW w:w="1168" w:type="dxa"/>
            <w:noWrap w:val="0"/>
            <w:vAlign w:val="center"/>
          </w:tcPr>
          <w:p w14:paraId="3E3C7CB3">
            <w:pPr>
              <w:keepNext w:val="0"/>
              <w:keepLines w:val="0"/>
              <w:widowControl/>
              <w:suppressLineNumbers w:val="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304-3</w:t>
            </w:r>
          </w:p>
        </w:tc>
        <w:tc>
          <w:tcPr>
            <w:tcW w:w="5685" w:type="dxa"/>
            <w:noWrap w:val="0"/>
            <w:vAlign w:val="center"/>
          </w:tcPr>
          <w:p w14:paraId="05BB3A50">
            <w:pPr>
              <w:keepNext w:val="0"/>
              <w:keepLines w:val="0"/>
              <w:widowControl/>
              <w:suppressLineNumbers w:val="0"/>
              <w:jc w:val="left"/>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基层维修</w:t>
            </w:r>
          </w:p>
        </w:tc>
        <w:tc>
          <w:tcPr>
            <w:tcW w:w="1118" w:type="dxa"/>
            <w:noWrap w:val="0"/>
            <w:vAlign w:val="center"/>
          </w:tcPr>
          <w:p w14:paraId="0C5A3DDF">
            <w:pPr>
              <w:jc w:val="center"/>
              <w:rPr>
                <w:rFonts w:hint="eastAsia" w:ascii="宋体" w:hAnsi="宋体" w:cs="宋体"/>
                <w:sz w:val="21"/>
                <w:szCs w:val="21"/>
              </w:rPr>
            </w:pPr>
          </w:p>
        </w:tc>
      </w:tr>
      <w:tr w14:paraId="3F433F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1" w:hRule="atLeast"/>
          <w:jc w:val="center"/>
        </w:trPr>
        <w:tc>
          <w:tcPr>
            <w:tcW w:w="1168" w:type="dxa"/>
            <w:noWrap w:val="0"/>
            <w:vAlign w:val="center"/>
          </w:tcPr>
          <w:p w14:paraId="5997B56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-a</w:t>
            </w:r>
          </w:p>
        </w:tc>
        <w:tc>
          <w:tcPr>
            <w:tcW w:w="5685" w:type="dxa"/>
            <w:noWrap w:val="0"/>
            <w:vAlign w:val="center"/>
          </w:tcPr>
          <w:p w14:paraId="40394468">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5%水泥稳定碎石基层</w:t>
            </w:r>
          </w:p>
        </w:tc>
        <w:tc>
          <w:tcPr>
            <w:tcW w:w="1118" w:type="dxa"/>
            <w:noWrap w:val="0"/>
            <w:vAlign w:val="center"/>
          </w:tcPr>
          <w:p w14:paraId="65AE0CA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m3</w:t>
            </w:r>
          </w:p>
        </w:tc>
      </w:tr>
      <w:tr w14:paraId="2C560A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1" w:hRule="atLeast"/>
          <w:jc w:val="center"/>
        </w:trPr>
        <w:tc>
          <w:tcPr>
            <w:tcW w:w="1168" w:type="dxa"/>
            <w:noWrap w:val="0"/>
            <w:vAlign w:val="center"/>
          </w:tcPr>
          <w:p w14:paraId="2BBF373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-b</w:t>
            </w:r>
          </w:p>
        </w:tc>
        <w:tc>
          <w:tcPr>
            <w:tcW w:w="5685" w:type="dxa"/>
            <w:noWrap w:val="0"/>
            <w:vAlign w:val="center"/>
          </w:tcPr>
          <w:p w14:paraId="41D61E18">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C15素混凝土基层</w:t>
            </w:r>
          </w:p>
        </w:tc>
        <w:tc>
          <w:tcPr>
            <w:tcW w:w="1118" w:type="dxa"/>
            <w:noWrap w:val="0"/>
            <w:vAlign w:val="center"/>
          </w:tcPr>
          <w:p w14:paraId="491467B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m3</w:t>
            </w:r>
          </w:p>
        </w:tc>
      </w:tr>
      <w:tr w14:paraId="6DC097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1" w:hRule="atLeast"/>
          <w:jc w:val="center"/>
        </w:trPr>
        <w:tc>
          <w:tcPr>
            <w:tcW w:w="1168" w:type="dxa"/>
            <w:noWrap w:val="0"/>
            <w:vAlign w:val="center"/>
          </w:tcPr>
          <w:p w14:paraId="69B390B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304-5</w:t>
            </w:r>
          </w:p>
        </w:tc>
        <w:tc>
          <w:tcPr>
            <w:tcW w:w="5685" w:type="dxa"/>
            <w:noWrap w:val="0"/>
            <w:vAlign w:val="center"/>
          </w:tcPr>
          <w:p w14:paraId="0896FF92">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其他路面维修</w:t>
            </w:r>
          </w:p>
        </w:tc>
        <w:tc>
          <w:tcPr>
            <w:tcW w:w="1118" w:type="dxa"/>
            <w:noWrap w:val="0"/>
            <w:vAlign w:val="center"/>
          </w:tcPr>
          <w:p w14:paraId="6EE4E17A">
            <w:pPr>
              <w:jc w:val="center"/>
              <w:rPr>
                <w:rFonts w:hint="eastAsia" w:ascii="宋体" w:hAnsi="宋体" w:eastAsia="宋体" w:cs="宋体"/>
                <w:i w:val="0"/>
                <w:iCs w:val="0"/>
                <w:color w:val="000000"/>
                <w:kern w:val="0"/>
                <w:sz w:val="21"/>
                <w:szCs w:val="21"/>
                <w:u w:val="none"/>
                <w:lang w:val="en-US" w:eastAsia="zh-CN" w:bidi="ar"/>
              </w:rPr>
            </w:pPr>
          </w:p>
        </w:tc>
      </w:tr>
      <w:tr w14:paraId="52DDB1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1" w:hRule="atLeast"/>
          <w:jc w:val="center"/>
        </w:trPr>
        <w:tc>
          <w:tcPr>
            <w:tcW w:w="1168" w:type="dxa"/>
            <w:noWrap w:val="0"/>
            <w:vAlign w:val="center"/>
          </w:tcPr>
          <w:p w14:paraId="601E782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-a</w:t>
            </w:r>
          </w:p>
        </w:tc>
        <w:tc>
          <w:tcPr>
            <w:tcW w:w="5685" w:type="dxa"/>
            <w:noWrap w:val="0"/>
            <w:vAlign w:val="center"/>
          </w:tcPr>
          <w:p w14:paraId="4BC0CBFE">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人行道彩砖维修</w:t>
            </w:r>
          </w:p>
        </w:tc>
        <w:tc>
          <w:tcPr>
            <w:tcW w:w="1118" w:type="dxa"/>
            <w:noWrap w:val="0"/>
            <w:vAlign w:val="center"/>
          </w:tcPr>
          <w:p w14:paraId="1B91C33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m2</w:t>
            </w:r>
          </w:p>
        </w:tc>
      </w:tr>
    </w:tbl>
    <w:p w14:paraId="195F7DD1">
      <w:pPr>
        <w:spacing w:line="420" w:lineRule="exact"/>
        <w:rPr>
          <w:rFonts w:ascii="宋体" w:hAnsi="宋体"/>
          <w:b/>
          <w:color w:val="auto"/>
          <w:szCs w:val="21"/>
          <w:highlight w:val="none"/>
        </w:rPr>
      </w:pPr>
      <w:r>
        <w:rPr>
          <w:rFonts w:hint="eastAsia" w:ascii="宋体" w:hAnsi="宋体"/>
          <w:b/>
          <w:color w:val="auto"/>
          <w:szCs w:val="21"/>
          <w:highlight w:val="none"/>
        </w:rPr>
        <w:t>补充：302.0</w:t>
      </w:r>
      <w:r>
        <w:rPr>
          <w:rFonts w:hint="eastAsia" w:ascii="宋体" w:hAnsi="宋体"/>
          <w:b/>
          <w:color w:val="auto"/>
          <w:szCs w:val="21"/>
          <w:highlight w:val="none"/>
          <w:lang w:val="en-US" w:eastAsia="zh-CN"/>
        </w:rPr>
        <w:t>7</w:t>
      </w:r>
      <w:r>
        <w:rPr>
          <w:rFonts w:hint="eastAsia" w:ascii="宋体" w:hAnsi="宋体"/>
          <w:b/>
          <w:color w:val="auto"/>
          <w:szCs w:val="21"/>
          <w:highlight w:val="none"/>
        </w:rPr>
        <w:t>节 沥青灌封胶技术标准</w:t>
      </w:r>
    </w:p>
    <w:tbl>
      <w:tblPr>
        <w:tblStyle w:val="51"/>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79"/>
        <w:gridCol w:w="3803"/>
        <w:gridCol w:w="1830"/>
      </w:tblGrid>
      <w:tr w14:paraId="62D54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exact"/>
        </w:trPr>
        <w:tc>
          <w:tcPr>
            <w:tcW w:w="3379" w:type="dxa"/>
            <w:noWrap w:val="0"/>
            <w:vAlign w:val="top"/>
          </w:tcPr>
          <w:p w14:paraId="6C81B8B5">
            <w:pPr>
              <w:spacing w:line="420" w:lineRule="exact"/>
              <w:jc w:val="center"/>
              <w:rPr>
                <w:rFonts w:ascii="宋体" w:hAnsi="宋体"/>
                <w:color w:val="auto"/>
                <w:szCs w:val="21"/>
                <w:highlight w:val="none"/>
              </w:rPr>
            </w:pPr>
            <w:r>
              <w:rPr>
                <w:rFonts w:hint="eastAsia" w:ascii="宋体" w:hAnsi="宋体"/>
                <w:color w:val="auto"/>
                <w:highlight w:val="none"/>
              </w:rPr>
              <w:t>评价指标</w:t>
            </w:r>
          </w:p>
        </w:tc>
        <w:tc>
          <w:tcPr>
            <w:tcW w:w="3803" w:type="dxa"/>
            <w:noWrap w:val="0"/>
            <w:vAlign w:val="top"/>
          </w:tcPr>
          <w:p w14:paraId="5CA0FB7D">
            <w:pPr>
              <w:spacing w:line="420" w:lineRule="exact"/>
              <w:jc w:val="center"/>
              <w:rPr>
                <w:rFonts w:ascii="宋体" w:hAnsi="宋体"/>
                <w:color w:val="auto"/>
                <w:szCs w:val="21"/>
                <w:highlight w:val="none"/>
              </w:rPr>
            </w:pPr>
            <w:r>
              <w:rPr>
                <w:rFonts w:hint="eastAsia" w:ascii="宋体" w:hAnsi="宋体"/>
                <w:color w:val="auto"/>
                <w:szCs w:val="21"/>
                <w:highlight w:val="none"/>
              </w:rPr>
              <w:t>技术要求</w:t>
            </w:r>
          </w:p>
        </w:tc>
        <w:tc>
          <w:tcPr>
            <w:tcW w:w="1830" w:type="dxa"/>
            <w:noWrap w:val="0"/>
            <w:vAlign w:val="top"/>
          </w:tcPr>
          <w:p w14:paraId="08B4FA07">
            <w:pPr>
              <w:spacing w:line="420" w:lineRule="exact"/>
              <w:jc w:val="center"/>
              <w:rPr>
                <w:rFonts w:ascii="宋体" w:hAnsi="宋体"/>
                <w:color w:val="auto"/>
                <w:szCs w:val="21"/>
                <w:highlight w:val="none"/>
              </w:rPr>
            </w:pPr>
            <w:r>
              <w:rPr>
                <w:rFonts w:hint="eastAsia" w:ascii="宋体" w:hAnsi="宋体"/>
                <w:color w:val="auto"/>
                <w:szCs w:val="21"/>
                <w:highlight w:val="none"/>
              </w:rPr>
              <w:t>备注</w:t>
            </w:r>
          </w:p>
        </w:tc>
      </w:tr>
      <w:tr w14:paraId="41B02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exact"/>
        </w:trPr>
        <w:tc>
          <w:tcPr>
            <w:tcW w:w="3379" w:type="dxa"/>
            <w:noWrap w:val="0"/>
            <w:vAlign w:val="center"/>
          </w:tcPr>
          <w:p w14:paraId="37537EA2">
            <w:pPr>
              <w:spacing w:line="420" w:lineRule="exact"/>
              <w:jc w:val="center"/>
              <w:rPr>
                <w:rFonts w:ascii="宋体" w:hAnsi="宋体"/>
                <w:color w:val="auto"/>
                <w:szCs w:val="21"/>
                <w:highlight w:val="none"/>
              </w:rPr>
            </w:pPr>
            <w:r>
              <w:rPr>
                <w:rFonts w:hint="eastAsia" w:ascii="宋体" w:hAnsi="宋体"/>
                <w:color w:val="auto"/>
                <w:highlight w:val="none"/>
              </w:rPr>
              <w:t>低温拉伸</w:t>
            </w:r>
          </w:p>
        </w:tc>
        <w:tc>
          <w:tcPr>
            <w:tcW w:w="3803" w:type="dxa"/>
            <w:noWrap w:val="0"/>
            <w:vAlign w:val="center"/>
          </w:tcPr>
          <w:p w14:paraId="720837F0">
            <w:pPr>
              <w:spacing w:line="420" w:lineRule="exact"/>
              <w:jc w:val="center"/>
              <w:rPr>
                <w:rFonts w:ascii="宋体" w:hAnsi="宋体"/>
                <w:color w:val="auto"/>
                <w:szCs w:val="21"/>
                <w:highlight w:val="none"/>
              </w:rPr>
            </w:pPr>
            <w:r>
              <w:rPr>
                <w:rFonts w:hint="eastAsia" w:ascii="宋体" w:hAnsi="宋体"/>
                <w:color w:val="auto"/>
                <w:szCs w:val="21"/>
                <w:highlight w:val="none"/>
              </w:rPr>
              <w:t>-10</w:t>
            </w:r>
            <w:r>
              <w:rPr>
                <w:rFonts w:hint="eastAsia" w:ascii="宋体" w:hAnsi="宋体"/>
                <w:color w:val="auto"/>
                <w:highlight w:val="none"/>
              </w:rPr>
              <w:t>℃</w:t>
            </w:r>
          </w:p>
        </w:tc>
        <w:tc>
          <w:tcPr>
            <w:tcW w:w="1830" w:type="dxa"/>
            <w:vMerge w:val="restart"/>
            <w:noWrap w:val="0"/>
            <w:vAlign w:val="center"/>
          </w:tcPr>
          <w:p w14:paraId="5E24F9C2">
            <w:pPr>
              <w:spacing w:line="420" w:lineRule="exact"/>
              <w:jc w:val="center"/>
              <w:rPr>
                <w:rFonts w:ascii="宋体" w:hAnsi="宋体"/>
                <w:color w:val="auto"/>
                <w:szCs w:val="21"/>
                <w:highlight w:val="none"/>
              </w:rPr>
            </w:pPr>
            <w:r>
              <w:rPr>
                <w:rFonts w:hint="eastAsia" w:ascii="宋体" w:hAnsi="宋体"/>
                <w:color w:val="auto"/>
                <w:szCs w:val="21"/>
                <w:highlight w:val="none"/>
              </w:rPr>
              <w:t>通过</w:t>
            </w:r>
          </w:p>
        </w:tc>
      </w:tr>
      <w:tr w14:paraId="1F173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exact"/>
        </w:trPr>
        <w:tc>
          <w:tcPr>
            <w:tcW w:w="3379" w:type="dxa"/>
            <w:noWrap w:val="0"/>
            <w:vAlign w:val="center"/>
          </w:tcPr>
          <w:p w14:paraId="25C66F09">
            <w:pPr>
              <w:spacing w:line="420" w:lineRule="exact"/>
              <w:jc w:val="center"/>
              <w:rPr>
                <w:rFonts w:ascii="宋体" w:hAnsi="宋体"/>
                <w:color w:val="auto"/>
                <w:highlight w:val="none"/>
              </w:rPr>
            </w:pPr>
            <w:r>
              <w:rPr>
                <w:rFonts w:hint="eastAsia" w:ascii="宋体" w:hAnsi="宋体"/>
                <w:color w:val="auto"/>
                <w:highlight w:val="none"/>
              </w:rPr>
              <w:t>低温拉伸</w:t>
            </w:r>
          </w:p>
        </w:tc>
        <w:tc>
          <w:tcPr>
            <w:tcW w:w="3803" w:type="dxa"/>
            <w:noWrap w:val="0"/>
            <w:vAlign w:val="center"/>
          </w:tcPr>
          <w:p w14:paraId="2BE43DC1">
            <w:pPr>
              <w:spacing w:line="420" w:lineRule="exact"/>
              <w:jc w:val="center"/>
              <w:rPr>
                <w:rFonts w:ascii="宋体" w:hAnsi="宋体"/>
                <w:color w:val="auto"/>
                <w:szCs w:val="21"/>
                <w:highlight w:val="none"/>
              </w:rPr>
            </w:pPr>
            <w:r>
              <w:rPr>
                <w:rFonts w:hint="eastAsia" w:ascii="宋体" w:hAnsi="宋体"/>
                <w:color w:val="auto"/>
                <w:szCs w:val="21"/>
                <w:highlight w:val="none"/>
              </w:rPr>
              <w:t>-20</w:t>
            </w:r>
            <w:r>
              <w:rPr>
                <w:rFonts w:hint="eastAsia" w:ascii="宋体" w:hAnsi="宋体"/>
                <w:color w:val="auto"/>
                <w:highlight w:val="none"/>
              </w:rPr>
              <w:t>℃</w:t>
            </w:r>
          </w:p>
        </w:tc>
        <w:tc>
          <w:tcPr>
            <w:tcW w:w="1830" w:type="dxa"/>
            <w:vMerge w:val="continue"/>
            <w:noWrap w:val="0"/>
            <w:vAlign w:val="center"/>
          </w:tcPr>
          <w:p w14:paraId="62678660">
            <w:pPr>
              <w:spacing w:line="420" w:lineRule="exact"/>
              <w:jc w:val="center"/>
              <w:rPr>
                <w:rFonts w:ascii="宋体" w:hAnsi="宋体"/>
                <w:color w:val="auto"/>
                <w:szCs w:val="21"/>
                <w:highlight w:val="none"/>
              </w:rPr>
            </w:pPr>
          </w:p>
        </w:tc>
      </w:tr>
      <w:tr w14:paraId="5429B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exact"/>
        </w:trPr>
        <w:tc>
          <w:tcPr>
            <w:tcW w:w="3379" w:type="dxa"/>
            <w:noWrap w:val="0"/>
            <w:vAlign w:val="center"/>
          </w:tcPr>
          <w:p w14:paraId="31644D9D">
            <w:pPr>
              <w:spacing w:line="420" w:lineRule="exact"/>
              <w:jc w:val="center"/>
              <w:rPr>
                <w:rFonts w:ascii="宋体" w:hAnsi="宋体"/>
                <w:color w:val="auto"/>
                <w:highlight w:val="none"/>
              </w:rPr>
            </w:pPr>
            <w:r>
              <w:rPr>
                <w:rFonts w:hint="eastAsia" w:ascii="宋体" w:hAnsi="宋体"/>
                <w:color w:val="auto"/>
                <w:highlight w:val="none"/>
              </w:rPr>
              <w:t>低温拉伸</w:t>
            </w:r>
          </w:p>
        </w:tc>
        <w:tc>
          <w:tcPr>
            <w:tcW w:w="3803" w:type="dxa"/>
            <w:noWrap w:val="0"/>
            <w:vAlign w:val="center"/>
          </w:tcPr>
          <w:p w14:paraId="4EDBB70B">
            <w:pPr>
              <w:spacing w:line="420" w:lineRule="exact"/>
              <w:jc w:val="center"/>
              <w:rPr>
                <w:rFonts w:ascii="宋体" w:hAnsi="宋体"/>
                <w:color w:val="auto"/>
                <w:szCs w:val="21"/>
                <w:highlight w:val="none"/>
              </w:rPr>
            </w:pPr>
            <w:r>
              <w:rPr>
                <w:rFonts w:hint="eastAsia" w:ascii="宋体" w:hAnsi="宋体"/>
                <w:color w:val="auto"/>
                <w:szCs w:val="21"/>
                <w:highlight w:val="none"/>
              </w:rPr>
              <w:t>-30</w:t>
            </w:r>
            <w:r>
              <w:rPr>
                <w:rFonts w:hint="eastAsia" w:ascii="宋体" w:hAnsi="宋体"/>
                <w:color w:val="auto"/>
                <w:highlight w:val="none"/>
              </w:rPr>
              <w:t>℃</w:t>
            </w:r>
          </w:p>
        </w:tc>
        <w:tc>
          <w:tcPr>
            <w:tcW w:w="1830" w:type="dxa"/>
            <w:vMerge w:val="continue"/>
            <w:noWrap w:val="0"/>
            <w:vAlign w:val="center"/>
          </w:tcPr>
          <w:p w14:paraId="6341DBE9">
            <w:pPr>
              <w:spacing w:line="420" w:lineRule="exact"/>
              <w:jc w:val="center"/>
              <w:rPr>
                <w:rFonts w:ascii="宋体" w:hAnsi="宋体"/>
                <w:color w:val="auto"/>
                <w:szCs w:val="21"/>
                <w:highlight w:val="none"/>
              </w:rPr>
            </w:pPr>
          </w:p>
        </w:tc>
      </w:tr>
      <w:tr w14:paraId="7DD6E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exact"/>
        </w:trPr>
        <w:tc>
          <w:tcPr>
            <w:tcW w:w="3379" w:type="dxa"/>
            <w:noWrap w:val="0"/>
            <w:vAlign w:val="center"/>
          </w:tcPr>
          <w:p w14:paraId="5794217B">
            <w:pPr>
              <w:spacing w:line="420" w:lineRule="exact"/>
              <w:jc w:val="center"/>
              <w:rPr>
                <w:rFonts w:ascii="宋体" w:hAnsi="宋体"/>
                <w:color w:val="auto"/>
                <w:highlight w:val="none"/>
              </w:rPr>
            </w:pPr>
            <w:r>
              <w:rPr>
                <w:rFonts w:hint="eastAsia" w:ascii="宋体" w:hAnsi="宋体"/>
                <w:color w:val="auto"/>
                <w:highlight w:val="none"/>
              </w:rPr>
              <w:t>锥入度（0.1mm）</w:t>
            </w:r>
          </w:p>
        </w:tc>
        <w:tc>
          <w:tcPr>
            <w:tcW w:w="3803" w:type="dxa"/>
            <w:noWrap w:val="0"/>
            <w:vAlign w:val="center"/>
          </w:tcPr>
          <w:p w14:paraId="297AFF8B">
            <w:pPr>
              <w:spacing w:line="420" w:lineRule="exact"/>
              <w:jc w:val="center"/>
              <w:rPr>
                <w:rFonts w:ascii="宋体" w:hAnsi="宋体"/>
                <w:color w:val="auto"/>
                <w:szCs w:val="21"/>
                <w:highlight w:val="none"/>
              </w:rPr>
            </w:pPr>
            <w:r>
              <w:rPr>
                <w:rFonts w:hint="eastAsia" w:ascii="宋体" w:hAnsi="宋体"/>
                <w:color w:val="auto"/>
                <w:szCs w:val="21"/>
                <w:highlight w:val="none"/>
              </w:rPr>
              <w:t>30～70</w:t>
            </w:r>
          </w:p>
        </w:tc>
        <w:tc>
          <w:tcPr>
            <w:tcW w:w="1830" w:type="dxa"/>
            <w:noWrap w:val="0"/>
            <w:vAlign w:val="center"/>
          </w:tcPr>
          <w:p w14:paraId="43B29A9F">
            <w:pPr>
              <w:spacing w:line="420" w:lineRule="exact"/>
              <w:jc w:val="center"/>
              <w:rPr>
                <w:rFonts w:ascii="宋体" w:hAnsi="宋体"/>
                <w:color w:val="auto"/>
                <w:szCs w:val="21"/>
                <w:highlight w:val="none"/>
              </w:rPr>
            </w:pPr>
          </w:p>
        </w:tc>
      </w:tr>
      <w:tr w14:paraId="28148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exact"/>
        </w:trPr>
        <w:tc>
          <w:tcPr>
            <w:tcW w:w="3379" w:type="dxa"/>
            <w:noWrap w:val="0"/>
            <w:vAlign w:val="center"/>
          </w:tcPr>
          <w:p w14:paraId="38DB265A">
            <w:pPr>
              <w:spacing w:line="420" w:lineRule="exact"/>
              <w:jc w:val="center"/>
              <w:rPr>
                <w:rFonts w:ascii="宋体" w:hAnsi="宋体"/>
                <w:color w:val="auto"/>
                <w:highlight w:val="none"/>
              </w:rPr>
            </w:pPr>
            <w:r>
              <w:rPr>
                <w:rFonts w:hint="eastAsia" w:ascii="宋体" w:hAnsi="宋体"/>
                <w:color w:val="auto"/>
                <w:highlight w:val="none"/>
              </w:rPr>
              <w:t>软化点（℃）</w:t>
            </w:r>
          </w:p>
        </w:tc>
        <w:tc>
          <w:tcPr>
            <w:tcW w:w="3803" w:type="dxa"/>
            <w:noWrap w:val="0"/>
            <w:vAlign w:val="center"/>
          </w:tcPr>
          <w:p w14:paraId="5B1B0F4A">
            <w:pPr>
              <w:spacing w:line="420" w:lineRule="exact"/>
              <w:jc w:val="center"/>
              <w:rPr>
                <w:rFonts w:ascii="宋体" w:hAnsi="宋体"/>
                <w:color w:val="auto"/>
                <w:szCs w:val="21"/>
                <w:highlight w:val="none"/>
              </w:rPr>
            </w:pPr>
            <w:r>
              <w:rPr>
                <w:rFonts w:hint="eastAsia" w:ascii="宋体" w:hAnsi="宋体"/>
                <w:color w:val="auto"/>
                <w:highlight w:val="none"/>
              </w:rPr>
              <w:t>≥80</w:t>
            </w:r>
          </w:p>
        </w:tc>
        <w:tc>
          <w:tcPr>
            <w:tcW w:w="1830" w:type="dxa"/>
            <w:noWrap w:val="0"/>
            <w:vAlign w:val="center"/>
          </w:tcPr>
          <w:p w14:paraId="04ED1EEE">
            <w:pPr>
              <w:spacing w:line="420" w:lineRule="exact"/>
              <w:jc w:val="center"/>
              <w:rPr>
                <w:rFonts w:ascii="宋体" w:hAnsi="宋体"/>
                <w:color w:val="auto"/>
                <w:szCs w:val="21"/>
                <w:highlight w:val="none"/>
              </w:rPr>
            </w:pPr>
          </w:p>
        </w:tc>
      </w:tr>
      <w:tr w14:paraId="51003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exact"/>
        </w:trPr>
        <w:tc>
          <w:tcPr>
            <w:tcW w:w="3379" w:type="dxa"/>
            <w:noWrap w:val="0"/>
            <w:vAlign w:val="center"/>
          </w:tcPr>
          <w:p w14:paraId="2694B984">
            <w:pPr>
              <w:spacing w:line="420" w:lineRule="exact"/>
              <w:jc w:val="center"/>
              <w:rPr>
                <w:rFonts w:ascii="宋体" w:hAnsi="宋体"/>
                <w:color w:val="auto"/>
                <w:highlight w:val="none"/>
              </w:rPr>
            </w:pPr>
            <w:r>
              <w:rPr>
                <w:rFonts w:hint="eastAsia" w:ascii="宋体" w:hAnsi="宋体"/>
                <w:color w:val="auto"/>
                <w:highlight w:val="none"/>
              </w:rPr>
              <w:t>流动值（mm）</w:t>
            </w:r>
          </w:p>
        </w:tc>
        <w:tc>
          <w:tcPr>
            <w:tcW w:w="3803" w:type="dxa"/>
            <w:noWrap w:val="0"/>
            <w:vAlign w:val="center"/>
          </w:tcPr>
          <w:p w14:paraId="346E8158">
            <w:pPr>
              <w:spacing w:line="420" w:lineRule="exact"/>
              <w:jc w:val="center"/>
              <w:rPr>
                <w:rFonts w:ascii="宋体" w:hAnsi="宋体"/>
                <w:color w:val="auto"/>
                <w:highlight w:val="none"/>
              </w:rPr>
            </w:pPr>
            <w:r>
              <w:rPr>
                <w:rFonts w:hint="eastAsia" w:ascii="宋体" w:hAnsi="宋体"/>
                <w:color w:val="auto"/>
                <w:highlight w:val="none"/>
              </w:rPr>
              <w:t>≤5</w:t>
            </w:r>
          </w:p>
        </w:tc>
        <w:tc>
          <w:tcPr>
            <w:tcW w:w="1830" w:type="dxa"/>
            <w:noWrap w:val="0"/>
            <w:vAlign w:val="center"/>
          </w:tcPr>
          <w:p w14:paraId="0E6120DD">
            <w:pPr>
              <w:spacing w:line="420" w:lineRule="exact"/>
              <w:jc w:val="center"/>
              <w:rPr>
                <w:rFonts w:ascii="宋体" w:hAnsi="宋体"/>
                <w:color w:val="auto"/>
                <w:szCs w:val="21"/>
                <w:highlight w:val="none"/>
              </w:rPr>
            </w:pPr>
          </w:p>
        </w:tc>
      </w:tr>
      <w:tr w14:paraId="4E5ED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exact"/>
        </w:trPr>
        <w:tc>
          <w:tcPr>
            <w:tcW w:w="3379" w:type="dxa"/>
            <w:noWrap w:val="0"/>
            <w:vAlign w:val="center"/>
          </w:tcPr>
          <w:p w14:paraId="17E0DE8D">
            <w:pPr>
              <w:spacing w:line="420" w:lineRule="exact"/>
              <w:jc w:val="center"/>
              <w:rPr>
                <w:rFonts w:ascii="宋体" w:hAnsi="宋体"/>
                <w:color w:val="auto"/>
                <w:highlight w:val="none"/>
              </w:rPr>
            </w:pPr>
            <w:r>
              <w:rPr>
                <w:rFonts w:hint="eastAsia" w:ascii="宋体" w:hAnsi="宋体"/>
                <w:color w:val="auto"/>
                <w:highlight w:val="none"/>
              </w:rPr>
              <w:t>弹性恢复（%）</w:t>
            </w:r>
          </w:p>
        </w:tc>
        <w:tc>
          <w:tcPr>
            <w:tcW w:w="3803" w:type="dxa"/>
            <w:noWrap w:val="0"/>
            <w:vAlign w:val="center"/>
          </w:tcPr>
          <w:p w14:paraId="4159EDF6">
            <w:pPr>
              <w:spacing w:line="420" w:lineRule="exact"/>
              <w:jc w:val="center"/>
              <w:rPr>
                <w:rFonts w:ascii="宋体" w:hAnsi="宋体"/>
                <w:color w:val="auto"/>
                <w:highlight w:val="none"/>
              </w:rPr>
            </w:pPr>
            <w:r>
              <w:rPr>
                <w:rFonts w:hint="eastAsia" w:ascii="宋体" w:hAnsi="宋体"/>
                <w:color w:val="auto"/>
                <w:highlight w:val="none"/>
              </w:rPr>
              <w:t>30-70</w:t>
            </w:r>
          </w:p>
        </w:tc>
        <w:tc>
          <w:tcPr>
            <w:tcW w:w="1830" w:type="dxa"/>
            <w:noWrap w:val="0"/>
            <w:vAlign w:val="center"/>
          </w:tcPr>
          <w:p w14:paraId="26956F26">
            <w:pPr>
              <w:spacing w:line="420" w:lineRule="exact"/>
              <w:jc w:val="center"/>
              <w:rPr>
                <w:rFonts w:ascii="宋体" w:hAnsi="宋体"/>
                <w:color w:val="auto"/>
                <w:szCs w:val="21"/>
                <w:highlight w:val="none"/>
              </w:rPr>
            </w:pPr>
          </w:p>
        </w:tc>
      </w:tr>
      <w:tr w14:paraId="1DFAA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exact"/>
        </w:trPr>
        <w:tc>
          <w:tcPr>
            <w:tcW w:w="9012" w:type="dxa"/>
            <w:gridSpan w:val="3"/>
            <w:noWrap w:val="0"/>
            <w:vAlign w:val="center"/>
          </w:tcPr>
          <w:p w14:paraId="31C3D678">
            <w:pPr>
              <w:spacing w:line="420" w:lineRule="exact"/>
              <w:rPr>
                <w:rFonts w:ascii="宋体" w:hAnsi="宋体"/>
                <w:color w:val="auto"/>
                <w:szCs w:val="21"/>
                <w:highlight w:val="none"/>
              </w:rPr>
            </w:pPr>
            <w:r>
              <w:rPr>
                <w:rFonts w:hint="eastAsia" w:ascii="宋体" w:hAnsi="宋体"/>
                <w:color w:val="auto"/>
                <w:szCs w:val="21"/>
                <w:highlight w:val="none"/>
              </w:rPr>
              <w:t>检验依据：路面橡胶沥青灌封胶（JT/T740-2015）</w:t>
            </w:r>
          </w:p>
        </w:tc>
      </w:tr>
    </w:tbl>
    <w:p w14:paraId="002C9995">
      <w:pPr>
        <w:spacing w:line="276" w:lineRule="auto"/>
        <w:rPr>
          <w:rFonts w:hint="eastAsia" w:ascii="宋体" w:hAnsi="宋体"/>
          <w:b/>
          <w:color w:val="auto"/>
          <w:sz w:val="22"/>
          <w:szCs w:val="22"/>
          <w:highlight w:val="none"/>
        </w:rPr>
      </w:pPr>
      <w:r>
        <w:rPr>
          <w:rFonts w:hint="eastAsia" w:ascii="宋体" w:hAnsi="宋体"/>
          <w:b/>
          <w:color w:val="auto"/>
          <w:sz w:val="22"/>
          <w:szCs w:val="22"/>
          <w:highlight w:val="none"/>
        </w:rPr>
        <w:t>注：本工程路面橡胶沥青灌封胶的技术指标应符合交通部发布的《路面橡胶沥青灌封胶》（JT/T740-2015）中普通型的标准，且灌封胶的标志、包装、运输和储存也符合《路面橡胶沥青灌封胶》（JT/T740-2015）的规定执行。施工单位在施工前向招标人提供沥青灌封胶性能检验报告（含SBS合成橡胶的检测），该报告应由专业检测单位出具。</w:t>
      </w:r>
    </w:p>
    <w:p w14:paraId="568681A8">
      <w:pPr>
        <w:suppressAutoHyphens/>
        <w:spacing w:line="560" w:lineRule="exact"/>
        <w:ind w:firstLine="422" w:firstLineChars="200"/>
        <w:rPr>
          <w:rFonts w:ascii="宋体" w:hAnsi="宋体"/>
          <w:b/>
          <w:color w:val="auto"/>
          <w:szCs w:val="21"/>
          <w:highlight w:val="none"/>
        </w:rPr>
      </w:pPr>
      <w:r>
        <w:rPr>
          <w:rFonts w:ascii="宋体" w:hAnsi="宋体"/>
          <w:b/>
          <w:color w:val="auto"/>
          <w:szCs w:val="21"/>
          <w:highlight w:val="none"/>
        </w:rPr>
        <w:t>沥青</w:t>
      </w:r>
      <w:r>
        <w:rPr>
          <w:rFonts w:hint="eastAsia" w:ascii="宋体" w:hAnsi="宋体"/>
          <w:b/>
          <w:color w:val="auto"/>
          <w:szCs w:val="21"/>
          <w:highlight w:val="none"/>
        </w:rPr>
        <w:t>路面</w:t>
      </w:r>
      <w:r>
        <w:rPr>
          <w:rFonts w:ascii="宋体" w:hAnsi="宋体"/>
          <w:b/>
          <w:color w:val="auto"/>
          <w:szCs w:val="21"/>
          <w:highlight w:val="none"/>
        </w:rPr>
        <w:t>柔性修复</w:t>
      </w:r>
      <w:r>
        <w:rPr>
          <w:rFonts w:hint="eastAsia" w:ascii="宋体" w:hAnsi="宋体"/>
          <w:b/>
          <w:color w:val="auto"/>
          <w:szCs w:val="21"/>
          <w:highlight w:val="none"/>
        </w:rPr>
        <w:t>料灌缝</w:t>
      </w:r>
    </w:p>
    <w:p w14:paraId="1DB979BE">
      <w:pPr>
        <w:spacing w:line="440" w:lineRule="exact"/>
        <w:ind w:firstLine="525" w:firstLineChars="250"/>
        <w:rPr>
          <w:rFonts w:ascii="宋体" w:hAnsi="宋体"/>
          <w:color w:val="auto"/>
          <w:szCs w:val="21"/>
          <w:highlight w:val="none"/>
        </w:rPr>
      </w:pPr>
      <w:r>
        <w:rPr>
          <w:rFonts w:ascii="宋体" w:hAnsi="宋体"/>
          <w:color w:val="auto"/>
          <w:szCs w:val="21"/>
          <w:highlight w:val="none"/>
        </w:rPr>
        <w:t>沥青路面柔性修复</w:t>
      </w:r>
      <w:r>
        <w:rPr>
          <w:rFonts w:hint="eastAsia" w:ascii="宋体" w:hAnsi="宋体"/>
          <w:color w:val="auto"/>
          <w:szCs w:val="21"/>
          <w:highlight w:val="none"/>
        </w:rPr>
        <w:t>料灌缝起到粘结裂缝两侧立面，吸收内应力以适应位移量变化的作用，并有封水的效果。</w:t>
      </w:r>
    </w:p>
    <w:p w14:paraId="4FF996F2">
      <w:pPr>
        <w:spacing w:line="440" w:lineRule="exact"/>
        <w:ind w:firstLine="525" w:firstLineChars="250"/>
        <w:rPr>
          <w:rFonts w:ascii="宋体" w:hAnsi="宋体"/>
          <w:color w:val="auto"/>
          <w:szCs w:val="21"/>
          <w:highlight w:val="none"/>
        </w:rPr>
      </w:pPr>
      <w:r>
        <w:rPr>
          <w:rFonts w:hint="eastAsia" w:ascii="宋体" w:hAnsi="宋体"/>
          <w:color w:val="auto"/>
          <w:szCs w:val="21"/>
          <w:highlight w:val="none"/>
        </w:rPr>
        <w:t>（1）施工要求：将路面病害切开一定的宽度和深度的槽口，喷涂预处理剂，清理缝内杂物及松散老化的碎料，并需保证作业面干燥。</w:t>
      </w:r>
    </w:p>
    <w:p w14:paraId="343C1B86">
      <w:pPr>
        <w:spacing w:line="440" w:lineRule="exact"/>
        <w:ind w:firstLine="525" w:firstLineChars="250"/>
        <w:rPr>
          <w:rFonts w:ascii="宋体" w:hAnsi="宋体"/>
          <w:color w:val="auto"/>
          <w:szCs w:val="21"/>
          <w:highlight w:val="none"/>
        </w:rPr>
      </w:pPr>
      <w:r>
        <w:rPr>
          <w:rFonts w:hint="eastAsia" w:ascii="宋体" w:hAnsi="宋体"/>
          <w:color w:val="auto"/>
          <w:szCs w:val="21"/>
          <w:highlight w:val="none"/>
        </w:rPr>
        <w:t>（2）技术指标：</w:t>
      </w:r>
    </w:p>
    <w:p w14:paraId="310A56A3">
      <w:pPr>
        <w:tabs>
          <w:tab w:val="left" w:pos="0"/>
        </w:tabs>
        <w:suppressAutoHyphens/>
        <w:adjustRightInd w:val="0"/>
        <w:snapToGrid w:val="0"/>
        <w:spacing w:line="600" w:lineRule="exact"/>
        <w:jc w:val="center"/>
        <w:outlineLvl w:val="0"/>
        <w:rPr>
          <w:rFonts w:ascii="宋体" w:hAnsi="宋体" w:cs="宋体-方正超大字符集"/>
          <w:b/>
          <w:color w:val="auto"/>
          <w:sz w:val="24"/>
          <w:highlight w:val="none"/>
        </w:rPr>
      </w:pPr>
      <w:r>
        <w:rPr>
          <w:rFonts w:hint="eastAsia" w:ascii="宋体" w:hAnsi="宋体" w:cs="宋体-方正超大字符集"/>
          <w:b/>
          <w:color w:val="auto"/>
          <w:sz w:val="24"/>
          <w:highlight w:val="none"/>
        </w:rPr>
        <w:t>预处理剂的技术指标</w:t>
      </w:r>
    </w:p>
    <w:tbl>
      <w:tblPr>
        <w:tblStyle w:val="51"/>
        <w:tblW w:w="5000" w:type="pct"/>
        <w:jc w:val="center"/>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autofit"/>
        <w:tblCellMar>
          <w:top w:w="0" w:type="dxa"/>
          <w:left w:w="108" w:type="dxa"/>
          <w:bottom w:w="0" w:type="dxa"/>
          <w:right w:w="108" w:type="dxa"/>
        </w:tblCellMar>
      </w:tblPr>
      <w:tblGrid>
        <w:gridCol w:w="3322"/>
        <w:gridCol w:w="1588"/>
        <w:gridCol w:w="1939"/>
        <w:gridCol w:w="1917"/>
      </w:tblGrid>
      <w:tr w14:paraId="27734F00">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00" w:hRule="atLeast"/>
          <w:jc w:val="center"/>
        </w:trPr>
        <w:tc>
          <w:tcPr>
            <w:tcW w:w="1895" w:type="pct"/>
            <w:noWrap w:val="0"/>
            <w:vAlign w:val="center"/>
          </w:tcPr>
          <w:p w14:paraId="76C8AA0F">
            <w:pPr>
              <w:jc w:val="center"/>
              <w:rPr>
                <w:rFonts w:ascii="宋体" w:hAnsi="宋体" w:cs="宋体"/>
                <w:color w:val="auto"/>
                <w:kern w:val="0"/>
                <w:szCs w:val="21"/>
                <w:highlight w:val="none"/>
              </w:rPr>
            </w:pPr>
            <w:r>
              <w:rPr>
                <w:rFonts w:hint="eastAsia" w:ascii="宋体" w:hAnsi="宋体" w:cs="宋体"/>
                <w:color w:val="auto"/>
                <w:kern w:val="0"/>
                <w:szCs w:val="21"/>
                <w:highlight w:val="none"/>
              </w:rPr>
              <w:t>测试内容</w:t>
            </w:r>
          </w:p>
        </w:tc>
        <w:tc>
          <w:tcPr>
            <w:tcW w:w="906" w:type="pct"/>
            <w:noWrap w:val="0"/>
            <w:vAlign w:val="center"/>
          </w:tcPr>
          <w:p w14:paraId="5721E5FF">
            <w:pPr>
              <w:jc w:val="center"/>
              <w:rPr>
                <w:rFonts w:ascii="宋体" w:hAnsi="宋体" w:cs="宋体"/>
                <w:color w:val="auto"/>
                <w:kern w:val="0"/>
                <w:szCs w:val="21"/>
                <w:highlight w:val="none"/>
              </w:rPr>
            </w:pPr>
            <w:r>
              <w:rPr>
                <w:rFonts w:hint="eastAsia" w:ascii="宋体" w:hAnsi="宋体" w:cs="宋体"/>
                <w:color w:val="auto"/>
                <w:kern w:val="0"/>
                <w:szCs w:val="21"/>
                <w:highlight w:val="none"/>
              </w:rPr>
              <w:t>测试方法</w:t>
            </w:r>
          </w:p>
        </w:tc>
        <w:tc>
          <w:tcPr>
            <w:tcW w:w="2199" w:type="pct"/>
            <w:gridSpan w:val="2"/>
            <w:noWrap w:val="0"/>
            <w:vAlign w:val="center"/>
          </w:tcPr>
          <w:p w14:paraId="60F595A0">
            <w:pPr>
              <w:jc w:val="center"/>
              <w:rPr>
                <w:rFonts w:ascii="宋体" w:hAnsi="宋体" w:cs="宋体"/>
                <w:color w:val="auto"/>
                <w:kern w:val="0"/>
                <w:szCs w:val="21"/>
                <w:highlight w:val="none"/>
              </w:rPr>
            </w:pPr>
            <w:r>
              <w:rPr>
                <w:rFonts w:hint="eastAsia" w:ascii="宋体" w:hAnsi="宋体" w:cs="宋体"/>
                <w:color w:val="auto"/>
                <w:kern w:val="0"/>
                <w:szCs w:val="21"/>
                <w:highlight w:val="none"/>
              </w:rPr>
              <w:t>要求</w:t>
            </w:r>
          </w:p>
        </w:tc>
      </w:tr>
      <w:tr w14:paraId="09B1D930">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00" w:hRule="atLeast"/>
          <w:jc w:val="center"/>
        </w:trPr>
        <w:tc>
          <w:tcPr>
            <w:tcW w:w="1895" w:type="pct"/>
            <w:noWrap w:val="0"/>
            <w:vAlign w:val="center"/>
          </w:tcPr>
          <w:p w14:paraId="0D32E558">
            <w:pPr>
              <w:jc w:val="center"/>
              <w:rPr>
                <w:rFonts w:ascii="宋体" w:hAnsi="宋体" w:cs="宋体"/>
                <w:color w:val="auto"/>
                <w:kern w:val="0"/>
                <w:szCs w:val="21"/>
                <w:highlight w:val="none"/>
              </w:rPr>
            </w:pPr>
            <w:r>
              <w:rPr>
                <w:rFonts w:hint="eastAsia" w:ascii="宋体" w:hAnsi="宋体" w:cs="宋体"/>
                <w:color w:val="auto"/>
                <w:kern w:val="0"/>
                <w:szCs w:val="21"/>
                <w:highlight w:val="none"/>
              </w:rPr>
              <w:t>测试参数</w:t>
            </w:r>
          </w:p>
        </w:tc>
        <w:tc>
          <w:tcPr>
            <w:tcW w:w="906" w:type="pct"/>
            <w:noWrap w:val="0"/>
            <w:vAlign w:val="center"/>
          </w:tcPr>
          <w:p w14:paraId="3BAFCE02">
            <w:pPr>
              <w:jc w:val="center"/>
              <w:rPr>
                <w:rFonts w:ascii="宋体" w:hAnsi="宋体" w:cs="宋体"/>
                <w:color w:val="auto"/>
                <w:kern w:val="0"/>
                <w:szCs w:val="21"/>
                <w:highlight w:val="none"/>
              </w:rPr>
            </w:pPr>
            <w:r>
              <w:rPr>
                <w:rFonts w:hint="eastAsia" w:ascii="宋体" w:hAnsi="宋体" w:cs="宋体"/>
                <w:color w:val="auto"/>
                <w:kern w:val="0"/>
                <w:szCs w:val="21"/>
                <w:highlight w:val="none"/>
              </w:rPr>
              <w:t>ASTM</w:t>
            </w:r>
          </w:p>
        </w:tc>
        <w:tc>
          <w:tcPr>
            <w:tcW w:w="1106" w:type="pct"/>
            <w:noWrap w:val="0"/>
            <w:vAlign w:val="center"/>
          </w:tcPr>
          <w:p w14:paraId="4CDE5D85">
            <w:pPr>
              <w:jc w:val="center"/>
              <w:rPr>
                <w:rFonts w:ascii="宋体" w:hAnsi="宋体" w:cs="宋体"/>
                <w:color w:val="auto"/>
                <w:kern w:val="0"/>
                <w:szCs w:val="21"/>
                <w:highlight w:val="none"/>
              </w:rPr>
            </w:pPr>
            <w:r>
              <w:rPr>
                <w:rFonts w:hint="eastAsia" w:ascii="宋体" w:hAnsi="宋体" w:cs="宋体"/>
                <w:color w:val="auto"/>
                <w:kern w:val="0"/>
                <w:szCs w:val="21"/>
                <w:highlight w:val="none"/>
              </w:rPr>
              <w:t>最小值</w:t>
            </w:r>
          </w:p>
        </w:tc>
        <w:tc>
          <w:tcPr>
            <w:tcW w:w="1093" w:type="pct"/>
            <w:noWrap w:val="0"/>
            <w:vAlign w:val="center"/>
          </w:tcPr>
          <w:p w14:paraId="1EC1E033">
            <w:pPr>
              <w:jc w:val="center"/>
              <w:rPr>
                <w:rFonts w:ascii="宋体" w:hAnsi="宋体" w:cs="宋体"/>
                <w:color w:val="auto"/>
                <w:kern w:val="0"/>
                <w:szCs w:val="21"/>
                <w:highlight w:val="none"/>
              </w:rPr>
            </w:pPr>
            <w:r>
              <w:rPr>
                <w:rFonts w:hint="eastAsia" w:ascii="宋体" w:hAnsi="宋体" w:cs="宋体"/>
                <w:color w:val="auto"/>
                <w:kern w:val="0"/>
                <w:szCs w:val="21"/>
                <w:highlight w:val="none"/>
              </w:rPr>
              <w:t>最大值</w:t>
            </w:r>
          </w:p>
        </w:tc>
      </w:tr>
      <w:tr w14:paraId="2D895787">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00" w:hRule="atLeast"/>
          <w:jc w:val="center"/>
        </w:trPr>
        <w:tc>
          <w:tcPr>
            <w:tcW w:w="1895" w:type="pct"/>
            <w:noWrap w:val="0"/>
            <w:vAlign w:val="center"/>
          </w:tcPr>
          <w:p w14:paraId="10341482">
            <w:pPr>
              <w:jc w:val="center"/>
              <w:rPr>
                <w:rFonts w:ascii="宋体" w:hAnsi="宋体" w:cs="宋体"/>
                <w:color w:val="auto"/>
                <w:kern w:val="0"/>
                <w:szCs w:val="21"/>
                <w:highlight w:val="none"/>
              </w:rPr>
            </w:pPr>
            <w:r>
              <w:rPr>
                <w:rFonts w:hint="eastAsia" w:ascii="宋体" w:hAnsi="宋体" w:cs="宋体"/>
                <w:color w:val="auto"/>
                <w:kern w:val="0"/>
                <w:szCs w:val="21"/>
                <w:highlight w:val="none"/>
              </w:rPr>
              <w:t>粘度@25℃，SFS</w:t>
            </w:r>
          </w:p>
        </w:tc>
        <w:tc>
          <w:tcPr>
            <w:tcW w:w="906" w:type="pct"/>
            <w:noWrap w:val="0"/>
            <w:vAlign w:val="center"/>
          </w:tcPr>
          <w:p w14:paraId="263CA96C">
            <w:pPr>
              <w:jc w:val="center"/>
              <w:rPr>
                <w:rFonts w:ascii="宋体" w:hAnsi="宋体" w:cs="宋体"/>
                <w:color w:val="auto"/>
                <w:kern w:val="0"/>
                <w:szCs w:val="21"/>
                <w:highlight w:val="none"/>
              </w:rPr>
            </w:pPr>
            <w:r>
              <w:rPr>
                <w:rFonts w:hint="eastAsia" w:ascii="宋体" w:hAnsi="宋体" w:cs="宋体"/>
                <w:color w:val="auto"/>
                <w:kern w:val="0"/>
                <w:szCs w:val="21"/>
                <w:highlight w:val="none"/>
              </w:rPr>
              <w:t>D-244</w:t>
            </w:r>
          </w:p>
        </w:tc>
        <w:tc>
          <w:tcPr>
            <w:tcW w:w="1106" w:type="pct"/>
            <w:noWrap w:val="0"/>
            <w:vAlign w:val="center"/>
          </w:tcPr>
          <w:p w14:paraId="48B2FFC4">
            <w:pPr>
              <w:jc w:val="center"/>
              <w:rPr>
                <w:rFonts w:ascii="宋体" w:hAnsi="宋体" w:cs="宋体"/>
                <w:color w:val="auto"/>
                <w:kern w:val="0"/>
                <w:szCs w:val="21"/>
                <w:highlight w:val="none"/>
              </w:rPr>
            </w:pPr>
            <w:r>
              <w:rPr>
                <w:rFonts w:hint="eastAsia" w:ascii="宋体" w:hAnsi="宋体" w:cs="宋体"/>
                <w:color w:val="auto"/>
                <w:kern w:val="0"/>
                <w:szCs w:val="21"/>
                <w:highlight w:val="none"/>
              </w:rPr>
              <w:t>2</w:t>
            </w:r>
            <w:r>
              <w:rPr>
                <w:rFonts w:ascii="宋体" w:hAnsi="宋体" w:cs="宋体"/>
                <w:color w:val="auto"/>
                <w:kern w:val="0"/>
                <w:szCs w:val="21"/>
                <w:highlight w:val="none"/>
              </w:rPr>
              <w:t>0</w:t>
            </w:r>
          </w:p>
        </w:tc>
        <w:tc>
          <w:tcPr>
            <w:tcW w:w="1093" w:type="pct"/>
            <w:noWrap w:val="0"/>
            <w:vAlign w:val="center"/>
          </w:tcPr>
          <w:p w14:paraId="1E2F7479">
            <w:pPr>
              <w:jc w:val="center"/>
              <w:rPr>
                <w:rFonts w:ascii="宋体" w:hAnsi="宋体" w:cs="宋体"/>
                <w:color w:val="auto"/>
                <w:kern w:val="0"/>
                <w:szCs w:val="21"/>
                <w:highlight w:val="none"/>
              </w:rPr>
            </w:pPr>
            <w:r>
              <w:rPr>
                <w:rFonts w:hint="eastAsia" w:ascii="宋体" w:hAnsi="宋体" w:cs="宋体"/>
                <w:color w:val="auto"/>
                <w:kern w:val="0"/>
                <w:szCs w:val="21"/>
                <w:highlight w:val="none"/>
              </w:rPr>
              <w:t>150</w:t>
            </w:r>
          </w:p>
        </w:tc>
      </w:tr>
      <w:tr w14:paraId="72FFF5BB">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00" w:hRule="atLeast"/>
          <w:jc w:val="center"/>
        </w:trPr>
        <w:tc>
          <w:tcPr>
            <w:tcW w:w="1895" w:type="pct"/>
            <w:noWrap w:val="0"/>
            <w:vAlign w:val="center"/>
          </w:tcPr>
          <w:p w14:paraId="72687608">
            <w:pPr>
              <w:jc w:val="center"/>
              <w:rPr>
                <w:rFonts w:ascii="宋体" w:hAnsi="宋体" w:cs="宋体"/>
                <w:color w:val="auto"/>
                <w:kern w:val="0"/>
                <w:szCs w:val="21"/>
                <w:highlight w:val="none"/>
              </w:rPr>
            </w:pPr>
            <w:r>
              <w:rPr>
                <w:rFonts w:hint="eastAsia" w:ascii="宋体" w:hAnsi="宋体" w:cs="宋体"/>
                <w:color w:val="auto"/>
                <w:kern w:val="0"/>
                <w:szCs w:val="21"/>
                <w:highlight w:val="none"/>
              </w:rPr>
              <w:t>过筛测试，% w</w:t>
            </w:r>
          </w:p>
        </w:tc>
        <w:tc>
          <w:tcPr>
            <w:tcW w:w="906" w:type="pct"/>
            <w:noWrap w:val="0"/>
            <w:vAlign w:val="center"/>
          </w:tcPr>
          <w:p w14:paraId="6B0C033B">
            <w:pPr>
              <w:jc w:val="center"/>
              <w:rPr>
                <w:rFonts w:ascii="宋体" w:hAnsi="宋体" w:cs="宋体"/>
                <w:color w:val="auto"/>
                <w:kern w:val="0"/>
                <w:szCs w:val="21"/>
                <w:highlight w:val="none"/>
              </w:rPr>
            </w:pPr>
            <w:r>
              <w:rPr>
                <w:rFonts w:hint="eastAsia" w:ascii="宋体" w:hAnsi="宋体" w:cs="宋体"/>
                <w:color w:val="auto"/>
                <w:kern w:val="0"/>
                <w:szCs w:val="21"/>
                <w:highlight w:val="none"/>
              </w:rPr>
              <w:t>D-244（mod）</w:t>
            </w:r>
          </w:p>
        </w:tc>
        <w:tc>
          <w:tcPr>
            <w:tcW w:w="1106" w:type="pct"/>
            <w:noWrap w:val="0"/>
            <w:vAlign w:val="center"/>
          </w:tcPr>
          <w:p w14:paraId="53FC1BEA">
            <w:pPr>
              <w:jc w:val="center"/>
              <w:rPr>
                <w:rFonts w:ascii="宋体" w:hAnsi="宋体" w:cs="宋体"/>
                <w:color w:val="auto"/>
                <w:kern w:val="0"/>
                <w:szCs w:val="21"/>
                <w:highlight w:val="none"/>
              </w:rPr>
            </w:pPr>
          </w:p>
        </w:tc>
        <w:tc>
          <w:tcPr>
            <w:tcW w:w="1093" w:type="pct"/>
            <w:noWrap w:val="0"/>
            <w:vAlign w:val="center"/>
          </w:tcPr>
          <w:p w14:paraId="0F684C8D">
            <w:pPr>
              <w:jc w:val="center"/>
              <w:rPr>
                <w:rFonts w:ascii="宋体" w:hAnsi="宋体" w:cs="宋体"/>
                <w:color w:val="auto"/>
                <w:kern w:val="0"/>
                <w:szCs w:val="21"/>
                <w:highlight w:val="none"/>
              </w:rPr>
            </w:pPr>
            <w:r>
              <w:rPr>
                <w:rFonts w:hint="eastAsia" w:ascii="宋体" w:hAnsi="宋体" w:cs="宋体"/>
                <w:color w:val="auto"/>
                <w:kern w:val="0"/>
                <w:szCs w:val="21"/>
                <w:highlight w:val="none"/>
              </w:rPr>
              <w:t>0.1</w:t>
            </w:r>
          </w:p>
        </w:tc>
      </w:tr>
      <w:tr w14:paraId="4ECC10F1">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00" w:hRule="atLeast"/>
          <w:jc w:val="center"/>
        </w:trPr>
        <w:tc>
          <w:tcPr>
            <w:tcW w:w="1895" w:type="pct"/>
            <w:noWrap w:val="0"/>
            <w:vAlign w:val="center"/>
          </w:tcPr>
          <w:p w14:paraId="60B31FB0">
            <w:pPr>
              <w:jc w:val="center"/>
              <w:rPr>
                <w:rFonts w:ascii="宋体" w:hAnsi="宋体" w:cs="宋体"/>
                <w:color w:val="auto"/>
                <w:kern w:val="0"/>
                <w:szCs w:val="21"/>
                <w:highlight w:val="none"/>
              </w:rPr>
            </w:pPr>
            <w:r>
              <w:rPr>
                <w:rFonts w:hint="eastAsia" w:ascii="宋体" w:hAnsi="宋体" w:cs="宋体"/>
                <w:color w:val="auto"/>
                <w:kern w:val="0"/>
                <w:szCs w:val="21"/>
                <w:highlight w:val="none"/>
              </w:rPr>
              <w:t>粒子载荷试验</w:t>
            </w:r>
          </w:p>
        </w:tc>
        <w:tc>
          <w:tcPr>
            <w:tcW w:w="906" w:type="pct"/>
            <w:noWrap w:val="0"/>
            <w:vAlign w:val="center"/>
          </w:tcPr>
          <w:p w14:paraId="4DAECB39">
            <w:pPr>
              <w:jc w:val="center"/>
              <w:rPr>
                <w:rFonts w:ascii="宋体" w:hAnsi="宋体" w:cs="宋体"/>
                <w:color w:val="auto"/>
                <w:kern w:val="0"/>
                <w:szCs w:val="21"/>
                <w:highlight w:val="none"/>
              </w:rPr>
            </w:pPr>
            <w:r>
              <w:rPr>
                <w:rFonts w:hint="eastAsia" w:ascii="宋体" w:hAnsi="宋体" w:cs="宋体"/>
                <w:color w:val="auto"/>
                <w:kern w:val="0"/>
                <w:szCs w:val="21"/>
                <w:highlight w:val="none"/>
              </w:rPr>
              <w:t>D-244</w:t>
            </w:r>
          </w:p>
        </w:tc>
        <w:tc>
          <w:tcPr>
            <w:tcW w:w="2199" w:type="pct"/>
            <w:gridSpan w:val="2"/>
            <w:noWrap w:val="0"/>
            <w:vAlign w:val="center"/>
          </w:tcPr>
          <w:p w14:paraId="161B91B3">
            <w:pPr>
              <w:jc w:val="center"/>
              <w:rPr>
                <w:rFonts w:ascii="宋体" w:hAnsi="宋体" w:cs="宋体"/>
                <w:color w:val="auto"/>
                <w:kern w:val="0"/>
                <w:szCs w:val="21"/>
                <w:highlight w:val="none"/>
              </w:rPr>
            </w:pPr>
            <w:r>
              <w:rPr>
                <w:rFonts w:hint="eastAsia" w:ascii="宋体" w:hAnsi="宋体" w:cs="宋体"/>
                <w:color w:val="auto"/>
                <w:kern w:val="0"/>
                <w:szCs w:val="21"/>
                <w:highlight w:val="none"/>
              </w:rPr>
              <w:t>阳离子带正电（+）</w:t>
            </w:r>
          </w:p>
        </w:tc>
      </w:tr>
      <w:tr w14:paraId="005F3721">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00" w:hRule="atLeast"/>
          <w:jc w:val="center"/>
        </w:trPr>
        <w:tc>
          <w:tcPr>
            <w:tcW w:w="1895" w:type="pct"/>
            <w:noWrap w:val="0"/>
            <w:vAlign w:val="center"/>
          </w:tcPr>
          <w:p w14:paraId="23872014">
            <w:pPr>
              <w:jc w:val="center"/>
              <w:rPr>
                <w:rFonts w:ascii="宋体" w:hAnsi="宋体" w:cs="宋体"/>
                <w:color w:val="auto"/>
                <w:kern w:val="0"/>
                <w:szCs w:val="21"/>
                <w:highlight w:val="none"/>
              </w:rPr>
            </w:pPr>
            <w:r>
              <w:rPr>
                <w:rFonts w:hint="eastAsia" w:ascii="宋体" w:hAnsi="宋体" w:cs="宋体"/>
                <w:color w:val="auto"/>
                <w:kern w:val="0"/>
                <w:szCs w:val="21"/>
                <w:highlight w:val="none"/>
              </w:rPr>
              <w:t>混凝土拌和</w:t>
            </w:r>
          </w:p>
        </w:tc>
        <w:tc>
          <w:tcPr>
            <w:tcW w:w="906" w:type="pct"/>
            <w:noWrap w:val="0"/>
            <w:vAlign w:val="center"/>
          </w:tcPr>
          <w:p w14:paraId="3104D69D">
            <w:pPr>
              <w:jc w:val="center"/>
              <w:rPr>
                <w:rFonts w:ascii="宋体" w:hAnsi="宋体" w:cs="宋体"/>
                <w:color w:val="auto"/>
                <w:kern w:val="0"/>
                <w:szCs w:val="21"/>
                <w:highlight w:val="none"/>
              </w:rPr>
            </w:pPr>
            <w:r>
              <w:rPr>
                <w:rFonts w:hint="eastAsia" w:ascii="宋体" w:hAnsi="宋体" w:cs="宋体"/>
                <w:color w:val="auto"/>
                <w:kern w:val="0"/>
                <w:szCs w:val="21"/>
                <w:highlight w:val="none"/>
              </w:rPr>
              <w:t>D-244</w:t>
            </w:r>
          </w:p>
        </w:tc>
        <w:tc>
          <w:tcPr>
            <w:tcW w:w="1106" w:type="pct"/>
            <w:noWrap w:val="0"/>
            <w:vAlign w:val="center"/>
          </w:tcPr>
          <w:p w14:paraId="4B380393">
            <w:pPr>
              <w:jc w:val="center"/>
              <w:rPr>
                <w:rFonts w:ascii="宋体" w:hAnsi="宋体" w:cs="宋体"/>
                <w:color w:val="auto"/>
                <w:kern w:val="0"/>
                <w:szCs w:val="21"/>
                <w:highlight w:val="none"/>
              </w:rPr>
            </w:pPr>
          </w:p>
        </w:tc>
        <w:tc>
          <w:tcPr>
            <w:tcW w:w="1093" w:type="pct"/>
            <w:noWrap w:val="0"/>
            <w:vAlign w:val="center"/>
          </w:tcPr>
          <w:p w14:paraId="5A8C39BE">
            <w:pPr>
              <w:jc w:val="center"/>
              <w:rPr>
                <w:rFonts w:ascii="宋体" w:hAnsi="宋体" w:cs="宋体"/>
                <w:color w:val="auto"/>
                <w:kern w:val="0"/>
                <w:szCs w:val="21"/>
                <w:highlight w:val="none"/>
              </w:rPr>
            </w:pPr>
            <w:r>
              <w:rPr>
                <w:rFonts w:hint="eastAsia" w:ascii="宋体" w:hAnsi="宋体" w:cs="宋体"/>
                <w:color w:val="auto"/>
                <w:kern w:val="0"/>
                <w:szCs w:val="21"/>
                <w:highlight w:val="none"/>
              </w:rPr>
              <w:t>2.0</w:t>
            </w:r>
          </w:p>
        </w:tc>
      </w:tr>
      <w:tr w14:paraId="62836F64">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00" w:hRule="atLeast"/>
          <w:jc w:val="center"/>
        </w:trPr>
        <w:tc>
          <w:tcPr>
            <w:tcW w:w="1895" w:type="pct"/>
            <w:noWrap w:val="0"/>
            <w:vAlign w:val="center"/>
          </w:tcPr>
          <w:p w14:paraId="77CD7A39">
            <w:pPr>
              <w:jc w:val="center"/>
              <w:rPr>
                <w:rFonts w:ascii="宋体" w:hAnsi="宋体" w:cs="宋体"/>
                <w:color w:val="auto"/>
                <w:kern w:val="0"/>
                <w:szCs w:val="21"/>
                <w:highlight w:val="none"/>
              </w:rPr>
            </w:pPr>
            <w:r>
              <w:rPr>
                <w:rFonts w:hint="eastAsia" w:ascii="宋体" w:hAnsi="宋体" w:cs="宋体"/>
                <w:color w:val="auto"/>
                <w:kern w:val="0"/>
                <w:szCs w:val="21"/>
                <w:highlight w:val="none"/>
              </w:rPr>
              <w:t>齿轮泵送稳定性</w:t>
            </w:r>
          </w:p>
        </w:tc>
        <w:tc>
          <w:tcPr>
            <w:tcW w:w="906" w:type="pct"/>
            <w:noWrap w:val="0"/>
            <w:vAlign w:val="center"/>
          </w:tcPr>
          <w:p w14:paraId="5DE1CE95">
            <w:pPr>
              <w:jc w:val="center"/>
              <w:rPr>
                <w:rFonts w:ascii="宋体" w:hAnsi="宋体" w:cs="宋体"/>
                <w:color w:val="auto"/>
                <w:kern w:val="0"/>
                <w:szCs w:val="21"/>
                <w:highlight w:val="none"/>
              </w:rPr>
            </w:pPr>
          </w:p>
        </w:tc>
        <w:tc>
          <w:tcPr>
            <w:tcW w:w="2199" w:type="pct"/>
            <w:gridSpan w:val="2"/>
            <w:noWrap w:val="0"/>
            <w:vAlign w:val="center"/>
          </w:tcPr>
          <w:p w14:paraId="355631C2">
            <w:pPr>
              <w:jc w:val="center"/>
              <w:rPr>
                <w:rFonts w:ascii="宋体" w:hAnsi="宋体" w:cs="宋体"/>
                <w:color w:val="auto"/>
                <w:kern w:val="0"/>
                <w:szCs w:val="21"/>
                <w:highlight w:val="none"/>
              </w:rPr>
            </w:pPr>
            <w:r>
              <w:rPr>
                <w:rFonts w:hint="eastAsia" w:ascii="宋体" w:hAnsi="宋体" w:cs="宋体"/>
                <w:color w:val="auto"/>
                <w:kern w:val="0"/>
                <w:szCs w:val="21"/>
                <w:highlight w:val="none"/>
              </w:rPr>
              <w:t>通过</w:t>
            </w:r>
          </w:p>
        </w:tc>
      </w:tr>
      <w:tr w14:paraId="2455C4B1">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00" w:hRule="atLeast"/>
          <w:jc w:val="center"/>
        </w:trPr>
        <w:tc>
          <w:tcPr>
            <w:tcW w:w="1895" w:type="pct"/>
            <w:noWrap w:val="0"/>
            <w:vAlign w:val="center"/>
          </w:tcPr>
          <w:p w14:paraId="01F2DB67">
            <w:pPr>
              <w:jc w:val="center"/>
              <w:rPr>
                <w:rFonts w:ascii="宋体" w:hAnsi="宋体" w:cs="宋体"/>
                <w:color w:val="auto"/>
                <w:kern w:val="0"/>
                <w:szCs w:val="21"/>
                <w:highlight w:val="none"/>
              </w:rPr>
            </w:pPr>
            <w:r>
              <w:rPr>
                <w:rFonts w:hint="eastAsia" w:ascii="宋体" w:hAnsi="宋体" w:cs="宋体"/>
                <w:color w:val="auto"/>
                <w:kern w:val="0"/>
                <w:szCs w:val="21"/>
                <w:highlight w:val="none"/>
              </w:rPr>
              <w:t>5天稳固测试，% w</w:t>
            </w:r>
          </w:p>
        </w:tc>
        <w:tc>
          <w:tcPr>
            <w:tcW w:w="906" w:type="pct"/>
            <w:noWrap w:val="0"/>
            <w:vAlign w:val="center"/>
          </w:tcPr>
          <w:p w14:paraId="1B136624">
            <w:pPr>
              <w:jc w:val="center"/>
              <w:rPr>
                <w:rFonts w:ascii="宋体" w:hAnsi="宋体" w:cs="宋体"/>
                <w:color w:val="auto"/>
                <w:kern w:val="0"/>
                <w:szCs w:val="21"/>
                <w:highlight w:val="none"/>
              </w:rPr>
            </w:pPr>
            <w:r>
              <w:rPr>
                <w:rFonts w:hint="eastAsia" w:ascii="宋体" w:hAnsi="宋体" w:cs="宋体"/>
                <w:color w:val="auto"/>
                <w:kern w:val="0"/>
                <w:szCs w:val="21"/>
                <w:highlight w:val="none"/>
              </w:rPr>
              <w:t>D-244</w:t>
            </w:r>
          </w:p>
        </w:tc>
        <w:tc>
          <w:tcPr>
            <w:tcW w:w="1106" w:type="pct"/>
            <w:noWrap w:val="0"/>
            <w:vAlign w:val="center"/>
          </w:tcPr>
          <w:p w14:paraId="7832FA23">
            <w:pPr>
              <w:jc w:val="center"/>
              <w:rPr>
                <w:rFonts w:ascii="宋体" w:hAnsi="宋体" w:cs="宋体"/>
                <w:color w:val="auto"/>
                <w:kern w:val="0"/>
                <w:szCs w:val="21"/>
                <w:highlight w:val="none"/>
              </w:rPr>
            </w:pPr>
            <w:r>
              <w:rPr>
                <w:rFonts w:hint="eastAsia" w:ascii="宋体" w:hAnsi="宋体" w:cs="宋体"/>
                <w:color w:val="auto"/>
                <w:kern w:val="0"/>
                <w:szCs w:val="21"/>
                <w:highlight w:val="none"/>
              </w:rPr>
              <w:t>——</w:t>
            </w:r>
          </w:p>
        </w:tc>
        <w:tc>
          <w:tcPr>
            <w:tcW w:w="1093" w:type="pct"/>
            <w:noWrap w:val="0"/>
            <w:vAlign w:val="center"/>
          </w:tcPr>
          <w:p w14:paraId="571E5EDF">
            <w:pPr>
              <w:jc w:val="center"/>
              <w:rPr>
                <w:rFonts w:ascii="宋体" w:hAnsi="宋体" w:cs="宋体"/>
                <w:color w:val="auto"/>
                <w:kern w:val="0"/>
                <w:szCs w:val="21"/>
                <w:highlight w:val="none"/>
              </w:rPr>
            </w:pPr>
            <w:r>
              <w:rPr>
                <w:rFonts w:hint="eastAsia" w:ascii="宋体" w:hAnsi="宋体" w:cs="宋体"/>
                <w:color w:val="auto"/>
                <w:kern w:val="0"/>
                <w:szCs w:val="21"/>
                <w:highlight w:val="none"/>
              </w:rPr>
              <w:t>5</w:t>
            </w:r>
          </w:p>
        </w:tc>
      </w:tr>
      <w:tr w14:paraId="56B784D7">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00" w:hRule="atLeast"/>
          <w:jc w:val="center"/>
        </w:trPr>
        <w:tc>
          <w:tcPr>
            <w:tcW w:w="1895" w:type="pct"/>
            <w:noWrap w:val="0"/>
            <w:vAlign w:val="center"/>
          </w:tcPr>
          <w:p w14:paraId="01C30454">
            <w:pPr>
              <w:jc w:val="center"/>
              <w:rPr>
                <w:rFonts w:ascii="宋体" w:hAnsi="宋体" w:cs="宋体"/>
                <w:color w:val="auto"/>
                <w:kern w:val="0"/>
                <w:szCs w:val="21"/>
                <w:highlight w:val="none"/>
              </w:rPr>
            </w:pPr>
            <w:r>
              <w:rPr>
                <w:rFonts w:hint="eastAsia" w:ascii="宋体" w:hAnsi="宋体" w:cs="宋体"/>
                <w:color w:val="auto"/>
                <w:kern w:val="0"/>
                <w:szCs w:val="21"/>
                <w:highlight w:val="none"/>
              </w:rPr>
              <w:t>残留物，% w</w:t>
            </w:r>
          </w:p>
        </w:tc>
        <w:tc>
          <w:tcPr>
            <w:tcW w:w="906" w:type="pct"/>
            <w:noWrap w:val="0"/>
            <w:vAlign w:val="center"/>
          </w:tcPr>
          <w:p w14:paraId="0989A9DC">
            <w:pPr>
              <w:jc w:val="center"/>
              <w:rPr>
                <w:rFonts w:ascii="宋体" w:hAnsi="宋体" w:cs="宋体"/>
                <w:color w:val="auto"/>
                <w:kern w:val="0"/>
                <w:szCs w:val="21"/>
                <w:highlight w:val="none"/>
              </w:rPr>
            </w:pPr>
            <w:r>
              <w:rPr>
                <w:rFonts w:hint="eastAsia" w:ascii="宋体" w:hAnsi="宋体" w:cs="宋体"/>
                <w:color w:val="auto"/>
                <w:kern w:val="0"/>
                <w:szCs w:val="21"/>
                <w:highlight w:val="none"/>
              </w:rPr>
              <w:t>D-244（mod）</w:t>
            </w:r>
          </w:p>
        </w:tc>
        <w:tc>
          <w:tcPr>
            <w:tcW w:w="1106" w:type="pct"/>
            <w:noWrap w:val="0"/>
            <w:vAlign w:val="center"/>
          </w:tcPr>
          <w:p w14:paraId="0A477B3B">
            <w:pPr>
              <w:jc w:val="center"/>
              <w:rPr>
                <w:rFonts w:ascii="宋体" w:hAnsi="宋体" w:cs="宋体"/>
                <w:color w:val="auto"/>
                <w:kern w:val="0"/>
                <w:szCs w:val="21"/>
                <w:highlight w:val="none"/>
              </w:rPr>
            </w:pPr>
            <w:r>
              <w:rPr>
                <w:rFonts w:hint="eastAsia" w:ascii="宋体" w:hAnsi="宋体" w:cs="宋体"/>
                <w:color w:val="auto"/>
                <w:kern w:val="0"/>
                <w:szCs w:val="21"/>
                <w:highlight w:val="none"/>
              </w:rPr>
              <w:t>64</w:t>
            </w:r>
          </w:p>
        </w:tc>
        <w:tc>
          <w:tcPr>
            <w:tcW w:w="1093" w:type="pct"/>
            <w:noWrap w:val="0"/>
            <w:vAlign w:val="center"/>
          </w:tcPr>
          <w:p w14:paraId="52754792">
            <w:pPr>
              <w:jc w:val="center"/>
              <w:rPr>
                <w:rFonts w:ascii="宋体" w:hAnsi="宋体" w:cs="宋体"/>
                <w:color w:val="auto"/>
                <w:kern w:val="0"/>
                <w:szCs w:val="21"/>
                <w:highlight w:val="none"/>
              </w:rPr>
            </w:pPr>
            <w:r>
              <w:rPr>
                <w:rFonts w:hint="eastAsia" w:ascii="宋体" w:hAnsi="宋体" w:cs="宋体"/>
                <w:color w:val="auto"/>
                <w:kern w:val="0"/>
                <w:szCs w:val="21"/>
                <w:highlight w:val="none"/>
              </w:rPr>
              <w:t>——</w:t>
            </w:r>
          </w:p>
        </w:tc>
      </w:tr>
      <w:tr w14:paraId="4F3A56D3">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00" w:hRule="atLeast"/>
          <w:jc w:val="center"/>
        </w:trPr>
        <w:tc>
          <w:tcPr>
            <w:tcW w:w="1895" w:type="pct"/>
            <w:noWrap w:val="0"/>
            <w:vAlign w:val="center"/>
          </w:tcPr>
          <w:p w14:paraId="55CE180C">
            <w:pPr>
              <w:jc w:val="center"/>
              <w:rPr>
                <w:rFonts w:ascii="宋体" w:hAnsi="宋体" w:cs="宋体"/>
                <w:color w:val="auto"/>
                <w:kern w:val="0"/>
                <w:szCs w:val="21"/>
                <w:highlight w:val="none"/>
              </w:rPr>
            </w:pPr>
            <w:r>
              <w:rPr>
                <w:rFonts w:hint="eastAsia" w:ascii="宋体" w:hAnsi="宋体" w:cs="宋体"/>
                <w:color w:val="auto"/>
                <w:kern w:val="0"/>
                <w:szCs w:val="21"/>
                <w:highlight w:val="none"/>
              </w:rPr>
              <w:t>蒸馏法残留物试验</w:t>
            </w:r>
          </w:p>
        </w:tc>
        <w:tc>
          <w:tcPr>
            <w:tcW w:w="906" w:type="pct"/>
            <w:noWrap w:val="0"/>
            <w:vAlign w:val="center"/>
          </w:tcPr>
          <w:p w14:paraId="75E0F883">
            <w:pPr>
              <w:jc w:val="center"/>
              <w:rPr>
                <w:rFonts w:ascii="宋体" w:hAnsi="宋体" w:cs="宋体"/>
                <w:color w:val="auto"/>
                <w:kern w:val="0"/>
                <w:szCs w:val="21"/>
                <w:highlight w:val="none"/>
              </w:rPr>
            </w:pPr>
          </w:p>
        </w:tc>
        <w:tc>
          <w:tcPr>
            <w:tcW w:w="1106" w:type="pct"/>
            <w:noWrap w:val="0"/>
            <w:vAlign w:val="center"/>
          </w:tcPr>
          <w:p w14:paraId="1BDED768">
            <w:pPr>
              <w:jc w:val="center"/>
              <w:rPr>
                <w:rFonts w:ascii="宋体" w:hAnsi="宋体" w:cs="宋体"/>
                <w:color w:val="auto"/>
                <w:kern w:val="0"/>
                <w:szCs w:val="21"/>
                <w:highlight w:val="none"/>
              </w:rPr>
            </w:pPr>
          </w:p>
        </w:tc>
        <w:tc>
          <w:tcPr>
            <w:tcW w:w="1093" w:type="pct"/>
            <w:noWrap w:val="0"/>
            <w:vAlign w:val="center"/>
          </w:tcPr>
          <w:p w14:paraId="3AB68222">
            <w:pPr>
              <w:jc w:val="center"/>
              <w:rPr>
                <w:rFonts w:ascii="宋体" w:hAnsi="宋体" w:cs="宋体"/>
                <w:color w:val="auto"/>
                <w:kern w:val="0"/>
                <w:szCs w:val="21"/>
                <w:highlight w:val="none"/>
              </w:rPr>
            </w:pPr>
          </w:p>
        </w:tc>
      </w:tr>
      <w:tr w14:paraId="230B0F6B">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00" w:hRule="atLeast"/>
          <w:jc w:val="center"/>
        </w:trPr>
        <w:tc>
          <w:tcPr>
            <w:tcW w:w="1895" w:type="pct"/>
            <w:noWrap w:val="0"/>
            <w:vAlign w:val="center"/>
          </w:tcPr>
          <w:p w14:paraId="062AB8D9">
            <w:pPr>
              <w:jc w:val="center"/>
              <w:rPr>
                <w:rFonts w:ascii="宋体" w:hAnsi="宋体" w:cs="宋体"/>
                <w:color w:val="auto"/>
                <w:kern w:val="0"/>
                <w:szCs w:val="21"/>
                <w:highlight w:val="none"/>
              </w:rPr>
            </w:pPr>
            <w:r>
              <w:rPr>
                <w:rFonts w:hint="eastAsia" w:ascii="宋体" w:hAnsi="宋体" w:cs="宋体"/>
                <w:color w:val="auto"/>
                <w:kern w:val="0"/>
                <w:szCs w:val="21"/>
                <w:highlight w:val="none"/>
              </w:rPr>
              <w:t>粘度@60℃，cSt</w:t>
            </w:r>
          </w:p>
        </w:tc>
        <w:tc>
          <w:tcPr>
            <w:tcW w:w="906" w:type="pct"/>
            <w:noWrap w:val="0"/>
            <w:vAlign w:val="center"/>
          </w:tcPr>
          <w:p w14:paraId="5059279C">
            <w:pPr>
              <w:jc w:val="center"/>
              <w:rPr>
                <w:rFonts w:ascii="宋体" w:hAnsi="宋体" w:cs="宋体"/>
                <w:color w:val="auto"/>
                <w:kern w:val="0"/>
                <w:szCs w:val="21"/>
                <w:highlight w:val="none"/>
              </w:rPr>
            </w:pPr>
            <w:r>
              <w:rPr>
                <w:rFonts w:hint="eastAsia" w:ascii="宋体" w:hAnsi="宋体" w:cs="宋体"/>
                <w:color w:val="auto"/>
                <w:kern w:val="0"/>
                <w:szCs w:val="21"/>
                <w:highlight w:val="none"/>
              </w:rPr>
              <w:t>D-2170</w:t>
            </w:r>
          </w:p>
        </w:tc>
        <w:tc>
          <w:tcPr>
            <w:tcW w:w="1106" w:type="pct"/>
            <w:noWrap w:val="0"/>
            <w:vAlign w:val="center"/>
          </w:tcPr>
          <w:p w14:paraId="4A1566F0">
            <w:pPr>
              <w:jc w:val="center"/>
              <w:rPr>
                <w:rFonts w:ascii="宋体" w:hAnsi="宋体" w:cs="宋体"/>
                <w:color w:val="auto"/>
                <w:kern w:val="0"/>
                <w:szCs w:val="21"/>
                <w:highlight w:val="none"/>
              </w:rPr>
            </w:pPr>
            <w:r>
              <w:rPr>
                <w:rFonts w:hint="eastAsia" w:ascii="宋体" w:hAnsi="宋体" w:cs="宋体"/>
                <w:color w:val="auto"/>
                <w:kern w:val="0"/>
                <w:szCs w:val="21"/>
                <w:highlight w:val="none"/>
              </w:rPr>
              <w:t>1000</w:t>
            </w:r>
          </w:p>
        </w:tc>
        <w:tc>
          <w:tcPr>
            <w:tcW w:w="1093" w:type="pct"/>
            <w:noWrap w:val="0"/>
            <w:vAlign w:val="center"/>
          </w:tcPr>
          <w:p w14:paraId="3F0CBF0B">
            <w:pPr>
              <w:jc w:val="center"/>
              <w:rPr>
                <w:rFonts w:ascii="宋体" w:hAnsi="宋体" w:cs="宋体"/>
                <w:color w:val="auto"/>
                <w:kern w:val="0"/>
                <w:szCs w:val="21"/>
                <w:highlight w:val="none"/>
              </w:rPr>
            </w:pPr>
            <w:r>
              <w:rPr>
                <w:rFonts w:hint="eastAsia" w:ascii="宋体" w:hAnsi="宋体" w:cs="宋体"/>
                <w:color w:val="auto"/>
                <w:kern w:val="0"/>
                <w:szCs w:val="21"/>
                <w:highlight w:val="none"/>
              </w:rPr>
              <w:t>4000</w:t>
            </w:r>
          </w:p>
        </w:tc>
      </w:tr>
      <w:tr w14:paraId="7CC8627C">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00" w:hRule="atLeast"/>
          <w:jc w:val="center"/>
        </w:trPr>
        <w:tc>
          <w:tcPr>
            <w:tcW w:w="1895" w:type="pct"/>
            <w:noWrap w:val="0"/>
            <w:vAlign w:val="center"/>
          </w:tcPr>
          <w:p w14:paraId="0AFE428C">
            <w:pPr>
              <w:jc w:val="center"/>
              <w:rPr>
                <w:rFonts w:ascii="宋体" w:hAnsi="宋体" w:cs="宋体"/>
                <w:color w:val="auto"/>
                <w:kern w:val="0"/>
                <w:szCs w:val="21"/>
                <w:highlight w:val="none"/>
              </w:rPr>
            </w:pPr>
            <w:r>
              <w:rPr>
                <w:rFonts w:hint="eastAsia" w:ascii="宋体" w:hAnsi="宋体" w:cs="宋体"/>
                <w:color w:val="auto"/>
                <w:kern w:val="0"/>
                <w:szCs w:val="21"/>
                <w:highlight w:val="none"/>
              </w:rPr>
              <w:t>软沥青分配比率</w:t>
            </w:r>
          </w:p>
        </w:tc>
        <w:tc>
          <w:tcPr>
            <w:tcW w:w="906" w:type="pct"/>
            <w:vMerge w:val="restart"/>
            <w:noWrap w:val="0"/>
            <w:vAlign w:val="center"/>
          </w:tcPr>
          <w:p w14:paraId="32F47C08">
            <w:pPr>
              <w:jc w:val="center"/>
              <w:rPr>
                <w:rFonts w:ascii="宋体" w:hAnsi="宋体" w:cs="宋体"/>
                <w:color w:val="auto"/>
                <w:kern w:val="0"/>
                <w:szCs w:val="21"/>
                <w:highlight w:val="none"/>
              </w:rPr>
            </w:pPr>
            <w:r>
              <w:rPr>
                <w:rFonts w:hint="eastAsia" w:ascii="宋体" w:hAnsi="宋体" w:cs="宋体"/>
                <w:color w:val="auto"/>
                <w:kern w:val="0"/>
                <w:szCs w:val="21"/>
                <w:highlight w:val="none"/>
              </w:rPr>
              <w:t>D-2006-70</w:t>
            </w:r>
          </w:p>
        </w:tc>
        <w:tc>
          <w:tcPr>
            <w:tcW w:w="1106" w:type="pct"/>
            <w:vMerge w:val="restart"/>
            <w:noWrap w:val="0"/>
            <w:vAlign w:val="center"/>
          </w:tcPr>
          <w:p w14:paraId="707A9EE4">
            <w:pPr>
              <w:jc w:val="center"/>
              <w:rPr>
                <w:rFonts w:ascii="宋体" w:hAnsi="宋体" w:cs="宋体"/>
                <w:color w:val="auto"/>
                <w:kern w:val="0"/>
                <w:szCs w:val="21"/>
                <w:highlight w:val="none"/>
              </w:rPr>
            </w:pPr>
            <w:r>
              <w:rPr>
                <w:rFonts w:hint="eastAsia" w:ascii="宋体" w:hAnsi="宋体" w:cs="宋体"/>
                <w:color w:val="auto"/>
                <w:kern w:val="0"/>
                <w:szCs w:val="21"/>
                <w:highlight w:val="none"/>
              </w:rPr>
              <w:t>0.7</w:t>
            </w:r>
          </w:p>
        </w:tc>
        <w:tc>
          <w:tcPr>
            <w:tcW w:w="1093" w:type="pct"/>
            <w:vMerge w:val="restart"/>
            <w:noWrap w:val="0"/>
            <w:vAlign w:val="center"/>
          </w:tcPr>
          <w:p w14:paraId="55BEDADE">
            <w:pPr>
              <w:jc w:val="center"/>
              <w:rPr>
                <w:rFonts w:ascii="宋体" w:hAnsi="宋体" w:cs="宋体"/>
                <w:color w:val="auto"/>
                <w:kern w:val="0"/>
                <w:szCs w:val="21"/>
                <w:highlight w:val="none"/>
              </w:rPr>
            </w:pPr>
            <w:r>
              <w:rPr>
                <w:rFonts w:hint="eastAsia" w:ascii="宋体" w:hAnsi="宋体" w:cs="宋体"/>
                <w:color w:val="auto"/>
                <w:kern w:val="0"/>
                <w:szCs w:val="21"/>
                <w:highlight w:val="none"/>
              </w:rPr>
              <w:t>1.1</w:t>
            </w:r>
          </w:p>
        </w:tc>
      </w:tr>
      <w:tr w14:paraId="5CF9C731">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00" w:hRule="atLeast"/>
          <w:jc w:val="center"/>
        </w:trPr>
        <w:tc>
          <w:tcPr>
            <w:tcW w:w="1895" w:type="pct"/>
            <w:noWrap w:val="0"/>
            <w:vAlign w:val="center"/>
          </w:tcPr>
          <w:p w14:paraId="2C9F677D">
            <w:pPr>
              <w:jc w:val="center"/>
              <w:rPr>
                <w:rFonts w:ascii="宋体" w:hAnsi="宋体" w:cs="宋体"/>
                <w:color w:val="auto"/>
                <w:kern w:val="0"/>
                <w:szCs w:val="21"/>
                <w:highlight w:val="none"/>
              </w:rPr>
            </w:pPr>
            <w:r>
              <w:rPr>
                <w:rFonts w:hint="eastAsia" w:ascii="宋体" w:hAnsi="宋体" w:cs="宋体"/>
                <w:color w:val="auto"/>
                <w:kern w:val="0"/>
                <w:szCs w:val="21"/>
                <w:highlight w:val="none"/>
              </w:rPr>
              <w:t>PC+A1/S+A2</w:t>
            </w:r>
          </w:p>
        </w:tc>
        <w:tc>
          <w:tcPr>
            <w:tcW w:w="906" w:type="pct"/>
            <w:vMerge w:val="continue"/>
            <w:noWrap w:val="0"/>
            <w:vAlign w:val="center"/>
          </w:tcPr>
          <w:p w14:paraId="22AA891B">
            <w:pPr>
              <w:jc w:val="center"/>
              <w:rPr>
                <w:rFonts w:ascii="宋体" w:hAnsi="宋体" w:cs="宋体"/>
                <w:color w:val="auto"/>
                <w:kern w:val="0"/>
                <w:szCs w:val="21"/>
                <w:highlight w:val="none"/>
              </w:rPr>
            </w:pPr>
          </w:p>
        </w:tc>
        <w:tc>
          <w:tcPr>
            <w:tcW w:w="1106" w:type="pct"/>
            <w:vMerge w:val="continue"/>
            <w:noWrap w:val="0"/>
            <w:vAlign w:val="center"/>
          </w:tcPr>
          <w:p w14:paraId="2AEF1FFF">
            <w:pPr>
              <w:jc w:val="center"/>
              <w:rPr>
                <w:rFonts w:ascii="宋体" w:hAnsi="宋体" w:cs="宋体"/>
                <w:color w:val="auto"/>
                <w:kern w:val="0"/>
                <w:szCs w:val="21"/>
                <w:highlight w:val="none"/>
              </w:rPr>
            </w:pPr>
          </w:p>
        </w:tc>
        <w:tc>
          <w:tcPr>
            <w:tcW w:w="1093" w:type="pct"/>
            <w:vMerge w:val="continue"/>
            <w:noWrap w:val="0"/>
            <w:vAlign w:val="center"/>
          </w:tcPr>
          <w:p w14:paraId="12C819AE">
            <w:pPr>
              <w:jc w:val="center"/>
              <w:rPr>
                <w:rFonts w:ascii="宋体" w:hAnsi="宋体" w:cs="宋体"/>
                <w:color w:val="auto"/>
                <w:kern w:val="0"/>
                <w:szCs w:val="21"/>
                <w:highlight w:val="none"/>
              </w:rPr>
            </w:pPr>
          </w:p>
        </w:tc>
      </w:tr>
      <w:tr w14:paraId="7008CD7A">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00" w:hRule="atLeast"/>
          <w:jc w:val="center"/>
        </w:trPr>
        <w:tc>
          <w:tcPr>
            <w:tcW w:w="1895" w:type="pct"/>
            <w:noWrap w:val="0"/>
            <w:vAlign w:val="center"/>
          </w:tcPr>
          <w:p w14:paraId="15FD11C3">
            <w:pPr>
              <w:jc w:val="center"/>
              <w:rPr>
                <w:rFonts w:ascii="宋体" w:hAnsi="宋体" w:cs="宋体"/>
                <w:color w:val="auto"/>
                <w:kern w:val="0"/>
                <w:szCs w:val="21"/>
                <w:highlight w:val="none"/>
              </w:rPr>
            </w:pPr>
            <w:r>
              <w:rPr>
                <w:rFonts w:hint="eastAsia" w:ascii="宋体" w:hAnsi="宋体" w:cs="宋体"/>
                <w:color w:val="auto"/>
                <w:kern w:val="0"/>
                <w:szCs w:val="21"/>
                <w:highlight w:val="none"/>
              </w:rPr>
              <w:t>PC/S比率</w:t>
            </w:r>
          </w:p>
        </w:tc>
        <w:tc>
          <w:tcPr>
            <w:tcW w:w="906" w:type="pct"/>
            <w:noWrap w:val="0"/>
            <w:vAlign w:val="center"/>
          </w:tcPr>
          <w:p w14:paraId="453E378B">
            <w:pPr>
              <w:jc w:val="center"/>
              <w:rPr>
                <w:rFonts w:ascii="宋体" w:hAnsi="宋体" w:cs="宋体"/>
                <w:color w:val="auto"/>
                <w:kern w:val="0"/>
                <w:szCs w:val="21"/>
                <w:highlight w:val="none"/>
              </w:rPr>
            </w:pPr>
            <w:r>
              <w:rPr>
                <w:rFonts w:hint="eastAsia" w:ascii="宋体" w:hAnsi="宋体" w:cs="宋体"/>
                <w:color w:val="auto"/>
                <w:kern w:val="0"/>
                <w:szCs w:val="21"/>
                <w:highlight w:val="none"/>
              </w:rPr>
              <w:t>D-2006-70</w:t>
            </w:r>
          </w:p>
        </w:tc>
        <w:tc>
          <w:tcPr>
            <w:tcW w:w="1106" w:type="pct"/>
            <w:noWrap w:val="0"/>
            <w:vAlign w:val="center"/>
          </w:tcPr>
          <w:p w14:paraId="32CB26BD">
            <w:pPr>
              <w:jc w:val="center"/>
              <w:rPr>
                <w:rFonts w:ascii="宋体" w:hAnsi="宋体" w:cs="宋体"/>
                <w:color w:val="auto"/>
                <w:kern w:val="0"/>
                <w:szCs w:val="21"/>
                <w:highlight w:val="none"/>
              </w:rPr>
            </w:pPr>
            <w:r>
              <w:rPr>
                <w:rFonts w:hint="eastAsia" w:ascii="宋体" w:hAnsi="宋体" w:cs="宋体"/>
                <w:color w:val="auto"/>
                <w:kern w:val="0"/>
                <w:szCs w:val="21"/>
                <w:highlight w:val="none"/>
              </w:rPr>
              <w:t>0.5</w:t>
            </w:r>
          </w:p>
        </w:tc>
        <w:tc>
          <w:tcPr>
            <w:tcW w:w="1093" w:type="pct"/>
            <w:noWrap w:val="0"/>
            <w:vAlign w:val="center"/>
          </w:tcPr>
          <w:p w14:paraId="331B7D05">
            <w:pPr>
              <w:jc w:val="center"/>
              <w:rPr>
                <w:rFonts w:ascii="宋体" w:hAnsi="宋体" w:cs="宋体"/>
                <w:color w:val="auto"/>
                <w:kern w:val="0"/>
                <w:szCs w:val="21"/>
                <w:highlight w:val="none"/>
              </w:rPr>
            </w:pPr>
            <w:r>
              <w:rPr>
                <w:rFonts w:hint="eastAsia" w:ascii="宋体" w:hAnsi="宋体" w:cs="宋体"/>
                <w:color w:val="auto"/>
                <w:kern w:val="0"/>
                <w:szCs w:val="21"/>
                <w:highlight w:val="none"/>
              </w:rPr>
              <w:t>——</w:t>
            </w:r>
          </w:p>
        </w:tc>
      </w:tr>
      <w:tr w14:paraId="492251F8">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00" w:hRule="atLeast"/>
          <w:jc w:val="center"/>
        </w:trPr>
        <w:tc>
          <w:tcPr>
            <w:tcW w:w="1895" w:type="pct"/>
            <w:noWrap w:val="0"/>
            <w:vAlign w:val="center"/>
          </w:tcPr>
          <w:p w14:paraId="7A697BA3">
            <w:pPr>
              <w:jc w:val="center"/>
              <w:rPr>
                <w:rFonts w:ascii="宋体" w:hAnsi="宋体" w:cs="宋体"/>
                <w:color w:val="auto"/>
                <w:kern w:val="0"/>
                <w:szCs w:val="21"/>
                <w:highlight w:val="none"/>
              </w:rPr>
            </w:pPr>
            <w:r>
              <w:rPr>
                <w:rFonts w:hint="eastAsia" w:ascii="宋体" w:hAnsi="宋体" w:cs="宋体"/>
                <w:color w:val="auto"/>
                <w:kern w:val="0"/>
                <w:szCs w:val="21"/>
                <w:highlight w:val="none"/>
              </w:rPr>
              <w:t>沥青质，% w</w:t>
            </w:r>
          </w:p>
        </w:tc>
        <w:tc>
          <w:tcPr>
            <w:tcW w:w="906" w:type="pct"/>
            <w:noWrap w:val="0"/>
            <w:vAlign w:val="center"/>
          </w:tcPr>
          <w:p w14:paraId="1FEB501E">
            <w:pPr>
              <w:jc w:val="center"/>
              <w:rPr>
                <w:rFonts w:ascii="宋体" w:hAnsi="宋体" w:cs="宋体"/>
                <w:color w:val="auto"/>
                <w:kern w:val="0"/>
                <w:szCs w:val="21"/>
                <w:highlight w:val="none"/>
              </w:rPr>
            </w:pPr>
            <w:r>
              <w:rPr>
                <w:rFonts w:hint="eastAsia" w:ascii="宋体" w:hAnsi="宋体" w:cs="宋体"/>
                <w:color w:val="auto"/>
                <w:kern w:val="0"/>
                <w:szCs w:val="21"/>
                <w:highlight w:val="none"/>
              </w:rPr>
              <w:t>D-2006-70</w:t>
            </w:r>
          </w:p>
        </w:tc>
        <w:tc>
          <w:tcPr>
            <w:tcW w:w="1106" w:type="pct"/>
            <w:noWrap w:val="0"/>
            <w:vAlign w:val="center"/>
          </w:tcPr>
          <w:p w14:paraId="39F8FB5A">
            <w:pPr>
              <w:jc w:val="center"/>
              <w:rPr>
                <w:rFonts w:ascii="宋体" w:hAnsi="宋体" w:cs="宋体"/>
                <w:color w:val="auto"/>
                <w:kern w:val="0"/>
                <w:szCs w:val="21"/>
                <w:highlight w:val="none"/>
              </w:rPr>
            </w:pPr>
            <w:r>
              <w:rPr>
                <w:rFonts w:hint="eastAsia" w:ascii="宋体" w:hAnsi="宋体" w:cs="宋体"/>
                <w:color w:val="auto"/>
                <w:kern w:val="0"/>
                <w:szCs w:val="21"/>
                <w:highlight w:val="none"/>
              </w:rPr>
              <w:t>——</w:t>
            </w:r>
          </w:p>
        </w:tc>
        <w:tc>
          <w:tcPr>
            <w:tcW w:w="1093" w:type="pct"/>
            <w:noWrap w:val="0"/>
            <w:vAlign w:val="center"/>
          </w:tcPr>
          <w:p w14:paraId="63D06A14">
            <w:pPr>
              <w:jc w:val="center"/>
              <w:rPr>
                <w:rFonts w:ascii="宋体" w:hAnsi="宋体" w:cs="宋体"/>
                <w:color w:val="auto"/>
                <w:kern w:val="0"/>
                <w:szCs w:val="21"/>
                <w:highlight w:val="none"/>
              </w:rPr>
            </w:pPr>
            <w:r>
              <w:rPr>
                <w:rFonts w:hint="eastAsia" w:ascii="宋体" w:hAnsi="宋体" w:cs="宋体"/>
                <w:color w:val="auto"/>
                <w:kern w:val="0"/>
                <w:szCs w:val="21"/>
                <w:highlight w:val="none"/>
              </w:rPr>
              <w:t>11.0</w:t>
            </w:r>
          </w:p>
        </w:tc>
      </w:tr>
    </w:tbl>
    <w:p w14:paraId="44B8F9F6">
      <w:pPr>
        <w:tabs>
          <w:tab w:val="left" w:pos="0"/>
        </w:tabs>
        <w:suppressAutoHyphens/>
        <w:adjustRightInd w:val="0"/>
        <w:snapToGrid w:val="0"/>
        <w:spacing w:line="600" w:lineRule="exact"/>
        <w:jc w:val="center"/>
        <w:outlineLvl w:val="0"/>
        <w:rPr>
          <w:rFonts w:ascii="宋体" w:hAnsi="宋体" w:cs="宋体-方正超大字符集"/>
          <w:b/>
          <w:color w:val="auto"/>
          <w:sz w:val="24"/>
          <w:highlight w:val="none"/>
        </w:rPr>
      </w:pPr>
      <w:r>
        <w:rPr>
          <w:rFonts w:ascii="宋体" w:hAnsi="宋体" w:cs="宋体-方正超大字符集"/>
          <w:b/>
          <w:color w:val="auto"/>
          <w:sz w:val="24"/>
          <w:highlight w:val="none"/>
        </w:rPr>
        <w:t>沥青路面柔性修复</w:t>
      </w:r>
      <w:r>
        <w:rPr>
          <w:rFonts w:hint="eastAsia" w:ascii="宋体" w:hAnsi="宋体" w:cs="宋体-方正超大字符集"/>
          <w:b/>
          <w:color w:val="auto"/>
          <w:sz w:val="24"/>
          <w:highlight w:val="none"/>
        </w:rPr>
        <w:t>材料的技术指标</w:t>
      </w:r>
    </w:p>
    <w:tbl>
      <w:tblPr>
        <w:tblStyle w:val="51"/>
        <w:tblW w:w="5000" w:type="pct"/>
        <w:jc w:val="center"/>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autofit"/>
        <w:tblCellMar>
          <w:top w:w="0" w:type="dxa"/>
          <w:left w:w="108" w:type="dxa"/>
          <w:bottom w:w="0" w:type="dxa"/>
          <w:right w:w="108" w:type="dxa"/>
        </w:tblCellMar>
      </w:tblPr>
      <w:tblGrid>
        <w:gridCol w:w="2838"/>
        <w:gridCol w:w="2341"/>
        <w:gridCol w:w="1890"/>
        <w:gridCol w:w="1697"/>
      </w:tblGrid>
      <w:tr w14:paraId="7819AC11">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1619" w:type="pct"/>
            <w:noWrap w:val="0"/>
            <w:vAlign w:val="center"/>
          </w:tcPr>
          <w:p w14:paraId="7A2AC4F6">
            <w:pPr>
              <w:jc w:val="center"/>
              <w:rPr>
                <w:rFonts w:ascii="宋体" w:hAnsi="宋体" w:cs="宋体"/>
                <w:color w:val="auto"/>
                <w:kern w:val="0"/>
                <w:szCs w:val="21"/>
                <w:highlight w:val="none"/>
              </w:rPr>
            </w:pPr>
            <w:r>
              <w:rPr>
                <w:rFonts w:hint="eastAsia" w:ascii="宋体" w:hAnsi="宋体" w:cs="宋体"/>
                <w:color w:val="auto"/>
                <w:kern w:val="0"/>
                <w:szCs w:val="21"/>
                <w:highlight w:val="none"/>
              </w:rPr>
              <w:t>测试内容</w:t>
            </w:r>
          </w:p>
        </w:tc>
        <w:tc>
          <w:tcPr>
            <w:tcW w:w="1335" w:type="pct"/>
            <w:noWrap w:val="0"/>
            <w:vAlign w:val="center"/>
          </w:tcPr>
          <w:p w14:paraId="663A0DE8">
            <w:pPr>
              <w:jc w:val="center"/>
              <w:rPr>
                <w:rFonts w:ascii="宋体" w:hAnsi="宋体" w:cs="宋体"/>
                <w:color w:val="auto"/>
                <w:kern w:val="0"/>
                <w:szCs w:val="21"/>
                <w:highlight w:val="none"/>
              </w:rPr>
            </w:pPr>
            <w:r>
              <w:rPr>
                <w:rFonts w:hint="eastAsia" w:ascii="宋体" w:hAnsi="宋体" w:cs="宋体"/>
                <w:color w:val="auto"/>
                <w:kern w:val="0"/>
                <w:szCs w:val="21"/>
                <w:highlight w:val="none"/>
              </w:rPr>
              <w:t>测试方法</w:t>
            </w:r>
          </w:p>
        </w:tc>
        <w:tc>
          <w:tcPr>
            <w:tcW w:w="2046" w:type="pct"/>
            <w:gridSpan w:val="2"/>
            <w:noWrap w:val="0"/>
            <w:vAlign w:val="center"/>
          </w:tcPr>
          <w:p w14:paraId="4FA8BF59">
            <w:pPr>
              <w:jc w:val="center"/>
              <w:rPr>
                <w:rFonts w:ascii="宋体" w:hAnsi="宋体" w:cs="宋体"/>
                <w:color w:val="auto"/>
                <w:kern w:val="0"/>
                <w:szCs w:val="21"/>
                <w:highlight w:val="none"/>
              </w:rPr>
            </w:pPr>
            <w:r>
              <w:rPr>
                <w:rFonts w:hint="eastAsia" w:ascii="宋体" w:hAnsi="宋体" w:cs="宋体"/>
                <w:color w:val="auto"/>
                <w:kern w:val="0"/>
                <w:szCs w:val="21"/>
                <w:highlight w:val="none"/>
              </w:rPr>
              <w:t>要求</w:t>
            </w:r>
          </w:p>
        </w:tc>
      </w:tr>
      <w:tr w14:paraId="43E2F550">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619" w:type="pct"/>
            <w:noWrap w:val="0"/>
            <w:vAlign w:val="center"/>
          </w:tcPr>
          <w:p w14:paraId="2ED366C5">
            <w:pPr>
              <w:jc w:val="center"/>
              <w:rPr>
                <w:rFonts w:ascii="宋体" w:hAnsi="宋体" w:cs="宋体"/>
                <w:color w:val="auto"/>
                <w:kern w:val="0"/>
                <w:szCs w:val="21"/>
                <w:highlight w:val="none"/>
              </w:rPr>
            </w:pPr>
            <w:r>
              <w:rPr>
                <w:rFonts w:hint="eastAsia" w:ascii="宋体" w:hAnsi="宋体" w:cs="宋体"/>
                <w:color w:val="auto"/>
                <w:kern w:val="0"/>
                <w:szCs w:val="21"/>
                <w:highlight w:val="none"/>
              </w:rPr>
              <w:t>测试参数</w:t>
            </w:r>
          </w:p>
        </w:tc>
        <w:tc>
          <w:tcPr>
            <w:tcW w:w="1335" w:type="pct"/>
            <w:noWrap w:val="0"/>
            <w:vAlign w:val="center"/>
          </w:tcPr>
          <w:p w14:paraId="6738E48D">
            <w:pPr>
              <w:jc w:val="center"/>
              <w:rPr>
                <w:rFonts w:ascii="宋体" w:hAnsi="宋体" w:cs="宋体"/>
                <w:color w:val="auto"/>
                <w:kern w:val="0"/>
                <w:szCs w:val="21"/>
                <w:highlight w:val="none"/>
              </w:rPr>
            </w:pPr>
            <w:r>
              <w:rPr>
                <w:rFonts w:hint="eastAsia" w:ascii="宋体" w:hAnsi="宋体" w:cs="宋体"/>
                <w:color w:val="auto"/>
                <w:kern w:val="0"/>
                <w:szCs w:val="21"/>
                <w:highlight w:val="none"/>
              </w:rPr>
              <w:t>ASTM</w:t>
            </w:r>
          </w:p>
        </w:tc>
        <w:tc>
          <w:tcPr>
            <w:tcW w:w="1078" w:type="pct"/>
            <w:noWrap w:val="0"/>
            <w:vAlign w:val="center"/>
          </w:tcPr>
          <w:p w14:paraId="3390771A">
            <w:pPr>
              <w:jc w:val="center"/>
              <w:rPr>
                <w:rFonts w:ascii="宋体" w:hAnsi="宋体" w:cs="宋体"/>
                <w:color w:val="auto"/>
                <w:kern w:val="0"/>
                <w:szCs w:val="21"/>
                <w:highlight w:val="none"/>
              </w:rPr>
            </w:pPr>
            <w:r>
              <w:rPr>
                <w:rFonts w:hint="eastAsia" w:ascii="宋体" w:hAnsi="宋体" w:cs="宋体"/>
                <w:color w:val="auto"/>
                <w:kern w:val="0"/>
                <w:szCs w:val="21"/>
                <w:highlight w:val="none"/>
              </w:rPr>
              <w:t>最小值</w:t>
            </w:r>
          </w:p>
        </w:tc>
        <w:tc>
          <w:tcPr>
            <w:tcW w:w="968" w:type="pct"/>
            <w:noWrap w:val="0"/>
            <w:vAlign w:val="center"/>
          </w:tcPr>
          <w:p w14:paraId="33B08FBB">
            <w:pPr>
              <w:jc w:val="center"/>
              <w:rPr>
                <w:rFonts w:ascii="宋体" w:hAnsi="宋体" w:cs="宋体"/>
                <w:color w:val="auto"/>
                <w:kern w:val="0"/>
                <w:szCs w:val="21"/>
                <w:highlight w:val="none"/>
              </w:rPr>
            </w:pPr>
            <w:r>
              <w:rPr>
                <w:rFonts w:hint="eastAsia" w:ascii="宋体" w:hAnsi="宋体" w:cs="宋体"/>
                <w:color w:val="auto"/>
                <w:kern w:val="0"/>
                <w:szCs w:val="21"/>
                <w:highlight w:val="none"/>
              </w:rPr>
              <w:t>最大值</w:t>
            </w:r>
          </w:p>
        </w:tc>
      </w:tr>
      <w:tr w14:paraId="14338779">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162" w:hRule="atLeast"/>
          <w:jc w:val="center"/>
        </w:trPr>
        <w:tc>
          <w:tcPr>
            <w:tcW w:w="1619" w:type="pct"/>
            <w:noWrap w:val="0"/>
            <w:vAlign w:val="center"/>
          </w:tcPr>
          <w:p w14:paraId="549DD48E">
            <w:pPr>
              <w:jc w:val="center"/>
              <w:rPr>
                <w:rFonts w:ascii="宋体" w:hAnsi="宋体" w:cs="宋体"/>
                <w:color w:val="auto"/>
                <w:kern w:val="0"/>
                <w:szCs w:val="21"/>
                <w:highlight w:val="none"/>
              </w:rPr>
            </w:pPr>
            <w:r>
              <w:rPr>
                <w:rFonts w:hint="eastAsia" w:ascii="宋体" w:hAnsi="宋体" w:cs="宋体"/>
                <w:color w:val="auto"/>
                <w:kern w:val="0"/>
                <w:szCs w:val="21"/>
                <w:highlight w:val="none"/>
              </w:rPr>
              <w:t>锥入度（25℃）</w:t>
            </w:r>
          </w:p>
        </w:tc>
        <w:tc>
          <w:tcPr>
            <w:tcW w:w="1335" w:type="pct"/>
            <w:noWrap w:val="0"/>
            <w:vAlign w:val="center"/>
          </w:tcPr>
          <w:p w14:paraId="7A8C9CCB">
            <w:pPr>
              <w:jc w:val="center"/>
              <w:rPr>
                <w:rFonts w:ascii="宋体" w:hAnsi="宋体" w:cs="宋体"/>
                <w:color w:val="auto"/>
                <w:kern w:val="0"/>
                <w:szCs w:val="21"/>
                <w:highlight w:val="none"/>
              </w:rPr>
            </w:pPr>
            <w:r>
              <w:rPr>
                <w:rFonts w:hint="eastAsia" w:ascii="宋体" w:hAnsi="宋体" w:cs="宋体"/>
                <w:color w:val="auto"/>
                <w:kern w:val="0"/>
                <w:szCs w:val="21"/>
                <w:highlight w:val="none"/>
              </w:rPr>
              <w:t>D5329</w:t>
            </w:r>
          </w:p>
        </w:tc>
        <w:tc>
          <w:tcPr>
            <w:tcW w:w="1078" w:type="pct"/>
            <w:noWrap w:val="0"/>
            <w:vAlign w:val="center"/>
          </w:tcPr>
          <w:p w14:paraId="02248BA2">
            <w:pPr>
              <w:jc w:val="center"/>
              <w:rPr>
                <w:rFonts w:ascii="宋体" w:hAnsi="宋体" w:cs="宋体"/>
                <w:color w:val="auto"/>
                <w:kern w:val="0"/>
                <w:szCs w:val="21"/>
                <w:highlight w:val="none"/>
              </w:rPr>
            </w:pPr>
            <w:r>
              <w:rPr>
                <w:rFonts w:hint="eastAsia" w:ascii="宋体" w:hAnsi="宋体" w:cs="宋体"/>
                <w:color w:val="auto"/>
                <w:kern w:val="0"/>
                <w:szCs w:val="21"/>
                <w:highlight w:val="none"/>
              </w:rPr>
              <w:t>35</w:t>
            </w:r>
          </w:p>
        </w:tc>
        <w:tc>
          <w:tcPr>
            <w:tcW w:w="968" w:type="pct"/>
            <w:noWrap w:val="0"/>
            <w:vAlign w:val="center"/>
          </w:tcPr>
          <w:p w14:paraId="40325F19">
            <w:pPr>
              <w:jc w:val="center"/>
              <w:rPr>
                <w:rFonts w:ascii="宋体" w:hAnsi="宋体" w:cs="宋体"/>
                <w:color w:val="auto"/>
                <w:kern w:val="0"/>
                <w:szCs w:val="21"/>
                <w:highlight w:val="none"/>
              </w:rPr>
            </w:pPr>
            <w:r>
              <w:rPr>
                <w:rFonts w:hint="eastAsia" w:ascii="宋体" w:hAnsi="宋体" w:cs="宋体"/>
                <w:color w:val="auto"/>
                <w:kern w:val="0"/>
                <w:szCs w:val="21"/>
                <w:highlight w:val="none"/>
              </w:rPr>
              <w:t>55</w:t>
            </w:r>
          </w:p>
        </w:tc>
      </w:tr>
      <w:tr w14:paraId="526BD804">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162" w:hRule="atLeast"/>
          <w:jc w:val="center"/>
        </w:trPr>
        <w:tc>
          <w:tcPr>
            <w:tcW w:w="1619" w:type="pct"/>
            <w:noWrap w:val="0"/>
            <w:vAlign w:val="center"/>
          </w:tcPr>
          <w:p w14:paraId="0E296D7C">
            <w:pPr>
              <w:jc w:val="center"/>
              <w:rPr>
                <w:rFonts w:ascii="宋体" w:hAnsi="宋体" w:cs="宋体"/>
                <w:color w:val="auto"/>
                <w:kern w:val="0"/>
                <w:szCs w:val="21"/>
                <w:highlight w:val="none"/>
              </w:rPr>
            </w:pPr>
            <w:r>
              <w:rPr>
                <w:rFonts w:hint="eastAsia" w:ascii="宋体" w:hAnsi="宋体" w:cs="宋体"/>
                <w:color w:val="auto"/>
                <w:kern w:val="0"/>
                <w:szCs w:val="21"/>
                <w:highlight w:val="none"/>
              </w:rPr>
              <w:t>回弹性（25℃）</w:t>
            </w:r>
          </w:p>
        </w:tc>
        <w:tc>
          <w:tcPr>
            <w:tcW w:w="1335" w:type="pct"/>
            <w:noWrap w:val="0"/>
            <w:vAlign w:val="center"/>
          </w:tcPr>
          <w:p w14:paraId="530067B2">
            <w:pPr>
              <w:jc w:val="center"/>
              <w:rPr>
                <w:rFonts w:ascii="宋体" w:hAnsi="宋体" w:cs="宋体"/>
                <w:color w:val="auto"/>
                <w:kern w:val="0"/>
                <w:szCs w:val="21"/>
                <w:highlight w:val="none"/>
              </w:rPr>
            </w:pPr>
            <w:r>
              <w:rPr>
                <w:rFonts w:hint="eastAsia" w:ascii="宋体" w:hAnsi="宋体" w:cs="宋体"/>
                <w:color w:val="auto"/>
                <w:kern w:val="0"/>
                <w:szCs w:val="21"/>
                <w:highlight w:val="none"/>
              </w:rPr>
              <w:t>D5329</w:t>
            </w:r>
          </w:p>
        </w:tc>
        <w:tc>
          <w:tcPr>
            <w:tcW w:w="1078" w:type="pct"/>
            <w:noWrap w:val="0"/>
            <w:vAlign w:val="center"/>
          </w:tcPr>
          <w:p w14:paraId="338B0F7C">
            <w:pPr>
              <w:jc w:val="center"/>
              <w:rPr>
                <w:rFonts w:ascii="宋体" w:hAnsi="宋体" w:cs="宋体"/>
                <w:color w:val="auto"/>
                <w:kern w:val="0"/>
                <w:szCs w:val="21"/>
                <w:highlight w:val="none"/>
              </w:rPr>
            </w:pPr>
            <w:r>
              <w:rPr>
                <w:rFonts w:hint="eastAsia" w:ascii="宋体" w:hAnsi="宋体" w:cs="宋体"/>
                <w:color w:val="auto"/>
                <w:kern w:val="0"/>
                <w:szCs w:val="21"/>
                <w:highlight w:val="none"/>
              </w:rPr>
              <w:t>40%</w:t>
            </w:r>
          </w:p>
        </w:tc>
        <w:tc>
          <w:tcPr>
            <w:tcW w:w="968" w:type="pct"/>
            <w:noWrap w:val="0"/>
            <w:vAlign w:val="center"/>
          </w:tcPr>
          <w:p w14:paraId="3F92D0A0">
            <w:pPr>
              <w:jc w:val="center"/>
              <w:rPr>
                <w:rFonts w:ascii="宋体" w:hAnsi="宋体" w:cs="宋体"/>
                <w:color w:val="auto"/>
                <w:kern w:val="0"/>
                <w:szCs w:val="21"/>
                <w:highlight w:val="none"/>
              </w:rPr>
            </w:pPr>
          </w:p>
        </w:tc>
      </w:tr>
      <w:tr w14:paraId="71B3DD9D">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203" w:hRule="atLeast"/>
          <w:jc w:val="center"/>
        </w:trPr>
        <w:tc>
          <w:tcPr>
            <w:tcW w:w="1619" w:type="pct"/>
            <w:noWrap w:val="0"/>
            <w:vAlign w:val="center"/>
          </w:tcPr>
          <w:p w14:paraId="4E4CFD2A">
            <w:pPr>
              <w:jc w:val="center"/>
              <w:rPr>
                <w:rFonts w:ascii="宋体" w:hAnsi="宋体" w:cs="宋体"/>
                <w:color w:val="auto"/>
                <w:kern w:val="0"/>
                <w:szCs w:val="21"/>
                <w:highlight w:val="none"/>
              </w:rPr>
            </w:pPr>
            <w:r>
              <w:rPr>
                <w:rFonts w:hint="eastAsia" w:ascii="宋体" w:hAnsi="宋体" w:cs="宋体"/>
                <w:color w:val="auto"/>
                <w:kern w:val="0"/>
                <w:szCs w:val="21"/>
                <w:highlight w:val="none"/>
              </w:rPr>
              <w:t>软化点</w:t>
            </w:r>
          </w:p>
        </w:tc>
        <w:tc>
          <w:tcPr>
            <w:tcW w:w="1335" w:type="pct"/>
            <w:noWrap w:val="0"/>
            <w:vAlign w:val="center"/>
          </w:tcPr>
          <w:p w14:paraId="28BFBA7E">
            <w:pPr>
              <w:jc w:val="center"/>
              <w:rPr>
                <w:rFonts w:ascii="宋体" w:hAnsi="宋体" w:cs="宋体"/>
                <w:color w:val="auto"/>
                <w:kern w:val="0"/>
                <w:szCs w:val="21"/>
                <w:highlight w:val="none"/>
              </w:rPr>
            </w:pPr>
            <w:r>
              <w:rPr>
                <w:rFonts w:hint="eastAsia" w:ascii="宋体" w:hAnsi="宋体" w:cs="宋体"/>
                <w:color w:val="auto"/>
                <w:kern w:val="0"/>
                <w:szCs w:val="21"/>
                <w:highlight w:val="none"/>
              </w:rPr>
              <w:t>D36</w:t>
            </w:r>
          </w:p>
        </w:tc>
        <w:tc>
          <w:tcPr>
            <w:tcW w:w="1078" w:type="pct"/>
            <w:noWrap w:val="0"/>
            <w:vAlign w:val="center"/>
          </w:tcPr>
          <w:p w14:paraId="5D501417">
            <w:pPr>
              <w:jc w:val="center"/>
              <w:rPr>
                <w:rFonts w:ascii="宋体" w:hAnsi="宋体" w:cs="宋体"/>
                <w:color w:val="auto"/>
                <w:kern w:val="0"/>
                <w:szCs w:val="21"/>
                <w:highlight w:val="none"/>
              </w:rPr>
            </w:pPr>
            <w:r>
              <w:rPr>
                <w:rFonts w:hint="eastAsia" w:ascii="宋体" w:hAnsi="宋体" w:cs="宋体"/>
                <w:color w:val="auto"/>
                <w:kern w:val="0"/>
                <w:szCs w:val="21"/>
                <w:highlight w:val="none"/>
              </w:rPr>
              <w:t>93℃</w:t>
            </w:r>
          </w:p>
        </w:tc>
        <w:tc>
          <w:tcPr>
            <w:tcW w:w="968" w:type="pct"/>
            <w:noWrap w:val="0"/>
            <w:vAlign w:val="center"/>
          </w:tcPr>
          <w:p w14:paraId="4177CECF">
            <w:pPr>
              <w:jc w:val="center"/>
              <w:rPr>
                <w:rFonts w:ascii="宋体" w:hAnsi="宋体" w:cs="宋体"/>
                <w:color w:val="auto"/>
                <w:kern w:val="0"/>
                <w:szCs w:val="21"/>
                <w:highlight w:val="none"/>
              </w:rPr>
            </w:pPr>
          </w:p>
        </w:tc>
      </w:tr>
      <w:tr w14:paraId="387DBB46">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162" w:hRule="atLeast"/>
          <w:jc w:val="center"/>
        </w:trPr>
        <w:tc>
          <w:tcPr>
            <w:tcW w:w="1619" w:type="pct"/>
            <w:noWrap w:val="0"/>
            <w:vAlign w:val="center"/>
          </w:tcPr>
          <w:p w14:paraId="12EE7FC9">
            <w:pPr>
              <w:jc w:val="center"/>
              <w:rPr>
                <w:rFonts w:ascii="宋体" w:hAnsi="宋体" w:cs="宋体"/>
                <w:color w:val="auto"/>
                <w:kern w:val="0"/>
                <w:szCs w:val="21"/>
                <w:highlight w:val="none"/>
              </w:rPr>
            </w:pPr>
            <w:r>
              <w:rPr>
                <w:rFonts w:hint="eastAsia" w:ascii="宋体" w:hAnsi="宋体" w:cs="宋体"/>
                <w:color w:val="auto"/>
                <w:kern w:val="0"/>
                <w:szCs w:val="21"/>
                <w:highlight w:val="none"/>
              </w:rPr>
              <w:t>延展性（25℃）</w:t>
            </w:r>
          </w:p>
        </w:tc>
        <w:tc>
          <w:tcPr>
            <w:tcW w:w="1335" w:type="pct"/>
            <w:noWrap w:val="0"/>
            <w:vAlign w:val="center"/>
          </w:tcPr>
          <w:p w14:paraId="3822C205">
            <w:pPr>
              <w:jc w:val="center"/>
              <w:rPr>
                <w:rFonts w:ascii="宋体" w:hAnsi="宋体" w:cs="宋体"/>
                <w:color w:val="auto"/>
                <w:kern w:val="0"/>
                <w:szCs w:val="21"/>
                <w:highlight w:val="none"/>
              </w:rPr>
            </w:pPr>
            <w:r>
              <w:rPr>
                <w:rFonts w:hint="eastAsia" w:ascii="宋体" w:hAnsi="宋体" w:cs="宋体"/>
                <w:color w:val="auto"/>
                <w:kern w:val="0"/>
                <w:szCs w:val="21"/>
                <w:highlight w:val="none"/>
              </w:rPr>
              <w:t>D113</w:t>
            </w:r>
          </w:p>
        </w:tc>
        <w:tc>
          <w:tcPr>
            <w:tcW w:w="1078" w:type="pct"/>
            <w:noWrap w:val="0"/>
            <w:vAlign w:val="center"/>
          </w:tcPr>
          <w:p w14:paraId="5AC786E9">
            <w:pPr>
              <w:jc w:val="center"/>
              <w:rPr>
                <w:rFonts w:ascii="宋体" w:hAnsi="宋体" w:cs="宋体"/>
                <w:color w:val="auto"/>
                <w:kern w:val="0"/>
                <w:szCs w:val="21"/>
                <w:highlight w:val="none"/>
              </w:rPr>
            </w:pPr>
            <w:r>
              <w:rPr>
                <w:rFonts w:hint="eastAsia" w:ascii="宋体" w:hAnsi="宋体" w:cs="宋体"/>
                <w:color w:val="auto"/>
                <w:kern w:val="0"/>
                <w:szCs w:val="21"/>
                <w:highlight w:val="none"/>
              </w:rPr>
              <w:t>300 mm</w:t>
            </w:r>
          </w:p>
        </w:tc>
        <w:tc>
          <w:tcPr>
            <w:tcW w:w="968" w:type="pct"/>
            <w:noWrap w:val="0"/>
            <w:vAlign w:val="center"/>
          </w:tcPr>
          <w:p w14:paraId="3700ADA8">
            <w:pPr>
              <w:jc w:val="center"/>
              <w:rPr>
                <w:rFonts w:ascii="宋体" w:hAnsi="宋体" w:cs="宋体"/>
                <w:color w:val="auto"/>
                <w:kern w:val="0"/>
                <w:szCs w:val="21"/>
                <w:highlight w:val="none"/>
              </w:rPr>
            </w:pPr>
          </w:p>
        </w:tc>
      </w:tr>
      <w:tr w14:paraId="07F79ED9">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189" w:hRule="atLeast"/>
          <w:jc w:val="center"/>
        </w:trPr>
        <w:tc>
          <w:tcPr>
            <w:tcW w:w="1619" w:type="pct"/>
            <w:noWrap w:val="0"/>
            <w:vAlign w:val="center"/>
          </w:tcPr>
          <w:p w14:paraId="32A0A3C5">
            <w:pPr>
              <w:jc w:val="center"/>
              <w:rPr>
                <w:rFonts w:ascii="宋体" w:hAnsi="宋体" w:cs="宋体"/>
                <w:color w:val="auto"/>
                <w:kern w:val="0"/>
                <w:szCs w:val="21"/>
                <w:highlight w:val="none"/>
              </w:rPr>
            </w:pPr>
            <w:r>
              <w:rPr>
                <w:rFonts w:hint="eastAsia" w:ascii="宋体" w:hAnsi="宋体" w:cs="宋体"/>
                <w:color w:val="auto"/>
                <w:kern w:val="0"/>
                <w:szCs w:val="21"/>
                <w:highlight w:val="none"/>
              </w:rPr>
              <w:t>柔韧性</w:t>
            </w:r>
          </w:p>
        </w:tc>
        <w:tc>
          <w:tcPr>
            <w:tcW w:w="1335" w:type="pct"/>
            <w:noWrap w:val="0"/>
            <w:vAlign w:val="center"/>
          </w:tcPr>
          <w:p w14:paraId="7B0B20A1">
            <w:pPr>
              <w:jc w:val="center"/>
              <w:rPr>
                <w:rFonts w:ascii="宋体" w:hAnsi="宋体" w:cs="宋体"/>
                <w:color w:val="auto"/>
                <w:kern w:val="0"/>
                <w:szCs w:val="21"/>
                <w:highlight w:val="none"/>
              </w:rPr>
            </w:pPr>
            <w:r>
              <w:rPr>
                <w:rFonts w:hint="eastAsia" w:ascii="宋体" w:hAnsi="宋体" w:cs="宋体"/>
                <w:color w:val="auto"/>
                <w:kern w:val="0"/>
                <w:szCs w:val="21"/>
                <w:highlight w:val="none"/>
              </w:rPr>
              <w:t>D113(mod)</w:t>
            </w:r>
          </w:p>
        </w:tc>
        <w:tc>
          <w:tcPr>
            <w:tcW w:w="2046" w:type="pct"/>
            <w:gridSpan w:val="2"/>
            <w:noWrap w:val="0"/>
            <w:vAlign w:val="center"/>
          </w:tcPr>
          <w:p w14:paraId="614175AA">
            <w:pPr>
              <w:jc w:val="center"/>
              <w:rPr>
                <w:rFonts w:ascii="宋体" w:hAnsi="宋体" w:cs="宋体"/>
                <w:color w:val="auto"/>
                <w:kern w:val="0"/>
                <w:szCs w:val="21"/>
                <w:highlight w:val="none"/>
              </w:rPr>
            </w:pPr>
            <w:r>
              <w:rPr>
                <w:rFonts w:hint="eastAsia" w:ascii="宋体" w:hAnsi="宋体" w:cs="宋体"/>
                <w:color w:val="auto"/>
                <w:kern w:val="0"/>
                <w:szCs w:val="21"/>
                <w:highlight w:val="none"/>
              </w:rPr>
              <w:t>通过 -7℃</w:t>
            </w:r>
          </w:p>
        </w:tc>
      </w:tr>
      <w:tr w14:paraId="2E036EA9">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176" w:hRule="atLeast"/>
          <w:jc w:val="center"/>
        </w:trPr>
        <w:tc>
          <w:tcPr>
            <w:tcW w:w="1619" w:type="pct"/>
            <w:noWrap w:val="0"/>
            <w:vAlign w:val="center"/>
          </w:tcPr>
          <w:p w14:paraId="76FD235C">
            <w:pPr>
              <w:jc w:val="center"/>
              <w:rPr>
                <w:rFonts w:ascii="宋体" w:hAnsi="宋体" w:cs="宋体"/>
                <w:color w:val="auto"/>
                <w:kern w:val="0"/>
                <w:szCs w:val="21"/>
                <w:highlight w:val="none"/>
              </w:rPr>
            </w:pPr>
            <w:r>
              <w:rPr>
                <w:rFonts w:hint="eastAsia" w:ascii="宋体" w:hAnsi="宋体" w:cs="宋体"/>
                <w:color w:val="auto"/>
                <w:kern w:val="0"/>
                <w:szCs w:val="21"/>
                <w:highlight w:val="none"/>
              </w:rPr>
              <w:t>流动性（60℃）</w:t>
            </w:r>
          </w:p>
        </w:tc>
        <w:tc>
          <w:tcPr>
            <w:tcW w:w="1335" w:type="pct"/>
            <w:noWrap w:val="0"/>
            <w:vAlign w:val="center"/>
          </w:tcPr>
          <w:p w14:paraId="0915756A">
            <w:pPr>
              <w:jc w:val="center"/>
              <w:rPr>
                <w:rFonts w:ascii="宋体" w:hAnsi="宋体" w:cs="宋体"/>
                <w:color w:val="auto"/>
                <w:kern w:val="0"/>
                <w:szCs w:val="21"/>
                <w:highlight w:val="none"/>
              </w:rPr>
            </w:pPr>
            <w:r>
              <w:rPr>
                <w:rFonts w:hint="eastAsia" w:ascii="宋体" w:hAnsi="宋体" w:cs="宋体"/>
                <w:color w:val="auto"/>
                <w:kern w:val="0"/>
                <w:szCs w:val="21"/>
                <w:highlight w:val="none"/>
              </w:rPr>
              <w:t>D5329</w:t>
            </w:r>
          </w:p>
        </w:tc>
        <w:tc>
          <w:tcPr>
            <w:tcW w:w="1078" w:type="pct"/>
            <w:noWrap w:val="0"/>
            <w:vAlign w:val="center"/>
          </w:tcPr>
          <w:p w14:paraId="06F0BF2D">
            <w:pPr>
              <w:jc w:val="center"/>
              <w:rPr>
                <w:rFonts w:ascii="宋体" w:hAnsi="宋体" w:cs="宋体"/>
                <w:color w:val="auto"/>
                <w:kern w:val="0"/>
                <w:szCs w:val="21"/>
                <w:highlight w:val="none"/>
              </w:rPr>
            </w:pPr>
          </w:p>
        </w:tc>
        <w:tc>
          <w:tcPr>
            <w:tcW w:w="968" w:type="pct"/>
            <w:noWrap w:val="0"/>
            <w:vAlign w:val="center"/>
          </w:tcPr>
          <w:p w14:paraId="7CA38567">
            <w:pPr>
              <w:jc w:val="center"/>
              <w:rPr>
                <w:rFonts w:ascii="宋体" w:hAnsi="宋体" w:cs="宋体"/>
                <w:color w:val="auto"/>
                <w:kern w:val="0"/>
                <w:szCs w:val="21"/>
                <w:highlight w:val="none"/>
              </w:rPr>
            </w:pPr>
            <w:r>
              <w:rPr>
                <w:rFonts w:hint="eastAsia" w:ascii="宋体" w:hAnsi="宋体" w:cs="宋体"/>
                <w:color w:val="auto"/>
                <w:kern w:val="0"/>
                <w:szCs w:val="21"/>
                <w:highlight w:val="none"/>
              </w:rPr>
              <w:t>3 mm</w:t>
            </w:r>
          </w:p>
        </w:tc>
      </w:tr>
      <w:tr w14:paraId="5F3ECD0D">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94" w:hRule="atLeast"/>
          <w:jc w:val="center"/>
        </w:trPr>
        <w:tc>
          <w:tcPr>
            <w:tcW w:w="1619" w:type="pct"/>
            <w:noWrap w:val="0"/>
            <w:vAlign w:val="center"/>
          </w:tcPr>
          <w:p w14:paraId="34A8ECEB">
            <w:pPr>
              <w:jc w:val="center"/>
              <w:rPr>
                <w:rFonts w:ascii="宋体" w:hAnsi="宋体" w:cs="宋体"/>
                <w:color w:val="auto"/>
                <w:kern w:val="0"/>
                <w:szCs w:val="21"/>
                <w:highlight w:val="none"/>
              </w:rPr>
            </w:pPr>
            <w:r>
              <w:rPr>
                <w:rFonts w:hint="eastAsia" w:ascii="宋体" w:hAnsi="宋体" w:cs="宋体"/>
                <w:color w:val="auto"/>
                <w:kern w:val="0"/>
                <w:szCs w:val="21"/>
                <w:highlight w:val="none"/>
              </w:rPr>
              <w:t>布氏粘度（204℃）</w:t>
            </w:r>
          </w:p>
        </w:tc>
        <w:tc>
          <w:tcPr>
            <w:tcW w:w="1335" w:type="pct"/>
            <w:noWrap w:val="0"/>
            <w:vAlign w:val="center"/>
          </w:tcPr>
          <w:p w14:paraId="7A820E22">
            <w:pPr>
              <w:jc w:val="center"/>
              <w:rPr>
                <w:rFonts w:ascii="宋体" w:hAnsi="宋体" w:cs="宋体"/>
                <w:color w:val="auto"/>
                <w:kern w:val="0"/>
                <w:szCs w:val="21"/>
                <w:highlight w:val="none"/>
              </w:rPr>
            </w:pPr>
            <w:r>
              <w:rPr>
                <w:rFonts w:hint="eastAsia" w:ascii="宋体" w:hAnsi="宋体" w:cs="宋体"/>
                <w:color w:val="auto"/>
                <w:kern w:val="0"/>
                <w:szCs w:val="21"/>
                <w:highlight w:val="none"/>
              </w:rPr>
              <w:t>D2669</w:t>
            </w:r>
          </w:p>
        </w:tc>
        <w:tc>
          <w:tcPr>
            <w:tcW w:w="1078" w:type="pct"/>
            <w:noWrap w:val="0"/>
            <w:vAlign w:val="center"/>
          </w:tcPr>
          <w:p w14:paraId="32F6BFB9">
            <w:pPr>
              <w:jc w:val="center"/>
              <w:rPr>
                <w:rFonts w:ascii="宋体" w:hAnsi="宋体" w:cs="宋体"/>
                <w:color w:val="auto"/>
                <w:kern w:val="0"/>
                <w:szCs w:val="21"/>
                <w:highlight w:val="none"/>
              </w:rPr>
            </w:pPr>
          </w:p>
        </w:tc>
        <w:tc>
          <w:tcPr>
            <w:tcW w:w="968" w:type="pct"/>
            <w:noWrap w:val="0"/>
            <w:vAlign w:val="center"/>
          </w:tcPr>
          <w:p w14:paraId="5CF16904">
            <w:pPr>
              <w:jc w:val="center"/>
              <w:rPr>
                <w:rFonts w:ascii="宋体" w:hAnsi="宋体" w:cs="宋体"/>
                <w:color w:val="auto"/>
                <w:kern w:val="0"/>
                <w:szCs w:val="21"/>
                <w:highlight w:val="none"/>
              </w:rPr>
            </w:pPr>
            <w:r>
              <w:rPr>
                <w:rFonts w:hint="eastAsia" w:ascii="宋体" w:hAnsi="宋体" w:cs="宋体"/>
                <w:color w:val="auto"/>
                <w:kern w:val="0"/>
                <w:szCs w:val="21"/>
                <w:highlight w:val="none"/>
              </w:rPr>
              <w:t>100 泊</w:t>
            </w:r>
          </w:p>
        </w:tc>
      </w:tr>
      <w:tr w14:paraId="58838FDE">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258" w:hRule="atLeast"/>
          <w:jc w:val="center"/>
        </w:trPr>
        <w:tc>
          <w:tcPr>
            <w:tcW w:w="1619" w:type="pct"/>
            <w:noWrap w:val="0"/>
            <w:vAlign w:val="center"/>
          </w:tcPr>
          <w:p w14:paraId="4AA31D68">
            <w:pPr>
              <w:jc w:val="center"/>
              <w:rPr>
                <w:rFonts w:ascii="宋体" w:hAnsi="宋体" w:cs="宋体"/>
                <w:color w:val="auto"/>
                <w:kern w:val="0"/>
                <w:szCs w:val="21"/>
                <w:highlight w:val="none"/>
              </w:rPr>
            </w:pPr>
            <w:r>
              <w:rPr>
                <w:rFonts w:hint="eastAsia" w:ascii="宋体" w:hAnsi="宋体" w:cs="宋体"/>
                <w:color w:val="auto"/>
                <w:kern w:val="0"/>
                <w:szCs w:val="21"/>
                <w:highlight w:val="none"/>
              </w:rPr>
              <w:t>粘结力拉伸量测试</w:t>
            </w:r>
          </w:p>
        </w:tc>
        <w:tc>
          <w:tcPr>
            <w:tcW w:w="1335" w:type="pct"/>
            <w:noWrap w:val="0"/>
            <w:vAlign w:val="center"/>
          </w:tcPr>
          <w:p w14:paraId="1AACDE3B">
            <w:pPr>
              <w:jc w:val="center"/>
              <w:rPr>
                <w:rFonts w:ascii="宋体" w:hAnsi="宋体" w:cs="宋体"/>
                <w:color w:val="auto"/>
                <w:kern w:val="0"/>
                <w:szCs w:val="21"/>
                <w:highlight w:val="none"/>
              </w:rPr>
            </w:pPr>
            <w:r>
              <w:rPr>
                <w:rFonts w:hint="eastAsia" w:ascii="宋体" w:hAnsi="宋体" w:cs="宋体"/>
                <w:color w:val="auto"/>
                <w:kern w:val="0"/>
                <w:szCs w:val="21"/>
                <w:highlight w:val="none"/>
              </w:rPr>
              <w:t>D5329</w:t>
            </w:r>
          </w:p>
        </w:tc>
        <w:tc>
          <w:tcPr>
            <w:tcW w:w="1078" w:type="pct"/>
            <w:noWrap w:val="0"/>
            <w:vAlign w:val="center"/>
          </w:tcPr>
          <w:p w14:paraId="375818EF">
            <w:pPr>
              <w:jc w:val="center"/>
              <w:rPr>
                <w:rFonts w:ascii="宋体" w:hAnsi="宋体" w:cs="宋体"/>
                <w:color w:val="auto"/>
                <w:kern w:val="0"/>
                <w:szCs w:val="21"/>
                <w:highlight w:val="none"/>
              </w:rPr>
            </w:pPr>
            <w:r>
              <w:rPr>
                <w:rFonts w:hint="eastAsia" w:ascii="宋体" w:hAnsi="宋体" w:cs="宋体"/>
                <w:color w:val="auto"/>
                <w:kern w:val="0"/>
                <w:szCs w:val="21"/>
                <w:highlight w:val="none"/>
              </w:rPr>
              <w:t>500%</w:t>
            </w:r>
          </w:p>
        </w:tc>
        <w:tc>
          <w:tcPr>
            <w:tcW w:w="968" w:type="pct"/>
            <w:noWrap w:val="0"/>
            <w:vAlign w:val="center"/>
          </w:tcPr>
          <w:p w14:paraId="5A271238">
            <w:pPr>
              <w:jc w:val="center"/>
              <w:rPr>
                <w:rFonts w:ascii="宋体" w:hAnsi="宋体" w:cs="宋体"/>
                <w:color w:val="auto"/>
                <w:kern w:val="0"/>
                <w:szCs w:val="21"/>
                <w:highlight w:val="none"/>
              </w:rPr>
            </w:pPr>
          </w:p>
        </w:tc>
      </w:tr>
      <w:tr w14:paraId="105056FA">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619" w:type="pct"/>
            <w:noWrap w:val="0"/>
            <w:vAlign w:val="center"/>
          </w:tcPr>
          <w:p w14:paraId="01C8DA2E">
            <w:pPr>
              <w:jc w:val="center"/>
              <w:rPr>
                <w:rFonts w:ascii="宋体" w:hAnsi="宋体" w:cs="宋体"/>
                <w:color w:val="auto"/>
                <w:kern w:val="0"/>
                <w:szCs w:val="21"/>
                <w:highlight w:val="none"/>
              </w:rPr>
            </w:pPr>
            <w:r>
              <w:rPr>
                <w:rFonts w:hint="eastAsia" w:ascii="宋体" w:hAnsi="宋体" w:cs="宋体"/>
                <w:color w:val="auto"/>
                <w:kern w:val="0"/>
                <w:szCs w:val="21"/>
                <w:highlight w:val="none"/>
              </w:rPr>
              <w:t>可持续加热时长</w:t>
            </w:r>
          </w:p>
        </w:tc>
        <w:tc>
          <w:tcPr>
            <w:tcW w:w="1335" w:type="pct"/>
            <w:noWrap w:val="0"/>
            <w:vAlign w:val="center"/>
          </w:tcPr>
          <w:p w14:paraId="1A70DE64">
            <w:pPr>
              <w:jc w:val="center"/>
              <w:rPr>
                <w:rFonts w:ascii="宋体" w:hAnsi="宋体" w:cs="宋体"/>
                <w:color w:val="auto"/>
                <w:kern w:val="0"/>
                <w:szCs w:val="21"/>
                <w:highlight w:val="none"/>
              </w:rPr>
            </w:pPr>
          </w:p>
        </w:tc>
        <w:tc>
          <w:tcPr>
            <w:tcW w:w="1078" w:type="pct"/>
            <w:noWrap w:val="0"/>
            <w:vAlign w:val="center"/>
          </w:tcPr>
          <w:p w14:paraId="6F9006BD">
            <w:pPr>
              <w:jc w:val="center"/>
              <w:rPr>
                <w:rFonts w:ascii="宋体" w:hAnsi="宋体" w:cs="宋体"/>
                <w:color w:val="auto"/>
                <w:kern w:val="0"/>
                <w:szCs w:val="21"/>
                <w:highlight w:val="none"/>
              </w:rPr>
            </w:pPr>
            <w:r>
              <w:rPr>
                <w:rFonts w:hint="eastAsia" w:ascii="宋体" w:hAnsi="宋体" w:cs="宋体"/>
                <w:color w:val="auto"/>
                <w:kern w:val="0"/>
                <w:szCs w:val="21"/>
                <w:highlight w:val="none"/>
              </w:rPr>
              <w:t>12小时</w:t>
            </w:r>
          </w:p>
        </w:tc>
        <w:tc>
          <w:tcPr>
            <w:tcW w:w="968" w:type="pct"/>
            <w:noWrap w:val="0"/>
            <w:vAlign w:val="center"/>
          </w:tcPr>
          <w:p w14:paraId="2DCD1570">
            <w:pPr>
              <w:jc w:val="center"/>
              <w:rPr>
                <w:rFonts w:ascii="宋体" w:hAnsi="宋体" w:cs="宋体"/>
                <w:color w:val="auto"/>
                <w:kern w:val="0"/>
                <w:szCs w:val="21"/>
                <w:highlight w:val="none"/>
              </w:rPr>
            </w:pPr>
          </w:p>
        </w:tc>
      </w:tr>
      <w:tr w14:paraId="68526EF9">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94" w:hRule="atLeast"/>
          <w:jc w:val="center"/>
        </w:trPr>
        <w:tc>
          <w:tcPr>
            <w:tcW w:w="1619" w:type="pct"/>
            <w:noWrap w:val="0"/>
            <w:vAlign w:val="center"/>
          </w:tcPr>
          <w:p w14:paraId="2B509464">
            <w:pPr>
              <w:jc w:val="center"/>
              <w:rPr>
                <w:rFonts w:ascii="宋体" w:hAnsi="宋体" w:cs="宋体"/>
                <w:color w:val="auto"/>
                <w:kern w:val="0"/>
                <w:szCs w:val="21"/>
                <w:highlight w:val="none"/>
              </w:rPr>
            </w:pPr>
            <w:r>
              <w:rPr>
                <w:rFonts w:hint="eastAsia" w:ascii="宋体" w:hAnsi="宋体" w:cs="宋体"/>
                <w:color w:val="auto"/>
                <w:kern w:val="0"/>
                <w:szCs w:val="21"/>
                <w:highlight w:val="none"/>
              </w:rPr>
              <w:t>最低加热施工温度</w:t>
            </w:r>
          </w:p>
        </w:tc>
        <w:tc>
          <w:tcPr>
            <w:tcW w:w="1335" w:type="pct"/>
            <w:noWrap w:val="0"/>
            <w:vAlign w:val="center"/>
          </w:tcPr>
          <w:p w14:paraId="6D16E9B3">
            <w:pPr>
              <w:jc w:val="center"/>
              <w:rPr>
                <w:rFonts w:ascii="宋体" w:hAnsi="宋体" w:cs="宋体"/>
                <w:color w:val="auto"/>
                <w:kern w:val="0"/>
                <w:szCs w:val="21"/>
                <w:highlight w:val="none"/>
              </w:rPr>
            </w:pPr>
          </w:p>
        </w:tc>
        <w:tc>
          <w:tcPr>
            <w:tcW w:w="1078" w:type="pct"/>
            <w:noWrap w:val="0"/>
            <w:vAlign w:val="center"/>
          </w:tcPr>
          <w:p w14:paraId="01DF3C5D">
            <w:pPr>
              <w:jc w:val="center"/>
              <w:rPr>
                <w:rFonts w:ascii="宋体" w:hAnsi="宋体" w:cs="宋体"/>
                <w:color w:val="auto"/>
                <w:kern w:val="0"/>
                <w:szCs w:val="21"/>
                <w:highlight w:val="none"/>
              </w:rPr>
            </w:pPr>
            <w:r>
              <w:rPr>
                <w:rFonts w:hint="eastAsia" w:ascii="宋体" w:hAnsi="宋体" w:cs="宋体"/>
                <w:color w:val="auto"/>
                <w:kern w:val="0"/>
                <w:szCs w:val="21"/>
                <w:highlight w:val="none"/>
              </w:rPr>
              <w:t>193℃</w:t>
            </w:r>
          </w:p>
        </w:tc>
        <w:tc>
          <w:tcPr>
            <w:tcW w:w="968" w:type="pct"/>
            <w:noWrap w:val="0"/>
            <w:vAlign w:val="center"/>
          </w:tcPr>
          <w:p w14:paraId="7A8CF963">
            <w:pPr>
              <w:jc w:val="center"/>
              <w:rPr>
                <w:rFonts w:ascii="宋体" w:hAnsi="宋体" w:cs="宋体"/>
                <w:color w:val="auto"/>
                <w:kern w:val="0"/>
                <w:szCs w:val="21"/>
                <w:highlight w:val="none"/>
              </w:rPr>
            </w:pPr>
          </w:p>
        </w:tc>
      </w:tr>
      <w:tr w14:paraId="59FF3708">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619" w:type="pct"/>
            <w:noWrap w:val="0"/>
            <w:vAlign w:val="center"/>
          </w:tcPr>
          <w:p w14:paraId="775C3348">
            <w:pPr>
              <w:jc w:val="center"/>
              <w:rPr>
                <w:rFonts w:ascii="宋体" w:hAnsi="宋体" w:cs="宋体"/>
                <w:color w:val="auto"/>
                <w:kern w:val="0"/>
                <w:szCs w:val="21"/>
                <w:highlight w:val="none"/>
              </w:rPr>
            </w:pPr>
            <w:r>
              <w:rPr>
                <w:rFonts w:hint="eastAsia" w:ascii="宋体" w:hAnsi="宋体" w:cs="宋体"/>
                <w:color w:val="auto"/>
                <w:kern w:val="0"/>
                <w:szCs w:val="21"/>
                <w:highlight w:val="none"/>
              </w:rPr>
              <w:t>最高安全加热温度</w:t>
            </w:r>
          </w:p>
        </w:tc>
        <w:tc>
          <w:tcPr>
            <w:tcW w:w="1335" w:type="pct"/>
            <w:noWrap w:val="0"/>
            <w:vAlign w:val="center"/>
          </w:tcPr>
          <w:p w14:paraId="6F4B5C8C">
            <w:pPr>
              <w:jc w:val="center"/>
              <w:rPr>
                <w:rFonts w:ascii="宋体" w:hAnsi="宋体" w:cs="宋体"/>
                <w:color w:val="auto"/>
                <w:kern w:val="0"/>
                <w:szCs w:val="21"/>
                <w:highlight w:val="none"/>
              </w:rPr>
            </w:pPr>
          </w:p>
        </w:tc>
        <w:tc>
          <w:tcPr>
            <w:tcW w:w="1078" w:type="pct"/>
            <w:noWrap w:val="0"/>
            <w:vAlign w:val="center"/>
          </w:tcPr>
          <w:p w14:paraId="327E4596">
            <w:pPr>
              <w:jc w:val="center"/>
              <w:rPr>
                <w:rFonts w:ascii="宋体" w:hAnsi="宋体" w:cs="宋体"/>
                <w:color w:val="auto"/>
                <w:kern w:val="0"/>
                <w:szCs w:val="21"/>
                <w:highlight w:val="none"/>
              </w:rPr>
            </w:pPr>
          </w:p>
        </w:tc>
        <w:tc>
          <w:tcPr>
            <w:tcW w:w="968" w:type="pct"/>
            <w:noWrap w:val="0"/>
            <w:vAlign w:val="center"/>
          </w:tcPr>
          <w:p w14:paraId="353CAA9F">
            <w:pPr>
              <w:jc w:val="center"/>
              <w:rPr>
                <w:rFonts w:ascii="宋体" w:hAnsi="宋体" w:cs="宋体"/>
                <w:color w:val="auto"/>
                <w:kern w:val="0"/>
                <w:szCs w:val="21"/>
                <w:highlight w:val="none"/>
              </w:rPr>
            </w:pPr>
            <w:r>
              <w:rPr>
                <w:rFonts w:hint="eastAsia" w:ascii="宋体" w:hAnsi="宋体" w:cs="宋体"/>
                <w:color w:val="auto"/>
                <w:kern w:val="0"/>
                <w:szCs w:val="21"/>
                <w:highlight w:val="none"/>
              </w:rPr>
              <w:t>204℃</w:t>
            </w:r>
          </w:p>
        </w:tc>
      </w:tr>
    </w:tbl>
    <w:p w14:paraId="0975E3C4">
      <w:pPr>
        <w:spacing w:line="440" w:lineRule="exact"/>
        <w:ind w:firstLine="525" w:firstLineChars="250"/>
        <w:rPr>
          <w:rFonts w:ascii="宋体" w:hAnsi="宋体"/>
          <w:color w:val="auto"/>
          <w:szCs w:val="21"/>
          <w:highlight w:val="none"/>
        </w:rPr>
      </w:pPr>
      <w:r>
        <w:rPr>
          <w:rFonts w:hint="eastAsia" w:ascii="宋体" w:hAnsi="宋体"/>
          <w:color w:val="auto"/>
          <w:szCs w:val="21"/>
          <w:highlight w:val="none"/>
        </w:rPr>
        <w:t>（3）质量控制与验收指标</w:t>
      </w:r>
    </w:p>
    <w:p w14:paraId="101D93B2">
      <w:pPr>
        <w:spacing w:line="440" w:lineRule="exact"/>
        <w:ind w:firstLine="525" w:firstLineChars="250"/>
        <w:rPr>
          <w:rFonts w:ascii="宋体" w:hAnsi="宋体"/>
          <w:color w:val="auto"/>
          <w:szCs w:val="21"/>
          <w:highlight w:val="none"/>
        </w:rPr>
      </w:pPr>
      <w:r>
        <w:rPr>
          <w:rFonts w:hint="eastAsia" w:ascii="宋体" w:hAnsi="宋体"/>
          <w:color w:val="auto"/>
          <w:szCs w:val="21"/>
          <w:highlight w:val="none"/>
        </w:rPr>
        <w:t>1）施工过程质量控制</w:t>
      </w:r>
    </w:p>
    <w:p w14:paraId="02CAD91D">
      <w:pPr>
        <w:spacing w:line="440" w:lineRule="exact"/>
        <w:ind w:firstLine="525" w:firstLineChars="250"/>
        <w:rPr>
          <w:rFonts w:ascii="宋体" w:hAnsi="宋体"/>
          <w:color w:val="auto"/>
          <w:szCs w:val="21"/>
          <w:highlight w:val="none"/>
        </w:rPr>
      </w:pPr>
      <w:r>
        <w:rPr>
          <w:rFonts w:hint="eastAsia" w:ascii="宋体" w:hAnsi="宋体"/>
          <w:color w:val="auto"/>
          <w:szCs w:val="21"/>
          <w:highlight w:val="none"/>
        </w:rPr>
        <w:t>施工过程中的质量控制一般由施工单位进行自检。各路段养护施工单位都需要设有专职质检员负责工程的质量自检工作，自检项目、频率及方法如下表示。</w:t>
      </w:r>
    </w:p>
    <w:p w14:paraId="66B56444">
      <w:pPr>
        <w:tabs>
          <w:tab w:val="left" w:pos="0"/>
        </w:tabs>
        <w:suppressAutoHyphens/>
        <w:adjustRightInd w:val="0"/>
        <w:snapToGrid w:val="0"/>
        <w:spacing w:line="600" w:lineRule="exact"/>
        <w:jc w:val="center"/>
        <w:outlineLvl w:val="0"/>
        <w:rPr>
          <w:rFonts w:ascii="宋体" w:hAnsi="宋体" w:cs="宋体-方正超大字符集"/>
          <w:b/>
          <w:color w:val="auto"/>
          <w:sz w:val="24"/>
          <w:highlight w:val="none"/>
        </w:rPr>
      </w:pPr>
      <w:r>
        <w:rPr>
          <w:rFonts w:hint="eastAsia" w:ascii="宋体" w:hAnsi="宋体" w:cs="宋体-方正超大字符集"/>
          <w:b/>
          <w:color w:val="auto"/>
          <w:sz w:val="24"/>
          <w:highlight w:val="none"/>
        </w:rPr>
        <w:t>施工过程质量控制要求</w:t>
      </w:r>
    </w:p>
    <w:tbl>
      <w:tblPr>
        <w:tblStyle w:val="51"/>
        <w:tblW w:w="5000" w:type="pct"/>
        <w:tblInd w:w="0"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autofit"/>
        <w:tblCellMar>
          <w:top w:w="0" w:type="dxa"/>
          <w:left w:w="108" w:type="dxa"/>
          <w:bottom w:w="0" w:type="dxa"/>
          <w:right w:w="108" w:type="dxa"/>
        </w:tblCellMar>
      </w:tblPr>
      <w:tblGrid>
        <w:gridCol w:w="1595"/>
        <w:gridCol w:w="3126"/>
        <w:gridCol w:w="1404"/>
        <w:gridCol w:w="2641"/>
      </w:tblGrid>
      <w:tr w14:paraId="01DED82B">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352" w:hRule="atLeast"/>
        </w:trPr>
        <w:tc>
          <w:tcPr>
            <w:tcW w:w="910" w:type="pct"/>
            <w:noWrap w:val="0"/>
            <w:vAlign w:val="center"/>
          </w:tcPr>
          <w:p w14:paraId="08553A63">
            <w:pPr>
              <w:suppressAutoHyphens/>
              <w:jc w:val="center"/>
              <w:rPr>
                <w:rFonts w:ascii="宋体" w:hAnsi="宋体" w:cs="宋体"/>
                <w:color w:val="auto"/>
                <w:szCs w:val="21"/>
                <w:highlight w:val="none"/>
              </w:rPr>
            </w:pPr>
            <w:r>
              <w:rPr>
                <w:rFonts w:hint="eastAsia" w:ascii="宋体" w:hAnsi="宋体" w:cs="宋体"/>
                <w:color w:val="auto"/>
                <w:szCs w:val="21"/>
                <w:highlight w:val="none"/>
              </w:rPr>
              <w:t>项目</w:t>
            </w:r>
          </w:p>
        </w:tc>
        <w:tc>
          <w:tcPr>
            <w:tcW w:w="1783" w:type="pct"/>
            <w:noWrap w:val="0"/>
            <w:vAlign w:val="center"/>
          </w:tcPr>
          <w:p w14:paraId="55911F62">
            <w:pPr>
              <w:suppressAutoHyphens/>
              <w:jc w:val="center"/>
              <w:rPr>
                <w:rFonts w:ascii="宋体" w:hAnsi="宋体" w:cs="宋体"/>
                <w:color w:val="auto"/>
                <w:szCs w:val="21"/>
                <w:highlight w:val="none"/>
              </w:rPr>
            </w:pPr>
            <w:r>
              <w:rPr>
                <w:rFonts w:hint="eastAsia" w:ascii="宋体" w:hAnsi="宋体" w:cs="宋体"/>
                <w:color w:val="auto"/>
                <w:szCs w:val="21"/>
                <w:highlight w:val="none"/>
              </w:rPr>
              <w:t>要求</w:t>
            </w:r>
          </w:p>
        </w:tc>
        <w:tc>
          <w:tcPr>
            <w:tcW w:w="801" w:type="pct"/>
            <w:noWrap w:val="0"/>
            <w:vAlign w:val="center"/>
          </w:tcPr>
          <w:p w14:paraId="618FAEFF">
            <w:pPr>
              <w:suppressAutoHyphens/>
              <w:jc w:val="center"/>
              <w:rPr>
                <w:rFonts w:ascii="宋体" w:hAnsi="宋体" w:cs="宋体"/>
                <w:color w:val="auto"/>
                <w:szCs w:val="21"/>
                <w:highlight w:val="none"/>
              </w:rPr>
            </w:pPr>
            <w:r>
              <w:rPr>
                <w:rFonts w:hint="eastAsia" w:ascii="宋体" w:hAnsi="宋体" w:cs="宋体"/>
                <w:color w:val="auto"/>
                <w:szCs w:val="21"/>
                <w:highlight w:val="none"/>
              </w:rPr>
              <w:t>检验频率</w:t>
            </w:r>
          </w:p>
        </w:tc>
        <w:tc>
          <w:tcPr>
            <w:tcW w:w="1506" w:type="pct"/>
            <w:noWrap w:val="0"/>
            <w:vAlign w:val="center"/>
          </w:tcPr>
          <w:p w14:paraId="40D21DE1">
            <w:pPr>
              <w:suppressAutoHyphens/>
              <w:jc w:val="center"/>
              <w:rPr>
                <w:rFonts w:ascii="宋体" w:hAnsi="宋体" w:cs="宋体"/>
                <w:color w:val="auto"/>
                <w:szCs w:val="21"/>
                <w:highlight w:val="none"/>
              </w:rPr>
            </w:pPr>
            <w:r>
              <w:rPr>
                <w:rFonts w:hint="eastAsia" w:ascii="宋体" w:hAnsi="宋体" w:cs="宋体"/>
                <w:color w:val="auto"/>
                <w:szCs w:val="21"/>
                <w:highlight w:val="none"/>
              </w:rPr>
              <w:t>检验方法</w:t>
            </w:r>
          </w:p>
        </w:tc>
      </w:tr>
      <w:tr w14:paraId="7F469DD5">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910" w:type="pct"/>
            <w:noWrap w:val="0"/>
            <w:vAlign w:val="center"/>
          </w:tcPr>
          <w:p w14:paraId="6D79A887">
            <w:pPr>
              <w:suppressAutoHyphens/>
              <w:jc w:val="center"/>
              <w:rPr>
                <w:rFonts w:ascii="宋体" w:hAnsi="宋体" w:cs="宋体"/>
                <w:color w:val="auto"/>
                <w:szCs w:val="21"/>
                <w:highlight w:val="none"/>
              </w:rPr>
            </w:pPr>
            <w:r>
              <w:rPr>
                <w:rFonts w:hint="eastAsia" w:ascii="宋体" w:hAnsi="宋体" w:cs="宋体"/>
                <w:color w:val="auto"/>
                <w:szCs w:val="21"/>
                <w:highlight w:val="none"/>
              </w:rPr>
              <w:t>贴封层厚度</w:t>
            </w:r>
          </w:p>
        </w:tc>
        <w:tc>
          <w:tcPr>
            <w:tcW w:w="1783" w:type="pct"/>
            <w:noWrap w:val="0"/>
            <w:vAlign w:val="center"/>
          </w:tcPr>
          <w:p w14:paraId="1973CE43">
            <w:pPr>
              <w:suppressAutoHyphens/>
              <w:jc w:val="center"/>
              <w:rPr>
                <w:rFonts w:ascii="宋体" w:hAnsi="宋体" w:cs="宋体"/>
                <w:color w:val="auto"/>
                <w:szCs w:val="21"/>
                <w:highlight w:val="none"/>
              </w:rPr>
            </w:pPr>
            <w:r>
              <w:rPr>
                <w:rFonts w:hint="eastAsia" w:ascii="宋体" w:hAnsi="宋体" w:cs="宋体"/>
                <w:color w:val="auto"/>
                <w:szCs w:val="21"/>
                <w:highlight w:val="none"/>
              </w:rPr>
              <w:t>≤3毫米</w:t>
            </w:r>
          </w:p>
        </w:tc>
        <w:tc>
          <w:tcPr>
            <w:tcW w:w="801" w:type="pct"/>
            <w:noWrap w:val="0"/>
            <w:vAlign w:val="center"/>
          </w:tcPr>
          <w:p w14:paraId="1D9EF7EB">
            <w:pPr>
              <w:suppressAutoHyphens/>
              <w:jc w:val="center"/>
              <w:rPr>
                <w:rFonts w:ascii="宋体" w:hAnsi="宋体" w:cs="宋体"/>
                <w:color w:val="auto"/>
                <w:szCs w:val="21"/>
                <w:highlight w:val="none"/>
              </w:rPr>
            </w:pPr>
            <w:r>
              <w:rPr>
                <w:rFonts w:hint="eastAsia" w:ascii="宋体" w:hAnsi="宋体" w:cs="宋体"/>
                <w:color w:val="auto"/>
                <w:szCs w:val="21"/>
                <w:highlight w:val="none"/>
              </w:rPr>
              <w:t>1次/100m</w:t>
            </w:r>
          </w:p>
        </w:tc>
        <w:tc>
          <w:tcPr>
            <w:tcW w:w="1506" w:type="pct"/>
            <w:noWrap w:val="0"/>
            <w:vAlign w:val="center"/>
          </w:tcPr>
          <w:p w14:paraId="756F797C">
            <w:pPr>
              <w:suppressAutoHyphens/>
              <w:jc w:val="center"/>
              <w:rPr>
                <w:rFonts w:ascii="宋体" w:hAnsi="宋体" w:cs="宋体"/>
                <w:color w:val="auto"/>
                <w:szCs w:val="21"/>
                <w:highlight w:val="none"/>
              </w:rPr>
            </w:pPr>
            <w:r>
              <w:rPr>
                <w:rFonts w:hint="eastAsia" w:ascii="宋体" w:hAnsi="宋体" w:cs="宋体"/>
                <w:color w:val="auto"/>
                <w:szCs w:val="21"/>
                <w:highlight w:val="none"/>
              </w:rPr>
              <w:t>钢尺测量或其他有效手段</w:t>
            </w:r>
          </w:p>
        </w:tc>
      </w:tr>
      <w:tr w14:paraId="41C3F5D5">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366" w:hRule="atLeast"/>
        </w:trPr>
        <w:tc>
          <w:tcPr>
            <w:tcW w:w="910" w:type="pct"/>
            <w:vMerge w:val="restart"/>
            <w:noWrap w:val="0"/>
            <w:vAlign w:val="center"/>
          </w:tcPr>
          <w:p w14:paraId="3E297897">
            <w:pPr>
              <w:suppressAutoHyphens/>
              <w:jc w:val="center"/>
              <w:rPr>
                <w:rFonts w:ascii="宋体" w:hAnsi="宋体" w:cs="宋体"/>
                <w:color w:val="auto"/>
                <w:szCs w:val="21"/>
                <w:highlight w:val="none"/>
              </w:rPr>
            </w:pPr>
            <w:r>
              <w:rPr>
                <w:rFonts w:hint="eastAsia" w:ascii="宋体" w:hAnsi="宋体" w:cs="宋体"/>
                <w:color w:val="auto"/>
                <w:szCs w:val="21"/>
                <w:highlight w:val="none"/>
              </w:rPr>
              <w:t>外观</w:t>
            </w:r>
          </w:p>
        </w:tc>
        <w:tc>
          <w:tcPr>
            <w:tcW w:w="1783" w:type="pct"/>
            <w:noWrap w:val="0"/>
            <w:vAlign w:val="center"/>
          </w:tcPr>
          <w:p w14:paraId="467A8A2B">
            <w:pPr>
              <w:suppressAutoHyphens/>
              <w:jc w:val="center"/>
              <w:rPr>
                <w:rFonts w:ascii="宋体" w:hAnsi="宋体" w:cs="宋体"/>
                <w:color w:val="auto"/>
                <w:szCs w:val="21"/>
                <w:highlight w:val="none"/>
              </w:rPr>
            </w:pPr>
            <w:r>
              <w:rPr>
                <w:rFonts w:hint="eastAsia" w:ascii="宋体" w:hAnsi="宋体" w:cs="宋体"/>
                <w:color w:val="auto"/>
                <w:szCs w:val="21"/>
                <w:highlight w:val="none"/>
              </w:rPr>
              <w:t>贴封层边缘整齐，表面平整</w:t>
            </w:r>
          </w:p>
        </w:tc>
        <w:tc>
          <w:tcPr>
            <w:tcW w:w="801" w:type="pct"/>
            <w:noWrap w:val="0"/>
            <w:vAlign w:val="center"/>
          </w:tcPr>
          <w:p w14:paraId="2012EA88">
            <w:pPr>
              <w:suppressAutoHyphens/>
              <w:jc w:val="center"/>
              <w:rPr>
                <w:rFonts w:ascii="宋体" w:hAnsi="宋体" w:cs="宋体"/>
                <w:color w:val="auto"/>
                <w:szCs w:val="21"/>
                <w:highlight w:val="none"/>
              </w:rPr>
            </w:pPr>
            <w:r>
              <w:rPr>
                <w:rFonts w:hint="eastAsia" w:ascii="宋体" w:hAnsi="宋体" w:cs="宋体"/>
                <w:color w:val="auto"/>
                <w:szCs w:val="21"/>
                <w:highlight w:val="none"/>
              </w:rPr>
              <w:t>全线连续</w:t>
            </w:r>
          </w:p>
        </w:tc>
        <w:tc>
          <w:tcPr>
            <w:tcW w:w="1506" w:type="pct"/>
            <w:noWrap w:val="0"/>
            <w:vAlign w:val="center"/>
          </w:tcPr>
          <w:p w14:paraId="379298EB">
            <w:pPr>
              <w:suppressAutoHyphens/>
              <w:jc w:val="center"/>
              <w:rPr>
                <w:rFonts w:ascii="宋体" w:hAnsi="宋体" w:cs="宋体"/>
                <w:color w:val="auto"/>
                <w:szCs w:val="21"/>
                <w:highlight w:val="none"/>
              </w:rPr>
            </w:pPr>
            <w:r>
              <w:rPr>
                <w:rFonts w:hint="eastAsia" w:ascii="宋体" w:hAnsi="宋体" w:cs="宋体"/>
                <w:color w:val="auto"/>
                <w:szCs w:val="21"/>
                <w:highlight w:val="none"/>
              </w:rPr>
              <w:t>目测</w:t>
            </w:r>
          </w:p>
        </w:tc>
      </w:tr>
      <w:tr w14:paraId="364CD423">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257" w:hRule="atLeast"/>
        </w:trPr>
        <w:tc>
          <w:tcPr>
            <w:tcW w:w="910" w:type="pct"/>
            <w:vMerge w:val="continue"/>
            <w:noWrap w:val="0"/>
            <w:vAlign w:val="center"/>
          </w:tcPr>
          <w:p w14:paraId="3A384A0B">
            <w:pPr>
              <w:suppressAutoHyphens/>
              <w:jc w:val="center"/>
              <w:rPr>
                <w:rFonts w:ascii="宋体" w:hAnsi="宋体" w:cs="宋体"/>
                <w:color w:val="auto"/>
                <w:szCs w:val="21"/>
                <w:highlight w:val="none"/>
              </w:rPr>
            </w:pPr>
          </w:p>
        </w:tc>
        <w:tc>
          <w:tcPr>
            <w:tcW w:w="1783" w:type="pct"/>
            <w:noWrap w:val="0"/>
            <w:vAlign w:val="center"/>
          </w:tcPr>
          <w:p w14:paraId="37C3E393">
            <w:pPr>
              <w:suppressAutoHyphens/>
              <w:jc w:val="center"/>
              <w:rPr>
                <w:rFonts w:ascii="宋体" w:hAnsi="宋体" w:cs="宋体"/>
                <w:color w:val="auto"/>
                <w:szCs w:val="21"/>
                <w:highlight w:val="none"/>
              </w:rPr>
            </w:pPr>
            <w:r>
              <w:rPr>
                <w:rFonts w:hint="eastAsia" w:ascii="宋体" w:hAnsi="宋体" w:cs="宋体"/>
                <w:color w:val="auto"/>
                <w:szCs w:val="21"/>
                <w:highlight w:val="none"/>
              </w:rPr>
              <w:t>贴封层表面光滑，无气泡</w:t>
            </w:r>
          </w:p>
        </w:tc>
        <w:tc>
          <w:tcPr>
            <w:tcW w:w="801" w:type="pct"/>
            <w:noWrap w:val="0"/>
            <w:vAlign w:val="center"/>
          </w:tcPr>
          <w:p w14:paraId="7EB2ED92">
            <w:pPr>
              <w:suppressAutoHyphens/>
              <w:jc w:val="center"/>
              <w:rPr>
                <w:rFonts w:ascii="宋体" w:hAnsi="宋体" w:cs="宋体"/>
                <w:color w:val="auto"/>
                <w:szCs w:val="21"/>
                <w:highlight w:val="none"/>
              </w:rPr>
            </w:pPr>
            <w:r>
              <w:rPr>
                <w:rFonts w:hint="eastAsia" w:ascii="宋体" w:hAnsi="宋体" w:cs="宋体"/>
                <w:color w:val="auto"/>
                <w:szCs w:val="21"/>
                <w:highlight w:val="none"/>
              </w:rPr>
              <w:t>全线连续</w:t>
            </w:r>
          </w:p>
        </w:tc>
        <w:tc>
          <w:tcPr>
            <w:tcW w:w="1506" w:type="pct"/>
            <w:noWrap w:val="0"/>
            <w:vAlign w:val="center"/>
          </w:tcPr>
          <w:p w14:paraId="5B61EED5">
            <w:pPr>
              <w:suppressAutoHyphens/>
              <w:jc w:val="center"/>
              <w:rPr>
                <w:rFonts w:ascii="宋体" w:hAnsi="宋体" w:cs="宋体"/>
                <w:color w:val="auto"/>
                <w:szCs w:val="21"/>
                <w:highlight w:val="none"/>
              </w:rPr>
            </w:pPr>
            <w:r>
              <w:rPr>
                <w:rFonts w:hint="eastAsia" w:ascii="宋体" w:hAnsi="宋体" w:cs="宋体"/>
                <w:color w:val="auto"/>
                <w:szCs w:val="21"/>
                <w:highlight w:val="none"/>
              </w:rPr>
              <w:t>目测</w:t>
            </w:r>
          </w:p>
        </w:tc>
      </w:tr>
      <w:tr w14:paraId="76CF050F">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258" w:hRule="atLeast"/>
        </w:trPr>
        <w:tc>
          <w:tcPr>
            <w:tcW w:w="910" w:type="pct"/>
            <w:noWrap w:val="0"/>
            <w:vAlign w:val="center"/>
          </w:tcPr>
          <w:p w14:paraId="00713C1C">
            <w:pPr>
              <w:suppressAutoHyphens/>
              <w:jc w:val="center"/>
              <w:rPr>
                <w:rFonts w:ascii="宋体" w:hAnsi="宋体" w:cs="宋体"/>
                <w:color w:val="auto"/>
                <w:szCs w:val="21"/>
                <w:highlight w:val="none"/>
              </w:rPr>
            </w:pPr>
            <w:r>
              <w:rPr>
                <w:rFonts w:hint="eastAsia" w:ascii="宋体" w:hAnsi="宋体" w:cs="宋体"/>
                <w:color w:val="auto"/>
                <w:szCs w:val="21"/>
                <w:highlight w:val="none"/>
              </w:rPr>
              <w:t>行驶性</w:t>
            </w:r>
          </w:p>
        </w:tc>
        <w:tc>
          <w:tcPr>
            <w:tcW w:w="1783" w:type="pct"/>
            <w:noWrap w:val="0"/>
            <w:vAlign w:val="center"/>
          </w:tcPr>
          <w:p w14:paraId="79A5CE94">
            <w:pPr>
              <w:suppressAutoHyphens/>
              <w:jc w:val="center"/>
              <w:rPr>
                <w:rFonts w:ascii="宋体" w:hAnsi="宋体" w:cs="宋体"/>
                <w:color w:val="auto"/>
                <w:szCs w:val="21"/>
                <w:highlight w:val="none"/>
              </w:rPr>
            </w:pPr>
            <w:r>
              <w:rPr>
                <w:rFonts w:hint="eastAsia" w:ascii="宋体" w:hAnsi="宋体" w:cs="宋体"/>
                <w:color w:val="auto"/>
                <w:szCs w:val="21"/>
                <w:highlight w:val="none"/>
              </w:rPr>
              <w:t>车辆碾压不粘胎、不变形</w:t>
            </w:r>
          </w:p>
        </w:tc>
        <w:tc>
          <w:tcPr>
            <w:tcW w:w="801" w:type="pct"/>
            <w:noWrap w:val="0"/>
            <w:vAlign w:val="center"/>
          </w:tcPr>
          <w:p w14:paraId="401C78C9">
            <w:pPr>
              <w:suppressAutoHyphens/>
              <w:jc w:val="center"/>
              <w:rPr>
                <w:rFonts w:ascii="宋体" w:hAnsi="宋体" w:cs="宋体"/>
                <w:color w:val="auto"/>
                <w:szCs w:val="21"/>
                <w:highlight w:val="none"/>
              </w:rPr>
            </w:pPr>
            <w:r>
              <w:rPr>
                <w:rFonts w:hint="eastAsia" w:ascii="宋体" w:hAnsi="宋体" w:cs="宋体"/>
                <w:color w:val="auto"/>
                <w:szCs w:val="21"/>
                <w:highlight w:val="none"/>
              </w:rPr>
              <w:t>全线连续</w:t>
            </w:r>
          </w:p>
        </w:tc>
        <w:tc>
          <w:tcPr>
            <w:tcW w:w="1506" w:type="pct"/>
            <w:noWrap w:val="0"/>
            <w:vAlign w:val="center"/>
          </w:tcPr>
          <w:p w14:paraId="3266C2E0">
            <w:pPr>
              <w:suppressAutoHyphens/>
              <w:jc w:val="center"/>
              <w:rPr>
                <w:rFonts w:ascii="宋体" w:hAnsi="宋体" w:cs="宋体"/>
                <w:color w:val="auto"/>
                <w:szCs w:val="21"/>
                <w:highlight w:val="none"/>
              </w:rPr>
            </w:pPr>
            <w:r>
              <w:rPr>
                <w:rFonts w:hint="eastAsia" w:ascii="宋体" w:hAnsi="宋体" w:cs="宋体"/>
                <w:color w:val="auto"/>
                <w:szCs w:val="21"/>
                <w:highlight w:val="none"/>
              </w:rPr>
              <w:t>目测</w:t>
            </w:r>
          </w:p>
        </w:tc>
      </w:tr>
    </w:tbl>
    <w:p w14:paraId="216949E1">
      <w:pPr>
        <w:spacing w:line="440" w:lineRule="exact"/>
        <w:ind w:firstLine="525" w:firstLineChars="250"/>
        <w:rPr>
          <w:rFonts w:ascii="宋体" w:hAnsi="宋体"/>
          <w:color w:val="auto"/>
          <w:szCs w:val="21"/>
          <w:highlight w:val="none"/>
        </w:rPr>
      </w:pPr>
      <w:r>
        <w:rPr>
          <w:rFonts w:hint="eastAsia" w:ascii="宋体" w:hAnsi="宋体"/>
          <w:color w:val="auto"/>
          <w:szCs w:val="21"/>
          <w:highlight w:val="none"/>
        </w:rPr>
        <w:t>2）验收指标</w:t>
      </w:r>
    </w:p>
    <w:p w14:paraId="2E2EFBF9">
      <w:pPr>
        <w:spacing w:line="440" w:lineRule="exact"/>
        <w:ind w:firstLine="525" w:firstLineChars="250"/>
        <w:rPr>
          <w:rFonts w:ascii="宋体" w:hAnsi="宋体"/>
          <w:color w:val="auto"/>
          <w:szCs w:val="21"/>
          <w:highlight w:val="none"/>
        </w:rPr>
      </w:pPr>
      <w:r>
        <w:rPr>
          <w:rFonts w:ascii="宋体" w:hAnsi="宋体"/>
          <w:color w:val="auto"/>
          <w:szCs w:val="21"/>
          <w:highlight w:val="none"/>
        </w:rPr>
        <w:t>长寿命沥青路面柔性修复工艺</w:t>
      </w:r>
      <w:r>
        <w:rPr>
          <w:rFonts w:hint="eastAsia" w:ascii="宋体" w:hAnsi="宋体"/>
          <w:color w:val="auto"/>
          <w:szCs w:val="21"/>
          <w:highlight w:val="none"/>
        </w:rPr>
        <w:t>的工程验收以现场抽检为主。验收项目、要求和方法如表3.2所示。</w:t>
      </w:r>
    </w:p>
    <w:p w14:paraId="03A22150">
      <w:pPr>
        <w:tabs>
          <w:tab w:val="left" w:pos="0"/>
        </w:tabs>
        <w:suppressAutoHyphens/>
        <w:adjustRightInd w:val="0"/>
        <w:snapToGrid w:val="0"/>
        <w:spacing w:line="600" w:lineRule="exact"/>
        <w:jc w:val="center"/>
        <w:outlineLvl w:val="0"/>
        <w:rPr>
          <w:rFonts w:ascii="宋体" w:hAnsi="宋体" w:cs="宋体-方正超大字符集"/>
          <w:b/>
          <w:color w:val="auto"/>
          <w:sz w:val="24"/>
          <w:highlight w:val="none"/>
        </w:rPr>
      </w:pPr>
      <w:r>
        <w:rPr>
          <w:rFonts w:ascii="宋体" w:hAnsi="宋体" w:cs="宋体-方正超大字符集"/>
          <w:b/>
          <w:color w:val="auto"/>
          <w:sz w:val="24"/>
          <w:highlight w:val="none"/>
        </w:rPr>
        <w:t>沥青路面柔性修复工艺</w:t>
      </w:r>
      <w:r>
        <w:rPr>
          <w:rFonts w:hint="eastAsia" w:ascii="宋体" w:hAnsi="宋体" w:cs="宋体-方正超大字符集"/>
          <w:b/>
          <w:color w:val="auto"/>
          <w:sz w:val="24"/>
          <w:highlight w:val="none"/>
        </w:rPr>
        <w:t>交工验收检验要求</w:t>
      </w:r>
    </w:p>
    <w:tbl>
      <w:tblPr>
        <w:tblStyle w:val="51"/>
        <w:tblW w:w="5000" w:type="pct"/>
        <w:tblInd w:w="0"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autofit"/>
        <w:tblCellMar>
          <w:top w:w="0" w:type="dxa"/>
          <w:left w:w="108" w:type="dxa"/>
          <w:bottom w:w="0" w:type="dxa"/>
          <w:right w:w="108" w:type="dxa"/>
        </w:tblCellMar>
      </w:tblPr>
      <w:tblGrid>
        <w:gridCol w:w="845"/>
        <w:gridCol w:w="1750"/>
        <w:gridCol w:w="4000"/>
        <w:gridCol w:w="2171"/>
      </w:tblGrid>
      <w:tr w14:paraId="6825C031">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395" w:hRule="atLeast"/>
        </w:trPr>
        <w:tc>
          <w:tcPr>
            <w:tcW w:w="482" w:type="pct"/>
            <w:noWrap w:val="0"/>
            <w:vAlign w:val="center"/>
          </w:tcPr>
          <w:p w14:paraId="130C745B">
            <w:pPr>
              <w:suppressAutoHyphens/>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998" w:type="pct"/>
            <w:noWrap w:val="0"/>
            <w:vAlign w:val="center"/>
          </w:tcPr>
          <w:p w14:paraId="7438703E">
            <w:pPr>
              <w:suppressAutoHyphens/>
              <w:jc w:val="center"/>
              <w:rPr>
                <w:rFonts w:ascii="宋体" w:hAnsi="宋体" w:cs="宋体"/>
                <w:color w:val="auto"/>
                <w:szCs w:val="21"/>
                <w:highlight w:val="none"/>
              </w:rPr>
            </w:pPr>
            <w:r>
              <w:rPr>
                <w:rFonts w:hint="eastAsia" w:ascii="宋体" w:hAnsi="宋体" w:cs="宋体"/>
                <w:color w:val="auto"/>
                <w:szCs w:val="21"/>
                <w:highlight w:val="none"/>
              </w:rPr>
              <w:t>检验项目</w:t>
            </w:r>
          </w:p>
        </w:tc>
        <w:tc>
          <w:tcPr>
            <w:tcW w:w="2281" w:type="pct"/>
            <w:noWrap w:val="0"/>
            <w:vAlign w:val="center"/>
          </w:tcPr>
          <w:p w14:paraId="7DF9CFD0">
            <w:pPr>
              <w:suppressAutoHyphens/>
              <w:jc w:val="center"/>
              <w:rPr>
                <w:rFonts w:ascii="宋体" w:hAnsi="宋体" w:cs="宋体"/>
                <w:color w:val="auto"/>
                <w:szCs w:val="21"/>
                <w:highlight w:val="none"/>
              </w:rPr>
            </w:pPr>
            <w:r>
              <w:rPr>
                <w:rFonts w:hint="eastAsia" w:ascii="宋体" w:hAnsi="宋体" w:cs="宋体"/>
                <w:color w:val="auto"/>
                <w:szCs w:val="21"/>
                <w:highlight w:val="none"/>
              </w:rPr>
              <w:t>验收要求</w:t>
            </w:r>
          </w:p>
        </w:tc>
        <w:tc>
          <w:tcPr>
            <w:tcW w:w="1238" w:type="pct"/>
            <w:noWrap w:val="0"/>
            <w:vAlign w:val="center"/>
          </w:tcPr>
          <w:p w14:paraId="5EFD6B8E">
            <w:pPr>
              <w:suppressAutoHyphens/>
              <w:jc w:val="center"/>
              <w:rPr>
                <w:rFonts w:ascii="宋体" w:hAnsi="宋体" w:cs="宋体"/>
                <w:color w:val="auto"/>
                <w:szCs w:val="21"/>
                <w:highlight w:val="none"/>
              </w:rPr>
            </w:pPr>
            <w:r>
              <w:rPr>
                <w:rFonts w:hint="eastAsia" w:ascii="宋体" w:hAnsi="宋体" w:cs="宋体"/>
                <w:color w:val="auto"/>
                <w:szCs w:val="21"/>
                <w:highlight w:val="none"/>
              </w:rPr>
              <w:t>检验方法</w:t>
            </w:r>
          </w:p>
        </w:tc>
      </w:tr>
      <w:tr w14:paraId="3F675B63">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395" w:hRule="atLeast"/>
        </w:trPr>
        <w:tc>
          <w:tcPr>
            <w:tcW w:w="482" w:type="pct"/>
            <w:noWrap w:val="0"/>
            <w:vAlign w:val="center"/>
          </w:tcPr>
          <w:p w14:paraId="7677723A">
            <w:pPr>
              <w:suppressAutoHyphens/>
              <w:jc w:val="center"/>
              <w:rPr>
                <w:rFonts w:ascii="宋体" w:hAnsi="宋体" w:cs="宋体"/>
                <w:color w:val="auto"/>
                <w:szCs w:val="21"/>
                <w:highlight w:val="none"/>
              </w:rPr>
            </w:pPr>
            <w:r>
              <w:rPr>
                <w:rFonts w:hint="eastAsia" w:ascii="宋体" w:hAnsi="宋体" w:cs="宋体"/>
                <w:color w:val="auto"/>
                <w:szCs w:val="21"/>
                <w:highlight w:val="none"/>
              </w:rPr>
              <w:t>1</w:t>
            </w:r>
          </w:p>
        </w:tc>
        <w:tc>
          <w:tcPr>
            <w:tcW w:w="998" w:type="pct"/>
            <w:noWrap w:val="0"/>
            <w:vAlign w:val="center"/>
          </w:tcPr>
          <w:p w14:paraId="0F9584A6">
            <w:pPr>
              <w:suppressAutoHyphens/>
              <w:jc w:val="center"/>
              <w:rPr>
                <w:rFonts w:ascii="宋体" w:hAnsi="宋体" w:cs="宋体"/>
                <w:color w:val="auto"/>
                <w:szCs w:val="21"/>
                <w:highlight w:val="none"/>
              </w:rPr>
            </w:pPr>
            <w:r>
              <w:rPr>
                <w:rFonts w:hint="eastAsia" w:ascii="宋体" w:hAnsi="宋体" w:cs="宋体"/>
                <w:color w:val="auto"/>
                <w:szCs w:val="21"/>
                <w:highlight w:val="none"/>
              </w:rPr>
              <w:t>槽口宽度</w:t>
            </w:r>
          </w:p>
        </w:tc>
        <w:tc>
          <w:tcPr>
            <w:tcW w:w="2281" w:type="pct"/>
            <w:noWrap w:val="0"/>
            <w:vAlign w:val="center"/>
          </w:tcPr>
          <w:p w14:paraId="37710E04">
            <w:pPr>
              <w:suppressAutoHyphens/>
              <w:jc w:val="center"/>
              <w:rPr>
                <w:rFonts w:ascii="宋体" w:hAnsi="宋体" w:cs="宋体"/>
                <w:color w:val="auto"/>
                <w:szCs w:val="21"/>
                <w:highlight w:val="none"/>
              </w:rPr>
            </w:pPr>
            <w:r>
              <w:rPr>
                <w:rFonts w:hint="eastAsia" w:ascii="宋体" w:hAnsi="宋体" w:cs="宋体"/>
                <w:color w:val="auto"/>
                <w:szCs w:val="21"/>
                <w:highlight w:val="none"/>
              </w:rPr>
              <w:t>≥1.0㎝</w:t>
            </w:r>
          </w:p>
        </w:tc>
        <w:tc>
          <w:tcPr>
            <w:tcW w:w="1238" w:type="pct"/>
            <w:noWrap w:val="0"/>
            <w:vAlign w:val="center"/>
          </w:tcPr>
          <w:p w14:paraId="3C7B1363">
            <w:pPr>
              <w:suppressAutoHyphens/>
              <w:jc w:val="center"/>
              <w:rPr>
                <w:rFonts w:ascii="宋体" w:hAnsi="宋体" w:cs="宋体"/>
                <w:color w:val="auto"/>
                <w:szCs w:val="21"/>
                <w:highlight w:val="none"/>
              </w:rPr>
            </w:pPr>
            <w:r>
              <w:rPr>
                <w:rFonts w:hint="eastAsia" w:ascii="宋体" w:hAnsi="宋体" w:cs="宋体"/>
                <w:color w:val="auto"/>
                <w:szCs w:val="21"/>
                <w:highlight w:val="none"/>
              </w:rPr>
              <w:t>钢板尺测量</w:t>
            </w:r>
          </w:p>
        </w:tc>
      </w:tr>
      <w:tr w14:paraId="1AB79600">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395" w:hRule="atLeast"/>
        </w:trPr>
        <w:tc>
          <w:tcPr>
            <w:tcW w:w="482" w:type="pct"/>
            <w:noWrap w:val="0"/>
            <w:vAlign w:val="center"/>
          </w:tcPr>
          <w:p w14:paraId="67EDC0E1">
            <w:pPr>
              <w:suppressAutoHyphens/>
              <w:jc w:val="center"/>
              <w:rPr>
                <w:rFonts w:ascii="宋体" w:hAnsi="宋体" w:cs="宋体"/>
                <w:color w:val="auto"/>
                <w:szCs w:val="21"/>
                <w:highlight w:val="none"/>
              </w:rPr>
            </w:pPr>
            <w:r>
              <w:rPr>
                <w:rFonts w:hint="eastAsia" w:ascii="宋体" w:hAnsi="宋体" w:cs="宋体"/>
                <w:color w:val="auto"/>
                <w:szCs w:val="21"/>
                <w:highlight w:val="none"/>
              </w:rPr>
              <w:t>2</w:t>
            </w:r>
          </w:p>
        </w:tc>
        <w:tc>
          <w:tcPr>
            <w:tcW w:w="998" w:type="pct"/>
            <w:noWrap w:val="0"/>
            <w:vAlign w:val="center"/>
          </w:tcPr>
          <w:p w14:paraId="3497C02C">
            <w:pPr>
              <w:suppressAutoHyphens/>
              <w:jc w:val="center"/>
              <w:rPr>
                <w:rFonts w:ascii="宋体" w:hAnsi="宋体" w:cs="宋体"/>
                <w:color w:val="auto"/>
                <w:szCs w:val="21"/>
                <w:highlight w:val="none"/>
              </w:rPr>
            </w:pPr>
            <w:r>
              <w:rPr>
                <w:rFonts w:hint="eastAsia" w:ascii="宋体" w:hAnsi="宋体" w:cs="宋体"/>
                <w:color w:val="auto"/>
                <w:szCs w:val="21"/>
                <w:highlight w:val="none"/>
              </w:rPr>
              <w:t>槽口深度</w:t>
            </w:r>
          </w:p>
        </w:tc>
        <w:tc>
          <w:tcPr>
            <w:tcW w:w="2281" w:type="pct"/>
            <w:noWrap w:val="0"/>
            <w:vAlign w:val="center"/>
          </w:tcPr>
          <w:p w14:paraId="10A2EA59">
            <w:pPr>
              <w:suppressAutoHyphens/>
              <w:jc w:val="center"/>
              <w:rPr>
                <w:rFonts w:ascii="宋体" w:hAnsi="宋体" w:cs="宋体"/>
                <w:color w:val="auto"/>
                <w:szCs w:val="21"/>
                <w:highlight w:val="none"/>
              </w:rPr>
            </w:pPr>
            <w:r>
              <w:rPr>
                <w:rFonts w:hint="eastAsia" w:ascii="宋体" w:hAnsi="宋体" w:cs="宋体"/>
                <w:color w:val="auto"/>
                <w:szCs w:val="21"/>
                <w:highlight w:val="none"/>
              </w:rPr>
              <w:t>≥1.2㎝</w:t>
            </w:r>
          </w:p>
        </w:tc>
        <w:tc>
          <w:tcPr>
            <w:tcW w:w="1238" w:type="pct"/>
            <w:noWrap w:val="0"/>
            <w:vAlign w:val="center"/>
          </w:tcPr>
          <w:p w14:paraId="662CAAA7">
            <w:pPr>
              <w:suppressAutoHyphens/>
              <w:jc w:val="center"/>
              <w:rPr>
                <w:rFonts w:ascii="宋体" w:hAnsi="宋体" w:cs="宋体"/>
                <w:color w:val="auto"/>
                <w:szCs w:val="21"/>
                <w:highlight w:val="none"/>
              </w:rPr>
            </w:pPr>
            <w:r>
              <w:rPr>
                <w:rFonts w:hint="eastAsia" w:ascii="宋体" w:hAnsi="宋体" w:cs="宋体"/>
                <w:color w:val="auto"/>
                <w:szCs w:val="21"/>
                <w:highlight w:val="none"/>
              </w:rPr>
              <w:t>钢板尺测量</w:t>
            </w:r>
          </w:p>
        </w:tc>
      </w:tr>
      <w:tr w14:paraId="0E363F34">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395" w:hRule="atLeast"/>
        </w:trPr>
        <w:tc>
          <w:tcPr>
            <w:tcW w:w="482" w:type="pct"/>
            <w:noWrap w:val="0"/>
            <w:vAlign w:val="center"/>
          </w:tcPr>
          <w:p w14:paraId="67155C6B">
            <w:pPr>
              <w:suppressAutoHyphens/>
              <w:jc w:val="center"/>
              <w:rPr>
                <w:rFonts w:ascii="宋体" w:hAnsi="宋体" w:cs="宋体"/>
                <w:color w:val="auto"/>
                <w:szCs w:val="21"/>
                <w:highlight w:val="none"/>
              </w:rPr>
            </w:pPr>
            <w:r>
              <w:rPr>
                <w:rFonts w:hint="eastAsia" w:ascii="宋体" w:hAnsi="宋体" w:cs="宋体"/>
                <w:color w:val="auto"/>
                <w:szCs w:val="21"/>
                <w:highlight w:val="none"/>
              </w:rPr>
              <w:t>3</w:t>
            </w:r>
          </w:p>
        </w:tc>
        <w:tc>
          <w:tcPr>
            <w:tcW w:w="998" w:type="pct"/>
            <w:noWrap w:val="0"/>
            <w:vAlign w:val="center"/>
          </w:tcPr>
          <w:p w14:paraId="6DE4DFC8">
            <w:pPr>
              <w:suppressAutoHyphens/>
              <w:jc w:val="center"/>
              <w:rPr>
                <w:rFonts w:ascii="宋体" w:hAnsi="宋体" w:cs="宋体"/>
                <w:color w:val="auto"/>
                <w:szCs w:val="21"/>
                <w:highlight w:val="none"/>
              </w:rPr>
            </w:pPr>
            <w:r>
              <w:rPr>
                <w:rFonts w:hint="eastAsia" w:ascii="宋体" w:hAnsi="宋体" w:cs="宋体"/>
                <w:color w:val="auto"/>
                <w:szCs w:val="21"/>
                <w:highlight w:val="none"/>
              </w:rPr>
              <w:t>深宽比</w:t>
            </w:r>
          </w:p>
        </w:tc>
        <w:tc>
          <w:tcPr>
            <w:tcW w:w="2281" w:type="pct"/>
            <w:noWrap w:val="0"/>
            <w:vAlign w:val="center"/>
          </w:tcPr>
          <w:p w14:paraId="535AA8E8">
            <w:pPr>
              <w:suppressAutoHyphens/>
              <w:jc w:val="center"/>
              <w:rPr>
                <w:rFonts w:ascii="宋体" w:hAnsi="宋体" w:cs="宋体"/>
                <w:color w:val="auto"/>
                <w:szCs w:val="21"/>
                <w:highlight w:val="none"/>
              </w:rPr>
            </w:pPr>
            <w:r>
              <w:rPr>
                <w:rFonts w:hint="eastAsia" w:ascii="宋体" w:hAnsi="宋体" w:cs="宋体"/>
                <w:color w:val="auto"/>
                <w:szCs w:val="21"/>
                <w:highlight w:val="none"/>
              </w:rPr>
              <w:t>＜2:1</w:t>
            </w:r>
          </w:p>
        </w:tc>
        <w:tc>
          <w:tcPr>
            <w:tcW w:w="1238" w:type="pct"/>
            <w:noWrap w:val="0"/>
            <w:vAlign w:val="center"/>
          </w:tcPr>
          <w:p w14:paraId="1ABFD8E1">
            <w:pPr>
              <w:suppressAutoHyphens/>
              <w:jc w:val="center"/>
              <w:rPr>
                <w:rFonts w:ascii="宋体" w:hAnsi="宋体" w:cs="宋体"/>
                <w:color w:val="auto"/>
                <w:szCs w:val="21"/>
                <w:highlight w:val="none"/>
              </w:rPr>
            </w:pPr>
            <w:r>
              <w:rPr>
                <w:rFonts w:hint="eastAsia" w:ascii="宋体" w:hAnsi="宋体" w:cs="宋体"/>
                <w:color w:val="auto"/>
                <w:szCs w:val="21"/>
                <w:highlight w:val="none"/>
              </w:rPr>
              <w:t>钢板尺测量</w:t>
            </w:r>
          </w:p>
        </w:tc>
      </w:tr>
      <w:tr w14:paraId="6158D963">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395" w:hRule="atLeast"/>
        </w:trPr>
        <w:tc>
          <w:tcPr>
            <w:tcW w:w="482" w:type="pct"/>
            <w:noWrap w:val="0"/>
            <w:vAlign w:val="center"/>
          </w:tcPr>
          <w:p w14:paraId="21AB141D">
            <w:pPr>
              <w:suppressAutoHyphens/>
              <w:jc w:val="center"/>
              <w:rPr>
                <w:rFonts w:ascii="宋体" w:hAnsi="宋体" w:cs="宋体"/>
                <w:color w:val="auto"/>
                <w:szCs w:val="21"/>
                <w:highlight w:val="none"/>
              </w:rPr>
            </w:pPr>
            <w:r>
              <w:rPr>
                <w:rFonts w:hint="eastAsia" w:ascii="宋体" w:hAnsi="宋体" w:cs="宋体"/>
                <w:color w:val="auto"/>
                <w:szCs w:val="21"/>
                <w:highlight w:val="none"/>
              </w:rPr>
              <w:t>4</w:t>
            </w:r>
          </w:p>
        </w:tc>
        <w:tc>
          <w:tcPr>
            <w:tcW w:w="998" w:type="pct"/>
            <w:noWrap w:val="0"/>
            <w:vAlign w:val="center"/>
          </w:tcPr>
          <w:p w14:paraId="40329C5F">
            <w:pPr>
              <w:suppressAutoHyphens/>
              <w:jc w:val="center"/>
              <w:rPr>
                <w:rFonts w:ascii="宋体" w:hAnsi="宋体" w:cs="宋体"/>
                <w:color w:val="auto"/>
                <w:szCs w:val="21"/>
                <w:highlight w:val="none"/>
              </w:rPr>
            </w:pPr>
            <w:r>
              <w:rPr>
                <w:rFonts w:hint="eastAsia" w:ascii="宋体" w:hAnsi="宋体" w:cs="宋体"/>
                <w:color w:val="auto"/>
                <w:szCs w:val="21"/>
                <w:highlight w:val="none"/>
              </w:rPr>
              <w:t>贴封层厚度</w:t>
            </w:r>
          </w:p>
        </w:tc>
        <w:tc>
          <w:tcPr>
            <w:tcW w:w="2281" w:type="pct"/>
            <w:noWrap w:val="0"/>
            <w:vAlign w:val="center"/>
          </w:tcPr>
          <w:p w14:paraId="21A5D5F5">
            <w:pPr>
              <w:suppressAutoHyphens/>
              <w:jc w:val="center"/>
              <w:rPr>
                <w:rFonts w:ascii="宋体" w:hAnsi="宋体" w:cs="宋体"/>
                <w:color w:val="auto"/>
                <w:szCs w:val="21"/>
                <w:highlight w:val="none"/>
              </w:rPr>
            </w:pPr>
            <w:r>
              <w:rPr>
                <w:rFonts w:hint="eastAsia" w:ascii="宋体" w:hAnsi="宋体" w:cs="宋体"/>
                <w:color w:val="auto"/>
                <w:szCs w:val="21"/>
                <w:highlight w:val="none"/>
              </w:rPr>
              <w:t>≤3㎜</w:t>
            </w:r>
          </w:p>
        </w:tc>
        <w:tc>
          <w:tcPr>
            <w:tcW w:w="1238" w:type="pct"/>
            <w:noWrap w:val="0"/>
            <w:vAlign w:val="center"/>
          </w:tcPr>
          <w:p w14:paraId="501E9360">
            <w:pPr>
              <w:suppressAutoHyphens/>
              <w:jc w:val="center"/>
              <w:rPr>
                <w:rFonts w:ascii="宋体" w:hAnsi="宋体" w:cs="宋体"/>
                <w:color w:val="auto"/>
                <w:szCs w:val="21"/>
                <w:highlight w:val="none"/>
              </w:rPr>
            </w:pPr>
            <w:r>
              <w:rPr>
                <w:rFonts w:hint="eastAsia" w:ascii="宋体" w:hAnsi="宋体" w:cs="宋体"/>
                <w:color w:val="auto"/>
                <w:szCs w:val="21"/>
                <w:highlight w:val="none"/>
              </w:rPr>
              <w:t>钢板尺测量</w:t>
            </w:r>
          </w:p>
        </w:tc>
      </w:tr>
      <w:tr w14:paraId="0A08442D">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287" w:hRule="atLeast"/>
        </w:trPr>
        <w:tc>
          <w:tcPr>
            <w:tcW w:w="482" w:type="pct"/>
            <w:noWrap w:val="0"/>
            <w:vAlign w:val="center"/>
          </w:tcPr>
          <w:p w14:paraId="2DA5B253">
            <w:pPr>
              <w:suppressAutoHyphens/>
              <w:jc w:val="center"/>
              <w:rPr>
                <w:rFonts w:ascii="宋体" w:hAnsi="宋体" w:cs="宋体"/>
                <w:color w:val="auto"/>
                <w:szCs w:val="21"/>
                <w:highlight w:val="none"/>
              </w:rPr>
            </w:pPr>
            <w:r>
              <w:rPr>
                <w:rFonts w:hint="eastAsia" w:ascii="宋体" w:hAnsi="宋体" w:cs="宋体"/>
                <w:color w:val="auto"/>
                <w:szCs w:val="21"/>
                <w:highlight w:val="none"/>
              </w:rPr>
              <w:t>5</w:t>
            </w:r>
          </w:p>
        </w:tc>
        <w:tc>
          <w:tcPr>
            <w:tcW w:w="998" w:type="pct"/>
            <w:noWrap w:val="0"/>
            <w:vAlign w:val="center"/>
          </w:tcPr>
          <w:p w14:paraId="3D72D9DB">
            <w:pPr>
              <w:suppressAutoHyphens/>
              <w:jc w:val="center"/>
              <w:rPr>
                <w:rFonts w:ascii="宋体" w:hAnsi="宋体" w:cs="宋体"/>
                <w:color w:val="auto"/>
                <w:szCs w:val="21"/>
                <w:highlight w:val="none"/>
              </w:rPr>
            </w:pPr>
            <w:r>
              <w:rPr>
                <w:rFonts w:ascii="宋体" w:hAnsi="宋体" w:cs="宋体"/>
                <w:color w:val="auto"/>
                <w:szCs w:val="21"/>
                <w:highlight w:val="none"/>
              </w:rPr>
              <w:t>长寿命</w:t>
            </w:r>
            <w:r>
              <w:rPr>
                <w:rFonts w:hint="eastAsia" w:ascii="宋体" w:hAnsi="宋体" w:cs="宋体"/>
                <w:color w:val="auto"/>
                <w:szCs w:val="21"/>
                <w:highlight w:val="none"/>
              </w:rPr>
              <w:t>柔性材料</w:t>
            </w:r>
          </w:p>
          <w:p w14:paraId="0DB8380A">
            <w:pPr>
              <w:suppressAutoHyphens/>
              <w:jc w:val="center"/>
              <w:rPr>
                <w:rFonts w:ascii="宋体" w:hAnsi="宋体" w:cs="宋体"/>
                <w:color w:val="auto"/>
                <w:szCs w:val="21"/>
                <w:highlight w:val="none"/>
              </w:rPr>
            </w:pPr>
            <w:r>
              <w:rPr>
                <w:rFonts w:hint="eastAsia" w:ascii="宋体" w:hAnsi="宋体" w:cs="宋体"/>
                <w:color w:val="auto"/>
                <w:szCs w:val="21"/>
                <w:highlight w:val="none"/>
              </w:rPr>
              <w:t>粘结性能</w:t>
            </w:r>
          </w:p>
        </w:tc>
        <w:tc>
          <w:tcPr>
            <w:tcW w:w="2281" w:type="pct"/>
            <w:noWrap w:val="0"/>
            <w:vAlign w:val="center"/>
          </w:tcPr>
          <w:p w14:paraId="384AFA0D">
            <w:pPr>
              <w:suppressAutoHyphens/>
              <w:jc w:val="center"/>
              <w:rPr>
                <w:rFonts w:ascii="宋体" w:hAnsi="宋体" w:cs="宋体"/>
                <w:color w:val="auto"/>
                <w:szCs w:val="21"/>
                <w:highlight w:val="none"/>
              </w:rPr>
            </w:pPr>
            <w:r>
              <w:rPr>
                <w:rFonts w:hint="eastAsia" w:ascii="宋体" w:hAnsi="宋体" w:cs="宋体"/>
                <w:color w:val="auto"/>
                <w:szCs w:val="21"/>
                <w:highlight w:val="none"/>
              </w:rPr>
              <w:t>与槽壁及槽口两侧路面粘结牢固</w:t>
            </w:r>
          </w:p>
        </w:tc>
        <w:tc>
          <w:tcPr>
            <w:tcW w:w="1238" w:type="pct"/>
            <w:noWrap w:val="0"/>
            <w:vAlign w:val="center"/>
          </w:tcPr>
          <w:p w14:paraId="015B23C8">
            <w:pPr>
              <w:suppressAutoHyphens/>
              <w:jc w:val="center"/>
              <w:rPr>
                <w:rFonts w:ascii="宋体" w:hAnsi="宋体" w:cs="宋体"/>
                <w:color w:val="auto"/>
                <w:szCs w:val="21"/>
                <w:highlight w:val="none"/>
              </w:rPr>
            </w:pPr>
            <w:r>
              <w:rPr>
                <w:rFonts w:hint="eastAsia" w:ascii="宋体" w:hAnsi="宋体" w:cs="宋体"/>
                <w:color w:val="auto"/>
                <w:szCs w:val="21"/>
                <w:highlight w:val="none"/>
              </w:rPr>
              <w:t>肉眼观察，拉扯验证</w:t>
            </w:r>
          </w:p>
        </w:tc>
      </w:tr>
      <w:tr w14:paraId="6175C8FD">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266" w:hRule="atLeast"/>
        </w:trPr>
        <w:tc>
          <w:tcPr>
            <w:tcW w:w="482" w:type="pct"/>
            <w:noWrap w:val="0"/>
            <w:vAlign w:val="center"/>
          </w:tcPr>
          <w:p w14:paraId="6A0D1AA7">
            <w:pPr>
              <w:suppressAutoHyphens/>
              <w:jc w:val="center"/>
              <w:rPr>
                <w:rFonts w:ascii="宋体" w:hAnsi="宋体" w:cs="宋体"/>
                <w:color w:val="auto"/>
                <w:szCs w:val="21"/>
                <w:highlight w:val="none"/>
              </w:rPr>
            </w:pPr>
            <w:r>
              <w:rPr>
                <w:rFonts w:hint="eastAsia" w:ascii="宋体" w:hAnsi="宋体" w:cs="宋体"/>
                <w:color w:val="auto"/>
                <w:szCs w:val="21"/>
                <w:highlight w:val="none"/>
              </w:rPr>
              <w:t>6</w:t>
            </w:r>
          </w:p>
        </w:tc>
        <w:tc>
          <w:tcPr>
            <w:tcW w:w="998" w:type="pct"/>
            <w:noWrap w:val="0"/>
            <w:vAlign w:val="center"/>
          </w:tcPr>
          <w:p w14:paraId="06332454">
            <w:pPr>
              <w:suppressAutoHyphens/>
              <w:jc w:val="center"/>
              <w:rPr>
                <w:rFonts w:ascii="宋体" w:hAnsi="宋体" w:cs="宋体"/>
                <w:color w:val="auto"/>
                <w:szCs w:val="21"/>
                <w:highlight w:val="none"/>
              </w:rPr>
            </w:pPr>
            <w:r>
              <w:rPr>
                <w:rFonts w:hint="eastAsia" w:ascii="宋体" w:hAnsi="宋体" w:cs="宋体"/>
                <w:color w:val="auto"/>
                <w:szCs w:val="21"/>
                <w:highlight w:val="none"/>
              </w:rPr>
              <w:t>外观</w:t>
            </w:r>
          </w:p>
        </w:tc>
        <w:tc>
          <w:tcPr>
            <w:tcW w:w="2281" w:type="pct"/>
            <w:noWrap w:val="0"/>
            <w:vAlign w:val="center"/>
          </w:tcPr>
          <w:p w14:paraId="6D7E6E1A">
            <w:pPr>
              <w:suppressAutoHyphens/>
              <w:jc w:val="center"/>
              <w:rPr>
                <w:rFonts w:ascii="宋体" w:hAnsi="宋体" w:cs="宋体"/>
                <w:color w:val="auto"/>
                <w:szCs w:val="21"/>
                <w:highlight w:val="none"/>
              </w:rPr>
            </w:pPr>
            <w:r>
              <w:rPr>
                <w:rFonts w:hint="eastAsia" w:ascii="宋体" w:hAnsi="宋体" w:cs="宋体"/>
                <w:color w:val="auto"/>
                <w:szCs w:val="21"/>
                <w:highlight w:val="none"/>
              </w:rPr>
              <w:t>贴封层边缘整齐，表面平整、光滑、无气泡，手感软硬一致，不粘、不变形</w:t>
            </w:r>
          </w:p>
        </w:tc>
        <w:tc>
          <w:tcPr>
            <w:tcW w:w="1238" w:type="pct"/>
            <w:noWrap w:val="0"/>
            <w:vAlign w:val="center"/>
          </w:tcPr>
          <w:p w14:paraId="16315B7D">
            <w:pPr>
              <w:suppressAutoHyphens/>
              <w:jc w:val="center"/>
              <w:rPr>
                <w:rFonts w:ascii="宋体" w:hAnsi="宋体" w:cs="宋体"/>
                <w:color w:val="auto"/>
                <w:szCs w:val="21"/>
                <w:highlight w:val="none"/>
              </w:rPr>
            </w:pPr>
            <w:r>
              <w:rPr>
                <w:rFonts w:hint="eastAsia" w:ascii="宋体" w:hAnsi="宋体" w:cs="宋体"/>
                <w:color w:val="auto"/>
                <w:szCs w:val="21"/>
                <w:highlight w:val="none"/>
              </w:rPr>
              <w:t>肉眼观察，触碰感受</w:t>
            </w:r>
          </w:p>
        </w:tc>
      </w:tr>
    </w:tbl>
    <w:p w14:paraId="08EC60B8">
      <w:pPr>
        <w:spacing w:line="440" w:lineRule="exact"/>
        <w:ind w:firstLine="525" w:firstLineChars="250"/>
        <w:rPr>
          <w:rFonts w:ascii="宋体" w:hAnsi="宋体"/>
          <w:color w:val="auto"/>
          <w:szCs w:val="21"/>
          <w:highlight w:val="none"/>
        </w:rPr>
      </w:pPr>
      <w:r>
        <w:rPr>
          <w:rFonts w:hint="eastAsia" w:ascii="宋体" w:hAnsi="宋体"/>
          <w:color w:val="auto"/>
          <w:szCs w:val="21"/>
          <w:highlight w:val="none"/>
        </w:rPr>
        <w:t>3）质保责任</w:t>
      </w:r>
    </w:p>
    <w:p w14:paraId="6030A0C7">
      <w:pPr>
        <w:spacing w:line="440" w:lineRule="exact"/>
        <w:ind w:firstLine="525" w:firstLineChars="250"/>
        <w:rPr>
          <w:rFonts w:ascii="宋体" w:hAnsi="宋体"/>
          <w:color w:val="auto"/>
          <w:szCs w:val="21"/>
          <w:highlight w:val="none"/>
        </w:rPr>
      </w:pPr>
      <w:r>
        <w:rPr>
          <w:rFonts w:ascii="宋体" w:hAnsi="宋体"/>
          <w:color w:val="auto"/>
          <w:szCs w:val="21"/>
          <w:highlight w:val="none"/>
        </w:rPr>
        <w:t>沥青路面柔性修复工艺</w:t>
      </w:r>
      <w:r>
        <w:rPr>
          <w:rFonts w:hint="eastAsia" w:ascii="宋体" w:hAnsi="宋体"/>
          <w:color w:val="auto"/>
          <w:szCs w:val="21"/>
          <w:highlight w:val="none"/>
        </w:rPr>
        <w:t>要求在缺陷责任期内，被修复位置的材料保持与接触面的有效粘结，不脱落、不粘胎、不开裂、基本不变形；两侧贴封完整密水。</w:t>
      </w:r>
    </w:p>
    <w:p w14:paraId="51AD2E5D">
      <w:pPr>
        <w:suppressAutoHyphens/>
        <w:spacing w:line="560" w:lineRule="exact"/>
        <w:ind w:firstLine="422" w:firstLineChars="200"/>
        <w:rPr>
          <w:rFonts w:ascii="宋体" w:hAnsi="宋体"/>
          <w:b/>
          <w:color w:val="auto"/>
          <w:szCs w:val="21"/>
          <w:highlight w:val="none"/>
        </w:rPr>
      </w:pPr>
      <w:r>
        <w:rPr>
          <w:rFonts w:hint="eastAsia" w:ascii="宋体" w:hAnsi="宋体"/>
          <w:b/>
          <w:color w:val="auto"/>
          <w:szCs w:val="21"/>
          <w:highlight w:val="none"/>
        </w:rPr>
        <w:t>超级沥青修补料</w:t>
      </w:r>
    </w:p>
    <w:p w14:paraId="329DC441">
      <w:pPr>
        <w:spacing w:line="440" w:lineRule="exact"/>
        <w:ind w:firstLine="525" w:firstLineChars="250"/>
        <w:rPr>
          <w:rFonts w:ascii="宋体" w:hAnsi="宋体"/>
          <w:color w:val="auto"/>
          <w:szCs w:val="21"/>
          <w:highlight w:val="none"/>
        </w:rPr>
      </w:pPr>
      <w:r>
        <w:rPr>
          <w:rFonts w:hint="eastAsia" w:ascii="宋体" w:hAnsi="宋体"/>
          <w:color w:val="auto"/>
          <w:szCs w:val="21"/>
          <w:highlight w:val="none"/>
        </w:rPr>
        <w:t>超级沥青修补料</w:t>
      </w:r>
      <w:r>
        <w:rPr>
          <w:rFonts w:ascii="宋体" w:hAnsi="宋体"/>
          <w:color w:val="auto"/>
          <w:szCs w:val="21"/>
          <w:highlight w:val="none"/>
        </w:rPr>
        <w:t>是一种</w:t>
      </w:r>
      <w:r>
        <w:rPr>
          <w:rFonts w:hint="eastAsia" w:ascii="宋体" w:hAnsi="宋体"/>
          <w:color w:val="auto"/>
          <w:szCs w:val="21"/>
          <w:highlight w:val="none"/>
        </w:rPr>
        <w:t>水固化反应型路面修补材料，适用于雨雪天气时道路应急抢修维护，使用时掺水量不少于2L/25kg。</w:t>
      </w:r>
    </w:p>
    <w:p w14:paraId="59A16B8F">
      <w:pPr>
        <w:spacing w:line="440" w:lineRule="exact"/>
        <w:ind w:firstLine="525" w:firstLineChars="250"/>
        <w:rPr>
          <w:rFonts w:ascii="宋体" w:hAnsi="宋体"/>
          <w:color w:val="auto"/>
          <w:szCs w:val="21"/>
          <w:highlight w:val="none"/>
        </w:rPr>
      </w:pPr>
      <w:r>
        <w:rPr>
          <w:rFonts w:hint="eastAsia" w:ascii="宋体" w:hAnsi="宋体"/>
          <w:color w:val="auto"/>
          <w:szCs w:val="21"/>
          <w:highlight w:val="none"/>
        </w:rPr>
        <w:t>质保责任：在缺陷责任期内</w:t>
      </w:r>
      <w:r>
        <w:rPr>
          <w:rFonts w:ascii="宋体" w:hAnsi="宋体"/>
          <w:color w:val="auto"/>
          <w:szCs w:val="21"/>
          <w:highlight w:val="none"/>
        </w:rPr>
        <w:t>，</w:t>
      </w:r>
      <w:r>
        <w:rPr>
          <w:rFonts w:hint="eastAsia" w:ascii="宋体" w:hAnsi="宋体"/>
          <w:color w:val="auto"/>
          <w:szCs w:val="21"/>
          <w:highlight w:val="none"/>
        </w:rPr>
        <w:t>不产生二次破损和脱落。</w:t>
      </w:r>
    </w:p>
    <w:p w14:paraId="5121E745">
      <w:pPr>
        <w:tabs>
          <w:tab w:val="left" w:pos="0"/>
        </w:tabs>
        <w:suppressAutoHyphens/>
        <w:adjustRightInd w:val="0"/>
        <w:snapToGrid w:val="0"/>
        <w:spacing w:line="600" w:lineRule="exact"/>
        <w:jc w:val="center"/>
        <w:outlineLvl w:val="0"/>
        <w:rPr>
          <w:rFonts w:ascii="宋体" w:hAnsi="宋体" w:cs="宋体-方正超大字符集"/>
          <w:b/>
          <w:color w:val="auto"/>
          <w:sz w:val="24"/>
          <w:highlight w:val="none"/>
        </w:rPr>
      </w:pPr>
      <w:r>
        <w:rPr>
          <w:rFonts w:hint="eastAsia" w:ascii="宋体" w:hAnsi="宋体" w:cs="宋体-方正超大字符集"/>
          <w:b/>
          <w:color w:val="auto"/>
          <w:sz w:val="24"/>
          <w:highlight w:val="none"/>
        </w:rPr>
        <w:t>材料技术指标</w:t>
      </w:r>
    </w:p>
    <w:tbl>
      <w:tblPr>
        <w:tblStyle w:val="51"/>
        <w:tblW w:w="5000" w:type="pct"/>
        <w:jc w:val="center"/>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autofit"/>
        <w:tblCellMar>
          <w:top w:w="0" w:type="dxa"/>
          <w:left w:w="108" w:type="dxa"/>
          <w:bottom w:w="0" w:type="dxa"/>
          <w:right w:w="108" w:type="dxa"/>
        </w:tblCellMar>
      </w:tblPr>
      <w:tblGrid>
        <w:gridCol w:w="4285"/>
        <w:gridCol w:w="1413"/>
        <w:gridCol w:w="3068"/>
      </w:tblGrid>
      <w:tr w14:paraId="5E3E48C9">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17" w:hRule="atLeast"/>
          <w:jc w:val="center"/>
        </w:trPr>
        <w:tc>
          <w:tcPr>
            <w:tcW w:w="2444" w:type="pct"/>
            <w:noWrap w:val="0"/>
            <w:vAlign w:val="center"/>
          </w:tcPr>
          <w:p w14:paraId="40A6F132">
            <w:pPr>
              <w:suppressAutoHyphens/>
              <w:jc w:val="center"/>
              <w:rPr>
                <w:rFonts w:ascii="宋体" w:hAnsi="宋体" w:cs="宋体"/>
                <w:color w:val="auto"/>
                <w:szCs w:val="21"/>
                <w:highlight w:val="none"/>
              </w:rPr>
            </w:pPr>
            <w:r>
              <w:rPr>
                <w:rFonts w:hint="eastAsia" w:ascii="宋体" w:hAnsi="宋体" w:cs="宋体"/>
                <w:color w:val="auto"/>
                <w:szCs w:val="21"/>
                <w:highlight w:val="none"/>
              </w:rPr>
              <w:t>指标</w:t>
            </w:r>
          </w:p>
        </w:tc>
        <w:tc>
          <w:tcPr>
            <w:tcW w:w="806" w:type="pct"/>
            <w:noWrap w:val="0"/>
            <w:vAlign w:val="center"/>
          </w:tcPr>
          <w:p w14:paraId="23471ED7">
            <w:pPr>
              <w:suppressAutoHyphens/>
              <w:jc w:val="center"/>
              <w:rPr>
                <w:rFonts w:ascii="宋体" w:hAnsi="宋体" w:cs="宋体"/>
                <w:color w:val="auto"/>
                <w:szCs w:val="21"/>
                <w:highlight w:val="none"/>
              </w:rPr>
            </w:pPr>
            <w:r>
              <w:rPr>
                <w:rFonts w:hint="eastAsia" w:ascii="宋体" w:hAnsi="宋体" w:cs="宋体"/>
                <w:color w:val="auto"/>
                <w:szCs w:val="21"/>
                <w:highlight w:val="none"/>
              </w:rPr>
              <w:t>单位</w:t>
            </w:r>
          </w:p>
        </w:tc>
        <w:tc>
          <w:tcPr>
            <w:tcW w:w="1750" w:type="pct"/>
            <w:noWrap w:val="0"/>
            <w:vAlign w:val="center"/>
          </w:tcPr>
          <w:p w14:paraId="6539A84C">
            <w:pPr>
              <w:suppressAutoHyphens/>
              <w:jc w:val="center"/>
              <w:rPr>
                <w:rFonts w:ascii="宋体" w:hAnsi="宋体" w:cs="宋体"/>
                <w:color w:val="auto"/>
                <w:szCs w:val="21"/>
                <w:highlight w:val="none"/>
              </w:rPr>
            </w:pPr>
            <w:r>
              <w:rPr>
                <w:rFonts w:hint="eastAsia" w:ascii="宋体" w:hAnsi="宋体" w:cs="宋体"/>
                <w:color w:val="auto"/>
                <w:szCs w:val="21"/>
                <w:highlight w:val="none"/>
              </w:rPr>
              <w:t>技术要求</w:t>
            </w:r>
          </w:p>
        </w:tc>
      </w:tr>
      <w:tr w14:paraId="029D3ACB">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17" w:hRule="atLeast"/>
          <w:jc w:val="center"/>
        </w:trPr>
        <w:tc>
          <w:tcPr>
            <w:tcW w:w="2444" w:type="pct"/>
            <w:noWrap w:val="0"/>
            <w:vAlign w:val="center"/>
          </w:tcPr>
          <w:p w14:paraId="1F527478">
            <w:pPr>
              <w:suppressAutoHyphens/>
              <w:jc w:val="center"/>
              <w:rPr>
                <w:rFonts w:ascii="宋体" w:hAnsi="宋体" w:cs="宋体"/>
                <w:color w:val="auto"/>
                <w:szCs w:val="21"/>
                <w:highlight w:val="none"/>
              </w:rPr>
            </w:pPr>
            <w:r>
              <w:rPr>
                <w:rFonts w:hint="eastAsia" w:ascii="宋体" w:hAnsi="宋体" w:cs="宋体"/>
                <w:color w:val="auto"/>
                <w:szCs w:val="21"/>
                <w:highlight w:val="none"/>
              </w:rPr>
              <w:t>浸水马歇尔残留稳定度</w:t>
            </w:r>
          </w:p>
        </w:tc>
        <w:tc>
          <w:tcPr>
            <w:tcW w:w="806" w:type="pct"/>
            <w:noWrap w:val="0"/>
            <w:vAlign w:val="center"/>
          </w:tcPr>
          <w:p w14:paraId="054D693E">
            <w:pPr>
              <w:suppressAutoHyphens/>
              <w:jc w:val="center"/>
              <w:rPr>
                <w:rFonts w:ascii="宋体" w:hAnsi="宋体" w:cs="宋体"/>
                <w:color w:val="auto"/>
                <w:szCs w:val="21"/>
                <w:highlight w:val="none"/>
              </w:rPr>
            </w:pPr>
            <w:r>
              <w:rPr>
                <w:rFonts w:hint="eastAsia" w:ascii="宋体" w:hAnsi="宋体" w:cs="宋体"/>
                <w:color w:val="auto"/>
                <w:szCs w:val="21"/>
                <w:highlight w:val="none"/>
              </w:rPr>
              <w:t>%</w:t>
            </w:r>
          </w:p>
        </w:tc>
        <w:tc>
          <w:tcPr>
            <w:tcW w:w="1750" w:type="pct"/>
            <w:noWrap w:val="0"/>
            <w:vAlign w:val="center"/>
          </w:tcPr>
          <w:p w14:paraId="2F4A9715">
            <w:pPr>
              <w:suppressAutoHyphens/>
              <w:jc w:val="center"/>
              <w:rPr>
                <w:rFonts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95</w:t>
            </w:r>
          </w:p>
        </w:tc>
      </w:tr>
      <w:tr w14:paraId="6EE0198A">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19" w:hRule="atLeast"/>
          <w:jc w:val="center"/>
        </w:trPr>
        <w:tc>
          <w:tcPr>
            <w:tcW w:w="2444" w:type="pct"/>
            <w:noWrap w:val="0"/>
            <w:vAlign w:val="center"/>
          </w:tcPr>
          <w:p w14:paraId="1D62CD57">
            <w:pPr>
              <w:suppressAutoHyphens/>
              <w:jc w:val="center"/>
              <w:rPr>
                <w:rFonts w:ascii="宋体" w:hAnsi="宋体" w:cs="宋体"/>
                <w:color w:val="auto"/>
                <w:szCs w:val="21"/>
                <w:highlight w:val="none"/>
              </w:rPr>
            </w:pPr>
            <w:r>
              <w:rPr>
                <w:rFonts w:hint="eastAsia" w:ascii="宋体" w:hAnsi="宋体" w:cs="宋体"/>
                <w:color w:val="auto"/>
                <w:szCs w:val="21"/>
                <w:highlight w:val="none"/>
              </w:rPr>
              <w:t>马歇尔稳定度（@20℃ 7d）</w:t>
            </w:r>
          </w:p>
        </w:tc>
        <w:tc>
          <w:tcPr>
            <w:tcW w:w="806" w:type="pct"/>
            <w:noWrap w:val="0"/>
            <w:vAlign w:val="center"/>
          </w:tcPr>
          <w:p w14:paraId="2B3183E2">
            <w:pPr>
              <w:suppressAutoHyphens/>
              <w:jc w:val="center"/>
              <w:rPr>
                <w:rFonts w:ascii="宋体" w:hAnsi="宋体" w:cs="宋体"/>
                <w:color w:val="auto"/>
                <w:szCs w:val="21"/>
                <w:highlight w:val="none"/>
              </w:rPr>
            </w:pPr>
            <w:r>
              <w:rPr>
                <w:rFonts w:hint="eastAsia" w:ascii="宋体" w:hAnsi="宋体" w:cs="宋体"/>
                <w:color w:val="auto"/>
                <w:szCs w:val="21"/>
                <w:highlight w:val="none"/>
              </w:rPr>
              <w:t>kN</w:t>
            </w:r>
          </w:p>
        </w:tc>
        <w:tc>
          <w:tcPr>
            <w:tcW w:w="1750" w:type="pct"/>
            <w:noWrap w:val="0"/>
            <w:vAlign w:val="center"/>
          </w:tcPr>
          <w:p w14:paraId="7413FD12">
            <w:pPr>
              <w:suppressAutoHyphens/>
              <w:jc w:val="center"/>
              <w:rPr>
                <w:rFonts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2</w:t>
            </w:r>
            <w:r>
              <w:rPr>
                <w:rFonts w:hint="eastAsia" w:ascii="宋体" w:hAnsi="宋体" w:cs="宋体"/>
                <w:color w:val="auto"/>
                <w:szCs w:val="21"/>
                <w:highlight w:val="none"/>
              </w:rPr>
              <w:t>0</w:t>
            </w:r>
          </w:p>
        </w:tc>
      </w:tr>
      <w:tr w14:paraId="7AA0B655">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17" w:hRule="atLeast"/>
          <w:jc w:val="center"/>
        </w:trPr>
        <w:tc>
          <w:tcPr>
            <w:tcW w:w="2444" w:type="pct"/>
            <w:noWrap w:val="0"/>
            <w:vAlign w:val="center"/>
          </w:tcPr>
          <w:p w14:paraId="100081D0">
            <w:pPr>
              <w:suppressAutoHyphens/>
              <w:jc w:val="center"/>
              <w:rPr>
                <w:rFonts w:ascii="宋体" w:hAnsi="宋体" w:cs="宋体"/>
                <w:color w:val="auto"/>
                <w:szCs w:val="21"/>
                <w:highlight w:val="none"/>
              </w:rPr>
            </w:pPr>
            <w:r>
              <w:rPr>
                <w:rFonts w:hint="eastAsia" w:ascii="宋体" w:hAnsi="宋体" w:cs="宋体"/>
                <w:color w:val="auto"/>
                <w:szCs w:val="21"/>
                <w:highlight w:val="none"/>
              </w:rPr>
              <w:t>马歇尔稳定度（@60℃ 7d）</w:t>
            </w:r>
          </w:p>
        </w:tc>
        <w:tc>
          <w:tcPr>
            <w:tcW w:w="806" w:type="pct"/>
            <w:noWrap w:val="0"/>
            <w:vAlign w:val="center"/>
          </w:tcPr>
          <w:p w14:paraId="721CA2AC">
            <w:pPr>
              <w:suppressAutoHyphens/>
              <w:jc w:val="center"/>
              <w:rPr>
                <w:rFonts w:ascii="宋体" w:hAnsi="宋体" w:cs="宋体"/>
                <w:color w:val="auto"/>
                <w:szCs w:val="21"/>
                <w:highlight w:val="none"/>
              </w:rPr>
            </w:pPr>
            <w:r>
              <w:rPr>
                <w:rFonts w:hint="eastAsia" w:ascii="宋体" w:hAnsi="宋体" w:cs="宋体"/>
                <w:color w:val="auto"/>
                <w:szCs w:val="21"/>
                <w:highlight w:val="none"/>
              </w:rPr>
              <w:t>kN</w:t>
            </w:r>
          </w:p>
        </w:tc>
        <w:tc>
          <w:tcPr>
            <w:tcW w:w="1750" w:type="pct"/>
            <w:noWrap w:val="0"/>
            <w:vAlign w:val="center"/>
          </w:tcPr>
          <w:p w14:paraId="37C35F83">
            <w:pPr>
              <w:suppressAutoHyphens/>
              <w:jc w:val="center"/>
              <w:rPr>
                <w:rFonts w:ascii="宋体" w:hAnsi="宋体" w:cs="宋体"/>
                <w:color w:val="auto"/>
                <w:szCs w:val="21"/>
                <w:highlight w:val="none"/>
              </w:rPr>
            </w:pPr>
            <w:r>
              <w:rPr>
                <w:rFonts w:hint="eastAsia" w:ascii="宋体" w:hAnsi="宋体" w:cs="宋体"/>
                <w:color w:val="auto"/>
                <w:szCs w:val="21"/>
                <w:highlight w:val="none"/>
              </w:rPr>
              <w:t>≥8</w:t>
            </w:r>
          </w:p>
        </w:tc>
      </w:tr>
      <w:tr w14:paraId="6F499FEE">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19" w:hRule="atLeast"/>
          <w:jc w:val="center"/>
        </w:trPr>
        <w:tc>
          <w:tcPr>
            <w:tcW w:w="2444" w:type="pct"/>
            <w:noWrap w:val="0"/>
            <w:vAlign w:val="center"/>
          </w:tcPr>
          <w:p w14:paraId="3137BB1B">
            <w:pPr>
              <w:suppressAutoHyphens/>
              <w:jc w:val="center"/>
              <w:rPr>
                <w:rFonts w:ascii="宋体" w:hAnsi="宋体" w:cs="宋体"/>
                <w:color w:val="auto"/>
                <w:szCs w:val="21"/>
                <w:highlight w:val="none"/>
              </w:rPr>
            </w:pPr>
            <w:r>
              <w:rPr>
                <w:rFonts w:hint="eastAsia" w:ascii="宋体" w:hAnsi="宋体" w:cs="宋体"/>
                <w:color w:val="auto"/>
                <w:szCs w:val="21"/>
                <w:highlight w:val="none"/>
              </w:rPr>
              <w:t>动稳定度（7d）</w:t>
            </w:r>
          </w:p>
        </w:tc>
        <w:tc>
          <w:tcPr>
            <w:tcW w:w="806" w:type="pct"/>
            <w:noWrap w:val="0"/>
            <w:vAlign w:val="center"/>
          </w:tcPr>
          <w:p w14:paraId="66D9387A">
            <w:pPr>
              <w:suppressAutoHyphens/>
              <w:jc w:val="center"/>
              <w:rPr>
                <w:rFonts w:ascii="宋体" w:hAnsi="宋体" w:cs="宋体"/>
                <w:color w:val="auto"/>
                <w:szCs w:val="21"/>
                <w:highlight w:val="none"/>
              </w:rPr>
            </w:pPr>
            <w:r>
              <w:rPr>
                <w:rFonts w:hint="eastAsia" w:ascii="宋体" w:hAnsi="宋体" w:cs="宋体"/>
                <w:color w:val="auto"/>
                <w:szCs w:val="21"/>
                <w:highlight w:val="none"/>
              </w:rPr>
              <w:t>次/mm</w:t>
            </w:r>
          </w:p>
        </w:tc>
        <w:tc>
          <w:tcPr>
            <w:tcW w:w="1750" w:type="pct"/>
            <w:noWrap w:val="0"/>
            <w:vAlign w:val="center"/>
          </w:tcPr>
          <w:p w14:paraId="095E549E">
            <w:pPr>
              <w:suppressAutoHyphens/>
              <w:jc w:val="center"/>
              <w:rPr>
                <w:rFonts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3</w:t>
            </w:r>
            <w:r>
              <w:rPr>
                <w:rFonts w:hint="eastAsia" w:ascii="宋体" w:hAnsi="宋体" w:cs="宋体"/>
                <w:color w:val="auto"/>
                <w:szCs w:val="21"/>
                <w:highlight w:val="none"/>
              </w:rPr>
              <w:t>000</w:t>
            </w:r>
          </w:p>
        </w:tc>
      </w:tr>
    </w:tbl>
    <w:p w14:paraId="0D64FB4B">
      <w:pPr>
        <w:jc w:val="center"/>
        <w:outlineLvl w:val="2"/>
        <w:rPr>
          <w:rFonts w:hint="eastAsia" w:ascii="方正姚体" w:eastAsia="黑体"/>
          <w:sz w:val="32"/>
          <w:lang w:eastAsia="zh-CN"/>
        </w:rPr>
      </w:pPr>
      <w:r>
        <w:rPr>
          <w:rFonts w:hint="eastAsia" w:ascii="黑体" w:hAnsi="宋体" w:eastAsia="黑体"/>
          <w:sz w:val="44"/>
        </w:rPr>
        <w:t>第</w:t>
      </w:r>
      <w:r>
        <w:rPr>
          <w:rFonts w:hint="eastAsia" w:eastAsia="黑体"/>
          <w:sz w:val="44"/>
          <w:lang w:val="en-US" w:eastAsia="zh-CN"/>
        </w:rPr>
        <w:t>4</w:t>
      </w:r>
      <w:r>
        <w:rPr>
          <w:rFonts w:eastAsia="黑体"/>
          <w:sz w:val="44"/>
        </w:rPr>
        <w:t>00</w:t>
      </w:r>
      <w:r>
        <w:rPr>
          <w:rFonts w:hint="eastAsia" w:ascii="黑体" w:hAnsi="宋体" w:eastAsia="黑体"/>
          <w:sz w:val="44"/>
        </w:rPr>
        <w:t xml:space="preserve">章  </w:t>
      </w:r>
      <w:r>
        <w:rPr>
          <w:rFonts w:hint="eastAsia" w:ascii="黑体" w:hAnsi="宋体" w:eastAsia="黑体"/>
          <w:sz w:val="44"/>
          <w:lang w:val="en-US" w:eastAsia="zh-CN"/>
        </w:rPr>
        <w:t>桥 梁</w:t>
      </w:r>
    </w:p>
    <w:p w14:paraId="7B603571">
      <w:pPr>
        <w:rPr>
          <w:rFonts w:hint="eastAsia" w:ascii="Times New Roman" w:hAnsi="Times New Roman"/>
          <w:color w:val="000000"/>
        </w:rPr>
      </w:pPr>
    </w:p>
    <w:p w14:paraId="358C175E">
      <w:pPr>
        <w:numPr>
          <w:ilvl w:val="0"/>
          <w:numId w:val="0"/>
        </w:numPr>
        <w:tabs>
          <w:tab w:val="left" w:pos="3120"/>
        </w:tabs>
        <w:jc w:val="center"/>
        <w:rPr>
          <w:rFonts w:hint="eastAsia" w:ascii="黑体" w:eastAsia="黑体"/>
          <w:color w:val="auto"/>
          <w:sz w:val="32"/>
        </w:rPr>
      </w:pPr>
      <w:r>
        <w:rPr>
          <w:rFonts w:hint="eastAsia" w:ascii="黑体" w:hAnsi="Calibri" w:eastAsia="黑体" w:cs="Times New Roman"/>
          <w:color w:val="auto"/>
          <w:kern w:val="2"/>
          <w:sz w:val="32"/>
          <w:szCs w:val="22"/>
          <w:lang w:val="en-US" w:eastAsia="zh-CN" w:bidi="ar-SA"/>
        </w:rPr>
        <w:t>第404节</w:t>
      </w:r>
      <w:r>
        <w:rPr>
          <w:rFonts w:hint="eastAsia" w:ascii="黑体" w:eastAsia="黑体"/>
          <w:color w:val="auto"/>
          <w:sz w:val="32"/>
        </w:rPr>
        <w:t xml:space="preserve"> 涵 洞</w:t>
      </w:r>
    </w:p>
    <w:p w14:paraId="4FCD06A9">
      <w:pPr>
        <w:rPr>
          <w:rFonts w:hint="eastAsia" w:eastAsia="黑体"/>
          <w:color w:val="auto"/>
          <w:sz w:val="28"/>
          <w:szCs w:val="28"/>
        </w:rPr>
      </w:pPr>
      <w:r>
        <w:rPr>
          <w:rFonts w:hint="eastAsia" w:eastAsia="黑体"/>
          <w:color w:val="auto"/>
          <w:sz w:val="28"/>
          <w:szCs w:val="28"/>
        </w:rPr>
        <w:t>404.03  计量与支付</w:t>
      </w:r>
    </w:p>
    <w:p w14:paraId="266A9496">
      <w:pPr>
        <w:spacing w:line="440" w:lineRule="exact"/>
        <w:ind w:firstLine="420" w:firstLineChars="200"/>
        <w:jc w:val="left"/>
        <w:rPr>
          <w:rFonts w:hint="eastAsia" w:ascii="宋体" w:hAnsi="宋体"/>
          <w:szCs w:val="21"/>
          <w:lang w:eastAsia="zh-CN"/>
        </w:rPr>
      </w:pPr>
      <w:r>
        <w:rPr>
          <w:rFonts w:hint="eastAsia" w:ascii="宋体" w:hAnsi="宋体"/>
          <w:szCs w:val="21"/>
        </w:rPr>
        <w:t>1．</w:t>
      </w:r>
      <w:r>
        <w:rPr>
          <w:rFonts w:hint="eastAsia" w:ascii="宋体" w:hAnsi="宋体"/>
          <w:szCs w:val="21"/>
          <w:lang w:val="en-US" w:eastAsia="zh-CN"/>
        </w:rPr>
        <w:t>计量</w:t>
      </w:r>
    </w:p>
    <w:p w14:paraId="2E466896">
      <w:pPr>
        <w:spacing w:line="440" w:lineRule="exact"/>
        <w:ind w:firstLine="420" w:firstLineChars="200"/>
        <w:jc w:val="left"/>
        <w:rPr>
          <w:rFonts w:hint="eastAsia" w:ascii="宋体" w:hAnsi="宋体"/>
          <w:szCs w:val="21"/>
        </w:rPr>
      </w:pPr>
      <w:r>
        <w:rPr>
          <w:rFonts w:hint="eastAsia" w:ascii="宋体" w:hAnsi="宋体"/>
          <w:szCs w:val="21"/>
        </w:rPr>
        <w:t>（1）</w:t>
      </w:r>
      <w:r>
        <w:rPr>
          <w:rFonts w:hint="eastAsia" w:ascii="宋体" w:hAnsi="宋体"/>
          <w:szCs w:val="21"/>
          <w:lang w:val="en-US" w:eastAsia="zh-CN"/>
        </w:rPr>
        <w:t>修改为，圆管涵维修</w:t>
      </w:r>
      <w:r>
        <w:rPr>
          <w:rFonts w:hint="eastAsia" w:ascii="宋体" w:hAnsi="宋体"/>
          <w:szCs w:val="21"/>
        </w:rPr>
        <w:t>按实际施工完成的长度以m计量</w:t>
      </w:r>
      <w:r>
        <w:rPr>
          <w:rFonts w:hint="eastAsia" w:ascii="宋体" w:hAnsi="宋体"/>
          <w:szCs w:val="21"/>
          <w:lang w:eastAsia="zh-CN"/>
        </w:rPr>
        <w:t>，</w:t>
      </w:r>
      <w:r>
        <w:rPr>
          <w:rFonts w:hint="eastAsia" w:ascii="宋体" w:hAnsi="宋体"/>
          <w:szCs w:val="21"/>
          <w:lang w:val="en-US" w:eastAsia="zh-CN"/>
        </w:rPr>
        <w:t>包含开挖、垃圾外运、管道基础及垫层、管涵安装、防水措施、回填</w:t>
      </w:r>
      <w:r>
        <w:rPr>
          <w:rFonts w:hint="eastAsia" w:ascii="宋体" w:hAnsi="宋体"/>
          <w:szCs w:val="21"/>
        </w:rPr>
        <w:t>。</w:t>
      </w:r>
    </w:p>
    <w:p w14:paraId="5BB4D7A2">
      <w:pPr>
        <w:spacing w:line="440" w:lineRule="exact"/>
        <w:ind w:firstLine="420" w:firstLineChars="200"/>
        <w:jc w:val="left"/>
        <w:rPr>
          <w:rFonts w:hint="eastAsia" w:ascii="宋体" w:hAnsi="宋体"/>
          <w:szCs w:val="21"/>
        </w:rPr>
      </w:pPr>
      <w:r>
        <w:rPr>
          <w:rFonts w:hint="eastAsia" w:ascii="宋体" w:hAnsi="宋体"/>
          <w:szCs w:val="21"/>
        </w:rPr>
        <w:t>2．支付</w:t>
      </w:r>
    </w:p>
    <w:p w14:paraId="3513A97F">
      <w:pPr>
        <w:spacing w:line="440" w:lineRule="exact"/>
        <w:ind w:firstLine="420" w:firstLineChars="200"/>
        <w:jc w:val="left"/>
        <w:rPr>
          <w:rFonts w:hint="eastAsia" w:ascii="宋体" w:hAnsi="宋体"/>
          <w:szCs w:val="21"/>
          <w:lang w:val="en-US" w:eastAsia="zh-CN"/>
        </w:rPr>
      </w:pPr>
      <w:r>
        <w:rPr>
          <w:rFonts w:hint="eastAsia" w:ascii="宋体" w:hAnsi="宋体"/>
          <w:szCs w:val="21"/>
          <w:lang w:val="en-US" w:eastAsia="zh-CN"/>
        </w:rPr>
        <w:t>（1）修改为，各圆管涵的维修按实际施工完成的长度，按合同单价计算支付。此项支付包括施工安全、运行维护，开挖、管道基础及垫层、管涵安装、防水措施、回填和清理现场等作业所需的全部费用。</w:t>
      </w:r>
    </w:p>
    <w:p w14:paraId="4BBC5B17">
      <w:pPr>
        <w:spacing w:after="120" w:afterLines="50" w:line="360" w:lineRule="exact"/>
        <w:jc w:val="left"/>
        <w:rPr>
          <w:rFonts w:ascii="宋体" w:hAnsi="宋体"/>
          <w:szCs w:val="21"/>
        </w:rPr>
      </w:pPr>
      <w:r>
        <w:rPr>
          <w:rFonts w:hint="eastAsia" w:ascii="Times New Roman" w:hAnsi="Times New Roman"/>
          <w:color w:val="000000"/>
          <w:lang w:val="en-US" w:eastAsia="zh-CN"/>
        </w:rPr>
        <w:t>3</w:t>
      </w:r>
      <w:r>
        <w:rPr>
          <w:rFonts w:hint="eastAsia" w:ascii="宋体" w:hAnsi="宋体"/>
          <w:szCs w:val="21"/>
        </w:rPr>
        <w:t>．支付子目</w:t>
      </w:r>
    </w:p>
    <w:tbl>
      <w:tblPr>
        <w:tblStyle w:val="51"/>
        <w:tblW w:w="8934" w:type="dxa"/>
        <w:tblInd w:w="502"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546"/>
        <w:gridCol w:w="5582"/>
        <w:gridCol w:w="1806"/>
      </w:tblGrid>
      <w:tr w14:paraId="63792F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9" w:hRule="atLeast"/>
        </w:trPr>
        <w:tc>
          <w:tcPr>
            <w:tcW w:w="1546" w:type="dxa"/>
            <w:noWrap w:val="0"/>
            <w:vAlign w:val="center"/>
          </w:tcPr>
          <w:p w14:paraId="30D8B3F4">
            <w:pPr>
              <w:spacing w:line="260" w:lineRule="exact"/>
              <w:jc w:val="center"/>
              <w:rPr>
                <w:rFonts w:ascii="宋体" w:hAnsi="宋体"/>
                <w:szCs w:val="21"/>
              </w:rPr>
            </w:pPr>
            <w:r>
              <w:rPr>
                <w:rFonts w:hint="eastAsia" w:ascii="宋体" w:hAnsi="宋体"/>
                <w:szCs w:val="21"/>
              </w:rPr>
              <w:t>子目号</w:t>
            </w:r>
          </w:p>
        </w:tc>
        <w:tc>
          <w:tcPr>
            <w:tcW w:w="5582" w:type="dxa"/>
            <w:noWrap w:val="0"/>
            <w:vAlign w:val="center"/>
          </w:tcPr>
          <w:p w14:paraId="168F4541">
            <w:pPr>
              <w:spacing w:line="260" w:lineRule="exact"/>
              <w:jc w:val="center"/>
              <w:rPr>
                <w:rFonts w:ascii="宋体" w:hAnsi="宋体"/>
                <w:szCs w:val="21"/>
              </w:rPr>
            </w:pPr>
            <w:r>
              <w:rPr>
                <w:rFonts w:hint="eastAsia" w:ascii="宋体" w:hAnsi="宋体"/>
                <w:szCs w:val="21"/>
              </w:rPr>
              <w:t>子目名称</w:t>
            </w:r>
          </w:p>
        </w:tc>
        <w:tc>
          <w:tcPr>
            <w:tcW w:w="1806" w:type="dxa"/>
            <w:noWrap w:val="0"/>
            <w:vAlign w:val="center"/>
          </w:tcPr>
          <w:p w14:paraId="40F5CA73">
            <w:pPr>
              <w:spacing w:line="260" w:lineRule="exact"/>
              <w:jc w:val="center"/>
              <w:rPr>
                <w:rFonts w:ascii="宋体" w:hAnsi="宋体"/>
                <w:szCs w:val="21"/>
              </w:rPr>
            </w:pPr>
            <w:r>
              <w:rPr>
                <w:rFonts w:hint="eastAsia" w:ascii="宋体" w:hAnsi="宋体"/>
                <w:szCs w:val="21"/>
              </w:rPr>
              <w:t>单 位</w:t>
            </w:r>
          </w:p>
        </w:tc>
      </w:tr>
      <w:tr w14:paraId="1406D1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9" w:hRule="atLeast"/>
        </w:trPr>
        <w:tc>
          <w:tcPr>
            <w:tcW w:w="1546" w:type="dxa"/>
            <w:noWrap w:val="0"/>
            <w:vAlign w:val="center"/>
          </w:tcPr>
          <w:p w14:paraId="5667099E">
            <w:pPr>
              <w:keepNext w:val="0"/>
              <w:keepLines w:val="0"/>
              <w:widowControl/>
              <w:suppressLineNumbers w:val="0"/>
              <w:jc w:val="center"/>
              <w:textAlignment w:val="center"/>
              <w:rPr>
                <w:rFonts w:hint="eastAsia" w:ascii="宋体" w:hAnsi="宋体"/>
                <w:szCs w:val="21"/>
              </w:rPr>
            </w:pPr>
            <w:r>
              <w:rPr>
                <w:rFonts w:hint="eastAsia" w:ascii="宋体" w:hAnsi="宋体" w:eastAsia="宋体" w:cs="宋体"/>
                <w:i w:val="0"/>
                <w:iCs w:val="0"/>
                <w:color w:val="000000"/>
                <w:kern w:val="0"/>
                <w:sz w:val="18"/>
                <w:szCs w:val="18"/>
                <w:u w:val="none"/>
                <w:lang w:val="en-US" w:eastAsia="zh-CN" w:bidi="ar"/>
              </w:rPr>
              <w:t>404-1</w:t>
            </w:r>
          </w:p>
        </w:tc>
        <w:tc>
          <w:tcPr>
            <w:tcW w:w="5582" w:type="dxa"/>
            <w:noWrap w:val="0"/>
            <w:vAlign w:val="center"/>
          </w:tcPr>
          <w:p w14:paraId="3D684F5C">
            <w:pPr>
              <w:keepNext w:val="0"/>
              <w:keepLines w:val="0"/>
              <w:widowControl/>
              <w:suppressLineNumbers w:val="0"/>
              <w:jc w:val="left"/>
              <w:textAlignment w:val="center"/>
              <w:rPr>
                <w:rFonts w:hint="eastAsia" w:ascii="宋体" w:hAnsi="宋体"/>
                <w:szCs w:val="21"/>
              </w:rPr>
            </w:pPr>
            <w:r>
              <w:rPr>
                <w:rFonts w:hint="eastAsia" w:ascii="宋体" w:hAnsi="宋体" w:eastAsia="宋体" w:cs="宋体"/>
                <w:i w:val="0"/>
                <w:iCs w:val="0"/>
                <w:color w:val="000000"/>
                <w:kern w:val="0"/>
                <w:sz w:val="18"/>
                <w:szCs w:val="18"/>
                <w:u w:val="none"/>
                <w:lang w:val="en-US" w:eastAsia="zh-CN" w:bidi="ar"/>
              </w:rPr>
              <w:t>圆管涵维修</w:t>
            </w:r>
          </w:p>
        </w:tc>
        <w:tc>
          <w:tcPr>
            <w:tcW w:w="1806" w:type="dxa"/>
            <w:noWrap w:val="0"/>
            <w:vAlign w:val="center"/>
          </w:tcPr>
          <w:p w14:paraId="3D61887C">
            <w:pPr>
              <w:jc w:val="center"/>
              <w:rPr>
                <w:rFonts w:hint="eastAsia" w:ascii="宋体" w:hAnsi="宋体"/>
                <w:szCs w:val="21"/>
              </w:rPr>
            </w:pPr>
          </w:p>
        </w:tc>
      </w:tr>
      <w:tr w14:paraId="5DD24A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9" w:hRule="atLeast"/>
        </w:trPr>
        <w:tc>
          <w:tcPr>
            <w:tcW w:w="1546" w:type="dxa"/>
            <w:noWrap w:val="0"/>
            <w:vAlign w:val="center"/>
          </w:tcPr>
          <w:p w14:paraId="4A003052">
            <w:pPr>
              <w:keepNext w:val="0"/>
              <w:keepLines w:val="0"/>
              <w:widowControl/>
              <w:suppressLineNumbers w:val="0"/>
              <w:jc w:val="center"/>
              <w:textAlignment w:val="center"/>
              <w:rPr>
                <w:rFonts w:hint="eastAsia" w:ascii="宋体" w:hAnsi="宋体"/>
                <w:szCs w:val="21"/>
              </w:rPr>
            </w:pPr>
            <w:r>
              <w:rPr>
                <w:rFonts w:hint="eastAsia" w:ascii="宋体" w:hAnsi="宋体" w:eastAsia="宋体" w:cs="宋体"/>
                <w:i w:val="0"/>
                <w:iCs w:val="0"/>
                <w:color w:val="000000"/>
                <w:kern w:val="0"/>
                <w:sz w:val="18"/>
                <w:szCs w:val="18"/>
                <w:u w:val="none"/>
                <w:lang w:val="en-US" w:eastAsia="zh-CN" w:bidi="ar"/>
              </w:rPr>
              <w:t>-a</w:t>
            </w:r>
          </w:p>
        </w:tc>
        <w:tc>
          <w:tcPr>
            <w:tcW w:w="5582" w:type="dxa"/>
            <w:noWrap w:val="0"/>
            <w:vAlign w:val="center"/>
          </w:tcPr>
          <w:p w14:paraId="1B181177">
            <w:pPr>
              <w:keepNext w:val="0"/>
              <w:keepLines w:val="0"/>
              <w:widowControl/>
              <w:suppressLineNumbers w:val="0"/>
              <w:jc w:val="left"/>
              <w:textAlignment w:val="center"/>
              <w:rPr>
                <w:rFonts w:hint="eastAsia" w:ascii="宋体" w:hAnsi="宋体"/>
                <w:szCs w:val="21"/>
              </w:rPr>
            </w:pPr>
            <w:r>
              <w:rPr>
                <w:rFonts w:hint="eastAsia" w:ascii="宋体" w:hAnsi="宋体" w:eastAsia="宋体" w:cs="宋体"/>
                <w:i w:val="0"/>
                <w:iCs w:val="0"/>
                <w:color w:val="000000"/>
                <w:kern w:val="0"/>
                <w:sz w:val="18"/>
                <w:szCs w:val="18"/>
                <w:u w:val="none"/>
                <w:lang w:val="en-US" w:eastAsia="zh-CN" w:bidi="ar"/>
              </w:rPr>
              <w:t>φ600mm圆管涵</w:t>
            </w:r>
          </w:p>
        </w:tc>
        <w:tc>
          <w:tcPr>
            <w:tcW w:w="1806" w:type="dxa"/>
            <w:noWrap w:val="0"/>
            <w:vAlign w:val="center"/>
          </w:tcPr>
          <w:p w14:paraId="39408790">
            <w:pPr>
              <w:keepNext w:val="0"/>
              <w:keepLines w:val="0"/>
              <w:widowControl/>
              <w:suppressLineNumbers w:val="0"/>
              <w:jc w:val="center"/>
              <w:textAlignment w:val="center"/>
              <w:rPr>
                <w:rFonts w:hint="eastAsia" w:ascii="宋体" w:hAnsi="宋体"/>
                <w:szCs w:val="21"/>
              </w:rPr>
            </w:pPr>
            <w:r>
              <w:rPr>
                <w:rFonts w:hint="eastAsia" w:ascii="宋体" w:hAnsi="宋体" w:eastAsia="宋体" w:cs="宋体"/>
                <w:i w:val="0"/>
                <w:iCs w:val="0"/>
                <w:color w:val="000000"/>
                <w:kern w:val="0"/>
                <w:sz w:val="18"/>
                <w:szCs w:val="18"/>
                <w:u w:val="none"/>
                <w:lang w:val="en-US" w:eastAsia="zh-CN" w:bidi="ar"/>
              </w:rPr>
              <w:t>m</w:t>
            </w:r>
          </w:p>
        </w:tc>
      </w:tr>
      <w:tr w14:paraId="26C3C2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9" w:hRule="atLeast"/>
        </w:trPr>
        <w:tc>
          <w:tcPr>
            <w:tcW w:w="1546" w:type="dxa"/>
            <w:noWrap w:val="0"/>
            <w:vAlign w:val="center"/>
          </w:tcPr>
          <w:p w14:paraId="15A8568E">
            <w:pPr>
              <w:keepNext w:val="0"/>
              <w:keepLines w:val="0"/>
              <w:widowControl/>
              <w:suppressLineNumbers w:val="0"/>
              <w:jc w:val="center"/>
              <w:textAlignment w:val="center"/>
              <w:rPr>
                <w:rFonts w:hint="eastAsia" w:ascii="宋体" w:hAnsi="宋体"/>
                <w:szCs w:val="21"/>
              </w:rPr>
            </w:pPr>
            <w:r>
              <w:rPr>
                <w:rFonts w:hint="eastAsia" w:ascii="宋体" w:hAnsi="宋体" w:eastAsia="宋体" w:cs="宋体"/>
                <w:i w:val="0"/>
                <w:iCs w:val="0"/>
                <w:color w:val="000000"/>
                <w:kern w:val="0"/>
                <w:sz w:val="18"/>
                <w:szCs w:val="18"/>
                <w:u w:val="none"/>
                <w:lang w:val="en-US" w:eastAsia="zh-CN" w:bidi="ar"/>
              </w:rPr>
              <w:t>-b</w:t>
            </w:r>
          </w:p>
        </w:tc>
        <w:tc>
          <w:tcPr>
            <w:tcW w:w="5582" w:type="dxa"/>
            <w:noWrap w:val="0"/>
            <w:vAlign w:val="center"/>
          </w:tcPr>
          <w:p w14:paraId="5C7AD68F">
            <w:pPr>
              <w:keepNext w:val="0"/>
              <w:keepLines w:val="0"/>
              <w:widowControl/>
              <w:suppressLineNumbers w:val="0"/>
              <w:jc w:val="left"/>
              <w:textAlignment w:val="center"/>
              <w:rPr>
                <w:rFonts w:hint="eastAsia" w:ascii="宋体" w:hAnsi="宋体"/>
                <w:szCs w:val="21"/>
              </w:rPr>
            </w:pPr>
            <w:r>
              <w:rPr>
                <w:rFonts w:hint="eastAsia" w:ascii="宋体" w:hAnsi="宋体" w:eastAsia="宋体" w:cs="宋体"/>
                <w:i w:val="0"/>
                <w:iCs w:val="0"/>
                <w:color w:val="000000"/>
                <w:kern w:val="0"/>
                <w:sz w:val="18"/>
                <w:szCs w:val="18"/>
                <w:u w:val="none"/>
                <w:lang w:val="en-US" w:eastAsia="zh-CN" w:bidi="ar"/>
              </w:rPr>
              <w:t>φ1000mm圆管涵</w:t>
            </w:r>
          </w:p>
        </w:tc>
        <w:tc>
          <w:tcPr>
            <w:tcW w:w="1806" w:type="dxa"/>
            <w:noWrap w:val="0"/>
            <w:vAlign w:val="center"/>
          </w:tcPr>
          <w:p w14:paraId="45CF784A">
            <w:pPr>
              <w:keepNext w:val="0"/>
              <w:keepLines w:val="0"/>
              <w:widowControl/>
              <w:suppressLineNumbers w:val="0"/>
              <w:jc w:val="center"/>
              <w:textAlignment w:val="center"/>
              <w:rPr>
                <w:rFonts w:hint="eastAsia" w:ascii="宋体" w:hAnsi="宋体"/>
                <w:szCs w:val="21"/>
              </w:rPr>
            </w:pPr>
            <w:r>
              <w:rPr>
                <w:rFonts w:hint="eastAsia" w:ascii="宋体" w:hAnsi="宋体" w:eastAsia="宋体" w:cs="宋体"/>
                <w:i w:val="0"/>
                <w:iCs w:val="0"/>
                <w:color w:val="000000"/>
                <w:kern w:val="0"/>
                <w:sz w:val="18"/>
                <w:szCs w:val="18"/>
                <w:u w:val="none"/>
                <w:lang w:val="en-US" w:eastAsia="zh-CN" w:bidi="ar"/>
              </w:rPr>
              <w:t>m</w:t>
            </w:r>
          </w:p>
        </w:tc>
      </w:tr>
      <w:tr w14:paraId="4B9D0C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9" w:hRule="atLeast"/>
        </w:trPr>
        <w:tc>
          <w:tcPr>
            <w:tcW w:w="1546" w:type="dxa"/>
            <w:noWrap w:val="0"/>
            <w:vAlign w:val="center"/>
          </w:tcPr>
          <w:p w14:paraId="28272AD0">
            <w:pPr>
              <w:keepNext w:val="0"/>
              <w:keepLines w:val="0"/>
              <w:widowControl/>
              <w:suppressLineNumbers w:val="0"/>
              <w:jc w:val="center"/>
              <w:textAlignment w:val="center"/>
              <w:rPr>
                <w:rFonts w:hint="eastAsia" w:ascii="宋体" w:hAnsi="宋体"/>
                <w:szCs w:val="21"/>
              </w:rPr>
            </w:pPr>
            <w:r>
              <w:rPr>
                <w:rFonts w:hint="eastAsia" w:ascii="宋体" w:hAnsi="宋体" w:eastAsia="宋体" w:cs="宋体"/>
                <w:i w:val="0"/>
                <w:iCs w:val="0"/>
                <w:color w:val="000000"/>
                <w:kern w:val="0"/>
                <w:sz w:val="18"/>
                <w:szCs w:val="18"/>
                <w:u w:val="none"/>
                <w:lang w:val="en-US" w:eastAsia="zh-CN" w:bidi="ar"/>
              </w:rPr>
              <w:t>-c</w:t>
            </w:r>
          </w:p>
        </w:tc>
        <w:tc>
          <w:tcPr>
            <w:tcW w:w="5582" w:type="dxa"/>
            <w:noWrap w:val="0"/>
            <w:vAlign w:val="center"/>
          </w:tcPr>
          <w:p w14:paraId="5D78BD0D">
            <w:pPr>
              <w:keepNext w:val="0"/>
              <w:keepLines w:val="0"/>
              <w:widowControl/>
              <w:suppressLineNumbers w:val="0"/>
              <w:jc w:val="left"/>
              <w:textAlignment w:val="center"/>
              <w:rPr>
                <w:rFonts w:hint="eastAsia" w:ascii="宋体" w:hAnsi="宋体"/>
                <w:szCs w:val="21"/>
              </w:rPr>
            </w:pPr>
            <w:r>
              <w:rPr>
                <w:rFonts w:hint="eastAsia" w:ascii="宋体" w:hAnsi="宋体" w:eastAsia="宋体" w:cs="宋体"/>
                <w:i w:val="0"/>
                <w:iCs w:val="0"/>
                <w:color w:val="000000"/>
                <w:kern w:val="0"/>
                <w:sz w:val="18"/>
                <w:szCs w:val="18"/>
                <w:u w:val="none"/>
                <w:lang w:val="en-US" w:eastAsia="zh-CN" w:bidi="ar"/>
              </w:rPr>
              <w:t>φ1200mm圆管涵</w:t>
            </w:r>
          </w:p>
        </w:tc>
        <w:tc>
          <w:tcPr>
            <w:tcW w:w="1806" w:type="dxa"/>
            <w:noWrap w:val="0"/>
            <w:vAlign w:val="center"/>
          </w:tcPr>
          <w:p w14:paraId="32109149">
            <w:pPr>
              <w:keepNext w:val="0"/>
              <w:keepLines w:val="0"/>
              <w:widowControl/>
              <w:suppressLineNumbers w:val="0"/>
              <w:jc w:val="center"/>
              <w:textAlignment w:val="center"/>
              <w:rPr>
                <w:rFonts w:hint="eastAsia" w:ascii="宋体" w:hAnsi="宋体"/>
                <w:szCs w:val="21"/>
              </w:rPr>
            </w:pPr>
            <w:r>
              <w:rPr>
                <w:rFonts w:hint="eastAsia" w:ascii="宋体" w:hAnsi="宋体" w:eastAsia="宋体" w:cs="宋体"/>
                <w:i w:val="0"/>
                <w:iCs w:val="0"/>
                <w:color w:val="000000"/>
                <w:kern w:val="0"/>
                <w:sz w:val="18"/>
                <w:szCs w:val="18"/>
                <w:u w:val="none"/>
                <w:lang w:val="en-US" w:eastAsia="zh-CN" w:bidi="ar"/>
              </w:rPr>
              <w:t>m</w:t>
            </w:r>
          </w:p>
        </w:tc>
      </w:tr>
    </w:tbl>
    <w:p w14:paraId="07D26F0F">
      <w:pPr>
        <w:pStyle w:val="60"/>
        <w:rPr>
          <w:rFonts w:hint="eastAsia"/>
          <w:lang w:val="en-US" w:eastAsia="zh-CN"/>
        </w:rPr>
      </w:pPr>
    </w:p>
    <w:p w14:paraId="48C6A697">
      <w:pPr>
        <w:numPr>
          <w:ilvl w:val="0"/>
          <w:numId w:val="0"/>
        </w:numPr>
        <w:tabs>
          <w:tab w:val="left" w:pos="3120"/>
        </w:tabs>
        <w:jc w:val="center"/>
        <w:rPr>
          <w:rFonts w:hint="eastAsia" w:ascii="黑体" w:eastAsia="黑体"/>
          <w:color w:val="auto"/>
          <w:sz w:val="32"/>
          <w:lang w:eastAsia="zh-CN"/>
        </w:rPr>
      </w:pPr>
      <w:r>
        <w:rPr>
          <w:rFonts w:hint="eastAsia" w:ascii="黑体" w:hAnsi="Calibri" w:eastAsia="黑体" w:cs="Times New Roman"/>
          <w:color w:val="auto"/>
          <w:kern w:val="2"/>
          <w:sz w:val="32"/>
          <w:szCs w:val="22"/>
          <w:lang w:val="en-US" w:eastAsia="zh-CN" w:bidi="ar-SA"/>
        </w:rPr>
        <w:t>第40</w:t>
      </w:r>
      <w:r>
        <w:rPr>
          <w:rFonts w:hint="eastAsia" w:ascii="黑体" w:eastAsia="黑体" w:cs="Times New Roman"/>
          <w:color w:val="auto"/>
          <w:kern w:val="2"/>
          <w:sz w:val="32"/>
          <w:szCs w:val="22"/>
          <w:lang w:val="en-US" w:eastAsia="zh-CN" w:bidi="ar-SA"/>
        </w:rPr>
        <w:t>5</w:t>
      </w:r>
      <w:r>
        <w:rPr>
          <w:rFonts w:hint="eastAsia" w:ascii="黑体" w:hAnsi="Calibri" w:eastAsia="黑体" w:cs="Times New Roman"/>
          <w:color w:val="auto"/>
          <w:kern w:val="2"/>
          <w:sz w:val="32"/>
          <w:szCs w:val="22"/>
          <w:lang w:val="en-US" w:eastAsia="zh-CN" w:bidi="ar-SA"/>
        </w:rPr>
        <w:t>节</w:t>
      </w:r>
      <w:r>
        <w:rPr>
          <w:rFonts w:hint="eastAsia" w:ascii="黑体" w:eastAsia="黑体"/>
          <w:color w:val="auto"/>
          <w:sz w:val="32"/>
          <w:lang w:val="en-US" w:eastAsia="zh-CN"/>
        </w:rPr>
        <w:t>窨井</w:t>
      </w:r>
    </w:p>
    <w:p w14:paraId="7C684259">
      <w:pPr>
        <w:rPr>
          <w:rFonts w:hint="eastAsia" w:eastAsia="黑体"/>
          <w:color w:val="auto"/>
          <w:sz w:val="28"/>
          <w:szCs w:val="28"/>
        </w:rPr>
      </w:pPr>
      <w:r>
        <w:rPr>
          <w:rFonts w:hint="eastAsia" w:eastAsia="黑体"/>
          <w:color w:val="auto"/>
          <w:sz w:val="28"/>
          <w:szCs w:val="28"/>
        </w:rPr>
        <w:t>40</w:t>
      </w:r>
      <w:r>
        <w:rPr>
          <w:rFonts w:hint="eastAsia" w:eastAsia="黑体"/>
          <w:color w:val="auto"/>
          <w:sz w:val="28"/>
          <w:szCs w:val="28"/>
          <w:lang w:val="en-US" w:eastAsia="zh-CN"/>
        </w:rPr>
        <w:t>5</w:t>
      </w:r>
      <w:r>
        <w:rPr>
          <w:rFonts w:hint="eastAsia" w:eastAsia="黑体"/>
          <w:color w:val="auto"/>
          <w:sz w:val="28"/>
          <w:szCs w:val="28"/>
        </w:rPr>
        <w:t>.0</w:t>
      </w:r>
      <w:r>
        <w:rPr>
          <w:rFonts w:hint="eastAsia" w:eastAsia="黑体"/>
          <w:color w:val="auto"/>
          <w:sz w:val="28"/>
          <w:szCs w:val="28"/>
          <w:lang w:val="en-US" w:eastAsia="zh-CN"/>
        </w:rPr>
        <w:t>1</w:t>
      </w:r>
      <w:r>
        <w:rPr>
          <w:rFonts w:hint="eastAsia" w:eastAsia="黑体"/>
          <w:color w:val="auto"/>
          <w:sz w:val="28"/>
          <w:szCs w:val="28"/>
        </w:rPr>
        <w:t xml:space="preserve">  计量与支付</w:t>
      </w:r>
    </w:p>
    <w:p w14:paraId="5EE2AA12">
      <w:pPr>
        <w:spacing w:line="440" w:lineRule="exact"/>
        <w:ind w:firstLine="420" w:firstLineChars="200"/>
        <w:jc w:val="left"/>
        <w:rPr>
          <w:rFonts w:hint="eastAsia" w:ascii="宋体" w:hAnsi="宋体"/>
          <w:szCs w:val="21"/>
          <w:lang w:eastAsia="zh-CN"/>
        </w:rPr>
      </w:pPr>
      <w:r>
        <w:rPr>
          <w:rFonts w:hint="eastAsia" w:ascii="宋体" w:hAnsi="宋体"/>
          <w:szCs w:val="21"/>
        </w:rPr>
        <w:t>1．</w:t>
      </w:r>
      <w:r>
        <w:rPr>
          <w:rFonts w:hint="eastAsia" w:ascii="宋体" w:hAnsi="宋体"/>
          <w:szCs w:val="21"/>
          <w:lang w:val="en-US" w:eastAsia="zh-CN"/>
        </w:rPr>
        <w:t>计量</w:t>
      </w:r>
    </w:p>
    <w:p w14:paraId="079283AD">
      <w:pPr>
        <w:spacing w:line="440" w:lineRule="exact"/>
        <w:ind w:firstLine="420" w:firstLineChars="200"/>
        <w:jc w:val="left"/>
        <w:rPr>
          <w:rFonts w:hint="eastAsia" w:ascii="宋体" w:hAnsi="宋体"/>
          <w:szCs w:val="21"/>
        </w:rPr>
      </w:pPr>
      <w:r>
        <w:rPr>
          <w:rFonts w:hint="eastAsia" w:ascii="宋体" w:hAnsi="宋体"/>
          <w:szCs w:val="21"/>
        </w:rPr>
        <w:t>（1）井盖及底座更换按实际施工完成数量以套计量。</w:t>
      </w:r>
    </w:p>
    <w:p w14:paraId="4D50924F">
      <w:pPr>
        <w:spacing w:line="440" w:lineRule="exact"/>
        <w:ind w:firstLine="420" w:firstLineChars="200"/>
        <w:jc w:val="left"/>
        <w:rPr>
          <w:rFonts w:ascii="宋体" w:hAnsi="宋体"/>
          <w:szCs w:val="21"/>
        </w:rPr>
      </w:pPr>
      <w:r>
        <w:rPr>
          <w:rFonts w:hint="eastAsia" w:ascii="宋体" w:hAnsi="宋体"/>
          <w:szCs w:val="21"/>
        </w:rPr>
        <w:t>（2）</w:t>
      </w:r>
      <w:r>
        <w:rPr>
          <w:rFonts w:hint="eastAsia" w:ascii="宋体" w:hAnsi="宋体"/>
          <w:szCs w:val="21"/>
          <w:lang w:val="en-US" w:eastAsia="zh-CN"/>
        </w:rPr>
        <w:t>新建</w:t>
      </w:r>
      <w:r>
        <w:rPr>
          <w:rFonts w:hint="eastAsia" w:ascii="宋体" w:hAnsi="宋体"/>
          <w:szCs w:val="21"/>
        </w:rPr>
        <w:t>井按实际施工完成数量以座计量。</w:t>
      </w:r>
    </w:p>
    <w:p w14:paraId="44ABE804">
      <w:pPr>
        <w:spacing w:line="440" w:lineRule="exact"/>
        <w:ind w:firstLine="420" w:firstLineChars="200"/>
        <w:jc w:val="left"/>
        <w:rPr>
          <w:rFonts w:ascii="宋体" w:hAnsi="宋体"/>
          <w:szCs w:val="21"/>
        </w:rPr>
      </w:pPr>
      <w:r>
        <w:rPr>
          <w:rFonts w:hint="eastAsia" w:ascii="宋体" w:hAnsi="宋体"/>
          <w:szCs w:val="21"/>
        </w:rPr>
        <w:t>2．支付</w:t>
      </w:r>
    </w:p>
    <w:p w14:paraId="4F8003C5">
      <w:pPr>
        <w:spacing w:line="440" w:lineRule="exact"/>
        <w:ind w:firstLine="420" w:firstLineChars="200"/>
        <w:jc w:val="left"/>
        <w:rPr>
          <w:rFonts w:hint="eastAsia" w:ascii="宋体" w:hAnsi="宋体"/>
          <w:szCs w:val="21"/>
        </w:rPr>
      </w:pPr>
      <w:r>
        <w:rPr>
          <w:rFonts w:hint="eastAsia" w:ascii="宋体" w:hAnsi="宋体"/>
          <w:szCs w:val="21"/>
        </w:rPr>
        <w:t>（1）井盖更换按实际施工完成数量，按合同单价计算支付。此项支付包括施工安全、运行维护；破损井、</w:t>
      </w:r>
      <w:r>
        <w:rPr>
          <w:rFonts w:hint="eastAsia" w:ascii="宋体" w:hAnsi="宋体"/>
          <w:szCs w:val="21"/>
          <w:lang w:val="en-US" w:eastAsia="zh-CN"/>
        </w:rPr>
        <w:t>井盖</w:t>
      </w:r>
      <w:r>
        <w:rPr>
          <w:rFonts w:hint="eastAsia" w:ascii="宋体" w:hAnsi="宋体"/>
          <w:szCs w:val="21"/>
        </w:rPr>
        <w:t>拆除、清理、废料外运</w:t>
      </w:r>
      <w:r>
        <w:rPr>
          <w:rFonts w:hint="eastAsia" w:ascii="宋体" w:hAnsi="宋体"/>
          <w:szCs w:val="21"/>
          <w:lang w:eastAsia="zh-CN"/>
        </w:rPr>
        <w:t>、</w:t>
      </w:r>
      <w:r>
        <w:rPr>
          <w:rFonts w:hint="eastAsia" w:ascii="宋体" w:hAnsi="宋体"/>
          <w:szCs w:val="21"/>
        </w:rPr>
        <w:t>井盖安装等</w:t>
      </w:r>
      <w:r>
        <w:rPr>
          <w:rFonts w:ascii="宋体" w:hAnsi="宋体"/>
          <w:szCs w:val="21"/>
        </w:rPr>
        <w:t>一切为完成本项工程所必需的全部费用</w:t>
      </w:r>
      <w:r>
        <w:rPr>
          <w:rFonts w:hint="eastAsia" w:ascii="宋体" w:hAnsi="宋体"/>
          <w:szCs w:val="21"/>
        </w:rPr>
        <w:t>。</w:t>
      </w:r>
    </w:p>
    <w:p w14:paraId="7FD0FB44">
      <w:pPr>
        <w:spacing w:line="440" w:lineRule="exact"/>
        <w:ind w:firstLine="420" w:firstLineChars="200"/>
        <w:jc w:val="left"/>
        <w:rPr>
          <w:rFonts w:hint="eastAsia" w:ascii="宋体" w:hAnsi="宋体"/>
          <w:szCs w:val="21"/>
        </w:rPr>
      </w:pPr>
      <w:r>
        <w:rPr>
          <w:rFonts w:hint="eastAsia" w:ascii="宋体" w:hAnsi="宋体"/>
          <w:szCs w:val="21"/>
        </w:rPr>
        <w:t>（</w:t>
      </w:r>
      <w:r>
        <w:rPr>
          <w:rFonts w:hint="eastAsia" w:ascii="宋体" w:hAnsi="宋体"/>
          <w:szCs w:val="21"/>
          <w:lang w:val="en-US" w:eastAsia="zh-CN"/>
        </w:rPr>
        <w:t>2</w:t>
      </w:r>
      <w:r>
        <w:rPr>
          <w:rFonts w:hint="eastAsia" w:ascii="宋体" w:hAnsi="宋体"/>
          <w:szCs w:val="21"/>
        </w:rPr>
        <w:t>）井座更换按实际施工完成数量，按合同单价计算支付。此项支付包括施工安全、运行维护；破损井、</w:t>
      </w:r>
      <w:r>
        <w:rPr>
          <w:rFonts w:hint="eastAsia" w:ascii="宋体" w:hAnsi="宋体"/>
          <w:szCs w:val="21"/>
          <w:lang w:val="en-US" w:eastAsia="zh-CN"/>
        </w:rPr>
        <w:t>井</w:t>
      </w:r>
      <w:r>
        <w:rPr>
          <w:rFonts w:hint="eastAsia" w:ascii="宋体" w:hAnsi="宋体"/>
          <w:szCs w:val="21"/>
        </w:rPr>
        <w:t>座拆除、清理、废料外运；井座安装、井圈四周损坏道路修复（如有）等</w:t>
      </w:r>
      <w:r>
        <w:rPr>
          <w:rFonts w:ascii="宋体" w:hAnsi="宋体"/>
          <w:szCs w:val="21"/>
        </w:rPr>
        <w:t>一切为完成本项工程所必需的全部费用</w:t>
      </w:r>
      <w:r>
        <w:rPr>
          <w:rFonts w:hint="eastAsia" w:ascii="宋体" w:hAnsi="宋体"/>
          <w:szCs w:val="21"/>
        </w:rPr>
        <w:t>。</w:t>
      </w:r>
    </w:p>
    <w:p w14:paraId="67EBBA0A">
      <w:pPr>
        <w:spacing w:line="440" w:lineRule="exact"/>
        <w:ind w:firstLine="420" w:firstLineChars="200"/>
        <w:jc w:val="left"/>
        <w:rPr>
          <w:rFonts w:ascii="宋体" w:hAnsi="宋体"/>
          <w:szCs w:val="21"/>
        </w:rPr>
      </w:pPr>
      <w:r>
        <w:rPr>
          <w:rFonts w:hint="eastAsia" w:ascii="宋体" w:hAnsi="宋体"/>
          <w:szCs w:val="21"/>
        </w:rPr>
        <w:t>（2）新建井按实际施工完成数量，按合同单价计算支付。此项支付包括施工安全、运行维护；</w:t>
      </w:r>
      <w:r>
        <w:rPr>
          <w:rFonts w:ascii="宋体" w:hAnsi="宋体"/>
          <w:szCs w:val="21"/>
        </w:rPr>
        <w:t>挖基及基底处理；砌筑、勾缝、混凝土浇筑</w:t>
      </w:r>
      <w:r>
        <w:rPr>
          <w:rFonts w:hint="eastAsia" w:ascii="宋体" w:hAnsi="宋体"/>
          <w:szCs w:val="21"/>
        </w:rPr>
        <w:t>；井盖及底座安装；</w:t>
      </w:r>
      <w:r>
        <w:rPr>
          <w:rFonts w:ascii="宋体" w:hAnsi="宋体"/>
          <w:szCs w:val="21"/>
        </w:rPr>
        <w:t>回填作业、</w:t>
      </w:r>
      <w:r>
        <w:rPr>
          <w:rFonts w:hint="eastAsia" w:ascii="宋体" w:hAnsi="宋体"/>
          <w:szCs w:val="21"/>
        </w:rPr>
        <w:t>井圈四周损坏道路修复（如有）</w:t>
      </w:r>
      <w:r>
        <w:rPr>
          <w:rFonts w:ascii="宋体" w:hAnsi="宋体"/>
          <w:szCs w:val="21"/>
        </w:rPr>
        <w:t>等一切为完成本项工程所必需的全部费用。</w:t>
      </w:r>
    </w:p>
    <w:p w14:paraId="02E84B96">
      <w:pPr>
        <w:spacing w:after="120" w:afterLines="50" w:line="360" w:lineRule="exact"/>
        <w:jc w:val="left"/>
        <w:rPr>
          <w:rFonts w:ascii="宋体" w:hAnsi="宋体"/>
          <w:szCs w:val="21"/>
        </w:rPr>
      </w:pPr>
      <w:r>
        <w:rPr>
          <w:rFonts w:hint="eastAsia" w:ascii="Times New Roman" w:hAnsi="Times New Roman"/>
          <w:color w:val="000000"/>
          <w:lang w:val="en-US" w:eastAsia="zh-CN"/>
        </w:rPr>
        <w:t>3</w:t>
      </w:r>
      <w:r>
        <w:rPr>
          <w:rFonts w:hint="eastAsia" w:ascii="宋体" w:hAnsi="宋体"/>
          <w:szCs w:val="21"/>
        </w:rPr>
        <w:t>．支付子目</w:t>
      </w:r>
    </w:p>
    <w:tbl>
      <w:tblPr>
        <w:tblStyle w:val="51"/>
        <w:tblW w:w="8934" w:type="dxa"/>
        <w:tblInd w:w="502"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546"/>
        <w:gridCol w:w="5582"/>
        <w:gridCol w:w="1806"/>
      </w:tblGrid>
      <w:tr w14:paraId="72A8F2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9" w:hRule="atLeast"/>
        </w:trPr>
        <w:tc>
          <w:tcPr>
            <w:tcW w:w="1546" w:type="dxa"/>
            <w:noWrap w:val="0"/>
            <w:vAlign w:val="center"/>
          </w:tcPr>
          <w:p w14:paraId="4DE59AEC">
            <w:pPr>
              <w:spacing w:line="260" w:lineRule="exact"/>
              <w:jc w:val="center"/>
              <w:rPr>
                <w:rFonts w:ascii="宋体" w:hAnsi="宋体"/>
                <w:szCs w:val="21"/>
              </w:rPr>
            </w:pPr>
            <w:r>
              <w:rPr>
                <w:rFonts w:hint="eastAsia" w:ascii="宋体" w:hAnsi="宋体"/>
                <w:szCs w:val="21"/>
              </w:rPr>
              <w:t>子目号</w:t>
            </w:r>
          </w:p>
        </w:tc>
        <w:tc>
          <w:tcPr>
            <w:tcW w:w="5582" w:type="dxa"/>
            <w:noWrap w:val="0"/>
            <w:vAlign w:val="center"/>
          </w:tcPr>
          <w:p w14:paraId="01FF3082">
            <w:pPr>
              <w:spacing w:line="260" w:lineRule="exact"/>
              <w:jc w:val="center"/>
              <w:rPr>
                <w:rFonts w:ascii="宋体" w:hAnsi="宋体"/>
                <w:szCs w:val="21"/>
              </w:rPr>
            </w:pPr>
            <w:r>
              <w:rPr>
                <w:rFonts w:hint="eastAsia" w:ascii="宋体" w:hAnsi="宋体"/>
                <w:szCs w:val="21"/>
              </w:rPr>
              <w:t>子目名称</w:t>
            </w:r>
          </w:p>
        </w:tc>
        <w:tc>
          <w:tcPr>
            <w:tcW w:w="1806" w:type="dxa"/>
            <w:noWrap w:val="0"/>
            <w:vAlign w:val="center"/>
          </w:tcPr>
          <w:p w14:paraId="22ED52E0">
            <w:pPr>
              <w:spacing w:line="260" w:lineRule="exact"/>
              <w:jc w:val="center"/>
              <w:rPr>
                <w:rFonts w:ascii="宋体" w:hAnsi="宋体"/>
                <w:szCs w:val="21"/>
              </w:rPr>
            </w:pPr>
            <w:r>
              <w:rPr>
                <w:rFonts w:hint="eastAsia" w:ascii="宋体" w:hAnsi="宋体"/>
                <w:szCs w:val="21"/>
              </w:rPr>
              <w:t>单 位</w:t>
            </w:r>
          </w:p>
        </w:tc>
      </w:tr>
      <w:tr w14:paraId="04F770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9" w:hRule="atLeast"/>
        </w:trPr>
        <w:tc>
          <w:tcPr>
            <w:tcW w:w="1546" w:type="dxa"/>
            <w:noWrap w:val="0"/>
            <w:vAlign w:val="center"/>
          </w:tcPr>
          <w:p w14:paraId="1E0F4C9D">
            <w:pPr>
              <w:keepNext w:val="0"/>
              <w:keepLines w:val="0"/>
              <w:widowControl/>
              <w:suppressLineNumbers w:val="0"/>
              <w:jc w:val="center"/>
              <w:textAlignment w:val="center"/>
              <w:rPr>
                <w:rFonts w:hint="eastAsia" w:ascii="宋体" w:hAnsi="宋体"/>
                <w:szCs w:val="21"/>
              </w:rPr>
            </w:pPr>
            <w:r>
              <w:rPr>
                <w:rFonts w:hint="eastAsia" w:ascii="宋体" w:hAnsi="宋体" w:eastAsia="宋体" w:cs="宋体"/>
                <w:i w:val="0"/>
                <w:iCs w:val="0"/>
                <w:color w:val="000000"/>
                <w:kern w:val="0"/>
                <w:sz w:val="18"/>
                <w:szCs w:val="18"/>
                <w:u w:val="none"/>
                <w:lang w:val="en-US" w:eastAsia="zh-CN" w:bidi="ar"/>
              </w:rPr>
              <w:t>404-5</w:t>
            </w:r>
          </w:p>
        </w:tc>
        <w:tc>
          <w:tcPr>
            <w:tcW w:w="5582" w:type="dxa"/>
            <w:noWrap w:val="0"/>
            <w:vAlign w:val="center"/>
          </w:tcPr>
          <w:p w14:paraId="3328ED42">
            <w:pPr>
              <w:keepNext w:val="0"/>
              <w:keepLines w:val="0"/>
              <w:widowControl/>
              <w:suppressLineNumbers w:val="0"/>
              <w:jc w:val="left"/>
              <w:textAlignment w:val="center"/>
              <w:rPr>
                <w:rFonts w:hint="eastAsia" w:ascii="宋体" w:hAnsi="宋体"/>
                <w:szCs w:val="21"/>
              </w:rPr>
            </w:pPr>
            <w:r>
              <w:rPr>
                <w:rFonts w:hint="eastAsia" w:ascii="宋体" w:hAnsi="宋体" w:eastAsia="宋体" w:cs="宋体"/>
                <w:i w:val="0"/>
                <w:iCs w:val="0"/>
                <w:color w:val="000000"/>
                <w:kern w:val="0"/>
                <w:sz w:val="18"/>
                <w:szCs w:val="18"/>
                <w:u w:val="none"/>
                <w:lang w:val="en-US" w:eastAsia="zh-CN" w:bidi="ar"/>
              </w:rPr>
              <w:t>窨井新建或维修</w:t>
            </w:r>
          </w:p>
        </w:tc>
        <w:tc>
          <w:tcPr>
            <w:tcW w:w="1806" w:type="dxa"/>
            <w:noWrap w:val="0"/>
            <w:vAlign w:val="center"/>
          </w:tcPr>
          <w:p w14:paraId="75CAC7D8">
            <w:pPr>
              <w:jc w:val="center"/>
              <w:rPr>
                <w:rFonts w:hint="eastAsia" w:ascii="宋体" w:hAnsi="宋体"/>
                <w:szCs w:val="21"/>
              </w:rPr>
            </w:pPr>
          </w:p>
        </w:tc>
      </w:tr>
      <w:tr w14:paraId="104B4C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9" w:hRule="atLeast"/>
        </w:trPr>
        <w:tc>
          <w:tcPr>
            <w:tcW w:w="1546" w:type="dxa"/>
            <w:noWrap w:val="0"/>
            <w:vAlign w:val="center"/>
          </w:tcPr>
          <w:p w14:paraId="7BDFC7C6">
            <w:pPr>
              <w:keepNext w:val="0"/>
              <w:keepLines w:val="0"/>
              <w:widowControl/>
              <w:suppressLineNumbers w:val="0"/>
              <w:jc w:val="center"/>
              <w:textAlignment w:val="center"/>
              <w:rPr>
                <w:rFonts w:hint="eastAsia" w:ascii="宋体" w:hAnsi="宋体"/>
                <w:szCs w:val="21"/>
              </w:rPr>
            </w:pPr>
            <w:r>
              <w:rPr>
                <w:rFonts w:hint="eastAsia" w:ascii="宋体" w:hAnsi="宋体" w:eastAsia="宋体" w:cs="宋体"/>
                <w:i w:val="0"/>
                <w:iCs w:val="0"/>
                <w:color w:val="000000"/>
                <w:kern w:val="0"/>
                <w:sz w:val="18"/>
                <w:szCs w:val="18"/>
                <w:u w:val="none"/>
                <w:lang w:val="en-US" w:eastAsia="zh-CN" w:bidi="ar"/>
              </w:rPr>
              <w:t>-a</w:t>
            </w:r>
          </w:p>
        </w:tc>
        <w:tc>
          <w:tcPr>
            <w:tcW w:w="5582" w:type="dxa"/>
            <w:noWrap w:val="0"/>
            <w:vAlign w:val="center"/>
          </w:tcPr>
          <w:p w14:paraId="48C5815A">
            <w:pPr>
              <w:keepNext w:val="0"/>
              <w:keepLines w:val="0"/>
              <w:widowControl/>
              <w:suppressLineNumbers w:val="0"/>
              <w:jc w:val="left"/>
              <w:textAlignment w:val="center"/>
              <w:rPr>
                <w:rFonts w:hint="eastAsia" w:ascii="宋体" w:hAnsi="宋体"/>
                <w:szCs w:val="21"/>
              </w:rPr>
            </w:pPr>
            <w:r>
              <w:rPr>
                <w:rFonts w:hint="eastAsia" w:ascii="宋体" w:hAnsi="宋体" w:eastAsia="宋体" w:cs="宋体"/>
                <w:i w:val="0"/>
                <w:iCs w:val="0"/>
                <w:color w:val="000000"/>
                <w:kern w:val="0"/>
                <w:sz w:val="18"/>
                <w:szCs w:val="18"/>
                <w:u w:val="none"/>
                <w:lang w:val="en-US" w:eastAsia="zh-CN" w:bidi="ar"/>
              </w:rPr>
              <w:t>检查井井盖更换(铸铁雨水井盖)</w:t>
            </w:r>
          </w:p>
        </w:tc>
        <w:tc>
          <w:tcPr>
            <w:tcW w:w="1806" w:type="dxa"/>
            <w:noWrap w:val="0"/>
            <w:vAlign w:val="center"/>
          </w:tcPr>
          <w:p w14:paraId="5757897D">
            <w:pPr>
              <w:keepNext w:val="0"/>
              <w:keepLines w:val="0"/>
              <w:widowControl/>
              <w:suppressLineNumbers w:val="0"/>
              <w:jc w:val="center"/>
              <w:textAlignment w:val="center"/>
              <w:rPr>
                <w:rFonts w:hint="eastAsia" w:ascii="宋体" w:hAnsi="宋体"/>
                <w:szCs w:val="21"/>
              </w:rPr>
            </w:pPr>
            <w:r>
              <w:rPr>
                <w:rFonts w:hint="eastAsia" w:ascii="宋体" w:hAnsi="宋体" w:eastAsia="宋体" w:cs="宋体"/>
                <w:i w:val="0"/>
                <w:iCs w:val="0"/>
                <w:color w:val="000000"/>
                <w:kern w:val="0"/>
                <w:sz w:val="18"/>
                <w:szCs w:val="18"/>
                <w:u w:val="none"/>
                <w:lang w:val="en-US" w:eastAsia="zh-CN" w:bidi="ar"/>
              </w:rPr>
              <w:t>座</w:t>
            </w:r>
          </w:p>
        </w:tc>
      </w:tr>
      <w:tr w14:paraId="7DAE80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9" w:hRule="atLeast"/>
        </w:trPr>
        <w:tc>
          <w:tcPr>
            <w:tcW w:w="1546" w:type="dxa"/>
            <w:noWrap w:val="0"/>
            <w:vAlign w:val="center"/>
          </w:tcPr>
          <w:p w14:paraId="6A3BD1E0">
            <w:pPr>
              <w:keepNext w:val="0"/>
              <w:keepLines w:val="0"/>
              <w:widowControl/>
              <w:suppressLineNumbers w:val="0"/>
              <w:jc w:val="center"/>
              <w:textAlignment w:val="center"/>
              <w:rPr>
                <w:rFonts w:hint="eastAsia" w:ascii="宋体" w:hAnsi="宋体"/>
                <w:szCs w:val="21"/>
              </w:rPr>
            </w:pPr>
            <w:r>
              <w:rPr>
                <w:rFonts w:hint="eastAsia" w:ascii="宋体" w:hAnsi="宋体" w:eastAsia="宋体" w:cs="宋体"/>
                <w:i w:val="0"/>
                <w:iCs w:val="0"/>
                <w:color w:val="000000"/>
                <w:kern w:val="0"/>
                <w:sz w:val="18"/>
                <w:szCs w:val="18"/>
                <w:u w:val="none"/>
                <w:lang w:val="en-US" w:eastAsia="zh-CN" w:bidi="ar"/>
              </w:rPr>
              <w:t>-b</w:t>
            </w:r>
          </w:p>
        </w:tc>
        <w:tc>
          <w:tcPr>
            <w:tcW w:w="5582" w:type="dxa"/>
            <w:noWrap w:val="0"/>
            <w:vAlign w:val="center"/>
          </w:tcPr>
          <w:p w14:paraId="2E454B23">
            <w:pPr>
              <w:keepNext w:val="0"/>
              <w:keepLines w:val="0"/>
              <w:widowControl/>
              <w:suppressLineNumbers w:val="0"/>
              <w:jc w:val="left"/>
              <w:textAlignment w:val="center"/>
              <w:rPr>
                <w:rFonts w:hint="eastAsia" w:ascii="宋体" w:hAnsi="宋体"/>
                <w:szCs w:val="21"/>
              </w:rPr>
            </w:pPr>
            <w:r>
              <w:rPr>
                <w:rFonts w:hint="eastAsia" w:ascii="宋体" w:hAnsi="宋体" w:eastAsia="宋体" w:cs="宋体"/>
                <w:i w:val="0"/>
                <w:iCs w:val="0"/>
                <w:color w:val="000000"/>
                <w:kern w:val="0"/>
                <w:sz w:val="18"/>
                <w:szCs w:val="18"/>
                <w:u w:val="none"/>
                <w:lang w:val="en-US" w:eastAsia="zh-CN" w:bidi="ar"/>
              </w:rPr>
              <w:t>检查井井盖更换(树脂)</w:t>
            </w:r>
          </w:p>
        </w:tc>
        <w:tc>
          <w:tcPr>
            <w:tcW w:w="1806" w:type="dxa"/>
            <w:noWrap w:val="0"/>
            <w:vAlign w:val="center"/>
          </w:tcPr>
          <w:p w14:paraId="283D28CA">
            <w:pPr>
              <w:keepNext w:val="0"/>
              <w:keepLines w:val="0"/>
              <w:widowControl/>
              <w:suppressLineNumbers w:val="0"/>
              <w:jc w:val="center"/>
              <w:textAlignment w:val="center"/>
              <w:rPr>
                <w:rFonts w:hint="eastAsia" w:ascii="宋体" w:hAnsi="宋体"/>
                <w:szCs w:val="21"/>
              </w:rPr>
            </w:pPr>
            <w:r>
              <w:rPr>
                <w:rFonts w:hint="eastAsia" w:ascii="宋体" w:hAnsi="宋体" w:eastAsia="宋体" w:cs="宋体"/>
                <w:i w:val="0"/>
                <w:iCs w:val="0"/>
                <w:color w:val="000000"/>
                <w:kern w:val="0"/>
                <w:sz w:val="18"/>
                <w:szCs w:val="18"/>
                <w:u w:val="none"/>
                <w:lang w:val="en-US" w:eastAsia="zh-CN" w:bidi="ar"/>
              </w:rPr>
              <w:t>座</w:t>
            </w:r>
          </w:p>
        </w:tc>
      </w:tr>
      <w:tr w14:paraId="238831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9" w:hRule="atLeast"/>
        </w:trPr>
        <w:tc>
          <w:tcPr>
            <w:tcW w:w="1546" w:type="dxa"/>
            <w:noWrap w:val="0"/>
            <w:vAlign w:val="center"/>
          </w:tcPr>
          <w:p w14:paraId="17484861">
            <w:pPr>
              <w:keepNext w:val="0"/>
              <w:keepLines w:val="0"/>
              <w:widowControl/>
              <w:suppressLineNumbers w:val="0"/>
              <w:jc w:val="center"/>
              <w:textAlignment w:val="center"/>
              <w:rPr>
                <w:rFonts w:hint="eastAsia" w:ascii="宋体" w:hAnsi="宋体"/>
                <w:szCs w:val="21"/>
              </w:rPr>
            </w:pPr>
            <w:r>
              <w:rPr>
                <w:rFonts w:hint="eastAsia" w:ascii="宋体" w:hAnsi="宋体" w:eastAsia="宋体" w:cs="宋体"/>
                <w:i w:val="0"/>
                <w:iCs w:val="0"/>
                <w:color w:val="000000"/>
                <w:kern w:val="0"/>
                <w:sz w:val="18"/>
                <w:szCs w:val="18"/>
                <w:u w:val="none"/>
                <w:lang w:val="en-US" w:eastAsia="zh-CN" w:bidi="ar"/>
              </w:rPr>
              <w:t>-c</w:t>
            </w:r>
          </w:p>
        </w:tc>
        <w:tc>
          <w:tcPr>
            <w:tcW w:w="5582" w:type="dxa"/>
            <w:noWrap w:val="0"/>
            <w:vAlign w:val="center"/>
          </w:tcPr>
          <w:p w14:paraId="73AC08A0">
            <w:pPr>
              <w:keepNext w:val="0"/>
              <w:keepLines w:val="0"/>
              <w:widowControl/>
              <w:suppressLineNumbers w:val="0"/>
              <w:jc w:val="left"/>
              <w:textAlignment w:val="center"/>
              <w:rPr>
                <w:rFonts w:hint="eastAsia" w:ascii="宋体" w:hAnsi="宋体"/>
                <w:szCs w:val="21"/>
              </w:rPr>
            </w:pPr>
            <w:r>
              <w:rPr>
                <w:rFonts w:hint="eastAsia" w:ascii="宋体" w:hAnsi="宋体" w:eastAsia="宋体" w:cs="宋体"/>
                <w:i w:val="0"/>
                <w:iCs w:val="0"/>
                <w:color w:val="000000"/>
                <w:kern w:val="0"/>
                <w:sz w:val="18"/>
                <w:szCs w:val="18"/>
                <w:u w:val="none"/>
                <w:lang w:val="en-US" w:eastAsia="zh-CN" w:bidi="ar"/>
              </w:rPr>
              <w:t>检查井井座维修更换</w:t>
            </w:r>
          </w:p>
        </w:tc>
        <w:tc>
          <w:tcPr>
            <w:tcW w:w="1806" w:type="dxa"/>
            <w:noWrap w:val="0"/>
            <w:vAlign w:val="center"/>
          </w:tcPr>
          <w:p w14:paraId="713306E3">
            <w:pPr>
              <w:keepNext w:val="0"/>
              <w:keepLines w:val="0"/>
              <w:widowControl/>
              <w:suppressLineNumbers w:val="0"/>
              <w:jc w:val="center"/>
              <w:textAlignment w:val="center"/>
              <w:rPr>
                <w:rFonts w:hint="eastAsia" w:ascii="宋体" w:hAnsi="宋体"/>
                <w:szCs w:val="21"/>
              </w:rPr>
            </w:pPr>
            <w:r>
              <w:rPr>
                <w:rFonts w:hint="eastAsia" w:ascii="宋体" w:hAnsi="宋体" w:eastAsia="宋体" w:cs="宋体"/>
                <w:i w:val="0"/>
                <w:iCs w:val="0"/>
                <w:color w:val="000000"/>
                <w:kern w:val="0"/>
                <w:sz w:val="18"/>
                <w:szCs w:val="18"/>
                <w:u w:val="none"/>
                <w:lang w:val="en-US" w:eastAsia="zh-CN" w:bidi="ar"/>
              </w:rPr>
              <w:t>座</w:t>
            </w:r>
          </w:p>
        </w:tc>
      </w:tr>
      <w:tr w14:paraId="3D8873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9" w:hRule="atLeast"/>
        </w:trPr>
        <w:tc>
          <w:tcPr>
            <w:tcW w:w="1546" w:type="dxa"/>
            <w:noWrap w:val="0"/>
            <w:vAlign w:val="center"/>
          </w:tcPr>
          <w:p w14:paraId="22603530">
            <w:pPr>
              <w:keepNext w:val="0"/>
              <w:keepLines w:val="0"/>
              <w:widowControl/>
              <w:suppressLineNumbers w:val="0"/>
              <w:jc w:val="center"/>
              <w:textAlignment w:val="center"/>
              <w:rPr>
                <w:rFonts w:hint="eastAsia" w:ascii="宋体" w:hAnsi="宋体"/>
                <w:szCs w:val="21"/>
              </w:rPr>
            </w:pPr>
            <w:r>
              <w:rPr>
                <w:rFonts w:hint="eastAsia" w:ascii="宋体" w:hAnsi="宋体" w:eastAsia="宋体" w:cs="宋体"/>
                <w:i w:val="0"/>
                <w:iCs w:val="0"/>
                <w:color w:val="000000"/>
                <w:kern w:val="0"/>
                <w:sz w:val="18"/>
                <w:szCs w:val="18"/>
                <w:u w:val="none"/>
                <w:lang w:val="en-US" w:eastAsia="zh-CN" w:bidi="ar"/>
              </w:rPr>
              <w:t>-d</w:t>
            </w:r>
          </w:p>
        </w:tc>
        <w:tc>
          <w:tcPr>
            <w:tcW w:w="5582" w:type="dxa"/>
            <w:noWrap w:val="0"/>
            <w:vAlign w:val="center"/>
          </w:tcPr>
          <w:p w14:paraId="252E0C27">
            <w:pPr>
              <w:keepNext w:val="0"/>
              <w:keepLines w:val="0"/>
              <w:widowControl/>
              <w:suppressLineNumbers w:val="0"/>
              <w:jc w:val="left"/>
              <w:textAlignment w:val="center"/>
              <w:rPr>
                <w:rFonts w:hint="eastAsia" w:ascii="宋体" w:hAnsi="宋体"/>
                <w:szCs w:val="21"/>
              </w:rPr>
            </w:pPr>
            <w:r>
              <w:rPr>
                <w:rFonts w:hint="eastAsia" w:ascii="宋体" w:hAnsi="宋体" w:eastAsia="宋体" w:cs="宋体"/>
                <w:i w:val="0"/>
                <w:iCs w:val="0"/>
                <w:color w:val="000000"/>
                <w:kern w:val="0"/>
                <w:sz w:val="18"/>
                <w:szCs w:val="18"/>
                <w:u w:val="none"/>
                <w:lang w:val="en-US" w:eastAsia="zh-CN" w:bidi="ar"/>
              </w:rPr>
              <w:t>新建检查井(铸铁雨水井盖)</w:t>
            </w:r>
          </w:p>
        </w:tc>
        <w:tc>
          <w:tcPr>
            <w:tcW w:w="1806" w:type="dxa"/>
            <w:noWrap w:val="0"/>
            <w:vAlign w:val="center"/>
          </w:tcPr>
          <w:p w14:paraId="7D5AAC0C">
            <w:pPr>
              <w:keepNext w:val="0"/>
              <w:keepLines w:val="0"/>
              <w:widowControl/>
              <w:suppressLineNumbers w:val="0"/>
              <w:jc w:val="center"/>
              <w:textAlignment w:val="center"/>
              <w:rPr>
                <w:rFonts w:hint="eastAsia" w:ascii="宋体" w:hAnsi="宋体"/>
                <w:szCs w:val="21"/>
              </w:rPr>
            </w:pPr>
            <w:r>
              <w:rPr>
                <w:rFonts w:hint="eastAsia" w:ascii="宋体" w:hAnsi="宋体" w:eastAsia="宋体" w:cs="宋体"/>
                <w:i w:val="0"/>
                <w:iCs w:val="0"/>
                <w:color w:val="000000"/>
                <w:kern w:val="0"/>
                <w:sz w:val="18"/>
                <w:szCs w:val="18"/>
                <w:u w:val="none"/>
                <w:lang w:val="en-US" w:eastAsia="zh-CN" w:bidi="ar"/>
              </w:rPr>
              <w:t>座</w:t>
            </w:r>
          </w:p>
        </w:tc>
      </w:tr>
      <w:tr w14:paraId="560E97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9" w:hRule="atLeast"/>
        </w:trPr>
        <w:tc>
          <w:tcPr>
            <w:tcW w:w="1546" w:type="dxa"/>
            <w:noWrap w:val="0"/>
            <w:vAlign w:val="center"/>
          </w:tcPr>
          <w:p w14:paraId="2298B993">
            <w:pPr>
              <w:keepNext w:val="0"/>
              <w:keepLines w:val="0"/>
              <w:widowControl/>
              <w:suppressLineNumbers w:val="0"/>
              <w:jc w:val="center"/>
              <w:textAlignment w:val="center"/>
              <w:rPr>
                <w:rFonts w:hint="eastAsia" w:ascii="宋体" w:hAnsi="宋体"/>
                <w:szCs w:val="21"/>
              </w:rPr>
            </w:pPr>
            <w:r>
              <w:rPr>
                <w:rFonts w:hint="eastAsia" w:ascii="宋体" w:hAnsi="宋体" w:eastAsia="宋体" w:cs="宋体"/>
                <w:i w:val="0"/>
                <w:iCs w:val="0"/>
                <w:color w:val="000000"/>
                <w:kern w:val="0"/>
                <w:sz w:val="18"/>
                <w:szCs w:val="18"/>
                <w:u w:val="none"/>
                <w:lang w:val="en-US" w:eastAsia="zh-CN" w:bidi="ar"/>
              </w:rPr>
              <w:t>-e</w:t>
            </w:r>
          </w:p>
        </w:tc>
        <w:tc>
          <w:tcPr>
            <w:tcW w:w="5582" w:type="dxa"/>
            <w:noWrap w:val="0"/>
            <w:vAlign w:val="center"/>
          </w:tcPr>
          <w:p w14:paraId="2C3A611D">
            <w:pPr>
              <w:keepNext w:val="0"/>
              <w:keepLines w:val="0"/>
              <w:widowControl/>
              <w:suppressLineNumbers w:val="0"/>
              <w:jc w:val="left"/>
              <w:textAlignment w:val="center"/>
              <w:rPr>
                <w:rFonts w:hint="eastAsia" w:ascii="宋体" w:hAnsi="宋体"/>
                <w:szCs w:val="21"/>
              </w:rPr>
            </w:pPr>
            <w:r>
              <w:rPr>
                <w:rFonts w:hint="eastAsia" w:ascii="宋体" w:hAnsi="宋体" w:eastAsia="宋体" w:cs="宋体"/>
                <w:i w:val="0"/>
                <w:iCs w:val="0"/>
                <w:color w:val="000000"/>
                <w:kern w:val="0"/>
                <w:sz w:val="18"/>
                <w:szCs w:val="18"/>
                <w:u w:val="none"/>
                <w:lang w:val="en-US" w:eastAsia="zh-CN" w:bidi="ar"/>
              </w:rPr>
              <w:t>新建检查井(树脂)</w:t>
            </w:r>
          </w:p>
        </w:tc>
        <w:tc>
          <w:tcPr>
            <w:tcW w:w="1806" w:type="dxa"/>
            <w:noWrap w:val="0"/>
            <w:vAlign w:val="center"/>
          </w:tcPr>
          <w:p w14:paraId="6DE41B24">
            <w:pPr>
              <w:keepNext w:val="0"/>
              <w:keepLines w:val="0"/>
              <w:widowControl/>
              <w:suppressLineNumbers w:val="0"/>
              <w:jc w:val="center"/>
              <w:textAlignment w:val="center"/>
              <w:rPr>
                <w:rFonts w:hint="eastAsia" w:ascii="宋体" w:hAnsi="宋体"/>
                <w:szCs w:val="21"/>
              </w:rPr>
            </w:pPr>
            <w:r>
              <w:rPr>
                <w:rFonts w:hint="eastAsia" w:ascii="宋体" w:hAnsi="宋体" w:eastAsia="宋体" w:cs="宋体"/>
                <w:i w:val="0"/>
                <w:iCs w:val="0"/>
                <w:color w:val="000000"/>
                <w:kern w:val="0"/>
                <w:sz w:val="18"/>
                <w:szCs w:val="18"/>
                <w:u w:val="none"/>
                <w:lang w:val="en-US" w:eastAsia="zh-CN" w:bidi="ar"/>
              </w:rPr>
              <w:t>座</w:t>
            </w:r>
          </w:p>
        </w:tc>
      </w:tr>
      <w:tr w14:paraId="00ECD2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9" w:hRule="atLeast"/>
        </w:trPr>
        <w:tc>
          <w:tcPr>
            <w:tcW w:w="1546" w:type="dxa"/>
            <w:noWrap w:val="0"/>
            <w:vAlign w:val="center"/>
          </w:tcPr>
          <w:p w14:paraId="0D8B97C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-f</w:t>
            </w:r>
          </w:p>
        </w:tc>
        <w:tc>
          <w:tcPr>
            <w:tcW w:w="5582" w:type="dxa"/>
            <w:noWrap w:val="0"/>
            <w:vAlign w:val="center"/>
          </w:tcPr>
          <w:p w14:paraId="7F71566E">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管涵窨井</w:t>
            </w:r>
          </w:p>
        </w:tc>
        <w:tc>
          <w:tcPr>
            <w:tcW w:w="1806" w:type="dxa"/>
            <w:noWrap w:val="0"/>
            <w:vAlign w:val="center"/>
          </w:tcPr>
          <w:p w14:paraId="4AEAC02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座</w:t>
            </w:r>
          </w:p>
        </w:tc>
      </w:tr>
    </w:tbl>
    <w:p w14:paraId="36E49183">
      <w:pPr>
        <w:rPr>
          <w:rFonts w:hint="eastAsia" w:ascii="Times New Roman" w:hAnsi="Times New Roman"/>
          <w:color w:val="000000"/>
        </w:rPr>
      </w:pPr>
    </w:p>
    <w:p w14:paraId="041F285E">
      <w:pPr>
        <w:ind w:firstLine="482" w:firstLineChars="200"/>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标项1：国省道统计表</w:t>
      </w:r>
    </w:p>
    <w:tbl>
      <w:tblPr>
        <w:tblStyle w:val="51"/>
        <w:tblW w:w="0" w:type="auto"/>
        <w:tblInd w:w="1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8"/>
        <w:gridCol w:w="1054"/>
        <w:gridCol w:w="1416"/>
        <w:gridCol w:w="1656"/>
        <w:gridCol w:w="1138"/>
        <w:gridCol w:w="1138"/>
        <w:gridCol w:w="1484"/>
      </w:tblGrid>
      <w:tr w14:paraId="0C539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748" w:type="dxa"/>
            <w:shd w:val="clear" w:color="auto" w:fill="auto"/>
            <w:noWrap w:val="0"/>
            <w:vAlign w:val="center"/>
          </w:tcPr>
          <w:p w14:paraId="508B89EC">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路线编号</w:t>
            </w:r>
          </w:p>
        </w:tc>
        <w:tc>
          <w:tcPr>
            <w:tcW w:w="0" w:type="auto"/>
            <w:shd w:val="clear" w:color="auto" w:fill="auto"/>
            <w:noWrap w:val="0"/>
            <w:vAlign w:val="center"/>
          </w:tcPr>
          <w:p w14:paraId="1F06787D">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路线名称</w:t>
            </w:r>
          </w:p>
        </w:tc>
        <w:tc>
          <w:tcPr>
            <w:tcW w:w="0" w:type="auto"/>
            <w:shd w:val="clear" w:color="auto" w:fill="auto"/>
            <w:noWrap w:val="0"/>
            <w:vAlign w:val="center"/>
          </w:tcPr>
          <w:p w14:paraId="3E3B3EF7">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起点地名</w:t>
            </w:r>
          </w:p>
        </w:tc>
        <w:tc>
          <w:tcPr>
            <w:tcW w:w="0" w:type="auto"/>
            <w:shd w:val="clear" w:color="auto" w:fill="auto"/>
            <w:noWrap w:val="0"/>
            <w:vAlign w:val="center"/>
          </w:tcPr>
          <w:p w14:paraId="17FA4886">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迄点地名</w:t>
            </w:r>
          </w:p>
        </w:tc>
        <w:tc>
          <w:tcPr>
            <w:tcW w:w="0" w:type="auto"/>
            <w:shd w:val="clear" w:color="auto" w:fill="auto"/>
            <w:noWrap w:val="0"/>
            <w:vAlign w:val="center"/>
          </w:tcPr>
          <w:p w14:paraId="625BEFD6">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起点桩号</w:t>
            </w:r>
          </w:p>
        </w:tc>
        <w:tc>
          <w:tcPr>
            <w:tcW w:w="0" w:type="auto"/>
            <w:shd w:val="clear" w:color="auto" w:fill="auto"/>
            <w:noWrap w:val="0"/>
            <w:vAlign w:val="center"/>
          </w:tcPr>
          <w:p w14:paraId="44F8DEEE">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迄点桩号</w:t>
            </w:r>
          </w:p>
        </w:tc>
        <w:tc>
          <w:tcPr>
            <w:tcW w:w="0" w:type="auto"/>
            <w:shd w:val="clear" w:color="auto" w:fill="auto"/>
            <w:noWrap w:val="0"/>
            <w:vAlign w:val="center"/>
          </w:tcPr>
          <w:p w14:paraId="4FF68332">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管养里程总计（公里）</w:t>
            </w:r>
          </w:p>
        </w:tc>
      </w:tr>
      <w:tr w14:paraId="5CFBE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7052" w:type="dxa"/>
            <w:gridSpan w:val="6"/>
            <w:shd w:val="clear" w:color="auto" w:fill="auto"/>
            <w:noWrap/>
            <w:vAlign w:val="center"/>
          </w:tcPr>
          <w:p w14:paraId="2F84A13E">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普通国道合计</w:t>
            </w:r>
          </w:p>
        </w:tc>
        <w:tc>
          <w:tcPr>
            <w:tcW w:w="0" w:type="auto"/>
            <w:shd w:val="clear" w:color="auto" w:fill="auto"/>
            <w:noWrap/>
            <w:vAlign w:val="center"/>
          </w:tcPr>
          <w:p w14:paraId="7C640813">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68.926</w:t>
            </w:r>
          </w:p>
        </w:tc>
      </w:tr>
      <w:tr w14:paraId="6CE94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48" w:type="dxa"/>
            <w:vMerge w:val="restart"/>
            <w:shd w:val="clear" w:color="auto" w:fill="auto"/>
            <w:noWrap/>
            <w:vAlign w:val="center"/>
          </w:tcPr>
          <w:p w14:paraId="0271A090">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G320</w:t>
            </w:r>
          </w:p>
        </w:tc>
        <w:tc>
          <w:tcPr>
            <w:tcW w:w="0" w:type="auto"/>
            <w:vMerge w:val="restart"/>
            <w:shd w:val="clear" w:color="auto" w:fill="auto"/>
            <w:noWrap/>
            <w:vAlign w:val="center"/>
          </w:tcPr>
          <w:p w14:paraId="697E9C61">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沪瑞线</w:t>
            </w:r>
          </w:p>
        </w:tc>
        <w:tc>
          <w:tcPr>
            <w:tcW w:w="0" w:type="auto"/>
            <w:shd w:val="clear" w:color="auto" w:fill="auto"/>
            <w:noWrap/>
            <w:vAlign w:val="center"/>
          </w:tcPr>
          <w:p w14:paraId="356C49B6">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三桥港桥</w:t>
            </w:r>
          </w:p>
        </w:tc>
        <w:tc>
          <w:tcPr>
            <w:tcW w:w="0" w:type="auto"/>
            <w:shd w:val="clear" w:color="auto" w:fill="auto"/>
            <w:noWrap/>
            <w:vAlign w:val="center"/>
          </w:tcPr>
          <w:p w14:paraId="0B5D0053">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杭州塘桥</w:t>
            </w:r>
          </w:p>
        </w:tc>
        <w:tc>
          <w:tcPr>
            <w:tcW w:w="0" w:type="auto"/>
            <w:shd w:val="clear" w:color="auto" w:fill="auto"/>
            <w:noWrap/>
            <w:vAlign w:val="center"/>
          </w:tcPr>
          <w:p w14:paraId="011C7EEF">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109.15</w:t>
            </w:r>
          </w:p>
        </w:tc>
        <w:tc>
          <w:tcPr>
            <w:tcW w:w="0" w:type="auto"/>
            <w:shd w:val="clear" w:color="auto" w:fill="auto"/>
            <w:noWrap/>
            <w:vAlign w:val="center"/>
          </w:tcPr>
          <w:p w14:paraId="48A9681E">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122.193</w:t>
            </w:r>
          </w:p>
        </w:tc>
        <w:tc>
          <w:tcPr>
            <w:tcW w:w="0" w:type="auto"/>
            <w:shd w:val="clear" w:color="auto" w:fill="auto"/>
            <w:noWrap/>
            <w:vAlign w:val="center"/>
          </w:tcPr>
          <w:p w14:paraId="777653C6">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13.043</w:t>
            </w:r>
          </w:p>
        </w:tc>
      </w:tr>
      <w:tr w14:paraId="3B9F5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48" w:type="dxa"/>
            <w:vMerge w:val="continue"/>
            <w:shd w:val="clear" w:color="auto" w:fill="auto"/>
            <w:noWrap/>
            <w:vAlign w:val="center"/>
          </w:tcPr>
          <w:p w14:paraId="73396777">
            <w:pPr>
              <w:widowControl/>
              <w:spacing w:after="60" w:afterLines="25" w:line="360" w:lineRule="exact"/>
              <w:jc w:val="center"/>
              <w:rPr>
                <w:rFonts w:hint="eastAsia" w:ascii="宋体" w:hAnsi="宋体" w:eastAsia="宋体" w:cs="宋体"/>
                <w:color w:val="000000"/>
                <w:kern w:val="0"/>
                <w:sz w:val="24"/>
                <w:szCs w:val="24"/>
              </w:rPr>
            </w:pPr>
          </w:p>
        </w:tc>
        <w:tc>
          <w:tcPr>
            <w:tcW w:w="0" w:type="auto"/>
            <w:vMerge w:val="continue"/>
            <w:shd w:val="clear" w:color="auto" w:fill="auto"/>
            <w:noWrap/>
            <w:vAlign w:val="center"/>
          </w:tcPr>
          <w:p w14:paraId="4C928E61">
            <w:pPr>
              <w:widowControl/>
              <w:spacing w:after="60" w:afterLines="25" w:line="360" w:lineRule="exact"/>
              <w:jc w:val="center"/>
              <w:rPr>
                <w:rFonts w:hint="eastAsia" w:ascii="宋体" w:hAnsi="宋体" w:eastAsia="宋体" w:cs="宋体"/>
                <w:color w:val="000000"/>
                <w:kern w:val="0"/>
                <w:sz w:val="24"/>
                <w:szCs w:val="24"/>
              </w:rPr>
            </w:pPr>
          </w:p>
        </w:tc>
        <w:tc>
          <w:tcPr>
            <w:tcW w:w="0" w:type="auto"/>
            <w:shd w:val="clear" w:color="auto" w:fill="auto"/>
            <w:noWrap/>
            <w:vAlign w:val="center"/>
          </w:tcPr>
          <w:p w14:paraId="19B2DB2E">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谢家木桥</w:t>
            </w:r>
          </w:p>
        </w:tc>
        <w:tc>
          <w:tcPr>
            <w:tcW w:w="0" w:type="auto"/>
            <w:shd w:val="clear" w:color="auto" w:fill="auto"/>
            <w:noWrap/>
            <w:vAlign w:val="center"/>
          </w:tcPr>
          <w:p w14:paraId="78BAF0E3">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杨家笕桥</w:t>
            </w:r>
          </w:p>
        </w:tc>
        <w:tc>
          <w:tcPr>
            <w:tcW w:w="0" w:type="auto"/>
            <w:shd w:val="clear" w:color="auto" w:fill="auto"/>
            <w:noWrap/>
            <w:vAlign w:val="center"/>
          </w:tcPr>
          <w:p w14:paraId="6D19CF83">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129.316</w:t>
            </w:r>
          </w:p>
        </w:tc>
        <w:tc>
          <w:tcPr>
            <w:tcW w:w="0" w:type="auto"/>
            <w:shd w:val="clear" w:color="auto" w:fill="auto"/>
            <w:noWrap/>
            <w:vAlign w:val="center"/>
          </w:tcPr>
          <w:p w14:paraId="0DE7A6AA">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132.793</w:t>
            </w:r>
          </w:p>
        </w:tc>
        <w:tc>
          <w:tcPr>
            <w:tcW w:w="0" w:type="auto"/>
            <w:shd w:val="clear" w:color="auto" w:fill="auto"/>
            <w:noWrap/>
            <w:vAlign w:val="center"/>
          </w:tcPr>
          <w:p w14:paraId="1ED36CD5">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3.477</w:t>
            </w:r>
          </w:p>
        </w:tc>
      </w:tr>
      <w:tr w14:paraId="7DFC9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48" w:type="dxa"/>
            <w:shd w:val="clear" w:color="auto" w:fill="auto"/>
            <w:noWrap/>
            <w:vAlign w:val="center"/>
          </w:tcPr>
          <w:p w14:paraId="5E8E50DA">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G524</w:t>
            </w:r>
          </w:p>
        </w:tc>
        <w:tc>
          <w:tcPr>
            <w:tcW w:w="0" w:type="auto"/>
            <w:shd w:val="clear" w:color="auto" w:fill="auto"/>
            <w:noWrap/>
            <w:vAlign w:val="center"/>
          </w:tcPr>
          <w:p w14:paraId="20DB8C5E">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常海线</w:t>
            </w:r>
          </w:p>
        </w:tc>
        <w:tc>
          <w:tcPr>
            <w:tcW w:w="0" w:type="auto"/>
            <w:shd w:val="clear" w:color="auto" w:fill="auto"/>
            <w:noWrap/>
            <w:vAlign w:val="center"/>
          </w:tcPr>
          <w:p w14:paraId="6EDCE364">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思古大桥</w:t>
            </w:r>
          </w:p>
        </w:tc>
        <w:tc>
          <w:tcPr>
            <w:tcW w:w="0" w:type="auto"/>
            <w:shd w:val="clear" w:color="auto" w:fill="auto"/>
            <w:noWrap/>
            <w:vAlign w:val="center"/>
          </w:tcPr>
          <w:p w14:paraId="26A4B623">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许家桥</w:t>
            </w:r>
          </w:p>
        </w:tc>
        <w:tc>
          <w:tcPr>
            <w:tcW w:w="0" w:type="auto"/>
            <w:shd w:val="clear" w:color="auto" w:fill="auto"/>
            <w:noWrap/>
            <w:vAlign w:val="center"/>
          </w:tcPr>
          <w:p w14:paraId="10BD3408">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122.774</w:t>
            </w:r>
          </w:p>
        </w:tc>
        <w:tc>
          <w:tcPr>
            <w:tcW w:w="0" w:type="auto"/>
            <w:shd w:val="clear" w:color="auto" w:fill="auto"/>
            <w:noWrap/>
            <w:vAlign w:val="center"/>
          </w:tcPr>
          <w:p w14:paraId="07353FEC">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175.18</w:t>
            </w:r>
          </w:p>
        </w:tc>
        <w:tc>
          <w:tcPr>
            <w:tcW w:w="0" w:type="auto"/>
            <w:shd w:val="clear" w:color="auto" w:fill="auto"/>
            <w:noWrap/>
            <w:vAlign w:val="center"/>
          </w:tcPr>
          <w:p w14:paraId="13CE39A8">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52.406</w:t>
            </w:r>
          </w:p>
        </w:tc>
      </w:tr>
      <w:tr w14:paraId="1FB61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052" w:type="dxa"/>
            <w:gridSpan w:val="6"/>
            <w:shd w:val="clear" w:color="auto" w:fill="auto"/>
            <w:noWrap/>
            <w:vAlign w:val="center"/>
          </w:tcPr>
          <w:p w14:paraId="6FE7D21F">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普通省道合计</w:t>
            </w:r>
          </w:p>
        </w:tc>
        <w:tc>
          <w:tcPr>
            <w:tcW w:w="0" w:type="auto"/>
            <w:shd w:val="clear" w:color="auto" w:fill="auto"/>
            <w:noWrap/>
            <w:vAlign w:val="center"/>
          </w:tcPr>
          <w:p w14:paraId="5F05940A">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27.383</w:t>
            </w:r>
          </w:p>
        </w:tc>
      </w:tr>
      <w:tr w14:paraId="49F72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052" w:type="dxa"/>
            <w:gridSpan w:val="6"/>
            <w:shd w:val="clear" w:color="auto" w:fill="auto"/>
            <w:noWrap/>
            <w:vAlign w:val="center"/>
          </w:tcPr>
          <w:p w14:paraId="6E61C301">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三店塘桥匝道</w:t>
            </w:r>
          </w:p>
        </w:tc>
        <w:tc>
          <w:tcPr>
            <w:tcW w:w="0" w:type="auto"/>
            <w:shd w:val="clear" w:color="auto" w:fill="auto"/>
            <w:noWrap/>
            <w:vAlign w:val="center"/>
          </w:tcPr>
          <w:p w14:paraId="5F3496AE">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0.512</w:t>
            </w:r>
          </w:p>
        </w:tc>
      </w:tr>
      <w:tr w14:paraId="2ABE4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48" w:type="dxa"/>
            <w:vMerge w:val="restart"/>
            <w:shd w:val="clear" w:color="auto" w:fill="auto"/>
            <w:noWrap/>
            <w:vAlign w:val="center"/>
          </w:tcPr>
          <w:p w14:paraId="39E869C8">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S207</w:t>
            </w:r>
          </w:p>
        </w:tc>
        <w:tc>
          <w:tcPr>
            <w:tcW w:w="0" w:type="auto"/>
            <w:vMerge w:val="restart"/>
            <w:shd w:val="clear" w:color="auto" w:fill="auto"/>
            <w:noWrap/>
            <w:vAlign w:val="center"/>
          </w:tcPr>
          <w:p w14:paraId="5DBF6CFD">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秀仙线</w:t>
            </w:r>
          </w:p>
        </w:tc>
        <w:tc>
          <w:tcPr>
            <w:tcW w:w="0" w:type="auto"/>
            <w:shd w:val="clear" w:color="auto" w:fill="auto"/>
            <w:noWrap/>
            <w:vAlign w:val="center"/>
          </w:tcPr>
          <w:p w14:paraId="61011E4B">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G524</w:t>
            </w:r>
          </w:p>
        </w:tc>
        <w:tc>
          <w:tcPr>
            <w:tcW w:w="0" w:type="auto"/>
            <w:shd w:val="clear" w:color="auto" w:fill="auto"/>
            <w:noWrap/>
            <w:vAlign w:val="center"/>
          </w:tcPr>
          <w:p w14:paraId="0A95B9A4">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华云路口北侧</w:t>
            </w:r>
          </w:p>
        </w:tc>
        <w:tc>
          <w:tcPr>
            <w:tcW w:w="0" w:type="auto"/>
            <w:shd w:val="clear" w:color="auto" w:fill="auto"/>
            <w:noWrap/>
            <w:vAlign w:val="center"/>
          </w:tcPr>
          <w:p w14:paraId="28BFD7F7">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4.846</w:t>
            </w:r>
          </w:p>
        </w:tc>
        <w:tc>
          <w:tcPr>
            <w:tcW w:w="0" w:type="auto"/>
            <w:shd w:val="clear" w:color="auto" w:fill="auto"/>
            <w:noWrap/>
            <w:vAlign w:val="center"/>
          </w:tcPr>
          <w:p w14:paraId="30FFCD06">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10.748</w:t>
            </w:r>
          </w:p>
        </w:tc>
        <w:tc>
          <w:tcPr>
            <w:tcW w:w="0" w:type="auto"/>
            <w:shd w:val="clear" w:color="auto" w:fill="auto"/>
            <w:noWrap/>
            <w:vAlign w:val="center"/>
          </w:tcPr>
          <w:p w14:paraId="5B4A70CE">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5.902</w:t>
            </w:r>
          </w:p>
        </w:tc>
      </w:tr>
      <w:tr w14:paraId="6107D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48" w:type="dxa"/>
            <w:vMerge w:val="continue"/>
            <w:shd w:val="clear" w:color="auto" w:fill="auto"/>
            <w:noWrap/>
            <w:vAlign w:val="center"/>
          </w:tcPr>
          <w:p w14:paraId="524DA9FA">
            <w:pPr>
              <w:widowControl/>
              <w:spacing w:after="60" w:afterLines="25" w:line="360" w:lineRule="exact"/>
              <w:jc w:val="center"/>
              <w:rPr>
                <w:rFonts w:hint="eastAsia" w:ascii="宋体" w:hAnsi="宋体" w:eastAsia="宋体" w:cs="宋体"/>
                <w:color w:val="000000"/>
                <w:kern w:val="0"/>
                <w:sz w:val="24"/>
                <w:szCs w:val="24"/>
              </w:rPr>
            </w:pPr>
          </w:p>
        </w:tc>
        <w:tc>
          <w:tcPr>
            <w:tcW w:w="0" w:type="auto"/>
            <w:vMerge w:val="continue"/>
            <w:shd w:val="clear" w:color="auto" w:fill="auto"/>
            <w:noWrap/>
            <w:vAlign w:val="center"/>
          </w:tcPr>
          <w:p w14:paraId="1A036D0B">
            <w:pPr>
              <w:widowControl/>
              <w:spacing w:after="60" w:afterLines="25" w:line="360" w:lineRule="exact"/>
              <w:jc w:val="center"/>
              <w:rPr>
                <w:rFonts w:hint="eastAsia" w:ascii="宋体" w:hAnsi="宋体" w:eastAsia="宋体" w:cs="宋体"/>
                <w:color w:val="000000"/>
                <w:kern w:val="0"/>
                <w:sz w:val="24"/>
                <w:szCs w:val="24"/>
              </w:rPr>
            </w:pPr>
          </w:p>
        </w:tc>
        <w:tc>
          <w:tcPr>
            <w:tcW w:w="0" w:type="auto"/>
            <w:shd w:val="clear" w:color="auto" w:fill="auto"/>
            <w:noWrap/>
            <w:vAlign w:val="center"/>
          </w:tcPr>
          <w:p w14:paraId="5D302674">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三店塘桥</w:t>
            </w:r>
          </w:p>
        </w:tc>
        <w:tc>
          <w:tcPr>
            <w:tcW w:w="0" w:type="auto"/>
            <w:shd w:val="clear" w:color="auto" w:fill="auto"/>
            <w:noWrap/>
            <w:vAlign w:val="center"/>
          </w:tcPr>
          <w:p w14:paraId="0D33BB82">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塘家桥南</w:t>
            </w:r>
          </w:p>
        </w:tc>
        <w:tc>
          <w:tcPr>
            <w:tcW w:w="0" w:type="auto"/>
            <w:shd w:val="clear" w:color="auto" w:fill="auto"/>
            <w:noWrap/>
            <w:vAlign w:val="center"/>
          </w:tcPr>
          <w:p w14:paraId="456939A3">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18.338</w:t>
            </w:r>
          </w:p>
        </w:tc>
        <w:tc>
          <w:tcPr>
            <w:tcW w:w="0" w:type="auto"/>
            <w:shd w:val="clear" w:color="auto" w:fill="auto"/>
            <w:noWrap/>
            <w:vAlign w:val="center"/>
          </w:tcPr>
          <w:p w14:paraId="114C99FF">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20.228</w:t>
            </w:r>
          </w:p>
        </w:tc>
        <w:tc>
          <w:tcPr>
            <w:tcW w:w="0" w:type="auto"/>
            <w:shd w:val="clear" w:color="auto" w:fill="auto"/>
            <w:noWrap/>
            <w:vAlign w:val="center"/>
          </w:tcPr>
          <w:p w14:paraId="664B9B31">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1.89</w:t>
            </w:r>
          </w:p>
        </w:tc>
      </w:tr>
      <w:tr w14:paraId="343FA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48" w:type="dxa"/>
            <w:vMerge w:val="restart"/>
            <w:shd w:val="clear" w:color="auto" w:fill="auto"/>
            <w:noWrap/>
            <w:vAlign w:val="center"/>
          </w:tcPr>
          <w:p w14:paraId="167B7149">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S212</w:t>
            </w:r>
          </w:p>
        </w:tc>
        <w:tc>
          <w:tcPr>
            <w:tcW w:w="0" w:type="auto"/>
            <w:vMerge w:val="restart"/>
            <w:shd w:val="clear" w:color="auto" w:fill="auto"/>
            <w:noWrap/>
            <w:vAlign w:val="center"/>
          </w:tcPr>
          <w:p w14:paraId="2CC111B4">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嘉余线</w:t>
            </w:r>
          </w:p>
        </w:tc>
        <w:tc>
          <w:tcPr>
            <w:tcW w:w="0" w:type="auto"/>
            <w:shd w:val="clear" w:color="auto" w:fill="auto"/>
            <w:noWrap/>
            <w:vAlign w:val="center"/>
          </w:tcPr>
          <w:p w14:paraId="279CC4B9">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冯家港中东</w:t>
            </w:r>
          </w:p>
        </w:tc>
        <w:tc>
          <w:tcPr>
            <w:tcW w:w="0" w:type="auto"/>
            <w:shd w:val="clear" w:color="auto" w:fill="auto"/>
            <w:noWrap/>
            <w:vAlign w:val="center"/>
          </w:tcPr>
          <w:p w14:paraId="2BFD3AB6">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腾云村</w:t>
            </w:r>
          </w:p>
        </w:tc>
        <w:tc>
          <w:tcPr>
            <w:tcW w:w="0" w:type="auto"/>
            <w:shd w:val="clear" w:color="auto" w:fill="auto"/>
            <w:noWrap/>
            <w:vAlign w:val="center"/>
          </w:tcPr>
          <w:p w14:paraId="756C9F97">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32.509</w:t>
            </w:r>
          </w:p>
        </w:tc>
        <w:tc>
          <w:tcPr>
            <w:tcW w:w="0" w:type="auto"/>
            <w:shd w:val="clear" w:color="auto" w:fill="auto"/>
            <w:noWrap/>
            <w:vAlign w:val="center"/>
          </w:tcPr>
          <w:p w14:paraId="65DB5629">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42.372</w:t>
            </w:r>
          </w:p>
        </w:tc>
        <w:tc>
          <w:tcPr>
            <w:tcW w:w="0" w:type="auto"/>
            <w:shd w:val="clear" w:color="auto" w:fill="auto"/>
            <w:noWrap/>
            <w:vAlign w:val="center"/>
          </w:tcPr>
          <w:p w14:paraId="09459D6D">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9.863</w:t>
            </w:r>
          </w:p>
        </w:tc>
      </w:tr>
      <w:tr w14:paraId="2E5D1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48" w:type="dxa"/>
            <w:vMerge w:val="continue"/>
            <w:shd w:val="clear" w:color="auto" w:fill="auto"/>
            <w:noWrap/>
            <w:vAlign w:val="center"/>
          </w:tcPr>
          <w:p w14:paraId="5288B71D">
            <w:pPr>
              <w:widowControl/>
              <w:spacing w:after="60" w:afterLines="25" w:line="360" w:lineRule="exact"/>
              <w:jc w:val="center"/>
              <w:rPr>
                <w:rFonts w:hint="eastAsia" w:ascii="宋体" w:hAnsi="宋体" w:eastAsia="宋体" w:cs="宋体"/>
                <w:color w:val="000000"/>
                <w:kern w:val="0"/>
                <w:sz w:val="24"/>
                <w:szCs w:val="24"/>
              </w:rPr>
            </w:pPr>
          </w:p>
        </w:tc>
        <w:tc>
          <w:tcPr>
            <w:tcW w:w="0" w:type="auto"/>
            <w:vMerge w:val="continue"/>
            <w:shd w:val="clear" w:color="auto" w:fill="auto"/>
            <w:noWrap/>
            <w:vAlign w:val="center"/>
          </w:tcPr>
          <w:p w14:paraId="36142DF5">
            <w:pPr>
              <w:widowControl/>
              <w:spacing w:after="60" w:afterLines="25" w:line="360" w:lineRule="exact"/>
              <w:jc w:val="center"/>
              <w:rPr>
                <w:rFonts w:hint="eastAsia" w:ascii="宋体" w:hAnsi="宋体" w:eastAsia="宋体" w:cs="宋体"/>
                <w:color w:val="000000"/>
                <w:kern w:val="0"/>
                <w:sz w:val="24"/>
                <w:szCs w:val="24"/>
              </w:rPr>
            </w:pPr>
          </w:p>
        </w:tc>
        <w:tc>
          <w:tcPr>
            <w:tcW w:w="0" w:type="auto"/>
            <w:shd w:val="clear" w:color="auto" w:fill="auto"/>
            <w:noWrap/>
            <w:vAlign w:val="center"/>
          </w:tcPr>
          <w:p w14:paraId="7852D352">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大通村</w:t>
            </w:r>
          </w:p>
        </w:tc>
        <w:tc>
          <w:tcPr>
            <w:tcW w:w="0" w:type="auto"/>
            <w:shd w:val="clear" w:color="auto" w:fill="auto"/>
            <w:noWrap/>
            <w:vAlign w:val="center"/>
          </w:tcPr>
          <w:p w14:paraId="04436D88">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运河农场</w:t>
            </w:r>
          </w:p>
        </w:tc>
        <w:tc>
          <w:tcPr>
            <w:tcW w:w="0" w:type="auto"/>
            <w:shd w:val="clear" w:color="auto" w:fill="auto"/>
            <w:noWrap/>
            <w:vAlign w:val="center"/>
          </w:tcPr>
          <w:p w14:paraId="0C5289F7">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69.282</w:t>
            </w:r>
          </w:p>
        </w:tc>
        <w:tc>
          <w:tcPr>
            <w:tcW w:w="0" w:type="auto"/>
            <w:shd w:val="clear" w:color="auto" w:fill="auto"/>
            <w:noWrap/>
            <w:vAlign w:val="center"/>
          </w:tcPr>
          <w:p w14:paraId="68B927E9">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72.321</w:t>
            </w:r>
          </w:p>
        </w:tc>
        <w:tc>
          <w:tcPr>
            <w:tcW w:w="0" w:type="auto"/>
            <w:shd w:val="clear" w:color="auto" w:fill="auto"/>
            <w:noWrap/>
            <w:vAlign w:val="center"/>
          </w:tcPr>
          <w:p w14:paraId="02D06129">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3.039</w:t>
            </w:r>
          </w:p>
        </w:tc>
      </w:tr>
      <w:tr w14:paraId="30BAC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48" w:type="dxa"/>
            <w:vMerge w:val="restart"/>
            <w:shd w:val="clear" w:color="auto" w:fill="auto"/>
            <w:noWrap/>
            <w:vAlign w:val="center"/>
          </w:tcPr>
          <w:p w14:paraId="2C1B09DC">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S302</w:t>
            </w:r>
          </w:p>
        </w:tc>
        <w:tc>
          <w:tcPr>
            <w:tcW w:w="0" w:type="auto"/>
            <w:vMerge w:val="restart"/>
            <w:shd w:val="clear" w:color="auto" w:fill="auto"/>
            <w:noWrap/>
            <w:vAlign w:val="center"/>
          </w:tcPr>
          <w:p w14:paraId="2D049B6E">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平安线</w:t>
            </w:r>
          </w:p>
        </w:tc>
        <w:tc>
          <w:tcPr>
            <w:tcW w:w="0" w:type="auto"/>
            <w:shd w:val="clear" w:color="auto" w:fill="auto"/>
            <w:noWrap/>
            <w:vAlign w:val="center"/>
          </w:tcPr>
          <w:p w14:paraId="6F1DFEAF">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中国石化</w:t>
            </w:r>
          </w:p>
        </w:tc>
        <w:tc>
          <w:tcPr>
            <w:tcW w:w="0" w:type="auto"/>
            <w:shd w:val="clear" w:color="auto" w:fill="auto"/>
            <w:noWrap/>
            <w:vAlign w:val="center"/>
          </w:tcPr>
          <w:p w14:paraId="66C30D1E">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X117</w:t>
            </w:r>
          </w:p>
        </w:tc>
        <w:tc>
          <w:tcPr>
            <w:tcW w:w="0" w:type="auto"/>
            <w:shd w:val="clear" w:color="auto" w:fill="auto"/>
            <w:noWrap/>
            <w:vAlign w:val="center"/>
          </w:tcPr>
          <w:p w14:paraId="341B02AD">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69.851</w:t>
            </w:r>
          </w:p>
        </w:tc>
        <w:tc>
          <w:tcPr>
            <w:tcW w:w="0" w:type="auto"/>
            <w:shd w:val="clear" w:color="auto" w:fill="auto"/>
            <w:noWrap/>
            <w:vAlign w:val="center"/>
          </w:tcPr>
          <w:p w14:paraId="7CE53412">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74.762</w:t>
            </w:r>
          </w:p>
        </w:tc>
        <w:tc>
          <w:tcPr>
            <w:tcW w:w="0" w:type="auto"/>
            <w:shd w:val="clear" w:color="auto" w:fill="auto"/>
            <w:noWrap/>
            <w:vAlign w:val="center"/>
          </w:tcPr>
          <w:p w14:paraId="3F75791E">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4.911</w:t>
            </w:r>
          </w:p>
        </w:tc>
      </w:tr>
      <w:tr w14:paraId="07331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48" w:type="dxa"/>
            <w:vMerge w:val="continue"/>
            <w:shd w:val="clear" w:color="auto" w:fill="auto"/>
            <w:noWrap/>
            <w:vAlign w:val="center"/>
          </w:tcPr>
          <w:p w14:paraId="2F3F568E">
            <w:pPr>
              <w:widowControl/>
              <w:spacing w:after="60" w:afterLines="25" w:line="360" w:lineRule="exact"/>
              <w:jc w:val="center"/>
              <w:rPr>
                <w:rFonts w:hint="eastAsia" w:ascii="宋体" w:hAnsi="宋体" w:eastAsia="宋体" w:cs="宋体"/>
                <w:color w:val="000000"/>
                <w:kern w:val="0"/>
                <w:sz w:val="24"/>
                <w:szCs w:val="24"/>
              </w:rPr>
            </w:pPr>
          </w:p>
        </w:tc>
        <w:tc>
          <w:tcPr>
            <w:tcW w:w="0" w:type="auto"/>
            <w:vMerge w:val="continue"/>
            <w:shd w:val="clear" w:color="auto" w:fill="auto"/>
            <w:noWrap/>
            <w:vAlign w:val="center"/>
          </w:tcPr>
          <w:p w14:paraId="10424012">
            <w:pPr>
              <w:widowControl/>
              <w:spacing w:after="60" w:afterLines="25" w:line="360" w:lineRule="exact"/>
              <w:jc w:val="center"/>
              <w:rPr>
                <w:rFonts w:hint="eastAsia" w:ascii="宋体" w:hAnsi="宋体" w:eastAsia="宋体" w:cs="宋体"/>
                <w:color w:val="000000"/>
                <w:kern w:val="0"/>
                <w:sz w:val="24"/>
                <w:szCs w:val="24"/>
              </w:rPr>
            </w:pPr>
          </w:p>
        </w:tc>
        <w:tc>
          <w:tcPr>
            <w:tcW w:w="0" w:type="auto"/>
            <w:shd w:val="clear" w:color="auto" w:fill="auto"/>
            <w:noWrap/>
            <w:vAlign w:val="center"/>
          </w:tcPr>
          <w:p w14:paraId="4660A7B7">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Y315</w:t>
            </w:r>
          </w:p>
        </w:tc>
        <w:tc>
          <w:tcPr>
            <w:tcW w:w="0" w:type="auto"/>
            <w:shd w:val="clear" w:color="auto" w:fill="auto"/>
            <w:noWrap/>
            <w:vAlign w:val="center"/>
          </w:tcPr>
          <w:p w14:paraId="1D5681C5">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G524</w:t>
            </w:r>
          </w:p>
        </w:tc>
        <w:tc>
          <w:tcPr>
            <w:tcW w:w="0" w:type="auto"/>
            <w:shd w:val="clear" w:color="auto" w:fill="auto"/>
            <w:noWrap/>
            <w:vAlign w:val="center"/>
          </w:tcPr>
          <w:p w14:paraId="2F4D074B">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77.594</w:t>
            </w:r>
          </w:p>
        </w:tc>
        <w:tc>
          <w:tcPr>
            <w:tcW w:w="0" w:type="auto"/>
            <w:shd w:val="clear" w:color="auto" w:fill="auto"/>
            <w:noWrap/>
            <w:vAlign w:val="center"/>
          </w:tcPr>
          <w:p w14:paraId="6ED4785B">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78.86</w:t>
            </w:r>
          </w:p>
        </w:tc>
        <w:tc>
          <w:tcPr>
            <w:tcW w:w="0" w:type="auto"/>
            <w:shd w:val="clear" w:color="auto" w:fill="auto"/>
            <w:noWrap/>
            <w:vAlign w:val="center"/>
          </w:tcPr>
          <w:p w14:paraId="12B764CF">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1.266</w:t>
            </w:r>
          </w:p>
        </w:tc>
      </w:tr>
      <w:tr w14:paraId="30CF1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052" w:type="dxa"/>
            <w:gridSpan w:val="6"/>
            <w:shd w:val="clear" w:color="auto" w:fill="auto"/>
            <w:noWrap/>
            <w:vAlign w:val="center"/>
          </w:tcPr>
          <w:p w14:paraId="7A7E7281">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合计</w:t>
            </w:r>
          </w:p>
        </w:tc>
        <w:tc>
          <w:tcPr>
            <w:tcW w:w="0" w:type="auto"/>
            <w:shd w:val="clear" w:color="auto" w:fill="auto"/>
            <w:noWrap/>
            <w:vAlign w:val="center"/>
          </w:tcPr>
          <w:p w14:paraId="75146484">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96.309</w:t>
            </w:r>
          </w:p>
        </w:tc>
      </w:tr>
    </w:tbl>
    <w:p w14:paraId="0C2ABE82">
      <w:pPr>
        <w:spacing w:before="120" w:beforeLines="50"/>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注：最终管养地点、数量以实际为准。</w:t>
      </w:r>
    </w:p>
    <w:p w14:paraId="5308BFBB">
      <w:pPr>
        <w:ind w:firstLine="482" w:firstLineChars="200"/>
        <w:rPr>
          <w:rFonts w:hint="eastAsia" w:ascii="宋体" w:hAnsi="宋体" w:eastAsia="宋体" w:cs="宋体"/>
          <w:color w:val="000000"/>
          <w:sz w:val="24"/>
          <w:szCs w:val="24"/>
        </w:rPr>
      </w:pPr>
      <w:r>
        <w:rPr>
          <w:rFonts w:hint="eastAsia" w:ascii="宋体" w:hAnsi="宋体" w:eastAsia="宋体" w:cs="宋体"/>
          <w:b/>
          <w:bCs/>
          <w:color w:val="000000"/>
          <w:sz w:val="24"/>
          <w:szCs w:val="24"/>
        </w:rPr>
        <w:t>标项2：县道管养里程统计表</w:t>
      </w:r>
    </w:p>
    <w:tbl>
      <w:tblPr>
        <w:tblStyle w:val="5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2"/>
        <w:gridCol w:w="1574"/>
        <w:gridCol w:w="2217"/>
        <w:gridCol w:w="2324"/>
        <w:gridCol w:w="716"/>
        <w:gridCol w:w="716"/>
        <w:gridCol w:w="717"/>
      </w:tblGrid>
      <w:tr w14:paraId="4DB88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86" w:type="pct"/>
            <w:vMerge w:val="restart"/>
            <w:shd w:val="clear" w:color="auto" w:fill="auto"/>
            <w:noWrap w:val="0"/>
            <w:vAlign w:val="center"/>
          </w:tcPr>
          <w:p w14:paraId="3F07AE11">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路线编号</w:t>
            </w:r>
          </w:p>
        </w:tc>
        <w:tc>
          <w:tcPr>
            <w:tcW w:w="897" w:type="pct"/>
            <w:vMerge w:val="restart"/>
            <w:shd w:val="clear" w:color="auto" w:fill="auto"/>
            <w:noWrap w:val="0"/>
            <w:vAlign w:val="center"/>
          </w:tcPr>
          <w:p w14:paraId="19312A68">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路线名称</w:t>
            </w:r>
          </w:p>
        </w:tc>
        <w:tc>
          <w:tcPr>
            <w:tcW w:w="1264" w:type="pct"/>
            <w:vMerge w:val="restart"/>
            <w:shd w:val="clear" w:color="auto" w:fill="auto"/>
            <w:noWrap w:val="0"/>
            <w:vAlign w:val="center"/>
          </w:tcPr>
          <w:p w14:paraId="277C6AAD">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起点地名</w:t>
            </w:r>
          </w:p>
        </w:tc>
        <w:tc>
          <w:tcPr>
            <w:tcW w:w="1325" w:type="pct"/>
            <w:vMerge w:val="restart"/>
            <w:shd w:val="clear" w:color="auto" w:fill="auto"/>
            <w:noWrap w:val="0"/>
            <w:vAlign w:val="center"/>
          </w:tcPr>
          <w:p w14:paraId="765AB1AD">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迄点地名</w:t>
            </w:r>
          </w:p>
        </w:tc>
        <w:tc>
          <w:tcPr>
            <w:tcW w:w="408" w:type="pct"/>
            <w:vMerge w:val="restart"/>
            <w:shd w:val="clear" w:color="auto" w:fill="auto"/>
            <w:noWrap w:val="0"/>
            <w:vAlign w:val="center"/>
          </w:tcPr>
          <w:p w14:paraId="43FD0E27">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起点桩号</w:t>
            </w:r>
          </w:p>
        </w:tc>
        <w:tc>
          <w:tcPr>
            <w:tcW w:w="408" w:type="pct"/>
            <w:vMerge w:val="restart"/>
            <w:shd w:val="clear" w:color="auto" w:fill="auto"/>
            <w:noWrap w:val="0"/>
            <w:vAlign w:val="center"/>
          </w:tcPr>
          <w:p w14:paraId="3FBEEBAE">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迄点桩号</w:t>
            </w:r>
          </w:p>
        </w:tc>
        <w:tc>
          <w:tcPr>
            <w:tcW w:w="408" w:type="pct"/>
            <w:vMerge w:val="restart"/>
            <w:shd w:val="clear" w:color="auto" w:fill="auto"/>
            <w:noWrap w:val="0"/>
            <w:vAlign w:val="center"/>
          </w:tcPr>
          <w:p w14:paraId="21666CD3">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管养长度</w:t>
            </w:r>
          </w:p>
          <w:p w14:paraId="598AFFE3">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（公里）</w:t>
            </w:r>
          </w:p>
        </w:tc>
      </w:tr>
      <w:tr w14:paraId="5165A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286" w:type="pct"/>
            <w:vMerge w:val="continue"/>
            <w:shd w:val="clear" w:color="auto" w:fill="auto"/>
            <w:noWrap w:val="0"/>
            <w:vAlign w:val="center"/>
          </w:tcPr>
          <w:p w14:paraId="42E3D08F">
            <w:pPr>
              <w:widowControl/>
              <w:spacing w:after="60" w:afterLines="25" w:line="360" w:lineRule="exact"/>
              <w:jc w:val="center"/>
              <w:rPr>
                <w:rFonts w:hint="eastAsia" w:ascii="宋体" w:hAnsi="宋体" w:eastAsia="宋体" w:cs="宋体"/>
                <w:color w:val="000000"/>
                <w:kern w:val="0"/>
                <w:sz w:val="24"/>
                <w:szCs w:val="24"/>
              </w:rPr>
            </w:pPr>
          </w:p>
        </w:tc>
        <w:tc>
          <w:tcPr>
            <w:tcW w:w="897" w:type="pct"/>
            <w:vMerge w:val="continue"/>
            <w:shd w:val="clear" w:color="auto" w:fill="auto"/>
            <w:noWrap w:val="0"/>
            <w:vAlign w:val="center"/>
          </w:tcPr>
          <w:p w14:paraId="720CC63B">
            <w:pPr>
              <w:widowControl/>
              <w:spacing w:after="60" w:afterLines="25" w:line="360" w:lineRule="exact"/>
              <w:jc w:val="center"/>
              <w:rPr>
                <w:rFonts w:hint="eastAsia" w:ascii="宋体" w:hAnsi="宋体" w:eastAsia="宋体" w:cs="宋体"/>
                <w:color w:val="000000"/>
                <w:kern w:val="0"/>
                <w:sz w:val="24"/>
                <w:szCs w:val="24"/>
              </w:rPr>
            </w:pPr>
          </w:p>
        </w:tc>
        <w:tc>
          <w:tcPr>
            <w:tcW w:w="1264" w:type="pct"/>
            <w:vMerge w:val="continue"/>
            <w:shd w:val="clear" w:color="auto" w:fill="auto"/>
            <w:noWrap w:val="0"/>
            <w:vAlign w:val="center"/>
          </w:tcPr>
          <w:p w14:paraId="17BED1FB">
            <w:pPr>
              <w:widowControl/>
              <w:spacing w:after="60" w:afterLines="25" w:line="360" w:lineRule="exact"/>
              <w:jc w:val="center"/>
              <w:rPr>
                <w:rFonts w:hint="eastAsia" w:ascii="宋体" w:hAnsi="宋体" w:eastAsia="宋体" w:cs="宋体"/>
                <w:color w:val="000000"/>
                <w:kern w:val="0"/>
                <w:sz w:val="24"/>
                <w:szCs w:val="24"/>
              </w:rPr>
            </w:pPr>
          </w:p>
        </w:tc>
        <w:tc>
          <w:tcPr>
            <w:tcW w:w="1325" w:type="pct"/>
            <w:vMerge w:val="continue"/>
            <w:shd w:val="clear" w:color="auto" w:fill="auto"/>
            <w:noWrap w:val="0"/>
            <w:vAlign w:val="center"/>
          </w:tcPr>
          <w:p w14:paraId="5CAE8623">
            <w:pPr>
              <w:widowControl/>
              <w:spacing w:after="60" w:afterLines="25" w:line="360" w:lineRule="exact"/>
              <w:jc w:val="center"/>
              <w:rPr>
                <w:rFonts w:hint="eastAsia" w:ascii="宋体" w:hAnsi="宋体" w:eastAsia="宋体" w:cs="宋体"/>
                <w:color w:val="000000"/>
                <w:kern w:val="0"/>
                <w:sz w:val="24"/>
                <w:szCs w:val="24"/>
              </w:rPr>
            </w:pPr>
          </w:p>
        </w:tc>
        <w:tc>
          <w:tcPr>
            <w:tcW w:w="408" w:type="pct"/>
            <w:vMerge w:val="continue"/>
            <w:shd w:val="clear" w:color="auto" w:fill="auto"/>
            <w:noWrap w:val="0"/>
            <w:vAlign w:val="center"/>
          </w:tcPr>
          <w:p w14:paraId="3ECAD504">
            <w:pPr>
              <w:widowControl/>
              <w:spacing w:after="60" w:afterLines="25" w:line="360" w:lineRule="exact"/>
              <w:jc w:val="center"/>
              <w:rPr>
                <w:rFonts w:hint="eastAsia" w:ascii="宋体" w:hAnsi="宋体" w:eastAsia="宋体" w:cs="宋体"/>
                <w:color w:val="000000"/>
                <w:kern w:val="0"/>
                <w:sz w:val="24"/>
                <w:szCs w:val="24"/>
              </w:rPr>
            </w:pPr>
          </w:p>
        </w:tc>
        <w:tc>
          <w:tcPr>
            <w:tcW w:w="408" w:type="pct"/>
            <w:vMerge w:val="continue"/>
            <w:shd w:val="clear" w:color="auto" w:fill="auto"/>
            <w:noWrap w:val="0"/>
            <w:vAlign w:val="center"/>
          </w:tcPr>
          <w:p w14:paraId="56F074A4">
            <w:pPr>
              <w:widowControl/>
              <w:spacing w:after="60" w:afterLines="25" w:line="360" w:lineRule="exact"/>
              <w:jc w:val="center"/>
              <w:rPr>
                <w:rFonts w:hint="eastAsia" w:ascii="宋体" w:hAnsi="宋体" w:eastAsia="宋体" w:cs="宋体"/>
                <w:color w:val="000000"/>
                <w:kern w:val="0"/>
                <w:sz w:val="24"/>
                <w:szCs w:val="24"/>
              </w:rPr>
            </w:pPr>
          </w:p>
        </w:tc>
        <w:tc>
          <w:tcPr>
            <w:tcW w:w="408" w:type="pct"/>
            <w:vMerge w:val="continue"/>
            <w:shd w:val="clear" w:color="auto" w:fill="auto"/>
            <w:noWrap w:val="0"/>
            <w:vAlign w:val="center"/>
          </w:tcPr>
          <w:p w14:paraId="502307C5">
            <w:pPr>
              <w:widowControl/>
              <w:spacing w:after="60" w:afterLines="25" w:line="360" w:lineRule="exact"/>
              <w:jc w:val="center"/>
              <w:rPr>
                <w:rFonts w:hint="eastAsia" w:ascii="宋体" w:hAnsi="宋体" w:eastAsia="宋体" w:cs="宋体"/>
                <w:color w:val="000000"/>
                <w:kern w:val="0"/>
                <w:sz w:val="24"/>
                <w:szCs w:val="24"/>
              </w:rPr>
            </w:pPr>
          </w:p>
        </w:tc>
      </w:tr>
      <w:tr w14:paraId="34D0D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286" w:type="pct"/>
            <w:vMerge w:val="continue"/>
            <w:shd w:val="clear" w:color="auto" w:fill="auto"/>
            <w:noWrap w:val="0"/>
            <w:vAlign w:val="center"/>
          </w:tcPr>
          <w:p w14:paraId="4D45654F">
            <w:pPr>
              <w:widowControl/>
              <w:spacing w:after="60" w:afterLines="25" w:line="360" w:lineRule="exact"/>
              <w:jc w:val="center"/>
              <w:rPr>
                <w:rFonts w:hint="eastAsia" w:ascii="宋体" w:hAnsi="宋体" w:eastAsia="宋体" w:cs="宋体"/>
                <w:color w:val="000000"/>
                <w:kern w:val="0"/>
                <w:sz w:val="24"/>
                <w:szCs w:val="24"/>
              </w:rPr>
            </w:pPr>
          </w:p>
        </w:tc>
        <w:tc>
          <w:tcPr>
            <w:tcW w:w="897" w:type="pct"/>
            <w:vMerge w:val="continue"/>
            <w:shd w:val="clear" w:color="auto" w:fill="auto"/>
            <w:noWrap w:val="0"/>
            <w:vAlign w:val="center"/>
          </w:tcPr>
          <w:p w14:paraId="2A8FBBA9">
            <w:pPr>
              <w:widowControl/>
              <w:spacing w:after="60" w:afterLines="25" w:line="360" w:lineRule="exact"/>
              <w:jc w:val="center"/>
              <w:rPr>
                <w:rFonts w:hint="eastAsia" w:ascii="宋体" w:hAnsi="宋体" w:eastAsia="宋体" w:cs="宋体"/>
                <w:color w:val="000000"/>
                <w:kern w:val="0"/>
                <w:sz w:val="24"/>
                <w:szCs w:val="24"/>
              </w:rPr>
            </w:pPr>
          </w:p>
        </w:tc>
        <w:tc>
          <w:tcPr>
            <w:tcW w:w="1264" w:type="pct"/>
            <w:vMerge w:val="continue"/>
            <w:shd w:val="clear" w:color="auto" w:fill="auto"/>
            <w:noWrap w:val="0"/>
            <w:vAlign w:val="center"/>
          </w:tcPr>
          <w:p w14:paraId="0D94FF68">
            <w:pPr>
              <w:widowControl/>
              <w:spacing w:after="60" w:afterLines="25" w:line="360" w:lineRule="exact"/>
              <w:jc w:val="center"/>
              <w:rPr>
                <w:rFonts w:hint="eastAsia" w:ascii="宋体" w:hAnsi="宋体" w:eastAsia="宋体" w:cs="宋体"/>
                <w:color w:val="000000"/>
                <w:kern w:val="0"/>
                <w:sz w:val="24"/>
                <w:szCs w:val="24"/>
              </w:rPr>
            </w:pPr>
          </w:p>
        </w:tc>
        <w:tc>
          <w:tcPr>
            <w:tcW w:w="1325" w:type="pct"/>
            <w:vMerge w:val="continue"/>
            <w:shd w:val="clear" w:color="auto" w:fill="auto"/>
            <w:noWrap w:val="0"/>
            <w:vAlign w:val="center"/>
          </w:tcPr>
          <w:p w14:paraId="4FACBF27">
            <w:pPr>
              <w:widowControl/>
              <w:spacing w:after="60" w:afterLines="25" w:line="360" w:lineRule="exact"/>
              <w:jc w:val="center"/>
              <w:rPr>
                <w:rFonts w:hint="eastAsia" w:ascii="宋体" w:hAnsi="宋体" w:eastAsia="宋体" w:cs="宋体"/>
                <w:color w:val="000000"/>
                <w:kern w:val="0"/>
                <w:sz w:val="24"/>
                <w:szCs w:val="24"/>
              </w:rPr>
            </w:pPr>
          </w:p>
        </w:tc>
        <w:tc>
          <w:tcPr>
            <w:tcW w:w="408" w:type="pct"/>
            <w:vMerge w:val="continue"/>
            <w:shd w:val="clear" w:color="auto" w:fill="auto"/>
            <w:noWrap w:val="0"/>
            <w:vAlign w:val="center"/>
          </w:tcPr>
          <w:p w14:paraId="07D11767">
            <w:pPr>
              <w:widowControl/>
              <w:spacing w:after="60" w:afterLines="25" w:line="360" w:lineRule="exact"/>
              <w:jc w:val="center"/>
              <w:rPr>
                <w:rFonts w:hint="eastAsia" w:ascii="宋体" w:hAnsi="宋体" w:eastAsia="宋体" w:cs="宋体"/>
                <w:color w:val="000000"/>
                <w:kern w:val="0"/>
                <w:sz w:val="24"/>
                <w:szCs w:val="24"/>
              </w:rPr>
            </w:pPr>
          </w:p>
        </w:tc>
        <w:tc>
          <w:tcPr>
            <w:tcW w:w="408" w:type="pct"/>
            <w:vMerge w:val="continue"/>
            <w:shd w:val="clear" w:color="auto" w:fill="auto"/>
            <w:noWrap w:val="0"/>
            <w:vAlign w:val="center"/>
          </w:tcPr>
          <w:p w14:paraId="33C335F6">
            <w:pPr>
              <w:widowControl/>
              <w:spacing w:after="60" w:afterLines="25" w:line="360" w:lineRule="exact"/>
              <w:jc w:val="center"/>
              <w:rPr>
                <w:rFonts w:hint="eastAsia" w:ascii="宋体" w:hAnsi="宋体" w:eastAsia="宋体" w:cs="宋体"/>
                <w:color w:val="000000"/>
                <w:kern w:val="0"/>
                <w:sz w:val="24"/>
                <w:szCs w:val="24"/>
              </w:rPr>
            </w:pPr>
          </w:p>
        </w:tc>
        <w:tc>
          <w:tcPr>
            <w:tcW w:w="408" w:type="pct"/>
            <w:vMerge w:val="continue"/>
            <w:shd w:val="clear" w:color="auto" w:fill="auto"/>
            <w:noWrap w:val="0"/>
            <w:vAlign w:val="center"/>
          </w:tcPr>
          <w:p w14:paraId="3822B3FF">
            <w:pPr>
              <w:widowControl/>
              <w:spacing w:after="60" w:afterLines="25" w:line="360" w:lineRule="exact"/>
              <w:jc w:val="center"/>
              <w:rPr>
                <w:rFonts w:hint="eastAsia" w:ascii="宋体" w:hAnsi="宋体" w:eastAsia="宋体" w:cs="宋体"/>
                <w:color w:val="000000"/>
                <w:kern w:val="0"/>
                <w:sz w:val="24"/>
                <w:szCs w:val="24"/>
              </w:rPr>
            </w:pPr>
          </w:p>
        </w:tc>
      </w:tr>
      <w:tr w14:paraId="75316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286" w:type="pct"/>
            <w:vMerge w:val="restart"/>
            <w:shd w:val="clear" w:color="auto" w:fill="auto"/>
            <w:noWrap/>
            <w:vAlign w:val="center"/>
          </w:tcPr>
          <w:p w14:paraId="7797224C">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X103</w:t>
            </w:r>
          </w:p>
        </w:tc>
        <w:tc>
          <w:tcPr>
            <w:tcW w:w="897" w:type="pct"/>
            <w:vMerge w:val="restart"/>
            <w:shd w:val="clear" w:color="auto" w:fill="auto"/>
            <w:noWrap/>
            <w:vAlign w:val="center"/>
          </w:tcPr>
          <w:p w14:paraId="264C0503">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嘉兴-海宁</w:t>
            </w:r>
          </w:p>
        </w:tc>
        <w:tc>
          <w:tcPr>
            <w:tcW w:w="1264" w:type="pct"/>
            <w:shd w:val="clear" w:color="auto" w:fill="auto"/>
            <w:noWrap/>
            <w:vAlign w:val="center"/>
          </w:tcPr>
          <w:p w14:paraId="66FCEA2A">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盛安桥</w:t>
            </w:r>
          </w:p>
        </w:tc>
        <w:tc>
          <w:tcPr>
            <w:tcW w:w="1325" w:type="pct"/>
            <w:shd w:val="clear" w:color="auto" w:fill="auto"/>
            <w:noWrap/>
            <w:vAlign w:val="center"/>
          </w:tcPr>
          <w:p w14:paraId="2B98B91D">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沪杭高速公路南进出口（不含）</w:t>
            </w:r>
          </w:p>
        </w:tc>
        <w:tc>
          <w:tcPr>
            <w:tcW w:w="408" w:type="pct"/>
            <w:shd w:val="clear" w:color="auto" w:fill="auto"/>
            <w:noWrap/>
            <w:vAlign w:val="center"/>
          </w:tcPr>
          <w:p w14:paraId="67DC6A85">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9.917</w:t>
            </w:r>
          </w:p>
        </w:tc>
        <w:tc>
          <w:tcPr>
            <w:tcW w:w="408" w:type="pct"/>
            <w:shd w:val="clear" w:color="auto" w:fill="auto"/>
            <w:noWrap/>
            <w:vAlign w:val="center"/>
          </w:tcPr>
          <w:p w14:paraId="1D9E395A">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16.5</w:t>
            </w:r>
          </w:p>
        </w:tc>
        <w:tc>
          <w:tcPr>
            <w:tcW w:w="408" w:type="pct"/>
            <w:shd w:val="clear" w:color="auto" w:fill="auto"/>
            <w:noWrap/>
            <w:vAlign w:val="center"/>
          </w:tcPr>
          <w:p w14:paraId="1B2B3561">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6.583</w:t>
            </w:r>
          </w:p>
        </w:tc>
      </w:tr>
      <w:tr w14:paraId="59719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286" w:type="pct"/>
            <w:vMerge w:val="continue"/>
            <w:shd w:val="clear" w:color="auto" w:fill="auto"/>
            <w:noWrap/>
            <w:vAlign w:val="center"/>
          </w:tcPr>
          <w:p w14:paraId="02872253">
            <w:pPr>
              <w:widowControl/>
              <w:spacing w:after="60" w:afterLines="25" w:line="360" w:lineRule="exact"/>
              <w:jc w:val="center"/>
              <w:rPr>
                <w:rFonts w:hint="eastAsia" w:ascii="宋体" w:hAnsi="宋体" w:eastAsia="宋体" w:cs="宋体"/>
                <w:color w:val="000000"/>
                <w:kern w:val="0"/>
                <w:sz w:val="24"/>
                <w:szCs w:val="24"/>
              </w:rPr>
            </w:pPr>
          </w:p>
        </w:tc>
        <w:tc>
          <w:tcPr>
            <w:tcW w:w="897" w:type="pct"/>
            <w:vMerge w:val="continue"/>
            <w:shd w:val="clear" w:color="auto" w:fill="auto"/>
            <w:noWrap/>
            <w:vAlign w:val="center"/>
          </w:tcPr>
          <w:p w14:paraId="77DF9729">
            <w:pPr>
              <w:widowControl/>
              <w:spacing w:after="60" w:afterLines="25" w:line="360" w:lineRule="exact"/>
              <w:jc w:val="center"/>
              <w:rPr>
                <w:rFonts w:hint="eastAsia" w:ascii="宋体" w:hAnsi="宋体" w:eastAsia="宋体" w:cs="宋体"/>
                <w:color w:val="000000"/>
                <w:kern w:val="0"/>
                <w:sz w:val="24"/>
                <w:szCs w:val="24"/>
              </w:rPr>
            </w:pPr>
          </w:p>
        </w:tc>
        <w:tc>
          <w:tcPr>
            <w:tcW w:w="1264" w:type="pct"/>
            <w:shd w:val="clear" w:color="auto" w:fill="auto"/>
            <w:noWrap/>
            <w:vAlign w:val="center"/>
          </w:tcPr>
          <w:p w14:paraId="0AA158E1">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建林村村道C413路口（不含）</w:t>
            </w:r>
          </w:p>
        </w:tc>
        <w:tc>
          <w:tcPr>
            <w:tcW w:w="1325" w:type="pct"/>
            <w:shd w:val="clear" w:color="auto" w:fill="auto"/>
            <w:noWrap/>
            <w:vAlign w:val="center"/>
          </w:tcPr>
          <w:p w14:paraId="498A9CA3">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建林村</w:t>
            </w:r>
          </w:p>
        </w:tc>
        <w:tc>
          <w:tcPr>
            <w:tcW w:w="408" w:type="pct"/>
            <w:shd w:val="clear" w:color="auto" w:fill="auto"/>
            <w:noWrap/>
            <w:vAlign w:val="center"/>
          </w:tcPr>
          <w:p w14:paraId="4DA72617">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20</w:t>
            </w:r>
          </w:p>
        </w:tc>
        <w:tc>
          <w:tcPr>
            <w:tcW w:w="408" w:type="pct"/>
            <w:shd w:val="clear" w:color="auto" w:fill="auto"/>
            <w:noWrap/>
            <w:vAlign w:val="center"/>
          </w:tcPr>
          <w:p w14:paraId="30B2F3BF">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23</w:t>
            </w:r>
          </w:p>
        </w:tc>
        <w:tc>
          <w:tcPr>
            <w:tcW w:w="408" w:type="pct"/>
            <w:shd w:val="clear" w:color="auto" w:fill="auto"/>
            <w:noWrap/>
            <w:vAlign w:val="center"/>
          </w:tcPr>
          <w:p w14:paraId="36B0FAF5">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3</w:t>
            </w:r>
          </w:p>
        </w:tc>
      </w:tr>
      <w:tr w14:paraId="18776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286" w:type="pct"/>
            <w:shd w:val="clear" w:color="auto" w:fill="auto"/>
            <w:noWrap/>
            <w:vAlign w:val="center"/>
          </w:tcPr>
          <w:p w14:paraId="5D3E8ABE">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X117</w:t>
            </w:r>
          </w:p>
        </w:tc>
        <w:tc>
          <w:tcPr>
            <w:tcW w:w="897" w:type="pct"/>
            <w:shd w:val="clear" w:color="auto" w:fill="auto"/>
            <w:noWrap/>
            <w:vAlign w:val="center"/>
          </w:tcPr>
          <w:p w14:paraId="3F3E145C">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嘉兴-湖州（老）</w:t>
            </w:r>
          </w:p>
        </w:tc>
        <w:tc>
          <w:tcPr>
            <w:tcW w:w="1264" w:type="pct"/>
            <w:shd w:val="clear" w:color="auto" w:fill="auto"/>
            <w:noWrap/>
            <w:vAlign w:val="center"/>
          </w:tcPr>
          <w:p w14:paraId="71E36E61">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新陡线路口</w:t>
            </w:r>
          </w:p>
        </w:tc>
        <w:tc>
          <w:tcPr>
            <w:tcW w:w="1325" w:type="pct"/>
            <w:shd w:val="clear" w:color="auto" w:fill="auto"/>
            <w:noWrap/>
            <w:vAlign w:val="center"/>
          </w:tcPr>
          <w:p w14:paraId="5BA1C341">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农垦场</w:t>
            </w:r>
          </w:p>
        </w:tc>
        <w:tc>
          <w:tcPr>
            <w:tcW w:w="408" w:type="pct"/>
            <w:shd w:val="clear" w:color="auto" w:fill="auto"/>
            <w:noWrap/>
            <w:vAlign w:val="center"/>
          </w:tcPr>
          <w:p w14:paraId="6D66A22E">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4.6</w:t>
            </w:r>
          </w:p>
        </w:tc>
        <w:tc>
          <w:tcPr>
            <w:tcW w:w="408" w:type="pct"/>
            <w:shd w:val="clear" w:color="auto" w:fill="auto"/>
            <w:noWrap/>
            <w:vAlign w:val="center"/>
          </w:tcPr>
          <w:p w14:paraId="07ED761F">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11.835</w:t>
            </w:r>
          </w:p>
        </w:tc>
        <w:tc>
          <w:tcPr>
            <w:tcW w:w="408" w:type="pct"/>
            <w:shd w:val="clear" w:color="auto" w:fill="auto"/>
            <w:noWrap/>
            <w:vAlign w:val="center"/>
          </w:tcPr>
          <w:p w14:paraId="5761A8F2">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7.235</w:t>
            </w:r>
          </w:p>
        </w:tc>
      </w:tr>
      <w:tr w14:paraId="5C4AB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286" w:type="pct"/>
            <w:shd w:val="clear" w:color="auto" w:fill="auto"/>
            <w:noWrap/>
            <w:vAlign w:val="center"/>
          </w:tcPr>
          <w:p w14:paraId="45CFA471">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X209</w:t>
            </w:r>
          </w:p>
        </w:tc>
        <w:tc>
          <w:tcPr>
            <w:tcW w:w="897" w:type="pct"/>
            <w:shd w:val="clear" w:color="auto" w:fill="auto"/>
            <w:noWrap/>
            <w:vAlign w:val="center"/>
          </w:tcPr>
          <w:p w14:paraId="2C56DD8F">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余新-王店</w:t>
            </w:r>
          </w:p>
        </w:tc>
        <w:tc>
          <w:tcPr>
            <w:tcW w:w="1264" w:type="pct"/>
            <w:shd w:val="clear" w:color="auto" w:fill="auto"/>
            <w:noWrap/>
            <w:vAlign w:val="center"/>
          </w:tcPr>
          <w:p w14:paraId="4F016C1A">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假山村</w:t>
            </w:r>
          </w:p>
        </w:tc>
        <w:tc>
          <w:tcPr>
            <w:tcW w:w="1325" w:type="pct"/>
            <w:shd w:val="clear" w:color="auto" w:fill="auto"/>
            <w:noWrap/>
            <w:vAlign w:val="center"/>
          </w:tcPr>
          <w:p w14:paraId="02D21F99">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王店</w:t>
            </w:r>
          </w:p>
        </w:tc>
        <w:tc>
          <w:tcPr>
            <w:tcW w:w="408" w:type="pct"/>
            <w:shd w:val="clear" w:color="auto" w:fill="auto"/>
            <w:noWrap/>
            <w:vAlign w:val="center"/>
          </w:tcPr>
          <w:p w14:paraId="041DF9DE">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5.294</w:t>
            </w:r>
          </w:p>
        </w:tc>
        <w:tc>
          <w:tcPr>
            <w:tcW w:w="408" w:type="pct"/>
            <w:shd w:val="clear" w:color="auto" w:fill="auto"/>
            <w:noWrap/>
            <w:vAlign w:val="center"/>
          </w:tcPr>
          <w:p w14:paraId="6E8BB3E7">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8.719</w:t>
            </w:r>
          </w:p>
        </w:tc>
        <w:tc>
          <w:tcPr>
            <w:tcW w:w="408" w:type="pct"/>
            <w:shd w:val="clear" w:color="auto" w:fill="auto"/>
            <w:noWrap/>
            <w:vAlign w:val="center"/>
          </w:tcPr>
          <w:p w14:paraId="4A7A1729">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3.425</w:t>
            </w:r>
          </w:p>
        </w:tc>
      </w:tr>
      <w:tr w14:paraId="3EC54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286" w:type="pct"/>
            <w:vMerge w:val="restart"/>
            <w:shd w:val="clear" w:color="auto" w:fill="auto"/>
            <w:noWrap/>
            <w:vAlign w:val="center"/>
          </w:tcPr>
          <w:p w14:paraId="0D085F54">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X301</w:t>
            </w:r>
          </w:p>
        </w:tc>
        <w:tc>
          <w:tcPr>
            <w:tcW w:w="897" w:type="pct"/>
            <w:vMerge w:val="restart"/>
            <w:shd w:val="clear" w:color="auto" w:fill="auto"/>
            <w:noWrap/>
            <w:vAlign w:val="center"/>
          </w:tcPr>
          <w:p w14:paraId="36E78576">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王店-建设</w:t>
            </w:r>
          </w:p>
        </w:tc>
        <w:tc>
          <w:tcPr>
            <w:tcW w:w="1264" w:type="pct"/>
            <w:shd w:val="clear" w:color="auto" w:fill="auto"/>
            <w:noWrap/>
            <w:vAlign w:val="center"/>
          </w:tcPr>
          <w:p w14:paraId="09DA3ED4">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兴隆桥（含35m）</w:t>
            </w:r>
          </w:p>
        </w:tc>
        <w:tc>
          <w:tcPr>
            <w:tcW w:w="1325" w:type="pct"/>
            <w:shd w:val="clear" w:color="auto" w:fill="auto"/>
            <w:noWrap/>
            <w:vAlign w:val="center"/>
          </w:tcPr>
          <w:p w14:paraId="34A413FC">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鸟船村</w:t>
            </w:r>
          </w:p>
        </w:tc>
        <w:tc>
          <w:tcPr>
            <w:tcW w:w="408" w:type="pct"/>
            <w:shd w:val="clear" w:color="auto" w:fill="auto"/>
            <w:noWrap/>
            <w:vAlign w:val="center"/>
          </w:tcPr>
          <w:p w14:paraId="29332F5D">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1.76</w:t>
            </w:r>
          </w:p>
        </w:tc>
        <w:tc>
          <w:tcPr>
            <w:tcW w:w="408" w:type="pct"/>
            <w:shd w:val="clear" w:color="auto" w:fill="auto"/>
            <w:noWrap/>
            <w:vAlign w:val="center"/>
          </w:tcPr>
          <w:p w14:paraId="5423E3C5">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3.947</w:t>
            </w:r>
          </w:p>
        </w:tc>
        <w:tc>
          <w:tcPr>
            <w:tcW w:w="408" w:type="pct"/>
            <w:shd w:val="clear" w:color="auto" w:fill="auto"/>
            <w:noWrap/>
            <w:vAlign w:val="center"/>
          </w:tcPr>
          <w:p w14:paraId="030C475A">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2.187</w:t>
            </w:r>
          </w:p>
        </w:tc>
      </w:tr>
      <w:tr w14:paraId="2E38E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286" w:type="pct"/>
            <w:vMerge w:val="continue"/>
            <w:shd w:val="clear" w:color="auto" w:fill="auto"/>
            <w:noWrap/>
            <w:vAlign w:val="center"/>
          </w:tcPr>
          <w:p w14:paraId="0DB4184A">
            <w:pPr>
              <w:widowControl/>
              <w:spacing w:after="60" w:afterLines="25" w:line="360" w:lineRule="exact"/>
              <w:rPr>
                <w:rFonts w:hint="eastAsia" w:ascii="宋体" w:hAnsi="宋体" w:eastAsia="宋体" w:cs="宋体"/>
                <w:color w:val="000000"/>
                <w:kern w:val="0"/>
                <w:sz w:val="24"/>
                <w:szCs w:val="24"/>
              </w:rPr>
            </w:pPr>
          </w:p>
        </w:tc>
        <w:tc>
          <w:tcPr>
            <w:tcW w:w="897" w:type="pct"/>
            <w:vMerge w:val="continue"/>
            <w:shd w:val="clear" w:color="auto" w:fill="auto"/>
            <w:noWrap/>
            <w:vAlign w:val="center"/>
          </w:tcPr>
          <w:p w14:paraId="3E8E21AF">
            <w:pPr>
              <w:spacing w:after="60" w:afterLines="25" w:line="360" w:lineRule="exact"/>
              <w:jc w:val="center"/>
              <w:rPr>
                <w:rFonts w:hint="eastAsia" w:ascii="宋体" w:hAnsi="宋体" w:eastAsia="宋体" w:cs="宋体"/>
                <w:color w:val="000000"/>
                <w:kern w:val="0"/>
                <w:sz w:val="24"/>
                <w:szCs w:val="24"/>
              </w:rPr>
            </w:pPr>
          </w:p>
        </w:tc>
        <w:tc>
          <w:tcPr>
            <w:tcW w:w="1264" w:type="pct"/>
            <w:shd w:val="clear" w:color="auto" w:fill="auto"/>
            <w:noWrap/>
            <w:vAlign w:val="center"/>
          </w:tcPr>
          <w:p w14:paraId="53EA9CE8">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鸟船村南</w:t>
            </w:r>
          </w:p>
        </w:tc>
        <w:tc>
          <w:tcPr>
            <w:tcW w:w="1325" w:type="pct"/>
            <w:shd w:val="clear" w:color="auto" w:fill="auto"/>
            <w:noWrap/>
            <w:vAlign w:val="center"/>
          </w:tcPr>
          <w:p w14:paraId="68F75E6F">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银河东桥（含59.8m）</w:t>
            </w:r>
          </w:p>
        </w:tc>
        <w:tc>
          <w:tcPr>
            <w:tcW w:w="408" w:type="pct"/>
            <w:shd w:val="clear" w:color="auto" w:fill="auto"/>
            <w:noWrap/>
            <w:vAlign w:val="center"/>
          </w:tcPr>
          <w:p w14:paraId="6A4DBD79">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 xml:space="preserve">4.161 </w:t>
            </w:r>
          </w:p>
        </w:tc>
        <w:tc>
          <w:tcPr>
            <w:tcW w:w="408" w:type="pct"/>
            <w:shd w:val="clear" w:color="auto" w:fill="auto"/>
            <w:noWrap/>
            <w:vAlign w:val="center"/>
          </w:tcPr>
          <w:p w14:paraId="06CC24F8">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 xml:space="preserve">5.600 </w:t>
            </w:r>
          </w:p>
        </w:tc>
        <w:tc>
          <w:tcPr>
            <w:tcW w:w="408" w:type="pct"/>
            <w:shd w:val="clear" w:color="auto" w:fill="auto"/>
            <w:noWrap/>
            <w:vAlign w:val="center"/>
          </w:tcPr>
          <w:p w14:paraId="7F925B32">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1.439</w:t>
            </w:r>
          </w:p>
        </w:tc>
      </w:tr>
      <w:tr w14:paraId="0205E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286" w:type="pct"/>
            <w:vMerge w:val="continue"/>
            <w:shd w:val="clear" w:color="auto" w:fill="auto"/>
            <w:noWrap/>
            <w:vAlign w:val="center"/>
          </w:tcPr>
          <w:p w14:paraId="3F720685">
            <w:pPr>
              <w:widowControl/>
              <w:spacing w:after="60" w:afterLines="25" w:line="360" w:lineRule="exact"/>
              <w:rPr>
                <w:rFonts w:hint="eastAsia" w:ascii="宋体" w:hAnsi="宋体" w:eastAsia="宋体" w:cs="宋体"/>
                <w:color w:val="000000"/>
                <w:kern w:val="0"/>
                <w:sz w:val="24"/>
                <w:szCs w:val="24"/>
              </w:rPr>
            </w:pPr>
          </w:p>
        </w:tc>
        <w:tc>
          <w:tcPr>
            <w:tcW w:w="897" w:type="pct"/>
            <w:vMerge w:val="continue"/>
            <w:shd w:val="clear" w:color="auto" w:fill="auto"/>
            <w:noWrap/>
            <w:vAlign w:val="center"/>
          </w:tcPr>
          <w:p w14:paraId="052437E2">
            <w:pPr>
              <w:widowControl/>
              <w:spacing w:after="60" w:afterLines="25" w:line="360" w:lineRule="exact"/>
              <w:jc w:val="center"/>
              <w:rPr>
                <w:rFonts w:hint="eastAsia" w:ascii="宋体" w:hAnsi="宋体" w:eastAsia="宋体" w:cs="宋体"/>
                <w:color w:val="000000"/>
                <w:kern w:val="0"/>
                <w:sz w:val="24"/>
                <w:szCs w:val="24"/>
              </w:rPr>
            </w:pPr>
          </w:p>
        </w:tc>
        <w:tc>
          <w:tcPr>
            <w:tcW w:w="1264" w:type="pct"/>
            <w:shd w:val="clear" w:color="auto" w:fill="auto"/>
            <w:noWrap/>
            <w:vAlign w:val="center"/>
          </w:tcPr>
          <w:p w14:paraId="685EFA43">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1号桥（不含）</w:t>
            </w:r>
          </w:p>
        </w:tc>
        <w:tc>
          <w:tcPr>
            <w:tcW w:w="1325" w:type="pct"/>
            <w:shd w:val="clear" w:color="auto" w:fill="auto"/>
            <w:noWrap/>
            <w:vAlign w:val="center"/>
          </w:tcPr>
          <w:p w14:paraId="63D20393">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先锋村</w:t>
            </w:r>
          </w:p>
        </w:tc>
        <w:tc>
          <w:tcPr>
            <w:tcW w:w="408" w:type="pct"/>
            <w:shd w:val="clear" w:color="auto" w:fill="auto"/>
            <w:noWrap/>
            <w:vAlign w:val="center"/>
          </w:tcPr>
          <w:p w14:paraId="15DC4567">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7.25</w:t>
            </w:r>
          </w:p>
        </w:tc>
        <w:tc>
          <w:tcPr>
            <w:tcW w:w="408" w:type="pct"/>
            <w:shd w:val="clear" w:color="auto" w:fill="auto"/>
            <w:noWrap/>
            <w:vAlign w:val="center"/>
          </w:tcPr>
          <w:p w14:paraId="1EF64D26">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11.074</w:t>
            </w:r>
          </w:p>
        </w:tc>
        <w:tc>
          <w:tcPr>
            <w:tcW w:w="408" w:type="pct"/>
            <w:shd w:val="clear" w:color="auto" w:fill="auto"/>
            <w:noWrap/>
            <w:vAlign w:val="center"/>
          </w:tcPr>
          <w:p w14:paraId="78BF2539">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3.824</w:t>
            </w:r>
          </w:p>
        </w:tc>
      </w:tr>
      <w:tr w14:paraId="4A0D3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286" w:type="pct"/>
            <w:vMerge w:val="restart"/>
            <w:shd w:val="clear" w:color="auto" w:fill="auto"/>
            <w:noWrap/>
            <w:vAlign w:val="center"/>
          </w:tcPr>
          <w:p w14:paraId="0E342251">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X302</w:t>
            </w:r>
          </w:p>
        </w:tc>
        <w:tc>
          <w:tcPr>
            <w:tcW w:w="897" w:type="pct"/>
            <w:vMerge w:val="restart"/>
            <w:shd w:val="clear" w:color="auto" w:fill="auto"/>
            <w:noWrap/>
            <w:vAlign w:val="center"/>
          </w:tcPr>
          <w:p w14:paraId="53DD80B8">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洪合-硖石</w:t>
            </w:r>
          </w:p>
        </w:tc>
        <w:tc>
          <w:tcPr>
            <w:tcW w:w="1264" w:type="pct"/>
            <w:shd w:val="clear" w:color="auto" w:fill="auto"/>
            <w:noWrap/>
            <w:vAlign w:val="center"/>
          </w:tcPr>
          <w:p w14:paraId="2306536F">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村道C609洪硖线-高宝兜路口</w:t>
            </w:r>
          </w:p>
        </w:tc>
        <w:tc>
          <w:tcPr>
            <w:tcW w:w="1325" w:type="pct"/>
            <w:shd w:val="clear" w:color="auto" w:fill="auto"/>
            <w:noWrap/>
            <w:vAlign w:val="center"/>
          </w:tcPr>
          <w:p w14:paraId="15975663">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C602</w:t>
            </w:r>
          </w:p>
        </w:tc>
        <w:tc>
          <w:tcPr>
            <w:tcW w:w="408" w:type="pct"/>
            <w:shd w:val="clear" w:color="auto" w:fill="auto"/>
            <w:noWrap/>
            <w:vAlign w:val="center"/>
          </w:tcPr>
          <w:p w14:paraId="1464C5A5">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1.74</w:t>
            </w:r>
          </w:p>
        </w:tc>
        <w:tc>
          <w:tcPr>
            <w:tcW w:w="408" w:type="pct"/>
            <w:shd w:val="clear" w:color="auto" w:fill="auto"/>
            <w:noWrap/>
            <w:vAlign w:val="center"/>
          </w:tcPr>
          <w:p w14:paraId="0F69BE49">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4.335</w:t>
            </w:r>
          </w:p>
        </w:tc>
        <w:tc>
          <w:tcPr>
            <w:tcW w:w="408" w:type="pct"/>
            <w:shd w:val="clear" w:color="auto" w:fill="auto"/>
            <w:noWrap/>
            <w:vAlign w:val="center"/>
          </w:tcPr>
          <w:p w14:paraId="6DDDBC90">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2.595</w:t>
            </w:r>
          </w:p>
        </w:tc>
      </w:tr>
      <w:tr w14:paraId="3D0D9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286" w:type="pct"/>
            <w:vMerge w:val="continue"/>
            <w:shd w:val="clear" w:color="auto" w:fill="auto"/>
            <w:noWrap/>
            <w:vAlign w:val="center"/>
          </w:tcPr>
          <w:p w14:paraId="587B5F84">
            <w:pPr>
              <w:widowControl/>
              <w:spacing w:after="60" w:afterLines="25" w:line="360" w:lineRule="exact"/>
              <w:rPr>
                <w:rFonts w:hint="eastAsia" w:ascii="宋体" w:hAnsi="宋体" w:eastAsia="宋体" w:cs="宋体"/>
                <w:color w:val="000000"/>
                <w:kern w:val="0"/>
                <w:sz w:val="24"/>
                <w:szCs w:val="24"/>
              </w:rPr>
            </w:pPr>
          </w:p>
        </w:tc>
        <w:tc>
          <w:tcPr>
            <w:tcW w:w="897" w:type="pct"/>
            <w:vMerge w:val="continue"/>
            <w:shd w:val="clear" w:color="auto" w:fill="auto"/>
            <w:noWrap/>
            <w:vAlign w:val="center"/>
          </w:tcPr>
          <w:p w14:paraId="69A1FDBF">
            <w:pPr>
              <w:widowControl/>
              <w:spacing w:after="60" w:afterLines="25" w:line="360" w:lineRule="exact"/>
              <w:jc w:val="center"/>
              <w:rPr>
                <w:rFonts w:hint="eastAsia" w:ascii="宋体" w:hAnsi="宋体" w:eastAsia="宋体" w:cs="宋体"/>
                <w:color w:val="000000"/>
                <w:kern w:val="0"/>
                <w:sz w:val="24"/>
                <w:szCs w:val="24"/>
              </w:rPr>
            </w:pPr>
          </w:p>
        </w:tc>
        <w:tc>
          <w:tcPr>
            <w:tcW w:w="1264" w:type="pct"/>
            <w:shd w:val="clear" w:color="auto" w:fill="auto"/>
            <w:noWrap/>
            <w:vAlign w:val="center"/>
          </w:tcPr>
          <w:p w14:paraId="4C92667C">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C440</w:t>
            </w:r>
          </w:p>
        </w:tc>
        <w:tc>
          <w:tcPr>
            <w:tcW w:w="1325" w:type="pct"/>
            <w:shd w:val="clear" w:color="auto" w:fill="auto"/>
            <w:noWrap/>
            <w:vAlign w:val="center"/>
          </w:tcPr>
          <w:p w14:paraId="0DC63D36">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三建村</w:t>
            </w:r>
          </w:p>
        </w:tc>
        <w:tc>
          <w:tcPr>
            <w:tcW w:w="408" w:type="pct"/>
            <w:shd w:val="clear" w:color="auto" w:fill="auto"/>
            <w:noWrap/>
            <w:vAlign w:val="center"/>
          </w:tcPr>
          <w:p w14:paraId="6E75B94A">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7.514</w:t>
            </w:r>
          </w:p>
        </w:tc>
        <w:tc>
          <w:tcPr>
            <w:tcW w:w="408" w:type="pct"/>
            <w:shd w:val="clear" w:color="auto" w:fill="auto"/>
            <w:noWrap/>
            <w:vAlign w:val="center"/>
          </w:tcPr>
          <w:p w14:paraId="1A5AC495">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11.267</w:t>
            </w:r>
          </w:p>
        </w:tc>
        <w:tc>
          <w:tcPr>
            <w:tcW w:w="408" w:type="pct"/>
            <w:shd w:val="clear" w:color="auto" w:fill="auto"/>
            <w:noWrap/>
            <w:vAlign w:val="center"/>
          </w:tcPr>
          <w:p w14:paraId="01D2AA4A">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3.753</w:t>
            </w:r>
          </w:p>
        </w:tc>
      </w:tr>
      <w:tr w14:paraId="79EE2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286" w:type="pct"/>
            <w:vMerge w:val="restart"/>
            <w:shd w:val="clear" w:color="auto" w:fill="auto"/>
            <w:noWrap/>
            <w:vAlign w:val="center"/>
          </w:tcPr>
          <w:p w14:paraId="7F780E2F">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X303</w:t>
            </w:r>
          </w:p>
        </w:tc>
        <w:tc>
          <w:tcPr>
            <w:tcW w:w="897" w:type="pct"/>
            <w:vMerge w:val="restart"/>
            <w:shd w:val="clear" w:color="auto" w:fill="auto"/>
            <w:noWrap/>
            <w:vAlign w:val="center"/>
          </w:tcPr>
          <w:p w14:paraId="5405439F">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洪合-新塍</w:t>
            </w:r>
          </w:p>
        </w:tc>
        <w:tc>
          <w:tcPr>
            <w:tcW w:w="1264" w:type="pct"/>
            <w:shd w:val="clear" w:color="auto" w:fill="auto"/>
            <w:noWrap/>
            <w:vAlign w:val="center"/>
          </w:tcPr>
          <w:p w14:paraId="6D24A0FC">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C301</w:t>
            </w:r>
          </w:p>
        </w:tc>
        <w:tc>
          <w:tcPr>
            <w:tcW w:w="1325" w:type="pct"/>
            <w:shd w:val="clear" w:color="auto" w:fill="auto"/>
            <w:noWrap/>
            <w:vAlign w:val="center"/>
          </w:tcPr>
          <w:p w14:paraId="57D42B12">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C310</w:t>
            </w:r>
          </w:p>
        </w:tc>
        <w:tc>
          <w:tcPr>
            <w:tcW w:w="408" w:type="pct"/>
            <w:shd w:val="clear" w:color="auto" w:fill="auto"/>
            <w:noWrap/>
            <w:vAlign w:val="center"/>
          </w:tcPr>
          <w:p w14:paraId="7CA0AD43">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 xml:space="preserve">5.527 </w:t>
            </w:r>
          </w:p>
        </w:tc>
        <w:tc>
          <w:tcPr>
            <w:tcW w:w="408" w:type="pct"/>
            <w:shd w:val="clear" w:color="auto" w:fill="auto"/>
            <w:noWrap/>
            <w:vAlign w:val="center"/>
          </w:tcPr>
          <w:p w14:paraId="35648F1E">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 xml:space="preserve">7.990 </w:t>
            </w:r>
          </w:p>
        </w:tc>
        <w:tc>
          <w:tcPr>
            <w:tcW w:w="408" w:type="pct"/>
            <w:shd w:val="clear" w:color="auto" w:fill="auto"/>
            <w:noWrap/>
            <w:vAlign w:val="center"/>
          </w:tcPr>
          <w:p w14:paraId="7DCD5468">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2.463</w:t>
            </w:r>
          </w:p>
        </w:tc>
      </w:tr>
      <w:tr w14:paraId="760A3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286" w:type="pct"/>
            <w:vMerge w:val="continue"/>
            <w:shd w:val="clear" w:color="auto" w:fill="auto"/>
            <w:noWrap/>
            <w:vAlign w:val="center"/>
          </w:tcPr>
          <w:p w14:paraId="2254DB37">
            <w:pPr>
              <w:widowControl/>
              <w:spacing w:after="60" w:afterLines="25" w:line="360" w:lineRule="exact"/>
              <w:jc w:val="center"/>
              <w:rPr>
                <w:rFonts w:hint="eastAsia" w:ascii="宋体" w:hAnsi="宋体" w:eastAsia="宋体" w:cs="宋体"/>
                <w:color w:val="000000"/>
                <w:kern w:val="0"/>
                <w:sz w:val="24"/>
                <w:szCs w:val="24"/>
              </w:rPr>
            </w:pPr>
          </w:p>
        </w:tc>
        <w:tc>
          <w:tcPr>
            <w:tcW w:w="897" w:type="pct"/>
            <w:vMerge w:val="continue"/>
            <w:shd w:val="clear" w:color="auto" w:fill="auto"/>
            <w:noWrap/>
            <w:vAlign w:val="center"/>
          </w:tcPr>
          <w:p w14:paraId="6774CFFC">
            <w:pPr>
              <w:widowControl/>
              <w:spacing w:after="60" w:afterLines="25" w:line="360" w:lineRule="exact"/>
              <w:jc w:val="center"/>
              <w:rPr>
                <w:rFonts w:hint="eastAsia" w:ascii="宋体" w:hAnsi="宋体" w:eastAsia="宋体" w:cs="宋体"/>
                <w:color w:val="000000"/>
                <w:kern w:val="0"/>
                <w:sz w:val="24"/>
                <w:szCs w:val="24"/>
              </w:rPr>
            </w:pPr>
          </w:p>
        </w:tc>
        <w:tc>
          <w:tcPr>
            <w:tcW w:w="1264" w:type="pct"/>
            <w:shd w:val="clear" w:color="auto" w:fill="auto"/>
            <w:noWrap/>
            <w:vAlign w:val="center"/>
          </w:tcPr>
          <w:p w14:paraId="07BC9355">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C314</w:t>
            </w:r>
          </w:p>
        </w:tc>
        <w:tc>
          <w:tcPr>
            <w:tcW w:w="1325" w:type="pct"/>
            <w:shd w:val="clear" w:color="auto" w:fill="auto"/>
            <w:noWrap/>
            <w:vAlign w:val="center"/>
          </w:tcPr>
          <w:p w14:paraId="4FE5EB86">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0号桥（含28.7m）</w:t>
            </w:r>
          </w:p>
        </w:tc>
        <w:tc>
          <w:tcPr>
            <w:tcW w:w="408" w:type="pct"/>
            <w:shd w:val="clear" w:color="auto" w:fill="auto"/>
            <w:noWrap/>
            <w:vAlign w:val="center"/>
          </w:tcPr>
          <w:p w14:paraId="0CBDF23F">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 xml:space="preserve">9.691 </w:t>
            </w:r>
          </w:p>
        </w:tc>
        <w:tc>
          <w:tcPr>
            <w:tcW w:w="408" w:type="pct"/>
            <w:shd w:val="clear" w:color="auto" w:fill="auto"/>
            <w:noWrap/>
            <w:vAlign w:val="center"/>
          </w:tcPr>
          <w:p w14:paraId="452E80B4">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 xml:space="preserve">14.000 </w:t>
            </w:r>
          </w:p>
        </w:tc>
        <w:tc>
          <w:tcPr>
            <w:tcW w:w="408" w:type="pct"/>
            <w:shd w:val="clear" w:color="auto" w:fill="auto"/>
            <w:noWrap/>
            <w:vAlign w:val="center"/>
          </w:tcPr>
          <w:p w14:paraId="3F032B37">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4.309</w:t>
            </w:r>
          </w:p>
        </w:tc>
      </w:tr>
      <w:tr w14:paraId="1F12A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286" w:type="pct"/>
            <w:vMerge w:val="restart"/>
            <w:shd w:val="clear" w:color="auto" w:fill="auto"/>
            <w:noWrap/>
            <w:vAlign w:val="center"/>
          </w:tcPr>
          <w:p w14:paraId="26B17336">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X304</w:t>
            </w:r>
          </w:p>
          <w:p w14:paraId="2DFE3131">
            <w:pPr>
              <w:spacing w:after="60" w:afterLines="25" w:line="360" w:lineRule="exact"/>
              <w:jc w:val="center"/>
              <w:rPr>
                <w:rFonts w:hint="eastAsia" w:ascii="宋体" w:hAnsi="宋体" w:eastAsia="宋体" w:cs="宋体"/>
                <w:color w:val="000000"/>
                <w:kern w:val="0"/>
                <w:sz w:val="24"/>
                <w:szCs w:val="24"/>
              </w:rPr>
            </w:pPr>
          </w:p>
        </w:tc>
        <w:tc>
          <w:tcPr>
            <w:tcW w:w="897" w:type="pct"/>
            <w:vMerge w:val="restart"/>
            <w:shd w:val="clear" w:color="auto" w:fill="auto"/>
            <w:noWrap/>
            <w:vAlign w:val="center"/>
          </w:tcPr>
          <w:p w14:paraId="4BFA53DC">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嘉兴-洛东</w:t>
            </w:r>
          </w:p>
          <w:p w14:paraId="34657643">
            <w:pPr>
              <w:spacing w:after="60" w:afterLines="25" w:line="360" w:lineRule="exact"/>
              <w:jc w:val="center"/>
              <w:rPr>
                <w:rFonts w:hint="eastAsia" w:ascii="宋体" w:hAnsi="宋体" w:eastAsia="宋体" w:cs="宋体"/>
                <w:color w:val="000000"/>
                <w:kern w:val="0"/>
                <w:sz w:val="24"/>
                <w:szCs w:val="24"/>
              </w:rPr>
            </w:pPr>
          </w:p>
        </w:tc>
        <w:tc>
          <w:tcPr>
            <w:tcW w:w="1264" w:type="pct"/>
            <w:shd w:val="clear" w:color="auto" w:fill="auto"/>
            <w:noWrap/>
            <w:vAlign w:val="center"/>
          </w:tcPr>
          <w:p w14:paraId="2320A88F">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殷秀桥</w:t>
            </w:r>
          </w:p>
        </w:tc>
        <w:tc>
          <w:tcPr>
            <w:tcW w:w="1325" w:type="pct"/>
            <w:shd w:val="clear" w:color="auto" w:fill="auto"/>
            <w:noWrap/>
            <w:vAlign w:val="center"/>
          </w:tcPr>
          <w:p w14:paraId="5ADDAB47">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象贤</w:t>
            </w:r>
          </w:p>
        </w:tc>
        <w:tc>
          <w:tcPr>
            <w:tcW w:w="408" w:type="pct"/>
            <w:shd w:val="clear" w:color="auto" w:fill="auto"/>
            <w:noWrap/>
            <w:vAlign w:val="center"/>
          </w:tcPr>
          <w:p w14:paraId="79FCC9D7">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0</w:t>
            </w:r>
          </w:p>
        </w:tc>
        <w:tc>
          <w:tcPr>
            <w:tcW w:w="408" w:type="pct"/>
            <w:shd w:val="clear" w:color="auto" w:fill="auto"/>
            <w:noWrap/>
            <w:vAlign w:val="center"/>
          </w:tcPr>
          <w:p w14:paraId="6F5B96F5">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 xml:space="preserve">2.708 </w:t>
            </w:r>
          </w:p>
        </w:tc>
        <w:tc>
          <w:tcPr>
            <w:tcW w:w="408" w:type="pct"/>
            <w:shd w:val="clear" w:color="auto" w:fill="auto"/>
            <w:noWrap/>
            <w:vAlign w:val="center"/>
          </w:tcPr>
          <w:p w14:paraId="2AE9852B">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2.708</w:t>
            </w:r>
          </w:p>
        </w:tc>
      </w:tr>
      <w:tr w14:paraId="1044A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286" w:type="pct"/>
            <w:vMerge w:val="continue"/>
            <w:shd w:val="clear" w:color="auto" w:fill="auto"/>
            <w:noWrap/>
            <w:vAlign w:val="center"/>
          </w:tcPr>
          <w:p w14:paraId="7ADFCABE">
            <w:pPr>
              <w:spacing w:after="60" w:afterLines="25" w:line="360" w:lineRule="exact"/>
              <w:jc w:val="center"/>
              <w:rPr>
                <w:rFonts w:hint="eastAsia" w:ascii="宋体" w:hAnsi="宋体" w:eastAsia="宋体" w:cs="宋体"/>
                <w:color w:val="000000"/>
                <w:kern w:val="0"/>
                <w:sz w:val="24"/>
                <w:szCs w:val="24"/>
              </w:rPr>
            </w:pPr>
          </w:p>
        </w:tc>
        <w:tc>
          <w:tcPr>
            <w:tcW w:w="897" w:type="pct"/>
            <w:vMerge w:val="continue"/>
            <w:shd w:val="clear" w:color="auto" w:fill="auto"/>
            <w:noWrap/>
            <w:vAlign w:val="center"/>
          </w:tcPr>
          <w:p w14:paraId="6CE21649">
            <w:pPr>
              <w:spacing w:after="60" w:afterLines="25" w:line="360" w:lineRule="exact"/>
              <w:jc w:val="center"/>
              <w:rPr>
                <w:rFonts w:hint="eastAsia" w:ascii="宋体" w:hAnsi="宋体" w:eastAsia="宋体" w:cs="宋体"/>
                <w:color w:val="000000"/>
                <w:kern w:val="0"/>
                <w:sz w:val="24"/>
                <w:szCs w:val="24"/>
              </w:rPr>
            </w:pPr>
          </w:p>
        </w:tc>
        <w:tc>
          <w:tcPr>
            <w:tcW w:w="1264" w:type="pct"/>
            <w:shd w:val="clear" w:color="auto" w:fill="auto"/>
            <w:noWrap/>
            <w:vAlign w:val="center"/>
          </w:tcPr>
          <w:p w14:paraId="5047EA5E">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大通村</w:t>
            </w:r>
          </w:p>
        </w:tc>
        <w:tc>
          <w:tcPr>
            <w:tcW w:w="1325" w:type="pct"/>
            <w:shd w:val="clear" w:color="auto" w:fill="auto"/>
            <w:noWrap/>
            <w:vAlign w:val="center"/>
          </w:tcPr>
          <w:p w14:paraId="6E687AE6">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C310</w:t>
            </w:r>
          </w:p>
        </w:tc>
        <w:tc>
          <w:tcPr>
            <w:tcW w:w="408" w:type="pct"/>
            <w:shd w:val="clear" w:color="auto" w:fill="auto"/>
            <w:noWrap/>
            <w:vAlign w:val="center"/>
          </w:tcPr>
          <w:p w14:paraId="33400D55">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 xml:space="preserve">8.871 </w:t>
            </w:r>
          </w:p>
        </w:tc>
        <w:tc>
          <w:tcPr>
            <w:tcW w:w="408" w:type="pct"/>
            <w:shd w:val="clear" w:color="auto" w:fill="auto"/>
            <w:noWrap/>
            <w:vAlign w:val="center"/>
          </w:tcPr>
          <w:p w14:paraId="1BCF9EB0">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 xml:space="preserve">9.610 </w:t>
            </w:r>
          </w:p>
        </w:tc>
        <w:tc>
          <w:tcPr>
            <w:tcW w:w="408" w:type="pct"/>
            <w:shd w:val="clear" w:color="auto" w:fill="auto"/>
            <w:noWrap/>
            <w:vAlign w:val="center"/>
          </w:tcPr>
          <w:p w14:paraId="6241C964">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0.739</w:t>
            </w:r>
          </w:p>
        </w:tc>
      </w:tr>
      <w:tr w14:paraId="0F304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286" w:type="pct"/>
            <w:vMerge w:val="continue"/>
            <w:shd w:val="clear" w:color="auto" w:fill="auto"/>
            <w:noWrap/>
            <w:vAlign w:val="center"/>
          </w:tcPr>
          <w:p w14:paraId="4C27F84E">
            <w:pPr>
              <w:spacing w:after="60" w:afterLines="25" w:line="360" w:lineRule="exact"/>
              <w:jc w:val="center"/>
              <w:rPr>
                <w:rFonts w:hint="eastAsia" w:ascii="宋体" w:hAnsi="宋体" w:eastAsia="宋体" w:cs="宋体"/>
                <w:color w:val="000000"/>
                <w:kern w:val="0"/>
                <w:sz w:val="24"/>
                <w:szCs w:val="24"/>
              </w:rPr>
            </w:pPr>
          </w:p>
        </w:tc>
        <w:tc>
          <w:tcPr>
            <w:tcW w:w="897" w:type="pct"/>
            <w:vMerge w:val="continue"/>
            <w:shd w:val="clear" w:color="auto" w:fill="auto"/>
            <w:noWrap/>
            <w:vAlign w:val="center"/>
          </w:tcPr>
          <w:p w14:paraId="34F30A31">
            <w:pPr>
              <w:spacing w:after="60" w:afterLines="25" w:line="360" w:lineRule="exact"/>
              <w:jc w:val="center"/>
              <w:rPr>
                <w:rFonts w:hint="eastAsia" w:ascii="宋体" w:hAnsi="宋体" w:eastAsia="宋体" w:cs="宋体"/>
                <w:color w:val="000000"/>
                <w:kern w:val="0"/>
                <w:sz w:val="24"/>
                <w:szCs w:val="24"/>
              </w:rPr>
            </w:pPr>
          </w:p>
        </w:tc>
        <w:tc>
          <w:tcPr>
            <w:tcW w:w="1264" w:type="pct"/>
            <w:shd w:val="clear" w:color="auto" w:fill="auto"/>
            <w:noWrap/>
            <w:vAlign w:val="center"/>
          </w:tcPr>
          <w:p w14:paraId="335C5810">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新塍</w:t>
            </w:r>
          </w:p>
        </w:tc>
        <w:tc>
          <w:tcPr>
            <w:tcW w:w="1325" w:type="pct"/>
            <w:shd w:val="clear" w:color="auto" w:fill="auto"/>
            <w:noWrap/>
            <w:vAlign w:val="center"/>
          </w:tcPr>
          <w:p w14:paraId="01EA7448">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新塍</w:t>
            </w:r>
          </w:p>
        </w:tc>
        <w:tc>
          <w:tcPr>
            <w:tcW w:w="408" w:type="pct"/>
            <w:shd w:val="clear" w:color="auto" w:fill="auto"/>
            <w:noWrap/>
            <w:vAlign w:val="center"/>
          </w:tcPr>
          <w:p w14:paraId="050D3697">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 xml:space="preserve">17.131 </w:t>
            </w:r>
          </w:p>
        </w:tc>
        <w:tc>
          <w:tcPr>
            <w:tcW w:w="408" w:type="pct"/>
            <w:shd w:val="clear" w:color="auto" w:fill="auto"/>
            <w:noWrap/>
            <w:vAlign w:val="center"/>
          </w:tcPr>
          <w:p w14:paraId="308D3AB0">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 xml:space="preserve">17.146 </w:t>
            </w:r>
          </w:p>
        </w:tc>
        <w:tc>
          <w:tcPr>
            <w:tcW w:w="408" w:type="pct"/>
            <w:shd w:val="clear" w:color="auto" w:fill="auto"/>
            <w:noWrap/>
            <w:vAlign w:val="center"/>
          </w:tcPr>
          <w:p w14:paraId="4E437653">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0.015</w:t>
            </w:r>
          </w:p>
        </w:tc>
      </w:tr>
      <w:tr w14:paraId="71BBC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286" w:type="pct"/>
            <w:vMerge w:val="continue"/>
            <w:shd w:val="clear" w:color="auto" w:fill="auto"/>
            <w:noWrap/>
            <w:vAlign w:val="center"/>
          </w:tcPr>
          <w:p w14:paraId="7A8E06BA">
            <w:pPr>
              <w:spacing w:after="60" w:afterLines="25" w:line="360" w:lineRule="exact"/>
              <w:jc w:val="center"/>
              <w:rPr>
                <w:rFonts w:hint="eastAsia" w:ascii="宋体" w:hAnsi="宋体" w:eastAsia="宋体" w:cs="宋体"/>
                <w:color w:val="000000"/>
                <w:kern w:val="0"/>
                <w:sz w:val="24"/>
                <w:szCs w:val="24"/>
              </w:rPr>
            </w:pPr>
          </w:p>
        </w:tc>
        <w:tc>
          <w:tcPr>
            <w:tcW w:w="897" w:type="pct"/>
            <w:vMerge w:val="continue"/>
            <w:shd w:val="clear" w:color="auto" w:fill="auto"/>
            <w:noWrap/>
            <w:vAlign w:val="center"/>
          </w:tcPr>
          <w:p w14:paraId="75FEC524">
            <w:pPr>
              <w:spacing w:after="60" w:afterLines="25" w:line="360" w:lineRule="exact"/>
              <w:jc w:val="center"/>
              <w:rPr>
                <w:rFonts w:hint="eastAsia" w:ascii="宋体" w:hAnsi="宋体" w:eastAsia="宋体" w:cs="宋体"/>
                <w:color w:val="000000"/>
                <w:kern w:val="0"/>
                <w:sz w:val="24"/>
                <w:szCs w:val="24"/>
              </w:rPr>
            </w:pPr>
          </w:p>
        </w:tc>
        <w:tc>
          <w:tcPr>
            <w:tcW w:w="1264" w:type="pct"/>
            <w:shd w:val="clear" w:color="auto" w:fill="auto"/>
            <w:noWrap/>
            <w:vAlign w:val="center"/>
          </w:tcPr>
          <w:p w14:paraId="238EECD9">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洛东一号桥往北200米</w:t>
            </w:r>
          </w:p>
        </w:tc>
        <w:tc>
          <w:tcPr>
            <w:tcW w:w="1325" w:type="pct"/>
            <w:shd w:val="clear" w:color="auto" w:fill="auto"/>
            <w:noWrap/>
            <w:vAlign w:val="center"/>
          </w:tcPr>
          <w:p w14:paraId="7392485F">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C354</w:t>
            </w:r>
          </w:p>
        </w:tc>
        <w:tc>
          <w:tcPr>
            <w:tcW w:w="408" w:type="pct"/>
            <w:shd w:val="clear" w:color="auto" w:fill="auto"/>
            <w:noWrap/>
            <w:vAlign w:val="center"/>
          </w:tcPr>
          <w:p w14:paraId="36D64CE5">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17.981</w:t>
            </w:r>
          </w:p>
        </w:tc>
        <w:tc>
          <w:tcPr>
            <w:tcW w:w="408" w:type="pct"/>
            <w:shd w:val="clear" w:color="auto" w:fill="auto"/>
            <w:noWrap/>
            <w:vAlign w:val="center"/>
          </w:tcPr>
          <w:p w14:paraId="1F3833CC">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 xml:space="preserve">18.163 </w:t>
            </w:r>
          </w:p>
        </w:tc>
        <w:tc>
          <w:tcPr>
            <w:tcW w:w="408" w:type="pct"/>
            <w:shd w:val="clear" w:color="auto" w:fill="auto"/>
            <w:noWrap/>
            <w:vAlign w:val="center"/>
          </w:tcPr>
          <w:p w14:paraId="0EF429BF">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0.182</w:t>
            </w:r>
          </w:p>
        </w:tc>
      </w:tr>
      <w:tr w14:paraId="4C963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286" w:type="pct"/>
            <w:vMerge w:val="continue"/>
            <w:shd w:val="clear" w:color="auto" w:fill="auto"/>
            <w:noWrap/>
            <w:vAlign w:val="center"/>
          </w:tcPr>
          <w:p w14:paraId="0EB69748">
            <w:pPr>
              <w:spacing w:after="60" w:afterLines="25" w:line="360" w:lineRule="exact"/>
              <w:jc w:val="center"/>
              <w:rPr>
                <w:rFonts w:hint="eastAsia" w:ascii="宋体" w:hAnsi="宋体" w:eastAsia="宋体" w:cs="宋体"/>
                <w:color w:val="000000"/>
                <w:kern w:val="0"/>
                <w:sz w:val="24"/>
                <w:szCs w:val="24"/>
              </w:rPr>
            </w:pPr>
          </w:p>
        </w:tc>
        <w:tc>
          <w:tcPr>
            <w:tcW w:w="897" w:type="pct"/>
            <w:vMerge w:val="continue"/>
            <w:shd w:val="clear" w:color="auto" w:fill="auto"/>
            <w:noWrap/>
            <w:vAlign w:val="center"/>
          </w:tcPr>
          <w:p w14:paraId="58FF4A31">
            <w:pPr>
              <w:spacing w:after="60" w:afterLines="25" w:line="360" w:lineRule="exact"/>
              <w:jc w:val="center"/>
              <w:rPr>
                <w:rFonts w:hint="eastAsia" w:ascii="宋体" w:hAnsi="宋体" w:eastAsia="宋体" w:cs="宋体"/>
                <w:color w:val="000000"/>
                <w:kern w:val="0"/>
                <w:sz w:val="24"/>
                <w:szCs w:val="24"/>
              </w:rPr>
            </w:pPr>
          </w:p>
        </w:tc>
        <w:tc>
          <w:tcPr>
            <w:tcW w:w="1264" w:type="pct"/>
            <w:shd w:val="clear" w:color="auto" w:fill="auto"/>
            <w:noWrap/>
            <w:vAlign w:val="center"/>
          </w:tcPr>
          <w:p w14:paraId="37636C3A">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思古桥村北</w:t>
            </w:r>
          </w:p>
        </w:tc>
        <w:tc>
          <w:tcPr>
            <w:tcW w:w="1325" w:type="pct"/>
            <w:shd w:val="clear" w:color="auto" w:fill="auto"/>
            <w:noWrap/>
            <w:vAlign w:val="center"/>
          </w:tcPr>
          <w:p w14:paraId="62E3DE15">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西文桥村委会往东210米</w:t>
            </w:r>
          </w:p>
        </w:tc>
        <w:tc>
          <w:tcPr>
            <w:tcW w:w="408" w:type="pct"/>
            <w:shd w:val="clear" w:color="auto" w:fill="auto"/>
            <w:noWrap/>
            <w:vAlign w:val="center"/>
          </w:tcPr>
          <w:p w14:paraId="628E3E0B">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 xml:space="preserve">19.953 </w:t>
            </w:r>
          </w:p>
        </w:tc>
        <w:tc>
          <w:tcPr>
            <w:tcW w:w="408" w:type="pct"/>
            <w:shd w:val="clear" w:color="auto" w:fill="auto"/>
            <w:noWrap/>
            <w:vAlign w:val="center"/>
          </w:tcPr>
          <w:p w14:paraId="618C100A">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 xml:space="preserve">21.240 </w:t>
            </w:r>
          </w:p>
        </w:tc>
        <w:tc>
          <w:tcPr>
            <w:tcW w:w="408" w:type="pct"/>
            <w:shd w:val="clear" w:color="auto" w:fill="auto"/>
            <w:noWrap/>
            <w:vAlign w:val="center"/>
          </w:tcPr>
          <w:p w14:paraId="2562FC32">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1.287</w:t>
            </w:r>
          </w:p>
        </w:tc>
      </w:tr>
      <w:tr w14:paraId="7F438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286" w:type="pct"/>
            <w:vMerge w:val="continue"/>
            <w:shd w:val="clear" w:color="auto" w:fill="auto"/>
            <w:noWrap/>
            <w:vAlign w:val="center"/>
          </w:tcPr>
          <w:p w14:paraId="38A177BD">
            <w:pPr>
              <w:widowControl/>
              <w:spacing w:after="60" w:afterLines="25" w:line="360" w:lineRule="exact"/>
              <w:jc w:val="center"/>
              <w:rPr>
                <w:rFonts w:hint="eastAsia" w:ascii="宋体" w:hAnsi="宋体" w:eastAsia="宋体" w:cs="宋体"/>
                <w:color w:val="000000"/>
                <w:kern w:val="0"/>
                <w:sz w:val="24"/>
                <w:szCs w:val="24"/>
              </w:rPr>
            </w:pPr>
          </w:p>
        </w:tc>
        <w:tc>
          <w:tcPr>
            <w:tcW w:w="897" w:type="pct"/>
            <w:vMerge w:val="continue"/>
            <w:shd w:val="clear" w:color="auto" w:fill="auto"/>
            <w:noWrap/>
            <w:vAlign w:val="center"/>
          </w:tcPr>
          <w:p w14:paraId="16E8FD7C">
            <w:pPr>
              <w:widowControl/>
              <w:spacing w:after="60" w:afterLines="25" w:line="360" w:lineRule="exact"/>
              <w:jc w:val="center"/>
              <w:rPr>
                <w:rFonts w:hint="eastAsia" w:ascii="宋体" w:hAnsi="宋体" w:eastAsia="宋体" w:cs="宋体"/>
                <w:color w:val="000000"/>
                <w:kern w:val="0"/>
                <w:sz w:val="24"/>
                <w:szCs w:val="24"/>
              </w:rPr>
            </w:pPr>
          </w:p>
        </w:tc>
        <w:tc>
          <w:tcPr>
            <w:tcW w:w="1264" w:type="pct"/>
            <w:shd w:val="clear" w:color="auto" w:fill="auto"/>
            <w:noWrap/>
            <w:vAlign w:val="center"/>
          </w:tcPr>
          <w:p w14:paraId="411DE5EC">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洛东4号桥往北100米</w:t>
            </w:r>
          </w:p>
        </w:tc>
        <w:tc>
          <w:tcPr>
            <w:tcW w:w="1325" w:type="pct"/>
            <w:shd w:val="clear" w:color="auto" w:fill="auto"/>
            <w:noWrap/>
            <w:vAlign w:val="center"/>
          </w:tcPr>
          <w:p w14:paraId="561796A5">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思古桥</w:t>
            </w:r>
          </w:p>
        </w:tc>
        <w:tc>
          <w:tcPr>
            <w:tcW w:w="408" w:type="pct"/>
            <w:shd w:val="clear" w:color="auto" w:fill="auto"/>
            <w:noWrap/>
            <w:vAlign w:val="center"/>
          </w:tcPr>
          <w:p w14:paraId="2E4A2B49">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22.232</w:t>
            </w:r>
          </w:p>
        </w:tc>
        <w:tc>
          <w:tcPr>
            <w:tcW w:w="408" w:type="pct"/>
            <w:shd w:val="clear" w:color="auto" w:fill="auto"/>
            <w:noWrap/>
            <w:vAlign w:val="center"/>
          </w:tcPr>
          <w:p w14:paraId="20CCCF15">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24.759</w:t>
            </w:r>
          </w:p>
        </w:tc>
        <w:tc>
          <w:tcPr>
            <w:tcW w:w="408" w:type="pct"/>
            <w:shd w:val="clear" w:color="auto" w:fill="auto"/>
            <w:noWrap/>
            <w:vAlign w:val="center"/>
          </w:tcPr>
          <w:p w14:paraId="2B6572C5">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2.527</w:t>
            </w:r>
          </w:p>
        </w:tc>
      </w:tr>
      <w:tr w14:paraId="56B6D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286" w:type="pct"/>
            <w:shd w:val="clear" w:color="auto" w:fill="auto"/>
            <w:noWrap/>
            <w:vAlign w:val="center"/>
          </w:tcPr>
          <w:p w14:paraId="7BF17ED3">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X305</w:t>
            </w:r>
          </w:p>
        </w:tc>
        <w:tc>
          <w:tcPr>
            <w:tcW w:w="897" w:type="pct"/>
            <w:shd w:val="clear" w:color="auto" w:fill="auto"/>
            <w:noWrap/>
            <w:vAlign w:val="center"/>
          </w:tcPr>
          <w:p w14:paraId="23286F4F">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嘉兴-新塍</w:t>
            </w:r>
          </w:p>
        </w:tc>
        <w:tc>
          <w:tcPr>
            <w:tcW w:w="1264" w:type="pct"/>
            <w:shd w:val="clear" w:color="auto" w:fill="auto"/>
            <w:noWrap/>
            <w:vAlign w:val="center"/>
          </w:tcPr>
          <w:p w14:paraId="1E10E54C">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平桥往东300米</w:t>
            </w:r>
          </w:p>
        </w:tc>
        <w:tc>
          <w:tcPr>
            <w:tcW w:w="1325" w:type="pct"/>
            <w:shd w:val="clear" w:color="auto" w:fill="auto"/>
            <w:noWrap/>
            <w:vAlign w:val="center"/>
          </w:tcPr>
          <w:p w14:paraId="16F5AB1F">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万兴桥（含12.36m）</w:t>
            </w:r>
          </w:p>
        </w:tc>
        <w:tc>
          <w:tcPr>
            <w:tcW w:w="408" w:type="pct"/>
            <w:shd w:val="clear" w:color="auto" w:fill="auto"/>
            <w:noWrap/>
            <w:vAlign w:val="center"/>
          </w:tcPr>
          <w:p w14:paraId="3771F594">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1.2</w:t>
            </w:r>
          </w:p>
        </w:tc>
        <w:tc>
          <w:tcPr>
            <w:tcW w:w="408" w:type="pct"/>
            <w:shd w:val="clear" w:color="auto" w:fill="auto"/>
            <w:noWrap/>
            <w:vAlign w:val="center"/>
          </w:tcPr>
          <w:p w14:paraId="1B58B715">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8.193</w:t>
            </w:r>
          </w:p>
        </w:tc>
        <w:tc>
          <w:tcPr>
            <w:tcW w:w="408" w:type="pct"/>
            <w:shd w:val="clear" w:color="auto" w:fill="auto"/>
            <w:noWrap/>
            <w:vAlign w:val="center"/>
          </w:tcPr>
          <w:p w14:paraId="6D22AE33">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6.993</w:t>
            </w:r>
          </w:p>
        </w:tc>
      </w:tr>
      <w:tr w14:paraId="04E1E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286" w:type="pct"/>
            <w:shd w:val="clear" w:color="auto" w:fill="auto"/>
            <w:noWrap/>
            <w:vAlign w:val="center"/>
          </w:tcPr>
          <w:p w14:paraId="1AAFDA1E">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X306</w:t>
            </w:r>
          </w:p>
        </w:tc>
        <w:tc>
          <w:tcPr>
            <w:tcW w:w="897" w:type="pct"/>
            <w:shd w:val="clear" w:color="auto" w:fill="auto"/>
            <w:noWrap/>
            <w:vAlign w:val="center"/>
          </w:tcPr>
          <w:p w14:paraId="6D8A267E">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新塍-盛泽</w:t>
            </w:r>
          </w:p>
        </w:tc>
        <w:tc>
          <w:tcPr>
            <w:tcW w:w="1264" w:type="pct"/>
            <w:shd w:val="clear" w:color="auto" w:fill="auto"/>
            <w:noWrap/>
            <w:vAlign w:val="center"/>
          </w:tcPr>
          <w:p w14:paraId="0123991D">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景建桥</w:t>
            </w:r>
          </w:p>
        </w:tc>
        <w:tc>
          <w:tcPr>
            <w:tcW w:w="1325" w:type="pct"/>
            <w:shd w:val="clear" w:color="auto" w:fill="auto"/>
            <w:noWrap/>
            <w:vAlign w:val="center"/>
          </w:tcPr>
          <w:p w14:paraId="53AC7A0E">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盛泽</w:t>
            </w:r>
          </w:p>
        </w:tc>
        <w:tc>
          <w:tcPr>
            <w:tcW w:w="408" w:type="pct"/>
            <w:shd w:val="clear" w:color="auto" w:fill="auto"/>
            <w:noWrap/>
            <w:vAlign w:val="center"/>
          </w:tcPr>
          <w:p w14:paraId="172D8D4E">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0.957</w:t>
            </w:r>
          </w:p>
        </w:tc>
        <w:tc>
          <w:tcPr>
            <w:tcW w:w="408" w:type="pct"/>
            <w:shd w:val="clear" w:color="auto" w:fill="auto"/>
            <w:noWrap/>
            <w:vAlign w:val="center"/>
          </w:tcPr>
          <w:p w14:paraId="02C6614E">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7.476</w:t>
            </w:r>
          </w:p>
        </w:tc>
        <w:tc>
          <w:tcPr>
            <w:tcW w:w="408" w:type="pct"/>
            <w:shd w:val="clear" w:color="auto" w:fill="auto"/>
            <w:noWrap/>
            <w:vAlign w:val="center"/>
          </w:tcPr>
          <w:p w14:paraId="7DA3DC23">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6.519</w:t>
            </w:r>
          </w:p>
        </w:tc>
      </w:tr>
      <w:tr w14:paraId="3322D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286" w:type="pct"/>
            <w:shd w:val="clear" w:color="auto" w:fill="auto"/>
            <w:noWrap/>
            <w:vAlign w:val="center"/>
          </w:tcPr>
          <w:p w14:paraId="27C7F168">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X308</w:t>
            </w:r>
          </w:p>
        </w:tc>
        <w:tc>
          <w:tcPr>
            <w:tcW w:w="897" w:type="pct"/>
            <w:shd w:val="clear" w:color="auto" w:fill="auto"/>
            <w:noWrap/>
            <w:vAlign w:val="center"/>
          </w:tcPr>
          <w:p w14:paraId="5F109EBE">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王江泾-黎里</w:t>
            </w:r>
          </w:p>
        </w:tc>
        <w:tc>
          <w:tcPr>
            <w:tcW w:w="1264" w:type="pct"/>
            <w:shd w:val="clear" w:color="auto" w:fill="auto"/>
            <w:noWrap/>
            <w:vAlign w:val="center"/>
          </w:tcPr>
          <w:p w14:paraId="4AA9F498">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建汾线交界口</w:t>
            </w:r>
          </w:p>
        </w:tc>
        <w:tc>
          <w:tcPr>
            <w:tcW w:w="1325" w:type="pct"/>
            <w:shd w:val="clear" w:color="auto" w:fill="auto"/>
            <w:noWrap/>
            <w:vAlign w:val="center"/>
          </w:tcPr>
          <w:p w14:paraId="2ED0E102">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黎里</w:t>
            </w:r>
          </w:p>
        </w:tc>
        <w:tc>
          <w:tcPr>
            <w:tcW w:w="408" w:type="pct"/>
            <w:shd w:val="clear" w:color="auto" w:fill="auto"/>
            <w:noWrap/>
            <w:vAlign w:val="center"/>
          </w:tcPr>
          <w:p w14:paraId="5797D795">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2.821</w:t>
            </w:r>
          </w:p>
        </w:tc>
        <w:tc>
          <w:tcPr>
            <w:tcW w:w="408" w:type="pct"/>
            <w:shd w:val="clear" w:color="auto" w:fill="auto"/>
            <w:noWrap/>
            <w:vAlign w:val="center"/>
          </w:tcPr>
          <w:p w14:paraId="21EED7F5">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14.235</w:t>
            </w:r>
          </w:p>
        </w:tc>
        <w:tc>
          <w:tcPr>
            <w:tcW w:w="408" w:type="pct"/>
            <w:shd w:val="clear" w:color="auto" w:fill="auto"/>
            <w:noWrap/>
            <w:vAlign w:val="center"/>
          </w:tcPr>
          <w:p w14:paraId="0F941AB1">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11.414</w:t>
            </w:r>
          </w:p>
        </w:tc>
      </w:tr>
      <w:tr w14:paraId="31097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286" w:type="pct"/>
            <w:vMerge w:val="restart"/>
            <w:shd w:val="clear" w:color="auto" w:fill="auto"/>
            <w:noWrap/>
            <w:vAlign w:val="center"/>
          </w:tcPr>
          <w:p w14:paraId="30A7070A">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X309</w:t>
            </w:r>
          </w:p>
        </w:tc>
        <w:tc>
          <w:tcPr>
            <w:tcW w:w="897" w:type="pct"/>
            <w:vMerge w:val="restart"/>
            <w:shd w:val="clear" w:color="auto" w:fill="auto"/>
            <w:noWrap/>
            <w:vAlign w:val="center"/>
          </w:tcPr>
          <w:p w14:paraId="733B04C1">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建有-汾玉</w:t>
            </w:r>
          </w:p>
        </w:tc>
        <w:tc>
          <w:tcPr>
            <w:tcW w:w="1264" w:type="pct"/>
            <w:shd w:val="clear" w:color="auto" w:fill="auto"/>
            <w:noWrap/>
            <w:vAlign w:val="center"/>
          </w:tcPr>
          <w:p w14:paraId="4AECA5F3">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建有村</w:t>
            </w:r>
          </w:p>
        </w:tc>
        <w:tc>
          <w:tcPr>
            <w:tcW w:w="1325" w:type="pct"/>
            <w:shd w:val="clear" w:color="auto" w:fill="auto"/>
            <w:noWrap/>
            <w:vAlign w:val="center"/>
          </w:tcPr>
          <w:p w14:paraId="2903A808">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大中桥（含41.3m）</w:t>
            </w:r>
          </w:p>
        </w:tc>
        <w:tc>
          <w:tcPr>
            <w:tcW w:w="408" w:type="pct"/>
            <w:shd w:val="clear" w:color="auto" w:fill="auto"/>
            <w:noWrap/>
            <w:vAlign w:val="center"/>
          </w:tcPr>
          <w:p w14:paraId="3F2DAE84">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0</w:t>
            </w:r>
          </w:p>
        </w:tc>
        <w:tc>
          <w:tcPr>
            <w:tcW w:w="408" w:type="pct"/>
            <w:shd w:val="clear" w:color="auto" w:fill="auto"/>
            <w:noWrap/>
            <w:vAlign w:val="center"/>
          </w:tcPr>
          <w:p w14:paraId="1586738C">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5.82</w:t>
            </w:r>
          </w:p>
        </w:tc>
        <w:tc>
          <w:tcPr>
            <w:tcW w:w="408" w:type="pct"/>
            <w:shd w:val="clear" w:color="auto" w:fill="auto"/>
            <w:noWrap/>
            <w:vAlign w:val="center"/>
          </w:tcPr>
          <w:p w14:paraId="1F220DDA">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5.82</w:t>
            </w:r>
          </w:p>
        </w:tc>
      </w:tr>
      <w:tr w14:paraId="4F5D0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286" w:type="pct"/>
            <w:vMerge w:val="continue"/>
            <w:shd w:val="clear" w:color="auto" w:fill="auto"/>
            <w:noWrap/>
            <w:vAlign w:val="center"/>
          </w:tcPr>
          <w:p w14:paraId="31588DBD">
            <w:pPr>
              <w:widowControl/>
              <w:spacing w:after="60" w:afterLines="25" w:line="360" w:lineRule="exact"/>
              <w:jc w:val="center"/>
              <w:rPr>
                <w:rFonts w:hint="eastAsia" w:ascii="宋体" w:hAnsi="宋体" w:eastAsia="宋体" w:cs="宋体"/>
                <w:color w:val="000000"/>
                <w:kern w:val="0"/>
                <w:sz w:val="24"/>
                <w:szCs w:val="24"/>
              </w:rPr>
            </w:pPr>
          </w:p>
        </w:tc>
        <w:tc>
          <w:tcPr>
            <w:tcW w:w="897" w:type="pct"/>
            <w:vMerge w:val="continue"/>
            <w:shd w:val="clear" w:color="auto" w:fill="auto"/>
            <w:noWrap/>
            <w:vAlign w:val="center"/>
          </w:tcPr>
          <w:p w14:paraId="06814788">
            <w:pPr>
              <w:widowControl/>
              <w:spacing w:after="60" w:afterLines="25" w:line="360" w:lineRule="exact"/>
              <w:jc w:val="center"/>
              <w:rPr>
                <w:rFonts w:hint="eastAsia" w:ascii="宋体" w:hAnsi="宋体" w:eastAsia="宋体" w:cs="宋体"/>
                <w:color w:val="000000"/>
                <w:kern w:val="0"/>
                <w:sz w:val="24"/>
                <w:szCs w:val="24"/>
              </w:rPr>
            </w:pPr>
          </w:p>
        </w:tc>
        <w:tc>
          <w:tcPr>
            <w:tcW w:w="1264" w:type="pct"/>
            <w:shd w:val="clear" w:color="auto" w:fill="auto"/>
            <w:noWrap/>
            <w:vAlign w:val="center"/>
          </w:tcPr>
          <w:p w14:paraId="696E6C15">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与村道建汾线-小双圩C125交界</w:t>
            </w:r>
          </w:p>
        </w:tc>
        <w:tc>
          <w:tcPr>
            <w:tcW w:w="1325" w:type="pct"/>
            <w:shd w:val="clear" w:color="auto" w:fill="auto"/>
            <w:noWrap/>
            <w:vAlign w:val="center"/>
          </w:tcPr>
          <w:p w14:paraId="0BFF81B5">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汾玉</w:t>
            </w:r>
          </w:p>
        </w:tc>
        <w:tc>
          <w:tcPr>
            <w:tcW w:w="408" w:type="pct"/>
            <w:shd w:val="clear" w:color="auto" w:fill="auto"/>
            <w:noWrap/>
            <w:vAlign w:val="center"/>
          </w:tcPr>
          <w:p w14:paraId="030A70BA">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7.5</w:t>
            </w:r>
          </w:p>
        </w:tc>
        <w:tc>
          <w:tcPr>
            <w:tcW w:w="408" w:type="pct"/>
            <w:shd w:val="clear" w:color="auto" w:fill="auto"/>
            <w:noWrap/>
            <w:vAlign w:val="center"/>
          </w:tcPr>
          <w:p w14:paraId="42571094">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11.461</w:t>
            </w:r>
          </w:p>
        </w:tc>
        <w:tc>
          <w:tcPr>
            <w:tcW w:w="408" w:type="pct"/>
            <w:shd w:val="clear" w:color="auto" w:fill="auto"/>
            <w:noWrap/>
            <w:vAlign w:val="center"/>
          </w:tcPr>
          <w:p w14:paraId="02C7E0A2">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3.961</w:t>
            </w:r>
          </w:p>
        </w:tc>
      </w:tr>
      <w:tr w14:paraId="16059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286" w:type="pct"/>
            <w:vMerge w:val="restart"/>
            <w:shd w:val="clear" w:color="auto" w:fill="auto"/>
            <w:noWrap/>
            <w:vAlign w:val="center"/>
          </w:tcPr>
          <w:p w14:paraId="3D509438">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X310</w:t>
            </w:r>
          </w:p>
        </w:tc>
        <w:tc>
          <w:tcPr>
            <w:tcW w:w="897" w:type="pct"/>
            <w:vMerge w:val="restart"/>
            <w:shd w:val="clear" w:color="auto" w:fill="auto"/>
            <w:noWrap/>
            <w:vAlign w:val="center"/>
          </w:tcPr>
          <w:p w14:paraId="45FD679D">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嘉兴-铜罗</w:t>
            </w:r>
          </w:p>
        </w:tc>
        <w:tc>
          <w:tcPr>
            <w:tcW w:w="1264" w:type="pct"/>
            <w:shd w:val="clear" w:color="auto" w:fill="auto"/>
            <w:noWrap/>
            <w:vAlign w:val="center"/>
          </w:tcPr>
          <w:p w14:paraId="644D58D5">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与规划08省道交界处</w:t>
            </w:r>
          </w:p>
        </w:tc>
        <w:tc>
          <w:tcPr>
            <w:tcW w:w="1325" w:type="pct"/>
            <w:shd w:val="clear" w:color="auto" w:fill="auto"/>
            <w:noWrap/>
            <w:vAlign w:val="center"/>
          </w:tcPr>
          <w:p w14:paraId="0FA58BEC">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思古桥村南</w:t>
            </w:r>
          </w:p>
        </w:tc>
        <w:tc>
          <w:tcPr>
            <w:tcW w:w="408" w:type="pct"/>
            <w:shd w:val="clear" w:color="auto" w:fill="auto"/>
            <w:noWrap/>
            <w:vAlign w:val="center"/>
          </w:tcPr>
          <w:p w14:paraId="102AE40F">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9.549</w:t>
            </w:r>
          </w:p>
        </w:tc>
        <w:tc>
          <w:tcPr>
            <w:tcW w:w="408" w:type="pct"/>
            <w:shd w:val="clear" w:color="auto" w:fill="auto"/>
            <w:noWrap/>
            <w:vAlign w:val="center"/>
          </w:tcPr>
          <w:p w14:paraId="37069800">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10.41</w:t>
            </w:r>
          </w:p>
        </w:tc>
        <w:tc>
          <w:tcPr>
            <w:tcW w:w="408" w:type="pct"/>
            <w:shd w:val="clear" w:color="auto" w:fill="auto"/>
            <w:noWrap/>
            <w:vAlign w:val="center"/>
          </w:tcPr>
          <w:p w14:paraId="58A71C0D">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0.861</w:t>
            </w:r>
          </w:p>
        </w:tc>
      </w:tr>
      <w:tr w14:paraId="77ECE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286" w:type="pct"/>
            <w:vMerge w:val="continue"/>
            <w:shd w:val="clear" w:color="auto" w:fill="auto"/>
            <w:noWrap/>
            <w:vAlign w:val="center"/>
          </w:tcPr>
          <w:p w14:paraId="6BFA7E45">
            <w:pPr>
              <w:widowControl/>
              <w:spacing w:after="60" w:afterLines="25" w:line="360" w:lineRule="exact"/>
              <w:jc w:val="center"/>
              <w:rPr>
                <w:rFonts w:hint="eastAsia" w:ascii="宋体" w:hAnsi="宋体" w:eastAsia="宋体" w:cs="宋体"/>
                <w:color w:val="000000"/>
                <w:kern w:val="0"/>
                <w:sz w:val="24"/>
                <w:szCs w:val="24"/>
              </w:rPr>
            </w:pPr>
          </w:p>
        </w:tc>
        <w:tc>
          <w:tcPr>
            <w:tcW w:w="897" w:type="pct"/>
            <w:vMerge w:val="continue"/>
            <w:shd w:val="clear" w:color="auto" w:fill="auto"/>
            <w:noWrap/>
            <w:vAlign w:val="center"/>
          </w:tcPr>
          <w:p w14:paraId="31E3BB2E">
            <w:pPr>
              <w:widowControl/>
              <w:spacing w:after="60" w:afterLines="25" w:line="360" w:lineRule="exact"/>
              <w:jc w:val="center"/>
              <w:rPr>
                <w:rFonts w:hint="eastAsia" w:ascii="宋体" w:hAnsi="宋体" w:eastAsia="宋体" w:cs="宋体"/>
                <w:color w:val="000000"/>
                <w:kern w:val="0"/>
                <w:sz w:val="24"/>
                <w:szCs w:val="24"/>
              </w:rPr>
            </w:pPr>
          </w:p>
        </w:tc>
        <w:tc>
          <w:tcPr>
            <w:tcW w:w="1264" w:type="pct"/>
            <w:shd w:val="clear" w:color="auto" w:fill="auto"/>
            <w:noWrap/>
            <w:vAlign w:val="center"/>
          </w:tcPr>
          <w:p w14:paraId="5DD07491">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国道524交叉口</w:t>
            </w:r>
          </w:p>
        </w:tc>
        <w:tc>
          <w:tcPr>
            <w:tcW w:w="1325" w:type="pct"/>
            <w:shd w:val="clear" w:color="auto" w:fill="auto"/>
            <w:noWrap/>
            <w:vAlign w:val="center"/>
          </w:tcPr>
          <w:p w14:paraId="13D51C7F">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思古桥村</w:t>
            </w:r>
          </w:p>
        </w:tc>
        <w:tc>
          <w:tcPr>
            <w:tcW w:w="408" w:type="pct"/>
            <w:shd w:val="clear" w:color="auto" w:fill="auto"/>
            <w:noWrap/>
            <w:vAlign w:val="center"/>
          </w:tcPr>
          <w:p w14:paraId="350846C9">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12.637</w:t>
            </w:r>
          </w:p>
        </w:tc>
        <w:tc>
          <w:tcPr>
            <w:tcW w:w="408" w:type="pct"/>
            <w:shd w:val="clear" w:color="auto" w:fill="auto"/>
            <w:noWrap/>
            <w:vAlign w:val="center"/>
          </w:tcPr>
          <w:p w14:paraId="211473C4">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13.549</w:t>
            </w:r>
          </w:p>
        </w:tc>
        <w:tc>
          <w:tcPr>
            <w:tcW w:w="408" w:type="pct"/>
            <w:shd w:val="clear" w:color="auto" w:fill="auto"/>
            <w:noWrap/>
            <w:vAlign w:val="center"/>
          </w:tcPr>
          <w:p w14:paraId="5A1DA531">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0.912</w:t>
            </w:r>
          </w:p>
        </w:tc>
      </w:tr>
      <w:tr w14:paraId="6A29C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286" w:type="pct"/>
            <w:vMerge w:val="restart"/>
            <w:shd w:val="clear" w:color="auto" w:fill="auto"/>
            <w:noWrap/>
            <w:vAlign w:val="center"/>
          </w:tcPr>
          <w:p w14:paraId="2878290D">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X313</w:t>
            </w:r>
          </w:p>
        </w:tc>
        <w:tc>
          <w:tcPr>
            <w:tcW w:w="897" w:type="pct"/>
            <w:vMerge w:val="restart"/>
            <w:shd w:val="clear" w:color="auto" w:fill="auto"/>
            <w:noWrap/>
            <w:vAlign w:val="center"/>
          </w:tcPr>
          <w:p w14:paraId="1FEDF354">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洛东-油车港</w:t>
            </w:r>
          </w:p>
        </w:tc>
        <w:tc>
          <w:tcPr>
            <w:tcW w:w="1264" w:type="pct"/>
            <w:shd w:val="clear" w:color="auto" w:fill="auto"/>
            <w:noWrap/>
            <w:vAlign w:val="center"/>
          </w:tcPr>
          <w:p w14:paraId="77C777B5">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民合</w:t>
            </w:r>
          </w:p>
        </w:tc>
        <w:tc>
          <w:tcPr>
            <w:tcW w:w="1325" w:type="pct"/>
            <w:shd w:val="clear" w:color="auto" w:fill="auto"/>
            <w:noWrap/>
            <w:vAlign w:val="center"/>
          </w:tcPr>
          <w:p w14:paraId="00A5EDC6">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国道524交叉口</w:t>
            </w:r>
          </w:p>
        </w:tc>
        <w:tc>
          <w:tcPr>
            <w:tcW w:w="408" w:type="pct"/>
            <w:shd w:val="clear" w:color="auto" w:fill="auto"/>
            <w:noWrap/>
            <w:vAlign w:val="center"/>
          </w:tcPr>
          <w:p w14:paraId="73654B0F">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0</w:t>
            </w:r>
          </w:p>
        </w:tc>
        <w:tc>
          <w:tcPr>
            <w:tcW w:w="408" w:type="pct"/>
            <w:shd w:val="clear" w:color="auto" w:fill="auto"/>
            <w:noWrap/>
            <w:vAlign w:val="center"/>
          </w:tcPr>
          <w:p w14:paraId="1256E57C">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6.4</w:t>
            </w:r>
          </w:p>
        </w:tc>
        <w:tc>
          <w:tcPr>
            <w:tcW w:w="408" w:type="pct"/>
            <w:shd w:val="clear" w:color="auto" w:fill="auto"/>
            <w:noWrap/>
            <w:vAlign w:val="center"/>
          </w:tcPr>
          <w:p w14:paraId="363DC9B3">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6.4</w:t>
            </w:r>
          </w:p>
        </w:tc>
      </w:tr>
      <w:tr w14:paraId="580FB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286" w:type="pct"/>
            <w:vMerge w:val="continue"/>
            <w:shd w:val="clear" w:color="auto" w:fill="auto"/>
            <w:noWrap/>
            <w:vAlign w:val="center"/>
          </w:tcPr>
          <w:p w14:paraId="556504E3">
            <w:pPr>
              <w:widowControl/>
              <w:spacing w:after="60" w:afterLines="25" w:line="360" w:lineRule="exact"/>
              <w:jc w:val="center"/>
              <w:rPr>
                <w:rFonts w:hint="eastAsia" w:ascii="宋体" w:hAnsi="宋体" w:eastAsia="宋体" w:cs="宋体"/>
                <w:color w:val="000000"/>
                <w:kern w:val="0"/>
                <w:sz w:val="24"/>
                <w:szCs w:val="24"/>
              </w:rPr>
            </w:pPr>
          </w:p>
        </w:tc>
        <w:tc>
          <w:tcPr>
            <w:tcW w:w="897" w:type="pct"/>
            <w:vMerge w:val="continue"/>
            <w:shd w:val="clear" w:color="auto" w:fill="auto"/>
            <w:noWrap/>
            <w:vAlign w:val="center"/>
          </w:tcPr>
          <w:p w14:paraId="7C82BD45">
            <w:pPr>
              <w:widowControl/>
              <w:spacing w:after="60" w:afterLines="25" w:line="360" w:lineRule="exact"/>
              <w:jc w:val="center"/>
              <w:rPr>
                <w:rFonts w:hint="eastAsia" w:ascii="宋体" w:hAnsi="宋体" w:eastAsia="宋体" w:cs="宋体"/>
                <w:color w:val="000000"/>
                <w:kern w:val="0"/>
                <w:sz w:val="24"/>
                <w:szCs w:val="24"/>
              </w:rPr>
            </w:pPr>
          </w:p>
        </w:tc>
        <w:tc>
          <w:tcPr>
            <w:tcW w:w="1264" w:type="pct"/>
            <w:shd w:val="clear" w:color="auto" w:fill="auto"/>
            <w:noWrap/>
            <w:vAlign w:val="center"/>
          </w:tcPr>
          <w:p w14:paraId="0632A5B8">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C239</w:t>
            </w:r>
          </w:p>
        </w:tc>
        <w:tc>
          <w:tcPr>
            <w:tcW w:w="1325" w:type="pct"/>
            <w:shd w:val="clear" w:color="auto" w:fill="auto"/>
            <w:noWrap/>
            <w:vAlign w:val="center"/>
          </w:tcPr>
          <w:p w14:paraId="26C9978A">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烂木桥（不含）</w:t>
            </w:r>
          </w:p>
        </w:tc>
        <w:tc>
          <w:tcPr>
            <w:tcW w:w="408" w:type="pct"/>
            <w:shd w:val="clear" w:color="auto" w:fill="auto"/>
            <w:noWrap/>
            <w:vAlign w:val="center"/>
          </w:tcPr>
          <w:p w14:paraId="1E15FC4B">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 xml:space="preserve">30.298 </w:t>
            </w:r>
          </w:p>
        </w:tc>
        <w:tc>
          <w:tcPr>
            <w:tcW w:w="408" w:type="pct"/>
            <w:shd w:val="clear" w:color="auto" w:fill="auto"/>
            <w:noWrap/>
            <w:vAlign w:val="center"/>
          </w:tcPr>
          <w:p w14:paraId="76B80627">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 xml:space="preserve">31.043 </w:t>
            </w:r>
          </w:p>
        </w:tc>
        <w:tc>
          <w:tcPr>
            <w:tcW w:w="408" w:type="pct"/>
            <w:shd w:val="clear" w:color="auto" w:fill="auto"/>
            <w:noWrap/>
            <w:vAlign w:val="center"/>
          </w:tcPr>
          <w:p w14:paraId="22E7ECC3">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0.745</w:t>
            </w:r>
          </w:p>
        </w:tc>
      </w:tr>
      <w:tr w14:paraId="05C3B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286" w:type="pct"/>
            <w:shd w:val="clear" w:color="auto" w:fill="auto"/>
            <w:noWrap/>
            <w:vAlign w:val="center"/>
          </w:tcPr>
          <w:p w14:paraId="67B16905">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X314</w:t>
            </w:r>
          </w:p>
        </w:tc>
        <w:tc>
          <w:tcPr>
            <w:tcW w:w="897" w:type="pct"/>
            <w:shd w:val="clear" w:color="auto" w:fill="auto"/>
            <w:noWrap/>
            <w:vAlign w:val="center"/>
          </w:tcPr>
          <w:p w14:paraId="7510E389">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建设-濮院</w:t>
            </w:r>
          </w:p>
        </w:tc>
        <w:tc>
          <w:tcPr>
            <w:tcW w:w="1264" w:type="pct"/>
            <w:shd w:val="clear" w:color="auto" w:fill="auto"/>
            <w:noWrap/>
            <w:vAlign w:val="center"/>
          </w:tcPr>
          <w:p w14:paraId="5EA5CFD5">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X301</w:t>
            </w:r>
          </w:p>
        </w:tc>
        <w:tc>
          <w:tcPr>
            <w:tcW w:w="1325" w:type="pct"/>
            <w:shd w:val="clear" w:color="auto" w:fill="auto"/>
            <w:noWrap/>
            <w:vAlign w:val="center"/>
          </w:tcPr>
          <w:p w14:paraId="7CE8F867">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三官塘桥北桥坡（含桥梁39.8m）</w:t>
            </w:r>
          </w:p>
        </w:tc>
        <w:tc>
          <w:tcPr>
            <w:tcW w:w="408" w:type="pct"/>
            <w:shd w:val="clear" w:color="auto" w:fill="auto"/>
            <w:noWrap/>
            <w:vAlign w:val="center"/>
          </w:tcPr>
          <w:p w14:paraId="5CCAB4F9">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0</w:t>
            </w:r>
          </w:p>
        </w:tc>
        <w:tc>
          <w:tcPr>
            <w:tcW w:w="408" w:type="pct"/>
            <w:shd w:val="clear" w:color="auto" w:fill="auto"/>
            <w:noWrap/>
            <w:vAlign w:val="center"/>
          </w:tcPr>
          <w:p w14:paraId="1C714F92">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5.887</w:t>
            </w:r>
          </w:p>
        </w:tc>
        <w:tc>
          <w:tcPr>
            <w:tcW w:w="408" w:type="pct"/>
            <w:shd w:val="clear" w:color="auto" w:fill="auto"/>
            <w:noWrap/>
            <w:vAlign w:val="center"/>
          </w:tcPr>
          <w:p w14:paraId="6AEB50A3">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5.887</w:t>
            </w:r>
          </w:p>
        </w:tc>
      </w:tr>
      <w:tr w14:paraId="7984F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286" w:type="pct"/>
            <w:shd w:val="clear" w:color="auto" w:fill="auto"/>
            <w:noWrap/>
            <w:vAlign w:val="center"/>
          </w:tcPr>
          <w:p w14:paraId="21997EF8">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X315</w:t>
            </w:r>
          </w:p>
        </w:tc>
        <w:tc>
          <w:tcPr>
            <w:tcW w:w="897" w:type="pct"/>
            <w:shd w:val="clear" w:color="auto" w:fill="auto"/>
            <w:noWrap/>
            <w:vAlign w:val="center"/>
          </w:tcPr>
          <w:p w14:paraId="5A3D1BE9">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嘉海线-嘉绍高速公路</w:t>
            </w:r>
          </w:p>
        </w:tc>
        <w:tc>
          <w:tcPr>
            <w:tcW w:w="1264" w:type="pct"/>
            <w:shd w:val="clear" w:color="auto" w:fill="auto"/>
            <w:noWrap/>
            <w:vAlign w:val="center"/>
          </w:tcPr>
          <w:p w14:paraId="06D362A5">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许家桥</w:t>
            </w:r>
          </w:p>
        </w:tc>
        <w:tc>
          <w:tcPr>
            <w:tcW w:w="1325" w:type="pct"/>
            <w:shd w:val="clear" w:color="auto" w:fill="auto"/>
            <w:noWrap/>
            <w:vAlign w:val="center"/>
          </w:tcPr>
          <w:p w14:paraId="090B9679">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南王线</w:t>
            </w:r>
          </w:p>
        </w:tc>
        <w:tc>
          <w:tcPr>
            <w:tcW w:w="408" w:type="pct"/>
            <w:shd w:val="clear" w:color="auto" w:fill="auto"/>
            <w:noWrap/>
            <w:vAlign w:val="center"/>
          </w:tcPr>
          <w:p w14:paraId="5DEF00A1">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2.704</w:t>
            </w:r>
          </w:p>
        </w:tc>
        <w:tc>
          <w:tcPr>
            <w:tcW w:w="408" w:type="pct"/>
            <w:shd w:val="clear" w:color="auto" w:fill="auto"/>
            <w:noWrap/>
            <w:vAlign w:val="center"/>
          </w:tcPr>
          <w:p w14:paraId="64230B89">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4.68</w:t>
            </w:r>
          </w:p>
        </w:tc>
        <w:tc>
          <w:tcPr>
            <w:tcW w:w="408" w:type="pct"/>
            <w:shd w:val="clear" w:color="auto" w:fill="auto"/>
            <w:noWrap/>
            <w:vAlign w:val="center"/>
          </w:tcPr>
          <w:p w14:paraId="6A665653">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1.976</w:t>
            </w:r>
          </w:p>
        </w:tc>
      </w:tr>
      <w:tr w14:paraId="1775F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286" w:type="pct"/>
            <w:vMerge w:val="restart"/>
            <w:shd w:val="clear" w:color="auto" w:fill="auto"/>
            <w:noWrap/>
            <w:vAlign w:val="center"/>
          </w:tcPr>
          <w:p w14:paraId="5073B134">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X316</w:t>
            </w:r>
          </w:p>
        </w:tc>
        <w:tc>
          <w:tcPr>
            <w:tcW w:w="897" w:type="pct"/>
            <w:vMerge w:val="restart"/>
            <w:shd w:val="clear" w:color="auto" w:fill="auto"/>
            <w:noWrap/>
            <w:vAlign w:val="center"/>
          </w:tcPr>
          <w:p w14:paraId="40F45855">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新塍-杨庙</w:t>
            </w:r>
          </w:p>
        </w:tc>
        <w:tc>
          <w:tcPr>
            <w:tcW w:w="1264" w:type="pct"/>
            <w:shd w:val="clear" w:color="auto" w:fill="auto"/>
            <w:noWrap/>
            <w:vAlign w:val="center"/>
          </w:tcPr>
          <w:p w14:paraId="68AD89D5">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嘉新线</w:t>
            </w:r>
          </w:p>
        </w:tc>
        <w:tc>
          <w:tcPr>
            <w:tcW w:w="1325" w:type="pct"/>
            <w:shd w:val="clear" w:color="auto" w:fill="auto"/>
            <w:noWrap/>
            <w:vAlign w:val="center"/>
          </w:tcPr>
          <w:p w14:paraId="1E6DC49A">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喇叭塘桥</w:t>
            </w:r>
          </w:p>
        </w:tc>
        <w:tc>
          <w:tcPr>
            <w:tcW w:w="408" w:type="pct"/>
            <w:shd w:val="clear" w:color="auto" w:fill="auto"/>
            <w:noWrap/>
            <w:vAlign w:val="center"/>
          </w:tcPr>
          <w:p w14:paraId="05A44BAE">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0</w:t>
            </w:r>
          </w:p>
        </w:tc>
        <w:tc>
          <w:tcPr>
            <w:tcW w:w="408" w:type="pct"/>
            <w:shd w:val="clear" w:color="auto" w:fill="auto"/>
            <w:noWrap/>
            <w:vAlign w:val="center"/>
          </w:tcPr>
          <w:p w14:paraId="3A1E46FC">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2.284</w:t>
            </w:r>
          </w:p>
        </w:tc>
        <w:tc>
          <w:tcPr>
            <w:tcW w:w="408" w:type="pct"/>
            <w:shd w:val="clear" w:color="auto" w:fill="auto"/>
            <w:noWrap/>
            <w:vAlign w:val="center"/>
          </w:tcPr>
          <w:p w14:paraId="2091F241">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2.284</w:t>
            </w:r>
          </w:p>
        </w:tc>
      </w:tr>
      <w:tr w14:paraId="12293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286" w:type="pct"/>
            <w:vMerge w:val="continue"/>
            <w:shd w:val="clear" w:color="auto" w:fill="auto"/>
            <w:noWrap/>
            <w:vAlign w:val="center"/>
          </w:tcPr>
          <w:p w14:paraId="2D2B787C">
            <w:pPr>
              <w:widowControl/>
              <w:spacing w:after="60" w:afterLines="25" w:line="360" w:lineRule="exact"/>
              <w:jc w:val="center"/>
              <w:rPr>
                <w:rFonts w:hint="eastAsia" w:ascii="宋体" w:hAnsi="宋体" w:eastAsia="宋体" w:cs="宋体"/>
                <w:color w:val="000000"/>
                <w:kern w:val="0"/>
                <w:sz w:val="24"/>
                <w:szCs w:val="24"/>
              </w:rPr>
            </w:pPr>
          </w:p>
        </w:tc>
        <w:tc>
          <w:tcPr>
            <w:tcW w:w="897" w:type="pct"/>
            <w:vMerge w:val="continue"/>
            <w:shd w:val="clear" w:color="auto" w:fill="auto"/>
            <w:noWrap/>
            <w:vAlign w:val="center"/>
          </w:tcPr>
          <w:p w14:paraId="69497A22">
            <w:pPr>
              <w:widowControl/>
              <w:spacing w:after="60" w:afterLines="25" w:line="360" w:lineRule="exact"/>
              <w:jc w:val="center"/>
              <w:rPr>
                <w:rFonts w:hint="eastAsia" w:ascii="宋体" w:hAnsi="宋体" w:eastAsia="宋体" w:cs="宋体"/>
                <w:color w:val="000000"/>
                <w:kern w:val="0"/>
                <w:sz w:val="24"/>
                <w:szCs w:val="24"/>
              </w:rPr>
            </w:pPr>
          </w:p>
        </w:tc>
        <w:tc>
          <w:tcPr>
            <w:tcW w:w="1264" w:type="pct"/>
            <w:shd w:val="clear" w:color="auto" w:fill="auto"/>
            <w:noWrap/>
            <w:vAlign w:val="center"/>
          </w:tcPr>
          <w:p w14:paraId="6162409A">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顾家家居</w:t>
            </w:r>
          </w:p>
        </w:tc>
        <w:tc>
          <w:tcPr>
            <w:tcW w:w="1325" w:type="pct"/>
            <w:shd w:val="clear" w:color="auto" w:fill="auto"/>
            <w:noWrap/>
            <w:vAlign w:val="center"/>
          </w:tcPr>
          <w:p w14:paraId="042E120B">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杨庙</w:t>
            </w:r>
          </w:p>
        </w:tc>
        <w:tc>
          <w:tcPr>
            <w:tcW w:w="408" w:type="pct"/>
            <w:shd w:val="clear" w:color="auto" w:fill="auto"/>
            <w:noWrap/>
            <w:vAlign w:val="center"/>
          </w:tcPr>
          <w:p w14:paraId="45D6734D">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4.299</w:t>
            </w:r>
          </w:p>
        </w:tc>
        <w:tc>
          <w:tcPr>
            <w:tcW w:w="408" w:type="pct"/>
            <w:shd w:val="clear" w:color="auto" w:fill="auto"/>
            <w:noWrap/>
            <w:vAlign w:val="center"/>
          </w:tcPr>
          <w:p w14:paraId="5D040875">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6.99</w:t>
            </w:r>
          </w:p>
        </w:tc>
        <w:tc>
          <w:tcPr>
            <w:tcW w:w="408" w:type="pct"/>
            <w:shd w:val="clear" w:color="auto" w:fill="auto"/>
            <w:noWrap/>
            <w:vAlign w:val="center"/>
          </w:tcPr>
          <w:p w14:paraId="3F99A176">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2.691</w:t>
            </w:r>
          </w:p>
        </w:tc>
      </w:tr>
      <w:tr w14:paraId="2B189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286" w:type="pct"/>
            <w:shd w:val="clear" w:color="auto" w:fill="auto"/>
            <w:noWrap/>
            <w:vAlign w:val="center"/>
          </w:tcPr>
          <w:p w14:paraId="5DE55734">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X317</w:t>
            </w:r>
          </w:p>
        </w:tc>
        <w:tc>
          <w:tcPr>
            <w:tcW w:w="897" w:type="pct"/>
            <w:shd w:val="clear" w:color="auto" w:fill="auto"/>
            <w:noWrap/>
            <w:vAlign w:val="center"/>
          </w:tcPr>
          <w:p w14:paraId="72562916">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油黎公路</w:t>
            </w:r>
          </w:p>
        </w:tc>
        <w:tc>
          <w:tcPr>
            <w:tcW w:w="1264" w:type="pct"/>
            <w:shd w:val="clear" w:color="auto" w:fill="auto"/>
            <w:noWrap/>
            <w:vAlign w:val="center"/>
          </w:tcPr>
          <w:p w14:paraId="033A514A">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俞家桥</w:t>
            </w:r>
          </w:p>
        </w:tc>
        <w:tc>
          <w:tcPr>
            <w:tcW w:w="1325" w:type="pct"/>
            <w:shd w:val="clear" w:color="auto" w:fill="auto"/>
            <w:noWrap/>
            <w:vAlign w:val="center"/>
          </w:tcPr>
          <w:p w14:paraId="21D25DD0">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塔桥</w:t>
            </w:r>
          </w:p>
        </w:tc>
        <w:tc>
          <w:tcPr>
            <w:tcW w:w="408" w:type="pct"/>
            <w:shd w:val="clear" w:color="auto" w:fill="auto"/>
            <w:noWrap/>
            <w:vAlign w:val="center"/>
          </w:tcPr>
          <w:p w14:paraId="4E1EDA21">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11.103</w:t>
            </w:r>
          </w:p>
        </w:tc>
        <w:tc>
          <w:tcPr>
            <w:tcW w:w="408" w:type="pct"/>
            <w:shd w:val="clear" w:color="auto" w:fill="auto"/>
            <w:noWrap/>
            <w:vAlign w:val="center"/>
          </w:tcPr>
          <w:p w14:paraId="3237A5B2">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19.913</w:t>
            </w:r>
          </w:p>
        </w:tc>
        <w:tc>
          <w:tcPr>
            <w:tcW w:w="408" w:type="pct"/>
            <w:shd w:val="clear" w:color="auto" w:fill="auto"/>
            <w:noWrap/>
            <w:vAlign w:val="center"/>
          </w:tcPr>
          <w:p w14:paraId="4BAE7F9F">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8.81</w:t>
            </w:r>
          </w:p>
        </w:tc>
      </w:tr>
      <w:tr w14:paraId="487C7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286" w:type="pct"/>
            <w:shd w:val="clear" w:color="auto" w:fill="auto"/>
            <w:noWrap/>
            <w:vAlign w:val="center"/>
          </w:tcPr>
          <w:p w14:paraId="2419AD69">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X320</w:t>
            </w:r>
          </w:p>
        </w:tc>
        <w:tc>
          <w:tcPr>
            <w:tcW w:w="897" w:type="pct"/>
            <w:shd w:val="clear" w:color="auto" w:fill="auto"/>
            <w:noWrap/>
            <w:vAlign w:val="center"/>
          </w:tcPr>
          <w:p w14:paraId="5D4CDCB0">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320老国道</w:t>
            </w:r>
          </w:p>
        </w:tc>
        <w:tc>
          <w:tcPr>
            <w:tcW w:w="1264" w:type="pct"/>
            <w:shd w:val="clear" w:color="auto" w:fill="auto"/>
            <w:noWrap/>
            <w:vAlign w:val="center"/>
          </w:tcPr>
          <w:p w14:paraId="55F9F126">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青草河</w:t>
            </w:r>
          </w:p>
        </w:tc>
        <w:tc>
          <w:tcPr>
            <w:tcW w:w="1325" w:type="pct"/>
            <w:shd w:val="clear" w:color="auto" w:fill="auto"/>
            <w:noWrap/>
            <w:vAlign w:val="center"/>
          </w:tcPr>
          <w:p w14:paraId="0A583839">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月河桥</w:t>
            </w:r>
          </w:p>
        </w:tc>
        <w:tc>
          <w:tcPr>
            <w:tcW w:w="408" w:type="pct"/>
            <w:shd w:val="clear" w:color="auto" w:fill="auto"/>
            <w:noWrap/>
            <w:vAlign w:val="center"/>
          </w:tcPr>
          <w:p w14:paraId="628F2CD4">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129.619</w:t>
            </w:r>
          </w:p>
        </w:tc>
        <w:tc>
          <w:tcPr>
            <w:tcW w:w="408" w:type="pct"/>
            <w:shd w:val="clear" w:color="auto" w:fill="auto"/>
            <w:noWrap/>
            <w:vAlign w:val="center"/>
          </w:tcPr>
          <w:p w14:paraId="12DF23A8">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135.355</w:t>
            </w:r>
          </w:p>
        </w:tc>
        <w:tc>
          <w:tcPr>
            <w:tcW w:w="408" w:type="pct"/>
            <w:shd w:val="clear" w:color="auto" w:fill="auto"/>
            <w:noWrap/>
            <w:vAlign w:val="center"/>
          </w:tcPr>
          <w:p w14:paraId="274725BC">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5.736</w:t>
            </w:r>
          </w:p>
        </w:tc>
      </w:tr>
      <w:tr w14:paraId="7361D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286" w:type="pct"/>
            <w:shd w:val="clear" w:color="auto" w:fill="auto"/>
            <w:noWrap/>
            <w:vAlign w:val="center"/>
          </w:tcPr>
          <w:p w14:paraId="34241BB0">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X604</w:t>
            </w:r>
          </w:p>
        </w:tc>
        <w:tc>
          <w:tcPr>
            <w:tcW w:w="897" w:type="pct"/>
            <w:shd w:val="clear" w:color="auto" w:fill="auto"/>
            <w:noWrap/>
            <w:vAlign w:val="center"/>
          </w:tcPr>
          <w:p w14:paraId="118378F5">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南北湖-王店</w:t>
            </w:r>
          </w:p>
        </w:tc>
        <w:tc>
          <w:tcPr>
            <w:tcW w:w="1264" w:type="pct"/>
            <w:shd w:val="clear" w:color="auto" w:fill="auto"/>
            <w:noWrap/>
            <w:vAlign w:val="center"/>
          </w:tcPr>
          <w:p w14:paraId="053BE628">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百步胜利</w:t>
            </w:r>
          </w:p>
        </w:tc>
        <w:tc>
          <w:tcPr>
            <w:tcW w:w="1325" w:type="pct"/>
            <w:shd w:val="clear" w:color="auto" w:fill="auto"/>
            <w:noWrap/>
            <w:vAlign w:val="center"/>
          </w:tcPr>
          <w:p w14:paraId="786EE6A7">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花园桥往东290米</w:t>
            </w:r>
          </w:p>
        </w:tc>
        <w:tc>
          <w:tcPr>
            <w:tcW w:w="408" w:type="pct"/>
            <w:shd w:val="clear" w:color="auto" w:fill="auto"/>
            <w:noWrap/>
            <w:vAlign w:val="center"/>
          </w:tcPr>
          <w:p w14:paraId="559173E6">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50.934</w:t>
            </w:r>
          </w:p>
        </w:tc>
        <w:tc>
          <w:tcPr>
            <w:tcW w:w="408" w:type="pct"/>
            <w:shd w:val="clear" w:color="auto" w:fill="auto"/>
            <w:noWrap/>
            <w:vAlign w:val="center"/>
          </w:tcPr>
          <w:p w14:paraId="42B1757E">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53.12</w:t>
            </w:r>
          </w:p>
        </w:tc>
        <w:tc>
          <w:tcPr>
            <w:tcW w:w="408" w:type="pct"/>
            <w:shd w:val="clear" w:color="auto" w:fill="auto"/>
            <w:noWrap/>
            <w:vAlign w:val="center"/>
          </w:tcPr>
          <w:p w14:paraId="468861E1">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2.186</w:t>
            </w:r>
          </w:p>
        </w:tc>
      </w:tr>
      <w:tr w14:paraId="18FC0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286" w:type="pct"/>
            <w:shd w:val="clear" w:color="auto" w:fill="auto"/>
            <w:noWrap/>
            <w:vAlign w:val="center"/>
          </w:tcPr>
          <w:p w14:paraId="27C07560">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X811</w:t>
            </w:r>
          </w:p>
        </w:tc>
        <w:tc>
          <w:tcPr>
            <w:tcW w:w="897" w:type="pct"/>
            <w:shd w:val="clear" w:color="auto" w:fill="auto"/>
            <w:noWrap/>
            <w:vAlign w:val="center"/>
          </w:tcPr>
          <w:p w14:paraId="44B009BB">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乌镇-新塍</w:t>
            </w:r>
          </w:p>
        </w:tc>
        <w:tc>
          <w:tcPr>
            <w:tcW w:w="1264" w:type="pct"/>
            <w:shd w:val="clear" w:color="auto" w:fill="auto"/>
            <w:noWrap/>
            <w:vAlign w:val="center"/>
          </w:tcPr>
          <w:p w14:paraId="466660C7">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新桥东堍</w:t>
            </w:r>
          </w:p>
        </w:tc>
        <w:tc>
          <w:tcPr>
            <w:tcW w:w="1325" w:type="pct"/>
            <w:shd w:val="clear" w:color="auto" w:fill="auto"/>
            <w:noWrap/>
            <w:vAlign w:val="center"/>
          </w:tcPr>
          <w:p w14:paraId="589F7946">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马家浜</w:t>
            </w:r>
          </w:p>
        </w:tc>
        <w:tc>
          <w:tcPr>
            <w:tcW w:w="408" w:type="pct"/>
            <w:shd w:val="clear" w:color="auto" w:fill="auto"/>
            <w:noWrap/>
            <w:vAlign w:val="center"/>
          </w:tcPr>
          <w:p w14:paraId="5351A3CC">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11.344</w:t>
            </w:r>
          </w:p>
        </w:tc>
        <w:tc>
          <w:tcPr>
            <w:tcW w:w="408" w:type="pct"/>
            <w:shd w:val="clear" w:color="auto" w:fill="auto"/>
            <w:noWrap/>
            <w:vAlign w:val="center"/>
          </w:tcPr>
          <w:p w14:paraId="7A5733C6">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15.556</w:t>
            </w:r>
          </w:p>
        </w:tc>
        <w:tc>
          <w:tcPr>
            <w:tcW w:w="408" w:type="pct"/>
            <w:shd w:val="clear" w:color="auto" w:fill="auto"/>
            <w:noWrap/>
            <w:vAlign w:val="center"/>
          </w:tcPr>
          <w:p w14:paraId="6EEF682E">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4.212</w:t>
            </w:r>
          </w:p>
        </w:tc>
      </w:tr>
      <w:tr w14:paraId="1FAF3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286" w:type="pct"/>
            <w:shd w:val="clear" w:color="auto" w:fill="auto"/>
            <w:noWrap/>
            <w:vAlign w:val="center"/>
          </w:tcPr>
          <w:p w14:paraId="5D4A0EF7">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X814</w:t>
            </w:r>
          </w:p>
        </w:tc>
        <w:tc>
          <w:tcPr>
            <w:tcW w:w="897" w:type="pct"/>
            <w:shd w:val="clear" w:color="auto" w:fill="auto"/>
            <w:noWrap/>
            <w:vAlign w:val="center"/>
          </w:tcPr>
          <w:p w14:paraId="072983C6">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濮院-新生</w:t>
            </w:r>
          </w:p>
        </w:tc>
        <w:tc>
          <w:tcPr>
            <w:tcW w:w="1264" w:type="pct"/>
            <w:shd w:val="clear" w:color="auto" w:fill="auto"/>
            <w:noWrap/>
            <w:vAlign w:val="center"/>
          </w:tcPr>
          <w:p w14:paraId="7737C1FC">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新运桥南堍</w:t>
            </w:r>
          </w:p>
        </w:tc>
        <w:tc>
          <w:tcPr>
            <w:tcW w:w="1325" w:type="pct"/>
            <w:shd w:val="clear" w:color="auto" w:fill="auto"/>
            <w:noWrap/>
            <w:vAlign w:val="center"/>
          </w:tcPr>
          <w:p w14:paraId="099BD7AB">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农垦场</w:t>
            </w:r>
          </w:p>
        </w:tc>
        <w:tc>
          <w:tcPr>
            <w:tcW w:w="408" w:type="pct"/>
            <w:shd w:val="clear" w:color="auto" w:fill="auto"/>
            <w:noWrap/>
            <w:vAlign w:val="center"/>
          </w:tcPr>
          <w:p w14:paraId="15578332">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4.216</w:t>
            </w:r>
          </w:p>
        </w:tc>
        <w:tc>
          <w:tcPr>
            <w:tcW w:w="408" w:type="pct"/>
            <w:shd w:val="clear" w:color="auto" w:fill="auto"/>
            <w:noWrap/>
            <w:vAlign w:val="center"/>
          </w:tcPr>
          <w:p w14:paraId="520A1221">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5.556</w:t>
            </w:r>
          </w:p>
        </w:tc>
        <w:tc>
          <w:tcPr>
            <w:tcW w:w="408" w:type="pct"/>
            <w:shd w:val="clear" w:color="auto" w:fill="auto"/>
            <w:noWrap/>
            <w:vAlign w:val="center"/>
          </w:tcPr>
          <w:p w14:paraId="4DCC550B">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1.34</w:t>
            </w:r>
          </w:p>
        </w:tc>
      </w:tr>
      <w:tr w14:paraId="19EAC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2448" w:type="pct"/>
            <w:gridSpan w:val="3"/>
            <w:shd w:val="clear" w:color="auto" w:fill="auto"/>
            <w:noWrap/>
            <w:vAlign w:val="center"/>
          </w:tcPr>
          <w:p w14:paraId="3E2E8108">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劳教所</w:t>
            </w:r>
          </w:p>
        </w:tc>
        <w:tc>
          <w:tcPr>
            <w:tcW w:w="1325" w:type="pct"/>
            <w:shd w:val="clear" w:color="auto" w:fill="auto"/>
            <w:noWrap/>
            <w:vAlign w:val="center"/>
          </w:tcPr>
          <w:p w14:paraId="25781E27">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新小队</w:t>
            </w:r>
          </w:p>
        </w:tc>
        <w:tc>
          <w:tcPr>
            <w:tcW w:w="408" w:type="pct"/>
            <w:shd w:val="clear" w:color="auto" w:fill="auto"/>
            <w:noWrap/>
            <w:vAlign w:val="center"/>
          </w:tcPr>
          <w:p w14:paraId="7A140D27">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 xml:space="preserve">7.692 </w:t>
            </w:r>
          </w:p>
        </w:tc>
        <w:tc>
          <w:tcPr>
            <w:tcW w:w="408" w:type="pct"/>
            <w:shd w:val="clear" w:color="auto" w:fill="auto"/>
            <w:noWrap/>
            <w:vAlign w:val="center"/>
          </w:tcPr>
          <w:p w14:paraId="3A8A74E5">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8.608</w:t>
            </w:r>
          </w:p>
        </w:tc>
        <w:tc>
          <w:tcPr>
            <w:tcW w:w="408" w:type="pct"/>
            <w:shd w:val="clear" w:color="auto" w:fill="auto"/>
            <w:noWrap/>
            <w:vAlign w:val="center"/>
          </w:tcPr>
          <w:p w14:paraId="3B350825">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0.916</w:t>
            </w:r>
          </w:p>
        </w:tc>
      </w:tr>
      <w:tr w14:paraId="6C4CA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591" w:type="pct"/>
            <w:gridSpan w:val="6"/>
            <w:shd w:val="clear" w:color="auto" w:fill="auto"/>
            <w:noWrap/>
            <w:vAlign w:val="center"/>
          </w:tcPr>
          <w:p w14:paraId="65726AEB">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合计</w:t>
            </w:r>
          </w:p>
        </w:tc>
        <w:tc>
          <w:tcPr>
            <w:tcW w:w="408" w:type="pct"/>
            <w:shd w:val="clear" w:color="auto" w:fill="auto"/>
            <w:noWrap/>
            <w:vAlign w:val="center"/>
          </w:tcPr>
          <w:p w14:paraId="3A58F787">
            <w:pPr>
              <w:widowControl/>
              <w:spacing w:after="60" w:afterLines="25" w:line="360" w:lineRule="exact"/>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127.934</w:t>
            </w:r>
          </w:p>
        </w:tc>
      </w:tr>
    </w:tbl>
    <w:p w14:paraId="44CEE603">
      <w:pPr>
        <w:spacing w:before="120" w:beforeLines="50"/>
        <w:ind w:firstLine="480" w:firstLineChars="200"/>
        <w:rPr>
          <w:rStyle w:val="59"/>
          <w:rFonts w:hint="eastAsia" w:ascii="宋体" w:hAnsi="宋体" w:cs="宋体"/>
          <w:b/>
          <w:bCs/>
          <w:kern w:val="0"/>
          <w:sz w:val="24"/>
          <w:szCs w:val="24"/>
        </w:rPr>
      </w:pPr>
      <w:r>
        <w:rPr>
          <w:rFonts w:hint="eastAsia" w:ascii="宋体" w:hAnsi="宋体" w:eastAsia="宋体" w:cs="宋体"/>
          <w:color w:val="000000"/>
          <w:sz w:val="24"/>
          <w:szCs w:val="24"/>
        </w:rPr>
        <w:t>注：最终管养地点、数量以实际为准。</w:t>
      </w:r>
    </w:p>
    <w:p w14:paraId="32E6B27E">
      <w:pPr>
        <w:rPr>
          <w:rFonts w:hint="eastAsia" w:ascii="Times New Roman" w:hAnsi="Times New Roman"/>
          <w:color w:val="000000"/>
        </w:rPr>
      </w:pPr>
      <w:r>
        <w:rPr>
          <w:rFonts w:hint="eastAsia" w:ascii="Times New Roman" w:hAnsi="Times New Roman"/>
          <w:color w:val="000000"/>
        </w:rPr>
        <w:br w:type="page"/>
      </w:r>
    </w:p>
    <w:p w14:paraId="39CD0235">
      <w:pPr>
        <w:pStyle w:val="3"/>
        <w:pageBreakBefore w:val="0"/>
        <w:kinsoku/>
        <w:overflowPunct/>
        <w:topLinePunct w:val="0"/>
        <w:bidi w:val="0"/>
        <w:spacing w:before="120" w:after="120" w:line="360" w:lineRule="auto"/>
        <w:ind w:firstLine="643"/>
        <w:jc w:val="center"/>
        <w:rPr>
          <w:rFonts w:ascii="Times New Roman" w:hAnsi="Times New Roman"/>
          <w:color w:val="000000"/>
        </w:rPr>
      </w:pPr>
      <w:r>
        <w:rPr>
          <w:rFonts w:hint="eastAsia" w:ascii="Times New Roman" w:hAnsi="Times New Roman"/>
          <w:color w:val="000000"/>
        </w:rPr>
        <w:t>第三章</w:t>
      </w:r>
      <w:r>
        <w:rPr>
          <w:rFonts w:ascii="Times New Roman" w:hAnsi="Times New Roman"/>
          <w:color w:val="000000"/>
        </w:rPr>
        <w:t xml:space="preserve">  </w:t>
      </w:r>
      <w:r>
        <w:rPr>
          <w:rFonts w:hint="eastAsia" w:ascii="Times New Roman" w:hAnsi="Times New Roman"/>
          <w:color w:val="000000"/>
        </w:rPr>
        <w:t>投标人须知</w:t>
      </w:r>
      <w:bookmarkEnd w:id="39"/>
    </w:p>
    <w:bookmarkEnd w:id="15"/>
    <w:p w14:paraId="2C7E4534">
      <w:pPr>
        <w:pageBreakBefore w:val="0"/>
        <w:kinsoku/>
        <w:overflowPunct/>
        <w:topLinePunct w:val="0"/>
        <w:autoSpaceDE w:val="0"/>
        <w:autoSpaceDN w:val="0"/>
        <w:bidi w:val="0"/>
        <w:snapToGrid w:val="0"/>
        <w:spacing w:before="120" w:beforeAutospacing="1" w:line="360" w:lineRule="auto"/>
        <w:ind w:firstLine="406"/>
        <w:jc w:val="center"/>
        <w:textAlignment w:val="bottom"/>
        <w:rPr>
          <w:rFonts w:ascii="Times New Roman" w:hAnsi="Times New Roman"/>
          <w:b/>
          <w:color w:val="000000"/>
          <w:spacing w:val="-4"/>
          <w:szCs w:val="21"/>
        </w:rPr>
      </w:pPr>
      <w:bookmarkStart w:id="222" w:name="_Toc472064489"/>
      <w:bookmarkStart w:id="223" w:name="_Toc417992873"/>
      <w:r>
        <w:rPr>
          <w:rFonts w:hint="eastAsia" w:ascii="Times New Roman" w:hAnsi="Times New Roman"/>
          <w:b/>
          <w:color w:val="000000"/>
          <w:spacing w:val="-4"/>
          <w:szCs w:val="21"/>
        </w:rPr>
        <w:t>前附表</w:t>
      </w:r>
      <w:bookmarkEnd w:id="222"/>
      <w:bookmarkEnd w:id="223"/>
    </w:p>
    <w:tbl>
      <w:tblPr>
        <w:tblStyle w:val="51"/>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24"/>
        <w:gridCol w:w="7942"/>
      </w:tblGrid>
      <w:tr w14:paraId="27964E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9" w:hRule="atLeast"/>
          <w:jc w:val="center"/>
        </w:trPr>
        <w:tc>
          <w:tcPr>
            <w:tcW w:w="824" w:type="dxa"/>
            <w:tcBorders>
              <w:top w:val="single" w:color="auto" w:sz="4" w:space="0"/>
              <w:left w:val="single" w:color="auto" w:sz="4" w:space="0"/>
              <w:bottom w:val="single" w:color="auto" w:sz="4" w:space="0"/>
              <w:right w:val="single" w:color="auto" w:sz="4" w:space="0"/>
            </w:tcBorders>
            <w:vAlign w:val="center"/>
          </w:tcPr>
          <w:p w14:paraId="76081346">
            <w:pPr>
              <w:pageBreakBefore w:val="0"/>
              <w:kinsoku/>
              <w:overflowPunct/>
              <w:topLinePunct w:val="0"/>
              <w:bidi w:val="0"/>
              <w:snapToGrid w:val="0"/>
              <w:spacing w:line="360" w:lineRule="auto"/>
              <w:rPr>
                <w:rFonts w:ascii="Times New Roman" w:hAnsi="Times New Roman"/>
                <w:color w:val="000000"/>
                <w:szCs w:val="21"/>
              </w:rPr>
            </w:pPr>
            <w:bookmarkStart w:id="224" w:name="_Toc177870536"/>
            <w:bookmarkStart w:id="225" w:name="_Toc417992874"/>
            <w:r>
              <w:rPr>
                <w:rFonts w:hint="eastAsia" w:ascii="Times New Roman" w:hAnsi="Times New Roman"/>
                <w:color w:val="000000"/>
                <w:szCs w:val="21"/>
              </w:rPr>
              <w:t>序号</w:t>
            </w:r>
          </w:p>
        </w:tc>
        <w:tc>
          <w:tcPr>
            <w:tcW w:w="7942" w:type="dxa"/>
            <w:tcBorders>
              <w:top w:val="single" w:color="auto" w:sz="4" w:space="0"/>
              <w:left w:val="single" w:color="auto" w:sz="4" w:space="0"/>
              <w:bottom w:val="single" w:color="auto" w:sz="4" w:space="0"/>
              <w:right w:val="single" w:color="auto" w:sz="4" w:space="0"/>
            </w:tcBorders>
            <w:vAlign w:val="center"/>
          </w:tcPr>
          <w:p w14:paraId="0D36A805">
            <w:pPr>
              <w:pageBreakBefore w:val="0"/>
              <w:kinsoku/>
              <w:overflowPunct/>
              <w:topLinePunct w:val="0"/>
              <w:bidi w:val="0"/>
              <w:snapToGrid w:val="0"/>
              <w:spacing w:line="360" w:lineRule="auto"/>
              <w:ind w:firstLine="2625" w:firstLineChars="1250"/>
              <w:rPr>
                <w:rFonts w:ascii="Times New Roman" w:hAnsi="Times New Roman"/>
                <w:color w:val="000000"/>
                <w:szCs w:val="21"/>
              </w:rPr>
            </w:pPr>
            <w:r>
              <w:rPr>
                <w:rFonts w:hint="eastAsia" w:ascii="Times New Roman" w:hAnsi="Times New Roman"/>
                <w:color w:val="000000"/>
                <w:szCs w:val="21"/>
              </w:rPr>
              <w:t>内容、要求</w:t>
            </w:r>
          </w:p>
        </w:tc>
      </w:tr>
      <w:tr w14:paraId="0366E38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0" w:hRule="atLeast"/>
          <w:jc w:val="center"/>
        </w:trPr>
        <w:tc>
          <w:tcPr>
            <w:tcW w:w="824" w:type="dxa"/>
            <w:tcBorders>
              <w:top w:val="single" w:color="auto" w:sz="4" w:space="0"/>
              <w:left w:val="single" w:color="auto" w:sz="4" w:space="0"/>
              <w:bottom w:val="single" w:color="auto" w:sz="4" w:space="0"/>
              <w:right w:val="single" w:color="auto" w:sz="4" w:space="0"/>
            </w:tcBorders>
            <w:vAlign w:val="center"/>
          </w:tcPr>
          <w:p w14:paraId="044A898E">
            <w:pPr>
              <w:pageBreakBefore w:val="0"/>
              <w:kinsoku/>
              <w:overflowPunct/>
              <w:topLinePunct w:val="0"/>
              <w:bidi w:val="0"/>
              <w:snapToGrid w:val="0"/>
              <w:spacing w:line="360" w:lineRule="auto"/>
              <w:jc w:val="center"/>
              <w:rPr>
                <w:rFonts w:ascii="Times New Roman" w:hAnsi="Times New Roman"/>
                <w:color w:val="000000"/>
                <w:szCs w:val="21"/>
              </w:rPr>
            </w:pPr>
            <w:r>
              <w:rPr>
                <w:rFonts w:ascii="Times New Roman" w:hAnsi="Times New Roman"/>
                <w:color w:val="000000"/>
                <w:szCs w:val="21"/>
              </w:rPr>
              <w:t>1</w:t>
            </w:r>
          </w:p>
        </w:tc>
        <w:tc>
          <w:tcPr>
            <w:tcW w:w="7942" w:type="dxa"/>
            <w:tcBorders>
              <w:top w:val="single" w:color="auto" w:sz="4" w:space="0"/>
              <w:left w:val="single" w:color="auto" w:sz="4" w:space="0"/>
              <w:bottom w:val="single" w:color="auto" w:sz="4" w:space="0"/>
              <w:right w:val="single" w:color="auto" w:sz="4" w:space="0"/>
            </w:tcBorders>
            <w:vAlign w:val="center"/>
          </w:tcPr>
          <w:p w14:paraId="5F7E9037">
            <w:pPr>
              <w:pageBreakBefore w:val="0"/>
              <w:kinsoku/>
              <w:overflowPunct/>
              <w:topLinePunct w:val="0"/>
              <w:bidi w:val="0"/>
              <w:spacing w:beforeLines="50" w:line="360" w:lineRule="auto"/>
              <w:ind w:firstLine="420"/>
              <w:rPr>
                <w:rFonts w:hint="eastAsia" w:ascii="Times New Roman" w:hAnsi="Times New Roman" w:eastAsia="宋体"/>
                <w:b/>
                <w:color w:val="000000"/>
                <w:szCs w:val="21"/>
                <w:lang w:eastAsia="zh-CN"/>
              </w:rPr>
            </w:pPr>
            <w:r>
              <w:rPr>
                <w:rFonts w:hint="eastAsia" w:ascii="Times New Roman" w:hAnsi="Times New Roman"/>
                <w:color w:val="000000"/>
                <w:szCs w:val="21"/>
              </w:rPr>
              <w:t>项目名称：</w:t>
            </w:r>
            <w:r>
              <w:rPr>
                <w:rFonts w:hint="eastAsia" w:ascii="Times New Roman" w:hAnsi="Times New Roman"/>
                <w:color w:val="000000"/>
                <w:szCs w:val="21"/>
                <w:lang w:eastAsia="zh-CN"/>
              </w:rPr>
              <w:t>2026年秀洲区县道及以上公路小修及应急抢险项目</w:t>
            </w:r>
          </w:p>
        </w:tc>
      </w:tr>
      <w:tr w14:paraId="69D73D1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7" w:hRule="atLeast"/>
          <w:jc w:val="center"/>
        </w:trPr>
        <w:tc>
          <w:tcPr>
            <w:tcW w:w="824" w:type="dxa"/>
            <w:tcBorders>
              <w:top w:val="single" w:color="auto" w:sz="4" w:space="0"/>
              <w:left w:val="single" w:color="auto" w:sz="4" w:space="0"/>
              <w:bottom w:val="single" w:color="auto" w:sz="4" w:space="0"/>
              <w:right w:val="single" w:color="auto" w:sz="4" w:space="0"/>
            </w:tcBorders>
            <w:vAlign w:val="center"/>
          </w:tcPr>
          <w:p w14:paraId="5B69299F">
            <w:pPr>
              <w:pageBreakBefore w:val="0"/>
              <w:kinsoku/>
              <w:overflowPunct/>
              <w:topLinePunct w:val="0"/>
              <w:bidi w:val="0"/>
              <w:snapToGrid w:val="0"/>
              <w:spacing w:line="360" w:lineRule="auto"/>
              <w:jc w:val="center"/>
              <w:rPr>
                <w:rFonts w:ascii="Times New Roman" w:hAnsi="Times New Roman"/>
                <w:color w:val="000000"/>
                <w:szCs w:val="21"/>
              </w:rPr>
            </w:pPr>
            <w:r>
              <w:rPr>
                <w:rFonts w:ascii="Times New Roman" w:hAnsi="Times New Roman"/>
                <w:color w:val="000000"/>
                <w:szCs w:val="21"/>
              </w:rPr>
              <w:t>2</w:t>
            </w:r>
          </w:p>
        </w:tc>
        <w:tc>
          <w:tcPr>
            <w:tcW w:w="7942" w:type="dxa"/>
            <w:tcBorders>
              <w:top w:val="single" w:color="auto" w:sz="4" w:space="0"/>
              <w:left w:val="single" w:color="auto" w:sz="4" w:space="0"/>
              <w:bottom w:val="single" w:color="auto" w:sz="4" w:space="0"/>
              <w:right w:val="single" w:color="auto" w:sz="4" w:space="0"/>
            </w:tcBorders>
            <w:vAlign w:val="center"/>
          </w:tcPr>
          <w:p w14:paraId="507ABE50">
            <w:pPr>
              <w:pageBreakBefore w:val="0"/>
              <w:kinsoku/>
              <w:overflowPunct/>
              <w:topLinePunct w:val="0"/>
              <w:bidi w:val="0"/>
              <w:snapToGrid w:val="0"/>
              <w:spacing w:line="360" w:lineRule="auto"/>
              <w:ind w:firstLine="420"/>
              <w:rPr>
                <w:rFonts w:ascii="Times New Roman" w:hAnsi="Times New Roman" w:cs="Arial"/>
                <w:bCs/>
                <w:color w:val="000000"/>
                <w:szCs w:val="21"/>
              </w:rPr>
            </w:pPr>
            <w:r>
              <w:rPr>
                <w:rFonts w:hint="eastAsia" w:ascii="Times New Roman" w:hAnsi="Times New Roman"/>
                <w:color w:val="000000"/>
                <w:szCs w:val="21"/>
              </w:rPr>
              <w:t>采购内容：</w:t>
            </w:r>
            <w:r>
              <w:rPr>
                <w:rFonts w:hint="eastAsia" w:ascii="Times New Roman" w:hAnsi="Times New Roman" w:cs="Arial"/>
                <w:bCs/>
                <w:color w:val="000000"/>
                <w:szCs w:val="21"/>
              </w:rPr>
              <w:t>详见第二章招标需求</w:t>
            </w:r>
          </w:p>
        </w:tc>
      </w:tr>
      <w:tr w14:paraId="383005F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0" w:hRule="atLeast"/>
          <w:jc w:val="center"/>
        </w:trPr>
        <w:tc>
          <w:tcPr>
            <w:tcW w:w="824" w:type="dxa"/>
            <w:tcBorders>
              <w:top w:val="single" w:color="auto" w:sz="4" w:space="0"/>
              <w:left w:val="single" w:color="auto" w:sz="4" w:space="0"/>
              <w:bottom w:val="single" w:color="auto" w:sz="4" w:space="0"/>
              <w:right w:val="single" w:color="auto" w:sz="4" w:space="0"/>
            </w:tcBorders>
            <w:vAlign w:val="center"/>
          </w:tcPr>
          <w:p w14:paraId="722FB813">
            <w:pPr>
              <w:pageBreakBefore w:val="0"/>
              <w:kinsoku/>
              <w:overflowPunct/>
              <w:topLinePunct w:val="0"/>
              <w:bidi w:val="0"/>
              <w:snapToGrid w:val="0"/>
              <w:spacing w:line="360" w:lineRule="auto"/>
              <w:jc w:val="center"/>
              <w:rPr>
                <w:rFonts w:ascii="Times New Roman" w:hAnsi="Times New Roman"/>
                <w:color w:val="000000"/>
                <w:szCs w:val="21"/>
              </w:rPr>
            </w:pPr>
            <w:r>
              <w:rPr>
                <w:rFonts w:ascii="Times New Roman" w:hAnsi="Times New Roman"/>
                <w:color w:val="000000"/>
                <w:szCs w:val="21"/>
              </w:rPr>
              <w:t>3</w:t>
            </w:r>
          </w:p>
        </w:tc>
        <w:tc>
          <w:tcPr>
            <w:tcW w:w="7942" w:type="dxa"/>
            <w:tcBorders>
              <w:top w:val="single" w:color="auto" w:sz="4" w:space="0"/>
              <w:left w:val="single" w:color="auto" w:sz="4" w:space="0"/>
              <w:bottom w:val="single" w:color="auto" w:sz="4" w:space="0"/>
              <w:right w:val="single" w:color="auto" w:sz="4" w:space="0"/>
            </w:tcBorders>
            <w:vAlign w:val="center"/>
          </w:tcPr>
          <w:p w14:paraId="7B0D4FC6">
            <w:pPr>
              <w:pageBreakBefore w:val="0"/>
              <w:kinsoku/>
              <w:overflowPunct/>
              <w:topLinePunct w:val="0"/>
              <w:bidi w:val="0"/>
              <w:snapToGrid w:val="0"/>
              <w:spacing w:line="360" w:lineRule="auto"/>
              <w:ind w:firstLine="420"/>
              <w:rPr>
                <w:rFonts w:ascii="Times New Roman" w:hAnsi="Times New Roman"/>
                <w:color w:val="000000"/>
                <w:szCs w:val="21"/>
              </w:rPr>
            </w:pPr>
            <w:r>
              <w:rPr>
                <w:rFonts w:hint="eastAsia" w:ascii="Times New Roman" w:hAnsi="Times New Roman"/>
                <w:color w:val="000000"/>
                <w:szCs w:val="21"/>
              </w:rPr>
              <w:t>投标报价及费用：</w:t>
            </w:r>
          </w:p>
          <w:p w14:paraId="59B65639">
            <w:pPr>
              <w:pageBreakBefore w:val="0"/>
              <w:kinsoku/>
              <w:overflowPunct/>
              <w:topLinePunct w:val="0"/>
              <w:bidi w:val="0"/>
              <w:snapToGrid w:val="0"/>
              <w:spacing w:line="360" w:lineRule="auto"/>
              <w:ind w:firstLine="420" w:firstLineChars="200"/>
              <w:rPr>
                <w:rFonts w:ascii="Times New Roman" w:hAnsi="Times New Roman"/>
                <w:color w:val="000000"/>
                <w:szCs w:val="21"/>
              </w:rPr>
            </w:pPr>
            <w:r>
              <w:rPr>
                <w:rFonts w:ascii="Times New Roman" w:hAnsi="Times New Roman"/>
                <w:color w:val="000000"/>
                <w:szCs w:val="21"/>
              </w:rPr>
              <w:t>1</w:t>
            </w:r>
            <w:r>
              <w:rPr>
                <w:rFonts w:hint="eastAsia" w:ascii="Times New Roman" w:hAnsi="Times New Roman"/>
                <w:color w:val="000000"/>
                <w:szCs w:val="21"/>
              </w:rPr>
              <w:t>、本项目投标应以人民币报价；</w:t>
            </w:r>
          </w:p>
          <w:p w14:paraId="71C3B643">
            <w:pPr>
              <w:pageBreakBefore w:val="0"/>
              <w:kinsoku/>
              <w:overflowPunct/>
              <w:topLinePunct w:val="0"/>
              <w:bidi w:val="0"/>
              <w:snapToGrid w:val="0"/>
              <w:spacing w:line="360" w:lineRule="auto"/>
              <w:ind w:firstLine="420" w:firstLineChars="200"/>
              <w:rPr>
                <w:rFonts w:ascii="Times New Roman" w:hAnsi="Times New Roman"/>
                <w:color w:val="000000"/>
                <w:szCs w:val="21"/>
              </w:rPr>
            </w:pPr>
            <w:r>
              <w:rPr>
                <w:rFonts w:ascii="Times New Roman" w:hAnsi="Times New Roman"/>
                <w:color w:val="000000"/>
                <w:szCs w:val="21"/>
              </w:rPr>
              <w:t>2</w:t>
            </w:r>
            <w:r>
              <w:rPr>
                <w:rFonts w:hint="eastAsia" w:ascii="Times New Roman" w:hAnsi="Times New Roman"/>
                <w:color w:val="000000"/>
                <w:szCs w:val="21"/>
              </w:rPr>
              <w:t>、不论投标结果如何，投标人均应自行承担所有与投标有关的全部费用。</w:t>
            </w:r>
            <w:r>
              <w:rPr>
                <w:rFonts w:ascii="Times New Roman" w:hAnsi="Times New Roman"/>
                <w:color w:val="000000"/>
                <w:szCs w:val="21"/>
              </w:rPr>
              <w:t xml:space="preserve"> </w:t>
            </w:r>
          </w:p>
        </w:tc>
      </w:tr>
      <w:tr w14:paraId="0E03D6C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2" w:hRule="atLeast"/>
          <w:jc w:val="center"/>
        </w:trPr>
        <w:tc>
          <w:tcPr>
            <w:tcW w:w="824" w:type="dxa"/>
            <w:tcBorders>
              <w:top w:val="single" w:color="auto" w:sz="4" w:space="0"/>
              <w:left w:val="single" w:color="auto" w:sz="4" w:space="0"/>
              <w:bottom w:val="single" w:color="auto" w:sz="4" w:space="0"/>
              <w:right w:val="single" w:color="auto" w:sz="4" w:space="0"/>
            </w:tcBorders>
            <w:vAlign w:val="center"/>
          </w:tcPr>
          <w:p w14:paraId="13EAE23C">
            <w:pPr>
              <w:pageBreakBefore w:val="0"/>
              <w:kinsoku/>
              <w:overflowPunct/>
              <w:topLinePunct w:val="0"/>
              <w:bidi w:val="0"/>
              <w:snapToGrid w:val="0"/>
              <w:spacing w:line="360" w:lineRule="auto"/>
              <w:jc w:val="center"/>
              <w:rPr>
                <w:rFonts w:ascii="Times New Roman" w:hAnsi="Times New Roman"/>
                <w:color w:val="000000"/>
                <w:szCs w:val="21"/>
              </w:rPr>
            </w:pPr>
            <w:r>
              <w:rPr>
                <w:rFonts w:ascii="Times New Roman" w:hAnsi="Times New Roman"/>
                <w:color w:val="000000"/>
                <w:szCs w:val="21"/>
              </w:rPr>
              <w:t>4</w:t>
            </w:r>
          </w:p>
        </w:tc>
        <w:tc>
          <w:tcPr>
            <w:tcW w:w="7942" w:type="dxa"/>
            <w:tcBorders>
              <w:top w:val="single" w:color="auto" w:sz="4" w:space="0"/>
              <w:left w:val="single" w:color="auto" w:sz="4" w:space="0"/>
              <w:bottom w:val="single" w:color="auto" w:sz="4" w:space="0"/>
              <w:right w:val="single" w:color="auto" w:sz="4" w:space="0"/>
            </w:tcBorders>
            <w:vAlign w:val="center"/>
          </w:tcPr>
          <w:p w14:paraId="30175EF7">
            <w:pPr>
              <w:pageBreakBefore w:val="0"/>
              <w:kinsoku/>
              <w:overflowPunct/>
              <w:topLinePunct w:val="0"/>
              <w:bidi w:val="0"/>
              <w:snapToGrid w:val="0"/>
              <w:spacing w:line="360" w:lineRule="auto"/>
              <w:ind w:firstLine="420"/>
              <w:jc w:val="left"/>
              <w:rPr>
                <w:rFonts w:ascii="Times New Roman" w:hAnsi="Times New Roman"/>
                <w:color w:val="000000"/>
                <w:szCs w:val="21"/>
              </w:rPr>
            </w:pPr>
            <w:r>
              <w:rPr>
                <w:rFonts w:hint="eastAsia" w:ascii="Times New Roman" w:hAnsi="Times New Roman"/>
                <w:color w:val="000000"/>
                <w:szCs w:val="21"/>
              </w:rPr>
              <w:t>现场踏勘：不组织，投标人如有需要可自行踏勘，自行踏勘的所有费用和风险由投标人承担。</w:t>
            </w:r>
          </w:p>
        </w:tc>
      </w:tr>
      <w:tr w14:paraId="463AC7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824" w:type="dxa"/>
            <w:tcBorders>
              <w:top w:val="single" w:color="auto" w:sz="4" w:space="0"/>
              <w:left w:val="single" w:color="auto" w:sz="4" w:space="0"/>
              <w:bottom w:val="single" w:color="auto" w:sz="4" w:space="0"/>
              <w:right w:val="single" w:color="auto" w:sz="4" w:space="0"/>
            </w:tcBorders>
            <w:vAlign w:val="center"/>
          </w:tcPr>
          <w:p w14:paraId="7BDB7A07">
            <w:pPr>
              <w:pageBreakBefore w:val="0"/>
              <w:kinsoku/>
              <w:overflowPunct/>
              <w:topLinePunct w:val="0"/>
              <w:bidi w:val="0"/>
              <w:snapToGrid w:val="0"/>
              <w:spacing w:line="360" w:lineRule="auto"/>
              <w:jc w:val="center"/>
              <w:rPr>
                <w:rFonts w:ascii="Times New Roman" w:hAnsi="Times New Roman"/>
                <w:color w:val="000000"/>
                <w:szCs w:val="21"/>
              </w:rPr>
            </w:pPr>
            <w:r>
              <w:rPr>
                <w:rFonts w:ascii="Times New Roman" w:hAnsi="Times New Roman"/>
                <w:color w:val="000000"/>
                <w:szCs w:val="21"/>
              </w:rPr>
              <w:t>5</w:t>
            </w:r>
          </w:p>
        </w:tc>
        <w:tc>
          <w:tcPr>
            <w:tcW w:w="7942" w:type="dxa"/>
            <w:tcBorders>
              <w:top w:val="single" w:color="auto" w:sz="4" w:space="0"/>
              <w:left w:val="single" w:color="auto" w:sz="4" w:space="0"/>
              <w:bottom w:val="single" w:color="auto" w:sz="4" w:space="0"/>
              <w:right w:val="single" w:color="auto" w:sz="4" w:space="0"/>
            </w:tcBorders>
            <w:vAlign w:val="center"/>
          </w:tcPr>
          <w:p w14:paraId="160AEE46">
            <w:pPr>
              <w:pageBreakBefore w:val="0"/>
              <w:kinsoku/>
              <w:overflowPunct/>
              <w:topLinePunct w:val="0"/>
              <w:bidi w:val="0"/>
              <w:snapToGrid w:val="0"/>
              <w:spacing w:line="360" w:lineRule="auto"/>
              <w:ind w:firstLine="420"/>
              <w:jc w:val="left"/>
              <w:rPr>
                <w:rFonts w:ascii="Times New Roman" w:hAnsi="Times New Roman"/>
                <w:color w:val="000000"/>
                <w:szCs w:val="21"/>
              </w:rPr>
            </w:pPr>
            <w:r>
              <w:rPr>
                <w:rFonts w:hint="eastAsia" w:ascii="Times New Roman" w:hAnsi="Times New Roman"/>
                <w:color w:val="000000"/>
                <w:szCs w:val="21"/>
              </w:rPr>
              <w:t>投标文件组成：完整的《投标文件》由</w:t>
            </w:r>
            <w:r>
              <w:rPr>
                <w:rFonts w:hint="eastAsia" w:ascii="Times New Roman" w:hAnsi="Times New Roman"/>
                <w:b/>
                <w:bCs/>
                <w:color w:val="000000"/>
                <w:szCs w:val="21"/>
              </w:rPr>
              <w:t>资格文件、商务技术文件、报价文件三部份组成。</w:t>
            </w:r>
          </w:p>
        </w:tc>
      </w:tr>
      <w:tr w14:paraId="6B5A69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824" w:type="dxa"/>
            <w:tcBorders>
              <w:top w:val="single" w:color="auto" w:sz="4" w:space="0"/>
              <w:left w:val="single" w:color="auto" w:sz="4" w:space="0"/>
              <w:bottom w:val="single" w:color="auto" w:sz="4" w:space="0"/>
              <w:right w:val="single" w:color="auto" w:sz="4" w:space="0"/>
            </w:tcBorders>
            <w:vAlign w:val="center"/>
          </w:tcPr>
          <w:p w14:paraId="5AAC57B5">
            <w:pPr>
              <w:pageBreakBefore w:val="0"/>
              <w:kinsoku/>
              <w:overflowPunct/>
              <w:topLinePunct w:val="0"/>
              <w:bidi w:val="0"/>
              <w:snapToGrid w:val="0"/>
              <w:spacing w:line="360" w:lineRule="auto"/>
              <w:jc w:val="center"/>
              <w:rPr>
                <w:rFonts w:ascii="Times New Roman" w:hAnsi="Times New Roman"/>
                <w:color w:val="000000"/>
                <w:szCs w:val="21"/>
              </w:rPr>
            </w:pPr>
            <w:r>
              <w:rPr>
                <w:rFonts w:ascii="Times New Roman" w:hAnsi="Times New Roman"/>
                <w:color w:val="000000"/>
                <w:szCs w:val="21"/>
              </w:rPr>
              <w:t>6</w:t>
            </w:r>
          </w:p>
        </w:tc>
        <w:tc>
          <w:tcPr>
            <w:tcW w:w="7942" w:type="dxa"/>
            <w:tcBorders>
              <w:top w:val="single" w:color="auto" w:sz="4" w:space="0"/>
              <w:left w:val="single" w:color="auto" w:sz="4" w:space="0"/>
              <w:bottom w:val="single" w:color="auto" w:sz="4" w:space="0"/>
              <w:right w:val="single" w:color="auto" w:sz="4" w:space="0"/>
            </w:tcBorders>
            <w:vAlign w:val="center"/>
          </w:tcPr>
          <w:p w14:paraId="7C240D7E">
            <w:pPr>
              <w:pageBreakBefore w:val="0"/>
              <w:kinsoku/>
              <w:overflowPunct/>
              <w:topLinePunct w:val="0"/>
              <w:bidi w:val="0"/>
              <w:snapToGrid w:val="0"/>
              <w:spacing w:line="360" w:lineRule="auto"/>
              <w:ind w:firstLine="420"/>
              <w:jc w:val="left"/>
              <w:rPr>
                <w:rFonts w:ascii="Times New Roman" w:hAnsi="Times New Roman"/>
                <w:color w:val="000000"/>
                <w:szCs w:val="21"/>
              </w:rPr>
            </w:pPr>
            <w:r>
              <w:rPr>
                <w:rFonts w:hint="eastAsia" w:ascii="Times New Roman" w:hAnsi="Times New Roman"/>
                <w:color w:val="000000"/>
                <w:szCs w:val="21"/>
              </w:rPr>
              <w:t>投标文件的编制：供应商应先安装“政采云电子交易客户端”，并按照本采购文件和“政府采购云平台”的要求，通过“政采云电子交易客户端”编制并加密投标文件。</w:t>
            </w:r>
          </w:p>
        </w:tc>
      </w:tr>
      <w:tr w14:paraId="16F735D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824" w:type="dxa"/>
            <w:tcBorders>
              <w:top w:val="single" w:color="auto" w:sz="4" w:space="0"/>
              <w:left w:val="single" w:color="auto" w:sz="4" w:space="0"/>
              <w:bottom w:val="single" w:color="auto" w:sz="4" w:space="0"/>
              <w:right w:val="single" w:color="auto" w:sz="4" w:space="0"/>
            </w:tcBorders>
            <w:vAlign w:val="center"/>
          </w:tcPr>
          <w:p w14:paraId="0AA5EE66">
            <w:pPr>
              <w:pageBreakBefore w:val="0"/>
              <w:kinsoku/>
              <w:overflowPunct/>
              <w:topLinePunct w:val="0"/>
              <w:bidi w:val="0"/>
              <w:snapToGrid w:val="0"/>
              <w:spacing w:line="360" w:lineRule="auto"/>
              <w:jc w:val="center"/>
              <w:rPr>
                <w:rFonts w:ascii="Times New Roman" w:hAnsi="Times New Roman"/>
                <w:color w:val="000000"/>
                <w:szCs w:val="21"/>
              </w:rPr>
            </w:pPr>
            <w:r>
              <w:rPr>
                <w:rFonts w:ascii="Times New Roman" w:hAnsi="Times New Roman"/>
                <w:color w:val="000000"/>
                <w:szCs w:val="21"/>
              </w:rPr>
              <w:t>7</w:t>
            </w:r>
          </w:p>
        </w:tc>
        <w:tc>
          <w:tcPr>
            <w:tcW w:w="7942" w:type="dxa"/>
            <w:tcBorders>
              <w:top w:val="single" w:color="auto" w:sz="4" w:space="0"/>
              <w:left w:val="single" w:color="auto" w:sz="4" w:space="0"/>
              <w:bottom w:val="single" w:color="auto" w:sz="4" w:space="0"/>
              <w:right w:val="single" w:color="auto" w:sz="4" w:space="0"/>
            </w:tcBorders>
            <w:vAlign w:val="center"/>
          </w:tcPr>
          <w:p w14:paraId="7DB992C0">
            <w:pPr>
              <w:pageBreakBefore w:val="0"/>
              <w:kinsoku/>
              <w:overflowPunct/>
              <w:topLinePunct w:val="0"/>
              <w:bidi w:val="0"/>
              <w:snapToGrid w:val="0"/>
              <w:spacing w:line="360" w:lineRule="auto"/>
              <w:ind w:firstLine="420"/>
              <w:jc w:val="left"/>
              <w:rPr>
                <w:rFonts w:ascii="Times New Roman" w:hAnsi="Times New Roman"/>
                <w:color w:val="000000"/>
                <w:szCs w:val="21"/>
              </w:rPr>
            </w:pPr>
            <w:r>
              <w:rPr>
                <w:rFonts w:hint="eastAsia" w:ascii="Times New Roman" w:hAnsi="Times New Roman"/>
                <w:color w:val="000000"/>
                <w:szCs w:val="21"/>
              </w:rPr>
              <w:t>投标文件的签章：电子签章。本招标文件所涉及到法定代表人或授权人签字或盖章的内容，供应商应盖法定代表人电子签章。若无法定代表人电子签章，可以线下签字或盖章后扫描上传。</w:t>
            </w:r>
          </w:p>
        </w:tc>
      </w:tr>
      <w:tr w14:paraId="51D3F8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824" w:type="dxa"/>
            <w:tcBorders>
              <w:top w:val="single" w:color="auto" w:sz="4" w:space="0"/>
              <w:left w:val="single" w:color="auto" w:sz="4" w:space="0"/>
              <w:bottom w:val="single" w:color="auto" w:sz="4" w:space="0"/>
              <w:right w:val="single" w:color="auto" w:sz="4" w:space="0"/>
            </w:tcBorders>
            <w:vAlign w:val="center"/>
          </w:tcPr>
          <w:p w14:paraId="2B89CF22">
            <w:pPr>
              <w:pageBreakBefore w:val="0"/>
              <w:kinsoku/>
              <w:overflowPunct/>
              <w:topLinePunct w:val="0"/>
              <w:bidi w:val="0"/>
              <w:snapToGrid w:val="0"/>
              <w:spacing w:line="360" w:lineRule="auto"/>
              <w:jc w:val="center"/>
              <w:rPr>
                <w:rFonts w:ascii="Times New Roman" w:hAnsi="Times New Roman"/>
                <w:color w:val="000000"/>
                <w:szCs w:val="21"/>
              </w:rPr>
            </w:pPr>
            <w:r>
              <w:rPr>
                <w:rFonts w:ascii="Times New Roman" w:hAnsi="Times New Roman"/>
                <w:color w:val="000000"/>
                <w:szCs w:val="21"/>
              </w:rPr>
              <w:t>8</w:t>
            </w:r>
          </w:p>
        </w:tc>
        <w:tc>
          <w:tcPr>
            <w:tcW w:w="7942" w:type="dxa"/>
            <w:tcBorders>
              <w:top w:val="single" w:color="auto" w:sz="4" w:space="0"/>
              <w:left w:val="single" w:color="auto" w:sz="4" w:space="0"/>
              <w:bottom w:val="single" w:color="auto" w:sz="4" w:space="0"/>
              <w:right w:val="single" w:color="auto" w:sz="4" w:space="0"/>
            </w:tcBorders>
            <w:vAlign w:val="center"/>
          </w:tcPr>
          <w:p w14:paraId="096F02F5">
            <w:pPr>
              <w:pageBreakBefore w:val="0"/>
              <w:kinsoku/>
              <w:overflowPunct/>
              <w:topLinePunct w:val="0"/>
              <w:bidi w:val="0"/>
              <w:snapToGrid w:val="0"/>
              <w:spacing w:line="360" w:lineRule="auto"/>
              <w:ind w:firstLine="420"/>
              <w:jc w:val="left"/>
              <w:rPr>
                <w:rFonts w:ascii="Times New Roman" w:hAnsi="Times New Roman"/>
                <w:color w:val="000000"/>
                <w:szCs w:val="21"/>
              </w:rPr>
            </w:pPr>
            <w:r>
              <w:rPr>
                <w:rFonts w:hint="eastAsia" w:ascii="Times New Roman" w:hAnsi="Times New Roman"/>
                <w:color w:val="000000"/>
                <w:szCs w:val="21"/>
              </w:rPr>
              <w:t>投标文件的形式：</w:t>
            </w:r>
            <w:r>
              <w:rPr>
                <w:rFonts w:hint="eastAsia" w:ascii="MS Gothic" w:hAnsi="MS Gothic" w:eastAsia="MS Gothic" w:cs="MS Gothic"/>
                <w:color w:val="000000"/>
                <w:szCs w:val="21"/>
              </w:rPr>
              <w:t>☑</w:t>
            </w:r>
            <w:r>
              <w:rPr>
                <w:rFonts w:hint="eastAsia" w:ascii="Times New Roman" w:hAnsi="Times New Roman"/>
                <w:color w:val="000000"/>
                <w:szCs w:val="21"/>
              </w:rPr>
              <w:t>电子投标文件（包括“电子加密投标文件”和“备份投标文件”，在投标文件编制完成后同时生成）；</w:t>
            </w:r>
          </w:p>
          <w:p w14:paraId="774B1661">
            <w:pPr>
              <w:pageBreakBefore w:val="0"/>
              <w:kinsoku/>
              <w:overflowPunct/>
              <w:topLinePunct w:val="0"/>
              <w:bidi w:val="0"/>
              <w:snapToGrid w:val="0"/>
              <w:spacing w:line="360" w:lineRule="auto"/>
              <w:ind w:firstLine="420"/>
              <w:jc w:val="left"/>
              <w:rPr>
                <w:rFonts w:ascii="Times New Roman" w:hAnsi="Times New Roman"/>
                <w:color w:val="000000"/>
                <w:szCs w:val="21"/>
              </w:rPr>
            </w:pPr>
            <w:r>
              <w:rPr>
                <w:rFonts w:hint="eastAsia" w:ascii="Times New Roman" w:hAnsi="Times New Roman"/>
                <w:color w:val="000000"/>
                <w:szCs w:val="21"/>
              </w:rPr>
              <w:t>（</w:t>
            </w:r>
            <w:r>
              <w:rPr>
                <w:rFonts w:ascii="Times New Roman" w:hAnsi="Times New Roman"/>
                <w:color w:val="000000"/>
                <w:szCs w:val="21"/>
              </w:rPr>
              <w:t>1</w:t>
            </w:r>
            <w:r>
              <w:rPr>
                <w:rFonts w:hint="eastAsia" w:ascii="Times New Roman" w:hAnsi="Times New Roman"/>
                <w:color w:val="000000"/>
                <w:szCs w:val="21"/>
              </w:rPr>
              <w:t>）“电子加密投标文件”是指通过“政采云电子交易客户端”完成投标文件编制后生成并加密的数据电文形式的投标文件。</w:t>
            </w:r>
          </w:p>
          <w:p w14:paraId="7F2815CF">
            <w:pPr>
              <w:pageBreakBefore w:val="0"/>
              <w:kinsoku/>
              <w:overflowPunct/>
              <w:topLinePunct w:val="0"/>
              <w:bidi w:val="0"/>
              <w:snapToGrid w:val="0"/>
              <w:spacing w:line="360" w:lineRule="auto"/>
              <w:ind w:firstLine="420"/>
              <w:jc w:val="left"/>
              <w:rPr>
                <w:rFonts w:ascii="Times New Roman" w:hAnsi="Times New Roman"/>
                <w:color w:val="000000"/>
                <w:szCs w:val="21"/>
              </w:rPr>
            </w:pPr>
            <w:r>
              <w:rPr>
                <w:rFonts w:hint="eastAsia" w:ascii="Times New Roman" w:hAnsi="Times New Roman"/>
                <w:color w:val="000000"/>
                <w:szCs w:val="21"/>
              </w:rPr>
              <w:t>（</w:t>
            </w:r>
            <w:r>
              <w:rPr>
                <w:rFonts w:ascii="Times New Roman" w:hAnsi="Times New Roman"/>
                <w:color w:val="000000"/>
                <w:szCs w:val="21"/>
              </w:rPr>
              <w:t>2</w:t>
            </w:r>
            <w:r>
              <w:rPr>
                <w:rFonts w:hint="eastAsia" w:ascii="Times New Roman" w:hAnsi="Times New Roman"/>
                <w:color w:val="000000"/>
                <w:szCs w:val="21"/>
              </w:rPr>
              <w:t>）“备份投标文件”是指与“电子加密投标文件”同时生成的数据电文形式的电子文件（备份标书），其他方式编制的备份投标文件视为无效备份投标文件。</w:t>
            </w:r>
          </w:p>
          <w:p w14:paraId="7A4378C8">
            <w:pPr>
              <w:pageBreakBefore w:val="0"/>
              <w:kinsoku/>
              <w:overflowPunct/>
              <w:topLinePunct w:val="0"/>
              <w:bidi w:val="0"/>
              <w:snapToGrid w:val="0"/>
              <w:spacing w:line="360" w:lineRule="auto"/>
              <w:ind w:firstLine="422"/>
              <w:jc w:val="left"/>
              <w:rPr>
                <w:rFonts w:ascii="Times New Roman" w:hAnsi="Times New Roman"/>
                <w:color w:val="000000"/>
                <w:szCs w:val="21"/>
              </w:rPr>
            </w:pPr>
            <w:r>
              <w:rPr>
                <w:rFonts w:hint="eastAsia" w:ascii="Times New Roman" w:hAnsi="Times New Roman"/>
                <w:b/>
                <w:bCs/>
                <w:color w:val="000000"/>
                <w:szCs w:val="21"/>
              </w:rPr>
              <w:t>（</w:t>
            </w:r>
            <w:r>
              <w:rPr>
                <w:rFonts w:ascii="Times New Roman" w:hAnsi="Times New Roman"/>
                <w:b/>
                <w:bCs/>
                <w:color w:val="000000"/>
                <w:szCs w:val="21"/>
              </w:rPr>
              <w:t>3</w:t>
            </w:r>
            <w:r>
              <w:rPr>
                <w:rFonts w:hint="eastAsia" w:ascii="Times New Roman" w:hAnsi="Times New Roman"/>
                <w:b/>
                <w:bCs/>
                <w:color w:val="000000"/>
                <w:szCs w:val="21"/>
              </w:rPr>
              <w:t>）备份投标文件制作为非强制性。</w:t>
            </w:r>
          </w:p>
        </w:tc>
      </w:tr>
      <w:tr w14:paraId="6308A2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824" w:type="dxa"/>
            <w:tcBorders>
              <w:top w:val="single" w:color="auto" w:sz="4" w:space="0"/>
              <w:left w:val="single" w:color="auto" w:sz="4" w:space="0"/>
              <w:bottom w:val="single" w:color="auto" w:sz="4" w:space="0"/>
              <w:right w:val="single" w:color="auto" w:sz="4" w:space="0"/>
            </w:tcBorders>
            <w:vAlign w:val="center"/>
          </w:tcPr>
          <w:p w14:paraId="0BF55109">
            <w:pPr>
              <w:pageBreakBefore w:val="0"/>
              <w:kinsoku/>
              <w:overflowPunct/>
              <w:topLinePunct w:val="0"/>
              <w:bidi w:val="0"/>
              <w:snapToGrid w:val="0"/>
              <w:spacing w:line="360" w:lineRule="auto"/>
              <w:jc w:val="center"/>
              <w:rPr>
                <w:rFonts w:ascii="Times New Roman" w:hAnsi="Times New Roman"/>
                <w:color w:val="000000"/>
                <w:szCs w:val="21"/>
              </w:rPr>
            </w:pPr>
            <w:r>
              <w:rPr>
                <w:rFonts w:ascii="Times New Roman" w:hAnsi="Times New Roman"/>
                <w:color w:val="000000"/>
                <w:szCs w:val="21"/>
              </w:rPr>
              <w:t>9</w:t>
            </w:r>
          </w:p>
        </w:tc>
        <w:tc>
          <w:tcPr>
            <w:tcW w:w="7942" w:type="dxa"/>
            <w:tcBorders>
              <w:top w:val="single" w:color="auto" w:sz="4" w:space="0"/>
              <w:left w:val="single" w:color="auto" w:sz="4" w:space="0"/>
              <w:bottom w:val="single" w:color="auto" w:sz="4" w:space="0"/>
              <w:right w:val="single" w:color="auto" w:sz="4" w:space="0"/>
            </w:tcBorders>
            <w:vAlign w:val="center"/>
          </w:tcPr>
          <w:p w14:paraId="2A21EB8E">
            <w:pPr>
              <w:pageBreakBefore w:val="0"/>
              <w:kinsoku/>
              <w:overflowPunct/>
              <w:topLinePunct w:val="0"/>
              <w:autoSpaceDE w:val="0"/>
              <w:autoSpaceDN w:val="0"/>
              <w:bidi w:val="0"/>
              <w:snapToGrid w:val="0"/>
              <w:spacing w:line="360" w:lineRule="auto"/>
              <w:ind w:firstLine="420"/>
              <w:textAlignment w:val="bottom"/>
              <w:rPr>
                <w:rFonts w:ascii="Times New Roman" w:hAnsi="Times New Roman"/>
                <w:color w:val="000000"/>
                <w:szCs w:val="21"/>
              </w:rPr>
            </w:pPr>
            <w:r>
              <w:rPr>
                <w:rFonts w:hint="eastAsia" w:ascii="Times New Roman" w:hAnsi="Times New Roman"/>
                <w:color w:val="000000"/>
                <w:szCs w:val="21"/>
              </w:rPr>
              <w:t>投标文件份数：（</w:t>
            </w:r>
            <w:r>
              <w:rPr>
                <w:rFonts w:ascii="Times New Roman" w:hAnsi="Times New Roman"/>
                <w:color w:val="000000"/>
                <w:szCs w:val="21"/>
              </w:rPr>
              <w:t>1</w:t>
            </w:r>
            <w:r>
              <w:rPr>
                <w:rFonts w:hint="eastAsia" w:ascii="Times New Roman" w:hAnsi="Times New Roman"/>
                <w:color w:val="000000"/>
                <w:szCs w:val="21"/>
              </w:rPr>
              <w:t>）“电子加密投标文件”：在线上传递交、一份。（</w:t>
            </w:r>
            <w:r>
              <w:rPr>
                <w:rFonts w:ascii="Times New Roman" w:hAnsi="Times New Roman"/>
                <w:color w:val="000000"/>
                <w:szCs w:val="21"/>
              </w:rPr>
              <w:t>2</w:t>
            </w:r>
            <w:r>
              <w:rPr>
                <w:rFonts w:hint="eastAsia" w:ascii="Times New Roman" w:hAnsi="Times New Roman"/>
                <w:color w:val="000000"/>
                <w:szCs w:val="21"/>
              </w:rPr>
              <w:t>）“备份投标文件”：密封包装后（邮寄形式）投标截止时间前递交、一份（邮寄地址：</w:t>
            </w:r>
            <w:r>
              <w:rPr>
                <w:rFonts w:hint="eastAsia" w:ascii="Times New Roman" w:hAnsi="Times New Roman"/>
                <w:color w:val="000000"/>
                <w:szCs w:val="21"/>
                <w:lang w:val="en-US" w:eastAsia="zh-CN"/>
              </w:rPr>
              <w:t>嘉兴市秀洲区洪波路1200号万豪大厦1204室</w:t>
            </w:r>
            <w:r>
              <w:rPr>
                <w:rFonts w:hint="eastAsia" w:ascii="Times New Roman" w:hAnsi="Times New Roman"/>
                <w:color w:val="000000"/>
                <w:szCs w:val="21"/>
              </w:rPr>
              <w:t>（</w:t>
            </w:r>
            <w:r>
              <w:rPr>
                <w:rFonts w:hint="eastAsia" w:ascii="Times New Roman" w:hAnsi="Times New Roman"/>
                <w:color w:val="000000"/>
                <w:szCs w:val="21"/>
                <w:lang w:val="en-US" w:eastAsia="zh-CN"/>
              </w:rPr>
              <w:t>周翠莲</w:t>
            </w:r>
            <w:r>
              <w:rPr>
                <w:rFonts w:hint="eastAsia" w:ascii="Times New Roman" w:hAnsi="Times New Roman"/>
                <w:color w:val="000000"/>
                <w:szCs w:val="21"/>
              </w:rPr>
              <w:t>，</w:t>
            </w:r>
            <w:r>
              <w:rPr>
                <w:rFonts w:hint="eastAsia" w:ascii="Times New Roman" w:hAnsi="Times New Roman"/>
                <w:color w:val="000000"/>
                <w:szCs w:val="21"/>
                <w:lang w:val="en-US" w:eastAsia="zh-CN"/>
              </w:rPr>
              <w:t>15824313890</w:t>
            </w:r>
            <w:r>
              <w:rPr>
                <w:rFonts w:hint="eastAsia" w:ascii="Times New Roman" w:hAnsi="Times New Roman"/>
                <w:color w:val="000000"/>
                <w:szCs w:val="21"/>
              </w:rPr>
              <w:t>）。</w:t>
            </w:r>
          </w:p>
        </w:tc>
      </w:tr>
      <w:tr w14:paraId="1CF7713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824" w:type="dxa"/>
            <w:tcBorders>
              <w:top w:val="single" w:color="auto" w:sz="4" w:space="0"/>
              <w:left w:val="single" w:color="auto" w:sz="4" w:space="0"/>
              <w:bottom w:val="single" w:color="auto" w:sz="4" w:space="0"/>
              <w:right w:val="single" w:color="auto" w:sz="4" w:space="0"/>
            </w:tcBorders>
            <w:vAlign w:val="center"/>
          </w:tcPr>
          <w:p w14:paraId="65E9B241">
            <w:pPr>
              <w:pageBreakBefore w:val="0"/>
              <w:kinsoku/>
              <w:overflowPunct/>
              <w:topLinePunct w:val="0"/>
              <w:bidi w:val="0"/>
              <w:snapToGrid w:val="0"/>
              <w:spacing w:line="360" w:lineRule="auto"/>
              <w:jc w:val="center"/>
              <w:rPr>
                <w:rFonts w:ascii="Times New Roman" w:hAnsi="Times New Roman"/>
                <w:color w:val="000000"/>
                <w:szCs w:val="21"/>
              </w:rPr>
            </w:pPr>
            <w:r>
              <w:rPr>
                <w:rFonts w:ascii="Times New Roman" w:hAnsi="Times New Roman"/>
                <w:color w:val="000000"/>
                <w:szCs w:val="21"/>
              </w:rPr>
              <w:t>10</w:t>
            </w:r>
          </w:p>
        </w:tc>
        <w:tc>
          <w:tcPr>
            <w:tcW w:w="7942" w:type="dxa"/>
            <w:tcBorders>
              <w:top w:val="single" w:color="auto" w:sz="4" w:space="0"/>
              <w:left w:val="single" w:color="auto" w:sz="4" w:space="0"/>
              <w:bottom w:val="single" w:color="auto" w:sz="4" w:space="0"/>
              <w:right w:val="single" w:color="auto" w:sz="4" w:space="0"/>
            </w:tcBorders>
            <w:vAlign w:val="center"/>
          </w:tcPr>
          <w:p w14:paraId="0A0476BA">
            <w:pPr>
              <w:pageBreakBefore w:val="0"/>
              <w:kinsoku/>
              <w:overflowPunct/>
              <w:topLinePunct w:val="0"/>
              <w:bidi w:val="0"/>
              <w:snapToGrid w:val="0"/>
              <w:spacing w:line="360" w:lineRule="auto"/>
              <w:ind w:firstLine="420"/>
              <w:jc w:val="left"/>
              <w:rPr>
                <w:rFonts w:ascii="Times New Roman" w:hAnsi="Times New Roman"/>
                <w:color w:val="000000"/>
                <w:szCs w:val="21"/>
              </w:rPr>
            </w:pPr>
            <w:r>
              <w:rPr>
                <w:rFonts w:hint="eastAsia" w:ascii="Times New Roman" w:hAnsi="Times New Roman"/>
                <w:color w:val="000000"/>
                <w:szCs w:val="21"/>
              </w:rPr>
              <w:t>投标文件的上传和递交：</w:t>
            </w:r>
          </w:p>
          <w:p w14:paraId="150063E8">
            <w:pPr>
              <w:pageBreakBefore w:val="0"/>
              <w:kinsoku/>
              <w:overflowPunct/>
              <w:topLinePunct w:val="0"/>
              <w:bidi w:val="0"/>
              <w:snapToGrid w:val="0"/>
              <w:spacing w:line="360" w:lineRule="auto"/>
              <w:ind w:firstLine="420"/>
              <w:jc w:val="left"/>
              <w:rPr>
                <w:rFonts w:ascii="Times New Roman" w:hAnsi="Times New Roman"/>
                <w:color w:val="000000"/>
                <w:szCs w:val="21"/>
              </w:rPr>
            </w:pPr>
            <w:r>
              <w:rPr>
                <w:rFonts w:hint="eastAsia" w:ascii="Times New Roman" w:hAnsi="Times New Roman"/>
                <w:color w:val="000000"/>
                <w:szCs w:val="21"/>
              </w:rPr>
              <w:t>（</w:t>
            </w:r>
            <w:r>
              <w:rPr>
                <w:rFonts w:ascii="Times New Roman" w:hAnsi="Times New Roman"/>
                <w:color w:val="000000"/>
                <w:szCs w:val="21"/>
              </w:rPr>
              <w:t>1</w:t>
            </w:r>
            <w:r>
              <w:rPr>
                <w:rFonts w:hint="eastAsia" w:ascii="Times New Roman" w:hAnsi="Times New Roman"/>
                <w:color w:val="000000"/>
                <w:szCs w:val="21"/>
              </w:rPr>
              <w:t>）“电子加密投标文件”的上传、递交：</w:t>
            </w:r>
          </w:p>
          <w:p w14:paraId="3296E26D">
            <w:pPr>
              <w:pageBreakBefore w:val="0"/>
              <w:kinsoku/>
              <w:overflowPunct/>
              <w:topLinePunct w:val="0"/>
              <w:bidi w:val="0"/>
              <w:snapToGrid w:val="0"/>
              <w:spacing w:line="360" w:lineRule="auto"/>
              <w:ind w:firstLine="420"/>
              <w:jc w:val="left"/>
              <w:rPr>
                <w:rFonts w:ascii="Times New Roman" w:hAnsi="Times New Roman"/>
                <w:color w:val="000000"/>
                <w:szCs w:val="21"/>
              </w:rPr>
            </w:pPr>
            <w:r>
              <w:rPr>
                <w:rFonts w:ascii="Times New Roman" w:hAnsi="Times New Roman"/>
                <w:color w:val="000000"/>
                <w:szCs w:val="21"/>
              </w:rPr>
              <w:t>a.</w:t>
            </w:r>
            <w:r>
              <w:rPr>
                <w:rFonts w:hint="eastAsia" w:ascii="Times New Roman" w:hAnsi="Times New Roman"/>
                <w:color w:val="000000"/>
                <w:szCs w:val="21"/>
              </w:rPr>
              <w:t>投标供应商应在投标截止时间前将“电子加密投标文件”成功上传递交至“政府采购云平台”，否则投标无效。</w:t>
            </w:r>
          </w:p>
          <w:p w14:paraId="03EBE252">
            <w:pPr>
              <w:pageBreakBefore w:val="0"/>
              <w:kinsoku/>
              <w:overflowPunct/>
              <w:topLinePunct w:val="0"/>
              <w:bidi w:val="0"/>
              <w:snapToGrid w:val="0"/>
              <w:spacing w:line="360" w:lineRule="auto"/>
              <w:ind w:firstLine="420"/>
              <w:jc w:val="left"/>
              <w:rPr>
                <w:rFonts w:ascii="Times New Roman" w:hAnsi="Times New Roman"/>
                <w:color w:val="000000"/>
                <w:szCs w:val="21"/>
              </w:rPr>
            </w:pPr>
            <w:r>
              <w:rPr>
                <w:rFonts w:ascii="Times New Roman" w:hAnsi="Times New Roman"/>
                <w:color w:val="000000"/>
                <w:szCs w:val="21"/>
              </w:rPr>
              <w:t>b.</w:t>
            </w:r>
            <w:r>
              <w:rPr>
                <w:rFonts w:hint="eastAsia" w:ascii="Times New Roman" w:hAnsi="Times New Roman"/>
                <w:color w:val="000000"/>
                <w:szCs w:val="21"/>
              </w:rPr>
              <w:t>“电子加密投标文件”成功上传递交后，供应商可自行打印投标文件接收回执。</w:t>
            </w:r>
          </w:p>
          <w:p w14:paraId="55F01C68">
            <w:pPr>
              <w:pageBreakBefore w:val="0"/>
              <w:kinsoku/>
              <w:overflowPunct/>
              <w:topLinePunct w:val="0"/>
              <w:bidi w:val="0"/>
              <w:snapToGrid w:val="0"/>
              <w:spacing w:line="360" w:lineRule="auto"/>
              <w:ind w:firstLine="420"/>
              <w:jc w:val="left"/>
              <w:rPr>
                <w:rFonts w:ascii="Times New Roman" w:hAnsi="Times New Roman"/>
                <w:color w:val="000000"/>
                <w:szCs w:val="21"/>
              </w:rPr>
            </w:pPr>
            <w:r>
              <w:rPr>
                <w:rFonts w:hint="eastAsia" w:ascii="Times New Roman" w:hAnsi="Times New Roman"/>
                <w:color w:val="000000"/>
                <w:szCs w:val="21"/>
              </w:rPr>
              <w:t>（</w:t>
            </w:r>
            <w:r>
              <w:rPr>
                <w:rFonts w:ascii="Times New Roman" w:hAnsi="Times New Roman"/>
                <w:color w:val="000000"/>
                <w:szCs w:val="21"/>
              </w:rPr>
              <w:t>2</w:t>
            </w:r>
            <w:r>
              <w:rPr>
                <w:rFonts w:hint="eastAsia" w:ascii="Times New Roman" w:hAnsi="Times New Roman"/>
                <w:color w:val="000000"/>
                <w:szCs w:val="21"/>
              </w:rPr>
              <w:t>）“备份投标文件”的密封包装、递交：</w:t>
            </w:r>
          </w:p>
          <w:p w14:paraId="3CEDAA7F">
            <w:pPr>
              <w:pageBreakBefore w:val="0"/>
              <w:kinsoku/>
              <w:overflowPunct/>
              <w:topLinePunct w:val="0"/>
              <w:bidi w:val="0"/>
              <w:snapToGrid w:val="0"/>
              <w:spacing w:line="360" w:lineRule="auto"/>
              <w:ind w:firstLine="420"/>
              <w:jc w:val="left"/>
              <w:rPr>
                <w:rFonts w:ascii="Times New Roman" w:hAnsi="Times New Roman"/>
                <w:color w:val="000000"/>
                <w:szCs w:val="21"/>
              </w:rPr>
            </w:pPr>
            <w:r>
              <w:rPr>
                <w:rFonts w:ascii="Times New Roman" w:hAnsi="Times New Roman"/>
                <w:color w:val="000000"/>
                <w:szCs w:val="21"/>
              </w:rPr>
              <w:t>a.</w:t>
            </w:r>
            <w:r>
              <w:rPr>
                <w:rFonts w:hint="eastAsia" w:ascii="Times New Roman" w:hAnsi="Times New Roman"/>
                <w:color w:val="000000"/>
                <w:szCs w:val="21"/>
              </w:rPr>
              <w:t>投标供应商在“政府采购云平台”完成“电子加密投标文件”的上传递交后，还可以（邮寄形式）在投标截止时间前递交以介质（</w:t>
            </w:r>
            <w:r>
              <w:rPr>
                <w:rFonts w:ascii="Times New Roman" w:hAnsi="Times New Roman"/>
                <w:color w:val="000000"/>
                <w:szCs w:val="21"/>
              </w:rPr>
              <w:t>U</w:t>
            </w:r>
            <w:r>
              <w:rPr>
                <w:rFonts w:hint="eastAsia" w:ascii="Times New Roman" w:hAnsi="Times New Roman"/>
                <w:color w:val="000000"/>
                <w:szCs w:val="21"/>
              </w:rPr>
              <w:t>盘）存储的</w:t>
            </w:r>
            <w:r>
              <w:rPr>
                <w:rFonts w:ascii="Times New Roman" w:hAnsi="Times New Roman"/>
                <w:color w:val="000000"/>
                <w:szCs w:val="21"/>
              </w:rPr>
              <w:t xml:space="preserve"> </w:t>
            </w:r>
            <w:r>
              <w:rPr>
                <w:rFonts w:hint="eastAsia" w:ascii="Times New Roman" w:hAnsi="Times New Roman"/>
                <w:color w:val="000000"/>
                <w:szCs w:val="21"/>
              </w:rPr>
              <w:t>“备份投标文件”（一份）；</w:t>
            </w:r>
          </w:p>
          <w:p w14:paraId="47317D11">
            <w:pPr>
              <w:pageBreakBefore w:val="0"/>
              <w:kinsoku/>
              <w:overflowPunct/>
              <w:topLinePunct w:val="0"/>
              <w:bidi w:val="0"/>
              <w:snapToGrid w:val="0"/>
              <w:spacing w:line="360" w:lineRule="auto"/>
              <w:ind w:firstLine="420"/>
              <w:jc w:val="left"/>
              <w:rPr>
                <w:rFonts w:ascii="Times New Roman" w:hAnsi="Times New Roman"/>
                <w:color w:val="000000"/>
                <w:szCs w:val="21"/>
              </w:rPr>
            </w:pPr>
            <w:r>
              <w:rPr>
                <w:rFonts w:ascii="Times New Roman" w:hAnsi="Times New Roman"/>
                <w:color w:val="000000"/>
                <w:szCs w:val="21"/>
              </w:rPr>
              <w:t>b.</w:t>
            </w:r>
            <w:r>
              <w:rPr>
                <w:rFonts w:hint="eastAsia" w:ascii="Times New Roman" w:hAnsi="Times New Roman"/>
                <w:color w:val="000000"/>
                <w:szCs w:val="21"/>
              </w:rPr>
              <w:t>“备份投标文件”应当密封包装，并在包装上标注投标项目名称、投标单位名称并加盖公章。没有密封包装或者逾期邮寄送达至上述邮寄地点的“备份投标文件”将不予接收；</w:t>
            </w:r>
          </w:p>
          <w:p w14:paraId="5FF3CF75">
            <w:pPr>
              <w:pageBreakBefore w:val="0"/>
              <w:kinsoku/>
              <w:overflowPunct/>
              <w:topLinePunct w:val="0"/>
              <w:bidi w:val="0"/>
              <w:snapToGrid w:val="0"/>
              <w:spacing w:line="360" w:lineRule="auto"/>
              <w:ind w:firstLine="420"/>
              <w:jc w:val="left"/>
              <w:rPr>
                <w:rFonts w:ascii="Times New Roman" w:hAnsi="Times New Roman"/>
                <w:color w:val="000000"/>
                <w:szCs w:val="21"/>
              </w:rPr>
            </w:pPr>
            <w:r>
              <w:rPr>
                <w:rFonts w:ascii="Times New Roman" w:hAnsi="Times New Roman"/>
                <w:color w:val="000000"/>
                <w:szCs w:val="21"/>
              </w:rPr>
              <w:t>c.</w:t>
            </w:r>
            <w:r>
              <w:rPr>
                <w:rFonts w:hint="eastAsia" w:ascii="Times New Roman" w:hAnsi="Times New Roman"/>
                <w:color w:val="000000"/>
                <w:szCs w:val="21"/>
              </w:rPr>
              <w:t>通过“政府采购云平台”成功上传递交的“电子加密投标文件”已按时解密的，“备份投标文件”自动失效。</w:t>
            </w:r>
            <w:r>
              <w:rPr>
                <w:rFonts w:hint="eastAsia" w:ascii="Times New Roman" w:hAnsi="Times New Roman"/>
                <w:b/>
                <w:bCs/>
                <w:color w:val="000000"/>
                <w:szCs w:val="21"/>
              </w:rPr>
              <w:t>投标截止时间前，投标供应商仅递交了“备份投标文件”而未将“电子加密投标文件”成功上传至“政府采购云平台”的，投标无效。</w:t>
            </w:r>
          </w:p>
        </w:tc>
      </w:tr>
      <w:tr w14:paraId="07A2C5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824" w:type="dxa"/>
            <w:tcBorders>
              <w:top w:val="single" w:color="auto" w:sz="4" w:space="0"/>
              <w:left w:val="single" w:color="auto" w:sz="4" w:space="0"/>
              <w:bottom w:val="single" w:color="auto" w:sz="4" w:space="0"/>
              <w:right w:val="single" w:color="auto" w:sz="4" w:space="0"/>
            </w:tcBorders>
            <w:vAlign w:val="center"/>
          </w:tcPr>
          <w:p w14:paraId="5811948A">
            <w:pPr>
              <w:pageBreakBefore w:val="0"/>
              <w:kinsoku/>
              <w:overflowPunct/>
              <w:topLinePunct w:val="0"/>
              <w:bidi w:val="0"/>
              <w:snapToGrid w:val="0"/>
              <w:spacing w:line="360" w:lineRule="auto"/>
              <w:jc w:val="center"/>
              <w:rPr>
                <w:rFonts w:ascii="Times New Roman" w:hAnsi="Times New Roman"/>
                <w:color w:val="000000"/>
                <w:szCs w:val="21"/>
              </w:rPr>
            </w:pPr>
            <w:r>
              <w:rPr>
                <w:rFonts w:ascii="Times New Roman" w:hAnsi="Times New Roman"/>
                <w:color w:val="000000"/>
                <w:szCs w:val="21"/>
              </w:rPr>
              <w:t>11</w:t>
            </w:r>
          </w:p>
        </w:tc>
        <w:tc>
          <w:tcPr>
            <w:tcW w:w="7942" w:type="dxa"/>
            <w:tcBorders>
              <w:top w:val="single" w:color="auto" w:sz="4" w:space="0"/>
              <w:left w:val="single" w:color="auto" w:sz="4" w:space="0"/>
              <w:bottom w:val="single" w:color="auto" w:sz="4" w:space="0"/>
              <w:right w:val="single" w:color="auto" w:sz="4" w:space="0"/>
            </w:tcBorders>
            <w:vAlign w:val="center"/>
          </w:tcPr>
          <w:p w14:paraId="3972590A">
            <w:pPr>
              <w:pageBreakBefore w:val="0"/>
              <w:kinsoku/>
              <w:overflowPunct/>
              <w:topLinePunct w:val="0"/>
              <w:bidi w:val="0"/>
              <w:snapToGrid w:val="0"/>
              <w:spacing w:line="360" w:lineRule="auto"/>
              <w:ind w:firstLine="420"/>
              <w:jc w:val="left"/>
              <w:rPr>
                <w:rFonts w:ascii="Times New Roman" w:hAnsi="Times New Roman"/>
                <w:color w:val="000000"/>
                <w:szCs w:val="21"/>
              </w:rPr>
            </w:pPr>
            <w:r>
              <w:rPr>
                <w:rFonts w:hint="eastAsia" w:ascii="Times New Roman" w:hAnsi="Times New Roman"/>
                <w:color w:val="000000"/>
                <w:szCs w:val="21"/>
              </w:rPr>
              <w:t>电子加密投标文件的解密和异常情况处理：</w:t>
            </w:r>
          </w:p>
          <w:p w14:paraId="4A8EA155">
            <w:pPr>
              <w:pageBreakBefore w:val="0"/>
              <w:kinsoku/>
              <w:overflowPunct/>
              <w:topLinePunct w:val="0"/>
              <w:bidi w:val="0"/>
              <w:snapToGrid w:val="0"/>
              <w:spacing w:line="360" w:lineRule="auto"/>
              <w:ind w:firstLine="420"/>
              <w:jc w:val="left"/>
              <w:rPr>
                <w:rFonts w:ascii="Times New Roman" w:hAnsi="Times New Roman"/>
                <w:color w:val="000000"/>
                <w:szCs w:val="21"/>
              </w:rPr>
            </w:pPr>
            <w:r>
              <w:rPr>
                <w:rFonts w:hint="eastAsia" w:ascii="Times New Roman" w:hAnsi="Times New Roman"/>
                <w:color w:val="000000"/>
                <w:szCs w:val="21"/>
              </w:rPr>
              <w:t>（</w:t>
            </w:r>
            <w:r>
              <w:rPr>
                <w:rFonts w:ascii="Times New Roman" w:hAnsi="Times New Roman"/>
                <w:color w:val="000000"/>
                <w:szCs w:val="21"/>
              </w:rPr>
              <w:t>1</w:t>
            </w:r>
            <w:r>
              <w:rPr>
                <w:rFonts w:hint="eastAsia" w:ascii="Times New Roman" w:hAnsi="Times New Roman"/>
                <w:color w:val="000000"/>
                <w:szCs w:val="21"/>
              </w:rPr>
              <w:t>）开标后，采购组织机构将向各投标供应商发出“电子加密投标文件”的解密通知，各投标供应商代表应当在接到解密通知后</w:t>
            </w:r>
            <w:r>
              <w:rPr>
                <w:rFonts w:ascii="Times New Roman" w:hAnsi="Times New Roman"/>
                <w:color w:val="000000"/>
                <w:szCs w:val="21"/>
              </w:rPr>
              <w:t>30</w:t>
            </w:r>
            <w:r>
              <w:rPr>
                <w:rFonts w:hint="eastAsia" w:ascii="Times New Roman" w:hAnsi="Times New Roman"/>
                <w:color w:val="000000"/>
                <w:szCs w:val="21"/>
              </w:rPr>
              <w:t>分钟内自行完成“电子加密投标文件”的在线解密。</w:t>
            </w:r>
          </w:p>
          <w:p w14:paraId="4A7A97EF">
            <w:pPr>
              <w:pageBreakBefore w:val="0"/>
              <w:kinsoku/>
              <w:overflowPunct/>
              <w:topLinePunct w:val="0"/>
              <w:bidi w:val="0"/>
              <w:snapToGrid w:val="0"/>
              <w:spacing w:line="360" w:lineRule="auto"/>
              <w:ind w:firstLine="420"/>
              <w:jc w:val="left"/>
              <w:rPr>
                <w:rFonts w:ascii="Times New Roman" w:hAnsi="Times New Roman"/>
                <w:color w:val="000000"/>
                <w:szCs w:val="21"/>
              </w:rPr>
            </w:pPr>
            <w:r>
              <w:rPr>
                <w:rFonts w:hint="eastAsia" w:ascii="Times New Roman" w:hAnsi="Times New Roman"/>
                <w:color w:val="000000"/>
                <w:szCs w:val="21"/>
              </w:rPr>
              <w:t>（</w:t>
            </w:r>
            <w:r>
              <w:rPr>
                <w:rFonts w:ascii="Times New Roman" w:hAnsi="Times New Roman"/>
                <w:color w:val="000000"/>
                <w:szCs w:val="21"/>
              </w:rPr>
              <w:t>2</w:t>
            </w:r>
            <w:r>
              <w:rPr>
                <w:rFonts w:hint="eastAsia" w:ascii="Times New Roman" w:hAnsi="Times New Roman"/>
                <w:color w:val="000000"/>
                <w:szCs w:val="21"/>
              </w:rPr>
              <w:t>）通过“政府采购云平台”成功上传递交的“电子加密投标文件”无法按时解密，投标供应商如按规定递交了“备份投标文件”的，以“备份投标文件”为依据（由采购组织机构按“政府采购云平台”操作规范将“备份投标文件”上传至“政府采购云平台”，上传成功后，“电子加密投标文件”自动失效），否则视为投标文件撤回。</w:t>
            </w:r>
          </w:p>
          <w:p w14:paraId="2D7145BF">
            <w:pPr>
              <w:pageBreakBefore w:val="0"/>
              <w:kinsoku/>
              <w:overflowPunct/>
              <w:topLinePunct w:val="0"/>
              <w:bidi w:val="0"/>
              <w:snapToGrid w:val="0"/>
              <w:spacing w:line="360" w:lineRule="auto"/>
              <w:ind w:firstLine="420"/>
              <w:jc w:val="left"/>
              <w:rPr>
                <w:rFonts w:ascii="Times New Roman" w:hAnsi="Times New Roman"/>
                <w:color w:val="000000"/>
                <w:szCs w:val="21"/>
              </w:rPr>
            </w:pPr>
            <w:r>
              <w:rPr>
                <w:rFonts w:hint="eastAsia" w:ascii="Times New Roman" w:hAnsi="Times New Roman"/>
                <w:color w:val="000000"/>
                <w:szCs w:val="21"/>
              </w:rPr>
              <w:t>（</w:t>
            </w:r>
            <w:r>
              <w:rPr>
                <w:rFonts w:ascii="Times New Roman" w:hAnsi="Times New Roman"/>
                <w:color w:val="000000"/>
                <w:szCs w:val="21"/>
              </w:rPr>
              <w:t>3</w:t>
            </w:r>
            <w:r>
              <w:rPr>
                <w:rFonts w:hint="eastAsia" w:ascii="Times New Roman" w:hAnsi="Times New Roman"/>
                <w:color w:val="000000"/>
                <w:szCs w:val="21"/>
              </w:rPr>
              <w:t>）投标截止时间前，投标供应商仅递交了“备份投标文件”而未将电子加密投标文件上传至“政府采购云平台”的，投标无效。</w:t>
            </w:r>
          </w:p>
        </w:tc>
      </w:tr>
      <w:tr w14:paraId="55F3FF6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824" w:type="dxa"/>
            <w:tcBorders>
              <w:top w:val="single" w:color="auto" w:sz="4" w:space="0"/>
              <w:left w:val="single" w:color="auto" w:sz="4" w:space="0"/>
              <w:bottom w:val="single" w:color="auto" w:sz="4" w:space="0"/>
              <w:right w:val="single" w:color="auto" w:sz="4" w:space="0"/>
            </w:tcBorders>
            <w:vAlign w:val="center"/>
          </w:tcPr>
          <w:p w14:paraId="2129E0F7">
            <w:pPr>
              <w:pageBreakBefore w:val="0"/>
              <w:kinsoku/>
              <w:overflowPunct/>
              <w:topLinePunct w:val="0"/>
              <w:bidi w:val="0"/>
              <w:snapToGrid w:val="0"/>
              <w:spacing w:line="360" w:lineRule="auto"/>
              <w:jc w:val="center"/>
              <w:rPr>
                <w:rFonts w:ascii="Times New Roman" w:hAnsi="Times New Roman"/>
                <w:color w:val="000000"/>
                <w:szCs w:val="21"/>
              </w:rPr>
            </w:pPr>
            <w:r>
              <w:rPr>
                <w:rFonts w:ascii="Times New Roman" w:hAnsi="Times New Roman"/>
                <w:color w:val="000000"/>
                <w:szCs w:val="21"/>
              </w:rPr>
              <w:t>12</w:t>
            </w:r>
          </w:p>
        </w:tc>
        <w:tc>
          <w:tcPr>
            <w:tcW w:w="7942" w:type="dxa"/>
            <w:tcBorders>
              <w:top w:val="single" w:color="auto" w:sz="4" w:space="0"/>
              <w:left w:val="single" w:color="auto" w:sz="4" w:space="0"/>
              <w:bottom w:val="single" w:color="auto" w:sz="4" w:space="0"/>
              <w:right w:val="single" w:color="auto" w:sz="4" w:space="0"/>
            </w:tcBorders>
            <w:vAlign w:val="center"/>
          </w:tcPr>
          <w:p w14:paraId="55D7A915">
            <w:pPr>
              <w:pageBreakBefore w:val="0"/>
              <w:kinsoku/>
              <w:overflowPunct/>
              <w:topLinePunct w:val="0"/>
              <w:bidi w:val="0"/>
              <w:snapToGrid w:val="0"/>
              <w:spacing w:line="360" w:lineRule="auto"/>
              <w:ind w:firstLine="420"/>
              <w:jc w:val="left"/>
              <w:rPr>
                <w:rFonts w:ascii="Times New Roman" w:hAnsi="Times New Roman"/>
                <w:color w:val="000000"/>
                <w:szCs w:val="21"/>
              </w:rPr>
            </w:pPr>
            <w:r>
              <w:rPr>
                <w:rFonts w:hint="eastAsia" w:ascii="Times New Roman" w:hAnsi="Times New Roman"/>
                <w:color w:val="000000"/>
                <w:szCs w:val="21"/>
              </w:rPr>
              <w:t>投标截止时间及地点：详见第一章公开招标采购公告</w:t>
            </w:r>
            <w:r>
              <w:rPr>
                <w:rFonts w:hint="eastAsia" w:ascii="Times New Roman" w:hAnsi="Times New Roman" w:cs="Arial"/>
                <w:color w:val="000000"/>
                <w:szCs w:val="21"/>
              </w:rPr>
              <w:t>。</w:t>
            </w:r>
          </w:p>
        </w:tc>
      </w:tr>
      <w:tr w14:paraId="2F190CA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4" w:hRule="atLeast"/>
          <w:jc w:val="center"/>
        </w:trPr>
        <w:tc>
          <w:tcPr>
            <w:tcW w:w="824" w:type="dxa"/>
            <w:tcBorders>
              <w:top w:val="single" w:color="auto" w:sz="4" w:space="0"/>
              <w:left w:val="single" w:color="auto" w:sz="4" w:space="0"/>
              <w:bottom w:val="single" w:color="auto" w:sz="4" w:space="0"/>
              <w:right w:val="single" w:color="auto" w:sz="4" w:space="0"/>
            </w:tcBorders>
            <w:vAlign w:val="center"/>
          </w:tcPr>
          <w:p w14:paraId="263322B6">
            <w:pPr>
              <w:pageBreakBefore w:val="0"/>
              <w:kinsoku/>
              <w:overflowPunct/>
              <w:topLinePunct w:val="0"/>
              <w:bidi w:val="0"/>
              <w:snapToGrid w:val="0"/>
              <w:spacing w:line="360" w:lineRule="auto"/>
              <w:jc w:val="center"/>
              <w:rPr>
                <w:rFonts w:ascii="Times New Roman" w:hAnsi="Times New Roman"/>
                <w:color w:val="000000"/>
                <w:szCs w:val="21"/>
              </w:rPr>
            </w:pPr>
            <w:r>
              <w:rPr>
                <w:rFonts w:ascii="Times New Roman" w:hAnsi="Times New Roman"/>
                <w:color w:val="000000"/>
                <w:szCs w:val="21"/>
              </w:rPr>
              <w:t>13</w:t>
            </w:r>
          </w:p>
        </w:tc>
        <w:tc>
          <w:tcPr>
            <w:tcW w:w="7942" w:type="dxa"/>
            <w:tcBorders>
              <w:top w:val="single" w:color="auto" w:sz="4" w:space="0"/>
              <w:left w:val="single" w:color="auto" w:sz="4" w:space="0"/>
              <w:bottom w:val="single" w:color="auto" w:sz="4" w:space="0"/>
              <w:right w:val="single" w:color="auto" w:sz="4" w:space="0"/>
            </w:tcBorders>
            <w:vAlign w:val="center"/>
          </w:tcPr>
          <w:p w14:paraId="1AB67D04">
            <w:pPr>
              <w:pageBreakBefore w:val="0"/>
              <w:kinsoku/>
              <w:overflowPunct/>
              <w:topLinePunct w:val="0"/>
              <w:bidi w:val="0"/>
              <w:snapToGrid w:val="0"/>
              <w:spacing w:line="360" w:lineRule="auto"/>
              <w:ind w:firstLine="420"/>
              <w:jc w:val="left"/>
              <w:rPr>
                <w:rFonts w:ascii="Times New Roman" w:hAnsi="Times New Roman"/>
                <w:color w:val="000000"/>
                <w:szCs w:val="21"/>
              </w:rPr>
            </w:pPr>
            <w:r>
              <w:rPr>
                <w:rFonts w:hint="eastAsia" w:ascii="Times New Roman" w:hAnsi="Times New Roman"/>
                <w:color w:val="000000"/>
                <w:szCs w:val="21"/>
              </w:rPr>
              <w:t>开标时间及地点：详见第一章公开招标采购公告</w:t>
            </w:r>
            <w:r>
              <w:rPr>
                <w:rFonts w:hint="eastAsia" w:ascii="Times New Roman" w:hAnsi="Times New Roman" w:cs="Arial"/>
                <w:color w:val="000000"/>
                <w:szCs w:val="21"/>
              </w:rPr>
              <w:t>。</w:t>
            </w:r>
          </w:p>
        </w:tc>
      </w:tr>
      <w:tr w14:paraId="30AAE4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2" w:hRule="atLeast"/>
          <w:jc w:val="center"/>
        </w:trPr>
        <w:tc>
          <w:tcPr>
            <w:tcW w:w="824" w:type="dxa"/>
            <w:tcBorders>
              <w:top w:val="single" w:color="auto" w:sz="4" w:space="0"/>
              <w:left w:val="single" w:color="auto" w:sz="4" w:space="0"/>
              <w:bottom w:val="single" w:color="auto" w:sz="4" w:space="0"/>
              <w:right w:val="single" w:color="auto" w:sz="4" w:space="0"/>
            </w:tcBorders>
            <w:vAlign w:val="center"/>
          </w:tcPr>
          <w:p w14:paraId="6F308870">
            <w:pPr>
              <w:pageBreakBefore w:val="0"/>
              <w:kinsoku/>
              <w:overflowPunct/>
              <w:topLinePunct w:val="0"/>
              <w:bidi w:val="0"/>
              <w:snapToGrid w:val="0"/>
              <w:spacing w:line="360" w:lineRule="auto"/>
              <w:jc w:val="center"/>
              <w:rPr>
                <w:rFonts w:ascii="Times New Roman" w:hAnsi="Times New Roman"/>
                <w:color w:val="000000"/>
                <w:szCs w:val="21"/>
              </w:rPr>
            </w:pPr>
            <w:r>
              <w:rPr>
                <w:rFonts w:ascii="Times New Roman" w:hAnsi="Times New Roman"/>
                <w:color w:val="000000"/>
                <w:szCs w:val="21"/>
              </w:rPr>
              <w:t>14</w:t>
            </w:r>
          </w:p>
        </w:tc>
        <w:tc>
          <w:tcPr>
            <w:tcW w:w="7942" w:type="dxa"/>
            <w:tcBorders>
              <w:top w:val="single" w:color="auto" w:sz="4" w:space="0"/>
              <w:left w:val="single" w:color="auto" w:sz="4" w:space="0"/>
              <w:bottom w:val="single" w:color="auto" w:sz="4" w:space="0"/>
              <w:right w:val="single" w:color="auto" w:sz="4" w:space="0"/>
            </w:tcBorders>
            <w:vAlign w:val="center"/>
          </w:tcPr>
          <w:p w14:paraId="2E3EFFD2">
            <w:pPr>
              <w:pageBreakBefore w:val="0"/>
              <w:kinsoku/>
              <w:overflowPunct/>
              <w:topLinePunct w:val="0"/>
              <w:bidi w:val="0"/>
              <w:snapToGrid w:val="0"/>
              <w:spacing w:line="360" w:lineRule="auto"/>
              <w:ind w:firstLine="420"/>
              <w:jc w:val="left"/>
              <w:rPr>
                <w:rFonts w:ascii="Times New Roman" w:hAnsi="Times New Roman"/>
                <w:color w:val="000000"/>
                <w:szCs w:val="21"/>
              </w:rPr>
            </w:pPr>
            <w:r>
              <w:rPr>
                <w:rFonts w:hint="eastAsia" w:ascii="Times New Roman" w:hAnsi="Times New Roman"/>
                <w:color w:val="000000"/>
                <w:szCs w:val="21"/>
              </w:rPr>
              <w:t>投标费用：中标单位支付招标代理服务费（收费标准详见招标文件）。</w:t>
            </w:r>
          </w:p>
        </w:tc>
      </w:tr>
      <w:tr w14:paraId="7429B4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9" w:hRule="atLeast"/>
          <w:jc w:val="center"/>
        </w:trPr>
        <w:tc>
          <w:tcPr>
            <w:tcW w:w="824" w:type="dxa"/>
            <w:tcBorders>
              <w:top w:val="single" w:color="auto" w:sz="4" w:space="0"/>
              <w:left w:val="single" w:color="auto" w:sz="4" w:space="0"/>
              <w:bottom w:val="single" w:color="auto" w:sz="4" w:space="0"/>
              <w:right w:val="single" w:color="auto" w:sz="4" w:space="0"/>
            </w:tcBorders>
            <w:vAlign w:val="center"/>
          </w:tcPr>
          <w:p w14:paraId="6F826B13">
            <w:pPr>
              <w:pageBreakBefore w:val="0"/>
              <w:kinsoku/>
              <w:overflowPunct/>
              <w:topLinePunct w:val="0"/>
              <w:bidi w:val="0"/>
              <w:snapToGrid w:val="0"/>
              <w:spacing w:line="360" w:lineRule="auto"/>
              <w:jc w:val="center"/>
              <w:rPr>
                <w:rFonts w:ascii="Times New Roman" w:hAnsi="Times New Roman"/>
                <w:color w:val="000000"/>
                <w:szCs w:val="21"/>
              </w:rPr>
            </w:pPr>
            <w:r>
              <w:rPr>
                <w:rFonts w:ascii="Times New Roman" w:hAnsi="Times New Roman"/>
                <w:color w:val="000000"/>
                <w:szCs w:val="21"/>
              </w:rPr>
              <w:t>15</w:t>
            </w:r>
          </w:p>
        </w:tc>
        <w:tc>
          <w:tcPr>
            <w:tcW w:w="7942" w:type="dxa"/>
            <w:tcBorders>
              <w:top w:val="single" w:color="auto" w:sz="4" w:space="0"/>
              <w:left w:val="single" w:color="auto" w:sz="4" w:space="0"/>
              <w:bottom w:val="single" w:color="auto" w:sz="4" w:space="0"/>
              <w:right w:val="single" w:color="auto" w:sz="4" w:space="0"/>
            </w:tcBorders>
            <w:vAlign w:val="center"/>
          </w:tcPr>
          <w:p w14:paraId="3C8E4B91">
            <w:pPr>
              <w:pageBreakBefore w:val="0"/>
              <w:kinsoku/>
              <w:overflowPunct/>
              <w:topLinePunct w:val="0"/>
              <w:autoSpaceDE w:val="0"/>
              <w:autoSpaceDN w:val="0"/>
              <w:bidi w:val="0"/>
              <w:snapToGrid w:val="0"/>
              <w:spacing w:line="360" w:lineRule="auto"/>
              <w:ind w:firstLine="420"/>
              <w:textAlignment w:val="bottom"/>
              <w:rPr>
                <w:rFonts w:ascii="Times New Roman" w:hAnsi="Times New Roman"/>
                <w:color w:val="000000"/>
                <w:szCs w:val="21"/>
              </w:rPr>
            </w:pPr>
            <w:r>
              <w:rPr>
                <w:rFonts w:hint="eastAsia" w:ascii="Times New Roman" w:hAnsi="Times New Roman"/>
                <w:color w:val="000000"/>
                <w:szCs w:val="21"/>
              </w:rPr>
              <w:t>现场演示：无</w:t>
            </w:r>
          </w:p>
        </w:tc>
      </w:tr>
      <w:tr w14:paraId="77E13A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9" w:hRule="atLeast"/>
          <w:jc w:val="center"/>
        </w:trPr>
        <w:tc>
          <w:tcPr>
            <w:tcW w:w="824" w:type="dxa"/>
            <w:tcBorders>
              <w:top w:val="single" w:color="auto" w:sz="4" w:space="0"/>
              <w:left w:val="single" w:color="auto" w:sz="4" w:space="0"/>
              <w:bottom w:val="single" w:color="auto" w:sz="4" w:space="0"/>
              <w:right w:val="single" w:color="auto" w:sz="4" w:space="0"/>
            </w:tcBorders>
            <w:vAlign w:val="center"/>
          </w:tcPr>
          <w:p w14:paraId="1C04FB45">
            <w:pPr>
              <w:pageBreakBefore w:val="0"/>
              <w:kinsoku/>
              <w:overflowPunct/>
              <w:topLinePunct w:val="0"/>
              <w:bidi w:val="0"/>
              <w:snapToGrid w:val="0"/>
              <w:spacing w:line="360" w:lineRule="auto"/>
              <w:jc w:val="center"/>
              <w:rPr>
                <w:rFonts w:ascii="Times New Roman" w:hAnsi="Times New Roman"/>
                <w:color w:val="000000"/>
                <w:szCs w:val="21"/>
              </w:rPr>
            </w:pPr>
            <w:r>
              <w:rPr>
                <w:rFonts w:ascii="Times New Roman" w:hAnsi="Times New Roman"/>
                <w:color w:val="000000"/>
                <w:szCs w:val="21"/>
              </w:rPr>
              <w:t>16</w:t>
            </w:r>
          </w:p>
        </w:tc>
        <w:tc>
          <w:tcPr>
            <w:tcW w:w="7942" w:type="dxa"/>
            <w:tcBorders>
              <w:top w:val="single" w:color="auto" w:sz="4" w:space="0"/>
              <w:left w:val="single" w:color="auto" w:sz="4" w:space="0"/>
              <w:bottom w:val="single" w:color="auto" w:sz="4" w:space="0"/>
              <w:right w:val="single" w:color="auto" w:sz="4" w:space="0"/>
            </w:tcBorders>
            <w:vAlign w:val="center"/>
          </w:tcPr>
          <w:p w14:paraId="769DBFC0">
            <w:pPr>
              <w:pageBreakBefore w:val="0"/>
              <w:kinsoku/>
              <w:overflowPunct/>
              <w:topLinePunct w:val="0"/>
              <w:autoSpaceDE w:val="0"/>
              <w:autoSpaceDN w:val="0"/>
              <w:bidi w:val="0"/>
              <w:snapToGrid w:val="0"/>
              <w:spacing w:line="360" w:lineRule="auto"/>
              <w:ind w:firstLine="420"/>
              <w:textAlignment w:val="bottom"/>
              <w:rPr>
                <w:rFonts w:ascii="Times New Roman" w:hAnsi="Times New Roman"/>
                <w:color w:val="000000"/>
                <w:szCs w:val="21"/>
              </w:rPr>
            </w:pPr>
            <w:r>
              <w:rPr>
                <w:rFonts w:hint="eastAsia" w:ascii="Times New Roman" w:hAnsi="Times New Roman"/>
                <w:color w:val="000000"/>
                <w:szCs w:val="21"/>
              </w:rPr>
              <w:t>评标办法及评分标准：详见第四章</w:t>
            </w:r>
          </w:p>
        </w:tc>
      </w:tr>
      <w:tr w14:paraId="1F9E58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22" w:hRule="atLeast"/>
          <w:jc w:val="center"/>
        </w:trPr>
        <w:tc>
          <w:tcPr>
            <w:tcW w:w="824" w:type="dxa"/>
            <w:tcBorders>
              <w:top w:val="single" w:color="auto" w:sz="4" w:space="0"/>
              <w:left w:val="single" w:color="auto" w:sz="4" w:space="0"/>
              <w:bottom w:val="single" w:color="auto" w:sz="4" w:space="0"/>
              <w:right w:val="single" w:color="auto" w:sz="4" w:space="0"/>
            </w:tcBorders>
            <w:vAlign w:val="center"/>
          </w:tcPr>
          <w:p w14:paraId="07833B00">
            <w:pPr>
              <w:pageBreakBefore w:val="0"/>
              <w:kinsoku/>
              <w:overflowPunct/>
              <w:topLinePunct w:val="0"/>
              <w:bidi w:val="0"/>
              <w:snapToGrid w:val="0"/>
              <w:spacing w:line="360" w:lineRule="auto"/>
              <w:jc w:val="center"/>
              <w:rPr>
                <w:rFonts w:ascii="Times New Roman" w:hAnsi="Times New Roman"/>
                <w:color w:val="000000"/>
                <w:szCs w:val="21"/>
              </w:rPr>
            </w:pPr>
            <w:r>
              <w:rPr>
                <w:rFonts w:ascii="Times New Roman" w:hAnsi="Times New Roman"/>
                <w:color w:val="000000"/>
                <w:szCs w:val="21"/>
              </w:rPr>
              <w:t>17</w:t>
            </w:r>
          </w:p>
        </w:tc>
        <w:tc>
          <w:tcPr>
            <w:tcW w:w="7942" w:type="dxa"/>
            <w:tcBorders>
              <w:top w:val="single" w:color="auto" w:sz="4" w:space="0"/>
              <w:left w:val="single" w:color="auto" w:sz="4" w:space="0"/>
              <w:bottom w:val="single" w:color="auto" w:sz="4" w:space="0"/>
              <w:right w:val="single" w:color="auto" w:sz="4" w:space="0"/>
            </w:tcBorders>
            <w:vAlign w:val="center"/>
          </w:tcPr>
          <w:p w14:paraId="6B4215CD">
            <w:pPr>
              <w:pageBreakBefore w:val="0"/>
              <w:kinsoku/>
              <w:overflowPunct/>
              <w:topLinePunct w:val="0"/>
              <w:autoSpaceDE w:val="0"/>
              <w:autoSpaceDN w:val="0"/>
              <w:bidi w:val="0"/>
              <w:snapToGrid w:val="0"/>
              <w:spacing w:line="360" w:lineRule="auto"/>
              <w:ind w:firstLine="420"/>
              <w:textAlignment w:val="bottom"/>
              <w:rPr>
                <w:rFonts w:ascii="Times New Roman" w:hAnsi="Times New Roman"/>
                <w:color w:val="000000"/>
                <w:szCs w:val="21"/>
              </w:rPr>
            </w:pPr>
            <w:r>
              <w:rPr>
                <w:rFonts w:hint="eastAsia" w:ascii="Times New Roman" w:hAnsi="Times New Roman"/>
                <w:color w:val="000000"/>
                <w:szCs w:val="21"/>
              </w:rPr>
              <w:t>评标结果公告：</w:t>
            </w:r>
            <w:bookmarkStart w:id="226" w:name="_Hlk11359394"/>
            <w:r>
              <w:rPr>
                <w:rFonts w:hint="eastAsia" w:ascii="Times New Roman" w:hAnsi="Times New Roman"/>
                <w:color w:val="000000"/>
                <w:szCs w:val="21"/>
              </w:rPr>
              <w:t>自中标、成交供应商确定之日起</w:t>
            </w:r>
            <w:r>
              <w:rPr>
                <w:rFonts w:ascii="Times New Roman" w:hAnsi="Times New Roman"/>
                <w:color w:val="000000"/>
                <w:szCs w:val="21"/>
              </w:rPr>
              <w:t>2</w:t>
            </w:r>
            <w:r>
              <w:rPr>
                <w:rFonts w:hint="eastAsia" w:ascii="Times New Roman" w:hAnsi="Times New Roman"/>
                <w:color w:val="000000"/>
                <w:szCs w:val="21"/>
              </w:rPr>
              <w:t>个工作日内，</w:t>
            </w:r>
            <w:bookmarkEnd w:id="226"/>
            <w:r>
              <w:rPr>
                <w:rFonts w:hint="eastAsia" w:ascii="Times New Roman" w:hAnsi="Times New Roman"/>
                <w:color w:val="000000"/>
                <w:szCs w:val="21"/>
              </w:rPr>
              <w:t>评标结果公告于</w:t>
            </w:r>
            <w:r>
              <w:rPr>
                <w:rFonts w:hint="eastAsia" w:ascii="Times New Roman" w:hAnsi="Times New Roman" w:cs="Arial"/>
                <w:color w:val="000000"/>
                <w:szCs w:val="21"/>
              </w:rPr>
              <w:t>浙江省政府采购网</w:t>
            </w:r>
            <w:r>
              <w:rPr>
                <w:rFonts w:ascii="Times New Roman" w:hAnsi="Times New Roman" w:cs="Arial"/>
                <w:color w:val="000000"/>
                <w:szCs w:val="21"/>
              </w:rPr>
              <w:t>(</w:t>
            </w:r>
            <w:r>
              <w:rPr>
                <w:rFonts w:ascii="Times New Roman" w:hAnsi="Times New Roman" w:cs="宋体"/>
                <w:color w:val="000000"/>
                <w:kern w:val="0"/>
                <w:szCs w:val="21"/>
              </w:rPr>
              <w:t>http://www.zjzfcg.gov.cn</w:t>
            </w:r>
            <w:r>
              <w:rPr>
                <w:rFonts w:ascii="Times New Roman" w:hAnsi="Times New Roman" w:cs="Arial"/>
                <w:color w:val="000000"/>
                <w:szCs w:val="21"/>
              </w:rPr>
              <w:t>)</w:t>
            </w:r>
            <w:r>
              <w:rPr>
                <w:rFonts w:hint="eastAsia" w:ascii="Times New Roman" w:hAnsi="Times New Roman" w:cs="Arial"/>
                <w:color w:val="000000"/>
                <w:szCs w:val="21"/>
              </w:rPr>
              <w:t>。</w:t>
            </w:r>
          </w:p>
        </w:tc>
      </w:tr>
      <w:tr w14:paraId="596946F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22" w:hRule="atLeast"/>
          <w:jc w:val="center"/>
        </w:trPr>
        <w:tc>
          <w:tcPr>
            <w:tcW w:w="824" w:type="dxa"/>
            <w:tcBorders>
              <w:top w:val="single" w:color="auto" w:sz="4" w:space="0"/>
              <w:left w:val="single" w:color="auto" w:sz="4" w:space="0"/>
              <w:bottom w:val="single" w:color="auto" w:sz="4" w:space="0"/>
              <w:right w:val="single" w:color="auto" w:sz="4" w:space="0"/>
            </w:tcBorders>
            <w:vAlign w:val="center"/>
          </w:tcPr>
          <w:p w14:paraId="3488B935">
            <w:pPr>
              <w:pageBreakBefore w:val="0"/>
              <w:kinsoku/>
              <w:overflowPunct/>
              <w:topLinePunct w:val="0"/>
              <w:bidi w:val="0"/>
              <w:snapToGrid w:val="0"/>
              <w:spacing w:line="360" w:lineRule="auto"/>
              <w:jc w:val="center"/>
              <w:rPr>
                <w:rFonts w:ascii="Times New Roman" w:hAnsi="Times New Roman"/>
                <w:color w:val="000000"/>
                <w:szCs w:val="21"/>
              </w:rPr>
            </w:pPr>
            <w:r>
              <w:rPr>
                <w:rFonts w:ascii="Times New Roman" w:hAnsi="Times New Roman"/>
                <w:color w:val="000000"/>
                <w:szCs w:val="21"/>
              </w:rPr>
              <w:t>18</w:t>
            </w:r>
          </w:p>
        </w:tc>
        <w:tc>
          <w:tcPr>
            <w:tcW w:w="7942" w:type="dxa"/>
            <w:tcBorders>
              <w:top w:val="single" w:color="auto" w:sz="4" w:space="0"/>
              <w:left w:val="single" w:color="auto" w:sz="4" w:space="0"/>
              <w:bottom w:val="single" w:color="auto" w:sz="4" w:space="0"/>
              <w:right w:val="single" w:color="auto" w:sz="4" w:space="0"/>
            </w:tcBorders>
            <w:vAlign w:val="center"/>
          </w:tcPr>
          <w:p w14:paraId="0805D77F">
            <w:pPr>
              <w:pageBreakBefore w:val="0"/>
              <w:kinsoku/>
              <w:overflowPunct/>
              <w:topLinePunct w:val="0"/>
              <w:autoSpaceDE w:val="0"/>
              <w:autoSpaceDN w:val="0"/>
              <w:bidi w:val="0"/>
              <w:snapToGrid w:val="0"/>
              <w:spacing w:line="360" w:lineRule="auto"/>
              <w:ind w:firstLine="420"/>
              <w:textAlignment w:val="bottom"/>
              <w:rPr>
                <w:rFonts w:ascii="Times New Roman" w:hAnsi="Times New Roman"/>
                <w:color w:val="000000"/>
                <w:szCs w:val="21"/>
              </w:rPr>
            </w:pPr>
            <w:r>
              <w:rPr>
                <w:rFonts w:hint="eastAsia" w:ascii="Times New Roman" w:hAnsi="Times New Roman"/>
                <w:color w:val="000000"/>
                <w:szCs w:val="21"/>
              </w:rPr>
              <w:t>中标公告及中标通知书：中标公告期限为</w:t>
            </w:r>
            <w:r>
              <w:rPr>
                <w:rFonts w:ascii="Times New Roman" w:hAnsi="Times New Roman"/>
                <w:color w:val="000000"/>
                <w:szCs w:val="21"/>
              </w:rPr>
              <w:t>1</w:t>
            </w:r>
            <w:r>
              <w:rPr>
                <w:rFonts w:hint="eastAsia" w:ascii="Times New Roman" w:hAnsi="Times New Roman"/>
                <w:color w:val="000000"/>
                <w:szCs w:val="21"/>
              </w:rPr>
              <w:t>个工作日。在公告中标结果的同时，向中标人发出中标通知书。</w:t>
            </w:r>
          </w:p>
        </w:tc>
      </w:tr>
      <w:tr w14:paraId="3504E3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824" w:type="dxa"/>
            <w:tcBorders>
              <w:top w:val="single" w:color="auto" w:sz="4" w:space="0"/>
              <w:left w:val="single" w:color="auto" w:sz="4" w:space="0"/>
              <w:bottom w:val="single" w:color="auto" w:sz="4" w:space="0"/>
              <w:right w:val="single" w:color="auto" w:sz="4" w:space="0"/>
            </w:tcBorders>
            <w:vAlign w:val="center"/>
          </w:tcPr>
          <w:p w14:paraId="6B63FB4E">
            <w:pPr>
              <w:pageBreakBefore w:val="0"/>
              <w:kinsoku/>
              <w:overflowPunct/>
              <w:topLinePunct w:val="0"/>
              <w:bidi w:val="0"/>
              <w:snapToGrid w:val="0"/>
              <w:spacing w:line="360" w:lineRule="auto"/>
              <w:jc w:val="center"/>
              <w:rPr>
                <w:rFonts w:ascii="Times New Roman" w:hAnsi="Times New Roman"/>
                <w:color w:val="000000"/>
                <w:szCs w:val="21"/>
              </w:rPr>
            </w:pPr>
            <w:r>
              <w:rPr>
                <w:rFonts w:ascii="Times New Roman" w:hAnsi="Times New Roman"/>
                <w:color w:val="000000"/>
                <w:szCs w:val="21"/>
              </w:rPr>
              <w:t>19</w:t>
            </w:r>
          </w:p>
        </w:tc>
        <w:tc>
          <w:tcPr>
            <w:tcW w:w="7942" w:type="dxa"/>
            <w:tcBorders>
              <w:top w:val="single" w:color="auto" w:sz="4" w:space="0"/>
              <w:left w:val="single" w:color="auto" w:sz="4" w:space="0"/>
              <w:bottom w:val="single" w:color="auto" w:sz="4" w:space="0"/>
              <w:right w:val="single" w:color="auto" w:sz="4" w:space="0"/>
            </w:tcBorders>
            <w:vAlign w:val="center"/>
          </w:tcPr>
          <w:p w14:paraId="1EC56387">
            <w:pPr>
              <w:pageBreakBefore w:val="0"/>
              <w:kinsoku/>
              <w:overflowPunct/>
              <w:topLinePunct w:val="0"/>
              <w:autoSpaceDE w:val="0"/>
              <w:autoSpaceDN w:val="0"/>
              <w:bidi w:val="0"/>
              <w:snapToGrid w:val="0"/>
              <w:spacing w:line="360" w:lineRule="auto"/>
              <w:ind w:firstLine="420"/>
              <w:jc w:val="left"/>
              <w:textAlignment w:val="bottom"/>
              <w:rPr>
                <w:rFonts w:ascii="Times New Roman" w:hAnsi="Times New Roman"/>
                <w:color w:val="000000"/>
                <w:szCs w:val="21"/>
              </w:rPr>
            </w:pPr>
            <w:r>
              <w:rPr>
                <w:rFonts w:hint="eastAsia" w:ascii="Times New Roman" w:hAnsi="Times New Roman"/>
                <w:color w:val="000000"/>
                <w:szCs w:val="21"/>
              </w:rPr>
              <w:t>履约保证金：本项目不设置。</w:t>
            </w:r>
          </w:p>
        </w:tc>
      </w:tr>
      <w:tr w14:paraId="14E55E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6" w:hRule="atLeast"/>
          <w:jc w:val="center"/>
        </w:trPr>
        <w:tc>
          <w:tcPr>
            <w:tcW w:w="824" w:type="dxa"/>
            <w:tcBorders>
              <w:top w:val="single" w:color="auto" w:sz="4" w:space="0"/>
              <w:left w:val="single" w:color="auto" w:sz="4" w:space="0"/>
              <w:bottom w:val="single" w:color="auto" w:sz="4" w:space="0"/>
              <w:right w:val="single" w:color="auto" w:sz="4" w:space="0"/>
            </w:tcBorders>
            <w:vAlign w:val="center"/>
          </w:tcPr>
          <w:p w14:paraId="4784CB42">
            <w:pPr>
              <w:pageBreakBefore w:val="0"/>
              <w:kinsoku/>
              <w:overflowPunct/>
              <w:topLinePunct w:val="0"/>
              <w:bidi w:val="0"/>
              <w:snapToGrid w:val="0"/>
              <w:spacing w:line="360" w:lineRule="auto"/>
              <w:jc w:val="center"/>
              <w:rPr>
                <w:rFonts w:ascii="Times New Roman" w:hAnsi="Times New Roman"/>
                <w:color w:val="000000"/>
                <w:szCs w:val="21"/>
              </w:rPr>
            </w:pPr>
            <w:r>
              <w:rPr>
                <w:rFonts w:ascii="Times New Roman" w:hAnsi="Times New Roman"/>
                <w:color w:val="000000"/>
                <w:szCs w:val="21"/>
              </w:rPr>
              <w:t>20</w:t>
            </w:r>
          </w:p>
        </w:tc>
        <w:tc>
          <w:tcPr>
            <w:tcW w:w="7942" w:type="dxa"/>
            <w:tcBorders>
              <w:top w:val="single" w:color="auto" w:sz="4" w:space="0"/>
              <w:left w:val="single" w:color="auto" w:sz="4" w:space="0"/>
              <w:bottom w:val="single" w:color="auto" w:sz="4" w:space="0"/>
              <w:right w:val="single" w:color="auto" w:sz="4" w:space="0"/>
            </w:tcBorders>
            <w:vAlign w:val="center"/>
          </w:tcPr>
          <w:p w14:paraId="50FAFABF">
            <w:pPr>
              <w:pageBreakBefore w:val="0"/>
              <w:kinsoku/>
              <w:overflowPunct/>
              <w:topLinePunct w:val="0"/>
              <w:autoSpaceDE w:val="0"/>
              <w:autoSpaceDN w:val="0"/>
              <w:bidi w:val="0"/>
              <w:snapToGrid w:val="0"/>
              <w:spacing w:line="360" w:lineRule="auto"/>
              <w:ind w:firstLine="420"/>
              <w:textAlignment w:val="bottom"/>
              <w:rPr>
                <w:rFonts w:ascii="Times New Roman" w:hAnsi="Times New Roman"/>
                <w:color w:val="000000"/>
                <w:szCs w:val="21"/>
              </w:rPr>
            </w:pPr>
            <w:r>
              <w:rPr>
                <w:rFonts w:hint="eastAsia" w:ascii="Times New Roman" w:hAnsi="Times New Roman"/>
                <w:color w:val="000000"/>
                <w:szCs w:val="21"/>
              </w:rPr>
              <w:t>签订合同时间：中标通知书发出后</w:t>
            </w:r>
            <w:r>
              <w:rPr>
                <w:rFonts w:ascii="Times New Roman" w:hAnsi="Times New Roman"/>
                <w:color w:val="000000"/>
                <w:szCs w:val="21"/>
              </w:rPr>
              <w:t>30</w:t>
            </w:r>
            <w:r>
              <w:rPr>
                <w:rFonts w:hint="eastAsia" w:ascii="Times New Roman" w:hAnsi="Times New Roman"/>
                <w:color w:val="000000"/>
                <w:szCs w:val="21"/>
              </w:rPr>
              <w:t>日内。</w:t>
            </w:r>
          </w:p>
        </w:tc>
      </w:tr>
      <w:tr w14:paraId="46AF80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24" w:type="dxa"/>
            <w:tcBorders>
              <w:top w:val="single" w:color="auto" w:sz="4" w:space="0"/>
              <w:left w:val="single" w:color="auto" w:sz="4" w:space="0"/>
              <w:bottom w:val="single" w:color="auto" w:sz="4" w:space="0"/>
              <w:right w:val="single" w:color="auto" w:sz="4" w:space="0"/>
            </w:tcBorders>
            <w:vAlign w:val="center"/>
          </w:tcPr>
          <w:p w14:paraId="1F328BA7">
            <w:pPr>
              <w:pageBreakBefore w:val="0"/>
              <w:kinsoku/>
              <w:overflowPunct/>
              <w:topLinePunct w:val="0"/>
              <w:bidi w:val="0"/>
              <w:snapToGrid w:val="0"/>
              <w:spacing w:line="360" w:lineRule="auto"/>
              <w:jc w:val="center"/>
              <w:rPr>
                <w:rFonts w:ascii="Times New Roman" w:hAnsi="Times New Roman"/>
                <w:color w:val="000000"/>
                <w:szCs w:val="21"/>
              </w:rPr>
            </w:pPr>
            <w:r>
              <w:rPr>
                <w:rFonts w:ascii="Times New Roman" w:hAnsi="Times New Roman"/>
                <w:color w:val="000000"/>
                <w:szCs w:val="21"/>
              </w:rPr>
              <w:t>21</w:t>
            </w:r>
          </w:p>
        </w:tc>
        <w:tc>
          <w:tcPr>
            <w:tcW w:w="7942" w:type="dxa"/>
            <w:tcBorders>
              <w:top w:val="single" w:color="auto" w:sz="4" w:space="0"/>
              <w:left w:val="single" w:color="auto" w:sz="4" w:space="0"/>
              <w:bottom w:val="single" w:color="auto" w:sz="4" w:space="0"/>
              <w:right w:val="single" w:color="auto" w:sz="4" w:space="0"/>
            </w:tcBorders>
            <w:vAlign w:val="center"/>
          </w:tcPr>
          <w:p w14:paraId="688EEC6C">
            <w:pPr>
              <w:pageBreakBefore w:val="0"/>
              <w:kinsoku/>
              <w:overflowPunct/>
              <w:topLinePunct w:val="0"/>
              <w:autoSpaceDE w:val="0"/>
              <w:autoSpaceDN w:val="0"/>
              <w:bidi w:val="0"/>
              <w:snapToGrid w:val="0"/>
              <w:spacing w:line="360" w:lineRule="auto"/>
              <w:ind w:firstLine="420"/>
              <w:textAlignment w:val="bottom"/>
              <w:rPr>
                <w:rFonts w:ascii="Times New Roman" w:hAnsi="Times New Roman"/>
                <w:color w:val="000000"/>
                <w:szCs w:val="21"/>
              </w:rPr>
            </w:pPr>
            <w:r>
              <w:rPr>
                <w:rFonts w:hint="eastAsia" w:ascii="Times New Roman" w:hAnsi="Times New Roman"/>
                <w:color w:val="000000"/>
                <w:szCs w:val="21"/>
              </w:rPr>
              <w:t>合同公告：本项目政府采购合同将于签订之日起</w:t>
            </w:r>
            <w:r>
              <w:rPr>
                <w:rFonts w:ascii="Times New Roman" w:hAnsi="Times New Roman"/>
                <w:color w:val="000000"/>
                <w:szCs w:val="21"/>
              </w:rPr>
              <w:t>2</w:t>
            </w:r>
            <w:r>
              <w:rPr>
                <w:rFonts w:hint="eastAsia" w:ascii="Times New Roman" w:hAnsi="Times New Roman"/>
                <w:color w:val="000000"/>
                <w:szCs w:val="21"/>
              </w:rPr>
              <w:t>个工作日内发布于上述媒体，但政府采购合同中涉及国家秘密、商业秘密的内容除外。</w:t>
            </w:r>
          </w:p>
        </w:tc>
      </w:tr>
      <w:tr w14:paraId="6261DD1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24" w:type="dxa"/>
            <w:tcBorders>
              <w:top w:val="single" w:color="auto" w:sz="4" w:space="0"/>
              <w:left w:val="single" w:color="auto" w:sz="4" w:space="0"/>
              <w:bottom w:val="single" w:color="auto" w:sz="4" w:space="0"/>
              <w:right w:val="single" w:color="auto" w:sz="4" w:space="0"/>
            </w:tcBorders>
            <w:vAlign w:val="center"/>
          </w:tcPr>
          <w:p w14:paraId="1B6F1597">
            <w:pPr>
              <w:pageBreakBefore w:val="0"/>
              <w:kinsoku/>
              <w:overflowPunct/>
              <w:topLinePunct w:val="0"/>
              <w:bidi w:val="0"/>
              <w:snapToGrid w:val="0"/>
              <w:spacing w:line="360" w:lineRule="auto"/>
              <w:jc w:val="center"/>
              <w:rPr>
                <w:rFonts w:ascii="Times New Roman" w:hAnsi="Times New Roman"/>
                <w:color w:val="000000"/>
                <w:szCs w:val="21"/>
              </w:rPr>
            </w:pPr>
            <w:r>
              <w:rPr>
                <w:rFonts w:ascii="Times New Roman" w:hAnsi="Times New Roman"/>
                <w:color w:val="000000"/>
                <w:szCs w:val="21"/>
              </w:rPr>
              <w:t>22</w:t>
            </w:r>
          </w:p>
        </w:tc>
        <w:tc>
          <w:tcPr>
            <w:tcW w:w="7942" w:type="dxa"/>
            <w:tcBorders>
              <w:top w:val="single" w:color="auto" w:sz="4" w:space="0"/>
              <w:left w:val="single" w:color="auto" w:sz="4" w:space="0"/>
              <w:bottom w:val="single" w:color="auto" w:sz="4" w:space="0"/>
              <w:right w:val="single" w:color="auto" w:sz="4" w:space="0"/>
            </w:tcBorders>
            <w:vAlign w:val="center"/>
          </w:tcPr>
          <w:p w14:paraId="49EE5099">
            <w:pPr>
              <w:pageBreakBefore w:val="0"/>
              <w:kinsoku/>
              <w:overflowPunct/>
              <w:topLinePunct w:val="0"/>
              <w:autoSpaceDE w:val="0"/>
              <w:autoSpaceDN w:val="0"/>
              <w:bidi w:val="0"/>
              <w:snapToGrid w:val="0"/>
              <w:spacing w:line="360" w:lineRule="auto"/>
              <w:ind w:firstLine="420"/>
              <w:textAlignment w:val="bottom"/>
              <w:rPr>
                <w:rFonts w:ascii="Times New Roman" w:hAnsi="Times New Roman"/>
                <w:color w:val="000000"/>
                <w:szCs w:val="21"/>
              </w:rPr>
            </w:pPr>
            <w:r>
              <w:rPr>
                <w:rFonts w:hint="eastAsia" w:ascii="Times New Roman" w:hAnsi="Times New Roman"/>
                <w:color w:val="000000"/>
                <w:szCs w:val="21"/>
              </w:rPr>
              <w:t>招标文件费用：无。</w:t>
            </w:r>
          </w:p>
        </w:tc>
      </w:tr>
      <w:tr w14:paraId="49B1F3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77" w:hRule="atLeast"/>
          <w:jc w:val="center"/>
        </w:trPr>
        <w:tc>
          <w:tcPr>
            <w:tcW w:w="824" w:type="dxa"/>
            <w:tcBorders>
              <w:top w:val="single" w:color="auto" w:sz="4" w:space="0"/>
              <w:left w:val="single" w:color="auto" w:sz="4" w:space="0"/>
              <w:bottom w:val="single" w:color="auto" w:sz="4" w:space="0"/>
              <w:right w:val="single" w:color="auto" w:sz="4" w:space="0"/>
            </w:tcBorders>
            <w:vAlign w:val="center"/>
          </w:tcPr>
          <w:p w14:paraId="2FF60216">
            <w:pPr>
              <w:pageBreakBefore w:val="0"/>
              <w:kinsoku/>
              <w:overflowPunct/>
              <w:topLinePunct w:val="0"/>
              <w:bidi w:val="0"/>
              <w:snapToGrid w:val="0"/>
              <w:spacing w:line="360" w:lineRule="auto"/>
              <w:jc w:val="center"/>
              <w:rPr>
                <w:rFonts w:ascii="Times New Roman" w:hAnsi="Times New Roman"/>
                <w:color w:val="000000"/>
                <w:szCs w:val="21"/>
              </w:rPr>
            </w:pPr>
            <w:r>
              <w:rPr>
                <w:rFonts w:ascii="Times New Roman" w:hAnsi="Times New Roman"/>
                <w:color w:val="000000"/>
                <w:szCs w:val="21"/>
              </w:rPr>
              <w:t>23</w:t>
            </w:r>
          </w:p>
        </w:tc>
        <w:tc>
          <w:tcPr>
            <w:tcW w:w="7942" w:type="dxa"/>
            <w:tcBorders>
              <w:top w:val="single" w:color="auto" w:sz="4" w:space="0"/>
              <w:left w:val="single" w:color="auto" w:sz="4" w:space="0"/>
              <w:bottom w:val="single" w:color="auto" w:sz="4" w:space="0"/>
              <w:right w:val="single" w:color="auto" w:sz="4" w:space="0"/>
            </w:tcBorders>
            <w:vAlign w:val="center"/>
          </w:tcPr>
          <w:p w14:paraId="5B202117">
            <w:pPr>
              <w:pageBreakBefore w:val="0"/>
              <w:kinsoku/>
              <w:overflowPunct/>
              <w:topLinePunct w:val="0"/>
              <w:autoSpaceDE w:val="0"/>
              <w:autoSpaceDN w:val="0"/>
              <w:bidi w:val="0"/>
              <w:snapToGrid w:val="0"/>
              <w:spacing w:line="360" w:lineRule="auto"/>
              <w:ind w:firstLine="420"/>
              <w:textAlignment w:val="bottom"/>
              <w:rPr>
                <w:rFonts w:ascii="宋体" w:hAnsi="宋体"/>
                <w:color w:val="000000"/>
                <w:szCs w:val="21"/>
              </w:rPr>
            </w:pPr>
            <w:r>
              <w:rPr>
                <w:rFonts w:hint="eastAsia" w:ascii="Times New Roman" w:hAnsi="Times New Roman"/>
                <w:color w:val="000000"/>
                <w:szCs w:val="21"/>
                <w:lang w:val="en-US" w:eastAsia="zh-CN"/>
              </w:rPr>
              <w:t>本项目设最高投标限</w:t>
            </w:r>
            <w:r>
              <w:rPr>
                <w:rFonts w:hint="eastAsia" w:ascii="Times New Roman" w:hAnsi="Times New Roman"/>
                <w:color w:val="000000"/>
                <w:szCs w:val="21"/>
                <w:highlight w:val="none"/>
                <w:lang w:val="en-US" w:eastAsia="zh-CN"/>
              </w:rPr>
              <w:t>价，第一标段：5891106元整、第二标段：3858629元整；报价超过上述最高投标限价的，作无效标处理。</w:t>
            </w:r>
          </w:p>
        </w:tc>
      </w:tr>
      <w:tr w14:paraId="05312A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2" w:hRule="atLeast"/>
          <w:jc w:val="center"/>
        </w:trPr>
        <w:tc>
          <w:tcPr>
            <w:tcW w:w="824" w:type="dxa"/>
            <w:tcBorders>
              <w:top w:val="single" w:color="auto" w:sz="4" w:space="0"/>
              <w:left w:val="single" w:color="auto" w:sz="4" w:space="0"/>
              <w:bottom w:val="single" w:color="auto" w:sz="4" w:space="0"/>
              <w:right w:val="single" w:color="auto" w:sz="4" w:space="0"/>
            </w:tcBorders>
            <w:vAlign w:val="center"/>
          </w:tcPr>
          <w:p w14:paraId="3B509E0E">
            <w:pPr>
              <w:pageBreakBefore w:val="0"/>
              <w:kinsoku/>
              <w:overflowPunct/>
              <w:topLinePunct w:val="0"/>
              <w:bidi w:val="0"/>
              <w:snapToGrid w:val="0"/>
              <w:spacing w:line="360" w:lineRule="auto"/>
              <w:jc w:val="center"/>
              <w:rPr>
                <w:rFonts w:ascii="Times New Roman" w:hAnsi="Times New Roman"/>
                <w:color w:val="000000"/>
                <w:szCs w:val="21"/>
              </w:rPr>
            </w:pPr>
            <w:r>
              <w:rPr>
                <w:rFonts w:ascii="Times New Roman" w:hAnsi="Times New Roman"/>
                <w:color w:val="000000"/>
                <w:szCs w:val="21"/>
              </w:rPr>
              <w:t>24</w:t>
            </w:r>
          </w:p>
        </w:tc>
        <w:tc>
          <w:tcPr>
            <w:tcW w:w="7942" w:type="dxa"/>
            <w:tcBorders>
              <w:top w:val="single" w:color="auto" w:sz="4" w:space="0"/>
              <w:left w:val="single" w:color="auto" w:sz="4" w:space="0"/>
              <w:bottom w:val="single" w:color="auto" w:sz="4" w:space="0"/>
              <w:right w:val="single" w:color="auto" w:sz="4" w:space="0"/>
            </w:tcBorders>
            <w:vAlign w:val="center"/>
          </w:tcPr>
          <w:p w14:paraId="585135D4">
            <w:pPr>
              <w:pageBreakBefore w:val="0"/>
              <w:kinsoku/>
              <w:overflowPunct/>
              <w:topLinePunct w:val="0"/>
              <w:autoSpaceDE w:val="0"/>
              <w:autoSpaceDN w:val="0"/>
              <w:bidi w:val="0"/>
              <w:snapToGrid w:val="0"/>
              <w:spacing w:line="360" w:lineRule="auto"/>
              <w:ind w:firstLine="420"/>
              <w:textAlignment w:val="bottom"/>
              <w:rPr>
                <w:rFonts w:ascii="Times New Roman" w:hAnsi="Times New Roman"/>
                <w:color w:val="000000"/>
                <w:szCs w:val="21"/>
              </w:rPr>
            </w:pPr>
            <w:r>
              <w:rPr>
                <w:rFonts w:hint="eastAsia" w:ascii="Times New Roman" w:hAnsi="Times New Roman"/>
                <w:color w:val="000000"/>
                <w:szCs w:val="21"/>
              </w:rPr>
              <w:t>付款方式：详见第二章招标需求</w:t>
            </w:r>
            <w:r>
              <w:rPr>
                <w:rFonts w:ascii="Times New Roman" w:hAnsi="Times New Roman"/>
                <w:color w:val="000000"/>
                <w:szCs w:val="21"/>
              </w:rPr>
              <w:t xml:space="preserve"> ;</w:t>
            </w:r>
          </w:p>
        </w:tc>
      </w:tr>
      <w:tr w14:paraId="644A6C2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37" w:hRule="atLeast"/>
          <w:jc w:val="center"/>
        </w:trPr>
        <w:tc>
          <w:tcPr>
            <w:tcW w:w="824" w:type="dxa"/>
            <w:tcBorders>
              <w:top w:val="single" w:color="auto" w:sz="4" w:space="0"/>
              <w:left w:val="single" w:color="auto" w:sz="4" w:space="0"/>
              <w:bottom w:val="single" w:color="auto" w:sz="4" w:space="0"/>
              <w:right w:val="single" w:color="auto" w:sz="4" w:space="0"/>
            </w:tcBorders>
            <w:vAlign w:val="center"/>
          </w:tcPr>
          <w:p w14:paraId="22BA46FF">
            <w:pPr>
              <w:pageBreakBefore w:val="0"/>
              <w:kinsoku/>
              <w:overflowPunct/>
              <w:topLinePunct w:val="0"/>
              <w:bidi w:val="0"/>
              <w:snapToGrid w:val="0"/>
              <w:spacing w:line="360" w:lineRule="auto"/>
              <w:jc w:val="center"/>
              <w:rPr>
                <w:rFonts w:ascii="Times New Roman" w:hAnsi="Times New Roman"/>
                <w:color w:val="000000"/>
                <w:szCs w:val="21"/>
              </w:rPr>
            </w:pPr>
            <w:r>
              <w:rPr>
                <w:rFonts w:ascii="Times New Roman" w:hAnsi="Times New Roman"/>
                <w:color w:val="000000"/>
                <w:szCs w:val="21"/>
              </w:rPr>
              <w:t>25</w:t>
            </w:r>
          </w:p>
        </w:tc>
        <w:tc>
          <w:tcPr>
            <w:tcW w:w="7942" w:type="dxa"/>
            <w:tcBorders>
              <w:top w:val="single" w:color="auto" w:sz="4" w:space="0"/>
              <w:left w:val="single" w:color="auto" w:sz="4" w:space="0"/>
              <w:bottom w:val="single" w:color="auto" w:sz="4" w:space="0"/>
              <w:right w:val="single" w:color="auto" w:sz="4" w:space="0"/>
            </w:tcBorders>
            <w:vAlign w:val="center"/>
          </w:tcPr>
          <w:p w14:paraId="0021B3EE">
            <w:pPr>
              <w:pageBreakBefore w:val="0"/>
              <w:kinsoku/>
              <w:overflowPunct/>
              <w:topLinePunct w:val="0"/>
              <w:autoSpaceDE w:val="0"/>
              <w:autoSpaceDN w:val="0"/>
              <w:bidi w:val="0"/>
              <w:snapToGrid w:val="0"/>
              <w:spacing w:line="360" w:lineRule="auto"/>
              <w:ind w:firstLine="420"/>
              <w:textAlignment w:val="bottom"/>
              <w:rPr>
                <w:rFonts w:ascii="Times New Roman" w:hAnsi="Times New Roman"/>
                <w:color w:val="000000"/>
                <w:szCs w:val="21"/>
              </w:rPr>
            </w:pPr>
            <w:r>
              <w:rPr>
                <w:rFonts w:hint="eastAsia" w:ascii="Times New Roman" w:hAnsi="Times New Roman"/>
                <w:color w:val="000000"/>
                <w:szCs w:val="21"/>
              </w:rPr>
              <w:t>投标文件有效期：</w:t>
            </w:r>
            <w:r>
              <w:rPr>
                <w:rFonts w:ascii="Times New Roman" w:hAnsi="Times New Roman" w:cs="Arial"/>
                <w:color w:val="000000"/>
                <w:szCs w:val="21"/>
                <w:u w:val="single"/>
              </w:rPr>
              <w:t>90</w:t>
            </w:r>
            <w:r>
              <w:rPr>
                <w:rFonts w:hint="eastAsia" w:ascii="Times New Roman" w:hAnsi="Times New Roman" w:cs="Arial"/>
                <w:color w:val="000000"/>
                <w:szCs w:val="21"/>
              </w:rPr>
              <w:t>天</w:t>
            </w:r>
          </w:p>
        </w:tc>
      </w:tr>
      <w:tr w14:paraId="7CCEBD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24" w:type="dxa"/>
            <w:tcBorders>
              <w:top w:val="single" w:color="auto" w:sz="4" w:space="0"/>
              <w:left w:val="single" w:color="auto" w:sz="4" w:space="0"/>
              <w:bottom w:val="single" w:color="auto" w:sz="4" w:space="0"/>
              <w:right w:val="single" w:color="auto" w:sz="4" w:space="0"/>
            </w:tcBorders>
            <w:vAlign w:val="center"/>
          </w:tcPr>
          <w:p w14:paraId="2C349579">
            <w:pPr>
              <w:pageBreakBefore w:val="0"/>
              <w:kinsoku/>
              <w:overflowPunct/>
              <w:topLinePunct w:val="0"/>
              <w:bidi w:val="0"/>
              <w:snapToGrid w:val="0"/>
              <w:spacing w:line="360" w:lineRule="auto"/>
              <w:jc w:val="center"/>
              <w:rPr>
                <w:rFonts w:ascii="Times New Roman" w:hAnsi="Times New Roman"/>
                <w:color w:val="000000"/>
                <w:szCs w:val="21"/>
              </w:rPr>
            </w:pPr>
            <w:r>
              <w:rPr>
                <w:rFonts w:ascii="Times New Roman" w:hAnsi="Times New Roman"/>
                <w:color w:val="000000"/>
                <w:szCs w:val="21"/>
              </w:rPr>
              <w:t>26</w:t>
            </w:r>
          </w:p>
        </w:tc>
        <w:tc>
          <w:tcPr>
            <w:tcW w:w="7942" w:type="dxa"/>
            <w:tcBorders>
              <w:top w:val="single" w:color="auto" w:sz="4" w:space="0"/>
              <w:left w:val="single" w:color="auto" w:sz="4" w:space="0"/>
              <w:bottom w:val="single" w:color="auto" w:sz="4" w:space="0"/>
              <w:right w:val="single" w:color="auto" w:sz="4" w:space="0"/>
            </w:tcBorders>
            <w:vAlign w:val="center"/>
          </w:tcPr>
          <w:p w14:paraId="60A02A22">
            <w:pPr>
              <w:pageBreakBefore w:val="0"/>
              <w:kinsoku/>
              <w:overflowPunct/>
              <w:topLinePunct w:val="0"/>
              <w:autoSpaceDE w:val="0"/>
              <w:autoSpaceDN w:val="0"/>
              <w:bidi w:val="0"/>
              <w:spacing w:line="360" w:lineRule="auto"/>
              <w:ind w:firstLine="420"/>
              <w:textAlignment w:val="bottom"/>
              <w:rPr>
                <w:rFonts w:ascii="Times New Roman" w:hAnsi="Times New Roman"/>
                <w:color w:val="000000"/>
                <w:szCs w:val="21"/>
              </w:rPr>
            </w:pPr>
            <w:r>
              <w:rPr>
                <w:rFonts w:hint="eastAsia" w:ascii="Times New Roman" w:hAnsi="Times New Roman"/>
                <w:color w:val="000000"/>
                <w:szCs w:val="21"/>
              </w:rPr>
              <w:t>网上注册：根据《浙江省政府采购供应商注册及诚信管理暂行办法》的规定，政府采购中标或成交供应商必须在“浙江政府采购网</w:t>
            </w:r>
            <w:r>
              <w:rPr>
                <w:rFonts w:ascii="Times New Roman" w:hAnsi="Times New Roman"/>
                <w:color w:val="000000"/>
                <w:szCs w:val="21"/>
              </w:rPr>
              <w:t>(http://www.zjzfcg.gov.cn)</w:t>
            </w:r>
            <w:r>
              <w:rPr>
                <w:rFonts w:hint="eastAsia" w:ascii="Times New Roman" w:hAnsi="Times New Roman"/>
                <w:color w:val="000000"/>
                <w:szCs w:val="21"/>
              </w:rPr>
              <w:t>”上进行正式供应商注册登记。中标供应商在签订合同前，如不注册，视为放弃。</w:t>
            </w:r>
          </w:p>
        </w:tc>
      </w:tr>
      <w:tr w14:paraId="38F915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2" w:hRule="atLeast"/>
          <w:jc w:val="center"/>
        </w:trPr>
        <w:tc>
          <w:tcPr>
            <w:tcW w:w="824" w:type="dxa"/>
            <w:tcBorders>
              <w:top w:val="single" w:color="auto" w:sz="4" w:space="0"/>
              <w:left w:val="single" w:color="auto" w:sz="4" w:space="0"/>
              <w:bottom w:val="single" w:color="auto" w:sz="4" w:space="0"/>
              <w:right w:val="single" w:color="auto" w:sz="4" w:space="0"/>
            </w:tcBorders>
            <w:vAlign w:val="center"/>
          </w:tcPr>
          <w:p w14:paraId="1D037EB6">
            <w:pPr>
              <w:pageBreakBefore w:val="0"/>
              <w:kinsoku/>
              <w:overflowPunct/>
              <w:topLinePunct w:val="0"/>
              <w:bidi w:val="0"/>
              <w:snapToGrid w:val="0"/>
              <w:spacing w:line="360" w:lineRule="auto"/>
              <w:jc w:val="center"/>
              <w:rPr>
                <w:rFonts w:ascii="Times New Roman" w:hAnsi="Times New Roman"/>
                <w:color w:val="000000"/>
                <w:szCs w:val="21"/>
              </w:rPr>
            </w:pPr>
            <w:r>
              <w:rPr>
                <w:rFonts w:ascii="Times New Roman" w:hAnsi="Times New Roman"/>
                <w:color w:val="000000"/>
                <w:szCs w:val="21"/>
              </w:rPr>
              <w:t>27</w:t>
            </w:r>
          </w:p>
        </w:tc>
        <w:tc>
          <w:tcPr>
            <w:tcW w:w="7942" w:type="dxa"/>
            <w:tcBorders>
              <w:top w:val="single" w:color="auto" w:sz="4" w:space="0"/>
              <w:left w:val="single" w:color="auto" w:sz="4" w:space="0"/>
              <w:bottom w:val="single" w:color="auto" w:sz="4" w:space="0"/>
              <w:right w:val="single" w:color="auto" w:sz="4" w:space="0"/>
            </w:tcBorders>
            <w:vAlign w:val="center"/>
          </w:tcPr>
          <w:p w14:paraId="4D8D943D">
            <w:pPr>
              <w:pageBreakBefore w:val="0"/>
              <w:kinsoku/>
              <w:overflowPunct/>
              <w:topLinePunct w:val="0"/>
              <w:autoSpaceDE w:val="0"/>
              <w:autoSpaceDN w:val="0"/>
              <w:bidi w:val="0"/>
              <w:spacing w:line="360" w:lineRule="auto"/>
              <w:ind w:firstLine="420"/>
              <w:textAlignment w:val="bottom"/>
              <w:rPr>
                <w:rFonts w:hint="eastAsia" w:ascii="Times New Roman" w:hAnsi="Times New Roman"/>
                <w:color w:val="000000"/>
                <w:szCs w:val="21"/>
              </w:rPr>
            </w:pPr>
            <w:r>
              <w:rPr>
                <w:rFonts w:hint="eastAsia" w:ascii="Times New Roman" w:hAnsi="Times New Roman"/>
                <w:color w:val="000000"/>
                <w:szCs w:val="21"/>
              </w:rPr>
              <w:t>1.项目属性：服务类。</w:t>
            </w:r>
          </w:p>
          <w:p w14:paraId="0CC50EA0">
            <w:pPr>
              <w:pageBreakBefore w:val="0"/>
              <w:kinsoku/>
              <w:overflowPunct/>
              <w:topLinePunct w:val="0"/>
              <w:autoSpaceDE w:val="0"/>
              <w:autoSpaceDN w:val="0"/>
              <w:bidi w:val="0"/>
              <w:spacing w:line="360" w:lineRule="auto"/>
              <w:ind w:firstLine="420"/>
              <w:textAlignment w:val="bottom"/>
              <w:rPr>
                <w:rFonts w:hint="eastAsia" w:ascii="Times New Roman" w:hAnsi="Times New Roman"/>
                <w:color w:val="000000"/>
                <w:szCs w:val="21"/>
              </w:rPr>
            </w:pPr>
            <w:r>
              <w:rPr>
                <w:rFonts w:hint="eastAsia" w:ascii="Times New Roman" w:hAnsi="Times New Roman"/>
                <w:color w:val="000000"/>
                <w:szCs w:val="21"/>
              </w:rPr>
              <w:t>中小企业划分标准所属行业：具体根据《中小企业划型标准规定》执行。</w:t>
            </w:r>
          </w:p>
          <w:p w14:paraId="6136A9D9">
            <w:pPr>
              <w:pageBreakBefore w:val="0"/>
              <w:kinsoku/>
              <w:overflowPunct/>
              <w:topLinePunct w:val="0"/>
              <w:autoSpaceDE w:val="0"/>
              <w:autoSpaceDN w:val="0"/>
              <w:bidi w:val="0"/>
              <w:spacing w:line="360" w:lineRule="auto"/>
              <w:ind w:firstLine="420"/>
              <w:textAlignment w:val="bottom"/>
              <w:rPr>
                <w:rFonts w:hint="eastAsia" w:ascii="Times New Roman" w:hAnsi="Times New Roman"/>
                <w:color w:val="000000"/>
                <w:szCs w:val="21"/>
              </w:rPr>
            </w:pPr>
            <w:r>
              <w:rPr>
                <w:rFonts w:hint="eastAsia" w:ascii="Times New Roman" w:hAnsi="Times New Roman"/>
                <w:color w:val="000000"/>
                <w:szCs w:val="21"/>
              </w:rPr>
              <w:t>采购标的：</w:t>
            </w:r>
            <w:r>
              <w:rPr>
                <w:rFonts w:hint="eastAsia" w:ascii="Times New Roman" w:hAnsi="Times New Roman"/>
                <w:color w:val="000000"/>
                <w:szCs w:val="21"/>
                <w:lang w:eastAsia="zh-CN"/>
              </w:rPr>
              <w:t>2026年秀洲区县道及以上公路小修及应急抢险项目</w:t>
            </w:r>
            <w:r>
              <w:rPr>
                <w:rFonts w:hint="eastAsia" w:ascii="Times New Roman" w:hAnsi="Times New Roman"/>
                <w:color w:val="000000"/>
                <w:szCs w:val="21"/>
              </w:rPr>
              <w:t>，所属行业：</w:t>
            </w:r>
            <w:r>
              <w:rPr>
                <w:rFonts w:hint="eastAsia" w:ascii="Times New Roman" w:hAnsi="Times New Roman"/>
                <w:color w:val="000000"/>
                <w:szCs w:val="21"/>
                <w:lang w:eastAsia="zh-CN"/>
              </w:rPr>
              <w:t>建筑业</w:t>
            </w:r>
            <w:r>
              <w:rPr>
                <w:rFonts w:hint="eastAsia" w:ascii="Times New Roman" w:hAnsi="Times New Roman"/>
                <w:color w:val="000000"/>
                <w:szCs w:val="21"/>
              </w:rPr>
              <w:t>。</w:t>
            </w:r>
          </w:p>
          <w:p w14:paraId="308F5121">
            <w:pPr>
              <w:pageBreakBefore w:val="0"/>
              <w:kinsoku/>
              <w:overflowPunct/>
              <w:topLinePunct w:val="0"/>
              <w:autoSpaceDE w:val="0"/>
              <w:autoSpaceDN w:val="0"/>
              <w:bidi w:val="0"/>
              <w:spacing w:line="360" w:lineRule="auto"/>
              <w:ind w:firstLine="420"/>
              <w:textAlignment w:val="bottom"/>
              <w:rPr>
                <w:rFonts w:hint="eastAsia" w:ascii="Times New Roman" w:hAnsi="Times New Roman"/>
                <w:color w:val="000000"/>
                <w:szCs w:val="21"/>
              </w:rPr>
            </w:pPr>
            <w:r>
              <w:rPr>
                <w:rFonts w:hint="eastAsia" w:ascii="Times New Roman" w:hAnsi="Times New Roman"/>
                <w:color w:val="000000"/>
                <w:szCs w:val="21"/>
              </w:rPr>
              <w:t>中小企业参加政府采购活动，应当出具财库〔2020〕46号规定的《中小企业声明函》，否则不得享受相关中小企业扶持政策。</w:t>
            </w:r>
          </w:p>
          <w:p w14:paraId="20767954">
            <w:pPr>
              <w:pageBreakBefore w:val="0"/>
              <w:kinsoku/>
              <w:overflowPunct/>
              <w:topLinePunct w:val="0"/>
              <w:bidi w:val="0"/>
              <w:snapToGrid w:val="0"/>
              <w:spacing w:line="360" w:lineRule="auto"/>
              <w:ind w:firstLine="420" w:firstLineChars="200"/>
              <w:rPr>
                <w:rFonts w:ascii="Times New Roman" w:hAnsi="Times New Roman"/>
                <w:kern w:val="0"/>
                <w:szCs w:val="21"/>
              </w:rPr>
            </w:pPr>
            <w:r>
              <w:rPr>
                <w:rFonts w:ascii="Times New Roman" w:hAnsi="Times New Roman"/>
                <w:kern w:val="0"/>
                <w:szCs w:val="21"/>
              </w:rPr>
              <w:t>2.</w:t>
            </w:r>
            <w:r>
              <w:rPr>
                <w:rFonts w:hint="eastAsia" w:ascii="Times New Roman" w:hAnsi="Times New Roman"/>
                <w:kern w:val="0"/>
                <w:szCs w:val="21"/>
              </w:rPr>
              <w:t>根据〔</w:t>
            </w:r>
            <w:r>
              <w:rPr>
                <w:rFonts w:ascii="Times New Roman" w:hAnsi="Times New Roman"/>
                <w:kern w:val="0"/>
                <w:szCs w:val="21"/>
              </w:rPr>
              <w:t>2017</w:t>
            </w:r>
            <w:r>
              <w:rPr>
                <w:rFonts w:hint="eastAsia" w:ascii="Times New Roman" w:hAnsi="Times New Roman"/>
                <w:kern w:val="0"/>
                <w:szCs w:val="21"/>
              </w:rPr>
              <w:t>〕</w:t>
            </w:r>
            <w:r>
              <w:rPr>
                <w:rFonts w:ascii="Times New Roman" w:hAnsi="Times New Roman"/>
                <w:kern w:val="0"/>
                <w:szCs w:val="21"/>
              </w:rPr>
              <w:t>141</w:t>
            </w:r>
            <w:r>
              <w:rPr>
                <w:rFonts w:hint="eastAsia" w:ascii="Times New Roman" w:hAnsi="Times New Roman"/>
                <w:kern w:val="0"/>
                <w:szCs w:val="21"/>
              </w:rPr>
              <w:t>号的相关规定，在政府采购活动中，残疾人福利性单位视同小型、微型企业。属于享受政府采购支持政策的残疾人福利性单位，应满足财库〔</w:t>
            </w:r>
            <w:r>
              <w:rPr>
                <w:rFonts w:ascii="Times New Roman" w:hAnsi="Times New Roman"/>
                <w:kern w:val="0"/>
                <w:szCs w:val="21"/>
              </w:rPr>
              <w:t>2017</w:t>
            </w:r>
            <w:r>
              <w:rPr>
                <w:rFonts w:hint="eastAsia" w:ascii="Times New Roman" w:hAnsi="Times New Roman"/>
                <w:kern w:val="0"/>
                <w:szCs w:val="21"/>
              </w:rPr>
              <w:t>〕</w:t>
            </w:r>
            <w:r>
              <w:rPr>
                <w:rFonts w:ascii="Times New Roman" w:hAnsi="Times New Roman"/>
                <w:kern w:val="0"/>
                <w:szCs w:val="21"/>
              </w:rPr>
              <w:t>141</w:t>
            </w:r>
            <w:r>
              <w:rPr>
                <w:rFonts w:hint="eastAsia" w:ascii="Times New Roman" w:hAnsi="Times New Roman"/>
                <w:kern w:val="0"/>
                <w:szCs w:val="21"/>
              </w:rPr>
              <w:t>号文件第一条的规定，并在投标文件中提供残疾人福利性单位声明函（格式见第六章）。</w:t>
            </w:r>
          </w:p>
          <w:p w14:paraId="12DABC8F">
            <w:pPr>
              <w:pageBreakBefore w:val="0"/>
              <w:kinsoku/>
              <w:overflowPunct/>
              <w:topLinePunct w:val="0"/>
              <w:bidi w:val="0"/>
              <w:snapToGrid w:val="0"/>
              <w:spacing w:line="360" w:lineRule="auto"/>
              <w:ind w:firstLine="420" w:firstLineChars="200"/>
              <w:rPr>
                <w:rFonts w:ascii="Times New Roman" w:hAnsi="Times New Roman"/>
                <w:kern w:val="0"/>
                <w:szCs w:val="21"/>
              </w:rPr>
            </w:pPr>
            <w:r>
              <w:rPr>
                <w:rFonts w:ascii="Times New Roman" w:hAnsi="Times New Roman"/>
                <w:kern w:val="0"/>
                <w:szCs w:val="21"/>
              </w:rPr>
              <w:t>3.</w:t>
            </w:r>
            <w:r>
              <w:rPr>
                <w:rFonts w:hint="eastAsia" w:ascii="Times New Roman" w:hAnsi="Times New Roman"/>
                <w:kern w:val="0"/>
                <w:szCs w:val="21"/>
              </w:rPr>
              <w:t>根据财库</w:t>
            </w:r>
            <w:r>
              <w:rPr>
                <w:rFonts w:ascii="Times New Roman" w:hAnsi="Times New Roman"/>
                <w:kern w:val="0"/>
                <w:szCs w:val="21"/>
              </w:rPr>
              <w:t>[2014]68</w:t>
            </w:r>
            <w:r>
              <w:rPr>
                <w:rFonts w:hint="eastAsia" w:ascii="Times New Roman" w:hAnsi="Times New Roman"/>
                <w:kern w:val="0"/>
                <w:szCs w:val="21"/>
              </w:rPr>
              <w:t>号的相关规定，在政府采购活动中，监狱企业同视为小型、微型企业。在投标文件中提供由省级以上监狱管理局、戒毒管理局（含新疆生产建设兵团）出具的属于监狱企业的证明文件（格式自拟）。</w:t>
            </w:r>
          </w:p>
          <w:p w14:paraId="1B046A8D">
            <w:pPr>
              <w:pageBreakBefore w:val="0"/>
              <w:kinsoku/>
              <w:overflowPunct/>
              <w:topLinePunct w:val="0"/>
              <w:autoSpaceDE w:val="0"/>
              <w:autoSpaceDN w:val="0"/>
              <w:bidi w:val="0"/>
              <w:snapToGrid w:val="0"/>
              <w:spacing w:line="360" w:lineRule="auto"/>
              <w:ind w:firstLine="420"/>
              <w:textAlignment w:val="bottom"/>
              <w:rPr>
                <w:rFonts w:ascii="Times New Roman" w:hAnsi="Times New Roman"/>
                <w:bCs/>
                <w:color w:val="000000"/>
                <w:spacing w:val="-4"/>
                <w:szCs w:val="21"/>
              </w:rPr>
            </w:pPr>
            <w:r>
              <w:rPr>
                <w:rFonts w:hint="eastAsia" w:ascii="Times New Roman" w:hAnsi="Times New Roman"/>
                <w:kern w:val="0"/>
                <w:szCs w:val="21"/>
              </w:rPr>
              <w:t>注：未提供以上材料的，均不视为中型、小型、微型企业；中标人享受相关中小企业扶持政策或为残疾人福利性单位的，采购人或者其委托的采购代理机构应当随中标结果同时公告其《中小企业声明函》或《残疾人福利性单位声明函》，接受社会监督。投标人提供的《中小企业声明函》或《残疾人福利性单位声明函》与事实不符的，依照《政府采购法》第七十七条第一款的规定追究法律责任。</w:t>
            </w:r>
          </w:p>
        </w:tc>
      </w:tr>
      <w:tr w14:paraId="2C364E0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92" w:hRule="atLeast"/>
          <w:jc w:val="center"/>
        </w:trPr>
        <w:tc>
          <w:tcPr>
            <w:tcW w:w="824" w:type="dxa"/>
            <w:tcBorders>
              <w:top w:val="single" w:color="auto" w:sz="4" w:space="0"/>
              <w:left w:val="single" w:color="auto" w:sz="4" w:space="0"/>
              <w:bottom w:val="single" w:color="auto" w:sz="4" w:space="0"/>
              <w:right w:val="single" w:color="auto" w:sz="4" w:space="0"/>
            </w:tcBorders>
            <w:vAlign w:val="center"/>
          </w:tcPr>
          <w:p w14:paraId="4E3C1CE5">
            <w:pPr>
              <w:pageBreakBefore w:val="0"/>
              <w:kinsoku/>
              <w:overflowPunct/>
              <w:topLinePunct w:val="0"/>
              <w:bidi w:val="0"/>
              <w:snapToGrid w:val="0"/>
              <w:spacing w:line="360" w:lineRule="auto"/>
              <w:jc w:val="center"/>
              <w:rPr>
                <w:rFonts w:ascii="Times New Roman" w:hAnsi="Times New Roman"/>
                <w:color w:val="000000"/>
                <w:szCs w:val="21"/>
              </w:rPr>
            </w:pPr>
            <w:r>
              <w:rPr>
                <w:rFonts w:ascii="Times New Roman" w:hAnsi="Times New Roman"/>
                <w:color w:val="000000"/>
                <w:szCs w:val="21"/>
              </w:rPr>
              <w:t>28</w:t>
            </w:r>
          </w:p>
        </w:tc>
        <w:tc>
          <w:tcPr>
            <w:tcW w:w="7942" w:type="dxa"/>
            <w:tcBorders>
              <w:top w:val="single" w:color="auto" w:sz="4" w:space="0"/>
              <w:left w:val="single" w:color="auto" w:sz="4" w:space="0"/>
              <w:bottom w:val="single" w:color="auto" w:sz="4" w:space="0"/>
              <w:right w:val="single" w:color="auto" w:sz="4" w:space="0"/>
            </w:tcBorders>
            <w:vAlign w:val="center"/>
          </w:tcPr>
          <w:p w14:paraId="573599BB">
            <w:pPr>
              <w:pageBreakBefore w:val="0"/>
              <w:kinsoku/>
              <w:overflowPunct/>
              <w:topLinePunct w:val="0"/>
              <w:autoSpaceDE w:val="0"/>
              <w:autoSpaceDN w:val="0"/>
              <w:bidi w:val="0"/>
              <w:snapToGrid w:val="0"/>
              <w:spacing w:line="360" w:lineRule="auto"/>
              <w:ind w:firstLine="404"/>
              <w:textAlignment w:val="bottom"/>
              <w:rPr>
                <w:rFonts w:ascii="Times New Roman" w:hAnsi="Times New Roman"/>
                <w:bCs/>
                <w:color w:val="000000"/>
                <w:spacing w:val="-4"/>
                <w:szCs w:val="21"/>
              </w:rPr>
            </w:pPr>
            <w:r>
              <w:rPr>
                <w:rFonts w:hint="eastAsia" w:ascii="Times New Roman" w:hAnsi="Times New Roman"/>
                <w:bCs/>
                <w:color w:val="000000"/>
                <w:spacing w:val="-4"/>
                <w:szCs w:val="21"/>
              </w:rPr>
              <w:t>本招标文件未明确之处，按《中华人民共和国政府采购法》、《中华人民共和国政府采购法实施条例》和《政府采购货物和服务招标投标管理办法》、《浙江省政府采购活动现场组织管理办法》等规定办理。</w:t>
            </w:r>
          </w:p>
        </w:tc>
      </w:tr>
      <w:tr w14:paraId="68D88FB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2" w:hRule="atLeast"/>
          <w:jc w:val="center"/>
        </w:trPr>
        <w:tc>
          <w:tcPr>
            <w:tcW w:w="824" w:type="dxa"/>
            <w:tcBorders>
              <w:top w:val="single" w:color="auto" w:sz="4" w:space="0"/>
              <w:left w:val="single" w:color="auto" w:sz="4" w:space="0"/>
              <w:bottom w:val="single" w:color="auto" w:sz="4" w:space="0"/>
              <w:right w:val="single" w:color="auto" w:sz="4" w:space="0"/>
            </w:tcBorders>
            <w:vAlign w:val="center"/>
          </w:tcPr>
          <w:p w14:paraId="7EE56298">
            <w:pPr>
              <w:pageBreakBefore w:val="0"/>
              <w:kinsoku/>
              <w:overflowPunct/>
              <w:topLinePunct w:val="0"/>
              <w:bidi w:val="0"/>
              <w:snapToGrid w:val="0"/>
              <w:spacing w:line="360" w:lineRule="auto"/>
              <w:jc w:val="center"/>
              <w:rPr>
                <w:rFonts w:ascii="Times New Roman" w:hAnsi="Times New Roman"/>
                <w:color w:val="000000"/>
                <w:szCs w:val="21"/>
              </w:rPr>
            </w:pPr>
            <w:r>
              <w:rPr>
                <w:rFonts w:ascii="Times New Roman" w:hAnsi="Times New Roman"/>
                <w:color w:val="000000"/>
                <w:szCs w:val="21"/>
              </w:rPr>
              <w:t>29</w:t>
            </w:r>
          </w:p>
        </w:tc>
        <w:tc>
          <w:tcPr>
            <w:tcW w:w="7942" w:type="dxa"/>
            <w:tcBorders>
              <w:top w:val="single" w:color="auto" w:sz="4" w:space="0"/>
              <w:left w:val="single" w:color="auto" w:sz="4" w:space="0"/>
              <w:bottom w:val="single" w:color="auto" w:sz="4" w:space="0"/>
              <w:right w:val="single" w:color="auto" w:sz="4" w:space="0"/>
            </w:tcBorders>
            <w:vAlign w:val="center"/>
          </w:tcPr>
          <w:p w14:paraId="2CC75769">
            <w:pPr>
              <w:pageBreakBefore w:val="0"/>
              <w:kinsoku/>
              <w:overflowPunct/>
              <w:topLinePunct w:val="0"/>
              <w:autoSpaceDE w:val="0"/>
              <w:autoSpaceDN w:val="0"/>
              <w:bidi w:val="0"/>
              <w:snapToGrid w:val="0"/>
              <w:spacing w:line="360" w:lineRule="auto"/>
              <w:textAlignment w:val="bottom"/>
              <w:rPr>
                <w:rFonts w:ascii="Times New Roman" w:hAnsi="Times New Roman"/>
                <w:bCs/>
                <w:color w:val="000000"/>
                <w:spacing w:val="-4"/>
                <w:szCs w:val="21"/>
              </w:rPr>
            </w:pPr>
            <w:r>
              <w:rPr>
                <w:rFonts w:hint="eastAsia" w:ascii="Times New Roman" w:hAnsi="Times New Roman"/>
                <w:color w:val="000000"/>
                <w:szCs w:val="21"/>
              </w:rPr>
              <w:t>解释：本招标文件的解释权属于采购人。</w:t>
            </w:r>
          </w:p>
        </w:tc>
      </w:tr>
    </w:tbl>
    <w:p w14:paraId="1A40B001">
      <w:pPr>
        <w:pStyle w:val="23"/>
        <w:pageBreakBefore w:val="0"/>
        <w:kinsoku/>
        <w:overflowPunct/>
        <w:topLinePunct w:val="0"/>
        <w:bidi w:val="0"/>
        <w:spacing w:before="120" w:line="360" w:lineRule="auto"/>
        <w:ind w:firstLine="482"/>
        <w:jc w:val="center"/>
        <w:outlineLvl w:val="1"/>
        <w:rPr>
          <w:rFonts w:ascii="Times New Roman" w:hAnsi="Times New Roman" w:cs="Times New Roman"/>
          <w:b/>
          <w:color w:val="000000"/>
          <w:kern w:val="0"/>
          <w:sz w:val="21"/>
          <w:szCs w:val="21"/>
        </w:rPr>
      </w:pPr>
      <w:r>
        <w:rPr>
          <w:rFonts w:ascii="Times New Roman" w:hAnsi="Times New Roman"/>
          <w:b/>
          <w:color w:val="000000"/>
          <w:kern w:val="0"/>
          <w:szCs w:val="21"/>
        </w:rPr>
        <w:br w:type="page"/>
      </w:r>
      <w:r>
        <w:rPr>
          <w:rFonts w:hint="eastAsia" w:ascii="Times New Roman" w:hAnsi="Times New Roman"/>
          <w:b/>
          <w:color w:val="000000"/>
          <w:sz w:val="21"/>
          <w:szCs w:val="21"/>
        </w:rPr>
        <w:t>一</w:t>
      </w:r>
      <w:r>
        <w:rPr>
          <w:rFonts w:ascii="Times New Roman" w:hAnsi="Times New Roman"/>
          <w:b/>
          <w:color w:val="000000"/>
          <w:sz w:val="21"/>
          <w:szCs w:val="21"/>
        </w:rPr>
        <w:t xml:space="preserve"> </w:t>
      </w:r>
      <w:r>
        <w:rPr>
          <w:rFonts w:hint="eastAsia" w:ascii="Times New Roman" w:hAnsi="Times New Roman"/>
          <w:b/>
          <w:color w:val="000000"/>
          <w:sz w:val="21"/>
          <w:szCs w:val="21"/>
        </w:rPr>
        <w:t>、总</w:t>
      </w:r>
      <w:r>
        <w:rPr>
          <w:rFonts w:ascii="Times New Roman" w:hAnsi="Times New Roman"/>
          <w:b/>
          <w:color w:val="000000"/>
          <w:sz w:val="21"/>
          <w:szCs w:val="21"/>
        </w:rPr>
        <w:t xml:space="preserve">  </w:t>
      </w:r>
      <w:r>
        <w:rPr>
          <w:rFonts w:hint="eastAsia" w:ascii="Times New Roman" w:hAnsi="Times New Roman"/>
          <w:b/>
          <w:color w:val="000000"/>
          <w:sz w:val="21"/>
          <w:szCs w:val="21"/>
        </w:rPr>
        <w:t>则</w:t>
      </w:r>
      <w:bookmarkEnd w:id="224"/>
      <w:bookmarkEnd w:id="225"/>
    </w:p>
    <w:p w14:paraId="7BDCADD8">
      <w:pPr>
        <w:pageBreakBefore w:val="0"/>
        <w:kinsoku/>
        <w:overflowPunct/>
        <w:topLinePunct w:val="0"/>
        <w:bidi w:val="0"/>
        <w:snapToGrid w:val="0"/>
        <w:spacing w:line="360" w:lineRule="auto"/>
        <w:ind w:firstLine="413" w:firstLineChars="196"/>
        <w:jc w:val="left"/>
        <w:outlineLvl w:val="1"/>
        <w:rPr>
          <w:rFonts w:ascii="Times New Roman" w:hAnsi="Times New Roman"/>
          <w:b/>
          <w:color w:val="000000"/>
          <w:szCs w:val="21"/>
        </w:rPr>
      </w:pPr>
      <w:bookmarkStart w:id="227" w:name="_Toc177825120"/>
      <w:bookmarkStart w:id="228" w:name="_Toc417992875"/>
      <w:bookmarkStart w:id="229" w:name="_Toc177870537"/>
      <w:bookmarkStart w:id="230" w:name="_Toc177824939"/>
      <w:bookmarkStart w:id="231" w:name="_Toc177824872"/>
      <w:r>
        <w:rPr>
          <w:rFonts w:ascii="Times New Roman" w:hAnsi="Times New Roman"/>
          <w:b/>
          <w:color w:val="000000"/>
          <w:szCs w:val="21"/>
        </w:rPr>
        <w:t>1</w:t>
      </w:r>
      <w:r>
        <w:rPr>
          <w:rFonts w:hint="eastAsia" w:ascii="Times New Roman" w:hAnsi="Times New Roman"/>
          <w:b/>
          <w:color w:val="000000"/>
          <w:szCs w:val="21"/>
        </w:rPr>
        <w:t>、适用范围</w:t>
      </w:r>
      <w:bookmarkEnd w:id="227"/>
      <w:bookmarkEnd w:id="228"/>
      <w:bookmarkEnd w:id="229"/>
      <w:bookmarkEnd w:id="230"/>
      <w:bookmarkEnd w:id="231"/>
    </w:p>
    <w:p w14:paraId="6565C831">
      <w:pPr>
        <w:pageBreakBefore w:val="0"/>
        <w:kinsoku/>
        <w:overflowPunct/>
        <w:topLinePunct w:val="0"/>
        <w:bidi w:val="0"/>
        <w:snapToGrid w:val="0"/>
        <w:spacing w:line="360" w:lineRule="auto"/>
        <w:ind w:firstLine="411" w:firstLineChars="196"/>
        <w:jc w:val="left"/>
        <w:outlineLvl w:val="1"/>
        <w:rPr>
          <w:rFonts w:ascii="Times New Roman" w:hAnsi="Times New Roman"/>
          <w:color w:val="000000"/>
          <w:szCs w:val="21"/>
        </w:rPr>
      </w:pPr>
      <w:r>
        <w:rPr>
          <w:rFonts w:ascii="Times New Roman" w:hAnsi="Times New Roman"/>
          <w:color w:val="000000"/>
          <w:szCs w:val="21"/>
        </w:rPr>
        <w:t>1.1</w:t>
      </w:r>
      <w:r>
        <w:rPr>
          <w:rFonts w:hint="eastAsia" w:ascii="Times New Roman" w:hAnsi="Times New Roman"/>
          <w:color w:val="000000"/>
          <w:szCs w:val="21"/>
        </w:rPr>
        <w:t>、</w:t>
      </w:r>
      <w:bookmarkStart w:id="232" w:name="_Toc177824873"/>
      <w:bookmarkStart w:id="233" w:name="_Toc177870538"/>
      <w:bookmarkStart w:id="234" w:name="_Toc417992876"/>
      <w:bookmarkStart w:id="235" w:name="_Toc177825121"/>
      <w:bookmarkStart w:id="236" w:name="_Toc177824940"/>
      <w:r>
        <w:rPr>
          <w:rFonts w:hint="eastAsia" w:ascii="Times New Roman" w:hAnsi="Times New Roman"/>
          <w:color w:val="000000"/>
          <w:szCs w:val="21"/>
        </w:rPr>
        <w:t>本招标文件适用于该项目的招标、投标、评标、定标、验收、合同履约、付款等行为（法律、法规另有规定的，从其规定）。</w:t>
      </w:r>
    </w:p>
    <w:p w14:paraId="15E2F463">
      <w:pPr>
        <w:pageBreakBefore w:val="0"/>
        <w:kinsoku/>
        <w:overflowPunct/>
        <w:topLinePunct w:val="0"/>
        <w:bidi w:val="0"/>
        <w:snapToGrid w:val="0"/>
        <w:spacing w:line="360" w:lineRule="auto"/>
        <w:ind w:firstLine="413" w:firstLineChars="196"/>
        <w:jc w:val="left"/>
        <w:outlineLvl w:val="1"/>
        <w:rPr>
          <w:rFonts w:ascii="Times New Roman" w:hAnsi="Times New Roman"/>
          <w:b/>
          <w:color w:val="000000"/>
          <w:szCs w:val="21"/>
        </w:rPr>
      </w:pPr>
      <w:r>
        <w:rPr>
          <w:rFonts w:ascii="Times New Roman" w:hAnsi="Times New Roman"/>
          <w:b/>
          <w:color w:val="000000"/>
          <w:szCs w:val="21"/>
        </w:rPr>
        <w:t>2</w:t>
      </w:r>
      <w:r>
        <w:rPr>
          <w:rFonts w:hint="eastAsia" w:ascii="Times New Roman" w:hAnsi="Times New Roman"/>
          <w:b/>
          <w:color w:val="000000"/>
          <w:szCs w:val="21"/>
        </w:rPr>
        <w:t>、定义</w:t>
      </w:r>
      <w:bookmarkEnd w:id="232"/>
      <w:bookmarkEnd w:id="233"/>
      <w:bookmarkEnd w:id="234"/>
      <w:bookmarkEnd w:id="235"/>
      <w:bookmarkEnd w:id="236"/>
    </w:p>
    <w:p w14:paraId="6137E9DE">
      <w:pPr>
        <w:pageBreakBefore w:val="0"/>
        <w:kinsoku/>
        <w:overflowPunct/>
        <w:topLinePunct w:val="0"/>
        <w:bidi w:val="0"/>
        <w:snapToGrid w:val="0"/>
        <w:spacing w:line="360" w:lineRule="auto"/>
        <w:ind w:firstLine="411" w:firstLineChars="196"/>
        <w:jc w:val="left"/>
        <w:outlineLvl w:val="1"/>
        <w:rPr>
          <w:rFonts w:ascii="Times New Roman" w:hAnsi="Times New Roman"/>
          <w:color w:val="000000"/>
          <w:szCs w:val="21"/>
        </w:rPr>
      </w:pPr>
      <w:r>
        <w:rPr>
          <w:rFonts w:ascii="Times New Roman" w:hAnsi="Times New Roman"/>
          <w:color w:val="000000"/>
          <w:szCs w:val="21"/>
        </w:rPr>
        <w:t>2.1</w:t>
      </w:r>
      <w:r>
        <w:rPr>
          <w:rFonts w:hint="eastAsia" w:ascii="Times New Roman" w:hAnsi="Times New Roman"/>
          <w:color w:val="000000"/>
          <w:szCs w:val="21"/>
        </w:rPr>
        <w:t>、“招标采购单位”系指组织本次招标活动的采购人或招标代理机构。</w:t>
      </w:r>
    </w:p>
    <w:p w14:paraId="354A4104">
      <w:pPr>
        <w:pageBreakBefore w:val="0"/>
        <w:kinsoku/>
        <w:overflowPunct/>
        <w:topLinePunct w:val="0"/>
        <w:bidi w:val="0"/>
        <w:snapToGrid w:val="0"/>
        <w:spacing w:line="360" w:lineRule="auto"/>
        <w:ind w:firstLine="411" w:firstLineChars="196"/>
        <w:jc w:val="left"/>
        <w:outlineLvl w:val="1"/>
        <w:rPr>
          <w:rFonts w:ascii="Times New Roman" w:hAnsi="Times New Roman"/>
          <w:color w:val="000000"/>
          <w:szCs w:val="21"/>
        </w:rPr>
      </w:pPr>
      <w:r>
        <w:rPr>
          <w:rFonts w:ascii="Times New Roman" w:hAnsi="Times New Roman"/>
          <w:color w:val="000000"/>
          <w:szCs w:val="21"/>
        </w:rPr>
        <w:t>2.2</w:t>
      </w:r>
      <w:r>
        <w:rPr>
          <w:rFonts w:hint="eastAsia" w:ascii="Times New Roman" w:hAnsi="Times New Roman"/>
          <w:color w:val="000000"/>
          <w:szCs w:val="21"/>
        </w:rPr>
        <w:t>、“投标人”系指向招标方提交投标文件的供应商。</w:t>
      </w:r>
    </w:p>
    <w:p w14:paraId="02CC2550">
      <w:pPr>
        <w:pageBreakBefore w:val="0"/>
        <w:kinsoku/>
        <w:overflowPunct/>
        <w:topLinePunct w:val="0"/>
        <w:bidi w:val="0"/>
        <w:snapToGrid w:val="0"/>
        <w:spacing w:line="360" w:lineRule="auto"/>
        <w:ind w:firstLine="411" w:firstLineChars="196"/>
        <w:jc w:val="left"/>
        <w:outlineLvl w:val="1"/>
        <w:rPr>
          <w:rFonts w:ascii="Times New Roman" w:hAnsi="Times New Roman"/>
          <w:color w:val="000000"/>
          <w:szCs w:val="21"/>
        </w:rPr>
      </w:pPr>
      <w:r>
        <w:rPr>
          <w:rFonts w:ascii="Times New Roman" w:hAnsi="Times New Roman"/>
          <w:color w:val="000000"/>
          <w:szCs w:val="21"/>
        </w:rPr>
        <w:t>2.3</w:t>
      </w:r>
      <w:r>
        <w:rPr>
          <w:rFonts w:hint="eastAsia" w:ascii="Times New Roman" w:hAnsi="Times New Roman"/>
          <w:color w:val="000000"/>
          <w:szCs w:val="21"/>
        </w:rPr>
        <w:t>、“产品”系指供方按招标文件规定，须向采购人提供的一切设备、保险、税金、备品备件、工具、手册及其它有关技术资料和材料。</w:t>
      </w:r>
    </w:p>
    <w:p w14:paraId="04464AA2">
      <w:pPr>
        <w:pageBreakBefore w:val="0"/>
        <w:kinsoku/>
        <w:overflowPunct/>
        <w:topLinePunct w:val="0"/>
        <w:bidi w:val="0"/>
        <w:snapToGrid w:val="0"/>
        <w:spacing w:line="360" w:lineRule="auto"/>
        <w:ind w:firstLine="411" w:firstLineChars="196"/>
        <w:jc w:val="left"/>
        <w:outlineLvl w:val="1"/>
        <w:rPr>
          <w:rFonts w:ascii="Times New Roman" w:hAnsi="Times New Roman"/>
          <w:color w:val="000000"/>
          <w:szCs w:val="21"/>
        </w:rPr>
      </w:pPr>
      <w:r>
        <w:rPr>
          <w:rFonts w:ascii="Times New Roman" w:hAnsi="Times New Roman"/>
          <w:color w:val="000000"/>
          <w:szCs w:val="21"/>
        </w:rPr>
        <w:t>2.4</w:t>
      </w:r>
      <w:r>
        <w:rPr>
          <w:rFonts w:hint="eastAsia" w:ascii="Times New Roman" w:hAnsi="Times New Roman"/>
          <w:color w:val="000000"/>
          <w:szCs w:val="21"/>
        </w:rPr>
        <w:t>、“服务”系指招标文件规定投标人须承担的安装、调试、技术协助、校准、培训、技术指导以及其他类似的义务。</w:t>
      </w:r>
    </w:p>
    <w:p w14:paraId="571CEBF0">
      <w:pPr>
        <w:pageBreakBefore w:val="0"/>
        <w:kinsoku/>
        <w:overflowPunct/>
        <w:topLinePunct w:val="0"/>
        <w:bidi w:val="0"/>
        <w:snapToGrid w:val="0"/>
        <w:spacing w:line="360" w:lineRule="auto"/>
        <w:ind w:firstLine="411" w:firstLineChars="196"/>
        <w:jc w:val="left"/>
        <w:outlineLvl w:val="1"/>
        <w:rPr>
          <w:rFonts w:ascii="Times New Roman" w:hAnsi="Times New Roman"/>
          <w:color w:val="000000"/>
          <w:szCs w:val="21"/>
        </w:rPr>
      </w:pPr>
      <w:r>
        <w:rPr>
          <w:rFonts w:ascii="Times New Roman" w:hAnsi="Times New Roman"/>
          <w:color w:val="000000"/>
          <w:szCs w:val="21"/>
        </w:rPr>
        <w:t>2.5</w:t>
      </w:r>
      <w:r>
        <w:rPr>
          <w:rFonts w:hint="eastAsia" w:ascii="Times New Roman" w:hAnsi="Times New Roman"/>
          <w:color w:val="000000"/>
          <w:szCs w:val="21"/>
        </w:rPr>
        <w:t>、“项目”系指投标人按招标文件规定向采购人提供的产品和服务。</w:t>
      </w:r>
    </w:p>
    <w:p w14:paraId="6C620274">
      <w:pPr>
        <w:pageBreakBefore w:val="0"/>
        <w:kinsoku/>
        <w:overflowPunct/>
        <w:topLinePunct w:val="0"/>
        <w:bidi w:val="0"/>
        <w:snapToGrid w:val="0"/>
        <w:spacing w:line="360" w:lineRule="auto"/>
        <w:ind w:firstLine="411" w:firstLineChars="196"/>
        <w:jc w:val="left"/>
        <w:outlineLvl w:val="1"/>
        <w:rPr>
          <w:rFonts w:ascii="Times New Roman" w:hAnsi="Times New Roman"/>
          <w:color w:val="000000"/>
          <w:szCs w:val="21"/>
        </w:rPr>
      </w:pPr>
      <w:r>
        <w:rPr>
          <w:rFonts w:ascii="Times New Roman" w:hAnsi="Times New Roman"/>
          <w:color w:val="000000"/>
          <w:szCs w:val="21"/>
        </w:rPr>
        <w:t>2.6</w:t>
      </w:r>
      <w:r>
        <w:rPr>
          <w:rFonts w:hint="eastAsia" w:ascii="Times New Roman" w:hAnsi="Times New Roman"/>
          <w:color w:val="000000"/>
          <w:szCs w:val="21"/>
        </w:rPr>
        <w:t>、“书面形式”包括信函、传真、电报、电子文档等。</w:t>
      </w:r>
    </w:p>
    <w:p w14:paraId="77C422CE">
      <w:pPr>
        <w:pageBreakBefore w:val="0"/>
        <w:kinsoku/>
        <w:overflowPunct/>
        <w:topLinePunct w:val="0"/>
        <w:bidi w:val="0"/>
        <w:snapToGrid w:val="0"/>
        <w:spacing w:line="360" w:lineRule="auto"/>
        <w:ind w:firstLine="411" w:firstLineChars="196"/>
        <w:jc w:val="left"/>
        <w:outlineLvl w:val="1"/>
        <w:rPr>
          <w:rFonts w:ascii="Times New Roman" w:hAnsi="Times New Roman"/>
          <w:color w:val="000000"/>
          <w:szCs w:val="21"/>
        </w:rPr>
      </w:pPr>
      <w:r>
        <w:rPr>
          <w:rFonts w:ascii="Times New Roman" w:hAnsi="Times New Roman"/>
          <w:color w:val="000000"/>
          <w:szCs w:val="21"/>
        </w:rPr>
        <w:t>2.7</w:t>
      </w:r>
      <w:r>
        <w:rPr>
          <w:rFonts w:hint="eastAsia" w:ascii="Times New Roman" w:hAnsi="Times New Roman"/>
          <w:color w:val="000000"/>
          <w:szCs w:val="21"/>
        </w:rPr>
        <w:t>、</w:t>
      </w:r>
      <w:bookmarkStart w:id="237" w:name="_Toc177870539"/>
      <w:bookmarkStart w:id="238" w:name="_Toc417992877"/>
      <w:r>
        <w:rPr>
          <w:rFonts w:hint="eastAsia" w:ascii="Times New Roman" w:hAnsi="Times New Roman"/>
          <w:color w:val="000000"/>
          <w:szCs w:val="21"/>
        </w:rPr>
        <w:t>“▲”系指实质性要求条款，</w:t>
      </w:r>
      <w:bookmarkStart w:id="239" w:name="_Hlk11356090"/>
      <w:r>
        <w:rPr>
          <w:rFonts w:hint="eastAsia" w:ascii="Times New Roman" w:hAnsi="Times New Roman"/>
          <w:color w:val="000000"/>
          <w:szCs w:val="21"/>
        </w:rPr>
        <w:t>不满足实质性要求条款的投标文件无效。</w:t>
      </w:r>
      <w:bookmarkEnd w:id="239"/>
    </w:p>
    <w:p w14:paraId="5140F01F">
      <w:pPr>
        <w:pageBreakBefore w:val="0"/>
        <w:kinsoku/>
        <w:overflowPunct/>
        <w:topLinePunct w:val="0"/>
        <w:bidi w:val="0"/>
        <w:snapToGrid w:val="0"/>
        <w:spacing w:line="360" w:lineRule="auto"/>
        <w:ind w:firstLine="413" w:firstLineChars="196"/>
        <w:jc w:val="left"/>
        <w:outlineLvl w:val="1"/>
        <w:rPr>
          <w:rFonts w:ascii="Times New Roman" w:hAnsi="Times New Roman"/>
          <w:b/>
          <w:color w:val="000000"/>
          <w:szCs w:val="21"/>
        </w:rPr>
      </w:pPr>
      <w:r>
        <w:rPr>
          <w:rFonts w:ascii="Times New Roman" w:hAnsi="Times New Roman"/>
          <w:b/>
          <w:color w:val="000000"/>
          <w:szCs w:val="21"/>
        </w:rPr>
        <w:t>3</w:t>
      </w:r>
      <w:r>
        <w:rPr>
          <w:rFonts w:hint="eastAsia" w:ascii="Times New Roman" w:hAnsi="Times New Roman"/>
          <w:b/>
          <w:color w:val="000000"/>
          <w:szCs w:val="21"/>
        </w:rPr>
        <w:t>、招标方式</w:t>
      </w:r>
      <w:bookmarkEnd w:id="237"/>
      <w:bookmarkEnd w:id="238"/>
    </w:p>
    <w:p w14:paraId="61C3D794">
      <w:pPr>
        <w:pageBreakBefore w:val="0"/>
        <w:kinsoku/>
        <w:overflowPunct/>
        <w:topLinePunct w:val="0"/>
        <w:bidi w:val="0"/>
        <w:snapToGrid w:val="0"/>
        <w:spacing w:line="360" w:lineRule="auto"/>
        <w:ind w:firstLine="411" w:firstLineChars="196"/>
        <w:jc w:val="left"/>
        <w:outlineLvl w:val="1"/>
        <w:rPr>
          <w:rFonts w:ascii="Times New Roman" w:hAnsi="Times New Roman"/>
          <w:color w:val="000000"/>
          <w:szCs w:val="21"/>
        </w:rPr>
      </w:pPr>
      <w:r>
        <w:rPr>
          <w:rFonts w:ascii="Times New Roman" w:hAnsi="Times New Roman"/>
          <w:color w:val="000000"/>
          <w:szCs w:val="21"/>
        </w:rPr>
        <w:t>3.1</w:t>
      </w:r>
      <w:r>
        <w:rPr>
          <w:rFonts w:hint="eastAsia" w:ascii="Times New Roman" w:hAnsi="Times New Roman"/>
          <w:color w:val="000000"/>
          <w:szCs w:val="21"/>
        </w:rPr>
        <w:t>、本次招标采用公开招标方式进行；</w:t>
      </w:r>
      <w:bookmarkStart w:id="240" w:name="_Toc177825122"/>
      <w:bookmarkStart w:id="241" w:name="_Toc177824941"/>
      <w:bookmarkStart w:id="242" w:name="_Toc177824874"/>
      <w:bookmarkStart w:id="243" w:name="_Toc417992878"/>
      <w:bookmarkStart w:id="244" w:name="_Toc177870540"/>
    </w:p>
    <w:p w14:paraId="33369DCF">
      <w:pPr>
        <w:pageBreakBefore w:val="0"/>
        <w:kinsoku/>
        <w:overflowPunct/>
        <w:topLinePunct w:val="0"/>
        <w:bidi w:val="0"/>
        <w:snapToGrid w:val="0"/>
        <w:spacing w:line="360" w:lineRule="auto"/>
        <w:ind w:firstLine="411" w:firstLineChars="196"/>
        <w:jc w:val="left"/>
        <w:outlineLvl w:val="1"/>
        <w:rPr>
          <w:rFonts w:ascii="Times New Roman" w:hAnsi="Times New Roman" w:cs="Arial"/>
          <w:color w:val="000000"/>
          <w:szCs w:val="21"/>
        </w:rPr>
      </w:pPr>
      <w:r>
        <w:rPr>
          <w:rFonts w:ascii="Times New Roman" w:hAnsi="Times New Roman"/>
          <w:color w:val="000000"/>
          <w:szCs w:val="21"/>
        </w:rPr>
        <w:t>3.2</w:t>
      </w:r>
      <w:r>
        <w:rPr>
          <w:rFonts w:hint="eastAsia" w:ascii="Times New Roman" w:hAnsi="Times New Roman"/>
          <w:color w:val="000000"/>
          <w:szCs w:val="21"/>
        </w:rPr>
        <w:t>、本次招标设定最高投标限价</w:t>
      </w:r>
      <w:r>
        <w:rPr>
          <w:rFonts w:hint="eastAsia" w:ascii="Times New Roman" w:hAnsi="Times New Roman" w:cs="Arial"/>
          <w:color w:val="000000"/>
          <w:szCs w:val="21"/>
        </w:rPr>
        <w:t>。</w:t>
      </w:r>
    </w:p>
    <w:p w14:paraId="1F1D7D46">
      <w:pPr>
        <w:pageBreakBefore w:val="0"/>
        <w:kinsoku/>
        <w:overflowPunct/>
        <w:topLinePunct w:val="0"/>
        <w:bidi w:val="0"/>
        <w:snapToGrid w:val="0"/>
        <w:spacing w:line="360" w:lineRule="auto"/>
        <w:ind w:firstLine="413" w:firstLineChars="196"/>
        <w:jc w:val="left"/>
        <w:outlineLvl w:val="1"/>
        <w:rPr>
          <w:rFonts w:ascii="Times New Roman" w:hAnsi="Times New Roman"/>
          <w:b/>
          <w:color w:val="000000"/>
          <w:szCs w:val="21"/>
        </w:rPr>
      </w:pPr>
      <w:r>
        <w:rPr>
          <w:rFonts w:ascii="Times New Roman" w:hAnsi="Times New Roman"/>
          <w:b/>
          <w:color w:val="000000"/>
          <w:szCs w:val="21"/>
        </w:rPr>
        <w:t>4</w:t>
      </w:r>
      <w:r>
        <w:rPr>
          <w:rFonts w:hint="eastAsia" w:ascii="Times New Roman" w:hAnsi="Times New Roman"/>
          <w:b/>
          <w:color w:val="000000"/>
          <w:szCs w:val="21"/>
        </w:rPr>
        <w:t>、投标委托</w:t>
      </w:r>
      <w:bookmarkEnd w:id="240"/>
      <w:bookmarkEnd w:id="241"/>
      <w:bookmarkEnd w:id="242"/>
      <w:bookmarkEnd w:id="243"/>
      <w:bookmarkEnd w:id="244"/>
    </w:p>
    <w:p w14:paraId="1DFA8239">
      <w:pPr>
        <w:pageBreakBefore w:val="0"/>
        <w:kinsoku/>
        <w:overflowPunct/>
        <w:topLinePunct w:val="0"/>
        <w:bidi w:val="0"/>
        <w:snapToGrid w:val="0"/>
        <w:spacing w:line="360" w:lineRule="auto"/>
        <w:ind w:firstLine="411" w:firstLineChars="196"/>
        <w:jc w:val="left"/>
        <w:outlineLvl w:val="1"/>
        <w:rPr>
          <w:rFonts w:ascii="Times New Roman" w:hAnsi="Times New Roman"/>
          <w:color w:val="000000"/>
          <w:szCs w:val="21"/>
        </w:rPr>
      </w:pPr>
      <w:r>
        <w:rPr>
          <w:rFonts w:hint="eastAsia" w:ascii="Times New Roman" w:hAnsi="Times New Roman"/>
          <w:color w:val="000000"/>
          <w:szCs w:val="21"/>
        </w:rPr>
        <w:t>如投标人代表不是法定代表人，须有法定代表人出具的授权委托书（格式见第六章）。</w:t>
      </w:r>
      <w:bookmarkStart w:id="245" w:name="_Toc177870541"/>
      <w:bookmarkStart w:id="246" w:name="_Toc417992879"/>
      <w:bookmarkStart w:id="247" w:name="_Toc177824875"/>
      <w:bookmarkStart w:id="248" w:name="_Toc177825123"/>
      <w:bookmarkStart w:id="249" w:name="_Toc177824942"/>
    </w:p>
    <w:p w14:paraId="028115EE">
      <w:pPr>
        <w:pageBreakBefore w:val="0"/>
        <w:kinsoku/>
        <w:overflowPunct/>
        <w:topLinePunct w:val="0"/>
        <w:bidi w:val="0"/>
        <w:snapToGrid w:val="0"/>
        <w:spacing w:line="360" w:lineRule="auto"/>
        <w:ind w:firstLine="413" w:firstLineChars="196"/>
        <w:jc w:val="left"/>
        <w:outlineLvl w:val="1"/>
        <w:rPr>
          <w:rFonts w:ascii="Times New Roman" w:hAnsi="Times New Roman"/>
          <w:color w:val="000000"/>
          <w:szCs w:val="21"/>
        </w:rPr>
      </w:pPr>
      <w:r>
        <w:rPr>
          <w:rFonts w:ascii="Times New Roman" w:hAnsi="Times New Roman"/>
          <w:b/>
          <w:color w:val="000000"/>
          <w:szCs w:val="21"/>
        </w:rPr>
        <w:t>5</w:t>
      </w:r>
      <w:r>
        <w:rPr>
          <w:rFonts w:hint="eastAsia" w:ascii="Times New Roman" w:hAnsi="Times New Roman"/>
          <w:b/>
          <w:color w:val="000000"/>
          <w:szCs w:val="21"/>
        </w:rPr>
        <w:t>、投标费用</w:t>
      </w:r>
    </w:p>
    <w:bookmarkEnd w:id="245"/>
    <w:bookmarkEnd w:id="246"/>
    <w:bookmarkEnd w:id="247"/>
    <w:bookmarkEnd w:id="248"/>
    <w:bookmarkEnd w:id="249"/>
    <w:p w14:paraId="69890725">
      <w:pPr>
        <w:pageBreakBefore w:val="0"/>
        <w:kinsoku/>
        <w:overflowPunct/>
        <w:topLinePunct w:val="0"/>
        <w:bidi w:val="0"/>
        <w:snapToGrid w:val="0"/>
        <w:spacing w:line="360" w:lineRule="auto"/>
        <w:ind w:firstLine="411" w:firstLineChars="196"/>
        <w:jc w:val="left"/>
        <w:outlineLvl w:val="1"/>
        <w:rPr>
          <w:rFonts w:ascii="Times New Roman" w:hAnsi="Times New Roman"/>
          <w:color w:val="000000"/>
          <w:szCs w:val="21"/>
        </w:rPr>
      </w:pPr>
      <w:r>
        <w:rPr>
          <w:rFonts w:hint="eastAsia" w:ascii="Times New Roman" w:hAnsi="Times New Roman"/>
          <w:color w:val="000000"/>
          <w:szCs w:val="21"/>
        </w:rPr>
        <w:t>不论投标结果如何，投标人均应自行承担所有与投标有关的全部费用（招标文件有相反规定除外）</w:t>
      </w:r>
    </w:p>
    <w:p w14:paraId="38C1444C">
      <w:pPr>
        <w:pageBreakBefore w:val="0"/>
        <w:kinsoku/>
        <w:overflowPunct/>
        <w:topLinePunct w:val="0"/>
        <w:bidi w:val="0"/>
        <w:snapToGrid w:val="0"/>
        <w:spacing w:line="360" w:lineRule="auto"/>
        <w:ind w:firstLine="413" w:firstLineChars="196"/>
        <w:jc w:val="left"/>
        <w:outlineLvl w:val="1"/>
        <w:rPr>
          <w:rFonts w:ascii="Times New Roman" w:hAnsi="Times New Roman"/>
          <w:b/>
          <w:color w:val="000000"/>
          <w:szCs w:val="21"/>
        </w:rPr>
      </w:pPr>
      <w:r>
        <w:rPr>
          <w:rFonts w:ascii="Times New Roman" w:hAnsi="Times New Roman"/>
          <w:b/>
          <w:color w:val="000000"/>
          <w:szCs w:val="21"/>
        </w:rPr>
        <w:t>6</w:t>
      </w:r>
      <w:r>
        <w:rPr>
          <w:rFonts w:hint="eastAsia" w:ascii="Times New Roman" w:hAnsi="Times New Roman"/>
          <w:b/>
          <w:color w:val="000000"/>
          <w:szCs w:val="21"/>
        </w:rPr>
        <w:t>、联合体投标</w:t>
      </w:r>
    </w:p>
    <w:p w14:paraId="25F3A00B">
      <w:pPr>
        <w:pStyle w:val="15"/>
        <w:pageBreakBefore w:val="0"/>
        <w:kinsoku/>
        <w:overflowPunct/>
        <w:topLinePunct w:val="0"/>
        <w:bidi w:val="0"/>
        <w:snapToGrid w:val="0"/>
        <w:spacing w:line="360" w:lineRule="auto"/>
        <w:ind w:firstLine="420"/>
        <w:jc w:val="left"/>
        <w:rPr>
          <w:rFonts w:ascii="Times New Roman" w:hAnsi="Times New Roman"/>
          <w:color w:val="000000"/>
          <w:szCs w:val="21"/>
        </w:rPr>
      </w:pPr>
      <w:r>
        <w:rPr>
          <w:rFonts w:hint="eastAsia" w:ascii="Times New Roman" w:hAnsi="Times New Roman"/>
          <w:color w:val="000000"/>
          <w:szCs w:val="21"/>
        </w:rPr>
        <w:t>本项目不接受联合体投标。</w:t>
      </w:r>
    </w:p>
    <w:p w14:paraId="75EF5FC7">
      <w:pPr>
        <w:pageBreakBefore w:val="0"/>
        <w:kinsoku/>
        <w:overflowPunct/>
        <w:topLinePunct w:val="0"/>
        <w:bidi w:val="0"/>
        <w:snapToGrid w:val="0"/>
        <w:spacing w:line="360" w:lineRule="auto"/>
        <w:ind w:firstLine="420" w:firstLineChars="199"/>
        <w:jc w:val="left"/>
        <w:rPr>
          <w:rFonts w:ascii="Times New Roman" w:hAnsi="Times New Roman"/>
          <w:b/>
          <w:color w:val="000000"/>
          <w:szCs w:val="21"/>
        </w:rPr>
      </w:pPr>
      <w:r>
        <w:rPr>
          <w:rFonts w:ascii="Times New Roman" w:hAnsi="Times New Roman"/>
          <w:b/>
          <w:color w:val="000000"/>
          <w:szCs w:val="21"/>
        </w:rPr>
        <w:t>7</w:t>
      </w:r>
      <w:r>
        <w:rPr>
          <w:rFonts w:hint="eastAsia" w:ascii="Times New Roman" w:hAnsi="Times New Roman"/>
          <w:b/>
          <w:color w:val="000000"/>
          <w:szCs w:val="21"/>
        </w:rPr>
        <w:t>、关联企业投标</w:t>
      </w:r>
    </w:p>
    <w:p w14:paraId="72B36F08">
      <w:pPr>
        <w:pageBreakBefore w:val="0"/>
        <w:kinsoku/>
        <w:overflowPunct/>
        <w:topLinePunct w:val="0"/>
        <w:bidi w:val="0"/>
        <w:snapToGrid w:val="0"/>
        <w:spacing w:line="360" w:lineRule="auto"/>
        <w:ind w:firstLine="417" w:firstLineChars="199"/>
        <w:jc w:val="left"/>
        <w:rPr>
          <w:rFonts w:ascii="Times New Roman" w:hAnsi="Times New Roman"/>
          <w:color w:val="000000"/>
          <w:szCs w:val="21"/>
        </w:rPr>
      </w:pPr>
      <w:bookmarkStart w:id="250" w:name="_Hlk11356122"/>
      <w:r>
        <w:rPr>
          <w:rFonts w:ascii="Times New Roman" w:hAnsi="Times New Roman"/>
          <w:color w:val="000000"/>
          <w:szCs w:val="21"/>
        </w:rPr>
        <w:t>7.1</w:t>
      </w:r>
      <w:r>
        <w:rPr>
          <w:rFonts w:hint="eastAsia" w:ascii="Times New Roman" w:hAnsi="Times New Roman"/>
          <w:color w:val="000000"/>
          <w:szCs w:val="21"/>
        </w:rPr>
        <w:t>、本招标文件所称关联企业</w:t>
      </w:r>
      <w:r>
        <w:rPr>
          <w:rFonts w:ascii="Times New Roman" w:hAnsi="Times New Roman"/>
          <w:color w:val="000000"/>
          <w:szCs w:val="21"/>
        </w:rPr>
        <w:t>,</w:t>
      </w:r>
      <w:r>
        <w:rPr>
          <w:rFonts w:hint="eastAsia" w:ascii="Times New Roman" w:hAnsi="Times New Roman"/>
          <w:color w:val="000000"/>
          <w:szCs w:val="21"/>
        </w:rPr>
        <w:t>是指存在“关联关系”的企业；“关联关系”的界定适用《中华人民共和国公司法》</w:t>
      </w:r>
      <w:r>
        <w:rPr>
          <w:rFonts w:ascii="Times New Roman" w:hAnsi="Times New Roman"/>
          <w:color w:val="000000"/>
          <w:szCs w:val="21"/>
        </w:rPr>
        <w:t>217</w:t>
      </w:r>
      <w:r>
        <w:rPr>
          <w:rFonts w:hint="eastAsia" w:ascii="Times New Roman" w:hAnsi="Times New Roman"/>
          <w:color w:val="000000"/>
          <w:szCs w:val="21"/>
        </w:rPr>
        <w:t>条之规定。</w:t>
      </w:r>
    </w:p>
    <w:p w14:paraId="71CB85CF">
      <w:pPr>
        <w:pageBreakBefore w:val="0"/>
        <w:kinsoku/>
        <w:overflowPunct/>
        <w:topLinePunct w:val="0"/>
        <w:bidi w:val="0"/>
        <w:snapToGrid w:val="0"/>
        <w:spacing w:line="360" w:lineRule="auto"/>
        <w:ind w:firstLine="417" w:firstLineChars="199"/>
        <w:jc w:val="left"/>
        <w:rPr>
          <w:rFonts w:ascii="Times New Roman" w:hAnsi="Times New Roman"/>
          <w:color w:val="000000"/>
          <w:szCs w:val="21"/>
        </w:rPr>
      </w:pPr>
      <w:r>
        <w:rPr>
          <w:rFonts w:ascii="Times New Roman" w:hAnsi="Times New Roman"/>
          <w:color w:val="000000"/>
          <w:szCs w:val="21"/>
        </w:rPr>
        <w:t>7.2</w:t>
      </w:r>
      <w:r>
        <w:rPr>
          <w:rFonts w:hint="eastAsia" w:ascii="Times New Roman" w:hAnsi="Times New Roman"/>
          <w:color w:val="000000"/>
          <w:szCs w:val="21"/>
        </w:rPr>
        <w:t>、关联企业中，法定代表人为同一个的两个及两个以上法人，母公司、全资子公司及其控股公司，都不得同时投标，一经发现，将导致投标同时被拒绝。</w:t>
      </w:r>
    </w:p>
    <w:bookmarkEnd w:id="250"/>
    <w:p w14:paraId="09FE9E4F">
      <w:pPr>
        <w:pageBreakBefore w:val="0"/>
        <w:kinsoku/>
        <w:overflowPunct/>
        <w:topLinePunct w:val="0"/>
        <w:bidi w:val="0"/>
        <w:snapToGrid w:val="0"/>
        <w:spacing w:line="360" w:lineRule="auto"/>
        <w:ind w:firstLine="420" w:firstLineChars="199"/>
        <w:jc w:val="left"/>
        <w:rPr>
          <w:rFonts w:ascii="Times New Roman" w:hAnsi="Times New Roman" w:cs="宋体"/>
          <w:b/>
          <w:color w:val="000000"/>
          <w:kern w:val="0"/>
          <w:szCs w:val="21"/>
        </w:rPr>
      </w:pPr>
      <w:r>
        <w:rPr>
          <w:rFonts w:ascii="Times New Roman" w:hAnsi="Times New Roman" w:cs="宋体"/>
          <w:b/>
          <w:color w:val="000000"/>
          <w:kern w:val="0"/>
          <w:szCs w:val="21"/>
        </w:rPr>
        <w:t>8</w:t>
      </w:r>
      <w:r>
        <w:rPr>
          <w:rFonts w:hint="eastAsia" w:ascii="Times New Roman" w:hAnsi="Times New Roman" w:cs="宋体"/>
          <w:b/>
          <w:color w:val="000000"/>
          <w:kern w:val="0"/>
          <w:szCs w:val="21"/>
        </w:rPr>
        <w:t>、转包与分包</w:t>
      </w:r>
    </w:p>
    <w:p w14:paraId="00134519">
      <w:pPr>
        <w:pageBreakBefore w:val="0"/>
        <w:kinsoku/>
        <w:overflowPunct/>
        <w:topLinePunct w:val="0"/>
        <w:bidi w:val="0"/>
        <w:snapToGrid w:val="0"/>
        <w:spacing w:line="360" w:lineRule="auto"/>
        <w:ind w:firstLine="417" w:firstLineChars="199"/>
        <w:jc w:val="left"/>
        <w:rPr>
          <w:rFonts w:ascii="Times New Roman" w:hAnsi="Times New Roman" w:cs="宋体"/>
          <w:color w:val="000000"/>
          <w:kern w:val="0"/>
          <w:szCs w:val="21"/>
        </w:rPr>
      </w:pPr>
      <w:r>
        <w:rPr>
          <w:rFonts w:ascii="Times New Roman" w:hAnsi="Times New Roman" w:cs="宋体"/>
          <w:color w:val="000000"/>
          <w:kern w:val="0"/>
          <w:szCs w:val="21"/>
        </w:rPr>
        <w:t>8.1</w:t>
      </w:r>
      <w:r>
        <w:rPr>
          <w:rFonts w:hint="eastAsia" w:ascii="Times New Roman" w:hAnsi="Times New Roman" w:cs="宋体"/>
          <w:color w:val="000000"/>
          <w:kern w:val="0"/>
          <w:szCs w:val="21"/>
        </w:rPr>
        <w:t>、本项目不允许转包；</w:t>
      </w:r>
    </w:p>
    <w:p w14:paraId="139DF29D">
      <w:pPr>
        <w:pageBreakBefore w:val="0"/>
        <w:kinsoku/>
        <w:overflowPunct/>
        <w:topLinePunct w:val="0"/>
        <w:bidi w:val="0"/>
        <w:snapToGrid w:val="0"/>
        <w:spacing w:line="360" w:lineRule="auto"/>
        <w:ind w:firstLine="417" w:firstLineChars="199"/>
        <w:jc w:val="left"/>
        <w:rPr>
          <w:rFonts w:ascii="Times New Roman" w:hAnsi="Times New Roman" w:cs="宋体"/>
          <w:color w:val="000000"/>
          <w:kern w:val="0"/>
          <w:szCs w:val="21"/>
        </w:rPr>
      </w:pPr>
      <w:r>
        <w:rPr>
          <w:rFonts w:ascii="Times New Roman" w:hAnsi="Times New Roman" w:cs="宋体"/>
          <w:color w:val="000000"/>
          <w:kern w:val="0"/>
          <w:szCs w:val="21"/>
        </w:rPr>
        <w:t>8.2</w:t>
      </w:r>
      <w:r>
        <w:rPr>
          <w:rFonts w:hint="eastAsia" w:ascii="Times New Roman" w:hAnsi="Times New Roman" w:cs="宋体"/>
          <w:color w:val="000000"/>
          <w:kern w:val="0"/>
          <w:szCs w:val="21"/>
        </w:rPr>
        <w:t>、本项目不允许分包；</w:t>
      </w:r>
    </w:p>
    <w:p w14:paraId="3A3ACB9C">
      <w:pPr>
        <w:pageBreakBefore w:val="0"/>
        <w:kinsoku/>
        <w:overflowPunct/>
        <w:topLinePunct w:val="0"/>
        <w:bidi w:val="0"/>
        <w:snapToGrid w:val="0"/>
        <w:spacing w:line="360" w:lineRule="auto"/>
        <w:ind w:firstLine="420" w:firstLineChars="199"/>
        <w:jc w:val="left"/>
        <w:rPr>
          <w:rFonts w:ascii="Times New Roman" w:hAnsi="Times New Roman" w:cs="宋体"/>
          <w:b/>
          <w:color w:val="000000"/>
          <w:kern w:val="0"/>
          <w:szCs w:val="21"/>
        </w:rPr>
      </w:pPr>
      <w:r>
        <w:rPr>
          <w:rFonts w:ascii="Times New Roman" w:hAnsi="Times New Roman" w:cs="宋体"/>
          <w:b/>
          <w:color w:val="000000"/>
          <w:kern w:val="0"/>
          <w:szCs w:val="21"/>
        </w:rPr>
        <w:t>9</w:t>
      </w:r>
      <w:r>
        <w:rPr>
          <w:rFonts w:hint="eastAsia" w:ascii="Times New Roman" w:hAnsi="Times New Roman" w:cs="宋体"/>
          <w:b/>
          <w:color w:val="000000"/>
          <w:kern w:val="0"/>
          <w:szCs w:val="21"/>
        </w:rPr>
        <w:t>、特别说明：</w:t>
      </w:r>
    </w:p>
    <w:p w14:paraId="766C86CB">
      <w:pPr>
        <w:pageBreakBefore w:val="0"/>
        <w:kinsoku/>
        <w:overflowPunct/>
        <w:topLinePunct w:val="0"/>
        <w:bidi w:val="0"/>
        <w:snapToGrid w:val="0"/>
        <w:spacing w:line="360" w:lineRule="auto"/>
        <w:ind w:firstLine="420" w:firstLineChars="200"/>
        <w:jc w:val="left"/>
        <w:rPr>
          <w:rFonts w:ascii="Times New Roman" w:hAnsi="Times New Roman"/>
          <w:bCs/>
          <w:color w:val="000000"/>
          <w:szCs w:val="21"/>
        </w:rPr>
      </w:pPr>
      <w:r>
        <w:rPr>
          <w:rFonts w:ascii="Times New Roman" w:hAnsi="Times New Roman"/>
          <w:bCs/>
          <w:color w:val="000000"/>
          <w:szCs w:val="21"/>
        </w:rPr>
        <w:t>9.1</w:t>
      </w:r>
      <w:r>
        <w:rPr>
          <w:rFonts w:hint="eastAsia" w:ascii="Times New Roman" w:hAnsi="Times New Roman"/>
          <w:bCs/>
          <w:color w:val="000000"/>
          <w:szCs w:val="21"/>
        </w:rPr>
        <w:t>、</w:t>
      </w:r>
      <w:bookmarkStart w:id="251" w:name="_Hlk11356294"/>
      <w:r>
        <w:rPr>
          <w:rFonts w:hint="eastAsia" w:ascii="Times New Roman" w:hAnsi="Times New Roman"/>
          <w:color w:val="000000"/>
          <w:szCs w:val="21"/>
        </w:rPr>
        <w:t>▲</w:t>
      </w:r>
      <w:r>
        <w:rPr>
          <w:rFonts w:hint="eastAsia" w:ascii="Times New Roman" w:hAnsi="Times New Roman"/>
          <w:bCs/>
          <w:color w:val="000000"/>
          <w:szCs w:val="21"/>
        </w:rPr>
        <w:t>投标人投标所使用的资格、信誉、荣誉、业绩与企业认证必须为本法人所拥有。投标人投标所使用的采购项目实施人员必须为本法人员工（或必须为本法人或控股公司正式员工）。</w:t>
      </w:r>
      <w:bookmarkEnd w:id="251"/>
    </w:p>
    <w:p w14:paraId="5ECD9335">
      <w:pPr>
        <w:pageBreakBefore w:val="0"/>
        <w:kinsoku/>
        <w:overflowPunct/>
        <w:topLinePunct w:val="0"/>
        <w:bidi w:val="0"/>
        <w:snapToGrid w:val="0"/>
        <w:spacing w:line="360" w:lineRule="auto"/>
        <w:ind w:firstLine="420" w:firstLineChars="200"/>
        <w:jc w:val="left"/>
        <w:rPr>
          <w:rFonts w:ascii="Times New Roman" w:hAnsi="Times New Roman"/>
          <w:bCs/>
          <w:color w:val="000000"/>
          <w:szCs w:val="21"/>
        </w:rPr>
      </w:pPr>
      <w:r>
        <w:rPr>
          <w:rFonts w:ascii="Times New Roman" w:hAnsi="Times New Roman"/>
          <w:bCs/>
          <w:color w:val="000000"/>
          <w:szCs w:val="21"/>
        </w:rPr>
        <w:t>9.2</w:t>
      </w:r>
      <w:r>
        <w:rPr>
          <w:rFonts w:hint="eastAsia" w:ascii="Times New Roman" w:hAnsi="Times New Roman"/>
          <w:bCs/>
          <w:color w:val="000000"/>
          <w:szCs w:val="21"/>
        </w:rPr>
        <w:t>、</w:t>
      </w:r>
      <w:r>
        <w:rPr>
          <w:rFonts w:hint="eastAsia" w:ascii="Times New Roman" w:hAnsi="Times New Roman"/>
          <w:szCs w:val="21"/>
        </w:rPr>
        <w:t>▲</w:t>
      </w:r>
      <w:r>
        <w:rPr>
          <w:rFonts w:hint="eastAsia" w:ascii="Times New Roman" w:hAnsi="Times New Roman"/>
          <w:bCs/>
          <w:color w:val="000000"/>
          <w:szCs w:val="21"/>
        </w:rPr>
        <w:t>投标人应仔细阅读招标文件的所有内容，按照招标文件的要求提交投标文件，并对所提供的全部资料的真实性承担法律责任。</w:t>
      </w:r>
    </w:p>
    <w:p w14:paraId="03A0E55B">
      <w:pPr>
        <w:pageBreakBefore w:val="0"/>
        <w:kinsoku/>
        <w:overflowPunct/>
        <w:topLinePunct w:val="0"/>
        <w:bidi w:val="0"/>
        <w:snapToGrid w:val="0"/>
        <w:spacing w:line="360" w:lineRule="auto"/>
        <w:ind w:firstLine="417" w:firstLineChars="199"/>
        <w:jc w:val="left"/>
        <w:rPr>
          <w:rFonts w:ascii="Times New Roman" w:hAnsi="Times New Roman"/>
          <w:color w:val="000000"/>
          <w:szCs w:val="21"/>
        </w:rPr>
      </w:pPr>
      <w:r>
        <w:rPr>
          <w:rFonts w:ascii="Times New Roman" w:hAnsi="Times New Roman"/>
          <w:color w:val="000000"/>
          <w:szCs w:val="21"/>
        </w:rPr>
        <w:t>9.3</w:t>
      </w:r>
      <w:r>
        <w:rPr>
          <w:rFonts w:hint="eastAsia" w:ascii="Times New Roman" w:hAnsi="Times New Roman"/>
          <w:color w:val="000000"/>
          <w:szCs w:val="21"/>
        </w:rPr>
        <w:t>、▲投标人在投标活动中提供任何虚假材料</w:t>
      </w:r>
      <w:r>
        <w:rPr>
          <w:rFonts w:ascii="Times New Roman" w:hAnsi="Times New Roman"/>
          <w:color w:val="000000"/>
          <w:szCs w:val="21"/>
        </w:rPr>
        <w:t>,</w:t>
      </w:r>
      <w:r>
        <w:rPr>
          <w:rFonts w:hint="eastAsia" w:ascii="Times New Roman" w:hAnsi="Times New Roman"/>
          <w:color w:val="000000"/>
          <w:szCs w:val="21"/>
        </w:rPr>
        <w:t>其投标无效，并报监管部门查处；中标后发现的</w:t>
      </w:r>
      <w:r>
        <w:rPr>
          <w:rFonts w:ascii="Times New Roman" w:hAnsi="Times New Roman"/>
          <w:color w:val="000000"/>
          <w:szCs w:val="21"/>
        </w:rPr>
        <w:t xml:space="preserve">, </w:t>
      </w:r>
      <w:r>
        <w:rPr>
          <w:rFonts w:hint="eastAsia" w:ascii="Times New Roman" w:hAnsi="Times New Roman"/>
          <w:color w:val="000000"/>
          <w:szCs w:val="21"/>
        </w:rPr>
        <w:t>根据《浙江省政府采购供应商注册及诚信管理暂行办法的通知》规定进行处罚，还须依照《中华人民共和国消费者权益保护法》第</w:t>
      </w:r>
      <w:r>
        <w:rPr>
          <w:rFonts w:ascii="Times New Roman" w:hAnsi="Times New Roman"/>
          <w:color w:val="000000"/>
          <w:szCs w:val="21"/>
        </w:rPr>
        <w:t>49</w:t>
      </w:r>
      <w:r>
        <w:rPr>
          <w:rFonts w:hint="eastAsia" w:ascii="Times New Roman" w:hAnsi="Times New Roman"/>
          <w:color w:val="000000"/>
          <w:szCs w:val="21"/>
        </w:rPr>
        <w:t>条之规定双倍赔偿采购人。民事上之赔偿不免除作假投标人之行政与刑事责任。</w:t>
      </w:r>
      <w:bookmarkStart w:id="252" w:name="_Toc417992881"/>
      <w:bookmarkStart w:id="253" w:name="_Toc177870543"/>
    </w:p>
    <w:p w14:paraId="085F62B5">
      <w:pPr>
        <w:pageBreakBefore w:val="0"/>
        <w:kinsoku/>
        <w:overflowPunct/>
        <w:topLinePunct w:val="0"/>
        <w:bidi w:val="0"/>
        <w:snapToGrid w:val="0"/>
        <w:spacing w:line="360" w:lineRule="auto"/>
        <w:ind w:firstLine="420" w:firstLineChars="199"/>
        <w:jc w:val="left"/>
        <w:rPr>
          <w:rFonts w:ascii="Times New Roman" w:hAnsi="Times New Roman"/>
          <w:b/>
          <w:bCs/>
          <w:color w:val="000000"/>
          <w:szCs w:val="21"/>
        </w:rPr>
      </w:pPr>
      <w:r>
        <w:rPr>
          <w:rFonts w:ascii="Times New Roman" w:hAnsi="Times New Roman"/>
          <w:b/>
          <w:bCs/>
          <w:color w:val="000000"/>
          <w:szCs w:val="21"/>
        </w:rPr>
        <w:t>10</w:t>
      </w:r>
      <w:r>
        <w:rPr>
          <w:rFonts w:hint="eastAsia" w:ascii="Times New Roman" w:hAnsi="Times New Roman"/>
          <w:b/>
          <w:bCs/>
          <w:color w:val="000000"/>
          <w:szCs w:val="21"/>
        </w:rPr>
        <w:t>、质疑</w:t>
      </w:r>
      <w:bookmarkEnd w:id="252"/>
      <w:bookmarkEnd w:id="253"/>
      <w:r>
        <w:rPr>
          <w:rFonts w:hint="eastAsia" w:ascii="Times New Roman" w:hAnsi="Times New Roman"/>
          <w:b/>
          <w:bCs/>
          <w:color w:val="000000"/>
          <w:szCs w:val="21"/>
        </w:rPr>
        <w:t>和投诉</w:t>
      </w:r>
    </w:p>
    <w:p w14:paraId="3CE58878">
      <w:pPr>
        <w:pageBreakBefore w:val="0"/>
        <w:kinsoku/>
        <w:overflowPunct/>
        <w:topLinePunct w:val="0"/>
        <w:bidi w:val="0"/>
        <w:snapToGrid w:val="0"/>
        <w:spacing w:line="360" w:lineRule="auto"/>
        <w:ind w:firstLine="417" w:firstLineChars="199"/>
        <w:jc w:val="left"/>
        <w:rPr>
          <w:rFonts w:ascii="Times New Roman" w:hAnsi="Times New Roman"/>
          <w:color w:val="000000"/>
          <w:szCs w:val="21"/>
        </w:rPr>
      </w:pPr>
      <w:r>
        <w:rPr>
          <w:rFonts w:ascii="Times New Roman" w:hAnsi="Times New Roman"/>
          <w:color w:val="000000"/>
          <w:szCs w:val="21"/>
        </w:rPr>
        <w:t>10.1</w:t>
      </w:r>
      <w:r>
        <w:rPr>
          <w:rFonts w:hint="eastAsia" w:ascii="Times New Roman" w:hAnsi="Times New Roman"/>
          <w:color w:val="000000"/>
          <w:szCs w:val="21"/>
        </w:rPr>
        <w:t>、投标人认为招标文件、招标过程或中标结果使自己的合法权益受到损害的，应当在知道或者应知其权益受到损害之日起七个工作日内，以书面形式向采购人、代理机构一次性提出针对同一采购程序环节的质疑。投标人对采购人、</w:t>
      </w:r>
      <w:r>
        <w:rPr>
          <w:rFonts w:ascii="Times New Roman" w:hAnsi="Times New Roman"/>
          <w:color w:val="000000"/>
          <w:szCs w:val="21"/>
        </w:rPr>
        <w:t xml:space="preserve"> </w:t>
      </w:r>
      <w:r>
        <w:rPr>
          <w:rFonts w:hint="eastAsia" w:ascii="Times New Roman" w:hAnsi="Times New Roman"/>
          <w:color w:val="000000"/>
          <w:szCs w:val="21"/>
        </w:rPr>
        <w:t>采购代理机构的质疑答复不满意或者招标采购单位未在规定时间内作出答复的，可以在答复期满后十五个工作日内向同级采购监管部门投诉。</w:t>
      </w:r>
    </w:p>
    <w:p w14:paraId="6AADBA40">
      <w:pPr>
        <w:pageBreakBefore w:val="0"/>
        <w:kinsoku/>
        <w:overflowPunct/>
        <w:topLinePunct w:val="0"/>
        <w:bidi w:val="0"/>
        <w:snapToGrid w:val="0"/>
        <w:spacing w:line="360" w:lineRule="auto"/>
        <w:ind w:firstLine="417" w:firstLineChars="199"/>
        <w:jc w:val="left"/>
        <w:rPr>
          <w:rFonts w:ascii="Times New Roman" w:hAnsi="Times New Roman"/>
          <w:color w:val="000000"/>
          <w:szCs w:val="21"/>
        </w:rPr>
      </w:pPr>
      <w:r>
        <w:rPr>
          <w:rFonts w:ascii="Times New Roman" w:hAnsi="Times New Roman"/>
          <w:color w:val="000000"/>
          <w:szCs w:val="21"/>
        </w:rPr>
        <w:t>10.2</w:t>
      </w:r>
      <w:r>
        <w:rPr>
          <w:rFonts w:hint="eastAsia" w:ascii="Times New Roman" w:hAnsi="Times New Roman"/>
          <w:color w:val="000000"/>
          <w:szCs w:val="21"/>
        </w:rPr>
        <w:t>、质疑、投诉应当采用书面形式，质疑书、投诉书均应明确阐述招标文件、招标过程或中标结果中使自己合法权益受到损害的实质性内容，提供相关事实、依据和证据及其来源或线索，便于有关单位调查、答复和处理。</w:t>
      </w:r>
    </w:p>
    <w:p w14:paraId="4CDA303C">
      <w:pPr>
        <w:pageBreakBefore w:val="0"/>
        <w:kinsoku/>
        <w:overflowPunct/>
        <w:topLinePunct w:val="0"/>
        <w:bidi w:val="0"/>
        <w:snapToGrid w:val="0"/>
        <w:spacing w:line="360" w:lineRule="auto"/>
        <w:ind w:firstLine="417" w:firstLineChars="199"/>
        <w:jc w:val="left"/>
        <w:rPr>
          <w:rFonts w:ascii="Times New Roman" w:hAnsi="Times New Roman"/>
          <w:color w:val="000000"/>
          <w:szCs w:val="21"/>
        </w:rPr>
      </w:pPr>
      <w:r>
        <w:rPr>
          <w:rFonts w:ascii="Times New Roman" w:hAnsi="Times New Roman"/>
          <w:color w:val="000000"/>
          <w:szCs w:val="21"/>
        </w:rPr>
        <w:t>10.3</w:t>
      </w:r>
      <w:r>
        <w:rPr>
          <w:rFonts w:hint="eastAsia" w:ascii="Times New Roman" w:hAnsi="Times New Roman"/>
          <w:color w:val="000000"/>
          <w:szCs w:val="21"/>
        </w:rPr>
        <w:t>、供应商认为采购代理机构在质疑答复程序中启用的调查和复评等程序，在该程序操作过程未明显违反法律禁止性规定时，不得提出疑义。</w:t>
      </w:r>
    </w:p>
    <w:p w14:paraId="2FA07EBF">
      <w:pPr>
        <w:pageBreakBefore w:val="0"/>
        <w:kinsoku/>
        <w:overflowPunct/>
        <w:topLinePunct w:val="0"/>
        <w:bidi w:val="0"/>
        <w:snapToGrid w:val="0"/>
        <w:spacing w:line="360" w:lineRule="auto"/>
        <w:ind w:firstLine="417" w:firstLineChars="199"/>
        <w:jc w:val="left"/>
        <w:rPr>
          <w:rFonts w:ascii="Times New Roman" w:hAnsi="Times New Roman"/>
          <w:color w:val="000000"/>
          <w:szCs w:val="21"/>
        </w:rPr>
      </w:pPr>
      <w:r>
        <w:rPr>
          <w:rFonts w:ascii="Times New Roman" w:hAnsi="Times New Roman"/>
          <w:color w:val="000000"/>
          <w:szCs w:val="21"/>
        </w:rPr>
        <w:t>10.4</w:t>
      </w:r>
      <w:r>
        <w:rPr>
          <w:rFonts w:hint="eastAsia" w:ascii="Times New Roman" w:hAnsi="Times New Roman"/>
          <w:color w:val="000000"/>
          <w:szCs w:val="21"/>
        </w:rPr>
        <w:t>、质疑和投诉应当满足《政府采购质疑和投诉办法》（中华人民共和国财政部令第</w:t>
      </w:r>
      <w:r>
        <w:rPr>
          <w:rFonts w:ascii="Times New Roman" w:hAnsi="Times New Roman"/>
          <w:color w:val="000000"/>
          <w:szCs w:val="21"/>
        </w:rPr>
        <w:t>94</w:t>
      </w:r>
      <w:r>
        <w:rPr>
          <w:rFonts w:hint="eastAsia" w:ascii="Times New Roman" w:hAnsi="Times New Roman"/>
          <w:color w:val="000000"/>
          <w:szCs w:val="21"/>
        </w:rPr>
        <w:t>号）要求。</w:t>
      </w:r>
    </w:p>
    <w:p w14:paraId="0570E72D">
      <w:pPr>
        <w:pageBreakBefore w:val="0"/>
        <w:kinsoku/>
        <w:overflowPunct/>
        <w:topLinePunct w:val="0"/>
        <w:bidi w:val="0"/>
        <w:snapToGrid w:val="0"/>
        <w:spacing w:line="360" w:lineRule="auto"/>
        <w:ind w:firstLine="420" w:firstLineChars="199"/>
        <w:jc w:val="left"/>
        <w:rPr>
          <w:rFonts w:ascii="Times New Roman" w:hAnsi="Times New Roman"/>
          <w:b/>
          <w:color w:val="000000"/>
          <w:szCs w:val="21"/>
        </w:rPr>
      </w:pPr>
      <w:r>
        <w:rPr>
          <w:rFonts w:hint="eastAsia" w:ascii="Times New Roman" w:hAnsi="Times New Roman"/>
          <w:b/>
          <w:color w:val="000000"/>
          <w:szCs w:val="21"/>
        </w:rPr>
        <w:t>二、招标文件</w:t>
      </w:r>
    </w:p>
    <w:p w14:paraId="2C1D1331">
      <w:pPr>
        <w:pageBreakBefore w:val="0"/>
        <w:kinsoku/>
        <w:overflowPunct/>
        <w:topLinePunct w:val="0"/>
        <w:bidi w:val="0"/>
        <w:snapToGrid w:val="0"/>
        <w:spacing w:line="360" w:lineRule="auto"/>
        <w:ind w:firstLine="420" w:firstLineChars="199"/>
        <w:jc w:val="left"/>
        <w:rPr>
          <w:rFonts w:ascii="Times New Roman" w:hAnsi="Times New Roman"/>
          <w:b/>
          <w:color w:val="000000"/>
          <w:szCs w:val="21"/>
        </w:rPr>
      </w:pPr>
      <w:r>
        <w:rPr>
          <w:rFonts w:ascii="Times New Roman" w:hAnsi="Times New Roman"/>
          <w:b/>
          <w:color w:val="000000"/>
          <w:szCs w:val="21"/>
        </w:rPr>
        <w:t>1</w:t>
      </w:r>
      <w:r>
        <w:rPr>
          <w:rFonts w:hint="eastAsia" w:ascii="Times New Roman" w:hAnsi="Times New Roman"/>
          <w:b/>
          <w:color w:val="000000"/>
          <w:szCs w:val="21"/>
        </w:rPr>
        <w:t>、招标文件的构成</w:t>
      </w:r>
    </w:p>
    <w:p w14:paraId="67A6559D">
      <w:pPr>
        <w:pageBreakBefore w:val="0"/>
        <w:kinsoku/>
        <w:overflowPunct/>
        <w:topLinePunct w:val="0"/>
        <w:bidi w:val="0"/>
        <w:snapToGrid w:val="0"/>
        <w:spacing w:line="360" w:lineRule="auto"/>
        <w:ind w:firstLine="420" w:firstLineChars="200"/>
        <w:jc w:val="left"/>
        <w:rPr>
          <w:rFonts w:ascii="Times New Roman" w:hAnsi="Times New Roman"/>
          <w:color w:val="000000"/>
          <w:szCs w:val="21"/>
        </w:rPr>
      </w:pPr>
      <w:r>
        <w:rPr>
          <w:rFonts w:ascii="Times New Roman" w:hAnsi="Times New Roman"/>
          <w:color w:val="000000"/>
          <w:szCs w:val="21"/>
        </w:rPr>
        <w:t>1.1</w:t>
      </w:r>
      <w:r>
        <w:rPr>
          <w:rFonts w:hint="eastAsia" w:ascii="Times New Roman" w:hAnsi="Times New Roman"/>
          <w:color w:val="000000"/>
          <w:szCs w:val="21"/>
        </w:rPr>
        <w:t>、公开招标采购公告</w:t>
      </w:r>
    </w:p>
    <w:p w14:paraId="4BABDEA7">
      <w:pPr>
        <w:pageBreakBefore w:val="0"/>
        <w:kinsoku/>
        <w:overflowPunct/>
        <w:topLinePunct w:val="0"/>
        <w:bidi w:val="0"/>
        <w:snapToGrid w:val="0"/>
        <w:spacing w:line="360" w:lineRule="auto"/>
        <w:ind w:firstLine="420" w:firstLineChars="200"/>
        <w:jc w:val="left"/>
        <w:rPr>
          <w:rFonts w:ascii="Times New Roman" w:hAnsi="Times New Roman"/>
          <w:color w:val="000000"/>
          <w:szCs w:val="21"/>
        </w:rPr>
      </w:pPr>
      <w:r>
        <w:rPr>
          <w:rFonts w:ascii="Times New Roman" w:hAnsi="Times New Roman"/>
          <w:color w:val="000000"/>
          <w:szCs w:val="21"/>
        </w:rPr>
        <w:t>1.2</w:t>
      </w:r>
      <w:r>
        <w:rPr>
          <w:rFonts w:hint="eastAsia" w:ascii="Times New Roman" w:hAnsi="Times New Roman"/>
          <w:color w:val="000000"/>
          <w:szCs w:val="21"/>
        </w:rPr>
        <w:t>、招标需求</w:t>
      </w:r>
    </w:p>
    <w:p w14:paraId="42CF7718">
      <w:pPr>
        <w:pageBreakBefore w:val="0"/>
        <w:kinsoku/>
        <w:overflowPunct/>
        <w:topLinePunct w:val="0"/>
        <w:bidi w:val="0"/>
        <w:snapToGrid w:val="0"/>
        <w:spacing w:line="360" w:lineRule="auto"/>
        <w:ind w:firstLine="420" w:firstLineChars="200"/>
        <w:jc w:val="left"/>
        <w:rPr>
          <w:rFonts w:ascii="Times New Roman" w:hAnsi="Times New Roman"/>
          <w:color w:val="000000"/>
          <w:szCs w:val="21"/>
        </w:rPr>
      </w:pPr>
      <w:r>
        <w:rPr>
          <w:rFonts w:ascii="Times New Roman" w:hAnsi="Times New Roman"/>
          <w:color w:val="000000"/>
          <w:szCs w:val="21"/>
        </w:rPr>
        <w:t>1.3</w:t>
      </w:r>
      <w:r>
        <w:rPr>
          <w:rFonts w:hint="eastAsia" w:ascii="Times New Roman" w:hAnsi="Times New Roman"/>
          <w:color w:val="000000"/>
          <w:szCs w:val="21"/>
        </w:rPr>
        <w:t>、投标人须知</w:t>
      </w:r>
    </w:p>
    <w:p w14:paraId="1356D9EF">
      <w:pPr>
        <w:pageBreakBefore w:val="0"/>
        <w:kinsoku/>
        <w:overflowPunct/>
        <w:topLinePunct w:val="0"/>
        <w:bidi w:val="0"/>
        <w:snapToGrid w:val="0"/>
        <w:spacing w:line="360" w:lineRule="auto"/>
        <w:ind w:firstLine="420" w:firstLineChars="200"/>
        <w:jc w:val="left"/>
        <w:rPr>
          <w:rFonts w:ascii="Times New Roman" w:hAnsi="Times New Roman"/>
          <w:color w:val="000000"/>
          <w:szCs w:val="21"/>
        </w:rPr>
      </w:pPr>
      <w:r>
        <w:rPr>
          <w:rFonts w:ascii="Times New Roman" w:hAnsi="Times New Roman"/>
          <w:color w:val="000000"/>
          <w:szCs w:val="21"/>
        </w:rPr>
        <w:t>1.4</w:t>
      </w:r>
      <w:r>
        <w:rPr>
          <w:rFonts w:hint="eastAsia" w:ascii="Times New Roman" w:hAnsi="Times New Roman"/>
          <w:color w:val="000000"/>
          <w:szCs w:val="21"/>
        </w:rPr>
        <w:t>、评标办法及评分标准</w:t>
      </w:r>
    </w:p>
    <w:p w14:paraId="09ADAE16">
      <w:pPr>
        <w:pageBreakBefore w:val="0"/>
        <w:kinsoku/>
        <w:overflowPunct/>
        <w:topLinePunct w:val="0"/>
        <w:bidi w:val="0"/>
        <w:snapToGrid w:val="0"/>
        <w:spacing w:line="360" w:lineRule="auto"/>
        <w:ind w:firstLine="420" w:firstLineChars="200"/>
        <w:jc w:val="left"/>
        <w:rPr>
          <w:rFonts w:ascii="Times New Roman" w:hAnsi="Times New Roman"/>
          <w:color w:val="000000"/>
          <w:szCs w:val="21"/>
        </w:rPr>
      </w:pPr>
      <w:r>
        <w:rPr>
          <w:rFonts w:ascii="Times New Roman" w:hAnsi="Times New Roman"/>
          <w:color w:val="000000"/>
          <w:szCs w:val="21"/>
        </w:rPr>
        <w:t>1.5</w:t>
      </w:r>
      <w:r>
        <w:rPr>
          <w:rFonts w:hint="eastAsia" w:ascii="Times New Roman" w:hAnsi="Times New Roman"/>
          <w:color w:val="000000"/>
          <w:szCs w:val="21"/>
        </w:rPr>
        <w:t>、合同主要条款</w:t>
      </w:r>
    </w:p>
    <w:p w14:paraId="799D48A5">
      <w:pPr>
        <w:pageBreakBefore w:val="0"/>
        <w:kinsoku/>
        <w:overflowPunct/>
        <w:topLinePunct w:val="0"/>
        <w:bidi w:val="0"/>
        <w:snapToGrid w:val="0"/>
        <w:spacing w:line="360" w:lineRule="auto"/>
        <w:ind w:firstLine="420" w:firstLineChars="200"/>
        <w:jc w:val="left"/>
        <w:rPr>
          <w:rFonts w:ascii="Times New Roman" w:hAnsi="Times New Roman"/>
          <w:color w:val="000000"/>
          <w:szCs w:val="21"/>
        </w:rPr>
      </w:pPr>
      <w:r>
        <w:rPr>
          <w:rFonts w:ascii="Times New Roman" w:hAnsi="Times New Roman"/>
          <w:color w:val="000000"/>
          <w:szCs w:val="21"/>
        </w:rPr>
        <w:t>1.6</w:t>
      </w:r>
      <w:r>
        <w:rPr>
          <w:rFonts w:hint="eastAsia" w:ascii="Times New Roman" w:hAnsi="Times New Roman"/>
          <w:color w:val="000000"/>
          <w:szCs w:val="21"/>
        </w:rPr>
        <w:t>、投标文件相关文件格式</w:t>
      </w:r>
    </w:p>
    <w:p w14:paraId="04AE5C39">
      <w:pPr>
        <w:pageBreakBefore w:val="0"/>
        <w:kinsoku/>
        <w:overflowPunct/>
        <w:topLinePunct w:val="0"/>
        <w:bidi w:val="0"/>
        <w:snapToGrid w:val="0"/>
        <w:spacing w:line="360" w:lineRule="auto"/>
        <w:ind w:firstLine="420" w:firstLineChars="200"/>
        <w:jc w:val="left"/>
        <w:rPr>
          <w:rFonts w:ascii="Times New Roman" w:hAnsi="Times New Roman"/>
          <w:color w:val="000000"/>
          <w:szCs w:val="21"/>
        </w:rPr>
      </w:pPr>
      <w:r>
        <w:rPr>
          <w:rFonts w:ascii="Times New Roman" w:hAnsi="Times New Roman"/>
          <w:color w:val="000000"/>
          <w:szCs w:val="21"/>
        </w:rPr>
        <w:t>1.7</w:t>
      </w:r>
      <w:r>
        <w:rPr>
          <w:rFonts w:hint="eastAsia" w:ascii="Times New Roman" w:hAnsi="Times New Roman"/>
          <w:color w:val="000000"/>
          <w:szCs w:val="21"/>
        </w:rPr>
        <w:t>、本项目招标文件的澄清、答复、修改、补充的内容</w:t>
      </w:r>
    </w:p>
    <w:p w14:paraId="2FC4FE1D">
      <w:pPr>
        <w:pageBreakBefore w:val="0"/>
        <w:kinsoku/>
        <w:overflowPunct/>
        <w:topLinePunct w:val="0"/>
        <w:bidi w:val="0"/>
        <w:snapToGrid w:val="0"/>
        <w:spacing w:line="360" w:lineRule="auto"/>
        <w:ind w:firstLine="422" w:firstLineChars="200"/>
        <w:jc w:val="left"/>
        <w:rPr>
          <w:rFonts w:ascii="Times New Roman" w:hAnsi="Times New Roman"/>
          <w:b/>
          <w:color w:val="000000"/>
          <w:szCs w:val="21"/>
        </w:rPr>
      </w:pPr>
      <w:r>
        <w:rPr>
          <w:rFonts w:ascii="Times New Roman" w:hAnsi="Times New Roman"/>
          <w:b/>
          <w:color w:val="000000"/>
          <w:szCs w:val="21"/>
        </w:rPr>
        <w:t>2</w:t>
      </w:r>
      <w:r>
        <w:rPr>
          <w:rFonts w:hint="eastAsia" w:ascii="Times New Roman" w:hAnsi="Times New Roman"/>
          <w:b/>
          <w:color w:val="000000"/>
          <w:szCs w:val="21"/>
        </w:rPr>
        <w:t>、存在的风险</w:t>
      </w:r>
    </w:p>
    <w:p w14:paraId="02A3FEAD">
      <w:pPr>
        <w:pageBreakBefore w:val="0"/>
        <w:kinsoku/>
        <w:overflowPunct/>
        <w:topLinePunct w:val="0"/>
        <w:bidi w:val="0"/>
        <w:snapToGrid w:val="0"/>
        <w:spacing w:line="360" w:lineRule="auto"/>
        <w:ind w:firstLine="420" w:firstLineChars="200"/>
        <w:jc w:val="left"/>
        <w:rPr>
          <w:rFonts w:ascii="Times New Roman" w:hAnsi="Times New Roman"/>
          <w:color w:val="000000"/>
          <w:szCs w:val="21"/>
        </w:rPr>
      </w:pPr>
      <w:r>
        <w:rPr>
          <w:rFonts w:hint="eastAsia" w:ascii="Times New Roman" w:hAnsi="Times New Roman"/>
          <w:color w:val="000000"/>
          <w:szCs w:val="21"/>
        </w:rPr>
        <w:t>投标人没有按照招标文件要求提供全部资料，或者投标人没有对招标文件在各方面作出实质性响应是投标人的风险，并可能导致其投标无效。</w:t>
      </w:r>
    </w:p>
    <w:p w14:paraId="356B65B6">
      <w:pPr>
        <w:pageBreakBefore w:val="0"/>
        <w:kinsoku/>
        <w:overflowPunct/>
        <w:topLinePunct w:val="0"/>
        <w:bidi w:val="0"/>
        <w:snapToGrid w:val="0"/>
        <w:spacing w:line="360" w:lineRule="auto"/>
        <w:ind w:firstLine="422" w:firstLineChars="200"/>
        <w:jc w:val="left"/>
        <w:rPr>
          <w:rFonts w:ascii="Times New Roman" w:hAnsi="Times New Roman"/>
          <w:b/>
          <w:color w:val="000000"/>
          <w:szCs w:val="21"/>
        </w:rPr>
      </w:pPr>
      <w:r>
        <w:rPr>
          <w:rFonts w:ascii="Times New Roman" w:hAnsi="Times New Roman"/>
          <w:b/>
          <w:color w:val="000000"/>
          <w:szCs w:val="21"/>
        </w:rPr>
        <w:t>3</w:t>
      </w:r>
      <w:r>
        <w:rPr>
          <w:rFonts w:hint="eastAsia" w:ascii="Times New Roman" w:hAnsi="Times New Roman"/>
          <w:b/>
          <w:color w:val="000000"/>
          <w:szCs w:val="21"/>
        </w:rPr>
        <w:t>、招标文件的澄清与修改</w:t>
      </w:r>
      <w:r>
        <w:rPr>
          <w:rFonts w:ascii="Times New Roman" w:hAnsi="Times New Roman"/>
          <w:b/>
          <w:color w:val="000000"/>
          <w:szCs w:val="21"/>
        </w:rPr>
        <w:t xml:space="preserve"> </w:t>
      </w:r>
    </w:p>
    <w:p w14:paraId="03006350">
      <w:pPr>
        <w:pageBreakBefore w:val="0"/>
        <w:kinsoku/>
        <w:overflowPunct/>
        <w:topLinePunct w:val="0"/>
        <w:bidi w:val="0"/>
        <w:snapToGrid w:val="0"/>
        <w:spacing w:line="360" w:lineRule="auto"/>
        <w:ind w:firstLine="420" w:firstLineChars="200"/>
        <w:jc w:val="left"/>
        <w:rPr>
          <w:rFonts w:ascii="Times New Roman" w:hAnsi="Times New Roman"/>
          <w:color w:val="000000"/>
          <w:szCs w:val="21"/>
        </w:rPr>
      </w:pPr>
      <w:bookmarkStart w:id="254" w:name="_Hlk11356763"/>
      <w:r>
        <w:rPr>
          <w:rFonts w:ascii="Times New Roman" w:hAnsi="Times New Roman"/>
          <w:color w:val="000000"/>
          <w:szCs w:val="21"/>
        </w:rPr>
        <w:t>3.1</w:t>
      </w:r>
      <w:r>
        <w:rPr>
          <w:rFonts w:hint="eastAsia" w:ascii="Times New Roman" w:hAnsi="Times New Roman"/>
          <w:color w:val="000000"/>
          <w:szCs w:val="21"/>
        </w:rPr>
        <w:t>、</w:t>
      </w:r>
      <w:bookmarkStart w:id="255" w:name="_Hlk11356817"/>
      <w:r>
        <w:rPr>
          <w:rFonts w:hint="eastAsia" w:ascii="Times New Roman" w:hAnsi="Times New Roman"/>
          <w:color w:val="000000"/>
          <w:szCs w:val="21"/>
        </w:rPr>
        <w:t>投标人应认真阅读本招标文件，发现其中有误或有要求不合理的，投标人必须在知道或者应当知道之日起七个工作日内以书面形式要求采购代理机构澄清，否则，由此产生的后果由投标人负责。</w:t>
      </w:r>
      <w:bookmarkEnd w:id="255"/>
    </w:p>
    <w:p w14:paraId="3FAEA54D">
      <w:pPr>
        <w:pageBreakBefore w:val="0"/>
        <w:kinsoku/>
        <w:overflowPunct/>
        <w:topLinePunct w:val="0"/>
        <w:bidi w:val="0"/>
        <w:snapToGrid w:val="0"/>
        <w:spacing w:line="360" w:lineRule="auto"/>
        <w:ind w:firstLine="420" w:firstLineChars="200"/>
        <w:jc w:val="left"/>
        <w:rPr>
          <w:rFonts w:ascii="Times New Roman" w:hAnsi="Times New Roman"/>
          <w:color w:val="000000"/>
          <w:szCs w:val="21"/>
        </w:rPr>
      </w:pPr>
      <w:r>
        <w:rPr>
          <w:rFonts w:ascii="Times New Roman" w:hAnsi="Times New Roman"/>
          <w:color w:val="000000"/>
          <w:szCs w:val="21"/>
        </w:rPr>
        <w:t>3.2</w:t>
      </w:r>
      <w:r>
        <w:rPr>
          <w:rFonts w:hint="eastAsia" w:ascii="Times New Roman" w:hAnsi="Times New Roman"/>
          <w:color w:val="000000"/>
          <w:szCs w:val="21"/>
        </w:rPr>
        <w:t>、</w:t>
      </w:r>
      <w:bookmarkStart w:id="256" w:name="_Hlk11356826"/>
      <w:r>
        <w:rPr>
          <w:rFonts w:hint="eastAsia" w:ascii="Times New Roman" w:hAnsi="Times New Roman"/>
          <w:color w:val="000000"/>
          <w:szCs w:val="21"/>
        </w:rPr>
        <w:t>采购代理机构必须以书面形式答复所有购买招标文件的投标人（答复中不包含问题的来源）要求澄清的问题，同时认定其他澄清方式为无效。</w:t>
      </w:r>
      <w:bookmarkEnd w:id="256"/>
    </w:p>
    <w:p w14:paraId="1F853EBF">
      <w:pPr>
        <w:pageBreakBefore w:val="0"/>
        <w:kinsoku/>
        <w:overflowPunct/>
        <w:topLinePunct w:val="0"/>
        <w:bidi w:val="0"/>
        <w:snapToGrid w:val="0"/>
        <w:spacing w:line="360" w:lineRule="auto"/>
        <w:ind w:firstLine="420" w:firstLineChars="200"/>
        <w:jc w:val="left"/>
        <w:rPr>
          <w:rFonts w:ascii="Times New Roman" w:hAnsi="Times New Roman"/>
          <w:color w:val="000000"/>
          <w:szCs w:val="21"/>
        </w:rPr>
      </w:pPr>
      <w:r>
        <w:rPr>
          <w:rFonts w:ascii="Times New Roman" w:hAnsi="Times New Roman"/>
          <w:color w:val="000000"/>
          <w:szCs w:val="21"/>
        </w:rPr>
        <w:t>3.3</w:t>
      </w:r>
      <w:r>
        <w:rPr>
          <w:rFonts w:hint="eastAsia" w:ascii="Times New Roman" w:hAnsi="Times New Roman"/>
          <w:color w:val="000000"/>
          <w:szCs w:val="21"/>
        </w:rPr>
        <w:t>、</w:t>
      </w:r>
      <w:bookmarkStart w:id="257" w:name="_Hlk11356834"/>
      <w:r>
        <w:rPr>
          <w:rFonts w:hint="eastAsia" w:ascii="Times New Roman" w:hAnsi="Times New Roman"/>
          <w:color w:val="000000"/>
          <w:szCs w:val="21"/>
        </w:rPr>
        <w:t>采购代理机构对已发出的招标文件进行必要澄清或者修改的，应当在招标文件要求提交投标文件截止时间十五日前，在财政部门指定的政府采购信息发布媒体上发布更正公告，并以书面形式通知所有招标文件获取人。该澄清或者修改的内容为招标文件的组成部分。当招标文件与澄清或者修改就同一内容的表述不一致时，以最后发出的书面文件为准。</w:t>
      </w:r>
      <w:bookmarkEnd w:id="257"/>
    </w:p>
    <w:p w14:paraId="4128AAD9">
      <w:pPr>
        <w:pageBreakBefore w:val="0"/>
        <w:kinsoku/>
        <w:overflowPunct/>
        <w:topLinePunct w:val="0"/>
        <w:bidi w:val="0"/>
        <w:snapToGrid w:val="0"/>
        <w:spacing w:line="360" w:lineRule="auto"/>
        <w:ind w:firstLine="420" w:firstLineChars="200"/>
        <w:jc w:val="left"/>
        <w:rPr>
          <w:rFonts w:ascii="Times New Roman" w:hAnsi="Times New Roman"/>
          <w:color w:val="000000"/>
          <w:szCs w:val="21"/>
        </w:rPr>
      </w:pPr>
      <w:r>
        <w:rPr>
          <w:rFonts w:ascii="Times New Roman" w:hAnsi="Times New Roman"/>
          <w:color w:val="000000"/>
          <w:szCs w:val="21"/>
        </w:rPr>
        <w:t>3.4</w:t>
      </w:r>
      <w:r>
        <w:rPr>
          <w:rFonts w:hint="eastAsia" w:ascii="Times New Roman" w:hAnsi="Times New Roman"/>
          <w:color w:val="000000"/>
          <w:szCs w:val="21"/>
        </w:rPr>
        <w:t>、</w:t>
      </w:r>
      <w:bookmarkStart w:id="258" w:name="_Hlk11356845"/>
      <w:r>
        <w:rPr>
          <w:rFonts w:hint="eastAsia" w:ascii="Times New Roman" w:hAnsi="Times New Roman"/>
          <w:color w:val="000000"/>
          <w:szCs w:val="21"/>
        </w:rPr>
        <w:t>采购代理机构和采购单位可以视采购具体情况，延长投标截止时间和开标时间，但至少应当在招标文件要求提交投标文件的截止时间三日前，将变更时间书面通知所有招标文件收受人，并在财政部门指定的政府采购信息发布媒体上发布变更公告</w:t>
      </w:r>
      <w:bookmarkEnd w:id="258"/>
      <w:r>
        <w:rPr>
          <w:rFonts w:hint="eastAsia" w:ascii="Times New Roman" w:hAnsi="Times New Roman"/>
          <w:color w:val="000000"/>
          <w:szCs w:val="21"/>
        </w:rPr>
        <w:t>。</w:t>
      </w:r>
    </w:p>
    <w:p w14:paraId="19213E86">
      <w:pPr>
        <w:pageBreakBefore w:val="0"/>
        <w:kinsoku/>
        <w:overflowPunct/>
        <w:topLinePunct w:val="0"/>
        <w:bidi w:val="0"/>
        <w:snapToGrid w:val="0"/>
        <w:spacing w:line="360" w:lineRule="auto"/>
        <w:ind w:firstLine="420" w:firstLineChars="200"/>
        <w:jc w:val="left"/>
        <w:rPr>
          <w:rFonts w:ascii="Times New Roman" w:hAnsi="Times New Roman"/>
          <w:color w:val="000000"/>
          <w:szCs w:val="21"/>
        </w:rPr>
      </w:pPr>
      <w:r>
        <w:rPr>
          <w:rFonts w:ascii="Times New Roman" w:hAnsi="Times New Roman"/>
          <w:color w:val="000000"/>
          <w:szCs w:val="21"/>
        </w:rPr>
        <w:t>3.5</w:t>
      </w:r>
      <w:r>
        <w:rPr>
          <w:rFonts w:hint="eastAsia" w:ascii="Times New Roman" w:hAnsi="Times New Roman"/>
          <w:color w:val="000000"/>
          <w:szCs w:val="21"/>
        </w:rPr>
        <w:t>、</w:t>
      </w:r>
      <w:bookmarkStart w:id="259" w:name="_Hlk11356851"/>
      <w:r>
        <w:rPr>
          <w:rFonts w:hint="eastAsia" w:ascii="Times New Roman" w:hAnsi="Times New Roman"/>
          <w:color w:val="000000"/>
          <w:szCs w:val="21"/>
        </w:rPr>
        <w:t>招标文件的澄清或者修改都应该通过本代理机构以法定形式发布，采购人非通过本机构，不得擅自澄清或者修改招标文件。</w:t>
      </w:r>
      <w:bookmarkEnd w:id="259"/>
    </w:p>
    <w:bookmarkEnd w:id="254"/>
    <w:p w14:paraId="055DEF7C">
      <w:pPr>
        <w:pageBreakBefore w:val="0"/>
        <w:kinsoku/>
        <w:overflowPunct/>
        <w:topLinePunct w:val="0"/>
        <w:bidi w:val="0"/>
        <w:snapToGrid w:val="0"/>
        <w:spacing w:line="360" w:lineRule="auto"/>
        <w:ind w:firstLine="422" w:firstLineChars="200"/>
        <w:jc w:val="left"/>
        <w:rPr>
          <w:rFonts w:ascii="Times New Roman" w:hAnsi="Times New Roman"/>
          <w:b/>
          <w:color w:val="000000"/>
          <w:szCs w:val="21"/>
        </w:rPr>
      </w:pPr>
      <w:r>
        <w:rPr>
          <w:rFonts w:hint="eastAsia" w:ascii="Times New Roman" w:hAnsi="Times New Roman"/>
          <w:b/>
          <w:color w:val="000000"/>
          <w:szCs w:val="21"/>
        </w:rPr>
        <w:t>三、投标文件的编制</w:t>
      </w:r>
      <w:bookmarkStart w:id="260" w:name="_Toc417992884"/>
    </w:p>
    <w:p w14:paraId="1C0B589A">
      <w:pPr>
        <w:pageBreakBefore w:val="0"/>
        <w:kinsoku/>
        <w:overflowPunct/>
        <w:topLinePunct w:val="0"/>
        <w:bidi w:val="0"/>
        <w:snapToGrid w:val="0"/>
        <w:spacing w:line="360" w:lineRule="auto"/>
        <w:ind w:firstLine="420" w:firstLineChars="200"/>
        <w:jc w:val="left"/>
        <w:rPr>
          <w:rFonts w:ascii="Times New Roman" w:hAnsi="Times New Roman"/>
          <w:color w:val="000000"/>
          <w:szCs w:val="21"/>
        </w:rPr>
      </w:pPr>
      <w:r>
        <w:rPr>
          <w:rFonts w:hint="eastAsia" w:ascii="Times New Roman" w:hAnsi="Times New Roman"/>
          <w:color w:val="000000"/>
          <w:szCs w:val="21"/>
        </w:rPr>
        <w:t>电子投标文件按政采云平台供应商电子招投标操作指南（网址：</w:t>
      </w:r>
      <w:r>
        <w:rPr>
          <w:rFonts w:ascii="Times New Roman" w:hAnsi="Times New Roman"/>
          <w:color w:val="000000"/>
          <w:szCs w:val="21"/>
        </w:rPr>
        <w:t>https://help.zcygov.cn/web/site_2/2018/12-28/2573.html</w:t>
      </w:r>
      <w:r>
        <w:rPr>
          <w:rFonts w:hint="eastAsia" w:ascii="Times New Roman" w:hAnsi="Times New Roman"/>
          <w:color w:val="000000"/>
          <w:szCs w:val="21"/>
        </w:rPr>
        <w:t>）及本招标文件规定的格式和顺序编制电子投标文件并进行关联。</w:t>
      </w:r>
      <w:r>
        <w:rPr>
          <w:rFonts w:hint="eastAsia" w:ascii="Times New Roman" w:hAnsi="Times New Roman"/>
          <w:b/>
          <w:bCs/>
          <w:color w:val="000000"/>
          <w:szCs w:val="21"/>
        </w:rPr>
        <w:t>建议根据招标文件合格供应商的资格要求、投标文件的编制及评分标准等内容一一关联。</w:t>
      </w:r>
    </w:p>
    <w:p w14:paraId="3833ADD3">
      <w:pPr>
        <w:pageBreakBefore w:val="0"/>
        <w:kinsoku/>
        <w:overflowPunct/>
        <w:topLinePunct w:val="0"/>
        <w:bidi w:val="0"/>
        <w:snapToGrid w:val="0"/>
        <w:spacing w:line="360" w:lineRule="auto"/>
        <w:ind w:firstLine="422" w:firstLineChars="200"/>
        <w:jc w:val="left"/>
        <w:rPr>
          <w:rFonts w:ascii="Times New Roman" w:hAnsi="Times New Roman"/>
          <w:b/>
          <w:bCs/>
          <w:color w:val="000000"/>
          <w:szCs w:val="21"/>
        </w:rPr>
      </w:pPr>
      <w:r>
        <w:rPr>
          <w:rFonts w:hint="eastAsia" w:ascii="Times New Roman" w:hAnsi="Times New Roman"/>
          <w:b/>
          <w:bCs/>
          <w:color w:val="000000"/>
          <w:szCs w:val="21"/>
        </w:rPr>
        <w:t>总体要求：</w:t>
      </w:r>
    </w:p>
    <w:p w14:paraId="150347C5">
      <w:pPr>
        <w:pageBreakBefore w:val="0"/>
        <w:kinsoku/>
        <w:overflowPunct/>
        <w:topLinePunct w:val="0"/>
        <w:bidi w:val="0"/>
        <w:snapToGrid w:val="0"/>
        <w:spacing w:line="360" w:lineRule="auto"/>
        <w:ind w:firstLine="422" w:firstLineChars="200"/>
        <w:jc w:val="left"/>
        <w:rPr>
          <w:rFonts w:ascii="Times New Roman" w:hAnsi="Times New Roman"/>
          <w:b/>
          <w:bCs/>
          <w:color w:val="000000"/>
          <w:szCs w:val="21"/>
        </w:rPr>
      </w:pPr>
      <w:r>
        <w:rPr>
          <w:rFonts w:ascii="Times New Roman" w:hAnsi="Times New Roman"/>
          <w:b/>
          <w:bCs/>
          <w:color w:val="000000"/>
          <w:szCs w:val="21"/>
        </w:rPr>
        <w:t>1</w:t>
      </w:r>
      <w:r>
        <w:rPr>
          <w:rFonts w:hint="eastAsia" w:ascii="Times New Roman" w:hAnsi="Times New Roman"/>
          <w:b/>
          <w:bCs/>
          <w:color w:val="000000"/>
          <w:szCs w:val="21"/>
        </w:rPr>
        <w:t>、供应商应仔细阅读招标文件的所有内容，按本文件的要求提供投标文件，并保证所提供的全部资料的真实性，以使其投标文件对招标文件作出实质性响应，否则，投标文件可能视为无效投标文件。</w:t>
      </w:r>
      <w:r>
        <w:rPr>
          <w:rFonts w:ascii="Times New Roman" w:hAnsi="Times New Roman"/>
          <w:b/>
          <w:bCs/>
          <w:color w:val="000000"/>
          <w:szCs w:val="21"/>
        </w:rPr>
        <w:t xml:space="preserve"> </w:t>
      </w:r>
    </w:p>
    <w:p w14:paraId="3C2DB9EB">
      <w:pPr>
        <w:pageBreakBefore w:val="0"/>
        <w:kinsoku/>
        <w:overflowPunct/>
        <w:topLinePunct w:val="0"/>
        <w:bidi w:val="0"/>
        <w:snapToGrid w:val="0"/>
        <w:spacing w:line="360" w:lineRule="auto"/>
        <w:ind w:firstLine="422" w:firstLineChars="200"/>
        <w:jc w:val="left"/>
        <w:rPr>
          <w:rFonts w:ascii="Times New Roman" w:hAnsi="Times New Roman"/>
          <w:b/>
          <w:bCs/>
          <w:color w:val="000000"/>
          <w:szCs w:val="21"/>
        </w:rPr>
      </w:pPr>
      <w:r>
        <w:rPr>
          <w:rFonts w:ascii="Times New Roman" w:hAnsi="Times New Roman"/>
          <w:b/>
          <w:bCs/>
          <w:color w:val="000000"/>
          <w:szCs w:val="21"/>
        </w:rPr>
        <w:t>2</w:t>
      </w:r>
      <w:r>
        <w:rPr>
          <w:rFonts w:hint="eastAsia" w:ascii="Times New Roman" w:hAnsi="Times New Roman"/>
          <w:b/>
          <w:bCs/>
          <w:color w:val="000000"/>
          <w:szCs w:val="21"/>
        </w:rPr>
        <w:t>、供应商应按本文件中提供的文件格式、内容和要求制作投标文件。</w:t>
      </w:r>
    </w:p>
    <w:p w14:paraId="7C6D6AA4">
      <w:pPr>
        <w:pageBreakBefore w:val="0"/>
        <w:kinsoku/>
        <w:overflowPunct/>
        <w:topLinePunct w:val="0"/>
        <w:bidi w:val="0"/>
        <w:snapToGrid w:val="0"/>
        <w:spacing w:line="360" w:lineRule="auto"/>
        <w:ind w:firstLine="422" w:firstLineChars="200"/>
        <w:jc w:val="left"/>
        <w:rPr>
          <w:rFonts w:ascii="Times New Roman" w:hAnsi="Times New Roman"/>
          <w:b/>
          <w:bCs/>
          <w:color w:val="000000"/>
          <w:szCs w:val="21"/>
        </w:rPr>
      </w:pPr>
      <w:r>
        <w:rPr>
          <w:rFonts w:ascii="Times New Roman" w:hAnsi="Times New Roman"/>
          <w:b/>
          <w:bCs/>
          <w:color w:val="000000"/>
          <w:szCs w:val="21"/>
        </w:rPr>
        <w:t>3</w:t>
      </w:r>
      <w:r>
        <w:rPr>
          <w:rFonts w:hint="eastAsia" w:ascii="Times New Roman" w:hAnsi="Times New Roman"/>
          <w:b/>
          <w:bCs/>
          <w:color w:val="000000"/>
          <w:szCs w:val="21"/>
        </w:rPr>
        <w:t>、投标文件的效力：投标文件的启用，按先后顺位分别为电子投标文件、电子备份投标文件。</w:t>
      </w:r>
      <w:r>
        <w:rPr>
          <w:rFonts w:hint="eastAsia" w:ascii="Times New Roman" w:hAnsi="Times New Roman"/>
          <w:color w:val="000000"/>
          <w:szCs w:val="21"/>
        </w:rPr>
        <w:t>通过“政府采购云平台”成功上传递交的“电子加密投标文件”无法按时解密，投标供应商如按规定递交了“备份投标文件”的，以“备份投标文件”为依据（由采购组织机构按“政府采购云平台”操作规范将“备份投标文件”上传至“政府采购云平台”，上传成功后，“电子加密投标文件”自动失效），否则视为投标文件撤回。</w:t>
      </w:r>
    </w:p>
    <w:p w14:paraId="6705DB27">
      <w:pPr>
        <w:pageBreakBefore w:val="0"/>
        <w:kinsoku/>
        <w:overflowPunct/>
        <w:topLinePunct w:val="0"/>
        <w:bidi w:val="0"/>
        <w:snapToGrid w:val="0"/>
        <w:spacing w:line="360" w:lineRule="auto"/>
        <w:ind w:firstLine="420" w:firstLineChars="200"/>
        <w:jc w:val="left"/>
        <w:rPr>
          <w:rFonts w:ascii="Times New Roman" w:hAnsi="Times New Roman"/>
          <w:color w:val="000000"/>
          <w:szCs w:val="21"/>
        </w:rPr>
      </w:pPr>
      <w:r>
        <w:rPr>
          <w:rFonts w:hint="eastAsia" w:ascii="Times New Roman" w:hAnsi="Times New Roman"/>
          <w:color w:val="000000"/>
          <w:szCs w:val="21"/>
        </w:rPr>
        <w:t>（一）投标文件的组成</w:t>
      </w:r>
      <w:bookmarkEnd w:id="260"/>
    </w:p>
    <w:p w14:paraId="12F6C300">
      <w:pPr>
        <w:pageBreakBefore w:val="0"/>
        <w:kinsoku/>
        <w:overflowPunct/>
        <w:topLinePunct w:val="0"/>
        <w:bidi w:val="0"/>
        <w:snapToGrid w:val="0"/>
        <w:spacing w:line="360" w:lineRule="auto"/>
        <w:ind w:firstLine="422" w:firstLineChars="200"/>
        <w:jc w:val="left"/>
        <w:rPr>
          <w:rFonts w:ascii="Times New Roman" w:hAnsi="Times New Roman"/>
          <w:b/>
          <w:bCs/>
          <w:color w:val="000000"/>
          <w:szCs w:val="21"/>
        </w:rPr>
      </w:pPr>
      <w:r>
        <w:rPr>
          <w:rFonts w:hint="eastAsia" w:ascii="Times New Roman" w:hAnsi="Times New Roman"/>
          <w:b/>
          <w:bCs/>
          <w:color w:val="000000"/>
          <w:szCs w:val="21"/>
        </w:rPr>
        <w:t>包括电子投标文件和电子备份投标文件（选送），均由资格文件、商务技术文件、报价文件三部份组成。其中电子投标文件中所须加盖公章部分均采用</w:t>
      </w:r>
      <w:r>
        <w:rPr>
          <w:rFonts w:ascii="Times New Roman" w:hAnsi="Times New Roman"/>
          <w:b/>
          <w:bCs/>
          <w:color w:val="000000"/>
          <w:szCs w:val="21"/>
        </w:rPr>
        <w:t>CA</w:t>
      </w:r>
      <w:r>
        <w:rPr>
          <w:rFonts w:hint="eastAsia" w:ascii="Times New Roman" w:hAnsi="Times New Roman"/>
          <w:b/>
          <w:bCs/>
          <w:color w:val="000000"/>
          <w:szCs w:val="21"/>
        </w:rPr>
        <w:t>签章。</w:t>
      </w:r>
    </w:p>
    <w:p w14:paraId="09AAE1C8">
      <w:pPr>
        <w:pageBreakBefore w:val="0"/>
        <w:kinsoku/>
        <w:overflowPunct/>
        <w:topLinePunct w:val="0"/>
        <w:bidi w:val="0"/>
        <w:snapToGrid w:val="0"/>
        <w:spacing w:line="360" w:lineRule="auto"/>
        <w:ind w:firstLine="420" w:firstLineChars="200"/>
        <w:jc w:val="left"/>
        <w:rPr>
          <w:rFonts w:ascii="Times New Roman" w:hAnsi="Times New Roman"/>
          <w:b/>
          <w:bCs/>
          <w:color w:val="000000"/>
          <w:szCs w:val="21"/>
        </w:rPr>
      </w:pPr>
      <w:r>
        <w:rPr>
          <w:rFonts w:hint="eastAsia" w:ascii="Times New Roman" w:hAnsi="Times New Roman"/>
          <w:color w:val="000000"/>
          <w:szCs w:val="21"/>
        </w:rPr>
        <w:t>本项目所涉投标文件格式详见第六章，未给出的格式请自拟，</w:t>
      </w:r>
      <w:r>
        <w:rPr>
          <w:rFonts w:hint="eastAsia" w:ascii="Times New Roman" w:hAnsi="Times New Roman"/>
          <w:b/>
          <w:bCs/>
          <w:color w:val="000000"/>
          <w:szCs w:val="21"/>
        </w:rPr>
        <w:t>复印件应加盖供应商公章。</w:t>
      </w:r>
    </w:p>
    <w:p w14:paraId="62FC8716">
      <w:pPr>
        <w:pageBreakBefore w:val="0"/>
        <w:kinsoku/>
        <w:overflowPunct/>
        <w:topLinePunct w:val="0"/>
        <w:bidi w:val="0"/>
        <w:snapToGrid w:val="0"/>
        <w:spacing w:line="360" w:lineRule="auto"/>
        <w:ind w:firstLine="422" w:firstLineChars="200"/>
        <w:jc w:val="left"/>
        <w:rPr>
          <w:rFonts w:ascii="Times New Roman" w:hAnsi="Times New Roman"/>
          <w:b/>
          <w:color w:val="000000"/>
          <w:szCs w:val="21"/>
        </w:rPr>
      </w:pPr>
    </w:p>
    <w:p w14:paraId="00BFFF9E">
      <w:pPr>
        <w:pageBreakBefore w:val="0"/>
        <w:kinsoku/>
        <w:overflowPunct/>
        <w:topLinePunct w:val="0"/>
        <w:bidi w:val="0"/>
        <w:snapToGrid w:val="0"/>
        <w:spacing w:line="360" w:lineRule="auto"/>
        <w:ind w:firstLine="422" w:firstLineChars="200"/>
        <w:jc w:val="left"/>
        <w:rPr>
          <w:rFonts w:ascii="Times New Roman" w:hAnsi="Times New Roman"/>
          <w:b/>
          <w:color w:val="000000"/>
          <w:szCs w:val="21"/>
        </w:rPr>
      </w:pPr>
      <w:r>
        <w:rPr>
          <w:rFonts w:ascii="Times New Roman" w:hAnsi="Times New Roman"/>
          <w:b/>
          <w:color w:val="000000"/>
          <w:szCs w:val="21"/>
        </w:rPr>
        <w:t>1</w:t>
      </w:r>
      <w:r>
        <w:rPr>
          <w:rFonts w:hint="eastAsia" w:ascii="Times New Roman" w:hAnsi="Times New Roman"/>
          <w:b/>
          <w:color w:val="000000"/>
          <w:szCs w:val="21"/>
        </w:rPr>
        <w:t>、资格文件</w:t>
      </w:r>
    </w:p>
    <w:p w14:paraId="308D5F9E">
      <w:pPr>
        <w:pageBreakBefore w:val="0"/>
        <w:kinsoku/>
        <w:overflowPunct/>
        <w:topLinePunct w:val="0"/>
        <w:bidi w:val="0"/>
        <w:snapToGrid w:val="0"/>
        <w:spacing w:line="360" w:lineRule="auto"/>
        <w:ind w:firstLine="420" w:firstLineChars="200"/>
        <w:jc w:val="left"/>
        <w:rPr>
          <w:rFonts w:ascii="Times New Roman" w:hAnsi="Times New Roman"/>
          <w:color w:val="000000"/>
          <w:szCs w:val="21"/>
        </w:rPr>
      </w:pPr>
      <w:r>
        <w:rPr>
          <w:rFonts w:ascii="Times New Roman" w:hAnsi="Times New Roman"/>
          <w:color w:val="000000"/>
          <w:szCs w:val="21"/>
        </w:rPr>
        <w:t>1.1</w:t>
      </w:r>
      <w:r>
        <w:rPr>
          <w:rFonts w:hint="eastAsia" w:ascii="Times New Roman" w:hAnsi="Times New Roman"/>
          <w:color w:val="000000"/>
          <w:szCs w:val="21"/>
        </w:rPr>
        <w:t>、投标声明书（格式见第六章）；</w:t>
      </w:r>
    </w:p>
    <w:p w14:paraId="1C5F0FC7">
      <w:pPr>
        <w:pageBreakBefore w:val="0"/>
        <w:kinsoku/>
        <w:overflowPunct/>
        <w:topLinePunct w:val="0"/>
        <w:bidi w:val="0"/>
        <w:snapToGrid w:val="0"/>
        <w:spacing w:line="360" w:lineRule="auto"/>
        <w:ind w:firstLine="420" w:firstLineChars="200"/>
        <w:jc w:val="left"/>
        <w:rPr>
          <w:rFonts w:ascii="Times New Roman" w:hAnsi="Times New Roman"/>
          <w:color w:val="000000"/>
          <w:szCs w:val="21"/>
        </w:rPr>
      </w:pPr>
      <w:r>
        <w:rPr>
          <w:rFonts w:ascii="Times New Roman" w:hAnsi="Times New Roman"/>
          <w:color w:val="000000"/>
          <w:szCs w:val="21"/>
        </w:rPr>
        <w:t>1.2</w:t>
      </w:r>
      <w:r>
        <w:rPr>
          <w:rFonts w:hint="eastAsia" w:ascii="Times New Roman" w:hAnsi="Times New Roman"/>
          <w:color w:val="000000"/>
          <w:szCs w:val="21"/>
        </w:rPr>
        <w:t>、诚信承诺书（格式见第六章）；</w:t>
      </w:r>
    </w:p>
    <w:p w14:paraId="623FF4C1">
      <w:pPr>
        <w:pageBreakBefore w:val="0"/>
        <w:kinsoku/>
        <w:overflowPunct/>
        <w:topLinePunct w:val="0"/>
        <w:bidi w:val="0"/>
        <w:snapToGrid w:val="0"/>
        <w:spacing w:line="360" w:lineRule="auto"/>
        <w:ind w:firstLine="420" w:firstLineChars="200"/>
        <w:jc w:val="left"/>
        <w:rPr>
          <w:rFonts w:ascii="Times New Roman" w:hAnsi="Times New Roman"/>
          <w:color w:val="000000"/>
          <w:szCs w:val="21"/>
        </w:rPr>
      </w:pPr>
      <w:r>
        <w:rPr>
          <w:rFonts w:ascii="Times New Roman" w:hAnsi="Times New Roman"/>
          <w:color w:val="000000"/>
          <w:szCs w:val="21"/>
        </w:rPr>
        <w:t>1.3</w:t>
      </w:r>
      <w:r>
        <w:rPr>
          <w:rFonts w:hint="eastAsia" w:ascii="Times New Roman" w:hAnsi="Times New Roman"/>
          <w:color w:val="000000"/>
          <w:szCs w:val="21"/>
        </w:rPr>
        <w:t>、法定代表人授权委托书（格式见第六章）；</w:t>
      </w:r>
    </w:p>
    <w:p w14:paraId="6C34DD86">
      <w:pPr>
        <w:pageBreakBefore w:val="0"/>
        <w:kinsoku/>
        <w:overflowPunct/>
        <w:topLinePunct w:val="0"/>
        <w:bidi w:val="0"/>
        <w:snapToGrid w:val="0"/>
        <w:spacing w:line="360" w:lineRule="auto"/>
        <w:ind w:firstLine="420" w:firstLineChars="200"/>
        <w:jc w:val="left"/>
        <w:rPr>
          <w:rFonts w:ascii="Times New Roman" w:hAnsi="Times New Roman"/>
          <w:color w:val="000000"/>
          <w:szCs w:val="21"/>
        </w:rPr>
      </w:pPr>
      <w:r>
        <w:rPr>
          <w:rFonts w:ascii="Times New Roman" w:hAnsi="Times New Roman"/>
          <w:color w:val="000000"/>
          <w:szCs w:val="21"/>
        </w:rPr>
        <w:t>1.4</w:t>
      </w:r>
      <w:r>
        <w:rPr>
          <w:rFonts w:hint="eastAsia" w:ascii="Times New Roman" w:hAnsi="Times New Roman"/>
          <w:color w:val="000000"/>
          <w:szCs w:val="21"/>
        </w:rPr>
        <w:t>、营业执照或其他组织登记证书复印件；</w:t>
      </w:r>
    </w:p>
    <w:p w14:paraId="0B897321">
      <w:pPr>
        <w:pageBreakBefore w:val="0"/>
        <w:kinsoku/>
        <w:overflowPunct/>
        <w:topLinePunct w:val="0"/>
        <w:bidi w:val="0"/>
        <w:snapToGrid w:val="0"/>
        <w:spacing w:line="360" w:lineRule="auto"/>
        <w:ind w:firstLine="420" w:firstLineChars="200"/>
        <w:jc w:val="left"/>
        <w:rPr>
          <w:rFonts w:ascii="Times New Roman" w:hAnsi="Times New Roman"/>
          <w:color w:val="000000"/>
          <w:szCs w:val="21"/>
        </w:rPr>
      </w:pPr>
      <w:r>
        <w:rPr>
          <w:rFonts w:ascii="Times New Roman" w:hAnsi="Times New Roman"/>
          <w:color w:val="000000"/>
          <w:szCs w:val="21"/>
        </w:rPr>
        <w:t>1.5</w:t>
      </w:r>
      <w:r>
        <w:rPr>
          <w:rFonts w:hint="eastAsia" w:ascii="Times New Roman" w:hAnsi="Times New Roman"/>
          <w:color w:val="000000"/>
          <w:szCs w:val="21"/>
        </w:rPr>
        <w:t>供应商承诺</w:t>
      </w:r>
      <w:r>
        <w:rPr>
          <w:rFonts w:hint="eastAsia" w:ascii="Times New Roman" w:hAnsi="Times New Roman"/>
          <w:bCs/>
          <w:color w:val="000000"/>
          <w:szCs w:val="21"/>
        </w:rPr>
        <w:t>符合参加政府采购活动应当具备的一般条件的</w:t>
      </w:r>
      <w:r>
        <w:rPr>
          <w:rFonts w:hint="eastAsia" w:ascii="Times New Roman" w:hAnsi="Times New Roman"/>
          <w:color w:val="000000"/>
          <w:szCs w:val="21"/>
        </w:rPr>
        <w:t>承诺函（格式见第六章）；</w:t>
      </w:r>
    </w:p>
    <w:p w14:paraId="273E5BFA">
      <w:pPr>
        <w:pageBreakBefore w:val="0"/>
        <w:kinsoku/>
        <w:overflowPunct/>
        <w:topLinePunct w:val="0"/>
        <w:bidi w:val="0"/>
        <w:snapToGrid w:val="0"/>
        <w:spacing w:line="360" w:lineRule="auto"/>
        <w:ind w:firstLine="420" w:firstLineChars="200"/>
        <w:jc w:val="left"/>
        <w:rPr>
          <w:rFonts w:ascii="Times New Roman" w:hAnsi="Times New Roman"/>
          <w:color w:val="000000"/>
          <w:szCs w:val="21"/>
        </w:rPr>
      </w:pPr>
      <w:r>
        <w:rPr>
          <w:rFonts w:ascii="Times New Roman" w:hAnsi="Times New Roman"/>
          <w:color w:val="000000"/>
          <w:szCs w:val="21"/>
        </w:rPr>
        <w:t>1.5.1</w:t>
      </w:r>
      <w:r>
        <w:rPr>
          <w:rFonts w:hint="eastAsia" w:ascii="Times New Roman" w:hAnsi="Times New Roman"/>
          <w:color w:val="000000"/>
          <w:szCs w:val="21"/>
        </w:rPr>
        <w:t>近三个月中任意一个月的财务报告、近三个月中任意一个月的依法缴纳税收的证明</w:t>
      </w:r>
      <w:r>
        <w:rPr>
          <w:rFonts w:ascii="Times New Roman" w:hAnsi="Times New Roman"/>
          <w:color w:val="000000"/>
          <w:szCs w:val="21"/>
        </w:rPr>
        <w:t>[</w:t>
      </w:r>
      <w:r>
        <w:rPr>
          <w:rFonts w:hint="eastAsia" w:ascii="Times New Roman" w:hAnsi="Times New Roman"/>
          <w:color w:val="000000"/>
          <w:szCs w:val="21"/>
        </w:rPr>
        <w:t>税费凭证复印件，或者依法缴纳税费或依法免缴税费的证明（复印件）</w:t>
      </w:r>
      <w:r>
        <w:rPr>
          <w:rFonts w:ascii="Times New Roman" w:hAnsi="Times New Roman"/>
          <w:color w:val="000000"/>
          <w:szCs w:val="21"/>
        </w:rPr>
        <w:t>]</w:t>
      </w:r>
      <w:r>
        <w:rPr>
          <w:rFonts w:hint="eastAsia" w:ascii="Times New Roman" w:hAnsi="Times New Roman"/>
          <w:color w:val="000000"/>
          <w:szCs w:val="21"/>
        </w:rPr>
        <w:t>、近三个月中任意一个月的依法缴纳社会保障资金证明（缴纳凭证或人社部门出具的证明）；（截止本项目投标截止日前</w:t>
      </w:r>
      <w:r>
        <w:rPr>
          <w:rFonts w:ascii="Times New Roman" w:hAnsi="Times New Roman"/>
          <w:color w:val="000000"/>
          <w:szCs w:val="21"/>
        </w:rPr>
        <w:t>2</w:t>
      </w:r>
      <w:r>
        <w:rPr>
          <w:rFonts w:hint="eastAsia" w:ascii="Times New Roman" w:hAnsi="Times New Roman"/>
          <w:color w:val="000000"/>
          <w:szCs w:val="21"/>
        </w:rPr>
        <w:t>个月内新注册的单位为则不需提供）；</w:t>
      </w:r>
    </w:p>
    <w:p w14:paraId="3A7A1915">
      <w:pPr>
        <w:pageBreakBefore w:val="0"/>
        <w:kinsoku/>
        <w:overflowPunct/>
        <w:topLinePunct w:val="0"/>
        <w:bidi w:val="0"/>
        <w:snapToGrid w:val="0"/>
        <w:spacing w:line="360" w:lineRule="auto"/>
        <w:ind w:firstLine="420" w:firstLineChars="200"/>
        <w:jc w:val="left"/>
        <w:rPr>
          <w:rFonts w:ascii="Times New Roman" w:hAnsi="Times New Roman"/>
          <w:color w:val="000000"/>
          <w:szCs w:val="21"/>
        </w:rPr>
      </w:pPr>
      <w:r>
        <w:rPr>
          <w:rFonts w:ascii="Times New Roman" w:hAnsi="Times New Roman"/>
          <w:color w:val="000000"/>
          <w:szCs w:val="21"/>
        </w:rPr>
        <w:t>1.5.2</w:t>
      </w:r>
      <w:r>
        <w:rPr>
          <w:rFonts w:hint="eastAsia" w:ascii="Times New Roman" w:hAnsi="Times New Roman"/>
          <w:color w:val="000000"/>
          <w:szCs w:val="21"/>
        </w:rPr>
        <w:t>、具有履行合同所必需的设备和专业技术能力的承诺函（格式见第六章）；</w:t>
      </w:r>
    </w:p>
    <w:p w14:paraId="0384EF8A">
      <w:pPr>
        <w:pageBreakBefore w:val="0"/>
        <w:kinsoku/>
        <w:overflowPunct/>
        <w:topLinePunct w:val="0"/>
        <w:bidi w:val="0"/>
        <w:snapToGrid w:val="0"/>
        <w:spacing w:line="360" w:lineRule="auto"/>
        <w:ind w:firstLine="420" w:firstLineChars="200"/>
        <w:jc w:val="left"/>
        <w:rPr>
          <w:rFonts w:ascii="Times New Roman" w:hAnsi="Times New Roman"/>
          <w:color w:val="000000"/>
          <w:szCs w:val="21"/>
        </w:rPr>
      </w:pPr>
      <w:r>
        <w:rPr>
          <w:rFonts w:ascii="Times New Roman" w:hAnsi="Times New Roman"/>
          <w:color w:val="000000"/>
          <w:szCs w:val="21"/>
        </w:rPr>
        <w:t>1.</w:t>
      </w:r>
      <w:bookmarkStart w:id="261" w:name="_Hlk36587660"/>
      <w:r>
        <w:rPr>
          <w:rFonts w:ascii="Times New Roman" w:hAnsi="Times New Roman"/>
          <w:color w:val="000000"/>
          <w:szCs w:val="21"/>
        </w:rPr>
        <w:t>5.3</w:t>
      </w:r>
      <w:r>
        <w:rPr>
          <w:rFonts w:hint="eastAsia" w:ascii="Times New Roman" w:hAnsi="Times New Roman"/>
          <w:color w:val="000000"/>
          <w:szCs w:val="21"/>
        </w:rPr>
        <w:t>、提供自招标公告发布之日起至投标截止日内任意时间的“信用中国”网站（</w:t>
      </w:r>
      <w:r>
        <w:rPr>
          <w:rFonts w:ascii="Times New Roman" w:hAnsi="Times New Roman"/>
          <w:color w:val="000000"/>
          <w:szCs w:val="21"/>
        </w:rPr>
        <w:t>www.creditchina.gov.cn</w:t>
      </w:r>
      <w:r>
        <w:rPr>
          <w:rFonts w:hint="eastAsia" w:ascii="Times New Roman" w:hAnsi="Times New Roman"/>
          <w:color w:val="000000"/>
          <w:szCs w:val="21"/>
        </w:rPr>
        <w:t>）、中国政府采购网（</w:t>
      </w:r>
      <w:r>
        <w:rPr>
          <w:rFonts w:ascii="Times New Roman" w:hAnsi="Times New Roman"/>
          <w:color w:val="000000"/>
          <w:szCs w:val="21"/>
        </w:rPr>
        <w:t>www.ccgp.gov.cn</w:t>
      </w:r>
      <w:r>
        <w:rPr>
          <w:rFonts w:hint="eastAsia" w:ascii="Times New Roman" w:hAnsi="Times New Roman"/>
          <w:color w:val="000000"/>
          <w:szCs w:val="21"/>
        </w:rPr>
        <w:t>）投标人信用查询网页截图。（以开标当日采购人或由采购人委托的评标委员会核实的查询结果为准）；</w:t>
      </w:r>
      <w:bookmarkEnd w:id="261"/>
    </w:p>
    <w:p w14:paraId="3DF697B4">
      <w:pPr>
        <w:pageBreakBefore w:val="0"/>
        <w:kinsoku/>
        <w:overflowPunct/>
        <w:topLinePunct w:val="0"/>
        <w:bidi w:val="0"/>
        <w:snapToGrid w:val="0"/>
        <w:spacing w:line="360" w:lineRule="auto"/>
        <w:ind w:firstLine="422" w:firstLineChars="200"/>
        <w:jc w:val="left"/>
        <w:rPr>
          <w:rFonts w:ascii="Times New Roman" w:hAnsi="Times New Roman"/>
          <w:b/>
          <w:color w:val="000000"/>
          <w:szCs w:val="21"/>
        </w:rPr>
      </w:pPr>
      <w:r>
        <w:rPr>
          <w:rFonts w:hint="eastAsia" w:ascii="Times New Roman" w:hAnsi="Times New Roman"/>
          <w:b/>
          <w:color w:val="000000"/>
          <w:szCs w:val="21"/>
        </w:rPr>
        <w:t>注：投标人提供</w:t>
      </w:r>
      <w:r>
        <w:rPr>
          <w:rFonts w:ascii="Times New Roman" w:hAnsi="Times New Roman"/>
          <w:b/>
          <w:color w:val="000000"/>
          <w:szCs w:val="21"/>
        </w:rPr>
        <w:t>1.5</w:t>
      </w:r>
      <w:r>
        <w:rPr>
          <w:rFonts w:hint="eastAsia" w:ascii="Times New Roman" w:hAnsi="Times New Roman"/>
          <w:b/>
          <w:color w:val="000000"/>
          <w:szCs w:val="21"/>
        </w:rPr>
        <w:t>一项材料或者提供</w:t>
      </w:r>
      <w:r>
        <w:rPr>
          <w:rFonts w:ascii="Times New Roman" w:hAnsi="Times New Roman"/>
          <w:b/>
          <w:color w:val="000000"/>
          <w:szCs w:val="21"/>
        </w:rPr>
        <w:t>1.5.1</w:t>
      </w:r>
      <w:r>
        <w:rPr>
          <w:rFonts w:hint="eastAsia" w:ascii="Times New Roman" w:hAnsi="Times New Roman"/>
          <w:b/>
          <w:color w:val="000000"/>
          <w:szCs w:val="21"/>
        </w:rPr>
        <w:t>、</w:t>
      </w:r>
      <w:r>
        <w:rPr>
          <w:rFonts w:ascii="Times New Roman" w:hAnsi="Times New Roman"/>
          <w:b/>
          <w:color w:val="000000"/>
          <w:szCs w:val="21"/>
        </w:rPr>
        <w:t>1.5.2</w:t>
      </w:r>
      <w:r>
        <w:rPr>
          <w:rFonts w:hint="eastAsia" w:ascii="Times New Roman" w:hAnsi="Times New Roman"/>
          <w:b/>
          <w:color w:val="000000"/>
          <w:szCs w:val="21"/>
        </w:rPr>
        <w:t>、</w:t>
      </w:r>
      <w:r>
        <w:rPr>
          <w:rFonts w:ascii="Times New Roman" w:hAnsi="Times New Roman"/>
          <w:b/>
          <w:color w:val="000000"/>
          <w:szCs w:val="21"/>
        </w:rPr>
        <w:t>1.5.3</w:t>
      </w:r>
      <w:r>
        <w:rPr>
          <w:rFonts w:hint="eastAsia" w:ascii="Times New Roman" w:hAnsi="Times New Roman"/>
          <w:b/>
          <w:color w:val="000000"/>
          <w:szCs w:val="21"/>
        </w:rPr>
        <w:t>三项材料均可。</w:t>
      </w:r>
    </w:p>
    <w:p w14:paraId="1933FFC0">
      <w:pPr>
        <w:pageBreakBefore w:val="0"/>
        <w:kinsoku/>
        <w:overflowPunct/>
        <w:topLinePunct w:val="0"/>
        <w:bidi w:val="0"/>
        <w:snapToGrid w:val="0"/>
        <w:spacing w:line="360" w:lineRule="auto"/>
        <w:ind w:firstLine="420" w:firstLineChars="200"/>
        <w:jc w:val="left"/>
        <w:rPr>
          <w:rFonts w:ascii="Times New Roman" w:hAnsi="Times New Roman"/>
          <w:szCs w:val="21"/>
        </w:rPr>
      </w:pPr>
      <w:r>
        <w:rPr>
          <w:rFonts w:ascii="Times New Roman" w:hAnsi="Times New Roman"/>
          <w:szCs w:val="21"/>
        </w:rPr>
        <w:t xml:space="preserve"> 1.6</w:t>
      </w:r>
      <w:r>
        <w:rPr>
          <w:rFonts w:hint="eastAsia" w:ascii="Times New Roman" w:hAnsi="Times New Roman"/>
          <w:szCs w:val="21"/>
        </w:rPr>
        <w:t>、落实政府采购政策需满足的资格要求：</w:t>
      </w:r>
    </w:p>
    <w:p w14:paraId="58F39813">
      <w:pPr>
        <w:pageBreakBefore w:val="0"/>
        <w:kinsoku/>
        <w:overflowPunct/>
        <w:topLinePunct w:val="0"/>
        <w:bidi w:val="0"/>
        <w:snapToGrid w:val="0"/>
        <w:spacing w:line="360" w:lineRule="auto"/>
        <w:ind w:firstLine="420" w:firstLineChars="200"/>
        <w:jc w:val="left"/>
        <w:rPr>
          <w:rFonts w:ascii="Times New Roman" w:hAnsi="Times New Roman"/>
          <w:szCs w:val="21"/>
        </w:rPr>
      </w:pPr>
      <w:r>
        <w:rPr>
          <w:rFonts w:ascii="Times New Roman" w:hAnsi="Times New Roman"/>
          <w:szCs w:val="21"/>
        </w:rPr>
        <w:t>1.6.1</w:t>
      </w:r>
      <w:r>
        <w:rPr>
          <w:rFonts w:hint="eastAsia" w:ascii="Times New Roman" w:hAnsi="Times New Roman"/>
          <w:szCs w:val="21"/>
        </w:rPr>
        <w:t>、提供中小企业声明函等证明材料（除监狱企业的证明文件格式自拟外，其余格式见第六章）；</w:t>
      </w:r>
    </w:p>
    <w:p w14:paraId="4580BC58">
      <w:pPr>
        <w:pageBreakBefore w:val="0"/>
        <w:kinsoku/>
        <w:overflowPunct/>
        <w:topLinePunct w:val="0"/>
        <w:bidi w:val="0"/>
        <w:snapToGrid w:val="0"/>
        <w:spacing w:line="360" w:lineRule="auto"/>
        <w:ind w:firstLine="420" w:firstLineChars="200"/>
        <w:jc w:val="left"/>
        <w:rPr>
          <w:rFonts w:ascii="Times New Roman" w:hAnsi="Times New Roman"/>
          <w:szCs w:val="21"/>
        </w:rPr>
      </w:pPr>
      <w:r>
        <w:rPr>
          <w:rFonts w:hint="eastAsia" w:ascii="Times New Roman" w:hAnsi="Times New Roman"/>
          <w:szCs w:val="21"/>
        </w:rPr>
        <w:t>1.7提供采购公告中符合投标人特定条件要求的有效证明材料复印件（资质等级证书副本(全本)</w:t>
      </w:r>
      <w:r>
        <w:rPr>
          <w:rFonts w:hint="eastAsia" w:ascii="Times New Roman" w:hAnsi="Times New Roman"/>
          <w:szCs w:val="21"/>
          <w:lang w:val="en-US" w:eastAsia="zh-CN"/>
        </w:rPr>
        <w:t>等</w:t>
      </w:r>
      <w:r>
        <w:rPr>
          <w:rFonts w:hint="eastAsia" w:ascii="Times New Roman" w:hAnsi="Times New Roman"/>
          <w:szCs w:val="21"/>
        </w:rPr>
        <w:t>）并加盖单位公章。</w:t>
      </w:r>
    </w:p>
    <w:p w14:paraId="70CC2DE8">
      <w:pPr>
        <w:pageBreakBefore w:val="0"/>
        <w:kinsoku/>
        <w:overflowPunct/>
        <w:topLinePunct w:val="0"/>
        <w:bidi w:val="0"/>
        <w:snapToGrid w:val="0"/>
        <w:spacing w:line="360" w:lineRule="auto"/>
        <w:ind w:firstLine="422" w:firstLineChars="200"/>
        <w:jc w:val="left"/>
        <w:rPr>
          <w:rFonts w:ascii="Times New Roman" w:hAnsi="Times New Roman"/>
          <w:color w:val="000000"/>
          <w:szCs w:val="21"/>
        </w:rPr>
      </w:pPr>
      <w:r>
        <w:rPr>
          <w:rFonts w:ascii="Times New Roman" w:hAnsi="Times New Roman"/>
          <w:b/>
          <w:color w:val="000000"/>
          <w:szCs w:val="21"/>
        </w:rPr>
        <w:t>2</w:t>
      </w:r>
      <w:r>
        <w:rPr>
          <w:rFonts w:hint="eastAsia" w:ascii="Times New Roman" w:hAnsi="Times New Roman"/>
          <w:b/>
          <w:color w:val="000000"/>
          <w:szCs w:val="21"/>
        </w:rPr>
        <w:t>、商务技术文件</w:t>
      </w:r>
    </w:p>
    <w:p w14:paraId="06D81113">
      <w:pPr>
        <w:pageBreakBefore w:val="0"/>
        <w:kinsoku/>
        <w:overflowPunct/>
        <w:topLinePunct w:val="0"/>
        <w:bidi w:val="0"/>
        <w:snapToGrid w:val="0"/>
        <w:spacing w:line="360" w:lineRule="auto"/>
        <w:ind w:firstLine="420" w:firstLineChars="200"/>
        <w:jc w:val="left"/>
        <w:rPr>
          <w:rFonts w:ascii="Times New Roman" w:hAnsi="Times New Roman"/>
          <w:color w:val="000000"/>
          <w:szCs w:val="21"/>
        </w:rPr>
      </w:pPr>
      <w:r>
        <w:rPr>
          <w:rFonts w:ascii="Times New Roman" w:hAnsi="Times New Roman"/>
          <w:color w:val="000000"/>
          <w:szCs w:val="21"/>
        </w:rPr>
        <w:t>2.1</w:t>
      </w:r>
      <w:r>
        <w:rPr>
          <w:rFonts w:hint="eastAsia" w:ascii="Times New Roman" w:hAnsi="Times New Roman"/>
          <w:color w:val="000000"/>
          <w:szCs w:val="21"/>
        </w:rPr>
        <w:t>、</w:t>
      </w:r>
      <w:r>
        <w:rPr>
          <w:rFonts w:hint="eastAsia" w:ascii="Times New Roman" w:hAnsi="Times New Roman"/>
          <w:szCs w:val="21"/>
        </w:rPr>
        <w:t>项目实施人员一览表（格式见第六章）；</w:t>
      </w:r>
    </w:p>
    <w:p w14:paraId="4D2CDA89">
      <w:pPr>
        <w:pageBreakBefore w:val="0"/>
        <w:kinsoku/>
        <w:overflowPunct/>
        <w:topLinePunct w:val="0"/>
        <w:bidi w:val="0"/>
        <w:spacing w:line="360" w:lineRule="auto"/>
        <w:ind w:firstLine="420" w:firstLineChars="200"/>
        <w:jc w:val="left"/>
        <w:rPr>
          <w:rFonts w:ascii="Times New Roman" w:hAnsi="Times New Roman"/>
          <w:szCs w:val="21"/>
        </w:rPr>
      </w:pPr>
      <w:bookmarkStart w:id="262" w:name="_Toc518327087"/>
      <w:r>
        <w:rPr>
          <w:rFonts w:ascii="Times New Roman" w:hAnsi="Times New Roman"/>
          <w:szCs w:val="21"/>
        </w:rPr>
        <w:t>2.</w:t>
      </w:r>
      <w:r>
        <w:rPr>
          <w:rFonts w:hint="eastAsia" w:ascii="Times New Roman" w:hAnsi="Times New Roman"/>
          <w:szCs w:val="21"/>
        </w:rPr>
        <w:t>2、</w:t>
      </w:r>
      <w:bookmarkEnd w:id="262"/>
      <w:r>
        <w:rPr>
          <w:rFonts w:hint="eastAsia" w:ascii="Times New Roman" w:hAnsi="Times New Roman"/>
          <w:szCs w:val="21"/>
        </w:rPr>
        <w:t>业绩一览表；（格式见第六章）；</w:t>
      </w:r>
    </w:p>
    <w:p w14:paraId="1110E52E">
      <w:pPr>
        <w:pageBreakBefore w:val="0"/>
        <w:kinsoku/>
        <w:overflowPunct/>
        <w:topLinePunct w:val="0"/>
        <w:bidi w:val="0"/>
        <w:spacing w:line="360" w:lineRule="auto"/>
        <w:ind w:firstLine="420" w:firstLineChars="200"/>
        <w:jc w:val="left"/>
        <w:rPr>
          <w:rFonts w:hint="eastAsia" w:ascii="Times New Roman" w:hAnsi="Times New Roman"/>
          <w:szCs w:val="21"/>
        </w:rPr>
      </w:pPr>
      <w:r>
        <w:rPr>
          <w:rFonts w:hint="eastAsia" w:ascii="Times New Roman" w:hAnsi="Times New Roman"/>
          <w:szCs w:val="21"/>
        </w:rPr>
        <w:t>2.3、响应偏离表；（格式见第六章）；</w:t>
      </w:r>
    </w:p>
    <w:p w14:paraId="52A1EA7E">
      <w:pPr>
        <w:pageBreakBefore w:val="0"/>
        <w:kinsoku/>
        <w:overflowPunct/>
        <w:topLinePunct w:val="0"/>
        <w:bidi w:val="0"/>
        <w:spacing w:line="360" w:lineRule="auto"/>
        <w:ind w:firstLine="420" w:firstLineChars="200"/>
        <w:jc w:val="left"/>
        <w:rPr>
          <w:rFonts w:hint="default" w:ascii="Times New Roman" w:hAnsi="Times New Roman" w:eastAsia="宋体"/>
          <w:szCs w:val="21"/>
          <w:lang w:val="en-US" w:eastAsia="zh-CN"/>
        </w:rPr>
      </w:pPr>
      <w:r>
        <w:rPr>
          <w:rFonts w:hint="eastAsia" w:ascii="Times New Roman" w:hAnsi="Times New Roman"/>
          <w:szCs w:val="21"/>
        </w:rPr>
        <w:t>2.4、</w:t>
      </w:r>
      <w:r>
        <w:rPr>
          <w:rFonts w:hint="eastAsia" w:ascii="Times New Roman" w:hAnsi="Times New Roman"/>
          <w:szCs w:val="21"/>
          <w:lang w:val="en-US" w:eastAsia="zh-CN"/>
        </w:rPr>
        <w:t>项目理解</w:t>
      </w:r>
      <w:r>
        <w:rPr>
          <w:rFonts w:hint="eastAsia" w:ascii="Times New Roman" w:hAnsi="Times New Roman"/>
          <w:szCs w:val="21"/>
        </w:rPr>
        <w:t>（格式自拟，具体内容详见评审办法）；</w:t>
      </w:r>
    </w:p>
    <w:p w14:paraId="48F964D8">
      <w:pPr>
        <w:pageBreakBefore w:val="0"/>
        <w:kinsoku/>
        <w:overflowPunct/>
        <w:topLinePunct w:val="0"/>
        <w:bidi w:val="0"/>
        <w:spacing w:line="360" w:lineRule="auto"/>
        <w:ind w:firstLine="420" w:firstLineChars="200"/>
        <w:jc w:val="left"/>
        <w:rPr>
          <w:rFonts w:hint="eastAsia" w:ascii="Times New Roman" w:hAnsi="Times New Roman"/>
          <w:szCs w:val="21"/>
        </w:rPr>
      </w:pPr>
      <w:r>
        <w:rPr>
          <w:rFonts w:hint="eastAsia" w:ascii="Times New Roman" w:hAnsi="Times New Roman"/>
          <w:szCs w:val="21"/>
          <w:lang w:val="en-US" w:eastAsia="zh-CN"/>
        </w:rPr>
        <w:t>2.5、</w:t>
      </w:r>
      <w:r>
        <w:rPr>
          <w:rFonts w:hint="eastAsia" w:ascii="Times New Roman" w:hAnsi="Times New Roman"/>
          <w:szCs w:val="21"/>
        </w:rPr>
        <w:t>保证措施（格式自拟，具体内容详见评审办法）；</w:t>
      </w:r>
    </w:p>
    <w:p w14:paraId="5260F5E3">
      <w:pPr>
        <w:pageBreakBefore w:val="0"/>
        <w:kinsoku/>
        <w:overflowPunct/>
        <w:topLinePunct w:val="0"/>
        <w:bidi w:val="0"/>
        <w:spacing w:line="360" w:lineRule="auto"/>
        <w:ind w:firstLine="420" w:firstLineChars="200"/>
        <w:jc w:val="left"/>
        <w:rPr>
          <w:rFonts w:hint="eastAsia" w:ascii="Times New Roman" w:hAnsi="Times New Roman"/>
          <w:szCs w:val="21"/>
        </w:rPr>
      </w:pPr>
      <w:r>
        <w:rPr>
          <w:rFonts w:hint="eastAsia" w:ascii="Times New Roman" w:hAnsi="Times New Roman"/>
          <w:szCs w:val="21"/>
        </w:rPr>
        <w:t>2.</w:t>
      </w:r>
      <w:r>
        <w:rPr>
          <w:rFonts w:hint="eastAsia" w:ascii="Times New Roman" w:hAnsi="Times New Roman"/>
          <w:szCs w:val="21"/>
          <w:lang w:val="en-US" w:eastAsia="zh-CN"/>
        </w:rPr>
        <w:t>6</w:t>
      </w:r>
      <w:r>
        <w:rPr>
          <w:rFonts w:hint="eastAsia" w:ascii="Times New Roman" w:hAnsi="Times New Roman"/>
          <w:szCs w:val="21"/>
        </w:rPr>
        <w:t>、施工部署（格式自拟，具体内容详见评审办法）；</w:t>
      </w:r>
    </w:p>
    <w:p w14:paraId="41CB7B85">
      <w:pPr>
        <w:pageBreakBefore w:val="0"/>
        <w:kinsoku/>
        <w:overflowPunct/>
        <w:topLinePunct w:val="0"/>
        <w:bidi w:val="0"/>
        <w:spacing w:line="360" w:lineRule="auto"/>
        <w:ind w:firstLine="420" w:firstLineChars="200"/>
        <w:jc w:val="left"/>
        <w:rPr>
          <w:rFonts w:hint="eastAsia" w:ascii="Times New Roman" w:hAnsi="Times New Roman"/>
          <w:szCs w:val="21"/>
        </w:rPr>
      </w:pPr>
      <w:r>
        <w:rPr>
          <w:rFonts w:hint="eastAsia" w:ascii="Times New Roman" w:hAnsi="Times New Roman"/>
          <w:szCs w:val="21"/>
        </w:rPr>
        <w:t>2.</w:t>
      </w:r>
      <w:r>
        <w:rPr>
          <w:rFonts w:hint="eastAsia" w:ascii="Times New Roman" w:hAnsi="Times New Roman"/>
          <w:szCs w:val="21"/>
          <w:lang w:val="en-US" w:eastAsia="zh-CN"/>
        </w:rPr>
        <w:t>7</w:t>
      </w:r>
      <w:r>
        <w:rPr>
          <w:rFonts w:hint="eastAsia" w:ascii="Times New Roman" w:hAnsi="Times New Roman"/>
          <w:szCs w:val="21"/>
        </w:rPr>
        <w:t>、施工</w:t>
      </w:r>
      <w:r>
        <w:rPr>
          <w:rFonts w:ascii="宋体" w:hAnsi="宋体"/>
          <w:szCs w:val="21"/>
        </w:rPr>
        <w:t>总进度</w:t>
      </w:r>
      <w:r>
        <w:rPr>
          <w:rFonts w:hint="eastAsia" w:ascii="Times New Roman" w:hAnsi="Times New Roman"/>
          <w:szCs w:val="21"/>
        </w:rPr>
        <w:t>计划（格式自拟，具体内容详见评审办法）；</w:t>
      </w:r>
    </w:p>
    <w:p w14:paraId="6D5A4137">
      <w:pPr>
        <w:pageBreakBefore w:val="0"/>
        <w:kinsoku/>
        <w:overflowPunct/>
        <w:topLinePunct w:val="0"/>
        <w:bidi w:val="0"/>
        <w:spacing w:line="360" w:lineRule="auto"/>
        <w:ind w:firstLine="420" w:firstLineChars="200"/>
        <w:jc w:val="left"/>
        <w:rPr>
          <w:rFonts w:hint="default" w:ascii="Times New Roman" w:hAnsi="Times New Roman" w:eastAsia="宋体"/>
          <w:szCs w:val="21"/>
          <w:lang w:val="en-US" w:eastAsia="zh-CN"/>
        </w:rPr>
      </w:pPr>
      <w:r>
        <w:rPr>
          <w:rFonts w:hint="eastAsia" w:ascii="Times New Roman" w:hAnsi="Times New Roman"/>
          <w:szCs w:val="21"/>
        </w:rPr>
        <w:t>2.</w:t>
      </w:r>
      <w:r>
        <w:rPr>
          <w:rFonts w:hint="eastAsia" w:ascii="Times New Roman" w:hAnsi="Times New Roman"/>
          <w:szCs w:val="21"/>
          <w:lang w:val="en-US" w:eastAsia="zh-CN"/>
        </w:rPr>
        <w:t>8</w:t>
      </w:r>
      <w:r>
        <w:rPr>
          <w:rFonts w:hint="eastAsia" w:ascii="Times New Roman" w:hAnsi="Times New Roman"/>
          <w:szCs w:val="21"/>
        </w:rPr>
        <w:t>、</w:t>
      </w:r>
      <w:r>
        <w:rPr>
          <w:rFonts w:hint="eastAsia" w:ascii="Times New Roman" w:hAnsi="Times New Roman"/>
          <w:szCs w:val="21"/>
          <w:lang w:val="en-US" w:eastAsia="zh-CN"/>
        </w:rPr>
        <w:t>公路小修及应急抢修制度</w:t>
      </w:r>
      <w:r>
        <w:rPr>
          <w:rFonts w:hint="eastAsia" w:ascii="Times New Roman" w:hAnsi="Times New Roman"/>
          <w:szCs w:val="21"/>
        </w:rPr>
        <w:t>（格式自拟，具体内容详见评审办法）；</w:t>
      </w:r>
    </w:p>
    <w:p w14:paraId="5D82767B">
      <w:pPr>
        <w:pageBreakBefore w:val="0"/>
        <w:kinsoku/>
        <w:overflowPunct/>
        <w:topLinePunct w:val="0"/>
        <w:bidi w:val="0"/>
        <w:spacing w:line="360" w:lineRule="auto"/>
        <w:ind w:firstLine="420" w:firstLineChars="200"/>
        <w:jc w:val="left"/>
        <w:rPr>
          <w:rFonts w:hint="eastAsia" w:ascii="Times New Roman" w:hAnsi="Times New Roman"/>
          <w:szCs w:val="21"/>
        </w:rPr>
      </w:pPr>
      <w:r>
        <w:rPr>
          <w:rFonts w:hint="eastAsia" w:ascii="Times New Roman" w:hAnsi="Times New Roman"/>
          <w:szCs w:val="21"/>
          <w:lang w:val="en-US" w:eastAsia="zh-CN"/>
        </w:rPr>
        <w:t>2.9、</w:t>
      </w:r>
      <w:r>
        <w:rPr>
          <w:rFonts w:hint="eastAsia" w:ascii="Times New Roman" w:hAnsi="Times New Roman"/>
          <w:szCs w:val="21"/>
        </w:rPr>
        <w:t>质量体系（格式自拟，具体内容详见评审办法）；</w:t>
      </w:r>
    </w:p>
    <w:p w14:paraId="14A86612">
      <w:pPr>
        <w:pageBreakBefore w:val="0"/>
        <w:kinsoku/>
        <w:overflowPunct/>
        <w:topLinePunct w:val="0"/>
        <w:bidi w:val="0"/>
        <w:spacing w:line="360" w:lineRule="auto"/>
        <w:ind w:firstLine="420" w:firstLineChars="200"/>
        <w:jc w:val="left"/>
        <w:rPr>
          <w:rFonts w:hint="eastAsia" w:ascii="Times New Roman" w:hAnsi="Times New Roman"/>
          <w:szCs w:val="21"/>
          <w:lang w:val="en-US" w:eastAsia="zh-CN"/>
        </w:rPr>
      </w:pPr>
      <w:r>
        <w:rPr>
          <w:rFonts w:hint="eastAsia" w:ascii="Times New Roman" w:hAnsi="Times New Roman"/>
          <w:szCs w:val="21"/>
          <w:lang w:val="en-US" w:eastAsia="zh-CN"/>
        </w:rPr>
        <w:t>2.10、</w:t>
      </w:r>
      <w:r>
        <w:rPr>
          <w:rFonts w:hint="eastAsia" w:ascii="Times New Roman" w:hAnsi="Times New Roman"/>
          <w:szCs w:val="21"/>
        </w:rPr>
        <w:t>安全体系（格式自拟，具体内容详见评审办法）；</w:t>
      </w:r>
    </w:p>
    <w:p w14:paraId="5EFA9988">
      <w:pPr>
        <w:pageBreakBefore w:val="0"/>
        <w:kinsoku/>
        <w:overflowPunct/>
        <w:topLinePunct w:val="0"/>
        <w:bidi w:val="0"/>
        <w:spacing w:line="360" w:lineRule="auto"/>
        <w:ind w:firstLine="420" w:firstLineChars="200"/>
        <w:jc w:val="left"/>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2.11</w:t>
      </w:r>
      <w:r>
        <w:rPr>
          <w:rFonts w:hint="eastAsia" w:ascii="Times New Roman" w:hAnsi="Times New Roman" w:eastAsia="宋体" w:cs="Times New Roman"/>
          <w:szCs w:val="21"/>
          <w:lang w:val="en-US" w:eastAsia="zh-CN"/>
        </w:rPr>
        <w:t>、应急预案（格式自拟，具体内容详见评审办法）；</w:t>
      </w:r>
    </w:p>
    <w:p w14:paraId="421FE3A1">
      <w:pPr>
        <w:pageBreakBefore w:val="0"/>
        <w:kinsoku/>
        <w:overflowPunct/>
        <w:topLinePunct w:val="0"/>
        <w:bidi w:val="0"/>
        <w:spacing w:line="360" w:lineRule="auto"/>
        <w:ind w:firstLine="420" w:firstLineChars="200"/>
        <w:jc w:val="left"/>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2.12</w:t>
      </w:r>
      <w:r>
        <w:rPr>
          <w:rFonts w:hint="eastAsia" w:ascii="Times New Roman" w:hAnsi="Times New Roman" w:eastAsia="宋体" w:cs="Times New Roman"/>
          <w:szCs w:val="21"/>
          <w:lang w:val="en-US" w:eastAsia="zh-CN"/>
        </w:rPr>
        <w:t>、</w:t>
      </w:r>
      <w:r>
        <w:rPr>
          <w:rFonts w:hint="eastAsia" w:ascii="Times New Roman" w:hAnsi="Times New Roman" w:cs="Times New Roman"/>
          <w:szCs w:val="21"/>
          <w:lang w:val="en-US" w:eastAsia="zh-CN"/>
        </w:rPr>
        <w:t>增值</w:t>
      </w:r>
      <w:r>
        <w:rPr>
          <w:rFonts w:hint="eastAsia" w:ascii="Times New Roman" w:hAnsi="Times New Roman" w:eastAsia="宋体" w:cs="Times New Roman"/>
          <w:szCs w:val="21"/>
          <w:lang w:val="en-US" w:eastAsia="zh-CN"/>
        </w:rPr>
        <w:t>服务（格式自拟，具体内容详见评审办法）；</w:t>
      </w:r>
    </w:p>
    <w:p w14:paraId="34F6D6B1">
      <w:pPr>
        <w:pageBreakBefore w:val="0"/>
        <w:kinsoku/>
        <w:overflowPunct/>
        <w:topLinePunct w:val="0"/>
        <w:bidi w:val="0"/>
        <w:spacing w:line="360" w:lineRule="auto"/>
        <w:ind w:firstLine="420" w:firstLineChars="200"/>
        <w:jc w:val="left"/>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2.13</w:t>
      </w:r>
      <w:r>
        <w:rPr>
          <w:rFonts w:hint="eastAsia" w:ascii="Times New Roman" w:hAnsi="Times New Roman" w:eastAsia="宋体" w:cs="Times New Roman"/>
          <w:szCs w:val="21"/>
          <w:lang w:val="en-US" w:eastAsia="zh-CN"/>
        </w:rPr>
        <w:t>、重点、难点分析及对策措施（格式自拟，具体内容详见评审办法）；</w:t>
      </w:r>
    </w:p>
    <w:p w14:paraId="42BDC44B">
      <w:pPr>
        <w:pageBreakBefore w:val="0"/>
        <w:kinsoku/>
        <w:overflowPunct/>
        <w:topLinePunct w:val="0"/>
        <w:bidi w:val="0"/>
        <w:spacing w:line="360" w:lineRule="auto"/>
        <w:ind w:firstLine="420" w:firstLineChars="200"/>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2.1</w:t>
      </w:r>
      <w:r>
        <w:rPr>
          <w:rFonts w:hint="eastAsia" w:ascii="Times New Roman" w:hAnsi="Times New Roman" w:cs="Times New Roman"/>
          <w:szCs w:val="21"/>
          <w:lang w:val="en-US" w:eastAsia="zh-CN"/>
        </w:rPr>
        <w:t>4、</w:t>
      </w:r>
      <w:r>
        <w:rPr>
          <w:rFonts w:hint="eastAsia" w:ascii="Times New Roman" w:hAnsi="Times New Roman" w:eastAsia="宋体" w:cs="Times New Roman"/>
          <w:szCs w:val="21"/>
          <w:lang w:val="en-US" w:eastAsia="zh-CN"/>
        </w:rPr>
        <w:t>环境保护方案和措施（格式自拟，具体内容详见评审办法）；</w:t>
      </w:r>
    </w:p>
    <w:p w14:paraId="622A7343">
      <w:pPr>
        <w:pageBreakBefore w:val="0"/>
        <w:kinsoku/>
        <w:overflowPunct/>
        <w:topLinePunct w:val="0"/>
        <w:bidi w:val="0"/>
        <w:spacing w:line="360" w:lineRule="auto"/>
        <w:ind w:firstLine="420" w:firstLineChars="200"/>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2.1</w:t>
      </w:r>
      <w:r>
        <w:rPr>
          <w:rFonts w:hint="eastAsia" w:ascii="Times New Roman" w:hAnsi="Times New Roman" w:cs="Times New Roman"/>
          <w:szCs w:val="21"/>
          <w:lang w:val="en-US" w:eastAsia="zh-CN"/>
        </w:rPr>
        <w:t>5</w:t>
      </w:r>
      <w:r>
        <w:rPr>
          <w:rFonts w:hint="eastAsia" w:ascii="Times New Roman" w:hAnsi="Times New Roman" w:eastAsia="宋体" w:cs="Times New Roman"/>
          <w:szCs w:val="21"/>
          <w:lang w:val="en-US" w:eastAsia="zh-CN"/>
        </w:rPr>
        <w:t>、拟投入本项目实施人员（格式见第六章，具体内容详见评审办法）</w:t>
      </w:r>
    </w:p>
    <w:p w14:paraId="1ACBF378">
      <w:pPr>
        <w:pageBreakBefore w:val="0"/>
        <w:kinsoku/>
        <w:overflowPunct/>
        <w:topLinePunct w:val="0"/>
        <w:bidi w:val="0"/>
        <w:spacing w:line="360" w:lineRule="auto"/>
        <w:ind w:firstLine="420" w:firstLineChars="200"/>
        <w:jc w:val="left"/>
        <w:rPr>
          <w:rFonts w:hint="eastAsia" w:ascii="Times New Roman" w:hAnsi="Times New Roman" w:eastAsia="宋体" w:cs="Times New Roman"/>
          <w:szCs w:val="21"/>
          <w:lang w:val="en-US" w:eastAsia="zh-CN"/>
        </w:rPr>
      </w:pPr>
      <w:bookmarkStart w:id="263" w:name="_Toc518327098"/>
      <w:r>
        <w:rPr>
          <w:rFonts w:hint="eastAsia" w:ascii="Times New Roman" w:hAnsi="Times New Roman" w:eastAsia="宋体" w:cs="Times New Roman"/>
          <w:szCs w:val="21"/>
          <w:lang w:val="en-US" w:eastAsia="zh-CN"/>
        </w:rPr>
        <w:t>2.1</w:t>
      </w:r>
      <w:r>
        <w:rPr>
          <w:rFonts w:hint="eastAsia" w:ascii="Times New Roman" w:hAnsi="Times New Roman" w:cs="Times New Roman"/>
          <w:szCs w:val="21"/>
          <w:lang w:val="en-US" w:eastAsia="zh-CN"/>
        </w:rPr>
        <w:t>6</w:t>
      </w:r>
      <w:r>
        <w:rPr>
          <w:rFonts w:hint="eastAsia" w:ascii="Times New Roman" w:hAnsi="Times New Roman" w:eastAsia="宋体" w:cs="Times New Roman"/>
          <w:szCs w:val="21"/>
          <w:lang w:val="en-US" w:eastAsia="zh-CN"/>
        </w:rPr>
        <w:t>、合理化建议（格式自拟，具体内容详见评审办法）；</w:t>
      </w:r>
    </w:p>
    <w:p w14:paraId="1483427C">
      <w:pPr>
        <w:pageBreakBefore w:val="0"/>
        <w:kinsoku/>
        <w:overflowPunct/>
        <w:topLinePunct w:val="0"/>
        <w:bidi w:val="0"/>
        <w:spacing w:line="360" w:lineRule="auto"/>
        <w:ind w:firstLine="420" w:firstLineChars="20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2.1</w:t>
      </w:r>
      <w:r>
        <w:rPr>
          <w:rFonts w:hint="eastAsia" w:ascii="Times New Roman" w:hAnsi="Times New Roman" w:cs="Times New Roman"/>
          <w:szCs w:val="21"/>
          <w:lang w:val="en-US" w:eastAsia="zh-CN"/>
        </w:rPr>
        <w:t>7</w:t>
      </w:r>
      <w:r>
        <w:rPr>
          <w:rFonts w:hint="eastAsia" w:ascii="Times New Roman" w:hAnsi="Times New Roman" w:eastAsia="宋体" w:cs="Times New Roman"/>
          <w:szCs w:val="21"/>
          <w:lang w:val="en-US" w:eastAsia="zh-CN"/>
        </w:rPr>
        <w:t>、供应商需要说明的其他文件和说明（未尽事宜根据文件评分要求及本项目实际需求，响应供应商自行编制</w:t>
      </w:r>
      <w:bookmarkEnd w:id="263"/>
      <w:r>
        <w:rPr>
          <w:rFonts w:hint="eastAsia" w:ascii="Times New Roman" w:hAnsi="Times New Roman" w:eastAsia="宋体" w:cs="Times New Roman"/>
          <w:szCs w:val="21"/>
          <w:lang w:val="en-US" w:eastAsia="zh-CN"/>
        </w:rPr>
        <w:t>）。</w:t>
      </w:r>
    </w:p>
    <w:p w14:paraId="5CDABA68">
      <w:pPr>
        <w:pageBreakBefore w:val="0"/>
        <w:kinsoku/>
        <w:overflowPunct/>
        <w:topLinePunct w:val="0"/>
        <w:bidi w:val="0"/>
        <w:spacing w:line="360" w:lineRule="auto"/>
        <w:ind w:firstLine="422" w:firstLineChars="200"/>
        <w:jc w:val="left"/>
        <w:rPr>
          <w:rFonts w:ascii="Times New Roman" w:hAnsi="Times New Roman"/>
          <w:b/>
          <w:color w:val="000000"/>
          <w:szCs w:val="21"/>
        </w:rPr>
      </w:pPr>
      <w:r>
        <w:rPr>
          <w:rFonts w:ascii="Times New Roman" w:hAnsi="Times New Roman"/>
          <w:b/>
          <w:color w:val="000000"/>
          <w:szCs w:val="21"/>
        </w:rPr>
        <w:t>3</w:t>
      </w:r>
      <w:r>
        <w:rPr>
          <w:rFonts w:hint="eastAsia" w:ascii="Times New Roman" w:hAnsi="Times New Roman"/>
          <w:b/>
          <w:color w:val="000000"/>
          <w:szCs w:val="21"/>
        </w:rPr>
        <w:t>、报价文件：</w:t>
      </w:r>
    </w:p>
    <w:p w14:paraId="24A5CD1C">
      <w:pPr>
        <w:pageBreakBefore w:val="0"/>
        <w:kinsoku/>
        <w:overflowPunct/>
        <w:topLinePunct w:val="0"/>
        <w:bidi w:val="0"/>
        <w:spacing w:line="360" w:lineRule="auto"/>
        <w:ind w:firstLine="420" w:firstLineChars="200"/>
        <w:jc w:val="left"/>
        <w:rPr>
          <w:rFonts w:hint="eastAsia" w:ascii="Times New Roman" w:hAnsi="Times New Roman" w:eastAsia="宋体" w:cs="Times New Roman"/>
          <w:color w:val="000000"/>
          <w:szCs w:val="21"/>
        </w:rPr>
      </w:pPr>
      <w:r>
        <w:rPr>
          <w:rFonts w:hint="eastAsia" w:ascii="Times New Roman" w:hAnsi="Times New Roman" w:eastAsia="宋体" w:cs="Times New Roman"/>
          <w:color w:val="000000"/>
          <w:szCs w:val="21"/>
        </w:rPr>
        <w:t xml:space="preserve">3.1、投标函（格式见第六章）； </w:t>
      </w:r>
    </w:p>
    <w:p w14:paraId="4C04C88E">
      <w:pPr>
        <w:pageBreakBefore w:val="0"/>
        <w:kinsoku/>
        <w:overflowPunct/>
        <w:topLinePunct w:val="0"/>
        <w:bidi w:val="0"/>
        <w:spacing w:line="360" w:lineRule="auto"/>
        <w:ind w:firstLine="420" w:firstLineChars="200"/>
        <w:jc w:val="left"/>
        <w:rPr>
          <w:rFonts w:hint="eastAsia" w:ascii="Times New Roman" w:hAnsi="Times New Roman" w:eastAsia="宋体" w:cs="Times New Roman"/>
          <w:color w:val="000000"/>
          <w:szCs w:val="21"/>
        </w:rPr>
      </w:pPr>
      <w:r>
        <w:rPr>
          <w:rFonts w:hint="eastAsia" w:ascii="Times New Roman" w:hAnsi="Times New Roman" w:eastAsia="宋体" w:cs="Times New Roman"/>
          <w:color w:val="000000"/>
          <w:szCs w:val="21"/>
        </w:rPr>
        <w:t>3.2、开标一览表（格式见第六章）；</w:t>
      </w:r>
    </w:p>
    <w:p w14:paraId="69AB47D2">
      <w:pPr>
        <w:pageBreakBefore w:val="0"/>
        <w:kinsoku/>
        <w:overflowPunct/>
        <w:topLinePunct w:val="0"/>
        <w:bidi w:val="0"/>
        <w:spacing w:line="360" w:lineRule="auto"/>
        <w:ind w:firstLine="420" w:firstLineChars="200"/>
        <w:jc w:val="left"/>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szCs w:val="21"/>
          <w:lang w:val="en-US" w:eastAsia="zh-CN"/>
        </w:rPr>
        <w:t>3.3</w:t>
      </w:r>
      <w:r>
        <w:rPr>
          <w:rFonts w:hint="eastAsia" w:ascii="Times New Roman" w:hAnsi="Times New Roman" w:eastAsia="宋体" w:cs="Times New Roman"/>
          <w:color w:val="000000"/>
          <w:szCs w:val="21"/>
        </w:rPr>
        <w:t>、投标分项报价表（格式见第六章）</w:t>
      </w:r>
      <w:r>
        <w:rPr>
          <w:rFonts w:hint="eastAsia" w:ascii="Times New Roman" w:hAnsi="Times New Roman" w:eastAsia="宋体" w:cs="Times New Roman"/>
          <w:color w:val="000000"/>
          <w:szCs w:val="21"/>
          <w:lang w:eastAsia="zh-CN"/>
        </w:rPr>
        <w:t>；</w:t>
      </w:r>
    </w:p>
    <w:p w14:paraId="05337EF0">
      <w:pPr>
        <w:pageBreakBefore w:val="0"/>
        <w:kinsoku/>
        <w:overflowPunct/>
        <w:topLinePunct w:val="0"/>
        <w:bidi w:val="0"/>
        <w:spacing w:line="360" w:lineRule="auto"/>
        <w:ind w:firstLine="420" w:firstLineChars="200"/>
        <w:jc w:val="left"/>
        <w:rPr>
          <w:rFonts w:hint="eastAsia" w:ascii="Times New Roman" w:hAnsi="Times New Roman" w:eastAsia="宋体" w:cs="Times New Roman"/>
          <w:color w:val="000000"/>
          <w:szCs w:val="21"/>
        </w:rPr>
      </w:pPr>
      <w:r>
        <w:rPr>
          <w:rFonts w:hint="eastAsia" w:ascii="Times New Roman" w:hAnsi="Times New Roman" w:eastAsia="宋体" w:cs="Times New Roman"/>
          <w:color w:val="000000"/>
          <w:szCs w:val="21"/>
          <w:lang w:val="en-US" w:eastAsia="zh-CN"/>
        </w:rPr>
        <w:t>3.4、</w:t>
      </w:r>
      <w:r>
        <w:rPr>
          <w:rFonts w:hint="eastAsia" w:ascii="Times New Roman" w:hAnsi="Times New Roman" w:eastAsia="宋体" w:cs="Times New Roman"/>
          <w:color w:val="000000"/>
          <w:szCs w:val="21"/>
        </w:rPr>
        <w:t>投标人针对报价需要说明的其他文件和说明（格式自拟）。</w:t>
      </w:r>
    </w:p>
    <w:p w14:paraId="2E45DB38">
      <w:pPr>
        <w:pageBreakBefore w:val="0"/>
        <w:kinsoku/>
        <w:overflowPunct/>
        <w:topLinePunct w:val="0"/>
        <w:bidi w:val="0"/>
        <w:spacing w:line="360" w:lineRule="auto"/>
        <w:ind w:firstLine="420" w:firstLineChars="200"/>
        <w:jc w:val="left"/>
        <w:rPr>
          <w:rFonts w:ascii="Times New Roman" w:hAnsi="Times New Roman"/>
          <w:color w:val="000000"/>
          <w:szCs w:val="21"/>
        </w:rPr>
      </w:pPr>
      <w:r>
        <w:rPr>
          <w:rFonts w:hint="eastAsia" w:ascii="Times New Roman" w:hAnsi="Times New Roman"/>
          <w:color w:val="000000"/>
          <w:szCs w:val="21"/>
        </w:rPr>
        <w:t>▲</w:t>
      </w:r>
      <w:r>
        <w:rPr>
          <w:rFonts w:hint="eastAsia" w:ascii="Times New Roman" w:hAnsi="Times New Roman"/>
          <w:b/>
          <w:bCs/>
          <w:color w:val="000000"/>
          <w:szCs w:val="21"/>
        </w:rPr>
        <w:t>注：法定代表人授权委托书、投标声明书、投标函、开标一览表必须由法定代表人或负责人或授权代表签名（或签章）并加盖单位公章。</w:t>
      </w:r>
    </w:p>
    <w:p w14:paraId="7E4D492A">
      <w:pPr>
        <w:pageBreakBefore w:val="0"/>
        <w:kinsoku/>
        <w:overflowPunct/>
        <w:topLinePunct w:val="0"/>
        <w:bidi w:val="0"/>
        <w:spacing w:line="360" w:lineRule="auto"/>
        <w:ind w:firstLine="422" w:firstLineChars="200"/>
        <w:jc w:val="left"/>
        <w:rPr>
          <w:rFonts w:ascii="Times New Roman" w:hAnsi="Times New Roman"/>
          <w:b/>
          <w:color w:val="000000"/>
          <w:szCs w:val="21"/>
        </w:rPr>
      </w:pPr>
      <w:r>
        <w:rPr>
          <w:rFonts w:hint="eastAsia" w:ascii="Times New Roman" w:hAnsi="Times New Roman"/>
          <w:b/>
          <w:color w:val="000000"/>
          <w:szCs w:val="21"/>
        </w:rPr>
        <w:t>（二）投标文件的语言及计量</w:t>
      </w:r>
    </w:p>
    <w:p w14:paraId="4F311556">
      <w:pPr>
        <w:pageBreakBefore w:val="0"/>
        <w:kinsoku/>
        <w:overflowPunct/>
        <w:topLinePunct w:val="0"/>
        <w:bidi w:val="0"/>
        <w:spacing w:line="360" w:lineRule="auto"/>
        <w:ind w:firstLine="420" w:firstLineChars="200"/>
        <w:jc w:val="left"/>
        <w:rPr>
          <w:rFonts w:ascii="Times New Roman" w:hAnsi="Times New Roman"/>
          <w:color w:val="000000"/>
          <w:szCs w:val="21"/>
        </w:rPr>
      </w:pPr>
      <w:r>
        <w:rPr>
          <w:rFonts w:ascii="Times New Roman" w:hAnsi="Times New Roman"/>
          <w:color w:val="000000"/>
          <w:szCs w:val="21"/>
        </w:rPr>
        <w:t>1</w:t>
      </w:r>
      <w:r>
        <w:rPr>
          <w:rFonts w:hint="eastAsia" w:ascii="Times New Roman" w:hAnsi="Times New Roman"/>
          <w:color w:val="000000"/>
          <w:szCs w:val="21"/>
        </w:rPr>
        <w:t>、▲投标文件以及投标方与招标方就有关投标事宜的所有来往函电，均应以中文书写。</w:t>
      </w:r>
    </w:p>
    <w:p w14:paraId="5C3A79C0">
      <w:pPr>
        <w:pageBreakBefore w:val="0"/>
        <w:kinsoku/>
        <w:overflowPunct/>
        <w:topLinePunct w:val="0"/>
        <w:bidi w:val="0"/>
        <w:spacing w:line="360" w:lineRule="auto"/>
        <w:ind w:firstLine="420" w:firstLineChars="200"/>
        <w:jc w:val="left"/>
        <w:rPr>
          <w:rFonts w:ascii="Times New Roman" w:hAnsi="Times New Roman"/>
          <w:color w:val="000000"/>
          <w:szCs w:val="21"/>
        </w:rPr>
      </w:pPr>
      <w:r>
        <w:rPr>
          <w:rFonts w:ascii="Times New Roman" w:hAnsi="Times New Roman"/>
          <w:color w:val="000000"/>
          <w:szCs w:val="21"/>
        </w:rPr>
        <w:t>2</w:t>
      </w:r>
      <w:r>
        <w:rPr>
          <w:rFonts w:hint="eastAsia" w:ascii="Times New Roman" w:hAnsi="Times New Roman"/>
          <w:color w:val="000000"/>
          <w:szCs w:val="21"/>
        </w:rPr>
        <w:t>、▲投标计量单位，除招标文件中有特殊要求外，应采用中华人民共和国法定计量单位，货币单位：人民币元。</w:t>
      </w:r>
      <w:bookmarkStart w:id="264" w:name="_Toc417992885"/>
      <w:bookmarkStart w:id="265" w:name="_Toc177824945"/>
      <w:bookmarkStart w:id="266" w:name="_Toc177870548"/>
      <w:bookmarkStart w:id="267" w:name="_Toc177825126"/>
      <w:bookmarkStart w:id="268" w:name="_Toc177824878"/>
    </w:p>
    <w:p w14:paraId="412B8D52">
      <w:pPr>
        <w:pageBreakBefore w:val="0"/>
        <w:kinsoku/>
        <w:overflowPunct/>
        <w:topLinePunct w:val="0"/>
        <w:bidi w:val="0"/>
        <w:spacing w:line="360" w:lineRule="auto"/>
        <w:ind w:firstLine="422" w:firstLineChars="200"/>
        <w:jc w:val="left"/>
        <w:rPr>
          <w:rFonts w:ascii="Times New Roman" w:hAnsi="Times New Roman"/>
          <w:b/>
          <w:color w:val="000000"/>
          <w:szCs w:val="21"/>
        </w:rPr>
      </w:pPr>
      <w:r>
        <w:rPr>
          <w:rFonts w:hint="eastAsia" w:ascii="Times New Roman" w:hAnsi="Times New Roman"/>
          <w:b/>
          <w:color w:val="000000"/>
          <w:szCs w:val="21"/>
        </w:rPr>
        <w:t>（三）</w:t>
      </w:r>
      <w:r>
        <w:rPr>
          <w:rFonts w:ascii="Times New Roman" w:hAnsi="Times New Roman"/>
          <w:b/>
          <w:color w:val="000000"/>
          <w:szCs w:val="21"/>
        </w:rPr>
        <w:t xml:space="preserve"> </w:t>
      </w:r>
      <w:r>
        <w:rPr>
          <w:rFonts w:hint="eastAsia" w:ascii="Times New Roman" w:hAnsi="Times New Roman"/>
          <w:b/>
          <w:color w:val="000000"/>
          <w:szCs w:val="21"/>
        </w:rPr>
        <w:t>投标报价</w:t>
      </w:r>
      <w:bookmarkEnd w:id="264"/>
      <w:bookmarkEnd w:id="265"/>
      <w:bookmarkEnd w:id="266"/>
      <w:bookmarkEnd w:id="267"/>
      <w:bookmarkEnd w:id="268"/>
    </w:p>
    <w:p w14:paraId="207D753F">
      <w:pPr>
        <w:pageBreakBefore w:val="0"/>
        <w:kinsoku/>
        <w:overflowPunct/>
        <w:topLinePunct w:val="0"/>
        <w:bidi w:val="0"/>
        <w:spacing w:line="360" w:lineRule="auto"/>
        <w:ind w:firstLine="420" w:firstLineChars="200"/>
        <w:jc w:val="left"/>
        <w:rPr>
          <w:rFonts w:ascii="Times New Roman" w:hAnsi="Times New Roman"/>
          <w:color w:val="000000"/>
          <w:szCs w:val="21"/>
        </w:rPr>
      </w:pPr>
      <w:r>
        <w:rPr>
          <w:rFonts w:hint="eastAsia" w:ascii="Times New Roman" w:hAnsi="Times New Roman"/>
          <w:color w:val="000000"/>
          <w:szCs w:val="21"/>
        </w:rPr>
        <w:t>1、投标报价应按招标文件中相关附表格式填写。</w:t>
      </w:r>
    </w:p>
    <w:p w14:paraId="7BE0BE39">
      <w:pPr>
        <w:pageBreakBefore w:val="0"/>
        <w:kinsoku/>
        <w:overflowPunct/>
        <w:topLinePunct w:val="0"/>
        <w:bidi w:val="0"/>
        <w:spacing w:line="360" w:lineRule="auto"/>
        <w:ind w:firstLine="420" w:firstLineChars="200"/>
        <w:jc w:val="left"/>
        <w:rPr>
          <w:rFonts w:hint="eastAsia" w:ascii="Times New Roman" w:hAnsi="Times New Roman"/>
          <w:color w:val="000000"/>
          <w:szCs w:val="21"/>
        </w:rPr>
      </w:pPr>
      <w:r>
        <w:rPr>
          <w:rFonts w:hint="eastAsia" w:ascii="Times New Roman" w:hAnsi="Times New Roman"/>
          <w:color w:val="000000"/>
          <w:szCs w:val="21"/>
        </w:rPr>
        <w:t>2、▲本工程报价采用全费用单价，报价应包括项目实施所需的一切材料、人工、标准附件、备品备件、专用工具、包装、运输、装卸、保险、货到就位以及安装、调试、培训、保修、利润、税金等完成合同所需的一切本身和不可或缺的所有工作开支、政策性文件规定及合同包含的所有风险、责任等各项全部费用并承担一切风险责任。</w:t>
      </w:r>
    </w:p>
    <w:p w14:paraId="4C10FBFC">
      <w:pPr>
        <w:pageBreakBefore w:val="0"/>
        <w:kinsoku/>
        <w:overflowPunct/>
        <w:topLinePunct w:val="0"/>
        <w:bidi w:val="0"/>
        <w:spacing w:line="360" w:lineRule="auto"/>
        <w:ind w:firstLine="420" w:firstLineChars="200"/>
        <w:jc w:val="left"/>
        <w:rPr>
          <w:rFonts w:ascii="Times New Roman" w:hAnsi="Times New Roman"/>
          <w:color w:val="000000"/>
          <w:szCs w:val="21"/>
        </w:rPr>
      </w:pPr>
      <w:r>
        <w:rPr>
          <w:rFonts w:ascii="Times New Roman" w:hAnsi="Times New Roman"/>
          <w:color w:val="000000"/>
          <w:szCs w:val="21"/>
        </w:rPr>
        <w:t>3</w:t>
      </w:r>
      <w:r>
        <w:rPr>
          <w:rFonts w:hint="eastAsia" w:ascii="Times New Roman" w:hAnsi="Times New Roman"/>
          <w:color w:val="000000"/>
          <w:szCs w:val="21"/>
        </w:rPr>
        <w:t>、</w:t>
      </w:r>
      <w:r>
        <w:rPr>
          <w:rFonts w:ascii="Times New Roman" w:hAnsi="Times New Roman"/>
          <w:color w:val="000000"/>
          <w:szCs w:val="21"/>
        </w:rPr>
        <w:t>▲</w:t>
      </w:r>
      <w:r>
        <w:rPr>
          <w:rFonts w:hint="eastAsia" w:ascii="Times New Roman" w:hAnsi="Times New Roman"/>
          <w:color w:val="000000"/>
          <w:szCs w:val="21"/>
        </w:rPr>
        <w:t>投标报价只允许有一个报价，有选择的报价将不予接受。</w:t>
      </w:r>
    </w:p>
    <w:p w14:paraId="7D18D8FE">
      <w:pPr>
        <w:pageBreakBefore w:val="0"/>
        <w:kinsoku/>
        <w:overflowPunct/>
        <w:topLinePunct w:val="0"/>
        <w:bidi w:val="0"/>
        <w:spacing w:line="360" w:lineRule="auto"/>
        <w:ind w:firstLine="422" w:firstLineChars="200"/>
        <w:jc w:val="left"/>
        <w:rPr>
          <w:rFonts w:ascii="Times New Roman" w:hAnsi="Times New Roman"/>
          <w:b/>
          <w:color w:val="000000"/>
          <w:szCs w:val="21"/>
        </w:rPr>
      </w:pPr>
      <w:r>
        <w:rPr>
          <w:rFonts w:hint="eastAsia" w:ascii="Times New Roman" w:hAnsi="Times New Roman"/>
          <w:b/>
          <w:color w:val="000000"/>
          <w:szCs w:val="21"/>
        </w:rPr>
        <w:t>（四）投标文件的有效期</w:t>
      </w:r>
    </w:p>
    <w:p w14:paraId="163D229A">
      <w:pPr>
        <w:pageBreakBefore w:val="0"/>
        <w:kinsoku/>
        <w:overflowPunct/>
        <w:topLinePunct w:val="0"/>
        <w:bidi w:val="0"/>
        <w:spacing w:line="360" w:lineRule="auto"/>
        <w:ind w:firstLine="420" w:firstLineChars="200"/>
        <w:jc w:val="left"/>
        <w:rPr>
          <w:rFonts w:ascii="Times New Roman" w:hAnsi="Times New Roman"/>
          <w:color w:val="000000"/>
          <w:szCs w:val="21"/>
        </w:rPr>
      </w:pPr>
      <w:r>
        <w:rPr>
          <w:rFonts w:ascii="Times New Roman" w:hAnsi="Times New Roman"/>
          <w:color w:val="000000"/>
          <w:szCs w:val="21"/>
        </w:rPr>
        <w:t>1</w:t>
      </w:r>
      <w:r>
        <w:rPr>
          <w:rFonts w:hint="eastAsia" w:ascii="Times New Roman" w:hAnsi="Times New Roman"/>
          <w:color w:val="000000"/>
          <w:szCs w:val="21"/>
        </w:rPr>
        <w:t>、▲自投标截止日起</w:t>
      </w:r>
      <w:r>
        <w:rPr>
          <w:rFonts w:ascii="Times New Roman" w:hAnsi="Times New Roman"/>
          <w:color w:val="000000"/>
          <w:szCs w:val="21"/>
        </w:rPr>
        <w:t>90</w:t>
      </w:r>
      <w:r>
        <w:rPr>
          <w:rFonts w:hint="eastAsia" w:ascii="Times New Roman" w:hAnsi="Times New Roman"/>
          <w:color w:val="000000"/>
          <w:szCs w:val="21"/>
        </w:rPr>
        <w:t>天投标书应保持有效。有效期短于这个规定期限的投标将被拒绝。</w:t>
      </w:r>
    </w:p>
    <w:p w14:paraId="561801E0">
      <w:pPr>
        <w:pageBreakBefore w:val="0"/>
        <w:kinsoku/>
        <w:overflowPunct/>
        <w:topLinePunct w:val="0"/>
        <w:bidi w:val="0"/>
        <w:spacing w:line="360" w:lineRule="auto"/>
        <w:ind w:firstLine="420" w:firstLineChars="200"/>
        <w:jc w:val="left"/>
        <w:rPr>
          <w:rFonts w:ascii="Times New Roman" w:hAnsi="Times New Roman"/>
          <w:color w:val="000000"/>
          <w:szCs w:val="21"/>
        </w:rPr>
      </w:pPr>
      <w:r>
        <w:rPr>
          <w:rFonts w:ascii="Times New Roman" w:hAnsi="Times New Roman"/>
          <w:color w:val="000000"/>
          <w:szCs w:val="21"/>
        </w:rPr>
        <w:t>2</w:t>
      </w:r>
      <w:r>
        <w:rPr>
          <w:rFonts w:hint="eastAsia" w:ascii="Times New Roman" w:hAnsi="Times New Roman"/>
          <w:color w:val="000000"/>
          <w:szCs w:val="21"/>
        </w:rPr>
        <w:t>、在特殊情况下，招标人可与投标人协商延长投标书的有效期，这种要求和答复均以书面形式进行。</w:t>
      </w:r>
      <w:bookmarkStart w:id="269" w:name="_Toc417992886"/>
      <w:bookmarkStart w:id="270" w:name="_Toc177870549"/>
      <w:bookmarkStart w:id="271" w:name="_Toc177825127"/>
      <w:bookmarkStart w:id="272" w:name="_Toc177824946"/>
      <w:bookmarkStart w:id="273" w:name="_Toc177824879"/>
    </w:p>
    <w:p w14:paraId="49D3D9F2">
      <w:pPr>
        <w:pageBreakBefore w:val="0"/>
        <w:kinsoku/>
        <w:overflowPunct/>
        <w:topLinePunct w:val="0"/>
        <w:bidi w:val="0"/>
        <w:spacing w:line="360" w:lineRule="auto"/>
        <w:ind w:firstLine="420" w:firstLineChars="200"/>
        <w:jc w:val="left"/>
        <w:rPr>
          <w:rFonts w:ascii="Times New Roman" w:hAnsi="Times New Roman"/>
          <w:color w:val="000000"/>
          <w:szCs w:val="21"/>
        </w:rPr>
      </w:pPr>
      <w:r>
        <w:rPr>
          <w:rFonts w:ascii="Times New Roman" w:hAnsi="Times New Roman"/>
          <w:color w:val="000000"/>
          <w:szCs w:val="21"/>
        </w:rPr>
        <w:t>3</w:t>
      </w:r>
      <w:r>
        <w:rPr>
          <w:rFonts w:hint="eastAsia" w:ascii="Times New Roman" w:hAnsi="Times New Roman"/>
          <w:color w:val="000000"/>
          <w:szCs w:val="21"/>
        </w:rPr>
        <w:t>、</w:t>
      </w:r>
      <w:bookmarkEnd w:id="269"/>
      <w:bookmarkEnd w:id="270"/>
      <w:bookmarkEnd w:id="271"/>
      <w:bookmarkEnd w:id="272"/>
      <w:bookmarkEnd w:id="273"/>
      <w:r>
        <w:rPr>
          <w:rFonts w:hint="eastAsia" w:ascii="Times New Roman" w:hAnsi="Times New Roman"/>
          <w:color w:val="000000"/>
          <w:szCs w:val="21"/>
        </w:rPr>
        <w:t>投标人可拒绝接受延期要求。同意延长有效期的投标人不能修改投标文件。</w:t>
      </w:r>
      <w:bookmarkStart w:id="274" w:name="_Toc177824947"/>
      <w:bookmarkStart w:id="275" w:name="_Toc177824880"/>
      <w:bookmarkStart w:id="276" w:name="_Toc177825128"/>
      <w:bookmarkStart w:id="277" w:name="_Toc417992887"/>
      <w:bookmarkStart w:id="278" w:name="_Toc177870550"/>
    </w:p>
    <w:p w14:paraId="7341794B">
      <w:pPr>
        <w:pageBreakBefore w:val="0"/>
        <w:kinsoku/>
        <w:overflowPunct/>
        <w:topLinePunct w:val="0"/>
        <w:bidi w:val="0"/>
        <w:spacing w:line="360" w:lineRule="auto"/>
        <w:ind w:firstLine="420" w:firstLineChars="200"/>
        <w:jc w:val="left"/>
        <w:rPr>
          <w:rFonts w:ascii="Times New Roman" w:hAnsi="Times New Roman"/>
          <w:color w:val="000000"/>
          <w:szCs w:val="21"/>
        </w:rPr>
      </w:pPr>
      <w:r>
        <w:rPr>
          <w:rFonts w:ascii="Times New Roman" w:hAnsi="Times New Roman"/>
          <w:color w:val="000000"/>
          <w:szCs w:val="21"/>
        </w:rPr>
        <w:t>4</w:t>
      </w:r>
      <w:r>
        <w:rPr>
          <w:rFonts w:hint="eastAsia" w:ascii="Times New Roman" w:hAnsi="Times New Roman"/>
          <w:color w:val="000000"/>
          <w:szCs w:val="21"/>
        </w:rPr>
        <w:t>、中标人的投标文件自开标之日起至合同履行完毕止均应保持有效。</w:t>
      </w:r>
    </w:p>
    <w:p w14:paraId="4BE06250">
      <w:pPr>
        <w:pageBreakBefore w:val="0"/>
        <w:kinsoku/>
        <w:overflowPunct/>
        <w:topLinePunct w:val="0"/>
        <w:bidi w:val="0"/>
        <w:spacing w:line="360" w:lineRule="auto"/>
        <w:ind w:firstLine="422" w:firstLineChars="200"/>
        <w:jc w:val="left"/>
        <w:rPr>
          <w:rFonts w:ascii="Times New Roman" w:hAnsi="Times New Roman"/>
          <w:b/>
          <w:color w:val="000000"/>
          <w:szCs w:val="21"/>
        </w:rPr>
      </w:pPr>
      <w:r>
        <w:rPr>
          <w:rFonts w:hint="eastAsia" w:ascii="Times New Roman" w:hAnsi="Times New Roman"/>
          <w:b/>
          <w:color w:val="000000"/>
          <w:szCs w:val="21"/>
        </w:rPr>
        <w:t>（五）投标文件的签署和份数</w:t>
      </w:r>
    </w:p>
    <w:p w14:paraId="6A1F0B6B">
      <w:pPr>
        <w:pageBreakBefore w:val="0"/>
        <w:kinsoku/>
        <w:overflowPunct/>
        <w:topLinePunct w:val="0"/>
        <w:bidi w:val="0"/>
        <w:spacing w:line="360" w:lineRule="auto"/>
        <w:ind w:firstLine="420" w:firstLineChars="200"/>
        <w:jc w:val="left"/>
        <w:rPr>
          <w:rFonts w:ascii="Times New Roman" w:hAnsi="Times New Roman"/>
          <w:color w:val="000000"/>
          <w:szCs w:val="21"/>
        </w:rPr>
      </w:pPr>
      <w:r>
        <w:rPr>
          <w:rFonts w:hint="eastAsia" w:ascii="Times New Roman" w:hAnsi="Times New Roman"/>
          <w:color w:val="000000"/>
          <w:szCs w:val="21"/>
        </w:rPr>
        <w:t>投标文件的形式：</w:t>
      </w:r>
      <w:r>
        <w:rPr>
          <w:rFonts w:hint="eastAsia" w:ascii="MS Gothic" w:hAnsi="MS Gothic" w:eastAsia="MS Gothic" w:cs="MS Gothic"/>
          <w:color w:val="000000"/>
          <w:szCs w:val="21"/>
        </w:rPr>
        <w:t>☑</w:t>
      </w:r>
      <w:r>
        <w:rPr>
          <w:rFonts w:hint="eastAsia" w:ascii="Times New Roman" w:hAnsi="Times New Roman"/>
          <w:color w:val="000000"/>
          <w:szCs w:val="21"/>
        </w:rPr>
        <w:t>电子投标文件（包括“电子加密投标文件”和“备份投标文件”，在投标文件编制完成后同时生成）；</w:t>
      </w:r>
    </w:p>
    <w:p w14:paraId="5AD8569E">
      <w:pPr>
        <w:pageBreakBefore w:val="0"/>
        <w:kinsoku/>
        <w:overflowPunct/>
        <w:topLinePunct w:val="0"/>
        <w:bidi w:val="0"/>
        <w:spacing w:line="360" w:lineRule="auto"/>
        <w:ind w:firstLine="420" w:firstLineChars="200"/>
        <w:jc w:val="left"/>
        <w:rPr>
          <w:rFonts w:ascii="Times New Roman" w:hAnsi="Times New Roman"/>
          <w:color w:val="000000"/>
          <w:szCs w:val="21"/>
        </w:rPr>
      </w:pPr>
      <w:r>
        <w:rPr>
          <w:rFonts w:hint="eastAsia" w:ascii="Times New Roman" w:hAnsi="Times New Roman"/>
          <w:color w:val="000000"/>
          <w:szCs w:val="21"/>
        </w:rPr>
        <w:t>（</w:t>
      </w:r>
      <w:r>
        <w:rPr>
          <w:rFonts w:ascii="Times New Roman" w:hAnsi="Times New Roman"/>
          <w:color w:val="000000"/>
          <w:szCs w:val="21"/>
        </w:rPr>
        <w:t>1</w:t>
      </w:r>
      <w:r>
        <w:rPr>
          <w:rFonts w:hint="eastAsia" w:ascii="Times New Roman" w:hAnsi="Times New Roman"/>
          <w:color w:val="000000"/>
          <w:szCs w:val="21"/>
        </w:rPr>
        <w:t>）“电子加密投标文件”是指通过“政采云电子交易客户端”完成投标文件编制后生成并加密的数据电文形式的投标文件。</w:t>
      </w:r>
    </w:p>
    <w:p w14:paraId="6160077C">
      <w:pPr>
        <w:pageBreakBefore w:val="0"/>
        <w:kinsoku/>
        <w:overflowPunct/>
        <w:topLinePunct w:val="0"/>
        <w:bidi w:val="0"/>
        <w:spacing w:line="360" w:lineRule="auto"/>
        <w:ind w:firstLine="420" w:firstLineChars="200"/>
        <w:jc w:val="left"/>
        <w:rPr>
          <w:rFonts w:ascii="Times New Roman" w:hAnsi="Times New Roman"/>
          <w:color w:val="000000"/>
          <w:szCs w:val="21"/>
        </w:rPr>
      </w:pPr>
      <w:r>
        <w:rPr>
          <w:rFonts w:hint="eastAsia" w:ascii="Times New Roman" w:hAnsi="Times New Roman"/>
          <w:color w:val="000000"/>
          <w:szCs w:val="21"/>
        </w:rPr>
        <w:t>（</w:t>
      </w:r>
      <w:r>
        <w:rPr>
          <w:rFonts w:ascii="Times New Roman" w:hAnsi="Times New Roman"/>
          <w:color w:val="000000"/>
          <w:szCs w:val="21"/>
        </w:rPr>
        <w:t>2</w:t>
      </w:r>
      <w:r>
        <w:rPr>
          <w:rFonts w:hint="eastAsia" w:ascii="Times New Roman" w:hAnsi="Times New Roman"/>
          <w:color w:val="000000"/>
          <w:szCs w:val="21"/>
        </w:rPr>
        <w:t>）“备份投标文件”是指与“电子加密投标文件”同时生成的数据电文形式的电子文件（备份标书），其他方式编制的备份投标文件视为无效备份投标文件。</w:t>
      </w:r>
    </w:p>
    <w:p w14:paraId="395A6E2C">
      <w:pPr>
        <w:pageBreakBefore w:val="0"/>
        <w:kinsoku/>
        <w:overflowPunct/>
        <w:topLinePunct w:val="0"/>
        <w:bidi w:val="0"/>
        <w:spacing w:line="360" w:lineRule="auto"/>
        <w:ind w:firstLine="422" w:firstLineChars="200"/>
        <w:jc w:val="left"/>
        <w:rPr>
          <w:rFonts w:ascii="Times New Roman" w:hAnsi="Times New Roman"/>
          <w:b/>
          <w:color w:val="000000"/>
          <w:szCs w:val="21"/>
        </w:rPr>
      </w:pPr>
      <w:r>
        <w:rPr>
          <w:rFonts w:hint="eastAsia" w:ascii="Times New Roman" w:hAnsi="Times New Roman"/>
          <w:b/>
          <w:color w:val="000000"/>
          <w:szCs w:val="21"/>
        </w:rPr>
        <w:t>（六）投标文件的上传和递交</w:t>
      </w:r>
    </w:p>
    <w:p w14:paraId="2539963C">
      <w:pPr>
        <w:pageBreakBefore w:val="0"/>
        <w:kinsoku/>
        <w:overflowPunct/>
        <w:topLinePunct w:val="0"/>
        <w:bidi w:val="0"/>
        <w:spacing w:line="360" w:lineRule="auto"/>
        <w:ind w:firstLine="420" w:firstLineChars="200"/>
        <w:jc w:val="left"/>
        <w:rPr>
          <w:rFonts w:ascii="Times New Roman" w:hAnsi="Times New Roman"/>
          <w:color w:val="000000"/>
          <w:szCs w:val="21"/>
        </w:rPr>
      </w:pPr>
      <w:r>
        <w:rPr>
          <w:rFonts w:hint="eastAsia" w:ascii="Times New Roman" w:hAnsi="Times New Roman"/>
          <w:color w:val="000000"/>
          <w:szCs w:val="21"/>
        </w:rPr>
        <w:t>（</w:t>
      </w:r>
      <w:r>
        <w:rPr>
          <w:rFonts w:ascii="Times New Roman" w:hAnsi="Times New Roman"/>
          <w:color w:val="000000"/>
          <w:szCs w:val="21"/>
        </w:rPr>
        <w:t>1</w:t>
      </w:r>
      <w:r>
        <w:rPr>
          <w:rFonts w:hint="eastAsia" w:ascii="Times New Roman" w:hAnsi="Times New Roman"/>
          <w:color w:val="000000"/>
          <w:szCs w:val="21"/>
        </w:rPr>
        <w:t>）“电子加密投标文件”的上传、递交：</w:t>
      </w:r>
    </w:p>
    <w:p w14:paraId="7074C646">
      <w:pPr>
        <w:pageBreakBefore w:val="0"/>
        <w:kinsoku/>
        <w:overflowPunct/>
        <w:topLinePunct w:val="0"/>
        <w:bidi w:val="0"/>
        <w:spacing w:line="360" w:lineRule="auto"/>
        <w:ind w:firstLine="420" w:firstLineChars="200"/>
        <w:jc w:val="left"/>
        <w:rPr>
          <w:rFonts w:ascii="Times New Roman" w:hAnsi="Times New Roman"/>
          <w:color w:val="000000"/>
          <w:szCs w:val="21"/>
        </w:rPr>
      </w:pPr>
      <w:r>
        <w:rPr>
          <w:rFonts w:ascii="Times New Roman" w:hAnsi="Times New Roman"/>
          <w:color w:val="000000"/>
          <w:szCs w:val="21"/>
        </w:rPr>
        <w:t>A</w:t>
      </w:r>
      <w:r>
        <w:rPr>
          <w:rFonts w:hint="eastAsia" w:ascii="Times New Roman" w:hAnsi="Times New Roman"/>
          <w:color w:val="000000"/>
          <w:szCs w:val="21"/>
        </w:rPr>
        <w:t>、投标供应商应在投标截止时间前将“电子加密投标文件”成功上传递交至“政府采购云平台”，否则投标无效。</w:t>
      </w:r>
    </w:p>
    <w:p w14:paraId="2A34FB77">
      <w:pPr>
        <w:pageBreakBefore w:val="0"/>
        <w:kinsoku/>
        <w:overflowPunct/>
        <w:topLinePunct w:val="0"/>
        <w:bidi w:val="0"/>
        <w:spacing w:line="360" w:lineRule="auto"/>
        <w:ind w:firstLine="420" w:firstLineChars="200"/>
        <w:jc w:val="left"/>
        <w:rPr>
          <w:rFonts w:ascii="Times New Roman" w:hAnsi="Times New Roman"/>
          <w:color w:val="000000"/>
          <w:szCs w:val="21"/>
        </w:rPr>
      </w:pPr>
      <w:r>
        <w:rPr>
          <w:rFonts w:ascii="Times New Roman" w:hAnsi="Times New Roman"/>
          <w:color w:val="000000"/>
          <w:szCs w:val="21"/>
        </w:rPr>
        <w:t>B</w:t>
      </w:r>
      <w:r>
        <w:rPr>
          <w:rFonts w:hint="eastAsia" w:ascii="Times New Roman" w:hAnsi="Times New Roman"/>
          <w:color w:val="000000"/>
          <w:szCs w:val="21"/>
        </w:rPr>
        <w:t>、“电子加密投标文件”成功上传递交后，供应商可自行打印投标文件接收回执。</w:t>
      </w:r>
    </w:p>
    <w:p w14:paraId="2F0C8543">
      <w:pPr>
        <w:pageBreakBefore w:val="0"/>
        <w:kinsoku/>
        <w:overflowPunct/>
        <w:topLinePunct w:val="0"/>
        <w:bidi w:val="0"/>
        <w:spacing w:line="360" w:lineRule="auto"/>
        <w:ind w:firstLine="420" w:firstLineChars="200"/>
        <w:jc w:val="left"/>
        <w:rPr>
          <w:rFonts w:ascii="Times New Roman" w:hAnsi="Times New Roman"/>
          <w:color w:val="000000"/>
          <w:szCs w:val="21"/>
        </w:rPr>
      </w:pPr>
      <w:r>
        <w:rPr>
          <w:rFonts w:hint="eastAsia" w:ascii="Times New Roman" w:hAnsi="Times New Roman"/>
          <w:color w:val="000000"/>
          <w:szCs w:val="21"/>
        </w:rPr>
        <w:t>（</w:t>
      </w:r>
      <w:r>
        <w:rPr>
          <w:rFonts w:ascii="Times New Roman" w:hAnsi="Times New Roman"/>
          <w:color w:val="000000"/>
          <w:szCs w:val="21"/>
        </w:rPr>
        <w:t>2</w:t>
      </w:r>
      <w:r>
        <w:rPr>
          <w:rFonts w:hint="eastAsia" w:ascii="Times New Roman" w:hAnsi="Times New Roman"/>
          <w:color w:val="000000"/>
          <w:szCs w:val="21"/>
        </w:rPr>
        <w:t>）“备份投标文件”的密封包装、递交：</w:t>
      </w:r>
    </w:p>
    <w:p w14:paraId="4375F317">
      <w:pPr>
        <w:pageBreakBefore w:val="0"/>
        <w:kinsoku/>
        <w:overflowPunct/>
        <w:topLinePunct w:val="0"/>
        <w:bidi w:val="0"/>
        <w:spacing w:line="360" w:lineRule="auto"/>
        <w:ind w:firstLine="420" w:firstLineChars="200"/>
        <w:jc w:val="left"/>
        <w:rPr>
          <w:rFonts w:ascii="Times New Roman" w:hAnsi="Times New Roman"/>
          <w:color w:val="000000"/>
          <w:szCs w:val="21"/>
        </w:rPr>
      </w:pPr>
      <w:r>
        <w:rPr>
          <w:rFonts w:ascii="Times New Roman" w:hAnsi="Times New Roman"/>
          <w:color w:val="000000"/>
          <w:szCs w:val="21"/>
        </w:rPr>
        <w:t>A</w:t>
      </w:r>
      <w:r>
        <w:rPr>
          <w:rFonts w:hint="eastAsia" w:ascii="Times New Roman" w:hAnsi="Times New Roman"/>
          <w:color w:val="000000"/>
          <w:szCs w:val="21"/>
        </w:rPr>
        <w:t>、投标供应商在“政府采购云平台”完成“电子加密投标文件”的上传递交后，还可以（邮寄形式）在投标截止时间前递交以介质（</w:t>
      </w:r>
      <w:r>
        <w:rPr>
          <w:rFonts w:ascii="Times New Roman" w:hAnsi="Times New Roman"/>
          <w:color w:val="000000"/>
          <w:szCs w:val="21"/>
        </w:rPr>
        <w:t>U</w:t>
      </w:r>
      <w:r>
        <w:rPr>
          <w:rFonts w:hint="eastAsia" w:ascii="Times New Roman" w:hAnsi="Times New Roman"/>
          <w:color w:val="000000"/>
          <w:szCs w:val="21"/>
        </w:rPr>
        <w:t>盘）存储的</w:t>
      </w:r>
      <w:r>
        <w:rPr>
          <w:rFonts w:ascii="Times New Roman" w:hAnsi="Times New Roman"/>
          <w:color w:val="000000"/>
          <w:szCs w:val="21"/>
        </w:rPr>
        <w:t xml:space="preserve"> </w:t>
      </w:r>
      <w:r>
        <w:rPr>
          <w:rFonts w:hint="eastAsia" w:ascii="Times New Roman" w:hAnsi="Times New Roman"/>
          <w:color w:val="000000"/>
          <w:szCs w:val="21"/>
        </w:rPr>
        <w:t>“备份投标文件”（一份）；</w:t>
      </w:r>
    </w:p>
    <w:p w14:paraId="2677E56D">
      <w:pPr>
        <w:pageBreakBefore w:val="0"/>
        <w:kinsoku/>
        <w:overflowPunct/>
        <w:topLinePunct w:val="0"/>
        <w:bidi w:val="0"/>
        <w:spacing w:line="360" w:lineRule="auto"/>
        <w:ind w:firstLine="420" w:firstLineChars="200"/>
        <w:jc w:val="left"/>
        <w:rPr>
          <w:rFonts w:ascii="Times New Roman" w:hAnsi="Times New Roman"/>
          <w:color w:val="000000"/>
          <w:szCs w:val="21"/>
        </w:rPr>
      </w:pPr>
      <w:r>
        <w:rPr>
          <w:rFonts w:ascii="Times New Roman" w:hAnsi="Times New Roman"/>
          <w:color w:val="000000"/>
          <w:szCs w:val="21"/>
        </w:rPr>
        <w:t>B</w:t>
      </w:r>
      <w:r>
        <w:rPr>
          <w:rFonts w:hint="eastAsia" w:ascii="Times New Roman" w:hAnsi="Times New Roman"/>
          <w:color w:val="000000"/>
          <w:szCs w:val="21"/>
        </w:rPr>
        <w:t>、“备份投标文件”应当密封包装，并在包装上标注投标项目名称、投标单位名称并加盖公章。没有密封包装或者逾期邮寄送达至邮寄接收地点的“备份投标文件”将不予接收；</w:t>
      </w:r>
    </w:p>
    <w:p w14:paraId="2F62B3DC">
      <w:pPr>
        <w:pageBreakBefore w:val="0"/>
        <w:kinsoku/>
        <w:overflowPunct/>
        <w:topLinePunct w:val="0"/>
        <w:bidi w:val="0"/>
        <w:spacing w:line="360" w:lineRule="auto"/>
        <w:ind w:firstLine="420" w:firstLineChars="200"/>
        <w:jc w:val="left"/>
        <w:rPr>
          <w:rFonts w:ascii="Times New Roman" w:hAnsi="Times New Roman"/>
          <w:color w:val="000000"/>
          <w:szCs w:val="21"/>
        </w:rPr>
      </w:pPr>
      <w:r>
        <w:rPr>
          <w:rFonts w:ascii="Times New Roman" w:hAnsi="Times New Roman"/>
          <w:color w:val="000000"/>
          <w:szCs w:val="21"/>
        </w:rPr>
        <w:t>C</w:t>
      </w:r>
      <w:r>
        <w:rPr>
          <w:rFonts w:hint="eastAsia" w:ascii="Times New Roman" w:hAnsi="Times New Roman"/>
          <w:color w:val="000000"/>
          <w:szCs w:val="21"/>
        </w:rPr>
        <w:t>、通过“政府采购云平台”成功上传递交的“电子加密投标文件”已按时解密的，“备份投标文件”自动失效。投标截止时间前，投标供应商仅递交了“备份投标文件”而未将“电子加密投标文件”成功上传至“政府采购云平台”的，投标无效。</w:t>
      </w:r>
    </w:p>
    <w:p w14:paraId="6BF4F635">
      <w:pPr>
        <w:pageBreakBefore w:val="0"/>
        <w:kinsoku/>
        <w:overflowPunct/>
        <w:topLinePunct w:val="0"/>
        <w:bidi w:val="0"/>
        <w:spacing w:line="360" w:lineRule="auto"/>
        <w:ind w:firstLine="422" w:firstLineChars="200"/>
        <w:jc w:val="left"/>
        <w:rPr>
          <w:rFonts w:ascii="Times New Roman" w:hAnsi="Times New Roman"/>
          <w:b/>
          <w:color w:val="000000"/>
          <w:szCs w:val="21"/>
        </w:rPr>
      </w:pPr>
      <w:r>
        <w:rPr>
          <w:rFonts w:hint="eastAsia" w:ascii="Times New Roman" w:hAnsi="Times New Roman"/>
          <w:b/>
          <w:color w:val="000000"/>
          <w:szCs w:val="21"/>
        </w:rPr>
        <w:t>（七）投标保证金</w:t>
      </w:r>
    </w:p>
    <w:p w14:paraId="01A40B78">
      <w:pPr>
        <w:pageBreakBefore w:val="0"/>
        <w:kinsoku/>
        <w:overflowPunct/>
        <w:topLinePunct w:val="0"/>
        <w:bidi w:val="0"/>
        <w:spacing w:line="360" w:lineRule="auto"/>
        <w:ind w:firstLine="420" w:firstLineChars="200"/>
        <w:jc w:val="left"/>
        <w:rPr>
          <w:rFonts w:ascii="Times New Roman" w:hAnsi="Times New Roman"/>
          <w:color w:val="000000"/>
          <w:szCs w:val="21"/>
        </w:rPr>
      </w:pPr>
      <w:r>
        <w:rPr>
          <w:rFonts w:hint="eastAsia" w:ascii="Times New Roman" w:hAnsi="Times New Roman"/>
          <w:color w:val="000000"/>
          <w:szCs w:val="21"/>
        </w:rPr>
        <w:t>本项目不设置。</w:t>
      </w:r>
    </w:p>
    <w:p w14:paraId="458DB881">
      <w:pPr>
        <w:pageBreakBefore w:val="0"/>
        <w:kinsoku/>
        <w:overflowPunct/>
        <w:topLinePunct w:val="0"/>
        <w:bidi w:val="0"/>
        <w:spacing w:line="360" w:lineRule="auto"/>
        <w:ind w:firstLine="422" w:firstLineChars="200"/>
        <w:jc w:val="left"/>
        <w:rPr>
          <w:rFonts w:ascii="Times New Roman" w:hAnsi="Times New Roman"/>
          <w:b/>
          <w:color w:val="000000"/>
          <w:szCs w:val="21"/>
        </w:rPr>
      </w:pPr>
      <w:r>
        <w:rPr>
          <w:rFonts w:hint="eastAsia" w:ascii="Times New Roman" w:hAnsi="Times New Roman"/>
          <w:b/>
          <w:color w:val="000000"/>
          <w:szCs w:val="21"/>
        </w:rPr>
        <w:t>（八）投标无效的情形</w:t>
      </w:r>
    </w:p>
    <w:p w14:paraId="1506DA24">
      <w:pPr>
        <w:pageBreakBefore w:val="0"/>
        <w:kinsoku/>
        <w:overflowPunct/>
        <w:topLinePunct w:val="0"/>
        <w:bidi w:val="0"/>
        <w:spacing w:line="360" w:lineRule="auto"/>
        <w:ind w:firstLine="420" w:firstLineChars="200"/>
        <w:jc w:val="left"/>
        <w:rPr>
          <w:rFonts w:ascii="Times New Roman" w:hAnsi="Times New Roman"/>
          <w:color w:val="000000"/>
          <w:szCs w:val="21"/>
        </w:rPr>
      </w:pPr>
      <w:r>
        <w:rPr>
          <w:rFonts w:hint="eastAsia" w:ascii="Times New Roman" w:hAnsi="Times New Roman"/>
          <w:color w:val="000000"/>
          <w:szCs w:val="21"/>
        </w:rPr>
        <w:t>根据《政府采购货物和服务招标投标管理办法》有下列情形之一的，视为投标人串通投标，其投标无效：</w:t>
      </w:r>
    </w:p>
    <w:p w14:paraId="4085E09E">
      <w:pPr>
        <w:pageBreakBefore w:val="0"/>
        <w:kinsoku/>
        <w:overflowPunct/>
        <w:topLinePunct w:val="0"/>
        <w:bidi w:val="0"/>
        <w:spacing w:line="360" w:lineRule="auto"/>
        <w:ind w:firstLine="420" w:firstLineChars="200"/>
        <w:jc w:val="left"/>
        <w:rPr>
          <w:rFonts w:ascii="Times New Roman" w:hAnsi="Times New Roman"/>
          <w:color w:val="000000"/>
          <w:szCs w:val="21"/>
        </w:rPr>
      </w:pPr>
      <w:r>
        <w:rPr>
          <w:rFonts w:ascii="Times New Roman" w:hAnsi="Times New Roman"/>
          <w:color w:val="000000"/>
          <w:szCs w:val="21"/>
        </w:rPr>
        <w:t>(</w:t>
      </w:r>
      <w:r>
        <w:rPr>
          <w:rFonts w:hint="eastAsia" w:ascii="Times New Roman" w:hAnsi="Times New Roman"/>
          <w:color w:val="000000"/>
          <w:szCs w:val="21"/>
        </w:rPr>
        <w:t>一</w:t>
      </w:r>
      <w:r>
        <w:rPr>
          <w:rFonts w:ascii="Times New Roman" w:hAnsi="Times New Roman"/>
          <w:color w:val="000000"/>
          <w:szCs w:val="21"/>
        </w:rPr>
        <w:t>)</w:t>
      </w:r>
      <w:r>
        <w:rPr>
          <w:rFonts w:hint="eastAsia" w:ascii="Times New Roman" w:hAnsi="Times New Roman"/>
          <w:color w:val="000000"/>
          <w:szCs w:val="21"/>
        </w:rPr>
        <w:t>不同投标人的投标文件由同一单位或者个人编制；</w:t>
      </w:r>
    </w:p>
    <w:p w14:paraId="444877A2">
      <w:pPr>
        <w:pageBreakBefore w:val="0"/>
        <w:kinsoku/>
        <w:overflowPunct/>
        <w:topLinePunct w:val="0"/>
        <w:bidi w:val="0"/>
        <w:spacing w:line="360" w:lineRule="auto"/>
        <w:ind w:firstLine="420" w:firstLineChars="200"/>
        <w:jc w:val="left"/>
        <w:rPr>
          <w:rFonts w:ascii="Times New Roman" w:hAnsi="Times New Roman"/>
          <w:color w:val="000000"/>
          <w:szCs w:val="21"/>
        </w:rPr>
      </w:pPr>
      <w:r>
        <w:rPr>
          <w:rFonts w:ascii="Times New Roman" w:hAnsi="Times New Roman"/>
          <w:color w:val="000000"/>
          <w:szCs w:val="21"/>
        </w:rPr>
        <w:t>(</w:t>
      </w:r>
      <w:r>
        <w:rPr>
          <w:rFonts w:hint="eastAsia" w:ascii="Times New Roman" w:hAnsi="Times New Roman"/>
          <w:color w:val="000000"/>
          <w:szCs w:val="21"/>
        </w:rPr>
        <w:t>二</w:t>
      </w:r>
      <w:r>
        <w:rPr>
          <w:rFonts w:ascii="Times New Roman" w:hAnsi="Times New Roman"/>
          <w:color w:val="000000"/>
          <w:szCs w:val="21"/>
        </w:rPr>
        <w:t>)</w:t>
      </w:r>
      <w:r>
        <w:rPr>
          <w:rFonts w:hint="eastAsia" w:ascii="Times New Roman" w:hAnsi="Times New Roman"/>
          <w:color w:val="000000"/>
          <w:szCs w:val="21"/>
        </w:rPr>
        <w:t>不同投标人委托同一单位或者个人办理投标事宜；</w:t>
      </w:r>
    </w:p>
    <w:p w14:paraId="5E46EB81">
      <w:pPr>
        <w:pageBreakBefore w:val="0"/>
        <w:kinsoku/>
        <w:overflowPunct/>
        <w:topLinePunct w:val="0"/>
        <w:bidi w:val="0"/>
        <w:spacing w:line="360" w:lineRule="auto"/>
        <w:ind w:firstLine="420" w:firstLineChars="200"/>
        <w:jc w:val="left"/>
        <w:rPr>
          <w:rFonts w:ascii="Times New Roman" w:hAnsi="Times New Roman"/>
          <w:color w:val="000000"/>
          <w:szCs w:val="21"/>
        </w:rPr>
      </w:pPr>
      <w:r>
        <w:rPr>
          <w:rFonts w:ascii="Times New Roman" w:hAnsi="Times New Roman"/>
          <w:color w:val="000000"/>
          <w:szCs w:val="21"/>
        </w:rPr>
        <w:t>(</w:t>
      </w:r>
      <w:r>
        <w:rPr>
          <w:rFonts w:hint="eastAsia" w:ascii="Times New Roman" w:hAnsi="Times New Roman"/>
          <w:color w:val="000000"/>
          <w:szCs w:val="21"/>
        </w:rPr>
        <w:t>三</w:t>
      </w:r>
      <w:r>
        <w:rPr>
          <w:rFonts w:ascii="Times New Roman" w:hAnsi="Times New Roman"/>
          <w:color w:val="000000"/>
          <w:szCs w:val="21"/>
        </w:rPr>
        <w:t>)</w:t>
      </w:r>
      <w:r>
        <w:rPr>
          <w:rFonts w:hint="eastAsia" w:ascii="Times New Roman" w:hAnsi="Times New Roman"/>
          <w:color w:val="000000"/>
          <w:szCs w:val="21"/>
        </w:rPr>
        <w:t>不同投标人的投标文件载明的项目管理成员或者联系人员为同一人；</w:t>
      </w:r>
    </w:p>
    <w:p w14:paraId="083DC65D">
      <w:pPr>
        <w:pageBreakBefore w:val="0"/>
        <w:kinsoku/>
        <w:overflowPunct/>
        <w:topLinePunct w:val="0"/>
        <w:bidi w:val="0"/>
        <w:spacing w:line="360" w:lineRule="auto"/>
        <w:ind w:firstLine="420" w:firstLineChars="200"/>
        <w:jc w:val="left"/>
        <w:rPr>
          <w:rFonts w:ascii="Times New Roman" w:hAnsi="Times New Roman"/>
          <w:color w:val="000000"/>
          <w:szCs w:val="21"/>
        </w:rPr>
      </w:pPr>
      <w:r>
        <w:rPr>
          <w:rFonts w:ascii="Times New Roman" w:hAnsi="Times New Roman"/>
          <w:color w:val="000000"/>
          <w:szCs w:val="21"/>
        </w:rPr>
        <w:t>(</w:t>
      </w:r>
      <w:r>
        <w:rPr>
          <w:rFonts w:hint="eastAsia" w:ascii="Times New Roman" w:hAnsi="Times New Roman"/>
          <w:color w:val="000000"/>
          <w:szCs w:val="21"/>
        </w:rPr>
        <w:t>四</w:t>
      </w:r>
      <w:r>
        <w:rPr>
          <w:rFonts w:ascii="Times New Roman" w:hAnsi="Times New Roman"/>
          <w:color w:val="000000"/>
          <w:szCs w:val="21"/>
        </w:rPr>
        <w:t>)</w:t>
      </w:r>
      <w:r>
        <w:rPr>
          <w:rFonts w:hint="eastAsia" w:ascii="Times New Roman" w:hAnsi="Times New Roman"/>
          <w:color w:val="000000"/>
          <w:szCs w:val="21"/>
        </w:rPr>
        <w:t>不同投标人的投标文件异常一致或者投标报价呈规律性差异；</w:t>
      </w:r>
    </w:p>
    <w:p w14:paraId="63B704AE">
      <w:pPr>
        <w:pageBreakBefore w:val="0"/>
        <w:kinsoku/>
        <w:overflowPunct/>
        <w:topLinePunct w:val="0"/>
        <w:bidi w:val="0"/>
        <w:spacing w:line="360" w:lineRule="auto"/>
        <w:ind w:firstLine="420" w:firstLineChars="200"/>
        <w:jc w:val="left"/>
        <w:rPr>
          <w:rFonts w:ascii="Times New Roman" w:hAnsi="Times New Roman"/>
          <w:color w:val="000000"/>
          <w:szCs w:val="21"/>
        </w:rPr>
      </w:pPr>
      <w:r>
        <w:rPr>
          <w:rFonts w:ascii="Times New Roman" w:hAnsi="Times New Roman"/>
          <w:color w:val="000000"/>
          <w:szCs w:val="21"/>
        </w:rPr>
        <w:t>(</w:t>
      </w:r>
      <w:r>
        <w:rPr>
          <w:rFonts w:hint="eastAsia" w:ascii="Times New Roman" w:hAnsi="Times New Roman"/>
          <w:color w:val="000000"/>
          <w:szCs w:val="21"/>
        </w:rPr>
        <w:t>五</w:t>
      </w:r>
      <w:r>
        <w:rPr>
          <w:rFonts w:ascii="Times New Roman" w:hAnsi="Times New Roman"/>
          <w:color w:val="000000"/>
          <w:szCs w:val="21"/>
        </w:rPr>
        <w:t>)</w:t>
      </w:r>
      <w:r>
        <w:rPr>
          <w:rFonts w:hint="eastAsia" w:ascii="Times New Roman" w:hAnsi="Times New Roman"/>
          <w:color w:val="000000"/>
          <w:szCs w:val="21"/>
        </w:rPr>
        <w:t>不同投标人的投标文件相互混装；</w:t>
      </w:r>
    </w:p>
    <w:p w14:paraId="7E16CF9F">
      <w:pPr>
        <w:pageBreakBefore w:val="0"/>
        <w:kinsoku/>
        <w:overflowPunct/>
        <w:topLinePunct w:val="0"/>
        <w:bidi w:val="0"/>
        <w:spacing w:line="360" w:lineRule="auto"/>
        <w:ind w:firstLine="420" w:firstLineChars="200"/>
        <w:jc w:val="left"/>
        <w:rPr>
          <w:rFonts w:ascii="Times New Roman" w:hAnsi="Times New Roman"/>
          <w:color w:val="000000"/>
          <w:szCs w:val="21"/>
        </w:rPr>
      </w:pPr>
      <w:r>
        <w:rPr>
          <w:rFonts w:ascii="Times New Roman" w:hAnsi="Times New Roman"/>
          <w:color w:val="000000"/>
          <w:szCs w:val="21"/>
        </w:rPr>
        <w:t>(</w:t>
      </w:r>
      <w:r>
        <w:rPr>
          <w:rFonts w:hint="eastAsia" w:ascii="Times New Roman" w:hAnsi="Times New Roman"/>
          <w:color w:val="000000"/>
          <w:szCs w:val="21"/>
        </w:rPr>
        <w:t>六</w:t>
      </w:r>
      <w:r>
        <w:rPr>
          <w:rFonts w:ascii="Times New Roman" w:hAnsi="Times New Roman"/>
          <w:color w:val="000000"/>
          <w:szCs w:val="21"/>
        </w:rPr>
        <w:t>)</w:t>
      </w:r>
      <w:r>
        <w:rPr>
          <w:rFonts w:hint="eastAsia" w:ascii="Times New Roman" w:hAnsi="Times New Roman"/>
          <w:color w:val="000000"/>
          <w:szCs w:val="21"/>
        </w:rPr>
        <w:t>不同投标人的投标保证金从同一单位或者个人的账户转出。</w:t>
      </w:r>
      <w:bookmarkEnd w:id="274"/>
      <w:bookmarkEnd w:id="275"/>
      <w:bookmarkEnd w:id="276"/>
      <w:bookmarkEnd w:id="277"/>
      <w:bookmarkEnd w:id="278"/>
      <w:bookmarkStart w:id="279" w:name="_Hlk11357745"/>
    </w:p>
    <w:bookmarkEnd w:id="279"/>
    <w:p w14:paraId="78855702">
      <w:pPr>
        <w:pageBreakBefore w:val="0"/>
        <w:kinsoku/>
        <w:overflowPunct/>
        <w:topLinePunct w:val="0"/>
        <w:bidi w:val="0"/>
        <w:spacing w:line="360" w:lineRule="auto"/>
        <w:ind w:firstLine="420" w:firstLineChars="200"/>
        <w:jc w:val="left"/>
        <w:rPr>
          <w:rFonts w:ascii="Times New Roman" w:hAnsi="Times New Roman"/>
          <w:color w:val="000000"/>
          <w:szCs w:val="21"/>
        </w:rPr>
      </w:pPr>
      <w:r>
        <w:rPr>
          <w:rFonts w:hint="eastAsia" w:ascii="Times New Roman" w:hAnsi="Times New Roman"/>
          <w:color w:val="000000"/>
          <w:szCs w:val="21"/>
        </w:rPr>
        <w:t>实质上没有响应招标文件要求的投标将被视为无效投标。</w:t>
      </w:r>
    </w:p>
    <w:p w14:paraId="686C9D88">
      <w:pPr>
        <w:pageBreakBefore w:val="0"/>
        <w:numPr>
          <w:ilvl w:val="0"/>
          <w:numId w:val="16"/>
        </w:numPr>
        <w:kinsoku/>
        <w:overflowPunct/>
        <w:topLinePunct w:val="0"/>
        <w:bidi w:val="0"/>
        <w:spacing w:line="360" w:lineRule="auto"/>
        <w:ind w:firstLine="422" w:firstLineChars="200"/>
        <w:jc w:val="left"/>
        <w:rPr>
          <w:rFonts w:hint="eastAsia" w:ascii="Times New Roman" w:hAnsi="Times New Roman"/>
          <w:b/>
          <w:bCs/>
          <w:color w:val="000000"/>
          <w:szCs w:val="21"/>
        </w:rPr>
      </w:pPr>
      <w:r>
        <w:rPr>
          <w:rFonts w:hint="eastAsia" w:ascii="Times New Roman" w:hAnsi="Times New Roman"/>
          <w:b/>
          <w:bCs/>
          <w:color w:val="000000"/>
          <w:szCs w:val="21"/>
        </w:rPr>
        <w:t>电子投标文件解密失败的，且未在规定时间内提交有效备份投标文件的。</w:t>
      </w:r>
    </w:p>
    <w:p w14:paraId="4E7BDAAB">
      <w:pPr>
        <w:pageBreakBefore w:val="0"/>
        <w:kinsoku/>
        <w:overflowPunct/>
        <w:topLinePunct w:val="0"/>
        <w:bidi w:val="0"/>
        <w:spacing w:line="360" w:lineRule="auto"/>
        <w:ind w:firstLine="420" w:firstLineChars="200"/>
        <w:jc w:val="left"/>
        <w:rPr>
          <w:rFonts w:hint="eastAsia" w:ascii="Times New Roman" w:hAnsi="Times New Roman"/>
          <w:color w:val="000000"/>
          <w:szCs w:val="21"/>
        </w:rPr>
      </w:pPr>
      <w:r>
        <w:rPr>
          <w:rFonts w:hint="eastAsia" w:ascii="Times New Roman" w:hAnsi="Times New Roman"/>
          <w:color w:val="000000"/>
          <w:szCs w:val="21"/>
        </w:rPr>
        <w:t>根据浙财采监〔2025〕2号的相关规定，除政府采购法律法规规章规定的属于恶意串通、视为串通投标情形外，在不影响公平竞争的前提下，存在下列情形之一的，其投标文件无效：（1）不同供应商的电子投标（响应）文件上传计算机的网卡MAC地址或硬盘序列号等硬件信息相同的；</w:t>
      </w:r>
    </w:p>
    <w:p w14:paraId="1AD871AC">
      <w:pPr>
        <w:pageBreakBefore w:val="0"/>
        <w:numPr>
          <w:ilvl w:val="0"/>
          <w:numId w:val="17"/>
        </w:numPr>
        <w:kinsoku/>
        <w:overflowPunct/>
        <w:topLinePunct w:val="0"/>
        <w:bidi w:val="0"/>
        <w:spacing w:line="360" w:lineRule="auto"/>
        <w:ind w:firstLine="420" w:firstLineChars="200"/>
        <w:jc w:val="left"/>
        <w:rPr>
          <w:rFonts w:hint="eastAsia" w:ascii="Times New Roman" w:hAnsi="Times New Roman"/>
          <w:color w:val="000000"/>
          <w:szCs w:val="21"/>
        </w:rPr>
      </w:pPr>
      <w:r>
        <w:rPr>
          <w:rFonts w:hint="eastAsia" w:ascii="Times New Roman" w:hAnsi="Times New Roman"/>
          <w:color w:val="000000"/>
          <w:szCs w:val="21"/>
        </w:rPr>
        <w:t>上传的电子投标（响应）文件若出现使用本项目其他投标（响应）供应商的数字证书加密的，或者加盖本项目其他投标（响应）供应商的电子印章的；</w:t>
      </w:r>
    </w:p>
    <w:p w14:paraId="20335998">
      <w:pPr>
        <w:pageBreakBefore w:val="0"/>
        <w:numPr>
          <w:ilvl w:val="0"/>
          <w:numId w:val="17"/>
        </w:numPr>
        <w:kinsoku/>
        <w:overflowPunct/>
        <w:topLinePunct w:val="0"/>
        <w:bidi w:val="0"/>
        <w:spacing w:line="360" w:lineRule="auto"/>
        <w:ind w:firstLine="420" w:firstLineChars="200"/>
        <w:jc w:val="left"/>
        <w:rPr>
          <w:rFonts w:hint="eastAsia" w:ascii="Times New Roman" w:hAnsi="Times New Roman"/>
          <w:color w:val="000000"/>
          <w:szCs w:val="21"/>
        </w:rPr>
      </w:pPr>
      <w:r>
        <w:rPr>
          <w:rFonts w:hint="eastAsia" w:ascii="Times New Roman" w:hAnsi="Times New Roman"/>
          <w:color w:val="000000"/>
          <w:szCs w:val="21"/>
        </w:rPr>
        <w:t>不同供应商的投标（响应）文件的内容存在3处（含）以上错误一致的；</w:t>
      </w:r>
    </w:p>
    <w:p w14:paraId="511FF13F">
      <w:pPr>
        <w:pageBreakBefore w:val="0"/>
        <w:numPr>
          <w:ilvl w:val="0"/>
          <w:numId w:val="17"/>
        </w:numPr>
        <w:kinsoku/>
        <w:overflowPunct/>
        <w:topLinePunct w:val="0"/>
        <w:bidi w:val="0"/>
        <w:spacing w:line="360" w:lineRule="auto"/>
        <w:ind w:firstLine="420" w:firstLineChars="200"/>
        <w:jc w:val="left"/>
        <w:rPr>
          <w:rFonts w:hint="eastAsia" w:ascii="Times New Roman" w:hAnsi="Times New Roman"/>
          <w:color w:val="000000"/>
          <w:szCs w:val="21"/>
        </w:rPr>
      </w:pPr>
      <w:r>
        <w:rPr>
          <w:rFonts w:hint="eastAsia" w:ascii="Times New Roman" w:hAnsi="Times New Roman"/>
          <w:color w:val="000000"/>
          <w:szCs w:val="21"/>
        </w:rPr>
        <w:t>不同供应商联系人为同一人或不同联系人的联系电话一致的。</w:t>
      </w:r>
    </w:p>
    <w:p w14:paraId="2ABF7C17">
      <w:pPr>
        <w:pageBreakBefore w:val="0"/>
        <w:numPr>
          <w:ilvl w:val="0"/>
          <w:numId w:val="0"/>
        </w:numPr>
        <w:kinsoku/>
        <w:overflowPunct/>
        <w:topLinePunct w:val="0"/>
        <w:bidi w:val="0"/>
        <w:spacing w:line="360" w:lineRule="auto"/>
        <w:ind w:firstLine="420" w:firstLineChars="200"/>
        <w:jc w:val="left"/>
        <w:rPr>
          <w:rFonts w:hint="eastAsia" w:ascii="Times New Roman" w:hAnsi="Times New Roman"/>
          <w:color w:val="000000"/>
          <w:szCs w:val="21"/>
        </w:rPr>
      </w:pPr>
      <w:r>
        <w:rPr>
          <w:rFonts w:hint="eastAsia" w:ascii="Times New Roman" w:hAnsi="Times New Roman"/>
          <w:color w:val="000000"/>
          <w:szCs w:val="21"/>
        </w:rPr>
        <w:t>在资格审查过程中，发现供应商有采购文件约定的上述情形的，采购人、采购代理机构应当根据采购文件认定其投标（响应）无效；在评审过程中，发现供应商有采购文件约定的上述情形的，评审小组应当根据采购文件认定其投标（响应）无效，评审报告应详细记录相关情况。资格审查、评审结束后由采购代理机构或采购人书面报告本级财政部门。</w:t>
      </w:r>
    </w:p>
    <w:p w14:paraId="3552E87C">
      <w:pPr>
        <w:pageBreakBefore w:val="0"/>
        <w:kinsoku/>
        <w:overflowPunct/>
        <w:topLinePunct w:val="0"/>
        <w:bidi w:val="0"/>
        <w:spacing w:line="360" w:lineRule="auto"/>
        <w:ind w:firstLine="422" w:firstLineChars="200"/>
        <w:jc w:val="left"/>
        <w:rPr>
          <w:rFonts w:ascii="Times New Roman" w:hAnsi="Times New Roman"/>
          <w:b/>
          <w:bCs/>
          <w:color w:val="000000"/>
          <w:szCs w:val="21"/>
        </w:rPr>
      </w:pPr>
      <w:r>
        <w:rPr>
          <w:rFonts w:ascii="Times New Roman" w:hAnsi="Times New Roman"/>
          <w:b/>
          <w:bCs/>
          <w:color w:val="000000"/>
          <w:szCs w:val="21"/>
        </w:rPr>
        <w:t>2</w:t>
      </w:r>
      <w:r>
        <w:rPr>
          <w:rFonts w:hint="eastAsia" w:ascii="Times New Roman" w:hAnsi="Times New Roman"/>
          <w:b/>
          <w:bCs/>
          <w:color w:val="000000"/>
          <w:szCs w:val="21"/>
        </w:rPr>
        <w:t>、</w:t>
      </w:r>
      <w:r>
        <w:rPr>
          <w:rFonts w:hint="eastAsia" w:ascii="Times New Roman" w:hAnsi="Times New Roman"/>
          <w:b/>
          <w:color w:val="000000"/>
          <w:szCs w:val="21"/>
        </w:rPr>
        <w:t>在资格评审时</w:t>
      </w:r>
      <w:r>
        <w:rPr>
          <w:rFonts w:hint="eastAsia" w:ascii="Times New Roman" w:hAnsi="Times New Roman"/>
          <w:b/>
          <w:bCs/>
          <w:color w:val="000000"/>
          <w:szCs w:val="21"/>
        </w:rPr>
        <w:t>，</w:t>
      </w:r>
      <w:r>
        <w:rPr>
          <w:rFonts w:hint="eastAsia" w:ascii="Times New Roman" w:hAnsi="Times New Roman"/>
          <w:b/>
          <w:color w:val="000000"/>
          <w:szCs w:val="21"/>
        </w:rPr>
        <w:t>如发现下列情形之一的，</w:t>
      </w:r>
      <w:r>
        <w:rPr>
          <w:rFonts w:hint="eastAsia" w:ascii="Times New Roman" w:hAnsi="Times New Roman"/>
          <w:b/>
          <w:bCs/>
          <w:color w:val="000000"/>
          <w:szCs w:val="21"/>
        </w:rPr>
        <w:t>投标文件将被视为无效。</w:t>
      </w:r>
    </w:p>
    <w:p w14:paraId="70BB305D">
      <w:pPr>
        <w:pageBreakBefore w:val="0"/>
        <w:kinsoku/>
        <w:overflowPunct/>
        <w:topLinePunct w:val="0"/>
        <w:bidi w:val="0"/>
        <w:spacing w:line="360" w:lineRule="auto"/>
        <w:ind w:firstLine="420" w:firstLineChars="200"/>
        <w:jc w:val="left"/>
        <w:rPr>
          <w:rFonts w:ascii="Times New Roman" w:hAnsi="Times New Roman"/>
          <w:color w:val="000000"/>
          <w:szCs w:val="21"/>
        </w:rPr>
      </w:pPr>
      <w:r>
        <w:rPr>
          <w:rFonts w:hint="eastAsia" w:ascii="Times New Roman" w:hAnsi="Times New Roman"/>
          <w:color w:val="000000"/>
          <w:szCs w:val="21"/>
        </w:rPr>
        <w:t>（1）投标人的资质条件符合招标文件规定；</w:t>
      </w:r>
    </w:p>
    <w:p w14:paraId="406B4AD2">
      <w:pPr>
        <w:pageBreakBefore w:val="0"/>
        <w:kinsoku/>
        <w:overflowPunct/>
        <w:topLinePunct w:val="0"/>
        <w:bidi w:val="0"/>
        <w:spacing w:line="360" w:lineRule="auto"/>
        <w:ind w:firstLine="420" w:firstLineChars="200"/>
        <w:jc w:val="left"/>
        <w:rPr>
          <w:rFonts w:ascii="Times New Roman" w:hAnsi="Times New Roman"/>
          <w:color w:val="000000"/>
          <w:szCs w:val="21"/>
        </w:rPr>
      </w:pPr>
      <w:r>
        <w:rPr>
          <w:rFonts w:hint="eastAsia" w:ascii="Times New Roman" w:hAnsi="Times New Roman"/>
          <w:color w:val="000000"/>
          <w:szCs w:val="21"/>
        </w:rPr>
        <w:t>（2）投标人的资质等级符合招标文件规定；</w:t>
      </w:r>
    </w:p>
    <w:p w14:paraId="45AFA444">
      <w:pPr>
        <w:pageBreakBefore w:val="0"/>
        <w:kinsoku/>
        <w:overflowPunct/>
        <w:topLinePunct w:val="0"/>
        <w:bidi w:val="0"/>
        <w:spacing w:line="360" w:lineRule="auto"/>
        <w:ind w:firstLine="420" w:firstLineChars="200"/>
        <w:jc w:val="left"/>
        <w:rPr>
          <w:rFonts w:ascii="Times New Roman" w:hAnsi="Times New Roman"/>
          <w:color w:val="000000"/>
          <w:szCs w:val="21"/>
        </w:rPr>
      </w:pPr>
      <w:r>
        <w:rPr>
          <w:rFonts w:hint="eastAsia" w:ascii="Times New Roman" w:hAnsi="Times New Roman"/>
          <w:color w:val="000000"/>
          <w:szCs w:val="21"/>
        </w:rPr>
        <w:t>（3）投标人的项目经理资格符合招标文件规定；</w:t>
      </w:r>
    </w:p>
    <w:p w14:paraId="61CAD81B">
      <w:pPr>
        <w:pageBreakBefore w:val="0"/>
        <w:kinsoku/>
        <w:overflowPunct/>
        <w:topLinePunct w:val="0"/>
        <w:bidi w:val="0"/>
        <w:spacing w:line="360" w:lineRule="auto"/>
        <w:ind w:firstLine="422" w:firstLineChars="200"/>
        <w:jc w:val="left"/>
        <w:rPr>
          <w:rFonts w:ascii="Times New Roman" w:hAnsi="Times New Roman"/>
          <w:b/>
          <w:color w:val="000000"/>
          <w:szCs w:val="21"/>
        </w:rPr>
      </w:pPr>
      <w:r>
        <w:rPr>
          <w:rFonts w:ascii="Times New Roman" w:hAnsi="Times New Roman"/>
          <w:b/>
          <w:bCs/>
          <w:color w:val="000000"/>
          <w:szCs w:val="21"/>
        </w:rPr>
        <w:t>3</w:t>
      </w:r>
      <w:r>
        <w:rPr>
          <w:rFonts w:hint="eastAsia" w:ascii="Times New Roman" w:hAnsi="Times New Roman"/>
          <w:b/>
          <w:color w:val="000000"/>
          <w:szCs w:val="21"/>
        </w:rPr>
        <w:t>、在符合性审查和商务评审时，如发现下列情形之一的，投标文件将被视为无效：</w:t>
      </w:r>
    </w:p>
    <w:p w14:paraId="73D420A0">
      <w:pPr>
        <w:pageBreakBefore w:val="0"/>
        <w:kinsoku/>
        <w:overflowPunct/>
        <w:topLinePunct w:val="0"/>
        <w:bidi w:val="0"/>
        <w:spacing w:line="360" w:lineRule="auto"/>
        <w:ind w:firstLine="420" w:firstLineChars="200"/>
        <w:jc w:val="left"/>
        <w:rPr>
          <w:rFonts w:ascii="Times New Roman" w:hAnsi="Times New Roman"/>
          <w:color w:val="000000"/>
          <w:szCs w:val="21"/>
        </w:rPr>
      </w:pPr>
      <w:r>
        <w:rPr>
          <w:rFonts w:hint="eastAsia" w:ascii="Times New Roman" w:hAnsi="Times New Roman"/>
          <w:color w:val="000000"/>
          <w:szCs w:val="21"/>
        </w:rPr>
        <w:t>（</w:t>
      </w:r>
      <w:r>
        <w:rPr>
          <w:rFonts w:ascii="Times New Roman" w:hAnsi="Times New Roman"/>
          <w:color w:val="000000"/>
          <w:szCs w:val="21"/>
        </w:rPr>
        <w:t>1</w:t>
      </w:r>
      <w:r>
        <w:rPr>
          <w:rFonts w:hint="eastAsia" w:ascii="Times New Roman" w:hAnsi="Times New Roman"/>
          <w:color w:val="000000"/>
          <w:szCs w:val="21"/>
        </w:rPr>
        <w:t>）电子投标文件未按规定要求提供电子签章的；</w:t>
      </w:r>
    </w:p>
    <w:p w14:paraId="3BA43ABC">
      <w:pPr>
        <w:pageBreakBefore w:val="0"/>
        <w:kinsoku/>
        <w:overflowPunct/>
        <w:topLinePunct w:val="0"/>
        <w:bidi w:val="0"/>
        <w:spacing w:line="360" w:lineRule="auto"/>
        <w:ind w:firstLine="420" w:firstLineChars="200"/>
        <w:jc w:val="left"/>
        <w:rPr>
          <w:rFonts w:ascii="Times New Roman" w:hAnsi="Times New Roman"/>
          <w:b/>
          <w:color w:val="000000"/>
          <w:szCs w:val="21"/>
        </w:rPr>
      </w:pPr>
      <w:r>
        <w:rPr>
          <w:rFonts w:hint="eastAsia" w:ascii="Times New Roman" w:hAnsi="Times New Roman"/>
          <w:color w:val="000000"/>
          <w:szCs w:val="21"/>
        </w:rPr>
        <w:t>（</w:t>
      </w:r>
      <w:r>
        <w:rPr>
          <w:rFonts w:ascii="Times New Roman" w:hAnsi="Times New Roman"/>
          <w:color w:val="000000"/>
          <w:szCs w:val="21"/>
        </w:rPr>
        <w:t>2</w:t>
      </w:r>
      <w:r>
        <w:rPr>
          <w:rFonts w:hint="eastAsia" w:ascii="Times New Roman" w:hAnsi="Times New Roman"/>
          <w:color w:val="000000"/>
          <w:szCs w:val="21"/>
        </w:rPr>
        <w:t>）在资信商务技术文件中出现报价的；</w:t>
      </w:r>
    </w:p>
    <w:p w14:paraId="391DD017">
      <w:pPr>
        <w:pageBreakBefore w:val="0"/>
        <w:kinsoku/>
        <w:overflowPunct/>
        <w:topLinePunct w:val="0"/>
        <w:bidi w:val="0"/>
        <w:spacing w:line="360" w:lineRule="auto"/>
        <w:ind w:firstLine="420" w:firstLineChars="200"/>
        <w:jc w:val="left"/>
        <w:rPr>
          <w:rFonts w:ascii="Times New Roman" w:hAnsi="Times New Roman"/>
          <w:color w:val="000000"/>
          <w:szCs w:val="21"/>
        </w:rPr>
      </w:pPr>
      <w:r>
        <w:rPr>
          <w:rFonts w:hint="eastAsia" w:ascii="Times New Roman" w:hAnsi="Times New Roman"/>
          <w:color w:val="000000"/>
          <w:szCs w:val="21"/>
        </w:rPr>
        <w:t>（</w:t>
      </w:r>
      <w:r>
        <w:rPr>
          <w:rFonts w:ascii="Times New Roman" w:hAnsi="Times New Roman"/>
          <w:color w:val="000000"/>
          <w:szCs w:val="21"/>
        </w:rPr>
        <w:t>3</w:t>
      </w:r>
      <w:r>
        <w:rPr>
          <w:rFonts w:hint="eastAsia" w:ascii="Times New Roman" w:hAnsi="Times New Roman"/>
          <w:color w:val="000000"/>
          <w:szCs w:val="21"/>
        </w:rPr>
        <w:t>）资格证明文件不全的，或者不符合招标文件标明的资格要求的；</w:t>
      </w:r>
    </w:p>
    <w:p w14:paraId="322B65E1">
      <w:pPr>
        <w:pageBreakBefore w:val="0"/>
        <w:kinsoku/>
        <w:overflowPunct/>
        <w:topLinePunct w:val="0"/>
        <w:bidi w:val="0"/>
        <w:spacing w:line="360" w:lineRule="auto"/>
        <w:ind w:firstLine="420" w:firstLineChars="200"/>
        <w:jc w:val="left"/>
        <w:rPr>
          <w:rFonts w:ascii="Times New Roman" w:hAnsi="Times New Roman"/>
          <w:color w:val="000000"/>
          <w:szCs w:val="21"/>
        </w:rPr>
      </w:pPr>
      <w:r>
        <w:rPr>
          <w:rFonts w:hint="eastAsia" w:ascii="Times New Roman" w:hAnsi="Times New Roman"/>
          <w:color w:val="000000"/>
          <w:szCs w:val="21"/>
        </w:rPr>
        <w:t>（</w:t>
      </w:r>
      <w:r>
        <w:rPr>
          <w:rFonts w:ascii="Times New Roman" w:hAnsi="Times New Roman"/>
          <w:color w:val="000000"/>
          <w:szCs w:val="21"/>
        </w:rPr>
        <w:t>4</w:t>
      </w:r>
      <w:r>
        <w:rPr>
          <w:rFonts w:hint="eastAsia" w:ascii="Times New Roman" w:hAnsi="Times New Roman"/>
          <w:color w:val="000000"/>
          <w:szCs w:val="21"/>
        </w:rPr>
        <w:t>）投标文件无法定代表人签字（或盖章）</w:t>
      </w:r>
      <w:r>
        <w:rPr>
          <w:rFonts w:ascii="Times New Roman" w:hAnsi="Times New Roman"/>
          <w:color w:val="000000"/>
          <w:szCs w:val="21"/>
        </w:rPr>
        <w:t>,</w:t>
      </w:r>
      <w:r>
        <w:rPr>
          <w:rFonts w:hint="eastAsia" w:ascii="Times New Roman" w:hAnsi="Times New Roman"/>
          <w:color w:val="000000"/>
          <w:szCs w:val="21"/>
        </w:rPr>
        <w:t>或未提供法定代表人授权委托书、投标声明书或者填写项目不齐全的；</w:t>
      </w:r>
    </w:p>
    <w:p w14:paraId="5CCEEE8E">
      <w:pPr>
        <w:pageBreakBefore w:val="0"/>
        <w:kinsoku/>
        <w:overflowPunct/>
        <w:topLinePunct w:val="0"/>
        <w:bidi w:val="0"/>
        <w:spacing w:line="360" w:lineRule="auto"/>
        <w:ind w:firstLine="420" w:firstLineChars="200"/>
        <w:jc w:val="left"/>
        <w:rPr>
          <w:rFonts w:ascii="Times New Roman" w:hAnsi="Times New Roman"/>
          <w:color w:val="000000"/>
          <w:szCs w:val="21"/>
        </w:rPr>
      </w:pPr>
      <w:r>
        <w:rPr>
          <w:rFonts w:hint="eastAsia" w:ascii="Times New Roman" w:hAnsi="Times New Roman"/>
          <w:color w:val="000000"/>
          <w:szCs w:val="21"/>
        </w:rPr>
        <w:t>（</w:t>
      </w:r>
      <w:r>
        <w:rPr>
          <w:rFonts w:ascii="Times New Roman" w:hAnsi="Times New Roman"/>
          <w:color w:val="000000"/>
          <w:szCs w:val="21"/>
        </w:rPr>
        <w:t>5</w:t>
      </w:r>
      <w:r>
        <w:rPr>
          <w:rFonts w:hint="eastAsia" w:ascii="Times New Roman" w:hAnsi="Times New Roman"/>
          <w:color w:val="000000"/>
          <w:szCs w:val="21"/>
        </w:rPr>
        <w:t>）投标代表人未能出具身份证明或与法定代表人授权委托人身份不符的；</w:t>
      </w:r>
      <w:r>
        <w:rPr>
          <w:rFonts w:ascii="Times New Roman" w:hAnsi="Times New Roman"/>
          <w:color w:val="000000"/>
          <w:szCs w:val="21"/>
        </w:rPr>
        <w:t xml:space="preserve"> </w:t>
      </w:r>
    </w:p>
    <w:p w14:paraId="216E904E">
      <w:pPr>
        <w:pageBreakBefore w:val="0"/>
        <w:kinsoku/>
        <w:overflowPunct/>
        <w:topLinePunct w:val="0"/>
        <w:bidi w:val="0"/>
        <w:spacing w:line="360" w:lineRule="auto"/>
        <w:ind w:firstLine="420" w:firstLineChars="200"/>
        <w:jc w:val="left"/>
        <w:rPr>
          <w:rFonts w:ascii="Times New Roman" w:hAnsi="Times New Roman"/>
          <w:color w:val="000000"/>
          <w:szCs w:val="21"/>
        </w:rPr>
      </w:pPr>
      <w:r>
        <w:rPr>
          <w:rFonts w:hint="eastAsia" w:ascii="Times New Roman" w:hAnsi="Times New Roman"/>
          <w:color w:val="000000"/>
          <w:szCs w:val="21"/>
        </w:rPr>
        <w:t>（</w:t>
      </w:r>
      <w:r>
        <w:rPr>
          <w:rFonts w:ascii="Times New Roman" w:hAnsi="Times New Roman"/>
          <w:color w:val="000000"/>
          <w:szCs w:val="21"/>
        </w:rPr>
        <w:t>6</w:t>
      </w:r>
      <w:r>
        <w:rPr>
          <w:rFonts w:hint="eastAsia" w:ascii="Times New Roman" w:hAnsi="Times New Roman"/>
          <w:color w:val="000000"/>
          <w:szCs w:val="21"/>
        </w:rPr>
        <w:t>）投标文件格式不规范、项目不齐全或者内容虚假的；</w:t>
      </w:r>
    </w:p>
    <w:p w14:paraId="29014A00">
      <w:pPr>
        <w:pageBreakBefore w:val="0"/>
        <w:kinsoku/>
        <w:overflowPunct/>
        <w:topLinePunct w:val="0"/>
        <w:bidi w:val="0"/>
        <w:spacing w:line="360" w:lineRule="auto"/>
        <w:ind w:firstLine="420" w:firstLineChars="200"/>
        <w:jc w:val="left"/>
        <w:rPr>
          <w:rFonts w:ascii="Times New Roman" w:hAnsi="Times New Roman"/>
          <w:color w:val="000000"/>
          <w:szCs w:val="21"/>
        </w:rPr>
      </w:pPr>
      <w:r>
        <w:rPr>
          <w:rFonts w:hint="eastAsia" w:ascii="Times New Roman" w:hAnsi="Times New Roman"/>
          <w:color w:val="000000"/>
          <w:szCs w:val="21"/>
        </w:rPr>
        <w:t>（</w:t>
      </w:r>
      <w:r>
        <w:rPr>
          <w:rFonts w:ascii="Times New Roman" w:hAnsi="Times New Roman"/>
          <w:color w:val="000000"/>
          <w:szCs w:val="21"/>
        </w:rPr>
        <w:t>7</w:t>
      </w:r>
      <w:r>
        <w:rPr>
          <w:rFonts w:hint="eastAsia" w:ascii="Times New Roman" w:hAnsi="Times New Roman"/>
          <w:color w:val="000000"/>
          <w:szCs w:val="21"/>
        </w:rPr>
        <w:t>）投标文件的实质性内容未使用中文表述、意思表述不明确、前后矛盾或者使用计量单位不符合招标文件要求的（经评标委员会认定并允许其当场更正的笔误除外）</w:t>
      </w:r>
    </w:p>
    <w:p w14:paraId="3124BC55">
      <w:pPr>
        <w:pageBreakBefore w:val="0"/>
        <w:kinsoku/>
        <w:overflowPunct/>
        <w:topLinePunct w:val="0"/>
        <w:bidi w:val="0"/>
        <w:spacing w:line="360" w:lineRule="auto"/>
        <w:ind w:firstLine="420" w:firstLineChars="200"/>
        <w:jc w:val="left"/>
        <w:rPr>
          <w:rFonts w:ascii="Times New Roman" w:hAnsi="Times New Roman"/>
          <w:color w:val="000000"/>
          <w:szCs w:val="21"/>
        </w:rPr>
      </w:pPr>
      <w:r>
        <w:rPr>
          <w:rFonts w:hint="eastAsia" w:ascii="Times New Roman" w:hAnsi="Times New Roman"/>
          <w:color w:val="000000"/>
          <w:szCs w:val="21"/>
        </w:rPr>
        <w:t>（</w:t>
      </w:r>
      <w:r>
        <w:rPr>
          <w:rFonts w:ascii="Times New Roman" w:hAnsi="Times New Roman"/>
          <w:color w:val="000000"/>
          <w:szCs w:val="21"/>
        </w:rPr>
        <w:t>8</w:t>
      </w:r>
      <w:r>
        <w:rPr>
          <w:rFonts w:hint="eastAsia" w:ascii="Times New Roman" w:hAnsi="Times New Roman"/>
          <w:color w:val="000000"/>
          <w:szCs w:val="21"/>
        </w:rPr>
        <w:t>）投标有效期、服务期等商务条款不能满足招标文件要求的；</w:t>
      </w:r>
    </w:p>
    <w:p w14:paraId="390B218C">
      <w:pPr>
        <w:pageBreakBefore w:val="0"/>
        <w:kinsoku/>
        <w:overflowPunct/>
        <w:topLinePunct w:val="0"/>
        <w:bidi w:val="0"/>
        <w:spacing w:line="360" w:lineRule="auto"/>
        <w:ind w:firstLine="420" w:firstLineChars="200"/>
        <w:jc w:val="left"/>
        <w:rPr>
          <w:rFonts w:ascii="Times New Roman" w:hAnsi="Times New Roman"/>
          <w:color w:val="000000"/>
          <w:szCs w:val="21"/>
        </w:rPr>
      </w:pPr>
      <w:r>
        <w:rPr>
          <w:rFonts w:hint="eastAsia" w:ascii="Times New Roman" w:hAnsi="Times New Roman"/>
          <w:color w:val="000000"/>
          <w:szCs w:val="21"/>
        </w:rPr>
        <w:t>（</w:t>
      </w:r>
      <w:r>
        <w:rPr>
          <w:rFonts w:ascii="Times New Roman" w:hAnsi="Times New Roman"/>
          <w:color w:val="000000"/>
          <w:szCs w:val="21"/>
        </w:rPr>
        <w:t>9</w:t>
      </w:r>
      <w:r>
        <w:rPr>
          <w:rFonts w:hint="eastAsia" w:ascii="Times New Roman" w:hAnsi="Times New Roman"/>
          <w:color w:val="000000"/>
          <w:szCs w:val="21"/>
        </w:rPr>
        <w:t>）未实质性响应</w:t>
      </w:r>
      <w:r>
        <w:rPr>
          <w:rFonts w:hint="eastAsia" w:ascii="Times New Roman" w:hAnsi="Times New Roman"/>
          <w:color w:val="000000"/>
          <w:szCs w:val="21"/>
          <w:lang w:val="en-US" w:eastAsia="zh-CN"/>
        </w:rPr>
        <w:t>采购</w:t>
      </w:r>
      <w:r>
        <w:rPr>
          <w:rFonts w:hint="eastAsia" w:ascii="Times New Roman" w:hAnsi="Times New Roman"/>
          <w:color w:val="000000"/>
          <w:szCs w:val="21"/>
        </w:rPr>
        <w:t>文件要求或者投标文件有采购方不能接受的附加条件的；</w:t>
      </w:r>
    </w:p>
    <w:p w14:paraId="512E718B">
      <w:pPr>
        <w:pageBreakBefore w:val="0"/>
        <w:kinsoku/>
        <w:overflowPunct/>
        <w:topLinePunct w:val="0"/>
        <w:bidi w:val="0"/>
        <w:spacing w:line="360" w:lineRule="auto"/>
        <w:ind w:firstLine="422" w:firstLineChars="200"/>
        <w:jc w:val="left"/>
        <w:rPr>
          <w:rFonts w:ascii="Times New Roman" w:hAnsi="Times New Roman"/>
          <w:b/>
          <w:color w:val="000000"/>
          <w:szCs w:val="21"/>
        </w:rPr>
      </w:pPr>
      <w:r>
        <w:rPr>
          <w:rFonts w:ascii="Times New Roman" w:hAnsi="Times New Roman"/>
          <w:b/>
          <w:color w:val="000000"/>
          <w:szCs w:val="21"/>
        </w:rPr>
        <w:t>4</w:t>
      </w:r>
      <w:r>
        <w:rPr>
          <w:rFonts w:hint="eastAsia" w:ascii="Times New Roman" w:hAnsi="Times New Roman"/>
          <w:b/>
          <w:color w:val="000000"/>
          <w:szCs w:val="21"/>
        </w:rPr>
        <w:t>、在技术评审时，如发现下列情形之一的，投标文件将被视为无效：</w:t>
      </w:r>
    </w:p>
    <w:p w14:paraId="492D483C">
      <w:pPr>
        <w:pageBreakBefore w:val="0"/>
        <w:kinsoku/>
        <w:overflowPunct/>
        <w:topLinePunct w:val="0"/>
        <w:bidi w:val="0"/>
        <w:spacing w:line="360" w:lineRule="auto"/>
        <w:ind w:firstLine="420" w:firstLineChars="200"/>
        <w:jc w:val="left"/>
        <w:rPr>
          <w:rFonts w:hint="eastAsia" w:ascii="Times New Roman" w:hAnsi="Times New Roman"/>
          <w:color w:val="000000"/>
          <w:szCs w:val="21"/>
        </w:rPr>
      </w:pPr>
      <w:r>
        <w:rPr>
          <w:rFonts w:hint="eastAsia" w:ascii="Times New Roman" w:hAnsi="Times New Roman"/>
          <w:color w:val="000000"/>
          <w:szCs w:val="21"/>
        </w:rPr>
        <w:t>（1）投标文件标明的响应或偏离与事实不符或虚假投标的；</w:t>
      </w:r>
    </w:p>
    <w:p w14:paraId="0F07BEB7">
      <w:pPr>
        <w:pageBreakBefore w:val="0"/>
        <w:kinsoku/>
        <w:overflowPunct/>
        <w:topLinePunct w:val="0"/>
        <w:bidi w:val="0"/>
        <w:spacing w:line="360" w:lineRule="auto"/>
        <w:ind w:firstLine="420" w:firstLineChars="200"/>
        <w:jc w:val="left"/>
        <w:rPr>
          <w:rFonts w:hint="eastAsia" w:ascii="Times New Roman" w:hAnsi="Times New Roman"/>
          <w:color w:val="000000"/>
          <w:szCs w:val="21"/>
        </w:rPr>
      </w:pPr>
      <w:r>
        <w:rPr>
          <w:rFonts w:hint="eastAsia" w:ascii="Times New Roman" w:hAnsi="Times New Roman"/>
          <w:color w:val="000000"/>
          <w:szCs w:val="21"/>
        </w:rPr>
        <w:t>（2）明显不符合招标文件技术要求，或者与招标文件中标“▲”的条款发生实质性偏离的；</w:t>
      </w:r>
    </w:p>
    <w:p w14:paraId="17CD5C93">
      <w:pPr>
        <w:pageBreakBefore w:val="0"/>
        <w:kinsoku/>
        <w:overflowPunct/>
        <w:topLinePunct w:val="0"/>
        <w:bidi w:val="0"/>
        <w:spacing w:line="360" w:lineRule="auto"/>
        <w:ind w:firstLine="420" w:firstLineChars="200"/>
        <w:jc w:val="left"/>
        <w:rPr>
          <w:rFonts w:hint="eastAsia" w:ascii="Times New Roman" w:hAnsi="Times New Roman"/>
          <w:color w:val="000000"/>
          <w:szCs w:val="21"/>
        </w:rPr>
      </w:pPr>
      <w:r>
        <w:rPr>
          <w:rFonts w:hint="eastAsia" w:ascii="Times New Roman" w:hAnsi="Times New Roman"/>
          <w:color w:val="000000"/>
          <w:szCs w:val="21"/>
        </w:rPr>
        <w:t>（3）投标技术方案不明确，存在一个或一个以上备选（替代）投标方案的。</w:t>
      </w:r>
    </w:p>
    <w:p w14:paraId="0B600335">
      <w:pPr>
        <w:pageBreakBefore w:val="0"/>
        <w:kinsoku/>
        <w:overflowPunct/>
        <w:topLinePunct w:val="0"/>
        <w:bidi w:val="0"/>
        <w:spacing w:line="360" w:lineRule="auto"/>
        <w:ind w:firstLine="420" w:firstLineChars="200"/>
        <w:jc w:val="left"/>
        <w:rPr>
          <w:rFonts w:hint="eastAsia" w:ascii="Times New Roman" w:hAnsi="Times New Roman"/>
          <w:color w:val="000000"/>
          <w:szCs w:val="21"/>
        </w:rPr>
      </w:pPr>
      <w:r>
        <w:rPr>
          <w:rFonts w:hint="eastAsia" w:ascii="Times New Roman" w:hAnsi="Times New Roman"/>
          <w:color w:val="000000"/>
          <w:szCs w:val="21"/>
          <w:lang w:eastAsia="zh-CN"/>
        </w:rPr>
        <w:t>（</w:t>
      </w:r>
      <w:r>
        <w:rPr>
          <w:rFonts w:hint="eastAsia" w:ascii="Times New Roman" w:hAnsi="Times New Roman"/>
          <w:color w:val="000000"/>
          <w:szCs w:val="21"/>
          <w:lang w:val="en-US" w:eastAsia="zh-CN"/>
        </w:rPr>
        <w:t>4</w:t>
      </w:r>
      <w:r>
        <w:rPr>
          <w:rFonts w:hint="eastAsia" w:ascii="Times New Roman" w:hAnsi="Times New Roman"/>
          <w:color w:val="000000"/>
          <w:szCs w:val="21"/>
          <w:lang w:eastAsia="zh-CN"/>
        </w:rPr>
        <w:t>）</w:t>
      </w:r>
      <w:r>
        <w:rPr>
          <w:rFonts w:hint="eastAsia" w:ascii="Times New Roman" w:hAnsi="Times New Roman"/>
          <w:color w:val="000000"/>
          <w:szCs w:val="21"/>
        </w:rPr>
        <w:t>未实质性响应采购文件要求；</w:t>
      </w:r>
    </w:p>
    <w:p w14:paraId="31091FC5">
      <w:pPr>
        <w:pageBreakBefore w:val="0"/>
        <w:kinsoku/>
        <w:overflowPunct/>
        <w:topLinePunct w:val="0"/>
        <w:bidi w:val="0"/>
        <w:spacing w:line="360" w:lineRule="auto"/>
        <w:ind w:firstLine="420" w:firstLineChars="200"/>
        <w:jc w:val="left"/>
        <w:rPr>
          <w:rFonts w:hint="eastAsia"/>
          <w:lang w:eastAsia="zh-CN"/>
        </w:rPr>
      </w:pPr>
      <w:r>
        <w:rPr>
          <w:rFonts w:hint="eastAsia"/>
          <w:lang w:eastAsia="zh-CN"/>
        </w:rPr>
        <w:t>（5）投标文件含有采购人不能接受的附加条件的：商务技术分达不到商务技术总分60%视为采购人不能接受的附加条件。</w:t>
      </w:r>
    </w:p>
    <w:p w14:paraId="4D275449">
      <w:pPr>
        <w:pageBreakBefore w:val="0"/>
        <w:kinsoku/>
        <w:overflowPunct/>
        <w:topLinePunct w:val="0"/>
        <w:bidi w:val="0"/>
        <w:spacing w:line="360" w:lineRule="auto"/>
        <w:ind w:firstLine="422" w:firstLineChars="200"/>
        <w:jc w:val="left"/>
        <w:rPr>
          <w:rFonts w:ascii="Times New Roman" w:hAnsi="Times New Roman"/>
          <w:b/>
          <w:color w:val="000000"/>
          <w:szCs w:val="21"/>
        </w:rPr>
      </w:pPr>
      <w:r>
        <w:rPr>
          <w:rFonts w:ascii="Times New Roman" w:hAnsi="Times New Roman"/>
          <w:b/>
          <w:color w:val="000000"/>
          <w:szCs w:val="21"/>
        </w:rPr>
        <w:t>5</w:t>
      </w:r>
      <w:r>
        <w:rPr>
          <w:rFonts w:hint="eastAsia" w:ascii="Times New Roman" w:hAnsi="Times New Roman"/>
          <w:b/>
          <w:color w:val="000000"/>
          <w:szCs w:val="21"/>
        </w:rPr>
        <w:t>、在报价评审时，如发现下列情形之一的，投标文件将被视为无效：</w:t>
      </w:r>
    </w:p>
    <w:p w14:paraId="0299486E">
      <w:pPr>
        <w:pageBreakBefore w:val="0"/>
        <w:kinsoku/>
        <w:overflowPunct/>
        <w:topLinePunct w:val="0"/>
        <w:bidi w:val="0"/>
        <w:spacing w:line="360" w:lineRule="auto"/>
        <w:ind w:firstLine="420" w:firstLineChars="200"/>
        <w:jc w:val="left"/>
        <w:rPr>
          <w:rFonts w:ascii="Times New Roman" w:hAnsi="Times New Roman"/>
          <w:color w:val="000000"/>
          <w:szCs w:val="21"/>
        </w:rPr>
      </w:pPr>
      <w:r>
        <w:rPr>
          <w:rFonts w:hint="eastAsia" w:ascii="Times New Roman" w:hAnsi="Times New Roman"/>
          <w:color w:val="000000"/>
          <w:szCs w:val="21"/>
        </w:rPr>
        <w:t>（</w:t>
      </w:r>
      <w:r>
        <w:rPr>
          <w:rFonts w:ascii="Times New Roman" w:hAnsi="Times New Roman"/>
          <w:color w:val="000000"/>
          <w:szCs w:val="21"/>
        </w:rPr>
        <w:t>1</w:t>
      </w:r>
      <w:r>
        <w:rPr>
          <w:rFonts w:hint="eastAsia" w:ascii="Times New Roman" w:hAnsi="Times New Roman"/>
          <w:color w:val="000000"/>
          <w:szCs w:val="21"/>
        </w:rPr>
        <w:t>）未采用人民币报价或者未按照招标文件标明的币种报价的；</w:t>
      </w:r>
    </w:p>
    <w:p w14:paraId="5B7BBD80">
      <w:pPr>
        <w:pageBreakBefore w:val="0"/>
        <w:kinsoku/>
        <w:overflowPunct/>
        <w:topLinePunct w:val="0"/>
        <w:bidi w:val="0"/>
        <w:spacing w:line="360" w:lineRule="auto"/>
        <w:ind w:firstLine="420" w:firstLineChars="200"/>
        <w:jc w:val="left"/>
        <w:rPr>
          <w:rFonts w:ascii="Times New Roman" w:hAnsi="Times New Roman"/>
          <w:color w:val="000000"/>
          <w:szCs w:val="21"/>
        </w:rPr>
      </w:pPr>
      <w:r>
        <w:rPr>
          <w:rFonts w:hint="eastAsia" w:ascii="Times New Roman" w:hAnsi="Times New Roman"/>
          <w:color w:val="000000"/>
          <w:szCs w:val="21"/>
        </w:rPr>
        <w:t>（</w:t>
      </w:r>
      <w:r>
        <w:rPr>
          <w:rFonts w:ascii="Times New Roman" w:hAnsi="Times New Roman"/>
          <w:color w:val="000000"/>
          <w:szCs w:val="21"/>
        </w:rPr>
        <w:t>2</w:t>
      </w:r>
      <w:r>
        <w:rPr>
          <w:rFonts w:hint="eastAsia" w:ascii="Times New Roman" w:hAnsi="Times New Roman"/>
          <w:color w:val="000000"/>
          <w:szCs w:val="21"/>
        </w:rPr>
        <w:t>）报价超出最高投标限价的；</w:t>
      </w:r>
    </w:p>
    <w:p w14:paraId="077A1A75">
      <w:pPr>
        <w:pageBreakBefore w:val="0"/>
        <w:kinsoku/>
        <w:overflowPunct/>
        <w:topLinePunct w:val="0"/>
        <w:bidi w:val="0"/>
        <w:spacing w:line="360" w:lineRule="auto"/>
        <w:ind w:firstLine="420" w:firstLineChars="200"/>
        <w:jc w:val="left"/>
        <w:rPr>
          <w:rFonts w:ascii="Times New Roman" w:hAnsi="Times New Roman"/>
          <w:color w:val="000000"/>
          <w:szCs w:val="21"/>
        </w:rPr>
      </w:pPr>
      <w:r>
        <w:rPr>
          <w:rFonts w:hint="eastAsia" w:ascii="Times New Roman" w:hAnsi="Times New Roman"/>
          <w:color w:val="000000"/>
          <w:szCs w:val="21"/>
        </w:rPr>
        <w:t>（</w:t>
      </w:r>
      <w:r>
        <w:rPr>
          <w:rFonts w:ascii="Times New Roman" w:hAnsi="Times New Roman"/>
          <w:color w:val="000000"/>
          <w:szCs w:val="21"/>
        </w:rPr>
        <w:t>3</w:t>
      </w:r>
      <w:r>
        <w:rPr>
          <w:rFonts w:hint="eastAsia" w:ascii="Times New Roman" w:hAnsi="Times New Roman"/>
          <w:color w:val="000000"/>
          <w:szCs w:val="21"/>
        </w:rPr>
        <w:t>）投标报价具有选择性，或者开标价格与投标文件承诺的优惠（折扣）价格不一致的。</w:t>
      </w:r>
      <w:r>
        <w:rPr>
          <w:rFonts w:ascii="Times New Roman" w:hAnsi="Times New Roman"/>
          <w:color w:val="000000"/>
          <w:szCs w:val="21"/>
        </w:rPr>
        <w:t xml:space="preserve"> </w:t>
      </w:r>
    </w:p>
    <w:p w14:paraId="07374301">
      <w:pPr>
        <w:pageBreakBefore w:val="0"/>
        <w:kinsoku/>
        <w:overflowPunct/>
        <w:topLinePunct w:val="0"/>
        <w:bidi w:val="0"/>
        <w:spacing w:line="360" w:lineRule="auto"/>
        <w:ind w:firstLine="420" w:firstLineChars="200"/>
        <w:jc w:val="left"/>
        <w:rPr>
          <w:rFonts w:ascii="Times New Roman" w:hAnsi="Times New Roman"/>
          <w:color w:val="000000"/>
          <w:szCs w:val="21"/>
        </w:rPr>
      </w:pPr>
      <w:r>
        <w:rPr>
          <w:rFonts w:hint="eastAsia" w:ascii="Times New Roman" w:hAnsi="Times New Roman"/>
          <w:color w:val="000000"/>
          <w:szCs w:val="21"/>
          <w:lang w:eastAsia="zh-CN"/>
        </w:rPr>
        <w:t>（</w:t>
      </w:r>
      <w:r>
        <w:rPr>
          <w:rFonts w:hint="eastAsia" w:ascii="Times New Roman" w:hAnsi="Times New Roman"/>
          <w:color w:val="000000"/>
          <w:szCs w:val="21"/>
          <w:lang w:val="en-US" w:eastAsia="zh-CN"/>
        </w:rPr>
        <w:t>4</w:t>
      </w:r>
      <w:r>
        <w:rPr>
          <w:rFonts w:hint="eastAsia" w:ascii="Times New Roman" w:hAnsi="Times New Roman"/>
          <w:color w:val="000000"/>
          <w:szCs w:val="21"/>
          <w:lang w:eastAsia="zh-CN"/>
        </w:rPr>
        <w:t>）</w:t>
      </w:r>
      <w:r>
        <w:rPr>
          <w:rFonts w:hint="eastAsia" w:ascii="Times New Roman" w:hAnsi="Times New Roman"/>
          <w:color w:val="000000"/>
          <w:szCs w:val="21"/>
        </w:rPr>
        <w:t>未实质性响应采购文件要求或者投标文件有采购方不能接受的附加条件的；</w:t>
      </w:r>
      <w:r>
        <w:rPr>
          <w:rFonts w:ascii="Times New Roman" w:hAnsi="Times New Roman"/>
          <w:color w:val="000000"/>
          <w:szCs w:val="21"/>
        </w:rPr>
        <w:t xml:space="preserve">                                                                                             </w:t>
      </w:r>
    </w:p>
    <w:p w14:paraId="07B5B110">
      <w:pPr>
        <w:pageBreakBefore w:val="0"/>
        <w:kinsoku/>
        <w:overflowPunct/>
        <w:topLinePunct w:val="0"/>
        <w:bidi w:val="0"/>
        <w:spacing w:line="360" w:lineRule="auto"/>
        <w:ind w:firstLine="422" w:firstLineChars="200"/>
        <w:jc w:val="left"/>
        <w:rPr>
          <w:rFonts w:ascii="Times New Roman" w:hAnsi="Times New Roman"/>
          <w:b/>
          <w:bCs/>
          <w:color w:val="000000"/>
          <w:szCs w:val="21"/>
        </w:rPr>
      </w:pPr>
      <w:bookmarkStart w:id="280" w:name="_Toc417992890"/>
      <w:r>
        <w:rPr>
          <w:rFonts w:ascii="Times New Roman" w:hAnsi="Times New Roman"/>
          <w:b/>
          <w:bCs/>
          <w:color w:val="000000"/>
          <w:szCs w:val="21"/>
        </w:rPr>
        <w:t>6</w:t>
      </w:r>
      <w:r>
        <w:rPr>
          <w:rFonts w:hint="eastAsia" w:ascii="Times New Roman" w:hAnsi="Times New Roman"/>
          <w:b/>
          <w:bCs/>
          <w:color w:val="000000"/>
          <w:szCs w:val="21"/>
        </w:rPr>
        <w:t>、被拒绝的投标文件为无效。</w:t>
      </w:r>
      <w:bookmarkEnd w:id="280"/>
    </w:p>
    <w:p w14:paraId="253AA8CE">
      <w:pPr>
        <w:pageBreakBefore w:val="0"/>
        <w:kinsoku/>
        <w:overflowPunct/>
        <w:topLinePunct w:val="0"/>
        <w:bidi w:val="0"/>
        <w:spacing w:line="360" w:lineRule="auto"/>
        <w:ind w:firstLine="422" w:firstLineChars="200"/>
        <w:jc w:val="left"/>
        <w:rPr>
          <w:rFonts w:ascii="Times New Roman" w:hAnsi="Times New Roman"/>
          <w:b/>
          <w:color w:val="000000"/>
          <w:szCs w:val="21"/>
        </w:rPr>
      </w:pPr>
      <w:bookmarkStart w:id="281" w:name="_Toc417992891"/>
      <w:r>
        <w:rPr>
          <w:rFonts w:hint="eastAsia" w:ascii="Times New Roman" w:hAnsi="Times New Roman"/>
          <w:b/>
          <w:color w:val="000000"/>
          <w:szCs w:val="21"/>
        </w:rPr>
        <w:t>四、开标</w:t>
      </w:r>
      <w:bookmarkEnd w:id="281"/>
    </w:p>
    <w:p w14:paraId="4BF34BAA">
      <w:pPr>
        <w:pageBreakBefore w:val="0"/>
        <w:kinsoku/>
        <w:overflowPunct/>
        <w:topLinePunct w:val="0"/>
        <w:bidi w:val="0"/>
        <w:spacing w:line="360" w:lineRule="auto"/>
        <w:ind w:firstLine="422" w:firstLineChars="200"/>
        <w:jc w:val="left"/>
        <w:rPr>
          <w:rFonts w:ascii="Times New Roman" w:hAnsi="Times New Roman"/>
          <w:bCs/>
          <w:color w:val="000000"/>
          <w:szCs w:val="21"/>
        </w:rPr>
      </w:pPr>
      <w:bookmarkStart w:id="282" w:name="_Hlk11358044"/>
      <w:r>
        <w:rPr>
          <w:rFonts w:hint="eastAsia" w:ascii="Times New Roman" w:hAnsi="Times New Roman"/>
          <w:b/>
          <w:color w:val="000000"/>
          <w:szCs w:val="21"/>
        </w:rPr>
        <w:t>（一）开标准备</w:t>
      </w:r>
    </w:p>
    <w:p w14:paraId="64953110">
      <w:pPr>
        <w:pageBreakBefore w:val="0"/>
        <w:kinsoku/>
        <w:overflowPunct/>
        <w:topLinePunct w:val="0"/>
        <w:bidi w:val="0"/>
        <w:spacing w:line="360" w:lineRule="auto"/>
        <w:ind w:firstLine="420" w:firstLineChars="200"/>
        <w:jc w:val="left"/>
        <w:rPr>
          <w:rFonts w:ascii="Times New Roman" w:hAnsi="Times New Roman"/>
          <w:bCs/>
          <w:color w:val="000000"/>
          <w:szCs w:val="21"/>
        </w:rPr>
      </w:pPr>
      <w:r>
        <w:rPr>
          <w:rFonts w:ascii="Times New Roman" w:hAnsi="Times New Roman"/>
          <w:bCs/>
          <w:color w:val="000000"/>
          <w:szCs w:val="21"/>
        </w:rPr>
        <w:t>1</w:t>
      </w:r>
      <w:r>
        <w:rPr>
          <w:rFonts w:hint="eastAsia" w:ascii="Times New Roman" w:hAnsi="Times New Roman"/>
          <w:bCs/>
          <w:color w:val="000000"/>
          <w:szCs w:val="21"/>
        </w:rPr>
        <w:t>、开标的准备工作由采购组织机构负责落实；</w:t>
      </w:r>
    </w:p>
    <w:p w14:paraId="353719E9">
      <w:pPr>
        <w:pageBreakBefore w:val="0"/>
        <w:kinsoku/>
        <w:overflowPunct/>
        <w:topLinePunct w:val="0"/>
        <w:bidi w:val="0"/>
        <w:spacing w:line="360" w:lineRule="auto"/>
        <w:ind w:firstLine="420" w:firstLineChars="200"/>
        <w:jc w:val="left"/>
        <w:rPr>
          <w:rFonts w:ascii="Times New Roman" w:hAnsi="Times New Roman"/>
          <w:bCs/>
          <w:color w:val="000000"/>
          <w:szCs w:val="21"/>
        </w:rPr>
      </w:pPr>
      <w:r>
        <w:rPr>
          <w:rFonts w:ascii="Times New Roman" w:hAnsi="Times New Roman"/>
          <w:bCs/>
          <w:color w:val="000000"/>
          <w:szCs w:val="21"/>
        </w:rPr>
        <w:t>2</w:t>
      </w:r>
      <w:r>
        <w:rPr>
          <w:rFonts w:hint="eastAsia" w:ascii="Times New Roman" w:hAnsi="Times New Roman"/>
          <w:bCs/>
          <w:color w:val="000000"/>
          <w:szCs w:val="21"/>
        </w:rPr>
        <w:t>、采购组织机构将按照招标文件规定的时间通过“政府采购云平台”组织开标、开启投标文件，所有供应商均应当准时在线参加。投标供应商如不参加开标大会的，视同认可开标结果，事后不得对采购相关人员、开标过程和开标结果提出异议，同时投标供应商因未在线参加开标而导致投标文件无法按时解密等一切后果由供应商自己承担。</w:t>
      </w:r>
    </w:p>
    <w:p w14:paraId="50B953C1">
      <w:pPr>
        <w:pageBreakBefore w:val="0"/>
        <w:kinsoku/>
        <w:overflowPunct/>
        <w:topLinePunct w:val="0"/>
        <w:bidi w:val="0"/>
        <w:spacing w:line="360" w:lineRule="auto"/>
        <w:ind w:firstLine="422" w:firstLineChars="200"/>
        <w:jc w:val="left"/>
        <w:rPr>
          <w:rFonts w:ascii="Times New Roman" w:hAnsi="Times New Roman"/>
          <w:b/>
          <w:color w:val="000000"/>
          <w:szCs w:val="21"/>
        </w:rPr>
      </w:pPr>
      <w:r>
        <w:rPr>
          <w:rFonts w:hint="eastAsia" w:ascii="Times New Roman" w:hAnsi="Times New Roman"/>
          <w:b/>
          <w:color w:val="000000"/>
          <w:szCs w:val="21"/>
        </w:rPr>
        <w:t>（二）开标流程（两阶段）</w:t>
      </w:r>
    </w:p>
    <w:p w14:paraId="359AA21E">
      <w:pPr>
        <w:pageBreakBefore w:val="0"/>
        <w:kinsoku/>
        <w:overflowPunct/>
        <w:topLinePunct w:val="0"/>
        <w:bidi w:val="0"/>
        <w:spacing w:line="360" w:lineRule="auto"/>
        <w:ind w:firstLine="422" w:firstLineChars="200"/>
        <w:jc w:val="left"/>
        <w:rPr>
          <w:rFonts w:ascii="Times New Roman" w:hAnsi="Times New Roman"/>
          <w:b/>
          <w:color w:val="000000"/>
          <w:szCs w:val="21"/>
        </w:rPr>
      </w:pPr>
      <w:r>
        <w:rPr>
          <w:rFonts w:ascii="Times New Roman" w:hAnsi="Times New Roman"/>
          <w:b/>
          <w:color w:val="000000"/>
          <w:szCs w:val="21"/>
        </w:rPr>
        <w:t>1</w:t>
      </w:r>
      <w:r>
        <w:rPr>
          <w:rFonts w:hint="eastAsia" w:ascii="Times New Roman" w:hAnsi="Times New Roman"/>
          <w:b/>
          <w:color w:val="000000"/>
          <w:szCs w:val="21"/>
        </w:rPr>
        <w:t>、开标第一阶段</w:t>
      </w:r>
    </w:p>
    <w:p w14:paraId="4E66A29D">
      <w:pPr>
        <w:pageBreakBefore w:val="0"/>
        <w:kinsoku/>
        <w:overflowPunct/>
        <w:topLinePunct w:val="0"/>
        <w:bidi w:val="0"/>
        <w:spacing w:line="360" w:lineRule="auto"/>
        <w:ind w:firstLine="420" w:firstLineChars="200"/>
        <w:jc w:val="left"/>
        <w:rPr>
          <w:rFonts w:ascii="Times New Roman" w:hAnsi="Times New Roman"/>
          <w:bCs/>
          <w:color w:val="000000"/>
          <w:szCs w:val="21"/>
        </w:rPr>
      </w:pPr>
      <w:r>
        <w:rPr>
          <w:rFonts w:hint="eastAsia" w:ascii="Times New Roman" w:hAnsi="Times New Roman"/>
          <w:bCs/>
          <w:color w:val="000000"/>
          <w:szCs w:val="21"/>
        </w:rPr>
        <w:t>（</w:t>
      </w:r>
      <w:r>
        <w:rPr>
          <w:rFonts w:ascii="Times New Roman" w:hAnsi="Times New Roman"/>
          <w:bCs/>
          <w:color w:val="000000"/>
          <w:szCs w:val="21"/>
        </w:rPr>
        <w:t>1</w:t>
      </w:r>
      <w:r>
        <w:rPr>
          <w:rFonts w:hint="eastAsia" w:ascii="Times New Roman" w:hAnsi="Times New Roman"/>
          <w:bCs/>
          <w:color w:val="000000"/>
          <w:szCs w:val="21"/>
        </w:rPr>
        <w:t>）向各投标供应商发出电子加密投标文件【开始解密】通知，由供应商按招标文件规定的时间内自行进行投标文件解密。投标供应商在规定的时间内无法完成已递交的“电子加密投标文件”解密的，如已按规定递交了备份投标文件的，将由采购组织机构按“政府采购云平台”操作规范将备份投标文件上传至“政府采购云平台”，上传成功后，“电子加密投标文件”自动失效；</w:t>
      </w:r>
    </w:p>
    <w:p w14:paraId="0023489A">
      <w:pPr>
        <w:pageBreakBefore w:val="0"/>
        <w:kinsoku/>
        <w:overflowPunct/>
        <w:topLinePunct w:val="0"/>
        <w:bidi w:val="0"/>
        <w:spacing w:line="360" w:lineRule="auto"/>
        <w:ind w:firstLine="420" w:firstLineChars="200"/>
        <w:jc w:val="left"/>
        <w:rPr>
          <w:rFonts w:ascii="Times New Roman" w:hAnsi="Times New Roman"/>
          <w:bCs/>
          <w:color w:val="000000"/>
          <w:szCs w:val="21"/>
        </w:rPr>
      </w:pPr>
      <w:r>
        <w:rPr>
          <w:rFonts w:hint="eastAsia" w:ascii="Times New Roman" w:hAnsi="Times New Roman"/>
          <w:bCs/>
          <w:color w:val="000000"/>
          <w:szCs w:val="21"/>
        </w:rPr>
        <w:t>（</w:t>
      </w:r>
      <w:r>
        <w:rPr>
          <w:rFonts w:ascii="Times New Roman" w:hAnsi="Times New Roman"/>
          <w:bCs/>
          <w:color w:val="000000"/>
          <w:szCs w:val="21"/>
        </w:rPr>
        <w:t>2</w:t>
      </w:r>
      <w:r>
        <w:rPr>
          <w:rFonts w:hint="eastAsia" w:ascii="Times New Roman" w:hAnsi="Times New Roman"/>
          <w:bCs/>
          <w:color w:val="000000"/>
          <w:szCs w:val="21"/>
        </w:rPr>
        <w:t>）投标文件解密</w:t>
      </w:r>
      <w:r>
        <w:rPr>
          <w:rFonts w:hint="eastAsia" w:ascii="Times New Roman" w:hAnsi="Times New Roman"/>
          <w:color w:val="000000"/>
          <w:szCs w:val="21"/>
        </w:rPr>
        <w:t>；</w:t>
      </w:r>
    </w:p>
    <w:p w14:paraId="6B321AC5">
      <w:pPr>
        <w:pageBreakBefore w:val="0"/>
        <w:kinsoku/>
        <w:overflowPunct/>
        <w:topLinePunct w:val="0"/>
        <w:bidi w:val="0"/>
        <w:spacing w:line="360" w:lineRule="auto"/>
        <w:ind w:firstLine="420" w:firstLineChars="200"/>
        <w:jc w:val="left"/>
        <w:rPr>
          <w:rFonts w:ascii="Times New Roman" w:hAnsi="Times New Roman"/>
          <w:bCs/>
          <w:color w:val="000000"/>
          <w:szCs w:val="21"/>
        </w:rPr>
      </w:pPr>
      <w:r>
        <w:rPr>
          <w:rFonts w:hint="eastAsia" w:ascii="Times New Roman" w:hAnsi="Times New Roman"/>
          <w:bCs/>
          <w:color w:val="000000"/>
          <w:szCs w:val="21"/>
        </w:rPr>
        <w:t>（</w:t>
      </w:r>
      <w:r>
        <w:rPr>
          <w:rFonts w:ascii="Times New Roman" w:hAnsi="Times New Roman"/>
          <w:bCs/>
          <w:color w:val="000000"/>
          <w:szCs w:val="21"/>
        </w:rPr>
        <w:t>3</w:t>
      </w:r>
      <w:r>
        <w:rPr>
          <w:rFonts w:hint="eastAsia" w:ascii="Times New Roman" w:hAnsi="Times New Roman"/>
          <w:bCs/>
          <w:color w:val="000000"/>
          <w:szCs w:val="21"/>
        </w:rPr>
        <w:t>）开启投标文件，进入资格审查；</w:t>
      </w:r>
    </w:p>
    <w:p w14:paraId="0938460B">
      <w:pPr>
        <w:pageBreakBefore w:val="0"/>
        <w:kinsoku/>
        <w:overflowPunct/>
        <w:topLinePunct w:val="0"/>
        <w:bidi w:val="0"/>
        <w:spacing w:line="360" w:lineRule="auto"/>
        <w:ind w:firstLine="420" w:firstLineChars="200"/>
        <w:jc w:val="left"/>
        <w:rPr>
          <w:rFonts w:ascii="Times New Roman" w:hAnsi="Times New Roman"/>
          <w:bCs/>
          <w:color w:val="000000"/>
          <w:szCs w:val="21"/>
        </w:rPr>
      </w:pPr>
      <w:r>
        <w:rPr>
          <w:rFonts w:hint="eastAsia" w:ascii="Times New Roman" w:hAnsi="Times New Roman"/>
          <w:bCs/>
          <w:color w:val="000000"/>
          <w:szCs w:val="21"/>
        </w:rPr>
        <w:t>（</w:t>
      </w:r>
      <w:r>
        <w:rPr>
          <w:rFonts w:ascii="Times New Roman" w:hAnsi="Times New Roman"/>
          <w:bCs/>
          <w:color w:val="000000"/>
          <w:szCs w:val="21"/>
        </w:rPr>
        <w:t>4</w:t>
      </w:r>
      <w:r>
        <w:rPr>
          <w:rFonts w:hint="eastAsia" w:ascii="Times New Roman" w:hAnsi="Times New Roman"/>
          <w:bCs/>
          <w:color w:val="000000"/>
          <w:szCs w:val="21"/>
        </w:rPr>
        <w:t>）开启资格审查通过的投标供应商的商务技术文件进入符合性审查、商务技术评审；</w:t>
      </w:r>
    </w:p>
    <w:p w14:paraId="237FA359">
      <w:pPr>
        <w:pageBreakBefore w:val="0"/>
        <w:kinsoku/>
        <w:overflowPunct/>
        <w:topLinePunct w:val="0"/>
        <w:bidi w:val="0"/>
        <w:spacing w:line="360" w:lineRule="auto"/>
        <w:ind w:firstLine="420" w:firstLineChars="200"/>
        <w:jc w:val="left"/>
        <w:rPr>
          <w:rFonts w:ascii="Times New Roman" w:hAnsi="Times New Roman"/>
          <w:bCs/>
          <w:color w:val="000000"/>
          <w:szCs w:val="21"/>
        </w:rPr>
      </w:pPr>
      <w:r>
        <w:rPr>
          <w:rFonts w:hint="eastAsia" w:ascii="Times New Roman" w:hAnsi="Times New Roman"/>
          <w:bCs/>
          <w:color w:val="000000"/>
          <w:szCs w:val="21"/>
        </w:rPr>
        <w:t>（</w:t>
      </w:r>
      <w:r>
        <w:rPr>
          <w:rFonts w:ascii="Times New Roman" w:hAnsi="Times New Roman"/>
          <w:bCs/>
          <w:color w:val="000000"/>
          <w:szCs w:val="21"/>
        </w:rPr>
        <w:t>5</w:t>
      </w:r>
      <w:r>
        <w:rPr>
          <w:rFonts w:hint="eastAsia" w:ascii="Times New Roman" w:hAnsi="Times New Roman"/>
          <w:bCs/>
          <w:color w:val="000000"/>
          <w:szCs w:val="21"/>
        </w:rPr>
        <w:t>）第一阶段开标结束。</w:t>
      </w:r>
    </w:p>
    <w:p w14:paraId="28BC8206">
      <w:pPr>
        <w:pageBreakBefore w:val="0"/>
        <w:kinsoku/>
        <w:overflowPunct/>
        <w:topLinePunct w:val="0"/>
        <w:bidi w:val="0"/>
        <w:spacing w:line="360" w:lineRule="auto"/>
        <w:ind w:firstLine="420" w:firstLineChars="200"/>
        <w:jc w:val="left"/>
        <w:rPr>
          <w:rFonts w:ascii="Times New Roman" w:hAnsi="Times New Roman"/>
          <w:bCs/>
          <w:color w:val="000000"/>
          <w:szCs w:val="21"/>
        </w:rPr>
      </w:pPr>
      <w:r>
        <w:rPr>
          <w:rFonts w:hint="eastAsia" w:ascii="Times New Roman" w:hAnsi="Times New Roman"/>
          <w:bCs/>
          <w:color w:val="000000"/>
          <w:szCs w:val="21"/>
        </w:rPr>
        <w:t>备注：开标大会的第一阶段结束后，评标委员会将依法对投标供应商的资格进行审查，资格审查结束后进入符合性审查和商务技术的评审工作。</w:t>
      </w:r>
    </w:p>
    <w:p w14:paraId="68213E4D">
      <w:pPr>
        <w:pageBreakBefore w:val="0"/>
        <w:kinsoku/>
        <w:overflowPunct/>
        <w:topLinePunct w:val="0"/>
        <w:bidi w:val="0"/>
        <w:spacing w:line="360" w:lineRule="auto"/>
        <w:ind w:firstLine="422" w:firstLineChars="200"/>
        <w:jc w:val="left"/>
        <w:rPr>
          <w:rFonts w:ascii="Times New Roman" w:hAnsi="Times New Roman"/>
          <w:b/>
          <w:color w:val="000000"/>
          <w:szCs w:val="21"/>
        </w:rPr>
      </w:pPr>
      <w:r>
        <w:rPr>
          <w:rFonts w:ascii="Times New Roman" w:hAnsi="Times New Roman"/>
          <w:b/>
          <w:color w:val="000000"/>
          <w:szCs w:val="21"/>
        </w:rPr>
        <w:t>2</w:t>
      </w:r>
      <w:r>
        <w:rPr>
          <w:rFonts w:hint="eastAsia" w:ascii="Times New Roman" w:hAnsi="Times New Roman"/>
          <w:b/>
          <w:color w:val="000000"/>
          <w:szCs w:val="21"/>
        </w:rPr>
        <w:t>、开标大会第二阶段</w:t>
      </w:r>
    </w:p>
    <w:p w14:paraId="0F4322CE">
      <w:pPr>
        <w:pageBreakBefore w:val="0"/>
        <w:kinsoku/>
        <w:overflowPunct/>
        <w:topLinePunct w:val="0"/>
        <w:bidi w:val="0"/>
        <w:spacing w:line="360" w:lineRule="auto"/>
        <w:ind w:firstLine="420" w:firstLineChars="200"/>
        <w:jc w:val="left"/>
        <w:rPr>
          <w:rFonts w:ascii="Times New Roman" w:hAnsi="Times New Roman"/>
          <w:bCs/>
          <w:color w:val="000000"/>
          <w:szCs w:val="21"/>
        </w:rPr>
      </w:pPr>
      <w:r>
        <w:rPr>
          <w:rFonts w:hint="eastAsia" w:ascii="Times New Roman" w:hAnsi="Times New Roman"/>
          <w:bCs/>
          <w:color w:val="000000"/>
          <w:szCs w:val="21"/>
        </w:rPr>
        <w:t>（</w:t>
      </w:r>
      <w:r>
        <w:rPr>
          <w:rFonts w:ascii="Times New Roman" w:hAnsi="Times New Roman"/>
          <w:bCs/>
          <w:color w:val="000000"/>
          <w:szCs w:val="21"/>
        </w:rPr>
        <w:t>1</w:t>
      </w:r>
      <w:r>
        <w:rPr>
          <w:rFonts w:hint="eastAsia" w:ascii="Times New Roman" w:hAnsi="Times New Roman"/>
          <w:bCs/>
          <w:color w:val="000000"/>
          <w:szCs w:val="21"/>
        </w:rPr>
        <w:t>）符合性审查、商务技术评审结束后，举行开标大会第二阶段会议。首先公布符合性审查、商务技术评审无效供应商名称及理由；公布经商务技术评审后有效投标供应商的名单，同时公布其商务技术部分得分情况。</w:t>
      </w:r>
    </w:p>
    <w:p w14:paraId="152A73D2">
      <w:pPr>
        <w:pageBreakBefore w:val="0"/>
        <w:kinsoku/>
        <w:overflowPunct/>
        <w:topLinePunct w:val="0"/>
        <w:bidi w:val="0"/>
        <w:spacing w:line="360" w:lineRule="auto"/>
        <w:ind w:firstLine="420" w:firstLineChars="200"/>
        <w:jc w:val="left"/>
        <w:rPr>
          <w:rFonts w:ascii="Times New Roman" w:hAnsi="Times New Roman"/>
          <w:bCs/>
          <w:color w:val="000000"/>
          <w:szCs w:val="21"/>
        </w:rPr>
      </w:pPr>
      <w:r>
        <w:rPr>
          <w:rFonts w:hint="eastAsia" w:ascii="Times New Roman" w:hAnsi="Times New Roman"/>
          <w:bCs/>
          <w:color w:val="000000"/>
          <w:szCs w:val="21"/>
        </w:rPr>
        <w:t>（</w:t>
      </w:r>
      <w:r>
        <w:rPr>
          <w:rFonts w:ascii="Times New Roman" w:hAnsi="Times New Roman"/>
          <w:bCs/>
          <w:color w:val="000000"/>
          <w:szCs w:val="21"/>
        </w:rPr>
        <w:t>2</w:t>
      </w:r>
      <w:r>
        <w:rPr>
          <w:rFonts w:hint="eastAsia" w:ascii="Times New Roman" w:hAnsi="Times New Roman"/>
          <w:bCs/>
          <w:color w:val="000000"/>
          <w:szCs w:val="21"/>
        </w:rPr>
        <w:t>）开启符合性审查、商务技术评审有效投标供应商的《报价文件》，公布开标一览表有关内容。唱标结束后，由评标委员会对报价的合理性、准确性等进行审查核实。</w:t>
      </w:r>
    </w:p>
    <w:p w14:paraId="3D75BAEC">
      <w:pPr>
        <w:pageBreakBefore w:val="0"/>
        <w:kinsoku/>
        <w:overflowPunct/>
        <w:topLinePunct w:val="0"/>
        <w:bidi w:val="0"/>
        <w:spacing w:line="360" w:lineRule="auto"/>
        <w:ind w:firstLine="420" w:firstLineChars="200"/>
        <w:jc w:val="left"/>
        <w:rPr>
          <w:rFonts w:ascii="Times New Roman" w:hAnsi="Times New Roman"/>
          <w:bCs/>
          <w:color w:val="000000"/>
          <w:szCs w:val="21"/>
        </w:rPr>
      </w:pPr>
      <w:r>
        <w:rPr>
          <w:rFonts w:hint="eastAsia" w:ascii="Times New Roman" w:hAnsi="Times New Roman"/>
          <w:bCs/>
          <w:color w:val="000000"/>
          <w:szCs w:val="21"/>
        </w:rPr>
        <w:t>（</w:t>
      </w:r>
      <w:r>
        <w:rPr>
          <w:rFonts w:ascii="Times New Roman" w:hAnsi="Times New Roman"/>
          <w:bCs/>
          <w:color w:val="000000"/>
          <w:szCs w:val="21"/>
        </w:rPr>
        <w:t>3</w:t>
      </w:r>
      <w:r>
        <w:rPr>
          <w:rFonts w:hint="eastAsia" w:ascii="Times New Roman" w:hAnsi="Times New Roman"/>
          <w:bCs/>
          <w:color w:val="000000"/>
          <w:szCs w:val="21"/>
        </w:rPr>
        <w:t>）评审结束后，公布中标（成交）候选供应商名单。</w:t>
      </w:r>
    </w:p>
    <w:p w14:paraId="2C21015B">
      <w:pPr>
        <w:pageBreakBefore w:val="0"/>
        <w:kinsoku/>
        <w:overflowPunct/>
        <w:topLinePunct w:val="0"/>
        <w:bidi w:val="0"/>
        <w:spacing w:line="360" w:lineRule="auto"/>
        <w:ind w:firstLine="420" w:firstLineChars="200"/>
        <w:jc w:val="left"/>
        <w:rPr>
          <w:rFonts w:ascii="Times New Roman" w:hAnsi="Times New Roman"/>
          <w:bCs/>
          <w:color w:val="000000"/>
          <w:szCs w:val="21"/>
        </w:rPr>
      </w:pPr>
      <w:r>
        <w:rPr>
          <w:rFonts w:hint="eastAsia" w:ascii="Times New Roman" w:hAnsi="Times New Roman"/>
          <w:bCs/>
          <w:color w:val="000000"/>
          <w:szCs w:val="21"/>
        </w:rPr>
        <w:t>特别说明：如遇“政府采购云平台”电子化开标或评审程序调整的，按调整后程序执行。</w:t>
      </w:r>
    </w:p>
    <w:p w14:paraId="740825D3">
      <w:pPr>
        <w:pageBreakBefore w:val="0"/>
        <w:kinsoku/>
        <w:overflowPunct/>
        <w:topLinePunct w:val="0"/>
        <w:bidi w:val="0"/>
        <w:spacing w:line="360" w:lineRule="auto"/>
        <w:ind w:firstLine="422" w:firstLineChars="200"/>
        <w:jc w:val="left"/>
        <w:rPr>
          <w:rFonts w:ascii="Times New Roman" w:hAnsi="Times New Roman"/>
          <w:b/>
          <w:color w:val="000000"/>
          <w:szCs w:val="21"/>
        </w:rPr>
      </w:pPr>
      <w:r>
        <w:rPr>
          <w:rFonts w:hint="eastAsia" w:ascii="Times New Roman" w:hAnsi="Times New Roman"/>
          <w:b/>
          <w:color w:val="000000"/>
          <w:szCs w:val="21"/>
        </w:rPr>
        <w:t>（三）投标供应商资格审查</w:t>
      </w:r>
    </w:p>
    <w:p w14:paraId="09F21FD5">
      <w:pPr>
        <w:pageBreakBefore w:val="0"/>
        <w:kinsoku/>
        <w:overflowPunct/>
        <w:topLinePunct w:val="0"/>
        <w:bidi w:val="0"/>
        <w:spacing w:line="360" w:lineRule="auto"/>
        <w:ind w:firstLine="420" w:firstLineChars="200"/>
        <w:jc w:val="left"/>
        <w:rPr>
          <w:rFonts w:ascii="Times New Roman" w:hAnsi="Times New Roman"/>
          <w:bCs/>
          <w:color w:val="000000"/>
          <w:szCs w:val="21"/>
        </w:rPr>
      </w:pPr>
      <w:r>
        <w:rPr>
          <w:rFonts w:ascii="Times New Roman" w:hAnsi="Times New Roman"/>
          <w:bCs/>
          <w:color w:val="000000"/>
          <w:szCs w:val="21"/>
        </w:rPr>
        <w:t>1</w:t>
      </w:r>
      <w:r>
        <w:rPr>
          <w:rFonts w:hint="eastAsia" w:ascii="Times New Roman" w:hAnsi="Times New Roman"/>
          <w:bCs/>
          <w:color w:val="000000"/>
          <w:szCs w:val="21"/>
        </w:rPr>
        <w:t>、开标大会第一阶段结束后，评标委员会首先依法对各投标供应商的资格进行审查，审查各投标供应商的资格是否满足招标文件的要求。评标委员会对投标供应商所提交的资格证明材料仅负审核的责任。如发现投标供应商所提交的资格证明材料不合法或与事实不符，采购人可取消其中标资格并追究投标供应商的法律责任。</w:t>
      </w:r>
    </w:p>
    <w:p w14:paraId="6B67B07C">
      <w:pPr>
        <w:pageBreakBefore w:val="0"/>
        <w:kinsoku/>
        <w:overflowPunct/>
        <w:topLinePunct w:val="0"/>
        <w:bidi w:val="0"/>
        <w:spacing w:line="360" w:lineRule="auto"/>
        <w:ind w:firstLine="420" w:firstLineChars="200"/>
        <w:jc w:val="left"/>
        <w:rPr>
          <w:rFonts w:ascii="Times New Roman" w:hAnsi="Times New Roman"/>
          <w:bCs/>
          <w:color w:val="000000"/>
          <w:szCs w:val="21"/>
        </w:rPr>
      </w:pPr>
      <w:r>
        <w:rPr>
          <w:rFonts w:ascii="Times New Roman" w:hAnsi="Times New Roman"/>
          <w:bCs/>
          <w:color w:val="000000"/>
          <w:szCs w:val="21"/>
        </w:rPr>
        <w:t>2</w:t>
      </w:r>
      <w:r>
        <w:rPr>
          <w:rFonts w:hint="eastAsia" w:ascii="Times New Roman" w:hAnsi="Times New Roman"/>
          <w:bCs/>
          <w:color w:val="000000"/>
          <w:szCs w:val="21"/>
        </w:rPr>
        <w:t>、投标供应商提交的资格证明材料无法证明其符合招标文件规定的“合格的投标人资格要求”的，评标委员会将对其作资格审查不通过处理（无效投标），并不再将其投标提交评标委员会进行后续评审。</w:t>
      </w:r>
    </w:p>
    <w:p w14:paraId="73D07546">
      <w:pPr>
        <w:pageBreakBefore w:val="0"/>
        <w:kinsoku/>
        <w:overflowPunct/>
        <w:topLinePunct w:val="0"/>
        <w:bidi w:val="0"/>
        <w:spacing w:line="360" w:lineRule="auto"/>
        <w:ind w:firstLine="422" w:firstLineChars="200"/>
        <w:jc w:val="left"/>
        <w:rPr>
          <w:rFonts w:ascii="Times New Roman" w:hAnsi="Times New Roman"/>
          <w:b/>
          <w:bCs/>
          <w:color w:val="000000"/>
          <w:szCs w:val="21"/>
        </w:rPr>
      </w:pPr>
      <w:r>
        <w:rPr>
          <w:rFonts w:ascii="Times New Roman" w:hAnsi="Times New Roman"/>
          <w:b/>
          <w:bCs/>
          <w:color w:val="000000"/>
          <w:szCs w:val="21"/>
        </w:rPr>
        <w:t>3</w:t>
      </w:r>
      <w:r>
        <w:rPr>
          <w:rFonts w:hint="eastAsia" w:ascii="Times New Roman" w:hAnsi="Times New Roman"/>
          <w:b/>
          <w:bCs/>
          <w:color w:val="000000"/>
          <w:szCs w:val="21"/>
        </w:rPr>
        <w:t>、</w:t>
      </w:r>
      <w:r>
        <w:rPr>
          <w:rFonts w:hint="eastAsia" w:ascii="Times New Roman" w:hAnsi="Times New Roman"/>
          <w:color w:val="000000"/>
          <w:szCs w:val="21"/>
        </w:rPr>
        <w:t>▲</w:t>
      </w:r>
      <w:r>
        <w:rPr>
          <w:rFonts w:hint="eastAsia" w:ascii="Times New Roman" w:hAnsi="Times New Roman"/>
          <w:b/>
          <w:bCs/>
          <w:color w:val="000000"/>
          <w:szCs w:val="21"/>
        </w:rPr>
        <w:t>单位负责人为同一人或者存在直接控股、管理关系的不同供应商参加同一合同项下的政府采购活动的，相关投标供应商均作投标无效处理。</w:t>
      </w:r>
    </w:p>
    <w:bookmarkEnd w:id="282"/>
    <w:p w14:paraId="079B0026">
      <w:pPr>
        <w:pStyle w:val="23"/>
        <w:pageBreakBefore w:val="0"/>
        <w:kinsoku/>
        <w:overflowPunct/>
        <w:topLinePunct w:val="0"/>
        <w:bidi w:val="0"/>
        <w:spacing w:before="120" w:line="360" w:lineRule="auto"/>
        <w:ind w:firstLine="422"/>
        <w:rPr>
          <w:rFonts w:ascii="Times New Roman" w:hAnsi="Times New Roman"/>
          <w:b/>
          <w:color w:val="000000"/>
          <w:sz w:val="21"/>
          <w:szCs w:val="21"/>
        </w:rPr>
      </w:pPr>
      <w:bookmarkStart w:id="283" w:name="_Toc417992892"/>
      <w:bookmarkStart w:id="284" w:name="_Toc177870554"/>
      <w:r>
        <w:rPr>
          <w:rFonts w:hint="eastAsia" w:ascii="Times New Roman" w:hAnsi="Times New Roman"/>
          <w:b/>
          <w:color w:val="000000"/>
          <w:sz w:val="21"/>
          <w:szCs w:val="21"/>
        </w:rPr>
        <w:t>五、评标</w:t>
      </w:r>
      <w:bookmarkEnd w:id="283"/>
      <w:bookmarkEnd w:id="284"/>
    </w:p>
    <w:p w14:paraId="3AD302DC">
      <w:pPr>
        <w:pStyle w:val="23"/>
        <w:pageBreakBefore w:val="0"/>
        <w:kinsoku/>
        <w:overflowPunct/>
        <w:topLinePunct w:val="0"/>
        <w:bidi w:val="0"/>
        <w:spacing w:before="120" w:line="360" w:lineRule="auto"/>
        <w:ind w:firstLine="422"/>
        <w:rPr>
          <w:rFonts w:ascii="Times New Roman" w:hAnsi="Times New Roman"/>
          <w:b/>
          <w:color w:val="000000"/>
          <w:sz w:val="21"/>
          <w:szCs w:val="21"/>
        </w:rPr>
      </w:pPr>
      <w:r>
        <w:rPr>
          <w:rFonts w:ascii="Times New Roman" w:hAnsi="Times New Roman"/>
          <w:b/>
          <w:color w:val="000000"/>
          <w:sz w:val="21"/>
          <w:szCs w:val="21"/>
        </w:rPr>
        <w:t>1</w:t>
      </w:r>
      <w:r>
        <w:rPr>
          <w:rFonts w:hint="eastAsia" w:ascii="Times New Roman" w:hAnsi="Times New Roman"/>
          <w:b/>
          <w:color w:val="000000"/>
          <w:sz w:val="21"/>
          <w:szCs w:val="21"/>
        </w:rPr>
        <w:t>、评标组织</w:t>
      </w:r>
    </w:p>
    <w:p w14:paraId="068FDB5A">
      <w:pPr>
        <w:pStyle w:val="23"/>
        <w:pageBreakBefore w:val="0"/>
        <w:kinsoku/>
        <w:overflowPunct/>
        <w:topLinePunct w:val="0"/>
        <w:bidi w:val="0"/>
        <w:spacing w:before="120" w:line="360" w:lineRule="auto"/>
        <w:ind w:firstLine="420"/>
        <w:rPr>
          <w:rFonts w:ascii="Times New Roman" w:hAnsi="Times New Roman"/>
          <w:color w:val="000000"/>
          <w:sz w:val="21"/>
          <w:szCs w:val="21"/>
        </w:rPr>
      </w:pPr>
      <w:r>
        <w:rPr>
          <w:rFonts w:ascii="Times New Roman" w:hAnsi="Times New Roman"/>
          <w:color w:val="000000"/>
          <w:sz w:val="21"/>
          <w:szCs w:val="21"/>
        </w:rPr>
        <w:t>1.1</w:t>
      </w:r>
      <w:r>
        <w:rPr>
          <w:rFonts w:hint="eastAsia" w:ascii="Times New Roman" w:hAnsi="Times New Roman"/>
          <w:color w:val="000000"/>
          <w:sz w:val="21"/>
          <w:szCs w:val="21"/>
        </w:rPr>
        <w:t>、本项目评标委员会由政府采</w:t>
      </w:r>
      <w:r>
        <w:rPr>
          <w:rFonts w:hint="eastAsia" w:ascii="Times New Roman" w:hAnsi="Times New Roman"/>
          <w:color w:val="000000"/>
          <w:sz w:val="21"/>
          <w:szCs w:val="21"/>
          <w:highlight w:val="none"/>
        </w:rPr>
        <w:t>购评审专家</w:t>
      </w:r>
      <w:r>
        <w:rPr>
          <w:rFonts w:hint="eastAsia" w:ascii="Times New Roman" w:hAnsi="Times New Roman"/>
          <w:color w:val="000000"/>
          <w:sz w:val="21"/>
          <w:szCs w:val="21"/>
          <w:highlight w:val="none"/>
          <w:lang w:val="en-US" w:eastAsia="zh-CN"/>
        </w:rPr>
        <w:t>4</w:t>
      </w:r>
      <w:r>
        <w:rPr>
          <w:rFonts w:hint="eastAsia" w:ascii="Times New Roman" w:hAnsi="Times New Roman"/>
          <w:color w:val="000000"/>
          <w:sz w:val="21"/>
          <w:szCs w:val="21"/>
          <w:highlight w:val="none"/>
        </w:rPr>
        <w:t>人</w:t>
      </w:r>
      <w:r>
        <w:rPr>
          <w:rFonts w:hint="eastAsia" w:ascii="Times New Roman" w:hAnsi="Times New Roman"/>
          <w:color w:val="000000"/>
          <w:sz w:val="21"/>
          <w:szCs w:val="21"/>
          <w:highlight w:val="none"/>
          <w:lang w:eastAsia="zh-CN"/>
        </w:rPr>
        <w:t>，</w:t>
      </w:r>
      <w:r>
        <w:rPr>
          <w:rFonts w:hint="eastAsia" w:ascii="Times New Roman" w:hAnsi="Times New Roman"/>
          <w:color w:val="000000"/>
          <w:sz w:val="21"/>
          <w:szCs w:val="21"/>
          <w:highlight w:val="none"/>
          <w:lang w:val="en-US" w:eastAsia="zh-CN"/>
        </w:rPr>
        <w:t>采购人代表1人</w:t>
      </w:r>
      <w:r>
        <w:rPr>
          <w:rFonts w:hint="eastAsia" w:ascii="Times New Roman" w:hAnsi="Times New Roman"/>
          <w:color w:val="000000"/>
          <w:sz w:val="21"/>
          <w:szCs w:val="21"/>
          <w:highlight w:val="none"/>
        </w:rPr>
        <w:t>，共</w:t>
      </w:r>
      <w:r>
        <w:rPr>
          <w:rFonts w:hint="eastAsia" w:ascii="Times New Roman" w:hAnsi="Times New Roman"/>
          <w:color w:val="000000"/>
          <w:sz w:val="21"/>
          <w:szCs w:val="21"/>
          <w:highlight w:val="none"/>
          <w:lang w:val="en-US" w:eastAsia="zh-CN"/>
        </w:rPr>
        <w:t>5</w:t>
      </w:r>
      <w:r>
        <w:rPr>
          <w:rFonts w:hint="eastAsia" w:ascii="Times New Roman" w:hAnsi="Times New Roman"/>
          <w:color w:val="000000"/>
          <w:sz w:val="21"/>
          <w:szCs w:val="21"/>
          <w:highlight w:val="none"/>
        </w:rPr>
        <w:t>人组成。</w:t>
      </w:r>
    </w:p>
    <w:p w14:paraId="3BFE3B26">
      <w:pPr>
        <w:pStyle w:val="23"/>
        <w:pageBreakBefore w:val="0"/>
        <w:kinsoku/>
        <w:overflowPunct/>
        <w:topLinePunct w:val="0"/>
        <w:bidi w:val="0"/>
        <w:spacing w:before="120" w:line="360" w:lineRule="auto"/>
        <w:ind w:firstLine="420"/>
        <w:rPr>
          <w:rFonts w:ascii="Times New Roman" w:hAnsi="Times New Roman"/>
          <w:color w:val="000000"/>
          <w:sz w:val="21"/>
          <w:szCs w:val="21"/>
        </w:rPr>
      </w:pPr>
      <w:bookmarkStart w:id="285" w:name="_Hlk11358354"/>
      <w:r>
        <w:rPr>
          <w:rFonts w:ascii="Times New Roman" w:hAnsi="Times New Roman"/>
          <w:color w:val="000000"/>
          <w:sz w:val="21"/>
          <w:szCs w:val="21"/>
        </w:rPr>
        <w:t>1.2</w:t>
      </w:r>
      <w:r>
        <w:rPr>
          <w:rFonts w:hint="eastAsia" w:ascii="Times New Roman" w:hAnsi="Times New Roman"/>
          <w:color w:val="000000"/>
          <w:sz w:val="21"/>
          <w:szCs w:val="21"/>
        </w:rPr>
        <w:t>、评标委员会负责具体评标事务，并独立履行下列职责：</w:t>
      </w:r>
    </w:p>
    <w:p w14:paraId="68B29520">
      <w:pPr>
        <w:pStyle w:val="23"/>
        <w:pageBreakBefore w:val="0"/>
        <w:kinsoku/>
        <w:overflowPunct/>
        <w:topLinePunct w:val="0"/>
        <w:bidi w:val="0"/>
        <w:spacing w:before="120" w:line="360" w:lineRule="auto"/>
        <w:ind w:firstLine="420"/>
        <w:rPr>
          <w:rFonts w:ascii="Times New Roman" w:hAnsi="Times New Roman"/>
          <w:color w:val="000000"/>
          <w:sz w:val="21"/>
          <w:szCs w:val="21"/>
        </w:rPr>
      </w:pPr>
      <w:r>
        <w:rPr>
          <w:rFonts w:hint="eastAsia" w:ascii="Times New Roman" w:hAnsi="Times New Roman"/>
          <w:color w:val="000000"/>
          <w:sz w:val="21"/>
          <w:szCs w:val="21"/>
        </w:rPr>
        <w:t>（</w:t>
      </w:r>
      <w:r>
        <w:rPr>
          <w:rFonts w:ascii="Times New Roman" w:hAnsi="Times New Roman"/>
          <w:color w:val="000000"/>
          <w:sz w:val="21"/>
          <w:szCs w:val="21"/>
        </w:rPr>
        <w:t>1</w:t>
      </w:r>
      <w:r>
        <w:rPr>
          <w:rFonts w:hint="eastAsia" w:ascii="Times New Roman" w:hAnsi="Times New Roman"/>
          <w:color w:val="000000"/>
          <w:sz w:val="21"/>
          <w:szCs w:val="21"/>
        </w:rPr>
        <w:t>）审查、评价投标文件是否符合招标文件的商务、技术等实质性要求；</w:t>
      </w:r>
    </w:p>
    <w:p w14:paraId="250FC090">
      <w:pPr>
        <w:pStyle w:val="23"/>
        <w:pageBreakBefore w:val="0"/>
        <w:kinsoku/>
        <w:overflowPunct/>
        <w:topLinePunct w:val="0"/>
        <w:bidi w:val="0"/>
        <w:spacing w:before="120" w:line="360" w:lineRule="auto"/>
        <w:ind w:firstLine="420"/>
        <w:rPr>
          <w:rFonts w:ascii="Times New Roman" w:hAnsi="Times New Roman"/>
          <w:color w:val="000000"/>
          <w:sz w:val="21"/>
          <w:szCs w:val="21"/>
        </w:rPr>
      </w:pPr>
      <w:r>
        <w:rPr>
          <w:rFonts w:hint="eastAsia" w:ascii="Times New Roman" w:hAnsi="Times New Roman"/>
          <w:color w:val="000000"/>
          <w:sz w:val="21"/>
          <w:szCs w:val="21"/>
        </w:rPr>
        <w:t>（</w:t>
      </w:r>
      <w:r>
        <w:rPr>
          <w:rFonts w:ascii="Times New Roman" w:hAnsi="Times New Roman"/>
          <w:color w:val="000000"/>
          <w:sz w:val="21"/>
          <w:szCs w:val="21"/>
        </w:rPr>
        <w:t>2</w:t>
      </w:r>
      <w:r>
        <w:rPr>
          <w:rFonts w:hint="eastAsia" w:ascii="Times New Roman" w:hAnsi="Times New Roman"/>
          <w:color w:val="000000"/>
          <w:sz w:val="21"/>
          <w:szCs w:val="21"/>
        </w:rPr>
        <w:t>）要求投标人对投标文件有关事项作出澄清或者说明；</w:t>
      </w:r>
    </w:p>
    <w:p w14:paraId="1D512688">
      <w:pPr>
        <w:pStyle w:val="23"/>
        <w:pageBreakBefore w:val="0"/>
        <w:kinsoku/>
        <w:overflowPunct/>
        <w:topLinePunct w:val="0"/>
        <w:bidi w:val="0"/>
        <w:spacing w:before="120" w:line="360" w:lineRule="auto"/>
        <w:ind w:firstLine="420"/>
        <w:rPr>
          <w:rFonts w:ascii="Times New Roman" w:hAnsi="Times New Roman"/>
          <w:color w:val="000000"/>
          <w:sz w:val="21"/>
          <w:szCs w:val="21"/>
        </w:rPr>
      </w:pPr>
      <w:r>
        <w:rPr>
          <w:rFonts w:hint="eastAsia" w:ascii="Times New Roman" w:hAnsi="Times New Roman"/>
          <w:color w:val="000000"/>
          <w:sz w:val="21"/>
          <w:szCs w:val="21"/>
        </w:rPr>
        <w:t>（</w:t>
      </w:r>
      <w:r>
        <w:rPr>
          <w:rFonts w:ascii="Times New Roman" w:hAnsi="Times New Roman"/>
          <w:color w:val="000000"/>
          <w:sz w:val="21"/>
          <w:szCs w:val="21"/>
        </w:rPr>
        <w:t>3</w:t>
      </w:r>
      <w:r>
        <w:rPr>
          <w:rFonts w:hint="eastAsia" w:ascii="Times New Roman" w:hAnsi="Times New Roman"/>
          <w:color w:val="000000"/>
          <w:sz w:val="21"/>
          <w:szCs w:val="21"/>
        </w:rPr>
        <w:t>）对投标文件进行比较和评价；</w:t>
      </w:r>
    </w:p>
    <w:p w14:paraId="6709022D">
      <w:pPr>
        <w:pStyle w:val="23"/>
        <w:pageBreakBefore w:val="0"/>
        <w:kinsoku/>
        <w:overflowPunct/>
        <w:topLinePunct w:val="0"/>
        <w:bidi w:val="0"/>
        <w:spacing w:before="120" w:line="360" w:lineRule="auto"/>
        <w:ind w:firstLine="420"/>
        <w:rPr>
          <w:rFonts w:ascii="Times New Roman" w:hAnsi="Times New Roman"/>
          <w:color w:val="000000"/>
          <w:sz w:val="21"/>
          <w:szCs w:val="21"/>
        </w:rPr>
      </w:pPr>
      <w:r>
        <w:rPr>
          <w:rFonts w:hint="eastAsia" w:ascii="Times New Roman" w:hAnsi="Times New Roman"/>
          <w:color w:val="000000"/>
          <w:sz w:val="21"/>
          <w:szCs w:val="21"/>
        </w:rPr>
        <w:t>（</w:t>
      </w:r>
      <w:r>
        <w:rPr>
          <w:rFonts w:ascii="Times New Roman" w:hAnsi="Times New Roman"/>
          <w:color w:val="000000"/>
          <w:sz w:val="21"/>
          <w:szCs w:val="21"/>
        </w:rPr>
        <w:t>4</w:t>
      </w:r>
      <w:r>
        <w:rPr>
          <w:rFonts w:hint="eastAsia" w:ascii="Times New Roman" w:hAnsi="Times New Roman"/>
          <w:color w:val="000000"/>
          <w:sz w:val="21"/>
          <w:szCs w:val="21"/>
        </w:rPr>
        <w:t>）确定中标候选人名单，以及根据采购人委托直接确定中标人；</w:t>
      </w:r>
    </w:p>
    <w:p w14:paraId="21BFD051">
      <w:pPr>
        <w:pStyle w:val="23"/>
        <w:pageBreakBefore w:val="0"/>
        <w:kinsoku/>
        <w:overflowPunct/>
        <w:topLinePunct w:val="0"/>
        <w:bidi w:val="0"/>
        <w:spacing w:before="120" w:line="360" w:lineRule="auto"/>
        <w:ind w:firstLine="420"/>
        <w:rPr>
          <w:rFonts w:ascii="Times New Roman" w:hAnsi="Times New Roman"/>
          <w:color w:val="000000"/>
          <w:sz w:val="21"/>
          <w:szCs w:val="21"/>
        </w:rPr>
      </w:pPr>
      <w:r>
        <w:rPr>
          <w:rFonts w:hint="eastAsia" w:ascii="Times New Roman" w:hAnsi="Times New Roman"/>
          <w:color w:val="000000"/>
          <w:sz w:val="21"/>
          <w:szCs w:val="21"/>
        </w:rPr>
        <w:t>（</w:t>
      </w:r>
      <w:r>
        <w:rPr>
          <w:rFonts w:ascii="Times New Roman" w:hAnsi="Times New Roman"/>
          <w:color w:val="000000"/>
          <w:sz w:val="21"/>
          <w:szCs w:val="21"/>
        </w:rPr>
        <w:t>5</w:t>
      </w:r>
      <w:r>
        <w:rPr>
          <w:rFonts w:hint="eastAsia" w:ascii="Times New Roman" w:hAnsi="Times New Roman"/>
          <w:color w:val="000000"/>
          <w:sz w:val="21"/>
          <w:szCs w:val="21"/>
        </w:rPr>
        <w:t>）向采购人、代理机构或者有关部门报告评标中发现的违法行为。</w:t>
      </w:r>
    </w:p>
    <w:p w14:paraId="30CE8099">
      <w:pPr>
        <w:pStyle w:val="23"/>
        <w:pageBreakBefore w:val="0"/>
        <w:kinsoku/>
        <w:overflowPunct/>
        <w:topLinePunct w:val="0"/>
        <w:bidi w:val="0"/>
        <w:spacing w:before="120" w:line="360" w:lineRule="auto"/>
        <w:ind w:firstLine="422"/>
        <w:rPr>
          <w:rFonts w:ascii="Times New Roman" w:hAnsi="Times New Roman"/>
          <w:b/>
          <w:bCs/>
          <w:color w:val="000000"/>
          <w:sz w:val="21"/>
          <w:szCs w:val="21"/>
          <w:u w:val="single"/>
        </w:rPr>
      </w:pPr>
      <w:r>
        <w:rPr>
          <w:rFonts w:hint="eastAsia" w:ascii="Times New Roman" w:hAnsi="Times New Roman"/>
          <w:b/>
          <w:bCs/>
          <w:color w:val="000000"/>
          <w:sz w:val="21"/>
          <w:szCs w:val="21"/>
          <w:u w:val="single"/>
        </w:rPr>
        <w:t>除采购人代表、评标现场组织人员外，采购人的其他工作人员以及与评标工作无关的人员不得进入评标现场。</w:t>
      </w:r>
      <w:bookmarkEnd w:id="285"/>
    </w:p>
    <w:p w14:paraId="7CADF754">
      <w:pPr>
        <w:pStyle w:val="23"/>
        <w:pageBreakBefore w:val="0"/>
        <w:kinsoku/>
        <w:overflowPunct/>
        <w:topLinePunct w:val="0"/>
        <w:bidi w:val="0"/>
        <w:spacing w:before="120" w:line="360" w:lineRule="auto"/>
        <w:ind w:firstLine="422"/>
        <w:rPr>
          <w:rFonts w:ascii="Times New Roman" w:hAnsi="Times New Roman"/>
          <w:b/>
          <w:color w:val="000000"/>
          <w:sz w:val="21"/>
          <w:szCs w:val="21"/>
        </w:rPr>
      </w:pPr>
      <w:r>
        <w:rPr>
          <w:rFonts w:ascii="Times New Roman" w:hAnsi="Times New Roman"/>
          <w:b/>
          <w:color w:val="000000"/>
          <w:sz w:val="21"/>
          <w:szCs w:val="21"/>
        </w:rPr>
        <w:t>2</w:t>
      </w:r>
      <w:r>
        <w:rPr>
          <w:rFonts w:hint="eastAsia" w:ascii="Times New Roman" w:hAnsi="Times New Roman"/>
          <w:b/>
          <w:color w:val="000000"/>
          <w:sz w:val="21"/>
          <w:szCs w:val="21"/>
        </w:rPr>
        <w:t>、评标的方式</w:t>
      </w:r>
    </w:p>
    <w:p w14:paraId="036C95F1">
      <w:pPr>
        <w:pStyle w:val="23"/>
        <w:pageBreakBefore w:val="0"/>
        <w:kinsoku/>
        <w:overflowPunct/>
        <w:topLinePunct w:val="0"/>
        <w:bidi w:val="0"/>
        <w:spacing w:before="120" w:line="360" w:lineRule="auto"/>
        <w:ind w:firstLine="420"/>
        <w:rPr>
          <w:rFonts w:ascii="Times New Roman" w:hAnsi="Times New Roman"/>
          <w:color w:val="000000"/>
          <w:sz w:val="21"/>
          <w:szCs w:val="21"/>
        </w:rPr>
      </w:pPr>
      <w:r>
        <w:rPr>
          <w:rFonts w:ascii="Times New Roman" w:hAnsi="Times New Roman"/>
          <w:color w:val="000000"/>
          <w:sz w:val="21"/>
          <w:szCs w:val="21"/>
        </w:rPr>
        <w:t>2.1</w:t>
      </w:r>
      <w:r>
        <w:rPr>
          <w:rFonts w:hint="eastAsia" w:ascii="Times New Roman" w:hAnsi="Times New Roman"/>
          <w:color w:val="000000"/>
          <w:sz w:val="21"/>
          <w:szCs w:val="21"/>
        </w:rPr>
        <w:t>、本采购项目采用不公开方式评标，评标的依据为招标文件和投标文件。</w:t>
      </w:r>
    </w:p>
    <w:p w14:paraId="03607877">
      <w:pPr>
        <w:pStyle w:val="23"/>
        <w:pageBreakBefore w:val="0"/>
        <w:kinsoku/>
        <w:overflowPunct/>
        <w:topLinePunct w:val="0"/>
        <w:bidi w:val="0"/>
        <w:spacing w:before="120" w:line="360" w:lineRule="auto"/>
        <w:ind w:firstLine="422"/>
        <w:rPr>
          <w:rFonts w:ascii="Times New Roman" w:hAnsi="Times New Roman"/>
          <w:b/>
          <w:bCs/>
          <w:color w:val="000000"/>
          <w:sz w:val="21"/>
          <w:szCs w:val="21"/>
        </w:rPr>
      </w:pPr>
      <w:r>
        <w:rPr>
          <w:rFonts w:ascii="Times New Roman" w:hAnsi="Times New Roman"/>
          <w:b/>
          <w:color w:val="000000"/>
          <w:sz w:val="21"/>
          <w:szCs w:val="21"/>
        </w:rPr>
        <w:t>3</w:t>
      </w:r>
      <w:r>
        <w:rPr>
          <w:rFonts w:hint="eastAsia" w:ascii="Times New Roman" w:hAnsi="Times New Roman"/>
          <w:b/>
          <w:color w:val="000000"/>
          <w:sz w:val="21"/>
          <w:szCs w:val="21"/>
        </w:rPr>
        <w:t>、</w:t>
      </w:r>
      <w:r>
        <w:rPr>
          <w:rFonts w:hint="eastAsia" w:ascii="Times New Roman" w:hAnsi="Times New Roman"/>
          <w:b/>
          <w:bCs/>
          <w:color w:val="000000"/>
          <w:sz w:val="21"/>
          <w:szCs w:val="21"/>
        </w:rPr>
        <w:t>评标程序</w:t>
      </w:r>
    </w:p>
    <w:p w14:paraId="6A5F6954">
      <w:pPr>
        <w:pStyle w:val="23"/>
        <w:pageBreakBefore w:val="0"/>
        <w:kinsoku/>
        <w:overflowPunct/>
        <w:topLinePunct w:val="0"/>
        <w:bidi w:val="0"/>
        <w:spacing w:before="120" w:line="360" w:lineRule="auto"/>
        <w:ind w:firstLine="420"/>
        <w:rPr>
          <w:rFonts w:ascii="Times New Roman" w:hAnsi="Times New Roman"/>
          <w:color w:val="000000"/>
          <w:sz w:val="21"/>
          <w:szCs w:val="21"/>
        </w:rPr>
      </w:pPr>
      <w:r>
        <w:rPr>
          <w:rFonts w:hint="eastAsia" w:ascii="Times New Roman" w:hAnsi="Times New Roman"/>
          <w:color w:val="000000"/>
          <w:sz w:val="21"/>
          <w:szCs w:val="21"/>
        </w:rPr>
        <w:t>采购人可以在评标前说明项目背景和采购需求，说明内容不得含有歧视性、倾向性意见，不得超出招标文件所述范围。</w:t>
      </w:r>
    </w:p>
    <w:p w14:paraId="131D5F74">
      <w:pPr>
        <w:pStyle w:val="23"/>
        <w:pageBreakBefore w:val="0"/>
        <w:kinsoku/>
        <w:overflowPunct/>
        <w:topLinePunct w:val="0"/>
        <w:bidi w:val="0"/>
        <w:spacing w:before="120" w:line="360" w:lineRule="auto"/>
        <w:ind w:firstLine="420"/>
        <w:rPr>
          <w:rFonts w:ascii="Times New Roman" w:hAnsi="Times New Roman"/>
          <w:color w:val="000000"/>
          <w:sz w:val="21"/>
          <w:szCs w:val="21"/>
        </w:rPr>
      </w:pPr>
      <w:r>
        <w:rPr>
          <w:rFonts w:ascii="Times New Roman" w:hAnsi="Times New Roman"/>
          <w:color w:val="000000"/>
          <w:sz w:val="21"/>
          <w:szCs w:val="21"/>
        </w:rPr>
        <w:t>3.1</w:t>
      </w:r>
      <w:r>
        <w:rPr>
          <w:rFonts w:hint="eastAsia" w:ascii="Times New Roman" w:hAnsi="Times New Roman"/>
          <w:color w:val="000000"/>
          <w:sz w:val="21"/>
          <w:szCs w:val="21"/>
        </w:rPr>
        <w:t>、形式审查</w:t>
      </w:r>
      <w:r>
        <w:rPr>
          <w:rFonts w:ascii="Times New Roman" w:hAnsi="Times New Roman"/>
          <w:color w:val="000000"/>
          <w:sz w:val="21"/>
          <w:szCs w:val="21"/>
        </w:rPr>
        <w:t>:</w:t>
      </w:r>
      <w:bookmarkStart w:id="286" w:name="_Hlk11358436"/>
      <w:r>
        <w:rPr>
          <w:rFonts w:hint="eastAsia" w:ascii="Times New Roman" w:hAnsi="Times New Roman"/>
          <w:color w:val="000000"/>
          <w:sz w:val="21"/>
          <w:szCs w:val="21"/>
        </w:rPr>
        <w:t>形式审查包括资格审查（除符合性审查以外的关于投标人资格条件等内容）和符合性审查，即对投标人的资格和投标文件的完整性、合法性等进行审查。投标文件形式审查未通过的投标人，其投标文件将不再评审。</w:t>
      </w:r>
      <w:bookmarkEnd w:id="286"/>
    </w:p>
    <w:p w14:paraId="6463CDA8">
      <w:pPr>
        <w:pStyle w:val="23"/>
        <w:pageBreakBefore w:val="0"/>
        <w:kinsoku/>
        <w:overflowPunct/>
        <w:topLinePunct w:val="0"/>
        <w:bidi w:val="0"/>
        <w:spacing w:before="120" w:line="360" w:lineRule="auto"/>
        <w:ind w:firstLine="420"/>
        <w:rPr>
          <w:rFonts w:ascii="Times New Roman" w:hAnsi="Times New Roman"/>
          <w:color w:val="000000"/>
          <w:sz w:val="21"/>
          <w:szCs w:val="21"/>
        </w:rPr>
      </w:pPr>
      <w:r>
        <w:rPr>
          <w:rFonts w:ascii="Times New Roman" w:hAnsi="Times New Roman"/>
          <w:color w:val="000000"/>
          <w:sz w:val="21"/>
          <w:szCs w:val="21"/>
        </w:rPr>
        <w:t>3.2</w:t>
      </w:r>
      <w:r>
        <w:rPr>
          <w:rFonts w:hint="eastAsia" w:ascii="Times New Roman" w:hAnsi="Times New Roman"/>
          <w:color w:val="000000"/>
          <w:sz w:val="21"/>
          <w:szCs w:val="21"/>
        </w:rPr>
        <w:t>、实质审查与比较</w:t>
      </w:r>
    </w:p>
    <w:p w14:paraId="0C1F54D3">
      <w:pPr>
        <w:pStyle w:val="23"/>
        <w:pageBreakBefore w:val="0"/>
        <w:kinsoku/>
        <w:overflowPunct/>
        <w:topLinePunct w:val="0"/>
        <w:bidi w:val="0"/>
        <w:spacing w:before="120" w:line="360" w:lineRule="auto"/>
        <w:ind w:firstLine="420"/>
        <w:rPr>
          <w:rFonts w:ascii="Times New Roman" w:hAnsi="Times New Roman"/>
          <w:color w:val="000000"/>
          <w:sz w:val="21"/>
          <w:szCs w:val="21"/>
        </w:rPr>
      </w:pPr>
      <w:r>
        <w:rPr>
          <w:rFonts w:ascii="Times New Roman" w:hAnsi="Times New Roman"/>
          <w:color w:val="000000"/>
          <w:sz w:val="21"/>
          <w:szCs w:val="21"/>
        </w:rPr>
        <w:t>3.2.1</w:t>
      </w:r>
      <w:r>
        <w:rPr>
          <w:rFonts w:hint="eastAsia" w:ascii="Times New Roman" w:hAnsi="Times New Roman"/>
          <w:color w:val="000000"/>
          <w:sz w:val="21"/>
          <w:szCs w:val="21"/>
        </w:rPr>
        <w:t>、评标委员会审查投标文件的实质性内容是否符合招标文件的实质性要求。</w:t>
      </w:r>
    </w:p>
    <w:p w14:paraId="74ADA830">
      <w:pPr>
        <w:pStyle w:val="23"/>
        <w:pageBreakBefore w:val="0"/>
        <w:kinsoku/>
        <w:overflowPunct/>
        <w:topLinePunct w:val="0"/>
        <w:bidi w:val="0"/>
        <w:spacing w:before="120" w:line="360" w:lineRule="auto"/>
        <w:ind w:firstLine="420"/>
        <w:rPr>
          <w:rFonts w:ascii="Times New Roman" w:hAnsi="Times New Roman"/>
          <w:color w:val="000000"/>
          <w:sz w:val="21"/>
          <w:szCs w:val="21"/>
        </w:rPr>
      </w:pPr>
      <w:r>
        <w:rPr>
          <w:rFonts w:ascii="Times New Roman" w:hAnsi="Times New Roman"/>
          <w:color w:val="000000"/>
          <w:sz w:val="21"/>
          <w:szCs w:val="21"/>
        </w:rPr>
        <w:t>3.2.2</w:t>
      </w:r>
      <w:r>
        <w:rPr>
          <w:rFonts w:hint="eastAsia" w:ascii="Times New Roman" w:hAnsi="Times New Roman"/>
          <w:color w:val="000000"/>
          <w:sz w:val="21"/>
          <w:szCs w:val="21"/>
        </w:rPr>
        <w:t>、评标委员会将根据投标人的资信商务及技术标书进行审查、核对，如有疑问，将对投标人进行询标，投标人要向评标委员会澄清有关问题</w:t>
      </w:r>
      <w:r>
        <w:rPr>
          <w:rFonts w:ascii="Times New Roman" w:hAnsi="Times New Roman"/>
          <w:color w:val="000000"/>
          <w:sz w:val="21"/>
          <w:szCs w:val="21"/>
        </w:rPr>
        <w:t>,</w:t>
      </w:r>
      <w:r>
        <w:rPr>
          <w:rFonts w:hint="eastAsia" w:ascii="Times New Roman" w:hAnsi="Times New Roman"/>
          <w:color w:val="000000"/>
          <w:sz w:val="21"/>
          <w:szCs w:val="21"/>
        </w:rPr>
        <w:t>并最终以书面形式进行答复。询标时，投标人代表未按要求或者拒绝澄清或者澄清的内容改变了投标文件的实质性内容的，评标委员会有权对该投标文件作出不利于投标人的评判。</w:t>
      </w:r>
    </w:p>
    <w:p w14:paraId="469236C2">
      <w:pPr>
        <w:pStyle w:val="23"/>
        <w:pageBreakBefore w:val="0"/>
        <w:kinsoku/>
        <w:overflowPunct/>
        <w:topLinePunct w:val="0"/>
        <w:bidi w:val="0"/>
        <w:spacing w:before="120" w:line="360" w:lineRule="auto"/>
        <w:ind w:firstLine="420"/>
        <w:rPr>
          <w:rFonts w:ascii="Times New Roman" w:hAnsi="Times New Roman"/>
          <w:color w:val="000000"/>
          <w:sz w:val="21"/>
          <w:szCs w:val="21"/>
        </w:rPr>
      </w:pPr>
      <w:r>
        <w:rPr>
          <w:rFonts w:ascii="Times New Roman" w:hAnsi="Times New Roman"/>
          <w:color w:val="000000"/>
          <w:sz w:val="21"/>
          <w:szCs w:val="21"/>
        </w:rPr>
        <w:t>3.2.3</w:t>
      </w:r>
      <w:r>
        <w:rPr>
          <w:rFonts w:hint="eastAsia" w:ascii="Times New Roman" w:hAnsi="Times New Roman"/>
          <w:color w:val="000000"/>
          <w:sz w:val="21"/>
          <w:szCs w:val="21"/>
        </w:rPr>
        <w:t>、各投标人的资信商务及技术分按照评标委员会成员的独立评分结果汇总后的算术平均分计算。</w:t>
      </w:r>
    </w:p>
    <w:p w14:paraId="4252D7CF">
      <w:pPr>
        <w:pStyle w:val="23"/>
        <w:pageBreakBefore w:val="0"/>
        <w:kinsoku/>
        <w:overflowPunct/>
        <w:topLinePunct w:val="0"/>
        <w:bidi w:val="0"/>
        <w:spacing w:before="120" w:line="360" w:lineRule="auto"/>
        <w:ind w:firstLine="420"/>
        <w:rPr>
          <w:rFonts w:ascii="Times New Roman" w:hAnsi="Times New Roman"/>
          <w:color w:val="000000"/>
          <w:sz w:val="21"/>
          <w:szCs w:val="21"/>
        </w:rPr>
      </w:pPr>
      <w:r>
        <w:rPr>
          <w:rFonts w:ascii="Times New Roman" w:hAnsi="Times New Roman"/>
          <w:color w:val="000000"/>
          <w:sz w:val="21"/>
          <w:szCs w:val="21"/>
        </w:rPr>
        <w:t>3.2.4</w:t>
      </w:r>
      <w:r>
        <w:rPr>
          <w:rFonts w:hint="eastAsia" w:ascii="Times New Roman" w:hAnsi="Times New Roman"/>
          <w:color w:val="000000"/>
          <w:sz w:val="21"/>
          <w:szCs w:val="21"/>
        </w:rPr>
        <w:t>、评标委员会将根据投标人的报价文件进行审查、核对</w:t>
      </w:r>
      <w:r>
        <w:rPr>
          <w:rFonts w:ascii="Times New Roman" w:hAnsi="Times New Roman"/>
          <w:color w:val="000000"/>
          <w:sz w:val="21"/>
          <w:szCs w:val="21"/>
        </w:rPr>
        <w:t>,</w:t>
      </w:r>
      <w:r>
        <w:rPr>
          <w:rFonts w:hint="eastAsia" w:ascii="Times New Roman" w:hAnsi="Times New Roman"/>
          <w:color w:val="000000"/>
          <w:sz w:val="21"/>
          <w:szCs w:val="21"/>
        </w:rPr>
        <w:t>如有疑问，将对投标人进行询标，投标人要向评标委员会澄清有关问题，并最终以书面形式进行答复。</w:t>
      </w:r>
    </w:p>
    <w:p w14:paraId="48E0663A">
      <w:pPr>
        <w:pStyle w:val="23"/>
        <w:pageBreakBefore w:val="0"/>
        <w:kinsoku/>
        <w:overflowPunct/>
        <w:topLinePunct w:val="0"/>
        <w:bidi w:val="0"/>
        <w:spacing w:before="120" w:line="360" w:lineRule="auto"/>
        <w:ind w:firstLine="420"/>
        <w:rPr>
          <w:rFonts w:ascii="Times New Roman" w:hAnsi="Times New Roman"/>
          <w:color w:val="000000"/>
          <w:sz w:val="21"/>
          <w:szCs w:val="21"/>
        </w:rPr>
      </w:pPr>
      <w:r>
        <w:rPr>
          <w:rFonts w:ascii="Times New Roman" w:hAnsi="Times New Roman"/>
          <w:color w:val="000000"/>
          <w:sz w:val="21"/>
          <w:szCs w:val="21"/>
        </w:rPr>
        <w:t>3.2.5</w:t>
      </w:r>
      <w:r>
        <w:rPr>
          <w:rFonts w:hint="eastAsia" w:ascii="Times New Roman" w:hAnsi="Times New Roman"/>
          <w:color w:val="000000"/>
          <w:sz w:val="21"/>
          <w:szCs w:val="21"/>
        </w:rPr>
        <w:t>、</w:t>
      </w:r>
      <w:bookmarkStart w:id="287" w:name="_Hlk11358977"/>
      <w:r>
        <w:rPr>
          <w:rFonts w:hint="eastAsia" w:ascii="Times New Roman" w:hAnsi="Times New Roman"/>
          <w:color w:val="000000"/>
          <w:sz w:val="21"/>
          <w:szCs w:val="21"/>
        </w:rPr>
        <w:t>代理公司工作人员协助评标委员会根据本项目的评分标准操作政府采购业务系统，由系统计算各投标人的报价得分。</w:t>
      </w:r>
      <w:bookmarkEnd w:id="287"/>
    </w:p>
    <w:p w14:paraId="573CFFD3">
      <w:pPr>
        <w:pStyle w:val="23"/>
        <w:pageBreakBefore w:val="0"/>
        <w:kinsoku/>
        <w:overflowPunct/>
        <w:topLinePunct w:val="0"/>
        <w:bidi w:val="0"/>
        <w:spacing w:before="120" w:line="360" w:lineRule="auto"/>
        <w:ind w:firstLine="420"/>
        <w:rPr>
          <w:rFonts w:ascii="Times New Roman" w:hAnsi="Times New Roman"/>
          <w:color w:val="000000"/>
          <w:sz w:val="21"/>
          <w:szCs w:val="21"/>
        </w:rPr>
      </w:pPr>
      <w:r>
        <w:rPr>
          <w:rFonts w:ascii="Times New Roman" w:hAnsi="Times New Roman"/>
          <w:color w:val="000000"/>
          <w:sz w:val="21"/>
          <w:szCs w:val="21"/>
        </w:rPr>
        <w:t>3.2.6</w:t>
      </w:r>
      <w:r>
        <w:rPr>
          <w:rFonts w:hint="eastAsia" w:ascii="Times New Roman" w:hAnsi="Times New Roman"/>
          <w:color w:val="000000"/>
          <w:sz w:val="21"/>
          <w:szCs w:val="21"/>
        </w:rPr>
        <w:t>、评标委员会完成评标后</w:t>
      </w:r>
      <w:r>
        <w:rPr>
          <w:rFonts w:ascii="Times New Roman" w:hAnsi="Times New Roman"/>
          <w:color w:val="000000"/>
          <w:sz w:val="21"/>
          <w:szCs w:val="21"/>
        </w:rPr>
        <w:t>,</w:t>
      </w:r>
      <w:r>
        <w:rPr>
          <w:rFonts w:hint="eastAsia" w:ascii="Times New Roman" w:hAnsi="Times New Roman"/>
          <w:color w:val="000000"/>
          <w:sz w:val="21"/>
          <w:szCs w:val="21"/>
        </w:rPr>
        <w:t>评委对各部分得分汇总，计算出本项目最终得分</w:t>
      </w:r>
      <w:bookmarkStart w:id="288" w:name="_Hlk11358947"/>
      <w:r>
        <w:rPr>
          <w:rFonts w:hint="eastAsia" w:ascii="Times New Roman" w:hAnsi="Times New Roman"/>
          <w:color w:val="000000"/>
          <w:sz w:val="21"/>
          <w:szCs w:val="21"/>
        </w:rPr>
        <w:t>、评标价等</w:t>
      </w:r>
      <w:bookmarkEnd w:id="288"/>
      <w:r>
        <w:rPr>
          <w:rFonts w:hint="eastAsia" w:ascii="Times New Roman" w:hAnsi="Times New Roman"/>
          <w:color w:val="000000"/>
          <w:sz w:val="21"/>
          <w:szCs w:val="21"/>
        </w:rPr>
        <w:t>。评标委员会按评标原则推荐中标候选人同时起草评标报告。</w:t>
      </w:r>
    </w:p>
    <w:p w14:paraId="1FE86F60">
      <w:pPr>
        <w:pageBreakBefore w:val="0"/>
        <w:kinsoku/>
        <w:overflowPunct/>
        <w:topLinePunct w:val="0"/>
        <w:bidi w:val="0"/>
        <w:spacing w:line="360" w:lineRule="auto"/>
        <w:ind w:firstLine="422"/>
        <w:rPr>
          <w:rFonts w:ascii="Times New Roman" w:hAnsi="Times New Roman"/>
          <w:b/>
          <w:color w:val="000000"/>
          <w:szCs w:val="21"/>
        </w:rPr>
      </w:pPr>
      <w:r>
        <w:rPr>
          <w:rFonts w:ascii="Times New Roman" w:hAnsi="Times New Roman"/>
          <w:b/>
          <w:color w:val="000000"/>
          <w:szCs w:val="21"/>
        </w:rPr>
        <w:t>4</w:t>
      </w:r>
      <w:r>
        <w:rPr>
          <w:rFonts w:hint="eastAsia" w:ascii="Times New Roman" w:hAnsi="Times New Roman"/>
          <w:b/>
          <w:color w:val="000000"/>
          <w:szCs w:val="21"/>
        </w:rPr>
        <w:t>、澄清问题的形式</w:t>
      </w:r>
    </w:p>
    <w:p w14:paraId="601AEB6B">
      <w:pPr>
        <w:pageBreakBefore w:val="0"/>
        <w:kinsoku/>
        <w:overflowPunct/>
        <w:topLinePunct w:val="0"/>
        <w:bidi w:val="0"/>
        <w:spacing w:line="360" w:lineRule="auto"/>
        <w:ind w:firstLine="420"/>
        <w:rPr>
          <w:rFonts w:ascii="Times New Roman" w:hAnsi="Times New Roman"/>
          <w:color w:val="000000"/>
          <w:szCs w:val="21"/>
        </w:rPr>
      </w:pPr>
      <w:r>
        <w:rPr>
          <w:rFonts w:ascii="Times New Roman" w:hAnsi="Times New Roman"/>
          <w:color w:val="000000"/>
          <w:szCs w:val="21"/>
        </w:rPr>
        <w:t>4.1</w:t>
      </w:r>
      <w:r>
        <w:rPr>
          <w:rFonts w:hint="eastAsia" w:ascii="Times New Roman" w:hAnsi="Times New Roman"/>
          <w:color w:val="000000"/>
          <w:szCs w:val="21"/>
        </w:rPr>
        <w:t>、对投标文件中含义不明确、同类问题表述不一致或者有明显文字和计算错误的内容，评标委员会可以书面形式（或通过“政府采购云平台”在线询标）要求投标人作出必要的澄清、说明或者纠正，投标供应商澄清、说明或补正时间为</w:t>
      </w:r>
      <w:r>
        <w:rPr>
          <w:rFonts w:ascii="Times New Roman" w:hAnsi="Times New Roman"/>
          <w:color w:val="000000"/>
          <w:szCs w:val="21"/>
        </w:rPr>
        <w:t>30</w:t>
      </w:r>
      <w:r>
        <w:rPr>
          <w:rFonts w:hint="eastAsia" w:ascii="Times New Roman" w:hAnsi="Times New Roman"/>
          <w:color w:val="000000"/>
          <w:szCs w:val="21"/>
        </w:rPr>
        <w:t>分钟。</w:t>
      </w:r>
    </w:p>
    <w:p w14:paraId="22E6C659">
      <w:pPr>
        <w:pageBreakBefore w:val="0"/>
        <w:kinsoku/>
        <w:overflowPunct/>
        <w:topLinePunct w:val="0"/>
        <w:bidi w:val="0"/>
        <w:spacing w:line="360" w:lineRule="auto"/>
        <w:ind w:firstLine="420"/>
        <w:rPr>
          <w:rFonts w:ascii="Times New Roman" w:hAnsi="Times New Roman"/>
          <w:color w:val="000000"/>
          <w:szCs w:val="21"/>
        </w:rPr>
      </w:pPr>
      <w:r>
        <w:rPr>
          <w:rFonts w:ascii="Times New Roman" w:hAnsi="Times New Roman"/>
          <w:color w:val="000000"/>
          <w:szCs w:val="21"/>
        </w:rPr>
        <w:t>4.2</w:t>
      </w:r>
      <w:r>
        <w:rPr>
          <w:rFonts w:hint="eastAsia" w:ascii="Times New Roman" w:hAnsi="Times New Roman"/>
          <w:color w:val="000000"/>
          <w:szCs w:val="21"/>
        </w:rPr>
        <w:t>、投标供应商的澄清、说明或者补正应当采用书面（或通过“政府采购云平台”在线答复）形式提交，并加盖公章，或者由法定代表人或其授权的代表签字。投标供应商的澄清、说明或者补正不得超出投标文件的范围或者改变投标文件的实质性内容。</w:t>
      </w:r>
    </w:p>
    <w:p w14:paraId="2F749D93">
      <w:pPr>
        <w:pageBreakBefore w:val="0"/>
        <w:kinsoku/>
        <w:overflowPunct/>
        <w:topLinePunct w:val="0"/>
        <w:bidi w:val="0"/>
        <w:spacing w:line="360" w:lineRule="auto"/>
        <w:ind w:firstLine="420"/>
        <w:rPr>
          <w:rFonts w:ascii="Times New Roman" w:hAnsi="Times New Roman"/>
          <w:color w:val="000000"/>
          <w:szCs w:val="21"/>
        </w:rPr>
      </w:pPr>
      <w:r>
        <w:rPr>
          <w:rFonts w:ascii="Times New Roman" w:hAnsi="Times New Roman"/>
          <w:color w:val="000000"/>
          <w:szCs w:val="21"/>
        </w:rPr>
        <w:t>4.3</w:t>
      </w:r>
      <w:r>
        <w:rPr>
          <w:rFonts w:hint="eastAsia" w:ascii="Times New Roman" w:hAnsi="Times New Roman"/>
          <w:color w:val="000000"/>
          <w:szCs w:val="21"/>
        </w:rPr>
        <w:t>、如果供应商代表拒绝或未按评标委员会要求在“政采云”平台作出在线回复且无其他有效回复方式的，评标委员会可以对其作出无效标处理。</w:t>
      </w:r>
    </w:p>
    <w:p w14:paraId="1F71D3C4">
      <w:pPr>
        <w:pageBreakBefore w:val="0"/>
        <w:kinsoku/>
        <w:overflowPunct/>
        <w:topLinePunct w:val="0"/>
        <w:bidi w:val="0"/>
        <w:spacing w:line="360" w:lineRule="auto"/>
        <w:ind w:firstLine="422"/>
        <w:rPr>
          <w:rFonts w:ascii="Times New Roman" w:hAnsi="Times New Roman"/>
          <w:b/>
          <w:color w:val="000000"/>
          <w:szCs w:val="21"/>
        </w:rPr>
      </w:pPr>
      <w:r>
        <w:rPr>
          <w:rFonts w:ascii="Times New Roman" w:hAnsi="Times New Roman"/>
          <w:b/>
          <w:color w:val="000000"/>
          <w:szCs w:val="21"/>
        </w:rPr>
        <w:t>5</w:t>
      </w:r>
      <w:r>
        <w:rPr>
          <w:rFonts w:hint="eastAsia" w:ascii="Times New Roman" w:hAnsi="Times New Roman"/>
          <w:b/>
          <w:color w:val="000000"/>
          <w:szCs w:val="21"/>
        </w:rPr>
        <w:t>、错误修正</w:t>
      </w:r>
    </w:p>
    <w:p w14:paraId="3B1EBBC8">
      <w:pPr>
        <w:pageBreakBefore w:val="0"/>
        <w:kinsoku/>
        <w:overflowPunct/>
        <w:topLinePunct w:val="0"/>
        <w:bidi w:val="0"/>
        <w:spacing w:line="360" w:lineRule="auto"/>
        <w:ind w:firstLine="420"/>
        <w:rPr>
          <w:rFonts w:ascii="Times New Roman" w:hAnsi="Times New Roman"/>
          <w:color w:val="000000"/>
          <w:szCs w:val="21"/>
        </w:rPr>
      </w:pPr>
      <w:r>
        <w:rPr>
          <w:rFonts w:hint="eastAsia" w:ascii="Times New Roman" w:hAnsi="Times New Roman"/>
          <w:color w:val="000000"/>
          <w:szCs w:val="21"/>
        </w:rPr>
        <w:t>投标文件如果出现计算或表达上的错误，修正错误的原则如下：</w:t>
      </w:r>
    </w:p>
    <w:p w14:paraId="78FA47B1">
      <w:pPr>
        <w:pageBreakBefore w:val="0"/>
        <w:kinsoku/>
        <w:overflowPunct/>
        <w:topLinePunct w:val="0"/>
        <w:bidi w:val="0"/>
        <w:spacing w:line="360" w:lineRule="auto"/>
        <w:ind w:firstLine="420"/>
        <w:rPr>
          <w:rFonts w:ascii="Times New Roman" w:hAnsi="Times New Roman"/>
          <w:color w:val="000000"/>
          <w:szCs w:val="21"/>
        </w:rPr>
      </w:pPr>
      <w:r>
        <w:rPr>
          <w:rFonts w:ascii="Times New Roman" w:hAnsi="Times New Roman"/>
          <w:color w:val="000000"/>
          <w:szCs w:val="21"/>
        </w:rPr>
        <w:t>5.1</w:t>
      </w:r>
      <w:r>
        <w:rPr>
          <w:rFonts w:hint="eastAsia" w:ascii="Times New Roman" w:hAnsi="Times New Roman"/>
          <w:color w:val="000000"/>
          <w:szCs w:val="21"/>
        </w:rPr>
        <w:t>、开标时，投标文件中开标报价一览表内容与报价明细表内容不一致的，以开标报价一览表为准。（报价明细表中总价金额与按单价汇总金额不一致的情况除外，即总价金额与按单价汇总金额不一致的，以单价金额计算结果为准）；</w:t>
      </w:r>
    </w:p>
    <w:p w14:paraId="545DD680">
      <w:pPr>
        <w:pageBreakBefore w:val="0"/>
        <w:kinsoku/>
        <w:overflowPunct/>
        <w:topLinePunct w:val="0"/>
        <w:bidi w:val="0"/>
        <w:spacing w:line="360" w:lineRule="auto"/>
        <w:ind w:firstLine="420"/>
        <w:rPr>
          <w:rFonts w:ascii="Times New Roman" w:hAnsi="Times New Roman"/>
          <w:color w:val="000000"/>
          <w:szCs w:val="21"/>
        </w:rPr>
      </w:pPr>
      <w:r>
        <w:rPr>
          <w:rFonts w:ascii="Times New Roman" w:hAnsi="Times New Roman"/>
          <w:color w:val="000000"/>
          <w:szCs w:val="21"/>
        </w:rPr>
        <w:t>5.2</w:t>
      </w:r>
      <w:r>
        <w:rPr>
          <w:rFonts w:hint="eastAsia" w:ascii="Times New Roman" w:hAnsi="Times New Roman"/>
          <w:color w:val="000000"/>
          <w:szCs w:val="21"/>
        </w:rPr>
        <w:t>、投标文件的大写金额和小写金额不一致的，以大写金额为准；</w:t>
      </w:r>
    </w:p>
    <w:p w14:paraId="0859B21E">
      <w:pPr>
        <w:pageBreakBefore w:val="0"/>
        <w:kinsoku/>
        <w:overflowPunct/>
        <w:topLinePunct w:val="0"/>
        <w:bidi w:val="0"/>
        <w:spacing w:line="360" w:lineRule="auto"/>
        <w:ind w:firstLine="420"/>
        <w:rPr>
          <w:rFonts w:ascii="Times New Roman" w:hAnsi="Times New Roman"/>
          <w:color w:val="000000"/>
          <w:szCs w:val="21"/>
        </w:rPr>
      </w:pPr>
      <w:r>
        <w:rPr>
          <w:rFonts w:ascii="Times New Roman" w:hAnsi="Times New Roman"/>
          <w:color w:val="000000"/>
          <w:szCs w:val="21"/>
        </w:rPr>
        <w:t>5.3</w:t>
      </w:r>
      <w:r>
        <w:rPr>
          <w:rFonts w:hint="eastAsia" w:ascii="Times New Roman" w:hAnsi="Times New Roman"/>
          <w:color w:val="000000"/>
          <w:szCs w:val="21"/>
        </w:rPr>
        <w:t>、对不同文字文本投标文件的解释发生异议的，以中文文本为准。</w:t>
      </w:r>
    </w:p>
    <w:p w14:paraId="6A392388">
      <w:pPr>
        <w:pageBreakBefore w:val="0"/>
        <w:kinsoku/>
        <w:overflowPunct/>
        <w:topLinePunct w:val="0"/>
        <w:bidi w:val="0"/>
        <w:spacing w:line="360" w:lineRule="auto"/>
        <w:ind w:firstLine="420"/>
        <w:rPr>
          <w:rFonts w:ascii="Times New Roman" w:hAnsi="Times New Roman"/>
          <w:color w:val="000000"/>
          <w:szCs w:val="21"/>
        </w:rPr>
      </w:pPr>
      <w:r>
        <w:rPr>
          <w:rFonts w:ascii="Times New Roman" w:hAnsi="Times New Roman"/>
          <w:color w:val="000000"/>
          <w:szCs w:val="21"/>
        </w:rPr>
        <w:t>5.4</w:t>
      </w:r>
      <w:r>
        <w:rPr>
          <w:rFonts w:hint="eastAsia" w:ascii="Times New Roman" w:hAnsi="Times New Roman"/>
          <w:color w:val="000000"/>
          <w:szCs w:val="21"/>
        </w:rPr>
        <w:t>、按上述修正错误的原则及方法调整或修正投标文件的投标报价，投标人同意后，调整后的投标报价对投标人起约束作用。如果投标人不接受修正后的报价，则其投标将作为无效投标处理。</w:t>
      </w:r>
    </w:p>
    <w:p w14:paraId="71F7B2C4">
      <w:pPr>
        <w:pageBreakBefore w:val="0"/>
        <w:kinsoku/>
        <w:overflowPunct/>
        <w:topLinePunct w:val="0"/>
        <w:bidi w:val="0"/>
        <w:spacing w:line="360" w:lineRule="auto"/>
        <w:ind w:firstLine="422"/>
        <w:rPr>
          <w:rFonts w:ascii="Times New Roman" w:hAnsi="Times New Roman"/>
          <w:b/>
          <w:color w:val="000000"/>
          <w:szCs w:val="21"/>
        </w:rPr>
      </w:pPr>
      <w:r>
        <w:rPr>
          <w:rFonts w:ascii="Times New Roman" w:hAnsi="Times New Roman"/>
          <w:b/>
          <w:color w:val="000000"/>
          <w:szCs w:val="21"/>
        </w:rPr>
        <w:t>6</w:t>
      </w:r>
      <w:r>
        <w:rPr>
          <w:rFonts w:hint="eastAsia" w:ascii="Times New Roman" w:hAnsi="Times New Roman"/>
          <w:b/>
          <w:color w:val="000000"/>
          <w:szCs w:val="21"/>
        </w:rPr>
        <w:t>、</w:t>
      </w:r>
      <w:bookmarkStart w:id="289" w:name="_Hlk11358632"/>
      <w:r>
        <w:rPr>
          <w:rFonts w:hint="eastAsia" w:ascii="Times New Roman" w:hAnsi="Times New Roman"/>
          <w:b/>
          <w:color w:val="000000"/>
          <w:szCs w:val="21"/>
        </w:rPr>
        <w:t>评标过程的保密性</w:t>
      </w:r>
      <w:bookmarkEnd w:id="289"/>
    </w:p>
    <w:p w14:paraId="7D1C1A2A">
      <w:pPr>
        <w:pageBreakBefore w:val="0"/>
        <w:kinsoku/>
        <w:overflowPunct/>
        <w:topLinePunct w:val="0"/>
        <w:bidi w:val="0"/>
        <w:spacing w:line="360" w:lineRule="auto"/>
        <w:ind w:firstLine="420"/>
        <w:rPr>
          <w:rFonts w:ascii="Times New Roman" w:hAnsi="Times New Roman"/>
          <w:color w:val="000000"/>
          <w:szCs w:val="21"/>
        </w:rPr>
      </w:pPr>
      <w:r>
        <w:rPr>
          <w:rFonts w:ascii="Times New Roman" w:hAnsi="Times New Roman"/>
          <w:color w:val="000000"/>
          <w:szCs w:val="21"/>
        </w:rPr>
        <w:t>6.1</w:t>
      </w:r>
      <w:r>
        <w:rPr>
          <w:rFonts w:hint="eastAsia" w:ascii="Times New Roman" w:hAnsi="Times New Roman"/>
          <w:color w:val="000000"/>
          <w:szCs w:val="21"/>
        </w:rPr>
        <w:t>、</w:t>
      </w:r>
      <w:bookmarkStart w:id="290" w:name="_Hlk11358639"/>
      <w:r>
        <w:rPr>
          <w:rFonts w:hint="eastAsia" w:ascii="Times New Roman" w:hAnsi="Times New Roman"/>
          <w:color w:val="000000"/>
          <w:szCs w:val="21"/>
        </w:rPr>
        <w:t>凡是属于审查、澄清、评审和比较的有关资料以及授标建议，任何人均不得向投标人或其他无关的人员透露。投标人在评标过程中，所进行的力图影响评标结果的不公正活动，可能导致其投标被拒绝。</w:t>
      </w:r>
      <w:bookmarkEnd w:id="290"/>
    </w:p>
    <w:p w14:paraId="1C43F48B">
      <w:pPr>
        <w:pageBreakBefore w:val="0"/>
        <w:kinsoku/>
        <w:overflowPunct/>
        <w:topLinePunct w:val="0"/>
        <w:bidi w:val="0"/>
        <w:spacing w:line="360" w:lineRule="auto"/>
        <w:ind w:firstLine="422"/>
        <w:rPr>
          <w:rFonts w:ascii="Times New Roman" w:hAnsi="Times New Roman"/>
          <w:b/>
          <w:color w:val="000000"/>
          <w:szCs w:val="21"/>
        </w:rPr>
      </w:pPr>
      <w:r>
        <w:rPr>
          <w:rFonts w:ascii="Times New Roman" w:hAnsi="Times New Roman"/>
          <w:b/>
          <w:color w:val="000000"/>
          <w:szCs w:val="21"/>
        </w:rPr>
        <w:t>7</w:t>
      </w:r>
      <w:r>
        <w:rPr>
          <w:rFonts w:hint="eastAsia" w:ascii="Times New Roman" w:hAnsi="Times New Roman"/>
          <w:b/>
          <w:color w:val="000000"/>
          <w:szCs w:val="21"/>
        </w:rPr>
        <w:t>、评标原则和评标办法</w:t>
      </w:r>
    </w:p>
    <w:p w14:paraId="004AB5B1">
      <w:pPr>
        <w:pageBreakBefore w:val="0"/>
        <w:kinsoku/>
        <w:overflowPunct/>
        <w:topLinePunct w:val="0"/>
        <w:bidi w:val="0"/>
        <w:spacing w:line="360" w:lineRule="auto"/>
        <w:ind w:firstLine="420"/>
        <w:rPr>
          <w:rFonts w:ascii="Times New Roman" w:hAnsi="Times New Roman"/>
          <w:color w:val="000000"/>
          <w:szCs w:val="21"/>
        </w:rPr>
      </w:pPr>
      <w:r>
        <w:rPr>
          <w:rFonts w:ascii="Times New Roman" w:hAnsi="Times New Roman"/>
          <w:color w:val="000000"/>
          <w:szCs w:val="21"/>
        </w:rPr>
        <w:t>7.1</w:t>
      </w:r>
      <w:r>
        <w:rPr>
          <w:rFonts w:hint="eastAsia" w:ascii="Times New Roman" w:hAnsi="Times New Roman"/>
          <w:color w:val="000000"/>
          <w:szCs w:val="21"/>
        </w:rPr>
        <w:t>、评标原则。评标委员会必须做到公平、公正、客观，不带任何倾向性和启发性；不得向外界透露任何与评标有关的内容；任何单位和个人不得干扰、影响评标的正常进行；评标委员会及有关工作人员不得私下与供应商接触。</w:t>
      </w:r>
    </w:p>
    <w:p w14:paraId="63971097">
      <w:pPr>
        <w:pageBreakBefore w:val="0"/>
        <w:kinsoku/>
        <w:overflowPunct/>
        <w:topLinePunct w:val="0"/>
        <w:bidi w:val="0"/>
        <w:spacing w:line="360" w:lineRule="auto"/>
        <w:ind w:firstLine="420"/>
        <w:rPr>
          <w:rFonts w:ascii="Times New Roman" w:hAnsi="Times New Roman"/>
          <w:color w:val="000000"/>
          <w:szCs w:val="21"/>
        </w:rPr>
      </w:pPr>
      <w:r>
        <w:rPr>
          <w:rFonts w:ascii="Times New Roman" w:hAnsi="Times New Roman"/>
          <w:color w:val="000000"/>
          <w:szCs w:val="21"/>
        </w:rPr>
        <w:t>7.2</w:t>
      </w:r>
      <w:r>
        <w:rPr>
          <w:rFonts w:hint="eastAsia" w:ascii="Times New Roman" w:hAnsi="Times New Roman"/>
          <w:color w:val="000000"/>
          <w:szCs w:val="21"/>
        </w:rPr>
        <w:t>、评标办法。本项目的具体评标办法详见第四章的《评标办法及评分标准》。</w:t>
      </w:r>
      <w:bookmarkStart w:id="291" w:name="_Toc177870555"/>
      <w:bookmarkStart w:id="292" w:name="_Toc417992893"/>
    </w:p>
    <w:p w14:paraId="5833F02D">
      <w:pPr>
        <w:pageBreakBefore w:val="0"/>
        <w:kinsoku/>
        <w:overflowPunct/>
        <w:topLinePunct w:val="0"/>
        <w:bidi w:val="0"/>
        <w:spacing w:line="360" w:lineRule="auto"/>
        <w:ind w:firstLine="422"/>
        <w:rPr>
          <w:rFonts w:ascii="Times New Roman" w:hAnsi="Times New Roman"/>
          <w:b/>
          <w:bCs/>
          <w:color w:val="000000"/>
          <w:szCs w:val="21"/>
        </w:rPr>
      </w:pPr>
      <w:r>
        <w:rPr>
          <w:rFonts w:ascii="Times New Roman" w:hAnsi="Times New Roman"/>
          <w:b/>
          <w:bCs/>
          <w:color w:val="000000"/>
          <w:szCs w:val="21"/>
        </w:rPr>
        <w:t>8</w:t>
      </w:r>
      <w:r>
        <w:rPr>
          <w:rFonts w:hint="eastAsia" w:ascii="Times New Roman" w:hAnsi="Times New Roman"/>
          <w:b/>
          <w:bCs/>
          <w:color w:val="000000"/>
          <w:szCs w:val="21"/>
        </w:rPr>
        <w:t>、评标过程的监控</w:t>
      </w:r>
    </w:p>
    <w:p w14:paraId="77F65061">
      <w:pPr>
        <w:pageBreakBefore w:val="0"/>
        <w:kinsoku/>
        <w:overflowPunct/>
        <w:topLinePunct w:val="0"/>
        <w:bidi w:val="0"/>
        <w:spacing w:line="360" w:lineRule="auto"/>
        <w:ind w:firstLine="420"/>
        <w:rPr>
          <w:rFonts w:ascii="Times New Roman" w:hAnsi="Times New Roman"/>
          <w:color w:val="000000"/>
          <w:szCs w:val="21"/>
        </w:rPr>
      </w:pPr>
      <w:r>
        <w:rPr>
          <w:rFonts w:hint="eastAsia" w:ascii="Times New Roman" w:hAnsi="Times New Roman"/>
          <w:color w:val="000000"/>
          <w:szCs w:val="21"/>
        </w:rPr>
        <w:t>本项目评标过程实行全程录音、录像监控。投标人在评标过程中所进行的试图影响评标结果的不公正活动，可能导致其投标被拒绝。</w:t>
      </w:r>
    </w:p>
    <w:p w14:paraId="1FE6E2F2">
      <w:pPr>
        <w:pageBreakBefore w:val="0"/>
        <w:kinsoku/>
        <w:overflowPunct/>
        <w:topLinePunct w:val="0"/>
        <w:bidi w:val="0"/>
        <w:spacing w:line="360" w:lineRule="auto"/>
        <w:ind w:firstLine="422"/>
        <w:rPr>
          <w:rFonts w:ascii="Times New Roman" w:hAnsi="Times New Roman"/>
          <w:b/>
          <w:color w:val="000000"/>
          <w:szCs w:val="21"/>
        </w:rPr>
      </w:pPr>
      <w:r>
        <w:rPr>
          <w:rFonts w:hint="eastAsia" w:ascii="Times New Roman" w:hAnsi="Times New Roman"/>
          <w:b/>
          <w:color w:val="000000"/>
          <w:szCs w:val="21"/>
        </w:rPr>
        <w:t>六、定标</w:t>
      </w:r>
      <w:bookmarkEnd w:id="291"/>
      <w:bookmarkEnd w:id="292"/>
    </w:p>
    <w:p w14:paraId="52B58E19">
      <w:pPr>
        <w:pageBreakBefore w:val="0"/>
        <w:kinsoku/>
        <w:overflowPunct/>
        <w:topLinePunct w:val="0"/>
        <w:bidi w:val="0"/>
        <w:spacing w:line="360" w:lineRule="auto"/>
        <w:ind w:firstLine="420"/>
        <w:rPr>
          <w:rFonts w:ascii="Times New Roman" w:hAnsi="Times New Roman"/>
          <w:color w:val="000000"/>
          <w:szCs w:val="21"/>
        </w:rPr>
      </w:pPr>
      <w:bookmarkStart w:id="293" w:name="_Hlk11360673"/>
      <w:r>
        <w:rPr>
          <w:rFonts w:ascii="Times New Roman" w:hAnsi="Times New Roman"/>
          <w:color w:val="000000"/>
          <w:szCs w:val="21"/>
        </w:rPr>
        <w:t>1</w:t>
      </w:r>
      <w:r>
        <w:rPr>
          <w:rFonts w:hint="eastAsia" w:ascii="Times New Roman" w:hAnsi="Times New Roman"/>
          <w:color w:val="000000"/>
          <w:szCs w:val="21"/>
        </w:rPr>
        <w:t>、采购代理机构在评标结束后</w:t>
      </w:r>
      <w:r>
        <w:rPr>
          <w:rFonts w:ascii="Times New Roman" w:hAnsi="Times New Roman"/>
          <w:color w:val="000000"/>
          <w:szCs w:val="21"/>
        </w:rPr>
        <w:t>2</w:t>
      </w:r>
      <w:r>
        <w:rPr>
          <w:rFonts w:hint="eastAsia" w:ascii="Times New Roman" w:hAnsi="Times New Roman"/>
          <w:color w:val="000000"/>
          <w:szCs w:val="21"/>
        </w:rPr>
        <w:t>个工作日内将评标结果交采购人确认。采购人应在收到后</w:t>
      </w:r>
      <w:r>
        <w:rPr>
          <w:rFonts w:ascii="Times New Roman" w:hAnsi="Times New Roman"/>
          <w:color w:val="000000"/>
          <w:szCs w:val="21"/>
        </w:rPr>
        <w:t>5</w:t>
      </w:r>
      <w:r>
        <w:rPr>
          <w:rFonts w:hint="eastAsia" w:ascii="Times New Roman" w:hAnsi="Times New Roman"/>
          <w:color w:val="000000"/>
          <w:szCs w:val="21"/>
        </w:rPr>
        <w:t>个工作日内对评标结果进行确认。</w:t>
      </w:r>
    </w:p>
    <w:p w14:paraId="736ECE00">
      <w:pPr>
        <w:pageBreakBefore w:val="0"/>
        <w:kinsoku/>
        <w:overflowPunct/>
        <w:topLinePunct w:val="0"/>
        <w:bidi w:val="0"/>
        <w:spacing w:line="360" w:lineRule="auto"/>
        <w:ind w:firstLine="420"/>
        <w:rPr>
          <w:rFonts w:ascii="Times New Roman" w:hAnsi="Times New Roman"/>
          <w:color w:val="000000"/>
          <w:szCs w:val="21"/>
        </w:rPr>
      </w:pPr>
      <w:r>
        <w:rPr>
          <w:rFonts w:ascii="Times New Roman" w:hAnsi="Times New Roman"/>
          <w:color w:val="000000"/>
          <w:szCs w:val="21"/>
        </w:rPr>
        <w:t>2</w:t>
      </w:r>
      <w:r>
        <w:rPr>
          <w:rFonts w:hint="eastAsia" w:ascii="Times New Roman" w:hAnsi="Times New Roman"/>
          <w:color w:val="000000"/>
          <w:szCs w:val="21"/>
        </w:rPr>
        <w:t>、自中标、成交供应商确定之日起</w:t>
      </w:r>
      <w:r>
        <w:rPr>
          <w:rFonts w:ascii="Times New Roman" w:hAnsi="Times New Roman"/>
          <w:color w:val="000000"/>
          <w:szCs w:val="21"/>
        </w:rPr>
        <w:t>2</w:t>
      </w:r>
      <w:r>
        <w:rPr>
          <w:rFonts w:hint="eastAsia" w:ascii="Times New Roman" w:hAnsi="Times New Roman"/>
          <w:color w:val="000000"/>
          <w:szCs w:val="21"/>
        </w:rPr>
        <w:t>个工作日内，采购代理机构将在发布招标公告的网站上对中标结果进行公告，同时以书面形式发出中标通知书。</w:t>
      </w:r>
    </w:p>
    <w:bookmarkEnd w:id="293"/>
    <w:p w14:paraId="7EC2D747">
      <w:pPr>
        <w:pageBreakBefore w:val="0"/>
        <w:kinsoku/>
        <w:overflowPunct/>
        <w:topLinePunct w:val="0"/>
        <w:bidi w:val="0"/>
        <w:spacing w:line="360" w:lineRule="auto"/>
        <w:ind w:firstLine="422"/>
        <w:rPr>
          <w:rFonts w:ascii="Times New Roman" w:hAnsi="Times New Roman"/>
          <w:b/>
          <w:color w:val="000000"/>
          <w:szCs w:val="21"/>
        </w:rPr>
      </w:pPr>
      <w:r>
        <w:rPr>
          <w:rFonts w:hint="eastAsia" w:ascii="Times New Roman" w:hAnsi="Times New Roman"/>
          <w:b/>
          <w:color w:val="000000"/>
          <w:szCs w:val="21"/>
        </w:rPr>
        <w:t>七、合同授予</w:t>
      </w:r>
    </w:p>
    <w:p w14:paraId="185D0205">
      <w:pPr>
        <w:pageBreakBefore w:val="0"/>
        <w:kinsoku/>
        <w:overflowPunct/>
        <w:topLinePunct w:val="0"/>
        <w:bidi w:val="0"/>
        <w:spacing w:line="360" w:lineRule="auto"/>
        <w:ind w:firstLine="422"/>
        <w:rPr>
          <w:rFonts w:ascii="Times New Roman" w:hAnsi="Times New Roman"/>
          <w:b/>
          <w:color w:val="000000"/>
          <w:szCs w:val="21"/>
        </w:rPr>
      </w:pPr>
      <w:r>
        <w:rPr>
          <w:rFonts w:ascii="Times New Roman" w:hAnsi="Times New Roman"/>
          <w:b/>
          <w:color w:val="000000"/>
          <w:szCs w:val="21"/>
        </w:rPr>
        <w:t>1</w:t>
      </w:r>
      <w:r>
        <w:rPr>
          <w:rFonts w:hint="eastAsia" w:ascii="Times New Roman" w:hAnsi="Times New Roman"/>
          <w:b/>
          <w:color w:val="000000"/>
          <w:szCs w:val="21"/>
        </w:rPr>
        <w:t>、签订合同</w:t>
      </w:r>
    </w:p>
    <w:p w14:paraId="71ABE87E">
      <w:pPr>
        <w:pageBreakBefore w:val="0"/>
        <w:kinsoku/>
        <w:overflowPunct/>
        <w:topLinePunct w:val="0"/>
        <w:bidi w:val="0"/>
        <w:spacing w:line="360" w:lineRule="auto"/>
        <w:ind w:firstLine="420"/>
        <w:rPr>
          <w:rFonts w:ascii="Times New Roman" w:hAnsi="Times New Roman"/>
          <w:color w:val="000000"/>
          <w:szCs w:val="21"/>
        </w:rPr>
      </w:pPr>
      <w:r>
        <w:rPr>
          <w:rFonts w:ascii="Times New Roman" w:hAnsi="Times New Roman"/>
          <w:color w:val="000000"/>
          <w:szCs w:val="21"/>
        </w:rPr>
        <w:t>1.1</w:t>
      </w:r>
      <w:r>
        <w:rPr>
          <w:rFonts w:hint="eastAsia" w:ascii="Times New Roman" w:hAnsi="Times New Roman"/>
          <w:color w:val="000000"/>
          <w:szCs w:val="21"/>
        </w:rPr>
        <w:t>、中标人自接到中标通知书后</w:t>
      </w:r>
      <w:r>
        <w:rPr>
          <w:rFonts w:ascii="Times New Roman" w:hAnsi="Times New Roman"/>
          <w:color w:val="000000"/>
          <w:szCs w:val="21"/>
        </w:rPr>
        <w:t>30</w:t>
      </w:r>
      <w:r>
        <w:rPr>
          <w:rFonts w:hint="eastAsia" w:ascii="Times New Roman" w:hAnsi="Times New Roman"/>
          <w:color w:val="000000"/>
          <w:szCs w:val="21"/>
        </w:rPr>
        <w:t>日内与</w:t>
      </w:r>
      <w:r>
        <w:rPr>
          <w:rFonts w:hint="eastAsia" w:ascii="Times New Roman" w:hAnsi="Times New Roman" w:cs="Arial"/>
          <w:color w:val="000000"/>
          <w:szCs w:val="21"/>
        </w:rPr>
        <w:t>采购单位签订的政府采购合同</w:t>
      </w:r>
      <w:r>
        <w:rPr>
          <w:rFonts w:hint="eastAsia" w:ascii="Times New Roman" w:hAnsi="Times New Roman"/>
          <w:color w:val="000000"/>
          <w:szCs w:val="21"/>
        </w:rPr>
        <w:t>。同时采购代理机构对合同内容进行审查，如发现与采购结果和投标承诺内容不一致的，应予以纠正。</w:t>
      </w:r>
    </w:p>
    <w:p w14:paraId="4BC0766D">
      <w:pPr>
        <w:pageBreakBefore w:val="0"/>
        <w:kinsoku/>
        <w:overflowPunct/>
        <w:topLinePunct w:val="0"/>
        <w:bidi w:val="0"/>
        <w:spacing w:line="360" w:lineRule="auto"/>
        <w:ind w:firstLine="420"/>
        <w:rPr>
          <w:rFonts w:ascii="Times New Roman" w:hAnsi="Times New Roman"/>
          <w:color w:val="000000"/>
          <w:szCs w:val="21"/>
        </w:rPr>
      </w:pPr>
      <w:r>
        <w:rPr>
          <w:rFonts w:ascii="Times New Roman" w:hAnsi="Times New Roman"/>
          <w:color w:val="000000"/>
          <w:szCs w:val="21"/>
        </w:rPr>
        <w:t>1.2</w:t>
      </w:r>
      <w:r>
        <w:rPr>
          <w:rFonts w:hint="eastAsia" w:ascii="Times New Roman" w:hAnsi="Times New Roman"/>
          <w:color w:val="000000"/>
          <w:szCs w:val="21"/>
        </w:rPr>
        <w:t>、中标人拖延、拒签合同的，将被取消中标资格；</w:t>
      </w:r>
      <w:bookmarkStart w:id="294" w:name="_Hlk11360751"/>
      <w:r>
        <w:rPr>
          <w:rFonts w:hint="eastAsia" w:ascii="Times New Roman" w:hAnsi="Times New Roman"/>
          <w:color w:val="000000"/>
          <w:szCs w:val="21"/>
        </w:rPr>
        <w:t>造成招标人损失的，按实际损失赔偿，并报监督管理部门。</w:t>
      </w:r>
      <w:bookmarkEnd w:id="294"/>
    </w:p>
    <w:p w14:paraId="3EB53942">
      <w:pPr>
        <w:pageBreakBefore w:val="0"/>
        <w:kinsoku/>
        <w:overflowPunct/>
        <w:topLinePunct w:val="0"/>
        <w:bidi w:val="0"/>
        <w:spacing w:line="360" w:lineRule="auto"/>
        <w:ind w:firstLine="420"/>
        <w:rPr>
          <w:rFonts w:ascii="Times New Roman" w:hAnsi="Times New Roman"/>
          <w:color w:val="000000"/>
          <w:szCs w:val="21"/>
        </w:rPr>
      </w:pPr>
      <w:r>
        <w:rPr>
          <w:rFonts w:ascii="Times New Roman" w:hAnsi="Times New Roman"/>
          <w:color w:val="000000"/>
          <w:szCs w:val="21"/>
        </w:rPr>
        <w:t>1.3</w:t>
      </w:r>
      <w:r>
        <w:rPr>
          <w:rFonts w:hint="eastAsia" w:ascii="Times New Roman" w:hAnsi="Times New Roman"/>
          <w:color w:val="000000"/>
          <w:szCs w:val="21"/>
        </w:rPr>
        <w:t>、</w:t>
      </w:r>
      <w:bookmarkStart w:id="295" w:name="_Hlk11360765"/>
      <w:r>
        <w:rPr>
          <w:rFonts w:hint="eastAsia" w:ascii="Times New Roman" w:hAnsi="Times New Roman"/>
          <w:color w:val="000000"/>
          <w:szCs w:val="21"/>
        </w:rPr>
        <w:t>采购人应当自政府采购合同签订之日起</w:t>
      </w:r>
      <w:r>
        <w:rPr>
          <w:rFonts w:ascii="Times New Roman" w:hAnsi="Times New Roman"/>
          <w:color w:val="000000"/>
          <w:szCs w:val="21"/>
        </w:rPr>
        <w:t>2</w:t>
      </w:r>
      <w:r>
        <w:rPr>
          <w:rFonts w:hint="eastAsia" w:ascii="Times New Roman" w:hAnsi="Times New Roman"/>
          <w:color w:val="000000"/>
          <w:szCs w:val="21"/>
        </w:rPr>
        <w:t>个工作日内，将政府采购合同在省级以上人民政府财政部门指定的媒体上公告，但政府采购合同中涉及国家秘密、商业秘密的内容除外。</w:t>
      </w:r>
      <w:bookmarkEnd w:id="295"/>
      <w:bookmarkStart w:id="296" w:name="_Toc417992895"/>
    </w:p>
    <w:p w14:paraId="39C41374">
      <w:pPr>
        <w:pageBreakBefore w:val="0"/>
        <w:kinsoku/>
        <w:overflowPunct/>
        <w:topLinePunct w:val="0"/>
        <w:bidi w:val="0"/>
        <w:snapToGrid w:val="0"/>
        <w:spacing w:line="360" w:lineRule="auto"/>
        <w:ind w:firstLine="420" w:firstLineChars="199"/>
        <w:jc w:val="left"/>
        <w:rPr>
          <w:rFonts w:ascii="Times New Roman" w:hAnsi="Times New Roman"/>
          <w:b/>
          <w:color w:val="000000"/>
          <w:szCs w:val="21"/>
        </w:rPr>
      </w:pPr>
      <w:r>
        <w:rPr>
          <w:rFonts w:hint="eastAsia" w:ascii="Times New Roman" w:hAnsi="Times New Roman"/>
          <w:b/>
          <w:color w:val="000000"/>
          <w:szCs w:val="21"/>
        </w:rPr>
        <w:t>八、招标代理服务费</w:t>
      </w:r>
    </w:p>
    <w:bookmarkEnd w:id="296"/>
    <w:p w14:paraId="30BCE8F2">
      <w:pPr>
        <w:pageBreakBefore w:val="0"/>
        <w:kinsoku/>
        <w:overflowPunct/>
        <w:topLinePunct w:val="0"/>
        <w:bidi w:val="0"/>
        <w:spacing w:line="360" w:lineRule="auto"/>
        <w:ind w:firstLine="420" w:firstLineChars="200"/>
        <w:rPr>
          <w:color w:val="000000"/>
          <w:szCs w:val="21"/>
        </w:rPr>
      </w:pPr>
      <w:bookmarkStart w:id="297" w:name="_Toc11067541"/>
      <w:bookmarkStart w:id="298" w:name="_Toc520898153"/>
      <w:bookmarkStart w:id="299" w:name="_Toc11067542"/>
      <w:r>
        <w:rPr>
          <w:rFonts w:hint="eastAsia"/>
          <w:color w:val="000000"/>
          <w:szCs w:val="21"/>
        </w:rPr>
        <w:t>招标代理服务费按照《招标代理服务收费管理暂行办法》（计价格[2</w:t>
      </w:r>
      <w:r>
        <w:rPr>
          <w:rFonts w:hint="eastAsia"/>
          <w:color w:val="000000"/>
          <w:szCs w:val="21"/>
          <w:lang w:eastAsia="zh-CN"/>
        </w:rPr>
        <w:t>006</w:t>
      </w:r>
      <w:r>
        <w:rPr>
          <w:rFonts w:hint="eastAsia"/>
          <w:color w:val="000000"/>
          <w:szCs w:val="21"/>
        </w:rPr>
        <w:t>]1980号）收费标准的68.53%计取(优惠后的合同金额最低不少于4500元)。造价咨询服务费按照浙价服[2009]84号文《浙江省物价局关于进一步完善工程造价咨询服务收费的通知》收费标准的</w:t>
      </w:r>
      <w:r>
        <w:rPr>
          <w:rFonts w:hint="eastAsia"/>
          <w:color w:val="000000"/>
          <w:szCs w:val="21"/>
          <w:lang w:val="en-US" w:eastAsia="zh-CN"/>
        </w:rPr>
        <w:t>68.53</w:t>
      </w:r>
      <w:r>
        <w:rPr>
          <w:rFonts w:hint="eastAsia"/>
          <w:color w:val="000000"/>
          <w:szCs w:val="21"/>
        </w:rPr>
        <w:t>%(优惠后的合同金额最低不少于4</w:t>
      </w:r>
      <w:r>
        <w:rPr>
          <w:rFonts w:hint="eastAsia"/>
          <w:color w:val="000000"/>
          <w:szCs w:val="21"/>
          <w:lang w:val="en-US" w:eastAsia="zh-CN"/>
        </w:rPr>
        <w:t>5</w:t>
      </w:r>
      <w:r>
        <w:rPr>
          <w:rFonts w:hint="eastAsia"/>
          <w:color w:val="000000"/>
          <w:szCs w:val="21"/>
        </w:rPr>
        <w:t>00元).由中标人支付（招标代理服务费及造价咨询服务费不在报价中单列）。由中标人支付（招标代理服务费不在报价中单列）。中标人须在领取中标通知书前应以转账或汇款方式提交至以下账户：</w:t>
      </w:r>
    </w:p>
    <w:p w14:paraId="3A579D7D">
      <w:pPr>
        <w:pageBreakBefore w:val="0"/>
        <w:kinsoku/>
        <w:overflowPunct/>
        <w:topLinePunct w:val="0"/>
        <w:bidi w:val="0"/>
        <w:spacing w:line="360" w:lineRule="auto"/>
        <w:ind w:firstLine="420" w:firstLineChars="200"/>
        <w:rPr>
          <w:rFonts w:hint="eastAsia"/>
          <w:color w:val="000000"/>
          <w:szCs w:val="21"/>
        </w:rPr>
      </w:pPr>
      <w:r>
        <w:rPr>
          <w:rFonts w:hint="eastAsia"/>
          <w:color w:val="000000"/>
          <w:szCs w:val="21"/>
        </w:rPr>
        <w:t xml:space="preserve">名称：浙江求真工程管理咨询有限公司嘉兴分公司 </w:t>
      </w:r>
    </w:p>
    <w:p w14:paraId="3B0CB3DF">
      <w:pPr>
        <w:pageBreakBefore w:val="0"/>
        <w:kinsoku/>
        <w:overflowPunct/>
        <w:topLinePunct w:val="0"/>
        <w:bidi w:val="0"/>
        <w:spacing w:line="360" w:lineRule="auto"/>
        <w:ind w:firstLine="420" w:firstLineChars="200"/>
        <w:rPr>
          <w:rFonts w:hint="eastAsia"/>
          <w:color w:val="000000"/>
          <w:szCs w:val="21"/>
        </w:rPr>
      </w:pPr>
      <w:r>
        <w:rPr>
          <w:rFonts w:hint="eastAsia"/>
          <w:color w:val="000000"/>
          <w:szCs w:val="21"/>
        </w:rPr>
        <w:t xml:space="preserve">税号：91330401MABUUL2J3W </w:t>
      </w:r>
    </w:p>
    <w:p w14:paraId="627F0227">
      <w:pPr>
        <w:pageBreakBefore w:val="0"/>
        <w:kinsoku/>
        <w:overflowPunct/>
        <w:topLinePunct w:val="0"/>
        <w:bidi w:val="0"/>
        <w:spacing w:line="360" w:lineRule="auto"/>
        <w:ind w:firstLine="420" w:firstLineChars="200"/>
        <w:rPr>
          <w:rFonts w:hint="eastAsia"/>
          <w:color w:val="000000"/>
          <w:szCs w:val="21"/>
        </w:rPr>
      </w:pPr>
      <w:r>
        <w:rPr>
          <w:rFonts w:hint="eastAsia"/>
          <w:color w:val="000000"/>
          <w:szCs w:val="21"/>
        </w:rPr>
        <w:t xml:space="preserve">地址：浙江省嘉兴市经济技术开发区万豪大厦1204室 </w:t>
      </w:r>
    </w:p>
    <w:p w14:paraId="3F58D93C">
      <w:pPr>
        <w:pageBreakBefore w:val="0"/>
        <w:kinsoku/>
        <w:overflowPunct/>
        <w:topLinePunct w:val="0"/>
        <w:bidi w:val="0"/>
        <w:spacing w:line="360" w:lineRule="auto"/>
        <w:ind w:firstLine="420" w:firstLineChars="200"/>
        <w:rPr>
          <w:rFonts w:hint="eastAsia"/>
          <w:color w:val="000000"/>
          <w:szCs w:val="21"/>
        </w:rPr>
      </w:pPr>
      <w:r>
        <w:rPr>
          <w:rFonts w:hint="eastAsia"/>
          <w:color w:val="000000"/>
          <w:szCs w:val="21"/>
        </w:rPr>
        <w:t xml:space="preserve">电话：0573-82133572 </w:t>
      </w:r>
    </w:p>
    <w:p w14:paraId="6A915C25">
      <w:pPr>
        <w:pageBreakBefore w:val="0"/>
        <w:kinsoku/>
        <w:overflowPunct/>
        <w:topLinePunct w:val="0"/>
        <w:bidi w:val="0"/>
        <w:spacing w:line="360" w:lineRule="auto"/>
        <w:ind w:firstLine="420" w:firstLineChars="200"/>
        <w:rPr>
          <w:rFonts w:hint="eastAsia"/>
          <w:color w:val="000000"/>
          <w:szCs w:val="21"/>
          <w:lang w:val="en-US" w:eastAsia="zh-CN"/>
        </w:rPr>
      </w:pPr>
      <w:r>
        <w:rPr>
          <w:rFonts w:hint="eastAsia"/>
          <w:color w:val="000000"/>
          <w:szCs w:val="21"/>
        </w:rPr>
        <w:t xml:space="preserve">银行：嘉兴银行股份有限公司秀水支行 </w:t>
      </w:r>
      <w:r>
        <w:rPr>
          <w:rFonts w:hint="eastAsia"/>
          <w:color w:val="000000"/>
          <w:szCs w:val="21"/>
          <w:lang w:val="en-US" w:eastAsia="zh-CN"/>
        </w:rPr>
        <w:t xml:space="preserve">   </w:t>
      </w:r>
    </w:p>
    <w:p w14:paraId="5DD0EDF5">
      <w:pPr>
        <w:pageBreakBefore w:val="0"/>
        <w:kinsoku/>
        <w:overflowPunct/>
        <w:topLinePunct w:val="0"/>
        <w:bidi w:val="0"/>
        <w:spacing w:line="360" w:lineRule="auto"/>
        <w:ind w:firstLine="420" w:firstLineChars="200"/>
        <w:rPr>
          <w:rFonts w:hint="eastAsia"/>
          <w:color w:val="000000"/>
          <w:szCs w:val="21"/>
        </w:rPr>
      </w:pPr>
      <w:r>
        <w:rPr>
          <w:rFonts w:hint="eastAsia"/>
          <w:color w:val="000000"/>
          <w:szCs w:val="21"/>
        </w:rPr>
        <w:t>帐号：8011000019957 </w:t>
      </w:r>
    </w:p>
    <w:p w14:paraId="0A3F921C">
      <w:pPr>
        <w:pageBreakBefore w:val="0"/>
        <w:kinsoku/>
        <w:overflowPunct/>
        <w:topLinePunct w:val="0"/>
        <w:bidi w:val="0"/>
        <w:spacing w:line="360" w:lineRule="auto"/>
        <w:ind w:firstLine="643" w:firstLineChars="200"/>
        <w:jc w:val="center"/>
        <w:rPr>
          <w:rFonts w:ascii="Times New Roman" w:hAnsi="Times New Roman"/>
          <w:color w:val="000000"/>
        </w:rPr>
      </w:pPr>
      <w:r>
        <w:rPr>
          <w:rFonts w:hint="eastAsia" w:ascii="Times New Roman" w:hAnsi="Times New Roman"/>
          <w:b/>
          <w:bCs/>
          <w:color w:val="000000"/>
          <w:kern w:val="0"/>
          <w:sz w:val="32"/>
          <w:szCs w:val="32"/>
        </w:rPr>
        <w:t>第四章</w:t>
      </w:r>
      <w:r>
        <w:rPr>
          <w:rFonts w:ascii="Times New Roman" w:hAnsi="Times New Roman"/>
          <w:b/>
          <w:bCs/>
          <w:color w:val="000000"/>
          <w:kern w:val="0"/>
          <w:sz w:val="32"/>
          <w:szCs w:val="32"/>
        </w:rPr>
        <w:t xml:space="preserve">  </w:t>
      </w:r>
      <w:r>
        <w:rPr>
          <w:rFonts w:hint="eastAsia" w:ascii="Times New Roman" w:hAnsi="Times New Roman"/>
          <w:b/>
          <w:bCs/>
          <w:color w:val="000000"/>
          <w:kern w:val="0"/>
          <w:sz w:val="32"/>
          <w:szCs w:val="32"/>
        </w:rPr>
        <w:t>评标办法及评分标准</w:t>
      </w:r>
      <w:bookmarkEnd w:id="297"/>
    </w:p>
    <w:p w14:paraId="48000808">
      <w:pPr>
        <w:pageBreakBefore w:val="0"/>
        <w:kinsoku/>
        <w:overflowPunct/>
        <w:topLinePunct w:val="0"/>
        <w:bidi w:val="0"/>
        <w:snapToGrid w:val="0"/>
        <w:spacing w:line="360" w:lineRule="auto"/>
        <w:ind w:firstLine="559" w:firstLineChars="199"/>
        <w:jc w:val="center"/>
        <w:rPr>
          <w:rFonts w:ascii="Times New Roman" w:hAnsi="Times New Roman"/>
          <w:b/>
          <w:bCs/>
          <w:color w:val="000000"/>
          <w:kern w:val="44"/>
          <w:sz w:val="28"/>
          <w:szCs w:val="28"/>
        </w:rPr>
      </w:pPr>
    </w:p>
    <w:p w14:paraId="0183DD8E">
      <w:pPr>
        <w:pageBreakBefore w:val="0"/>
        <w:kinsoku/>
        <w:overflowPunct/>
        <w:topLinePunct w:val="0"/>
        <w:bidi w:val="0"/>
        <w:spacing w:line="360" w:lineRule="auto"/>
        <w:ind w:firstLine="420"/>
        <w:rPr>
          <w:rFonts w:ascii="Times New Roman" w:hAnsi="Times New Roman"/>
          <w:color w:val="000000"/>
        </w:rPr>
      </w:pPr>
      <w:r>
        <w:rPr>
          <w:rFonts w:hint="eastAsia" w:ascii="Times New Roman" w:hAnsi="Times New Roman"/>
          <w:color w:val="000000"/>
        </w:rPr>
        <w:t>为公正、公平、科学地选择中标人，根据《中华人民共和国政府采购法》等有关法律法规的规定，并结合本项目的实际，制定本办法。</w:t>
      </w:r>
    </w:p>
    <w:p w14:paraId="1B5C997F">
      <w:pPr>
        <w:pageBreakBefore w:val="0"/>
        <w:kinsoku/>
        <w:overflowPunct/>
        <w:topLinePunct w:val="0"/>
        <w:bidi w:val="0"/>
        <w:spacing w:beforeLines="50" w:afterLines="50" w:line="360" w:lineRule="auto"/>
        <w:ind w:firstLine="420" w:firstLineChars="200"/>
        <w:rPr>
          <w:rFonts w:ascii="Times New Roman" w:hAnsi="Times New Roman"/>
          <w:color w:val="000000"/>
        </w:rPr>
      </w:pPr>
      <w:bookmarkStart w:id="300" w:name="_Hlk11361323"/>
      <w:r>
        <w:rPr>
          <w:rFonts w:hint="eastAsia" w:ascii="Times New Roman" w:hAnsi="Times New Roman"/>
          <w:color w:val="000000"/>
        </w:rPr>
        <w:t>本办法适用本项目的评标</w:t>
      </w:r>
      <w:bookmarkEnd w:id="300"/>
      <w:r>
        <w:rPr>
          <w:rFonts w:hint="eastAsia" w:ascii="Times New Roman" w:hAnsi="Times New Roman"/>
          <w:color w:val="000000"/>
        </w:rPr>
        <w:t>。</w:t>
      </w:r>
    </w:p>
    <w:p w14:paraId="6C8B50D6">
      <w:pPr>
        <w:pageBreakBefore w:val="0"/>
        <w:kinsoku/>
        <w:overflowPunct/>
        <w:topLinePunct w:val="0"/>
        <w:bidi w:val="0"/>
        <w:spacing w:beforeLines="50" w:afterLines="50" w:line="360" w:lineRule="auto"/>
        <w:ind w:firstLine="482"/>
        <w:rPr>
          <w:rFonts w:ascii="Times New Roman" w:hAnsi="Times New Roman"/>
          <w:b/>
          <w:color w:val="000000"/>
          <w:sz w:val="24"/>
        </w:rPr>
      </w:pPr>
      <w:r>
        <w:rPr>
          <w:rFonts w:hint="eastAsia" w:ascii="Times New Roman" w:hAnsi="Times New Roman"/>
          <w:b/>
          <w:color w:val="000000"/>
          <w:sz w:val="24"/>
        </w:rPr>
        <w:t>一</w:t>
      </w:r>
      <w:r>
        <w:rPr>
          <w:rFonts w:ascii="Times New Roman" w:hAnsi="Times New Roman"/>
          <w:b/>
          <w:color w:val="000000"/>
          <w:sz w:val="24"/>
        </w:rPr>
        <w:t xml:space="preserve"> </w:t>
      </w:r>
      <w:r>
        <w:rPr>
          <w:rFonts w:hint="eastAsia" w:ascii="Times New Roman" w:hAnsi="Times New Roman"/>
          <w:b/>
          <w:color w:val="000000"/>
          <w:sz w:val="24"/>
        </w:rPr>
        <w:t>、总则</w:t>
      </w:r>
    </w:p>
    <w:p w14:paraId="215C7E4A">
      <w:pPr>
        <w:pageBreakBefore w:val="0"/>
        <w:kinsoku/>
        <w:overflowPunct/>
        <w:topLinePunct w:val="0"/>
        <w:bidi w:val="0"/>
        <w:spacing w:line="360" w:lineRule="auto"/>
        <w:ind w:firstLine="420" w:firstLineChars="200"/>
        <w:rPr>
          <w:rFonts w:ascii="Times New Roman" w:hAnsi="Times New Roman"/>
          <w:color w:val="000000"/>
        </w:rPr>
      </w:pPr>
      <w:r>
        <w:rPr>
          <w:rFonts w:hint="eastAsia" w:ascii="Times New Roman" w:hAnsi="Times New Roman"/>
          <w:color w:val="000000"/>
        </w:rPr>
        <w:t>本次评标采用综合评分法，</w:t>
      </w:r>
      <w:r>
        <w:rPr>
          <w:rFonts w:hint="eastAsia"/>
          <w:color w:val="000000"/>
          <w:szCs w:val="21"/>
        </w:rPr>
        <w:t>总分为100分，其中价格分10分、技术分</w:t>
      </w:r>
      <w:r>
        <w:rPr>
          <w:rFonts w:hint="eastAsia"/>
          <w:color w:val="000000"/>
          <w:szCs w:val="21"/>
          <w:lang w:val="en-US" w:eastAsia="zh-CN"/>
        </w:rPr>
        <w:t>90</w:t>
      </w:r>
      <w:r>
        <w:rPr>
          <w:rFonts w:hint="eastAsia"/>
          <w:color w:val="000000"/>
          <w:szCs w:val="21"/>
        </w:rPr>
        <w:t>分、资信商务及其他分</w:t>
      </w:r>
      <w:r>
        <w:rPr>
          <w:rFonts w:hint="eastAsia"/>
          <w:color w:val="000000"/>
          <w:szCs w:val="21"/>
          <w:lang w:val="en-US" w:eastAsia="zh-CN"/>
        </w:rPr>
        <w:t>0</w:t>
      </w:r>
      <w:r>
        <w:rPr>
          <w:rFonts w:hint="eastAsia"/>
          <w:color w:val="000000"/>
          <w:szCs w:val="21"/>
        </w:rPr>
        <w:t>分。</w:t>
      </w:r>
      <w:r>
        <w:rPr>
          <w:rFonts w:hint="eastAsia" w:ascii="Times New Roman" w:hAnsi="Times New Roman"/>
          <w:color w:val="000000"/>
        </w:rPr>
        <w:t>合格投标人的评标得分为各项目汇总得分，中标候选资格按评标得分由高到低顺序排列，得分相同的，按投标报价由低到高顺序排列；得分且投标报价相同的，按技术得分由高到低顺序排列，仍不能分出前后的，以投标签到先后顺序确定中标人。排名第一的投标人为中标候选人。</w:t>
      </w:r>
      <w:r>
        <w:rPr>
          <w:rFonts w:hint="eastAsia" w:ascii="Times New Roman" w:hAnsi="Times New Roman"/>
          <w:b/>
          <w:color w:val="000000"/>
        </w:rPr>
        <w:t>中标人拒绝与采购人签订合同的，采购人可以重新开展政府采购活动</w:t>
      </w:r>
      <w:r>
        <w:rPr>
          <w:rFonts w:hint="eastAsia" w:ascii="Times New Roman" w:hAnsi="Times New Roman"/>
          <w:color w:val="000000"/>
        </w:rPr>
        <w:t>。评分过程中采用四舍五入法，并保留小数</w:t>
      </w:r>
      <w:r>
        <w:rPr>
          <w:rFonts w:ascii="Times New Roman" w:hAnsi="Times New Roman"/>
          <w:color w:val="000000"/>
        </w:rPr>
        <w:t>2</w:t>
      </w:r>
      <w:r>
        <w:rPr>
          <w:rFonts w:hint="eastAsia" w:ascii="Times New Roman" w:hAnsi="Times New Roman"/>
          <w:color w:val="000000"/>
        </w:rPr>
        <w:t>位。</w:t>
      </w:r>
    </w:p>
    <w:p w14:paraId="4742B772">
      <w:pPr>
        <w:pStyle w:val="50"/>
        <w:spacing w:before="120" w:beforeLines="50" w:after="0" w:line="360" w:lineRule="auto"/>
        <w:ind w:left="0" w:leftChars="0" w:firstLine="414"/>
        <w:rPr>
          <w:rFonts w:hint="eastAsia" w:hAnsi="宋体"/>
        </w:rPr>
      </w:pPr>
      <w:r>
        <w:rPr>
          <w:rFonts w:hint="eastAsia" w:ascii="黑体" w:hAnsi="黑体" w:eastAsia="黑体" w:cs="黑体"/>
          <w:b/>
          <w:szCs w:val="21"/>
        </w:rPr>
        <w:t>本项目设有二个标段（同一供应商最多中1个标项），评标过程中按照先评一标段、最后评二标段，已评标段的第一中标候选人不再进入后续标段的中标候选人推荐。</w:t>
      </w:r>
    </w:p>
    <w:p w14:paraId="3D440134">
      <w:pPr>
        <w:pageBreakBefore w:val="0"/>
        <w:kinsoku/>
        <w:overflowPunct/>
        <w:topLinePunct w:val="0"/>
        <w:bidi w:val="0"/>
        <w:spacing w:beforeLines="50" w:afterLines="50" w:line="360" w:lineRule="auto"/>
        <w:ind w:firstLine="562"/>
        <w:rPr>
          <w:rFonts w:ascii="Times New Roman" w:hAnsi="Times New Roman"/>
          <w:b/>
          <w:color w:val="000000"/>
          <w:sz w:val="28"/>
          <w:szCs w:val="28"/>
        </w:rPr>
      </w:pPr>
      <w:r>
        <w:rPr>
          <w:rFonts w:hint="eastAsia" w:ascii="Times New Roman" w:hAnsi="Times New Roman"/>
          <w:b/>
          <w:color w:val="000000"/>
          <w:sz w:val="28"/>
          <w:szCs w:val="28"/>
        </w:rPr>
        <w:t>二、评标内容及标准</w:t>
      </w:r>
    </w:p>
    <w:p w14:paraId="7A856183">
      <w:pPr>
        <w:pStyle w:val="15"/>
        <w:pageBreakBefore w:val="0"/>
        <w:kinsoku/>
        <w:overflowPunct/>
        <w:topLinePunct w:val="0"/>
        <w:bidi w:val="0"/>
        <w:spacing w:beforeLines="50" w:afterLines="50" w:line="360" w:lineRule="auto"/>
        <w:ind w:left="0" w:leftChars="0" w:firstLine="422" w:firstLineChars="200"/>
        <w:rPr>
          <w:rFonts w:ascii="Times New Roman" w:hAnsi="Times New Roman"/>
          <w:b/>
          <w:color w:val="000000"/>
          <w:szCs w:val="24"/>
        </w:rPr>
      </w:pPr>
      <w:bookmarkStart w:id="301" w:name="_Toc380429946"/>
      <w:bookmarkStart w:id="302" w:name="_Toc384730990"/>
      <w:r>
        <w:rPr>
          <w:rFonts w:hint="eastAsia" w:ascii="Times New Roman" w:hAnsi="Times New Roman"/>
          <w:b/>
          <w:color w:val="000000"/>
        </w:rPr>
        <w:t>（一</w:t>
      </w:r>
      <w:r>
        <w:rPr>
          <w:rFonts w:hint="eastAsia" w:ascii="Times New Roman" w:hAnsi="Times New Roman"/>
          <w:b/>
          <w:bCs/>
          <w:color w:val="000000"/>
        </w:rPr>
        <w:t>）价格分（</w:t>
      </w:r>
      <w:r>
        <w:rPr>
          <w:rFonts w:ascii="Times New Roman" w:hAnsi="Times New Roman"/>
          <w:b/>
          <w:bCs/>
          <w:color w:val="000000"/>
        </w:rPr>
        <w:t>0-</w:t>
      </w:r>
      <w:r>
        <w:rPr>
          <w:rFonts w:hint="eastAsia" w:ascii="Times New Roman" w:hAnsi="Times New Roman"/>
          <w:b/>
          <w:bCs/>
          <w:color w:val="000000"/>
        </w:rPr>
        <w:t>1</w:t>
      </w:r>
      <w:r>
        <w:rPr>
          <w:rFonts w:ascii="Times New Roman" w:hAnsi="Times New Roman"/>
          <w:b/>
          <w:bCs/>
          <w:color w:val="000000"/>
        </w:rPr>
        <w:t>0</w:t>
      </w:r>
      <w:r>
        <w:rPr>
          <w:rFonts w:hint="eastAsia" w:ascii="Times New Roman" w:hAnsi="Times New Roman"/>
          <w:b/>
          <w:bCs/>
          <w:color w:val="000000"/>
        </w:rPr>
        <w:t>分）</w:t>
      </w:r>
    </w:p>
    <w:p w14:paraId="0F684FEC">
      <w:pPr>
        <w:pageBreakBefore w:val="0"/>
        <w:kinsoku/>
        <w:overflowPunct/>
        <w:topLinePunct w:val="0"/>
        <w:bidi w:val="0"/>
        <w:spacing w:line="360" w:lineRule="auto"/>
        <w:ind w:firstLine="420" w:firstLineChars="200"/>
        <w:rPr>
          <w:rFonts w:ascii="Times New Roman" w:hAnsi="Times New Roman"/>
          <w:color w:val="000000"/>
        </w:rPr>
      </w:pPr>
      <w:r>
        <w:rPr>
          <w:rFonts w:ascii="Times New Roman" w:hAnsi="Times New Roman"/>
          <w:color w:val="000000"/>
        </w:rPr>
        <w:t>1</w:t>
      </w:r>
      <w:r>
        <w:rPr>
          <w:rFonts w:hint="eastAsia" w:ascii="Times New Roman" w:hAnsi="Times New Roman"/>
          <w:color w:val="000000"/>
        </w:rPr>
        <w:t>、</w:t>
      </w:r>
      <w:r>
        <w:rPr>
          <w:rFonts w:hint="eastAsia" w:ascii="宋体" w:hAnsi="宋体"/>
          <w:color w:val="000000"/>
          <w:szCs w:val="21"/>
        </w:rPr>
        <w:t>价格分采用低价优先法计算，即满足招标文件要求且投标价格最低的投标报价为评标基准价</w:t>
      </w:r>
      <w:r>
        <w:rPr>
          <w:rFonts w:hint="eastAsia" w:ascii="Times New Roman" w:hAnsi="Times New Roman"/>
          <w:color w:val="000000"/>
        </w:rPr>
        <w:t>，其他投标人的价格分按照下列公式计算：</w:t>
      </w:r>
    </w:p>
    <w:p w14:paraId="0CE40B5C">
      <w:pPr>
        <w:pageBreakBefore w:val="0"/>
        <w:kinsoku/>
        <w:overflowPunct/>
        <w:topLinePunct w:val="0"/>
        <w:bidi w:val="0"/>
        <w:spacing w:line="360" w:lineRule="auto"/>
        <w:ind w:firstLine="420"/>
        <w:jc w:val="center"/>
        <w:rPr>
          <w:rFonts w:ascii="Times New Roman" w:hAnsi="Times New Roman"/>
          <w:color w:val="000000"/>
        </w:rPr>
      </w:pPr>
      <w:r>
        <w:rPr>
          <w:rFonts w:hint="eastAsia" w:ascii="Times New Roman" w:hAnsi="Times New Roman"/>
          <w:color w:val="000000"/>
        </w:rPr>
        <w:t>价格分=（评标基准价/投标</w:t>
      </w:r>
      <w:r>
        <w:rPr>
          <w:rFonts w:hint="eastAsia" w:ascii="Times New Roman" w:hAnsi="Times New Roman"/>
          <w:color w:val="000000"/>
          <w:lang w:val="en-US" w:eastAsia="zh-CN"/>
        </w:rPr>
        <w:t>报价总</w:t>
      </w:r>
      <w:r>
        <w:rPr>
          <w:rFonts w:hint="eastAsia" w:ascii="Times New Roman" w:hAnsi="Times New Roman"/>
          <w:color w:val="000000"/>
        </w:rPr>
        <w:t>价）×</w:t>
      </w:r>
      <w:r>
        <w:rPr>
          <w:rFonts w:hint="eastAsia" w:ascii="Times New Roman" w:hAnsi="Times New Roman"/>
          <w:color w:val="000000"/>
          <w:lang w:val="en-US" w:eastAsia="zh-CN"/>
        </w:rPr>
        <w:t>10</w:t>
      </w:r>
      <w:r>
        <w:rPr>
          <w:rFonts w:hint="eastAsia" w:ascii="Times New Roman" w:hAnsi="Times New Roman"/>
          <w:color w:val="000000"/>
        </w:rPr>
        <w:t>；</w:t>
      </w:r>
    </w:p>
    <w:p w14:paraId="0923E18A">
      <w:pPr>
        <w:pStyle w:val="50"/>
        <w:pageBreakBefore w:val="0"/>
        <w:kinsoku/>
        <w:overflowPunct/>
        <w:topLinePunct w:val="0"/>
        <w:bidi w:val="0"/>
        <w:spacing w:line="360" w:lineRule="auto"/>
        <w:ind w:left="0" w:leftChars="0" w:firstLine="422"/>
        <w:rPr>
          <w:rFonts w:hint="default" w:ascii="Times New Roman" w:hAnsi="Times New Roman" w:cs="Times New Roman" w:eastAsiaTheme="minorEastAsia"/>
          <w:b/>
          <w:bCs/>
          <w:color w:val="000000"/>
          <w:spacing w:val="0"/>
          <w:lang w:val="en-US" w:eastAsia="zh-CN"/>
        </w:rPr>
      </w:pPr>
      <w:r>
        <w:rPr>
          <w:rFonts w:hint="eastAsia" w:ascii="Times New Roman" w:hAnsi="Times New Roman"/>
          <w:b/>
          <w:bCs/>
          <w:color w:val="000000"/>
          <w:spacing w:val="0"/>
        </w:rPr>
        <w:t>价格分=</w:t>
      </w:r>
      <w:r>
        <w:rPr>
          <w:rFonts w:hint="eastAsia" w:ascii="Times New Roman" w:hAnsi="Times New Roman" w:eastAsia="宋体" w:cs="Times New Roman"/>
          <w:b/>
          <w:bCs/>
          <w:color w:val="000000"/>
          <w:spacing w:val="0"/>
          <w:lang w:val="en-US" w:eastAsia="zh-CN"/>
        </w:rPr>
        <w:t>10分</w:t>
      </w:r>
    </w:p>
    <w:p w14:paraId="63FE5803">
      <w:pPr>
        <w:pageBreakBefore w:val="0"/>
        <w:kinsoku/>
        <w:overflowPunct/>
        <w:topLinePunct w:val="0"/>
        <w:bidi w:val="0"/>
        <w:spacing w:line="360" w:lineRule="auto"/>
        <w:ind w:firstLine="420" w:firstLineChars="200"/>
        <w:rPr>
          <w:rFonts w:ascii="Times New Roman" w:hAnsi="Times New Roman"/>
          <w:color w:val="000000"/>
        </w:rPr>
      </w:pPr>
      <w:r>
        <w:rPr>
          <w:rFonts w:ascii="Times New Roman" w:hAnsi="Times New Roman"/>
          <w:color w:val="000000"/>
        </w:rPr>
        <w:t>2</w:t>
      </w:r>
      <w:r>
        <w:rPr>
          <w:rFonts w:hint="eastAsia" w:ascii="Times New Roman" w:hAnsi="Times New Roman"/>
          <w:color w:val="000000"/>
        </w:rPr>
        <w:t>、投标人的投标</w:t>
      </w:r>
      <w:r>
        <w:rPr>
          <w:rFonts w:hint="eastAsia" w:ascii="Times New Roman" w:hAnsi="Times New Roman"/>
          <w:color w:val="000000"/>
          <w:lang w:val="en-US" w:eastAsia="zh-CN"/>
        </w:rPr>
        <w:t>报价总</w:t>
      </w:r>
      <w:r>
        <w:rPr>
          <w:rFonts w:hint="eastAsia" w:ascii="Times New Roman" w:hAnsi="Times New Roman"/>
          <w:color w:val="000000"/>
        </w:rPr>
        <w:t>价超过采购人设定的</w:t>
      </w:r>
      <w:r>
        <w:rPr>
          <w:rFonts w:hint="eastAsia" w:ascii="宋体" w:hAnsi="宋体"/>
          <w:color w:val="000000"/>
          <w:szCs w:val="21"/>
        </w:rPr>
        <w:t>最高</w:t>
      </w:r>
      <w:r>
        <w:rPr>
          <w:rFonts w:hint="eastAsia" w:ascii="宋体" w:hAnsi="宋体"/>
          <w:color w:val="000000"/>
          <w:szCs w:val="21"/>
          <w:lang w:val="en-US" w:eastAsia="zh-CN"/>
        </w:rPr>
        <w:t>限</w:t>
      </w:r>
      <w:r>
        <w:rPr>
          <w:rFonts w:hint="eastAsia" w:ascii="宋体" w:hAnsi="宋体"/>
          <w:color w:val="000000"/>
          <w:szCs w:val="21"/>
        </w:rPr>
        <w:t>价</w:t>
      </w:r>
      <w:r>
        <w:rPr>
          <w:rFonts w:hint="eastAsia" w:ascii="Times New Roman" w:hAnsi="Times New Roman"/>
          <w:color w:val="000000"/>
        </w:rPr>
        <w:t>，将作为无效标。</w:t>
      </w:r>
    </w:p>
    <w:p w14:paraId="5639D670">
      <w:pPr>
        <w:pageBreakBefore w:val="0"/>
        <w:widowControl/>
        <w:kinsoku/>
        <w:overflowPunct/>
        <w:topLinePunct w:val="0"/>
        <w:bidi w:val="0"/>
        <w:spacing w:line="360" w:lineRule="auto"/>
        <w:ind w:firstLine="404" w:firstLineChars="200"/>
        <w:jc w:val="left"/>
        <w:rPr>
          <w:rFonts w:ascii="Times New Roman" w:hAnsi="Times New Roman" w:cs="宋体"/>
          <w:color w:val="000000"/>
          <w:spacing w:val="-4"/>
          <w:highlight w:val="none"/>
        </w:rPr>
      </w:pPr>
      <w:r>
        <w:rPr>
          <w:rFonts w:ascii="Times New Roman" w:hAnsi="Times New Roman" w:cs="宋体"/>
          <w:color w:val="000000"/>
          <w:spacing w:val="-4"/>
          <w:highlight w:val="none"/>
        </w:rPr>
        <w:t>3</w:t>
      </w:r>
      <w:r>
        <w:rPr>
          <w:rFonts w:hint="eastAsia" w:ascii="Times New Roman" w:hAnsi="Times New Roman" w:cs="宋体"/>
          <w:color w:val="000000"/>
          <w:spacing w:val="-4"/>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bookmarkEnd w:id="298"/>
    <w:bookmarkEnd w:id="299"/>
    <w:bookmarkEnd w:id="301"/>
    <w:bookmarkEnd w:id="302"/>
    <w:p w14:paraId="781E899F">
      <w:pPr>
        <w:ind w:left="422"/>
        <w:rPr>
          <w:rFonts w:ascii="宋体" w:hAnsi="宋体"/>
          <w:b/>
          <w:bCs/>
          <w:szCs w:val="21"/>
          <w:highlight w:val="none"/>
        </w:rPr>
      </w:pPr>
      <w:bookmarkStart w:id="303" w:name="_Toc73631436"/>
      <w:r>
        <w:rPr>
          <w:rFonts w:hint="eastAsia" w:ascii="宋体" w:hAnsi="宋体"/>
          <w:b/>
          <w:bCs/>
          <w:szCs w:val="21"/>
          <w:highlight w:val="none"/>
        </w:rPr>
        <w:t>（二）技术分（0</w:t>
      </w:r>
      <w:r>
        <w:rPr>
          <w:rFonts w:ascii="宋体" w:hAnsi="宋体"/>
          <w:b/>
          <w:bCs/>
          <w:szCs w:val="21"/>
          <w:highlight w:val="none"/>
        </w:rPr>
        <w:t>-</w:t>
      </w:r>
      <w:r>
        <w:rPr>
          <w:rFonts w:hint="eastAsia" w:ascii="宋体" w:hAnsi="宋体"/>
          <w:b/>
          <w:bCs/>
          <w:szCs w:val="21"/>
          <w:highlight w:val="none"/>
          <w:lang w:val="en-US" w:eastAsia="zh-CN"/>
        </w:rPr>
        <w:t>90</w:t>
      </w:r>
      <w:r>
        <w:rPr>
          <w:rFonts w:ascii="宋体" w:hAnsi="宋体"/>
          <w:b/>
          <w:bCs/>
          <w:szCs w:val="21"/>
          <w:highlight w:val="none"/>
        </w:rPr>
        <w:t>分</w:t>
      </w:r>
      <w:r>
        <w:rPr>
          <w:rFonts w:hint="eastAsia" w:ascii="宋体" w:hAnsi="宋体"/>
          <w:b/>
          <w:bCs/>
          <w:szCs w:val="21"/>
          <w:highlight w:val="none"/>
        </w:rPr>
        <w:t>）（适用所有标项）</w:t>
      </w:r>
    </w:p>
    <w:tbl>
      <w:tblPr>
        <w:tblStyle w:val="51"/>
        <w:tblW w:w="92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7"/>
        <w:gridCol w:w="1438"/>
        <w:gridCol w:w="6028"/>
        <w:gridCol w:w="992"/>
      </w:tblGrid>
      <w:tr w14:paraId="0D5C5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7" w:type="dxa"/>
            <w:noWrap w:val="0"/>
            <w:vAlign w:val="center"/>
          </w:tcPr>
          <w:p w14:paraId="38E37CB5">
            <w:pPr>
              <w:spacing w:after="60" w:afterLines="25" w:line="360" w:lineRule="exact"/>
              <w:jc w:val="center"/>
              <w:rPr>
                <w:rFonts w:hint="eastAsia" w:ascii="宋体" w:hAnsi="宋体"/>
                <w:szCs w:val="21"/>
                <w:highlight w:val="none"/>
              </w:rPr>
            </w:pPr>
            <w:r>
              <w:rPr>
                <w:rFonts w:hint="eastAsia" w:ascii="宋体" w:hAnsi="宋体"/>
                <w:szCs w:val="21"/>
                <w:highlight w:val="none"/>
              </w:rPr>
              <w:t>序号</w:t>
            </w:r>
          </w:p>
        </w:tc>
        <w:tc>
          <w:tcPr>
            <w:tcW w:w="1438" w:type="dxa"/>
            <w:noWrap w:val="0"/>
            <w:vAlign w:val="center"/>
          </w:tcPr>
          <w:p w14:paraId="7F9EDA7F">
            <w:pPr>
              <w:spacing w:after="60" w:afterLines="25" w:line="360" w:lineRule="exact"/>
              <w:jc w:val="center"/>
              <w:rPr>
                <w:rFonts w:ascii="宋体" w:hAnsi="宋体"/>
                <w:szCs w:val="21"/>
                <w:highlight w:val="none"/>
              </w:rPr>
            </w:pPr>
            <w:r>
              <w:rPr>
                <w:rFonts w:hint="eastAsia" w:ascii="宋体" w:hAnsi="宋体"/>
                <w:szCs w:val="21"/>
                <w:highlight w:val="none"/>
              </w:rPr>
              <w:t>评分项目</w:t>
            </w:r>
          </w:p>
        </w:tc>
        <w:tc>
          <w:tcPr>
            <w:tcW w:w="6028" w:type="dxa"/>
            <w:noWrap w:val="0"/>
            <w:vAlign w:val="center"/>
          </w:tcPr>
          <w:p w14:paraId="603638C9">
            <w:pPr>
              <w:spacing w:after="60" w:afterLines="25" w:line="360" w:lineRule="exact"/>
              <w:jc w:val="center"/>
              <w:rPr>
                <w:rFonts w:ascii="宋体" w:hAnsi="宋体"/>
                <w:szCs w:val="21"/>
                <w:highlight w:val="none"/>
              </w:rPr>
            </w:pPr>
            <w:r>
              <w:rPr>
                <w:rFonts w:hint="eastAsia" w:ascii="宋体" w:hAnsi="宋体"/>
                <w:szCs w:val="21"/>
                <w:highlight w:val="none"/>
              </w:rPr>
              <w:t>评分细则</w:t>
            </w:r>
          </w:p>
        </w:tc>
        <w:tc>
          <w:tcPr>
            <w:tcW w:w="992" w:type="dxa"/>
            <w:noWrap w:val="0"/>
            <w:vAlign w:val="center"/>
          </w:tcPr>
          <w:p w14:paraId="4906A6C3">
            <w:pPr>
              <w:spacing w:after="60" w:afterLines="25" w:line="360" w:lineRule="exact"/>
              <w:jc w:val="center"/>
              <w:rPr>
                <w:rFonts w:ascii="宋体" w:hAnsi="宋体"/>
                <w:szCs w:val="21"/>
                <w:highlight w:val="none"/>
              </w:rPr>
            </w:pPr>
            <w:r>
              <w:rPr>
                <w:rFonts w:hint="eastAsia" w:ascii="宋体" w:hAnsi="宋体"/>
                <w:szCs w:val="21"/>
                <w:highlight w:val="none"/>
              </w:rPr>
              <w:t>分值</w:t>
            </w:r>
          </w:p>
        </w:tc>
      </w:tr>
      <w:tr w14:paraId="69FD1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7" w:type="dxa"/>
            <w:noWrap w:val="0"/>
            <w:vAlign w:val="center"/>
          </w:tcPr>
          <w:p w14:paraId="52B3CBB2">
            <w:pPr>
              <w:spacing w:after="60" w:afterLines="25" w:line="360" w:lineRule="exact"/>
              <w:jc w:val="center"/>
              <w:rPr>
                <w:rFonts w:hint="default" w:ascii="宋体" w:hAnsi="宋体" w:eastAsia="宋体"/>
                <w:szCs w:val="21"/>
                <w:highlight w:val="none"/>
                <w:lang w:val="en-US" w:eastAsia="zh-CN"/>
              </w:rPr>
            </w:pPr>
            <w:r>
              <w:rPr>
                <w:rFonts w:hint="eastAsia" w:ascii="宋体" w:hAnsi="宋体"/>
                <w:szCs w:val="21"/>
                <w:highlight w:val="none"/>
                <w:lang w:val="en-US" w:eastAsia="zh-CN"/>
              </w:rPr>
              <w:t>1</w:t>
            </w:r>
          </w:p>
        </w:tc>
        <w:tc>
          <w:tcPr>
            <w:tcW w:w="1438" w:type="dxa"/>
            <w:noWrap w:val="0"/>
            <w:vAlign w:val="center"/>
          </w:tcPr>
          <w:p w14:paraId="374DA65B">
            <w:pPr>
              <w:spacing w:after="60" w:afterLines="25" w:line="360" w:lineRule="exact"/>
              <w:jc w:val="center"/>
              <w:rPr>
                <w:rFonts w:hint="eastAsia" w:ascii="宋体" w:hAnsi="宋体"/>
                <w:szCs w:val="21"/>
                <w:highlight w:val="none"/>
              </w:rPr>
            </w:pPr>
            <w:r>
              <w:rPr>
                <w:rFonts w:hint="eastAsia"/>
                <w:color w:val="000000"/>
                <w:szCs w:val="21"/>
                <w:highlight w:val="none"/>
              </w:rPr>
              <w:t>项目理解</w:t>
            </w:r>
          </w:p>
        </w:tc>
        <w:tc>
          <w:tcPr>
            <w:tcW w:w="6028" w:type="dxa"/>
            <w:noWrap w:val="0"/>
            <w:vAlign w:val="center"/>
          </w:tcPr>
          <w:p w14:paraId="0B4AC50F">
            <w:pPr>
              <w:spacing w:after="60" w:afterLines="25" w:line="360" w:lineRule="exact"/>
              <w:jc w:val="left"/>
              <w:rPr>
                <w:rFonts w:hint="eastAsia" w:ascii="宋体" w:hAnsi="宋体"/>
                <w:szCs w:val="21"/>
                <w:highlight w:val="none"/>
              </w:rPr>
            </w:pPr>
            <w:r>
              <w:rPr>
                <w:rFonts w:hint="eastAsia" w:ascii="宋体" w:hAnsi="宋体"/>
                <w:szCs w:val="21"/>
                <w:highlight w:val="none"/>
              </w:rPr>
              <w:t>由评委根据供应商提供的</w:t>
            </w:r>
            <w:r>
              <w:rPr>
                <w:rFonts w:hint="eastAsia" w:ascii="宋体" w:hAnsi="宋体"/>
                <w:szCs w:val="21"/>
                <w:highlight w:val="none"/>
                <w:lang w:val="en-US" w:eastAsia="zh-CN"/>
              </w:rPr>
              <w:t>对本项招标</w:t>
            </w:r>
            <w:r>
              <w:rPr>
                <w:rFonts w:hint="eastAsia"/>
                <w:color w:val="000000"/>
                <w:szCs w:val="21"/>
                <w:highlight w:val="none"/>
              </w:rPr>
              <w:t>需求的分析把握及了解程度</w:t>
            </w:r>
            <w:r>
              <w:rPr>
                <w:rFonts w:hint="eastAsia" w:ascii="宋体" w:hAnsi="宋体"/>
                <w:szCs w:val="21"/>
                <w:highlight w:val="none"/>
              </w:rPr>
              <w:t>的全面性、准确性酌情打分，(评分范围：</w:t>
            </w:r>
            <w:r>
              <w:rPr>
                <w:rFonts w:hint="eastAsia" w:ascii="宋体" w:hAnsi="宋体"/>
                <w:szCs w:val="21"/>
                <w:highlight w:val="none"/>
                <w:lang w:val="en-US" w:eastAsia="zh-CN"/>
              </w:rPr>
              <w:t>1</w:t>
            </w:r>
            <w:r>
              <w:rPr>
                <w:rFonts w:hint="eastAsia" w:ascii="宋体" w:hAnsi="宋体"/>
                <w:szCs w:val="21"/>
                <w:highlight w:val="none"/>
              </w:rPr>
              <w:t>，</w:t>
            </w:r>
            <w:r>
              <w:rPr>
                <w:rFonts w:hint="eastAsia" w:ascii="宋体" w:hAnsi="宋体"/>
                <w:szCs w:val="21"/>
                <w:highlight w:val="none"/>
                <w:lang w:val="en-US" w:eastAsia="zh-CN"/>
              </w:rPr>
              <w:t>2</w:t>
            </w:r>
            <w:r>
              <w:rPr>
                <w:rFonts w:hint="eastAsia" w:ascii="宋体" w:hAnsi="宋体"/>
                <w:szCs w:val="21"/>
                <w:highlight w:val="none"/>
              </w:rPr>
              <w:t>，3，</w:t>
            </w:r>
            <w:r>
              <w:rPr>
                <w:rFonts w:hint="eastAsia" w:ascii="宋体" w:hAnsi="宋体"/>
                <w:szCs w:val="21"/>
                <w:highlight w:val="none"/>
                <w:lang w:val="en-US" w:eastAsia="zh-CN"/>
              </w:rPr>
              <w:t>4</w:t>
            </w:r>
            <w:r>
              <w:rPr>
                <w:rFonts w:hint="eastAsia" w:ascii="宋体" w:hAnsi="宋体"/>
                <w:szCs w:val="21"/>
                <w:highlight w:val="none"/>
              </w:rPr>
              <w:t>，</w:t>
            </w:r>
            <w:r>
              <w:rPr>
                <w:rFonts w:hint="eastAsia" w:ascii="宋体" w:hAnsi="宋体"/>
                <w:szCs w:val="21"/>
                <w:highlight w:val="none"/>
                <w:lang w:val="en-US" w:eastAsia="zh-CN"/>
              </w:rPr>
              <w:t>5</w:t>
            </w:r>
            <w:r>
              <w:rPr>
                <w:rFonts w:hint="eastAsia" w:ascii="宋体" w:hAnsi="宋体"/>
                <w:szCs w:val="21"/>
                <w:highlight w:val="none"/>
              </w:rPr>
              <w:t>，</w:t>
            </w:r>
            <w:r>
              <w:rPr>
                <w:rFonts w:hint="eastAsia" w:ascii="宋体" w:hAnsi="宋体"/>
                <w:szCs w:val="21"/>
                <w:highlight w:val="none"/>
                <w:lang w:val="en-US" w:eastAsia="zh-CN"/>
              </w:rPr>
              <w:t>6，7，</w:t>
            </w:r>
            <w:r>
              <w:rPr>
                <w:rFonts w:hint="eastAsia" w:ascii="宋体" w:hAnsi="宋体"/>
                <w:szCs w:val="21"/>
                <w:highlight w:val="none"/>
              </w:rPr>
              <w:t>缺项为0分)。</w:t>
            </w:r>
          </w:p>
        </w:tc>
        <w:tc>
          <w:tcPr>
            <w:tcW w:w="992" w:type="dxa"/>
            <w:noWrap w:val="0"/>
            <w:vAlign w:val="center"/>
          </w:tcPr>
          <w:p w14:paraId="563BB2BB">
            <w:pPr>
              <w:pStyle w:val="23"/>
              <w:spacing w:after="25" w:line="360" w:lineRule="exact"/>
              <w:jc w:val="center"/>
              <w:rPr>
                <w:rFonts w:hint="eastAsia" w:ascii="宋体" w:hAnsi="宋体"/>
                <w:szCs w:val="21"/>
                <w:highlight w:val="none"/>
              </w:rPr>
            </w:pPr>
            <w:r>
              <w:rPr>
                <w:rFonts w:ascii="宋体" w:hAnsi="宋体" w:eastAsia="宋体"/>
                <w:szCs w:val="21"/>
                <w:highlight w:val="none"/>
              </w:rPr>
              <w:t>0-7</w:t>
            </w:r>
          </w:p>
        </w:tc>
      </w:tr>
      <w:tr w14:paraId="690D7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jc w:val="center"/>
        </w:trPr>
        <w:tc>
          <w:tcPr>
            <w:tcW w:w="777" w:type="dxa"/>
            <w:noWrap w:val="0"/>
            <w:vAlign w:val="center"/>
          </w:tcPr>
          <w:p w14:paraId="78393BD2">
            <w:pPr>
              <w:numPr>
                <w:ilvl w:val="0"/>
                <w:numId w:val="0"/>
              </w:numPr>
              <w:spacing w:line="360" w:lineRule="exact"/>
              <w:ind w:leftChars="100"/>
              <w:jc w:val="both"/>
              <w:rPr>
                <w:rFonts w:hint="eastAsia" w:ascii="宋体" w:hAnsi="宋体" w:eastAsia="宋体"/>
                <w:szCs w:val="21"/>
                <w:highlight w:val="none"/>
                <w:lang w:val="en-US" w:eastAsia="zh-CN"/>
              </w:rPr>
            </w:pPr>
            <w:r>
              <w:rPr>
                <w:rFonts w:hint="eastAsia" w:ascii="宋体" w:hAnsi="宋体"/>
                <w:szCs w:val="21"/>
                <w:highlight w:val="none"/>
                <w:lang w:val="en-US" w:eastAsia="zh-CN"/>
              </w:rPr>
              <w:t>2</w:t>
            </w:r>
          </w:p>
        </w:tc>
        <w:tc>
          <w:tcPr>
            <w:tcW w:w="1438" w:type="dxa"/>
            <w:noWrap w:val="0"/>
            <w:vAlign w:val="center"/>
          </w:tcPr>
          <w:p w14:paraId="033E8438">
            <w:pPr>
              <w:spacing w:after="25" w:line="360" w:lineRule="exact"/>
              <w:jc w:val="center"/>
              <w:rPr>
                <w:rFonts w:ascii="宋体" w:hAnsi="宋体" w:cs="仿宋"/>
                <w:szCs w:val="21"/>
                <w:highlight w:val="none"/>
              </w:rPr>
            </w:pPr>
            <w:r>
              <w:rPr>
                <w:rFonts w:hint="eastAsia" w:ascii="宋体" w:hAnsi="宋体"/>
                <w:szCs w:val="21"/>
                <w:highlight w:val="none"/>
              </w:rPr>
              <w:t>保证措施</w:t>
            </w:r>
          </w:p>
        </w:tc>
        <w:tc>
          <w:tcPr>
            <w:tcW w:w="6028" w:type="dxa"/>
            <w:noWrap w:val="0"/>
            <w:vAlign w:val="center"/>
          </w:tcPr>
          <w:p w14:paraId="3770328F">
            <w:pPr>
              <w:pageBreakBefore w:val="0"/>
              <w:widowControl/>
              <w:kinsoku/>
              <w:overflowPunct/>
              <w:topLinePunct w:val="0"/>
              <w:bidi w:val="0"/>
              <w:spacing w:line="360" w:lineRule="auto"/>
              <w:ind w:firstLine="420"/>
              <w:jc w:val="left"/>
              <w:rPr>
                <w:rFonts w:hint="eastAsia" w:ascii="宋体" w:hAnsi="宋体"/>
                <w:szCs w:val="21"/>
                <w:highlight w:val="none"/>
              </w:rPr>
            </w:pPr>
            <w:r>
              <w:rPr>
                <w:rFonts w:hint="eastAsia" w:ascii="宋体" w:hAnsi="宋体"/>
                <w:szCs w:val="21"/>
                <w:highlight w:val="none"/>
              </w:rPr>
              <w:t>由评委根据供应商提供的质量目标、保证措施等方面</w:t>
            </w:r>
            <w:r>
              <w:rPr>
                <w:rFonts w:hint="eastAsia" w:ascii="宋体" w:hAnsi="宋体"/>
                <w:szCs w:val="21"/>
                <w:highlight w:val="none"/>
                <w:lang w:val="en-US" w:eastAsia="zh-CN"/>
              </w:rPr>
              <w:t>分析</w:t>
            </w:r>
            <w:r>
              <w:rPr>
                <w:rFonts w:hint="eastAsia" w:ascii="宋体" w:hAnsi="宋体"/>
                <w:szCs w:val="21"/>
                <w:highlight w:val="none"/>
              </w:rPr>
              <w:t>的全面性、准确性酌情打分，(评分范围：</w:t>
            </w:r>
            <w:r>
              <w:rPr>
                <w:rFonts w:hint="eastAsia" w:ascii="宋体" w:hAnsi="宋体"/>
                <w:szCs w:val="21"/>
                <w:highlight w:val="none"/>
                <w:lang w:val="en-US" w:eastAsia="zh-CN"/>
              </w:rPr>
              <w:t>1</w:t>
            </w:r>
            <w:r>
              <w:rPr>
                <w:rFonts w:hint="eastAsia" w:ascii="宋体" w:hAnsi="宋体"/>
                <w:szCs w:val="21"/>
                <w:highlight w:val="none"/>
              </w:rPr>
              <w:t>，</w:t>
            </w:r>
            <w:r>
              <w:rPr>
                <w:rFonts w:hint="eastAsia" w:ascii="宋体" w:hAnsi="宋体"/>
                <w:szCs w:val="21"/>
                <w:highlight w:val="none"/>
                <w:lang w:val="en-US" w:eastAsia="zh-CN"/>
              </w:rPr>
              <w:t>2</w:t>
            </w:r>
            <w:r>
              <w:rPr>
                <w:rFonts w:hint="eastAsia" w:ascii="宋体" w:hAnsi="宋体"/>
                <w:szCs w:val="21"/>
                <w:highlight w:val="none"/>
              </w:rPr>
              <w:t>，3，</w:t>
            </w:r>
            <w:r>
              <w:rPr>
                <w:rFonts w:hint="eastAsia" w:ascii="宋体" w:hAnsi="宋体"/>
                <w:szCs w:val="21"/>
                <w:highlight w:val="none"/>
                <w:lang w:val="en-US" w:eastAsia="zh-CN"/>
              </w:rPr>
              <w:t>4</w:t>
            </w:r>
            <w:r>
              <w:rPr>
                <w:rFonts w:hint="eastAsia" w:ascii="宋体" w:hAnsi="宋体"/>
                <w:szCs w:val="21"/>
                <w:highlight w:val="none"/>
              </w:rPr>
              <w:t>，</w:t>
            </w:r>
            <w:r>
              <w:rPr>
                <w:rFonts w:hint="eastAsia" w:ascii="宋体" w:hAnsi="宋体"/>
                <w:szCs w:val="21"/>
                <w:highlight w:val="none"/>
                <w:lang w:val="en-US" w:eastAsia="zh-CN"/>
              </w:rPr>
              <w:t>5</w:t>
            </w:r>
            <w:r>
              <w:rPr>
                <w:rFonts w:hint="eastAsia" w:ascii="宋体" w:hAnsi="宋体"/>
                <w:szCs w:val="21"/>
                <w:highlight w:val="none"/>
              </w:rPr>
              <w:t>，</w:t>
            </w:r>
            <w:r>
              <w:rPr>
                <w:rFonts w:hint="eastAsia" w:ascii="宋体" w:hAnsi="宋体"/>
                <w:szCs w:val="21"/>
                <w:highlight w:val="none"/>
                <w:lang w:val="en-US" w:eastAsia="zh-CN"/>
              </w:rPr>
              <w:t>6，7，</w:t>
            </w:r>
            <w:r>
              <w:rPr>
                <w:rFonts w:hint="eastAsia" w:ascii="宋体" w:hAnsi="宋体"/>
                <w:szCs w:val="21"/>
                <w:highlight w:val="none"/>
              </w:rPr>
              <w:t>缺项为0分)。</w:t>
            </w:r>
          </w:p>
        </w:tc>
        <w:tc>
          <w:tcPr>
            <w:tcW w:w="992" w:type="dxa"/>
            <w:noWrap w:val="0"/>
            <w:vAlign w:val="center"/>
          </w:tcPr>
          <w:p w14:paraId="156B589C">
            <w:pPr>
              <w:pStyle w:val="23"/>
              <w:spacing w:after="25" w:line="360" w:lineRule="exact"/>
              <w:jc w:val="center"/>
              <w:rPr>
                <w:rFonts w:ascii="宋体" w:hAnsi="宋体"/>
                <w:szCs w:val="21"/>
                <w:highlight w:val="none"/>
              </w:rPr>
            </w:pPr>
            <w:r>
              <w:rPr>
                <w:rFonts w:hAnsi="宋体"/>
                <w:szCs w:val="21"/>
                <w:highlight w:val="none"/>
              </w:rPr>
              <w:t>0-7</w:t>
            </w:r>
          </w:p>
        </w:tc>
      </w:tr>
      <w:tr w14:paraId="43CE2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jc w:val="center"/>
        </w:trPr>
        <w:tc>
          <w:tcPr>
            <w:tcW w:w="777" w:type="dxa"/>
            <w:noWrap w:val="0"/>
            <w:vAlign w:val="center"/>
          </w:tcPr>
          <w:p w14:paraId="47F6D411">
            <w:pPr>
              <w:numPr>
                <w:ilvl w:val="0"/>
                <w:numId w:val="0"/>
              </w:numPr>
              <w:spacing w:line="360" w:lineRule="exact"/>
              <w:ind w:leftChars="100"/>
              <w:jc w:val="both"/>
              <w:rPr>
                <w:rFonts w:hint="eastAsia" w:ascii="宋体" w:hAnsi="宋体" w:eastAsia="宋体"/>
                <w:szCs w:val="21"/>
                <w:highlight w:val="none"/>
                <w:lang w:val="en-US" w:eastAsia="zh-CN"/>
              </w:rPr>
            </w:pPr>
            <w:r>
              <w:rPr>
                <w:rFonts w:hint="eastAsia" w:ascii="宋体" w:hAnsi="宋体"/>
                <w:szCs w:val="21"/>
                <w:highlight w:val="none"/>
                <w:lang w:val="en-US" w:eastAsia="zh-CN"/>
              </w:rPr>
              <w:t>3</w:t>
            </w:r>
          </w:p>
        </w:tc>
        <w:tc>
          <w:tcPr>
            <w:tcW w:w="1438" w:type="dxa"/>
            <w:noWrap w:val="0"/>
            <w:vAlign w:val="center"/>
          </w:tcPr>
          <w:p w14:paraId="06D2A1EC">
            <w:pPr>
              <w:spacing w:after="25" w:line="360" w:lineRule="exact"/>
              <w:jc w:val="center"/>
              <w:rPr>
                <w:rFonts w:hint="eastAsia" w:ascii="宋体" w:hAnsi="宋体"/>
                <w:szCs w:val="21"/>
                <w:highlight w:val="none"/>
              </w:rPr>
            </w:pPr>
            <w:r>
              <w:rPr>
                <w:rFonts w:ascii="宋体" w:hAnsi="宋体"/>
                <w:szCs w:val="21"/>
                <w:highlight w:val="none"/>
              </w:rPr>
              <w:t>施工部署</w:t>
            </w:r>
          </w:p>
        </w:tc>
        <w:tc>
          <w:tcPr>
            <w:tcW w:w="6028" w:type="dxa"/>
            <w:noWrap w:val="0"/>
            <w:vAlign w:val="center"/>
          </w:tcPr>
          <w:p w14:paraId="10E48778">
            <w:pPr>
              <w:pageBreakBefore w:val="0"/>
              <w:widowControl/>
              <w:kinsoku/>
              <w:overflowPunct/>
              <w:topLinePunct w:val="0"/>
              <w:bidi w:val="0"/>
              <w:spacing w:line="360" w:lineRule="auto"/>
              <w:ind w:firstLine="420"/>
              <w:jc w:val="left"/>
              <w:rPr>
                <w:rFonts w:hint="eastAsia" w:ascii="宋体" w:hAnsi="宋体"/>
                <w:szCs w:val="21"/>
                <w:highlight w:val="none"/>
              </w:rPr>
            </w:pPr>
            <w:r>
              <w:rPr>
                <w:rFonts w:hint="eastAsia" w:ascii="宋体" w:hAnsi="宋体"/>
                <w:szCs w:val="21"/>
                <w:highlight w:val="none"/>
              </w:rPr>
              <w:t>由评委根据供应商提供的施工现场平面布置、施工部署及现场施工组织管理机构等</w:t>
            </w:r>
            <w:r>
              <w:rPr>
                <w:rFonts w:hint="eastAsia" w:ascii="宋体" w:hAnsi="宋体"/>
                <w:szCs w:val="21"/>
                <w:highlight w:val="none"/>
                <w:lang w:val="en-US" w:eastAsia="zh-CN"/>
              </w:rPr>
              <w:t>方面分析</w:t>
            </w:r>
            <w:r>
              <w:rPr>
                <w:rFonts w:hint="eastAsia" w:ascii="宋体" w:hAnsi="宋体"/>
                <w:szCs w:val="21"/>
                <w:highlight w:val="none"/>
              </w:rPr>
              <w:t>的全面性、准确性酌情打分(评分范围：</w:t>
            </w:r>
            <w:r>
              <w:rPr>
                <w:rFonts w:hint="eastAsia" w:ascii="宋体" w:hAnsi="宋体"/>
                <w:szCs w:val="21"/>
                <w:highlight w:val="none"/>
                <w:lang w:val="en-US" w:eastAsia="zh-CN"/>
              </w:rPr>
              <w:t>1</w:t>
            </w:r>
            <w:r>
              <w:rPr>
                <w:rFonts w:hint="eastAsia" w:ascii="宋体" w:hAnsi="宋体"/>
                <w:szCs w:val="21"/>
                <w:highlight w:val="none"/>
              </w:rPr>
              <w:t>，</w:t>
            </w:r>
            <w:r>
              <w:rPr>
                <w:rFonts w:hint="eastAsia" w:ascii="宋体" w:hAnsi="宋体"/>
                <w:szCs w:val="21"/>
                <w:highlight w:val="none"/>
                <w:lang w:val="en-US" w:eastAsia="zh-CN"/>
              </w:rPr>
              <w:t>2</w:t>
            </w:r>
            <w:r>
              <w:rPr>
                <w:rFonts w:hint="eastAsia" w:ascii="宋体" w:hAnsi="宋体"/>
                <w:szCs w:val="21"/>
                <w:highlight w:val="none"/>
              </w:rPr>
              <w:t>，3，</w:t>
            </w:r>
            <w:r>
              <w:rPr>
                <w:rFonts w:hint="eastAsia" w:ascii="宋体" w:hAnsi="宋体"/>
                <w:szCs w:val="21"/>
                <w:highlight w:val="none"/>
                <w:lang w:val="en-US" w:eastAsia="zh-CN"/>
              </w:rPr>
              <w:t>4</w:t>
            </w:r>
            <w:r>
              <w:rPr>
                <w:rFonts w:hint="eastAsia" w:ascii="宋体" w:hAnsi="宋体"/>
                <w:szCs w:val="21"/>
                <w:highlight w:val="none"/>
              </w:rPr>
              <w:t>，</w:t>
            </w:r>
            <w:r>
              <w:rPr>
                <w:rFonts w:hint="eastAsia" w:ascii="宋体" w:hAnsi="宋体"/>
                <w:szCs w:val="21"/>
                <w:highlight w:val="none"/>
                <w:lang w:val="en-US" w:eastAsia="zh-CN"/>
              </w:rPr>
              <w:t>5</w:t>
            </w:r>
            <w:r>
              <w:rPr>
                <w:rFonts w:hint="eastAsia" w:ascii="宋体" w:hAnsi="宋体"/>
                <w:szCs w:val="21"/>
                <w:highlight w:val="none"/>
              </w:rPr>
              <w:t>，</w:t>
            </w:r>
            <w:r>
              <w:rPr>
                <w:rFonts w:hint="eastAsia" w:ascii="宋体" w:hAnsi="宋体"/>
                <w:szCs w:val="21"/>
                <w:highlight w:val="none"/>
                <w:lang w:val="en-US" w:eastAsia="zh-CN"/>
              </w:rPr>
              <w:t>6，7，</w:t>
            </w:r>
            <w:r>
              <w:rPr>
                <w:rFonts w:hint="eastAsia" w:ascii="宋体" w:hAnsi="宋体"/>
                <w:szCs w:val="21"/>
                <w:highlight w:val="none"/>
              </w:rPr>
              <w:t>缺项为0分)。</w:t>
            </w:r>
          </w:p>
        </w:tc>
        <w:tc>
          <w:tcPr>
            <w:tcW w:w="992" w:type="dxa"/>
            <w:noWrap w:val="0"/>
            <w:vAlign w:val="center"/>
          </w:tcPr>
          <w:p w14:paraId="1D24CBA2">
            <w:pPr>
              <w:pStyle w:val="23"/>
              <w:spacing w:after="25" w:line="360" w:lineRule="exact"/>
              <w:jc w:val="center"/>
              <w:rPr>
                <w:rFonts w:ascii="宋体" w:hAnsi="宋体" w:eastAsia="宋体"/>
                <w:szCs w:val="21"/>
                <w:highlight w:val="none"/>
              </w:rPr>
            </w:pPr>
            <w:r>
              <w:rPr>
                <w:rFonts w:ascii="宋体" w:hAnsi="宋体" w:eastAsia="宋体"/>
                <w:szCs w:val="21"/>
                <w:highlight w:val="none"/>
              </w:rPr>
              <w:t>0-7</w:t>
            </w:r>
          </w:p>
        </w:tc>
      </w:tr>
      <w:tr w14:paraId="1863B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jc w:val="center"/>
        </w:trPr>
        <w:tc>
          <w:tcPr>
            <w:tcW w:w="777" w:type="dxa"/>
            <w:noWrap w:val="0"/>
            <w:vAlign w:val="center"/>
          </w:tcPr>
          <w:p w14:paraId="62C053D2">
            <w:pPr>
              <w:numPr>
                <w:ilvl w:val="0"/>
                <w:numId w:val="0"/>
              </w:numPr>
              <w:spacing w:line="360" w:lineRule="exact"/>
              <w:ind w:left="0" w:leftChars="0" w:firstLine="210" w:firstLineChars="100"/>
              <w:jc w:val="center"/>
              <w:rPr>
                <w:rFonts w:hint="eastAsia" w:ascii="宋体" w:hAnsi="宋体" w:eastAsia="宋体"/>
                <w:szCs w:val="21"/>
                <w:highlight w:val="none"/>
                <w:lang w:val="en-US" w:eastAsia="zh-CN"/>
              </w:rPr>
            </w:pPr>
            <w:r>
              <w:rPr>
                <w:rFonts w:hint="eastAsia" w:ascii="宋体" w:hAnsi="宋体"/>
                <w:szCs w:val="21"/>
                <w:highlight w:val="none"/>
                <w:lang w:val="en-US" w:eastAsia="zh-CN"/>
              </w:rPr>
              <w:t>4</w:t>
            </w:r>
          </w:p>
        </w:tc>
        <w:tc>
          <w:tcPr>
            <w:tcW w:w="1438" w:type="dxa"/>
            <w:noWrap w:val="0"/>
            <w:vAlign w:val="center"/>
          </w:tcPr>
          <w:p w14:paraId="5D0A9169">
            <w:pPr>
              <w:spacing w:after="25" w:line="360" w:lineRule="exact"/>
              <w:jc w:val="center"/>
              <w:rPr>
                <w:rFonts w:hint="eastAsia" w:ascii="宋体" w:hAnsi="宋体"/>
                <w:szCs w:val="21"/>
                <w:highlight w:val="none"/>
              </w:rPr>
            </w:pPr>
            <w:r>
              <w:rPr>
                <w:rFonts w:hint="eastAsia" w:ascii="宋体" w:hAnsi="宋体"/>
                <w:szCs w:val="21"/>
                <w:highlight w:val="none"/>
              </w:rPr>
              <w:t>施工</w:t>
            </w:r>
            <w:r>
              <w:rPr>
                <w:rFonts w:ascii="宋体" w:hAnsi="宋体"/>
                <w:szCs w:val="21"/>
                <w:highlight w:val="none"/>
              </w:rPr>
              <w:t>总进度</w:t>
            </w:r>
            <w:r>
              <w:rPr>
                <w:rFonts w:hint="eastAsia" w:ascii="宋体" w:hAnsi="宋体"/>
                <w:szCs w:val="21"/>
                <w:highlight w:val="none"/>
              </w:rPr>
              <w:t>计划</w:t>
            </w:r>
          </w:p>
        </w:tc>
        <w:tc>
          <w:tcPr>
            <w:tcW w:w="6028" w:type="dxa"/>
            <w:noWrap w:val="0"/>
            <w:vAlign w:val="center"/>
          </w:tcPr>
          <w:p w14:paraId="79F3F805">
            <w:pPr>
              <w:spacing w:after="60" w:afterLines="25" w:line="360" w:lineRule="exact"/>
              <w:ind w:firstLine="420" w:firstLineChars="200"/>
              <w:jc w:val="left"/>
              <w:rPr>
                <w:rFonts w:hint="eastAsia" w:ascii="宋体" w:hAnsi="宋体"/>
                <w:szCs w:val="21"/>
                <w:highlight w:val="none"/>
              </w:rPr>
            </w:pPr>
            <w:r>
              <w:rPr>
                <w:rFonts w:hint="eastAsia" w:ascii="宋体" w:hAnsi="宋体"/>
                <w:szCs w:val="21"/>
                <w:highlight w:val="none"/>
              </w:rPr>
              <w:t>由评委根据供应商提供的针对本项目制定的</w:t>
            </w:r>
            <w:r>
              <w:rPr>
                <w:rFonts w:ascii="宋体" w:hAnsi="宋体"/>
                <w:szCs w:val="21"/>
                <w:highlight w:val="none"/>
              </w:rPr>
              <w:t>施工总进度计划及保证措施</w:t>
            </w:r>
            <w:r>
              <w:rPr>
                <w:rFonts w:hint="eastAsia" w:ascii="宋体" w:hAnsi="宋体"/>
                <w:szCs w:val="21"/>
                <w:highlight w:val="none"/>
              </w:rPr>
              <w:t>等</w:t>
            </w:r>
            <w:r>
              <w:rPr>
                <w:rFonts w:hint="eastAsia" w:ascii="宋体" w:hAnsi="宋体"/>
                <w:szCs w:val="21"/>
                <w:highlight w:val="none"/>
                <w:lang w:val="en-US" w:eastAsia="zh-CN"/>
              </w:rPr>
              <w:t>方面分析</w:t>
            </w:r>
            <w:r>
              <w:rPr>
                <w:rFonts w:hint="eastAsia" w:ascii="宋体" w:hAnsi="宋体"/>
                <w:szCs w:val="21"/>
                <w:highlight w:val="none"/>
              </w:rPr>
              <w:t>的全面性、准确性酌情打分(评分范围：</w:t>
            </w:r>
            <w:r>
              <w:rPr>
                <w:rFonts w:hint="eastAsia" w:ascii="宋体" w:hAnsi="宋体"/>
                <w:szCs w:val="21"/>
                <w:highlight w:val="none"/>
                <w:lang w:val="en-US" w:eastAsia="zh-CN"/>
              </w:rPr>
              <w:t>1</w:t>
            </w:r>
            <w:r>
              <w:rPr>
                <w:rFonts w:hint="eastAsia" w:ascii="宋体" w:hAnsi="宋体"/>
                <w:szCs w:val="21"/>
                <w:highlight w:val="none"/>
              </w:rPr>
              <w:t>，</w:t>
            </w:r>
            <w:r>
              <w:rPr>
                <w:rFonts w:hint="eastAsia" w:ascii="宋体" w:hAnsi="宋体"/>
                <w:szCs w:val="21"/>
                <w:highlight w:val="none"/>
                <w:lang w:val="en-US" w:eastAsia="zh-CN"/>
              </w:rPr>
              <w:t>2</w:t>
            </w:r>
            <w:r>
              <w:rPr>
                <w:rFonts w:hint="eastAsia" w:ascii="宋体" w:hAnsi="宋体"/>
                <w:szCs w:val="21"/>
                <w:highlight w:val="none"/>
              </w:rPr>
              <w:t>，3，</w:t>
            </w:r>
            <w:r>
              <w:rPr>
                <w:rFonts w:hint="eastAsia" w:ascii="宋体" w:hAnsi="宋体"/>
                <w:szCs w:val="21"/>
                <w:highlight w:val="none"/>
                <w:lang w:val="en-US" w:eastAsia="zh-CN"/>
              </w:rPr>
              <w:t>4</w:t>
            </w:r>
            <w:r>
              <w:rPr>
                <w:rFonts w:hint="eastAsia" w:ascii="宋体" w:hAnsi="宋体"/>
                <w:szCs w:val="21"/>
                <w:highlight w:val="none"/>
              </w:rPr>
              <w:t>，</w:t>
            </w:r>
            <w:r>
              <w:rPr>
                <w:rFonts w:hint="eastAsia" w:ascii="宋体" w:hAnsi="宋体"/>
                <w:szCs w:val="21"/>
                <w:highlight w:val="none"/>
                <w:lang w:val="en-US" w:eastAsia="zh-CN"/>
              </w:rPr>
              <w:t>5</w:t>
            </w:r>
            <w:r>
              <w:rPr>
                <w:rFonts w:hint="eastAsia" w:ascii="宋体" w:hAnsi="宋体"/>
                <w:szCs w:val="21"/>
                <w:highlight w:val="none"/>
              </w:rPr>
              <w:t>，</w:t>
            </w:r>
            <w:r>
              <w:rPr>
                <w:rFonts w:hint="eastAsia" w:ascii="宋体" w:hAnsi="宋体"/>
                <w:szCs w:val="21"/>
                <w:highlight w:val="none"/>
                <w:lang w:val="en-US" w:eastAsia="zh-CN"/>
              </w:rPr>
              <w:t>6，7，</w:t>
            </w:r>
            <w:r>
              <w:rPr>
                <w:rFonts w:hint="eastAsia" w:ascii="宋体" w:hAnsi="宋体"/>
                <w:szCs w:val="21"/>
                <w:highlight w:val="none"/>
              </w:rPr>
              <w:t>缺项为0分)。</w:t>
            </w:r>
          </w:p>
        </w:tc>
        <w:tc>
          <w:tcPr>
            <w:tcW w:w="992" w:type="dxa"/>
            <w:noWrap w:val="0"/>
            <w:vAlign w:val="center"/>
          </w:tcPr>
          <w:p w14:paraId="66B7E8F5">
            <w:pPr>
              <w:pStyle w:val="23"/>
              <w:spacing w:after="25" w:line="360" w:lineRule="exact"/>
              <w:jc w:val="center"/>
              <w:rPr>
                <w:rFonts w:hint="eastAsia" w:ascii="宋体" w:hAnsi="宋体" w:eastAsia="宋体"/>
                <w:szCs w:val="21"/>
                <w:highlight w:val="none"/>
              </w:rPr>
            </w:pPr>
            <w:r>
              <w:rPr>
                <w:rFonts w:ascii="宋体" w:hAnsi="宋体" w:eastAsia="宋体"/>
                <w:szCs w:val="21"/>
                <w:highlight w:val="none"/>
              </w:rPr>
              <w:t>0-7</w:t>
            </w:r>
          </w:p>
        </w:tc>
      </w:tr>
      <w:tr w14:paraId="3D3E6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jc w:val="center"/>
        </w:trPr>
        <w:tc>
          <w:tcPr>
            <w:tcW w:w="777" w:type="dxa"/>
            <w:noWrap w:val="0"/>
            <w:vAlign w:val="center"/>
          </w:tcPr>
          <w:p w14:paraId="06459F9F">
            <w:pPr>
              <w:numPr>
                <w:ilvl w:val="0"/>
                <w:numId w:val="0"/>
              </w:numPr>
              <w:spacing w:line="360" w:lineRule="exact"/>
              <w:ind w:left="0" w:leftChars="0" w:firstLine="210" w:firstLineChars="100"/>
              <w:jc w:val="center"/>
              <w:rPr>
                <w:rFonts w:hint="eastAsia" w:ascii="宋体" w:hAnsi="宋体" w:eastAsia="宋体"/>
                <w:szCs w:val="21"/>
                <w:highlight w:val="none"/>
                <w:lang w:val="en-US" w:eastAsia="zh-CN"/>
              </w:rPr>
            </w:pPr>
            <w:r>
              <w:rPr>
                <w:rFonts w:hint="eastAsia" w:ascii="宋体" w:hAnsi="宋体"/>
                <w:szCs w:val="21"/>
                <w:highlight w:val="none"/>
                <w:lang w:val="en-US" w:eastAsia="zh-CN"/>
              </w:rPr>
              <w:t>5</w:t>
            </w:r>
          </w:p>
        </w:tc>
        <w:tc>
          <w:tcPr>
            <w:tcW w:w="1438" w:type="dxa"/>
            <w:noWrap w:val="0"/>
            <w:vAlign w:val="center"/>
          </w:tcPr>
          <w:p w14:paraId="472543C1">
            <w:pPr>
              <w:spacing w:after="25" w:line="360" w:lineRule="exact"/>
              <w:jc w:val="center"/>
              <w:rPr>
                <w:rFonts w:hint="eastAsia" w:ascii="宋体" w:hAnsi="宋体"/>
                <w:szCs w:val="21"/>
                <w:highlight w:val="none"/>
              </w:rPr>
            </w:pPr>
            <w:r>
              <w:rPr>
                <w:rFonts w:hint="eastAsia" w:ascii="Times New Roman" w:hAnsi="Times New Roman"/>
                <w:szCs w:val="21"/>
                <w:highlight w:val="none"/>
                <w:lang w:val="en-US" w:eastAsia="zh-CN"/>
              </w:rPr>
              <w:t>公路小修及应急抢修</w:t>
            </w:r>
            <w:r>
              <w:rPr>
                <w:rFonts w:hint="eastAsia"/>
                <w:color w:val="000000"/>
                <w:szCs w:val="21"/>
                <w:highlight w:val="none"/>
              </w:rPr>
              <w:t>制度</w:t>
            </w:r>
          </w:p>
        </w:tc>
        <w:tc>
          <w:tcPr>
            <w:tcW w:w="6028" w:type="dxa"/>
            <w:noWrap w:val="0"/>
            <w:vAlign w:val="center"/>
          </w:tcPr>
          <w:p w14:paraId="201A3100">
            <w:pPr>
              <w:spacing w:after="60" w:afterLines="25" w:line="360" w:lineRule="exact"/>
              <w:ind w:firstLine="420" w:firstLineChars="200"/>
              <w:jc w:val="left"/>
              <w:rPr>
                <w:rFonts w:hint="eastAsia" w:ascii="宋体" w:hAnsi="宋体"/>
                <w:szCs w:val="21"/>
                <w:highlight w:val="none"/>
              </w:rPr>
            </w:pPr>
            <w:r>
              <w:rPr>
                <w:rFonts w:hint="eastAsia" w:ascii="宋体" w:hAnsi="宋体"/>
                <w:szCs w:val="21"/>
                <w:highlight w:val="none"/>
              </w:rPr>
              <w:t>由评委根据供应商提供的针对本项目制定的</w:t>
            </w:r>
            <w:r>
              <w:rPr>
                <w:rFonts w:hint="eastAsia" w:ascii="Times New Roman" w:hAnsi="Times New Roman"/>
                <w:szCs w:val="21"/>
                <w:highlight w:val="none"/>
                <w:lang w:val="en-US" w:eastAsia="zh-CN"/>
              </w:rPr>
              <w:t>公路小修及应急抢修</w:t>
            </w:r>
            <w:r>
              <w:rPr>
                <w:rFonts w:hint="eastAsia"/>
                <w:color w:val="000000"/>
                <w:szCs w:val="21"/>
                <w:highlight w:val="none"/>
              </w:rPr>
              <w:t>制度安排，包括内容、方法等</w:t>
            </w:r>
            <w:r>
              <w:rPr>
                <w:rFonts w:hint="eastAsia" w:ascii="宋体" w:hAnsi="宋体"/>
                <w:szCs w:val="21"/>
                <w:highlight w:val="none"/>
                <w:lang w:val="en-US" w:eastAsia="zh-CN"/>
              </w:rPr>
              <w:t>方面分析</w:t>
            </w:r>
            <w:r>
              <w:rPr>
                <w:rFonts w:hint="eastAsia" w:ascii="宋体" w:hAnsi="宋体"/>
                <w:szCs w:val="21"/>
                <w:highlight w:val="none"/>
              </w:rPr>
              <w:t>的全面性、准确性酌情打分(评分范围：</w:t>
            </w:r>
            <w:r>
              <w:rPr>
                <w:rFonts w:hint="eastAsia" w:ascii="宋体" w:hAnsi="宋体"/>
                <w:szCs w:val="21"/>
                <w:highlight w:val="none"/>
                <w:lang w:val="en-US" w:eastAsia="zh-CN"/>
              </w:rPr>
              <w:t>1</w:t>
            </w:r>
            <w:r>
              <w:rPr>
                <w:rFonts w:hint="eastAsia" w:ascii="宋体" w:hAnsi="宋体"/>
                <w:szCs w:val="21"/>
                <w:highlight w:val="none"/>
              </w:rPr>
              <w:t>，</w:t>
            </w:r>
            <w:r>
              <w:rPr>
                <w:rFonts w:hint="eastAsia" w:ascii="宋体" w:hAnsi="宋体"/>
                <w:szCs w:val="21"/>
                <w:highlight w:val="none"/>
                <w:lang w:val="en-US" w:eastAsia="zh-CN"/>
              </w:rPr>
              <w:t>2</w:t>
            </w:r>
            <w:r>
              <w:rPr>
                <w:rFonts w:hint="eastAsia" w:ascii="宋体" w:hAnsi="宋体"/>
                <w:szCs w:val="21"/>
                <w:highlight w:val="none"/>
              </w:rPr>
              <w:t>，3，</w:t>
            </w:r>
            <w:r>
              <w:rPr>
                <w:rFonts w:hint="eastAsia" w:ascii="宋体" w:hAnsi="宋体"/>
                <w:szCs w:val="21"/>
                <w:highlight w:val="none"/>
                <w:lang w:val="en-US" w:eastAsia="zh-CN"/>
              </w:rPr>
              <w:t>4</w:t>
            </w:r>
            <w:r>
              <w:rPr>
                <w:rFonts w:hint="eastAsia" w:ascii="宋体" w:hAnsi="宋体"/>
                <w:szCs w:val="21"/>
                <w:highlight w:val="none"/>
              </w:rPr>
              <w:t>，</w:t>
            </w:r>
            <w:r>
              <w:rPr>
                <w:rFonts w:hint="eastAsia" w:ascii="宋体" w:hAnsi="宋体"/>
                <w:szCs w:val="21"/>
                <w:highlight w:val="none"/>
                <w:lang w:val="en-US" w:eastAsia="zh-CN"/>
              </w:rPr>
              <w:t>5</w:t>
            </w:r>
            <w:r>
              <w:rPr>
                <w:rFonts w:hint="eastAsia" w:ascii="宋体" w:hAnsi="宋体"/>
                <w:szCs w:val="21"/>
                <w:highlight w:val="none"/>
              </w:rPr>
              <w:t>，</w:t>
            </w:r>
            <w:r>
              <w:rPr>
                <w:rFonts w:hint="eastAsia" w:ascii="宋体" w:hAnsi="宋体"/>
                <w:szCs w:val="21"/>
                <w:highlight w:val="none"/>
                <w:lang w:val="en-US" w:eastAsia="zh-CN"/>
              </w:rPr>
              <w:t>6，7，8，</w:t>
            </w:r>
            <w:r>
              <w:rPr>
                <w:rFonts w:hint="eastAsia" w:ascii="宋体" w:hAnsi="宋体"/>
                <w:szCs w:val="21"/>
                <w:highlight w:val="none"/>
              </w:rPr>
              <w:t>缺项为0分)。</w:t>
            </w:r>
          </w:p>
        </w:tc>
        <w:tc>
          <w:tcPr>
            <w:tcW w:w="992" w:type="dxa"/>
            <w:noWrap w:val="0"/>
            <w:vAlign w:val="center"/>
          </w:tcPr>
          <w:p w14:paraId="71E00163">
            <w:pPr>
              <w:pStyle w:val="23"/>
              <w:spacing w:after="25" w:line="360" w:lineRule="exact"/>
              <w:jc w:val="center"/>
              <w:rPr>
                <w:rFonts w:hint="eastAsia" w:ascii="宋体" w:hAnsi="宋体" w:eastAsia="宋体"/>
                <w:szCs w:val="21"/>
                <w:highlight w:val="none"/>
                <w:lang w:val="en-US" w:eastAsia="zh-CN"/>
              </w:rPr>
            </w:pPr>
            <w:r>
              <w:rPr>
                <w:rFonts w:ascii="宋体" w:hAnsi="宋体" w:eastAsia="宋体"/>
                <w:szCs w:val="21"/>
                <w:highlight w:val="none"/>
              </w:rPr>
              <w:t>0-</w:t>
            </w:r>
            <w:r>
              <w:rPr>
                <w:rFonts w:hint="eastAsia" w:ascii="宋体" w:hAnsi="宋体" w:eastAsia="宋体"/>
                <w:szCs w:val="21"/>
                <w:highlight w:val="none"/>
                <w:lang w:val="en-US" w:eastAsia="zh-CN"/>
              </w:rPr>
              <w:t>8</w:t>
            </w:r>
          </w:p>
        </w:tc>
      </w:tr>
      <w:tr w14:paraId="2C7C1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777" w:type="dxa"/>
            <w:noWrap w:val="0"/>
            <w:vAlign w:val="center"/>
          </w:tcPr>
          <w:p w14:paraId="7788C7D7">
            <w:pPr>
              <w:numPr>
                <w:ilvl w:val="0"/>
                <w:numId w:val="0"/>
              </w:numPr>
              <w:spacing w:line="360" w:lineRule="exact"/>
              <w:ind w:left="0" w:leftChars="0" w:firstLine="210" w:firstLineChars="100"/>
              <w:jc w:val="center"/>
              <w:rPr>
                <w:rFonts w:hint="eastAsia" w:ascii="宋体" w:hAnsi="宋体" w:eastAsia="宋体"/>
                <w:szCs w:val="21"/>
                <w:highlight w:val="none"/>
                <w:lang w:val="en-US" w:eastAsia="zh-CN"/>
              </w:rPr>
            </w:pPr>
            <w:r>
              <w:rPr>
                <w:rFonts w:hint="eastAsia" w:ascii="宋体" w:hAnsi="宋体"/>
                <w:szCs w:val="21"/>
                <w:highlight w:val="none"/>
                <w:lang w:val="en-US" w:eastAsia="zh-CN"/>
              </w:rPr>
              <w:t>6</w:t>
            </w:r>
          </w:p>
        </w:tc>
        <w:tc>
          <w:tcPr>
            <w:tcW w:w="1438" w:type="dxa"/>
            <w:noWrap w:val="0"/>
            <w:vAlign w:val="center"/>
          </w:tcPr>
          <w:p w14:paraId="0294134A">
            <w:pPr>
              <w:spacing w:after="25" w:line="360" w:lineRule="exact"/>
              <w:jc w:val="center"/>
              <w:rPr>
                <w:rFonts w:hint="eastAsia" w:ascii="宋体" w:hAnsi="宋体"/>
                <w:szCs w:val="21"/>
                <w:highlight w:val="none"/>
              </w:rPr>
            </w:pPr>
            <w:r>
              <w:rPr>
                <w:rFonts w:hint="eastAsia" w:ascii="宋体" w:hAnsi="宋体"/>
                <w:szCs w:val="21"/>
                <w:highlight w:val="none"/>
              </w:rPr>
              <w:t>质量体系</w:t>
            </w:r>
          </w:p>
        </w:tc>
        <w:tc>
          <w:tcPr>
            <w:tcW w:w="6028" w:type="dxa"/>
            <w:noWrap w:val="0"/>
            <w:vAlign w:val="center"/>
          </w:tcPr>
          <w:p w14:paraId="35E0CC30">
            <w:pPr>
              <w:spacing w:after="60" w:afterLines="25" w:line="360" w:lineRule="exact"/>
              <w:ind w:firstLine="420" w:firstLineChars="200"/>
              <w:jc w:val="left"/>
              <w:rPr>
                <w:rFonts w:hint="eastAsia" w:ascii="宋体" w:hAnsi="宋体"/>
                <w:szCs w:val="21"/>
                <w:highlight w:val="none"/>
              </w:rPr>
            </w:pPr>
            <w:r>
              <w:rPr>
                <w:rFonts w:hint="eastAsia" w:ascii="宋体" w:hAnsi="宋体"/>
                <w:szCs w:val="21"/>
                <w:highlight w:val="none"/>
              </w:rPr>
              <w:t>由评委根据供应商提供的针对本项目制定的</w:t>
            </w:r>
            <w:r>
              <w:rPr>
                <w:rFonts w:ascii="宋体" w:hAnsi="宋体"/>
                <w:szCs w:val="21"/>
                <w:highlight w:val="none"/>
              </w:rPr>
              <w:t>质量保证体系及控制要点</w:t>
            </w:r>
            <w:r>
              <w:rPr>
                <w:rFonts w:hint="eastAsia" w:ascii="宋体" w:hAnsi="宋体"/>
                <w:szCs w:val="21"/>
                <w:highlight w:val="none"/>
              </w:rPr>
              <w:t>等</w:t>
            </w:r>
            <w:r>
              <w:rPr>
                <w:rFonts w:hint="eastAsia" w:ascii="宋体" w:hAnsi="宋体"/>
                <w:szCs w:val="21"/>
                <w:highlight w:val="none"/>
                <w:lang w:val="en-US" w:eastAsia="zh-CN"/>
              </w:rPr>
              <w:t>方面分析</w:t>
            </w:r>
            <w:r>
              <w:rPr>
                <w:rFonts w:hint="eastAsia" w:ascii="宋体" w:hAnsi="宋体"/>
                <w:szCs w:val="21"/>
                <w:highlight w:val="none"/>
              </w:rPr>
              <w:t>的全面性、准确性酌情打分(评分范围：</w:t>
            </w:r>
            <w:r>
              <w:rPr>
                <w:rFonts w:hint="eastAsia" w:ascii="宋体" w:hAnsi="宋体"/>
                <w:szCs w:val="21"/>
                <w:highlight w:val="none"/>
                <w:lang w:val="en-US" w:eastAsia="zh-CN"/>
              </w:rPr>
              <w:t>1</w:t>
            </w:r>
            <w:r>
              <w:rPr>
                <w:rFonts w:hint="eastAsia" w:ascii="宋体" w:hAnsi="宋体"/>
                <w:szCs w:val="21"/>
                <w:highlight w:val="none"/>
              </w:rPr>
              <w:t>，</w:t>
            </w:r>
            <w:r>
              <w:rPr>
                <w:rFonts w:hint="eastAsia" w:ascii="宋体" w:hAnsi="宋体"/>
                <w:szCs w:val="21"/>
                <w:highlight w:val="none"/>
                <w:lang w:val="en-US" w:eastAsia="zh-CN"/>
              </w:rPr>
              <w:t>2</w:t>
            </w:r>
            <w:r>
              <w:rPr>
                <w:rFonts w:hint="eastAsia" w:ascii="宋体" w:hAnsi="宋体"/>
                <w:szCs w:val="21"/>
                <w:highlight w:val="none"/>
              </w:rPr>
              <w:t>，3，</w:t>
            </w:r>
            <w:r>
              <w:rPr>
                <w:rFonts w:hint="eastAsia" w:ascii="宋体" w:hAnsi="宋体"/>
                <w:szCs w:val="21"/>
                <w:highlight w:val="none"/>
                <w:lang w:val="en-US" w:eastAsia="zh-CN"/>
              </w:rPr>
              <w:t>4</w:t>
            </w:r>
            <w:r>
              <w:rPr>
                <w:rFonts w:hint="eastAsia" w:ascii="宋体" w:hAnsi="宋体"/>
                <w:szCs w:val="21"/>
                <w:highlight w:val="none"/>
              </w:rPr>
              <w:t>，</w:t>
            </w:r>
            <w:r>
              <w:rPr>
                <w:rFonts w:hint="eastAsia" w:ascii="宋体" w:hAnsi="宋体"/>
                <w:szCs w:val="21"/>
                <w:highlight w:val="none"/>
                <w:lang w:val="en-US" w:eastAsia="zh-CN"/>
              </w:rPr>
              <w:t>5</w:t>
            </w:r>
            <w:r>
              <w:rPr>
                <w:rFonts w:hint="eastAsia" w:ascii="宋体" w:hAnsi="宋体"/>
                <w:szCs w:val="21"/>
                <w:highlight w:val="none"/>
              </w:rPr>
              <w:t>，</w:t>
            </w:r>
            <w:r>
              <w:rPr>
                <w:rFonts w:hint="eastAsia" w:ascii="宋体" w:hAnsi="宋体"/>
                <w:szCs w:val="21"/>
                <w:highlight w:val="none"/>
                <w:lang w:val="en-US" w:eastAsia="zh-CN"/>
              </w:rPr>
              <w:t>6，7，8，</w:t>
            </w:r>
            <w:r>
              <w:rPr>
                <w:rFonts w:hint="eastAsia" w:ascii="宋体" w:hAnsi="宋体"/>
                <w:szCs w:val="21"/>
                <w:highlight w:val="none"/>
              </w:rPr>
              <w:t>缺项为0分)。</w:t>
            </w:r>
          </w:p>
        </w:tc>
        <w:tc>
          <w:tcPr>
            <w:tcW w:w="992" w:type="dxa"/>
            <w:noWrap w:val="0"/>
            <w:vAlign w:val="center"/>
          </w:tcPr>
          <w:p w14:paraId="1348624D">
            <w:pPr>
              <w:pStyle w:val="23"/>
              <w:spacing w:after="25" w:line="360" w:lineRule="exact"/>
              <w:jc w:val="center"/>
              <w:rPr>
                <w:rFonts w:hint="eastAsia" w:ascii="宋体" w:hAnsi="宋体" w:eastAsia="宋体"/>
                <w:szCs w:val="21"/>
                <w:highlight w:val="none"/>
                <w:lang w:eastAsia="zh-CN"/>
              </w:rPr>
            </w:pPr>
            <w:r>
              <w:rPr>
                <w:rFonts w:ascii="宋体" w:hAnsi="宋体" w:eastAsia="宋体"/>
                <w:szCs w:val="21"/>
                <w:highlight w:val="none"/>
              </w:rPr>
              <w:t>0-</w:t>
            </w:r>
            <w:r>
              <w:rPr>
                <w:rFonts w:hint="eastAsia" w:hAnsi="宋体"/>
                <w:szCs w:val="21"/>
                <w:highlight w:val="none"/>
                <w:lang w:val="en-US" w:eastAsia="zh-CN"/>
              </w:rPr>
              <w:t>8</w:t>
            </w:r>
          </w:p>
        </w:tc>
      </w:tr>
      <w:tr w14:paraId="7B44D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777" w:type="dxa"/>
            <w:noWrap w:val="0"/>
            <w:vAlign w:val="center"/>
          </w:tcPr>
          <w:p w14:paraId="039A931F">
            <w:pPr>
              <w:numPr>
                <w:ilvl w:val="0"/>
                <w:numId w:val="0"/>
              </w:numPr>
              <w:spacing w:line="360" w:lineRule="exact"/>
              <w:ind w:left="0" w:leftChars="0" w:firstLine="210" w:firstLineChars="100"/>
              <w:jc w:val="center"/>
              <w:rPr>
                <w:rFonts w:hint="eastAsia" w:ascii="宋体" w:hAnsi="宋体" w:eastAsia="宋体"/>
                <w:szCs w:val="21"/>
                <w:highlight w:val="none"/>
                <w:lang w:val="en-US" w:eastAsia="zh-CN"/>
              </w:rPr>
            </w:pPr>
            <w:r>
              <w:rPr>
                <w:rFonts w:hint="eastAsia" w:ascii="宋体" w:hAnsi="宋体"/>
                <w:szCs w:val="21"/>
                <w:highlight w:val="none"/>
                <w:lang w:val="en-US" w:eastAsia="zh-CN"/>
              </w:rPr>
              <w:t>7</w:t>
            </w:r>
          </w:p>
        </w:tc>
        <w:tc>
          <w:tcPr>
            <w:tcW w:w="1438" w:type="dxa"/>
            <w:noWrap w:val="0"/>
            <w:vAlign w:val="center"/>
          </w:tcPr>
          <w:p w14:paraId="650CBBDD">
            <w:pPr>
              <w:spacing w:after="25" w:line="360" w:lineRule="exact"/>
              <w:jc w:val="center"/>
              <w:rPr>
                <w:rFonts w:hint="eastAsia" w:ascii="宋体" w:hAnsi="宋体"/>
                <w:szCs w:val="21"/>
                <w:highlight w:val="none"/>
              </w:rPr>
            </w:pPr>
            <w:r>
              <w:rPr>
                <w:rFonts w:hint="eastAsia" w:ascii="宋体" w:hAnsi="宋体"/>
                <w:szCs w:val="21"/>
                <w:highlight w:val="none"/>
              </w:rPr>
              <w:t>安全体系</w:t>
            </w:r>
          </w:p>
        </w:tc>
        <w:tc>
          <w:tcPr>
            <w:tcW w:w="6028" w:type="dxa"/>
            <w:noWrap w:val="0"/>
            <w:vAlign w:val="center"/>
          </w:tcPr>
          <w:p w14:paraId="65515A00">
            <w:pPr>
              <w:spacing w:after="60" w:afterLines="25" w:line="360" w:lineRule="exact"/>
              <w:ind w:firstLine="420" w:firstLineChars="200"/>
              <w:jc w:val="left"/>
              <w:rPr>
                <w:rFonts w:hint="eastAsia" w:ascii="宋体" w:hAnsi="宋体"/>
                <w:szCs w:val="21"/>
                <w:highlight w:val="none"/>
              </w:rPr>
            </w:pPr>
            <w:r>
              <w:rPr>
                <w:rFonts w:hint="eastAsia" w:ascii="宋体" w:hAnsi="宋体"/>
                <w:szCs w:val="21"/>
                <w:highlight w:val="none"/>
              </w:rPr>
              <w:t>由评委根据供应商提供的针对本项目制定的</w:t>
            </w:r>
            <w:r>
              <w:rPr>
                <w:rFonts w:ascii="宋体" w:hAnsi="宋体"/>
                <w:szCs w:val="21"/>
                <w:highlight w:val="none"/>
              </w:rPr>
              <w:t>安全保证体系及安全文明施工措施要点</w:t>
            </w:r>
            <w:r>
              <w:rPr>
                <w:rFonts w:hint="eastAsia" w:ascii="宋体" w:hAnsi="宋体"/>
                <w:szCs w:val="21"/>
                <w:highlight w:val="none"/>
              </w:rPr>
              <w:t>等</w:t>
            </w:r>
            <w:r>
              <w:rPr>
                <w:rFonts w:hint="eastAsia" w:ascii="宋体" w:hAnsi="宋体"/>
                <w:szCs w:val="21"/>
                <w:highlight w:val="none"/>
                <w:lang w:val="en-US" w:eastAsia="zh-CN"/>
              </w:rPr>
              <w:t>方面分析</w:t>
            </w:r>
            <w:r>
              <w:rPr>
                <w:rFonts w:hint="eastAsia" w:ascii="宋体" w:hAnsi="宋体"/>
                <w:szCs w:val="21"/>
                <w:highlight w:val="none"/>
              </w:rPr>
              <w:t>的全面性、准确性酌情打分(评分范围：</w:t>
            </w:r>
            <w:r>
              <w:rPr>
                <w:rFonts w:hint="eastAsia" w:ascii="宋体" w:hAnsi="宋体"/>
                <w:szCs w:val="21"/>
                <w:highlight w:val="none"/>
                <w:lang w:val="en-US" w:eastAsia="zh-CN"/>
              </w:rPr>
              <w:t>1</w:t>
            </w:r>
            <w:r>
              <w:rPr>
                <w:rFonts w:hint="eastAsia" w:ascii="宋体" w:hAnsi="宋体"/>
                <w:szCs w:val="21"/>
                <w:highlight w:val="none"/>
              </w:rPr>
              <w:t>，</w:t>
            </w:r>
            <w:r>
              <w:rPr>
                <w:rFonts w:hint="eastAsia" w:ascii="宋体" w:hAnsi="宋体"/>
                <w:szCs w:val="21"/>
                <w:highlight w:val="none"/>
                <w:lang w:val="en-US" w:eastAsia="zh-CN"/>
              </w:rPr>
              <w:t>2</w:t>
            </w:r>
            <w:r>
              <w:rPr>
                <w:rFonts w:hint="eastAsia" w:ascii="宋体" w:hAnsi="宋体"/>
                <w:szCs w:val="21"/>
                <w:highlight w:val="none"/>
              </w:rPr>
              <w:t>，3，</w:t>
            </w:r>
            <w:r>
              <w:rPr>
                <w:rFonts w:hint="eastAsia" w:ascii="宋体" w:hAnsi="宋体"/>
                <w:szCs w:val="21"/>
                <w:highlight w:val="none"/>
                <w:lang w:val="en-US" w:eastAsia="zh-CN"/>
              </w:rPr>
              <w:t>4</w:t>
            </w:r>
            <w:r>
              <w:rPr>
                <w:rFonts w:hint="eastAsia" w:ascii="宋体" w:hAnsi="宋体"/>
                <w:szCs w:val="21"/>
                <w:highlight w:val="none"/>
              </w:rPr>
              <w:t>，</w:t>
            </w:r>
            <w:r>
              <w:rPr>
                <w:rFonts w:hint="eastAsia" w:ascii="宋体" w:hAnsi="宋体"/>
                <w:szCs w:val="21"/>
                <w:highlight w:val="none"/>
                <w:lang w:val="en-US" w:eastAsia="zh-CN"/>
              </w:rPr>
              <w:t>5</w:t>
            </w:r>
            <w:r>
              <w:rPr>
                <w:rFonts w:hint="eastAsia" w:ascii="宋体" w:hAnsi="宋体"/>
                <w:szCs w:val="21"/>
                <w:highlight w:val="none"/>
              </w:rPr>
              <w:t>，</w:t>
            </w:r>
            <w:r>
              <w:rPr>
                <w:rFonts w:hint="eastAsia" w:ascii="宋体" w:hAnsi="宋体"/>
                <w:szCs w:val="21"/>
                <w:highlight w:val="none"/>
                <w:lang w:val="en-US" w:eastAsia="zh-CN"/>
              </w:rPr>
              <w:t>6，7，</w:t>
            </w:r>
            <w:r>
              <w:rPr>
                <w:rFonts w:hint="eastAsia" w:ascii="宋体" w:hAnsi="宋体"/>
                <w:szCs w:val="21"/>
                <w:highlight w:val="none"/>
              </w:rPr>
              <w:t>缺项为0分)。</w:t>
            </w:r>
          </w:p>
        </w:tc>
        <w:tc>
          <w:tcPr>
            <w:tcW w:w="992" w:type="dxa"/>
            <w:noWrap w:val="0"/>
            <w:vAlign w:val="center"/>
          </w:tcPr>
          <w:p w14:paraId="0D3344AD">
            <w:pPr>
              <w:pStyle w:val="23"/>
              <w:spacing w:after="25" w:line="360" w:lineRule="exact"/>
              <w:jc w:val="center"/>
              <w:rPr>
                <w:rFonts w:hint="eastAsia" w:ascii="宋体" w:hAnsi="宋体" w:eastAsia="宋体"/>
                <w:szCs w:val="21"/>
                <w:highlight w:val="none"/>
              </w:rPr>
            </w:pPr>
            <w:r>
              <w:rPr>
                <w:rFonts w:ascii="宋体" w:hAnsi="宋体" w:eastAsia="宋体"/>
                <w:szCs w:val="21"/>
                <w:highlight w:val="none"/>
              </w:rPr>
              <w:t>0-7</w:t>
            </w:r>
          </w:p>
        </w:tc>
      </w:tr>
      <w:tr w14:paraId="483EA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777" w:type="dxa"/>
            <w:noWrap w:val="0"/>
            <w:vAlign w:val="center"/>
          </w:tcPr>
          <w:p w14:paraId="5B933CD1">
            <w:pPr>
              <w:numPr>
                <w:ilvl w:val="0"/>
                <w:numId w:val="0"/>
              </w:numPr>
              <w:spacing w:line="360" w:lineRule="exact"/>
              <w:ind w:left="0" w:leftChars="0" w:firstLine="210" w:firstLineChars="100"/>
              <w:jc w:val="center"/>
              <w:rPr>
                <w:rFonts w:hint="eastAsia" w:ascii="宋体" w:hAnsi="宋体" w:eastAsia="宋体"/>
                <w:szCs w:val="21"/>
                <w:highlight w:val="none"/>
                <w:lang w:val="en-US" w:eastAsia="zh-CN"/>
              </w:rPr>
            </w:pPr>
            <w:r>
              <w:rPr>
                <w:rFonts w:hint="eastAsia" w:ascii="宋体" w:hAnsi="宋体"/>
                <w:szCs w:val="21"/>
                <w:highlight w:val="none"/>
                <w:lang w:val="en-US" w:eastAsia="zh-CN"/>
              </w:rPr>
              <w:t>8</w:t>
            </w:r>
          </w:p>
        </w:tc>
        <w:tc>
          <w:tcPr>
            <w:tcW w:w="1438" w:type="dxa"/>
            <w:noWrap w:val="0"/>
            <w:vAlign w:val="center"/>
          </w:tcPr>
          <w:p w14:paraId="68E5311F">
            <w:pPr>
              <w:spacing w:after="25" w:line="360" w:lineRule="exact"/>
              <w:jc w:val="center"/>
              <w:rPr>
                <w:rFonts w:hint="eastAsia" w:ascii="宋体" w:hAnsi="宋体"/>
                <w:szCs w:val="21"/>
                <w:highlight w:val="none"/>
              </w:rPr>
            </w:pPr>
            <w:r>
              <w:rPr>
                <w:rFonts w:hint="eastAsia" w:ascii="宋体" w:hAnsi="宋体"/>
                <w:szCs w:val="21"/>
                <w:highlight w:val="none"/>
              </w:rPr>
              <w:t>应急预案</w:t>
            </w:r>
          </w:p>
        </w:tc>
        <w:tc>
          <w:tcPr>
            <w:tcW w:w="6028" w:type="dxa"/>
            <w:noWrap w:val="0"/>
            <w:vAlign w:val="center"/>
          </w:tcPr>
          <w:p w14:paraId="20A9ECBA">
            <w:pPr>
              <w:spacing w:after="60" w:afterLines="25" w:line="360" w:lineRule="exact"/>
              <w:ind w:firstLine="420" w:firstLineChars="200"/>
              <w:jc w:val="left"/>
              <w:rPr>
                <w:rFonts w:hint="eastAsia" w:ascii="宋体" w:hAnsi="宋体"/>
                <w:szCs w:val="21"/>
                <w:highlight w:val="none"/>
              </w:rPr>
            </w:pPr>
            <w:r>
              <w:rPr>
                <w:rFonts w:hint="eastAsia" w:ascii="宋体" w:hAnsi="宋体"/>
                <w:szCs w:val="21"/>
                <w:highlight w:val="none"/>
              </w:rPr>
              <w:t>由评委根据供应商提供的针对本项目的突发事件处理方案、应急预案等</w:t>
            </w:r>
            <w:r>
              <w:rPr>
                <w:rFonts w:hint="eastAsia" w:ascii="宋体" w:hAnsi="宋体"/>
                <w:szCs w:val="21"/>
                <w:highlight w:val="none"/>
                <w:lang w:val="en-US" w:eastAsia="zh-CN"/>
              </w:rPr>
              <w:t>方面分析</w:t>
            </w:r>
            <w:r>
              <w:rPr>
                <w:rFonts w:hint="eastAsia" w:ascii="宋体" w:hAnsi="宋体"/>
                <w:szCs w:val="21"/>
                <w:highlight w:val="none"/>
              </w:rPr>
              <w:t>的全面性、准确性酌情打分(评分范围：</w:t>
            </w:r>
            <w:r>
              <w:rPr>
                <w:rFonts w:hint="eastAsia" w:ascii="宋体" w:hAnsi="宋体"/>
                <w:szCs w:val="21"/>
                <w:highlight w:val="none"/>
                <w:lang w:val="en-US" w:eastAsia="zh-CN"/>
              </w:rPr>
              <w:t>1</w:t>
            </w:r>
            <w:r>
              <w:rPr>
                <w:rFonts w:hint="eastAsia" w:ascii="宋体" w:hAnsi="宋体"/>
                <w:szCs w:val="21"/>
                <w:highlight w:val="none"/>
              </w:rPr>
              <w:t>，</w:t>
            </w:r>
            <w:r>
              <w:rPr>
                <w:rFonts w:hint="eastAsia" w:ascii="宋体" w:hAnsi="宋体"/>
                <w:szCs w:val="21"/>
                <w:highlight w:val="none"/>
                <w:lang w:val="en-US" w:eastAsia="zh-CN"/>
              </w:rPr>
              <w:t>2</w:t>
            </w:r>
            <w:r>
              <w:rPr>
                <w:rFonts w:hint="eastAsia" w:ascii="宋体" w:hAnsi="宋体"/>
                <w:szCs w:val="21"/>
                <w:highlight w:val="none"/>
              </w:rPr>
              <w:t>，3，</w:t>
            </w:r>
            <w:r>
              <w:rPr>
                <w:rFonts w:hint="eastAsia" w:ascii="宋体" w:hAnsi="宋体"/>
                <w:szCs w:val="21"/>
                <w:highlight w:val="none"/>
                <w:lang w:val="en-US" w:eastAsia="zh-CN"/>
              </w:rPr>
              <w:t>4</w:t>
            </w:r>
            <w:r>
              <w:rPr>
                <w:rFonts w:hint="eastAsia" w:ascii="宋体" w:hAnsi="宋体"/>
                <w:szCs w:val="21"/>
                <w:highlight w:val="none"/>
              </w:rPr>
              <w:t>，</w:t>
            </w:r>
            <w:r>
              <w:rPr>
                <w:rFonts w:hint="eastAsia" w:ascii="宋体" w:hAnsi="宋体"/>
                <w:szCs w:val="21"/>
                <w:highlight w:val="none"/>
                <w:lang w:val="en-US" w:eastAsia="zh-CN"/>
              </w:rPr>
              <w:t>5</w:t>
            </w:r>
            <w:r>
              <w:rPr>
                <w:rFonts w:hint="eastAsia" w:ascii="宋体" w:hAnsi="宋体"/>
                <w:szCs w:val="21"/>
                <w:highlight w:val="none"/>
              </w:rPr>
              <w:t>，</w:t>
            </w:r>
            <w:r>
              <w:rPr>
                <w:rFonts w:hint="eastAsia" w:ascii="宋体" w:hAnsi="宋体"/>
                <w:szCs w:val="21"/>
                <w:highlight w:val="none"/>
                <w:lang w:val="en-US" w:eastAsia="zh-CN"/>
              </w:rPr>
              <w:t>6，7，</w:t>
            </w:r>
            <w:r>
              <w:rPr>
                <w:rFonts w:hint="eastAsia" w:ascii="宋体" w:hAnsi="宋体"/>
                <w:szCs w:val="21"/>
                <w:highlight w:val="none"/>
              </w:rPr>
              <w:t>缺项为0分)。</w:t>
            </w:r>
          </w:p>
        </w:tc>
        <w:tc>
          <w:tcPr>
            <w:tcW w:w="992" w:type="dxa"/>
            <w:noWrap w:val="0"/>
            <w:vAlign w:val="center"/>
          </w:tcPr>
          <w:p w14:paraId="5D4C041D">
            <w:pPr>
              <w:pStyle w:val="23"/>
              <w:spacing w:after="25" w:line="360" w:lineRule="exact"/>
              <w:jc w:val="center"/>
              <w:rPr>
                <w:rFonts w:hint="eastAsia" w:ascii="宋体" w:hAnsi="宋体" w:eastAsia="宋体"/>
                <w:szCs w:val="21"/>
                <w:highlight w:val="none"/>
              </w:rPr>
            </w:pPr>
            <w:r>
              <w:rPr>
                <w:rFonts w:ascii="宋体" w:hAnsi="宋体" w:eastAsia="宋体"/>
                <w:szCs w:val="21"/>
                <w:highlight w:val="none"/>
              </w:rPr>
              <w:t>0-7</w:t>
            </w:r>
          </w:p>
        </w:tc>
      </w:tr>
      <w:tr w14:paraId="6CC8D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777" w:type="dxa"/>
            <w:noWrap w:val="0"/>
            <w:vAlign w:val="center"/>
          </w:tcPr>
          <w:p w14:paraId="2E11FAC7">
            <w:pPr>
              <w:numPr>
                <w:ilvl w:val="0"/>
                <w:numId w:val="0"/>
              </w:numPr>
              <w:spacing w:line="360" w:lineRule="exact"/>
              <w:ind w:leftChars="100"/>
              <w:jc w:val="center"/>
              <w:rPr>
                <w:rFonts w:hint="eastAsia" w:ascii="宋体" w:hAnsi="宋体" w:eastAsia="宋体"/>
                <w:szCs w:val="21"/>
                <w:highlight w:val="none"/>
                <w:lang w:val="en-US" w:eastAsia="zh-CN"/>
              </w:rPr>
            </w:pPr>
            <w:r>
              <w:rPr>
                <w:rFonts w:hint="eastAsia" w:ascii="宋体" w:hAnsi="宋体"/>
                <w:szCs w:val="21"/>
                <w:highlight w:val="none"/>
                <w:lang w:val="en-US" w:eastAsia="zh-CN"/>
              </w:rPr>
              <w:t>9</w:t>
            </w:r>
          </w:p>
        </w:tc>
        <w:tc>
          <w:tcPr>
            <w:tcW w:w="1438" w:type="dxa"/>
            <w:noWrap w:val="0"/>
            <w:vAlign w:val="center"/>
          </w:tcPr>
          <w:p w14:paraId="60B65814">
            <w:pPr>
              <w:spacing w:after="25" w:line="360" w:lineRule="exact"/>
              <w:jc w:val="center"/>
              <w:rPr>
                <w:rFonts w:hint="eastAsia" w:ascii="宋体" w:hAnsi="宋体"/>
                <w:szCs w:val="21"/>
                <w:highlight w:val="none"/>
              </w:rPr>
            </w:pPr>
            <w:r>
              <w:rPr>
                <w:rFonts w:hint="eastAsia" w:ascii="宋体" w:hAnsi="宋体"/>
                <w:szCs w:val="21"/>
                <w:highlight w:val="none"/>
                <w:lang w:val="en-US" w:eastAsia="zh-CN"/>
              </w:rPr>
              <w:t>增值</w:t>
            </w:r>
            <w:r>
              <w:rPr>
                <w:rFonts w:hint="eastAsia" w:ascii="宋体" w:hAnsi="宋体"/>
                <w:szCs w:val="21"/>
                <w:highlight w:val="none"/>
              </w:rPr>
              <w:t>服务</w:t>
            </w:r>
          </w:p>
        </w:tc>
        <w:tc>
          <w:tcPr>
            <w:tcW w:w="6028" w:type="dxa"/>
            <w:noWrap w:val="0"/>
            <w:vAlign w:val="center"/>
          </w:tcPr>
          <w:p w14:paraId="31D06E1B">
            <w:pPr>
              <w:spacing w:after="60" w:afterLines="25" w:line="360" w:lineRule="exact"/>
              <w:ind w:firstLine="420" w:firstLineChars="200"/>
              <w:jc w:val="left"/>
              <w:rPr>
                <w:rFonts w:hint="eastAsia" w:ascii="宋体" w:hAnsi="宋体"/>
                <w:szCs w:val="21"/>
                <w:highlight w:val="none"/>
              </w:rPr>
            </w:pPr>
            <w:r>
              <w:rPr>
                <w:rFonts w:hint="eastAsia" w:ascii="宋体" w:hAnsi="宋体"/>
                <w:szCs w:val="21"/>
                <w:highlight w:val="none"/>
              </w:rPr>
              <w:t>由评委根据供应商承诺的</w:t>
            </w:r>
            <w:r>
              <w:rPr>
                <w:rFonts w:hint="eastAsia" w:ascii="宋体" w:hAnsi="宋体"/>
                <w:szCs w:val="21"/>
                <w:highlight w:val="none"/>
                <w:lang w:val="en-US" w:eastAsia="zh-CN"/>
              </w:rPr>
              <w:t>增值</w:t>
            </w:r>
            <w:r>
              <w:rPr>
                <w:rFonts w:hint="eastAsia" w:ascii="宋体" w:hAnsi="宋体"/>
                <w:szCs w:val="21"/>
                <w:highlight w:val="none"/>
              </w:rPr>
              <w:t>服务</w:t>
            </w:r>
            <w:r>
              <w:rPr>
                <w:rFonts w:hint="eastAsia" w:ascii="宋体" w:hAnsi="宋体"/>
                <w:szCs w:val="21"/>
                <w:highlight w:val="none"/>
                <w:lang w:val="en-US" w:eastAsia="zh-CN"/>
              </w:rPr>
              <w:t>承诺</w:t>
            </w:r>
            <w:r>
              <w:rPr>
                <w:rFonts w:hint="eastAsia" w:ascii="宋体" w:hAnsi="宋体"/>
                <w:szCs w:val="21"/>
                <w:highlight w:val="none"/>
              </w:rPr>
              <w:t>等</w:t>
            </w:r>
            <w:r>
              <w:rPr>
                <w:rFonts w:hint="eastAsia" w:ascii="宋体" w:hAnsi="宋体"/>
                <w:szCs w:val="21"/>
                <w:highlight w:val="none"/>
                <w:lang w:val="en-US" w:eastAsia="zh-CN"/>
              </w:rPr>
              <w:t>方面分析</w:t>
            </w:r>
            <w:r>
              <w:rPr>
                <w:rFonts w:hint="eastAsia" w:ascii="宋体" w:hAnsi="宋体"/>
                <w:szCs w:val="21"/>
                <w:highlight w:val="none"/>
              </w:rPr>
              <w:t>的全面性、准确性酌情打分(评分范围：</w:t>
            </w:r>
            <w:r>
              <w:rPr>
                <w:rFonts w:hint="eastAsia" w:ascii="宋体" w:hAnsi="宋体"/>
                <w:szCs w:val="21"/>
                <w:highlight w:val="none"/>
                <w:lang w:val="en-US" w:eastAsia="zh-CN"/>
              </w:rPr>
              <w:t>1</w:t>
            </w:r>
            <w:r>
              <w:rPr>
                <w:rFonts w:hint="eastAsia" w:ascii="宋体" w:hAnsi="宋体"/>
                <w:szCs w:val="21"/>
                <w:highlight w:val="none"/>
              </w:rPr>
              <w:t>，</w:t>
            </w:r>
            <w:r>
              <w:rPr>
                <w:rFonts w:hint="eastAsia" w:ascii="宋体" w:hAnsi="宋体"/>
                <w:szCs w:val="21"/>
                <w:highlight w:val="none"/>
                <w:lang w:val="en-US" w:eastAsia="zh-CN"/>
              </w:rPr>
              <w:t>2</w:t>
            </w:r>
            <w:r>
              <w:rPr>
                <w:rFonts w:hint="eastAsia" w:ascii="宋体" w:hAnsi="宋体"/>
                <w:szCs w:val="21"/>
                <w:highlight w:val="none"/>
              </w:rPr>
              <w:t>，3，</w:t>
            </w:r>
            <w:r>
              <w:rPr>
                <w:rFonts w:hint="eastAsia" w:ascii="宋体" w:hAnsi="宋体"/>
                <w:szCs w:val="21"/>
                <w:highlight w:val="none"/>
                <w:lang w:val="en-US" w:eastAsia="zh-CN"/>
              </w:rPr>
              <w:t>4</w:t>
            </w:r>
            <w:r>
              <w:rPr>
                <w:rFonts w:hint="eastAsia" w:ascii="宋体" w:hAnsi="宋体"/>
                <w:szCs w:val="21"/>
                <w:highlight w:val="none"/>
              </w:rPr>
              <w:t>，</w:t>
            </w:r>
            <w:r>
              <w:rPr>
                <w:rFonts w:hint="eastAsia" w:ascii="宋体" w:hAnsi="宋体"/>
                <w:szCs w:val="21"/>
                <w:highlight w:val="none"/>
                <w:lang w:val="en-US" w:eastAsia="zh-CN"/>
              </w:rPr>
              <w:t>5</w:t>
            </w:r>
            <w:r>
              <w:rPr>
                <w:rFonts w:hint="eastAsia" w:ascii="宋体" w:hAnsi="宋体"/>
                <w:szCs w:val="21"/>
                <w:highlight w:val="none"/>
              </w:rPr>
              <w:t>，</w:t>
            </w:r>
            <w:r>
              <w:rPr>
                <w:rFonts w:hint="eastAsia" w:ascii="宋体" w:hAnsi="宋体"/>
                <w:szCs w:val="21"/>
                <w:highlight w:val="none"/>
                <w:lang w:val="en-US" w:eastAsia="zh-CN"/>
              </w:rPr>
              <w:t>6，7，</w:t>
            </w:r>
            <w:r>
              <w:rPr>
                <w:rFonts w:hint="eastAsia" w:ascii="宋体" w:hAnsi="宋体"/>
                <w:szCs w:val="21"/>
                <w:highlight w:val="none"/>
              </w:rPr>
              <w:t>缺项为0分)。</w:t>
            </w:r>
          </w:p>
        </w:tc>
        <w:tc>
          <w:tcPr>
            <w:tcW w:w="992" w:type="dxa"/>
            <w:noWrap w:val="0"/>
            <w:vAlign w:val="center"/>
          </w:tcPr>
          <w:p w14:paraId="21801F15">
            <w:pPr>
              <w:pStyle w:val="23"/>
              <w:spacing w:after="25" w:line="360" w:lineRule="exact"/>
              <w:jc w:val="center"/>
              <w:rPr>
                <w:rFonts w:hint="eastAsia" w:ascii="宋体" w:hAnsi="宋体" w:eastAsia="宋体"/>
                <w:szCs w:val="21"/>
                <w:highlight w:val="none"/>
              </w:rPr>
            </w:pPr>
            <w:r>
              <w:rPr>
                <w:rFonts w:hint="eastAsia" w:ascii="宋体" w:hAnsi="宋体" w:eastAsia="宋体"/>
                <w:szCs w:val="21"/>
                <w:highlight w:val="none"/>
              </w:rPr>
              <w:t>0-7</w:t>
            </w:r>
          </w:p>
        </w:tc>
      </w:tr>
      <w:tr w14:paraId="12622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777" w:type="dxa"/>
            <w:noWrap w:val="0"/>
            <w:vAlign w:val="center"/>
          </w:tcPr>
          <w:p w14:paraId="047ED03C">
            <w:pPr>
              <w:spacing w:after="60" w:afterLines="25" w:line="360" w:lineRule="exact"/>
              <w:ind w:firstLine="210" w:firstLineChars="100"/>
              <w:jc w:val="left"/>
              <w:rPr>
                <w:rFonts w:hint="default" w:ascii="宋体" w:hAnsi="宋体" w:eastAsia="宋体" w:cs="Times New Roman"/>
                <w:szCs w:val="21"/>
                <w:highlight w:val="none"/>
                <w:lang w:val="en-US" w:eastAsia="zh-CN"/>
              </w:rPr>
            </w:pPr>
            <w:r>
              <w:rPr>
                <w:rFonts w:hint="eastAsia" w:ascii="宋体" w:hAnsi="宋体" w:cs="Times New Roman"/>
                <w:szCs w:val="21"/>
                <w:highlight w:val="none"/>
                <w:lang w:val="en-US" w:eastAsia="zh-CN"/>
              </w:rPr>
              <w:t>10</w:t>
            </w:r>
          </w:p>
        </w:tc>
        <w:tc>
          <w:tcPr>
            <w:tcW w:w="1438" w:type="dxa"/>
            <w:noWrap w:val="0"/>
            <w:vAlign w:val="center"/>
          </w:tcPr>
          <w:p w14:paraId="23306BD5">
            <w:pPr>
              <w:spacing w:after="60" w:afterLines="25" w:line="360" w:lineRule="exact"/>
              <w:ind w:firstLine="420" w:firstLineChars="200"/>
              <w:jc w:val="left"/>
              <w:rPr>
                <w:rFonts w:hint="eastAsia" w:ascii="宋体" w:hAnsi="宋体" w:eastAsia="宋体" w:cs="Times New Roman"/>
                <w:szCs w:val="21"/>
                <w:highlight w:val="none"/>
              </w:rPr>
            </w:pPr>
            <w:r>
              <w:rPr>
                <w:rFonts w:hint="eastAsia" w:ascii="宋体" w:hAnsi="宋体" w:eastAsia="宋体" w:cs="Times New Roman"/>
                <w:szCs w:val="21"/>
                <w:highlight w:val="none"/>
              </w:rPr>
              <w:t>重点、难点分析及对策措施</w:t>
            </w:r>
          </w:p>
        </w:tc>
        <w:tc>
          <w:tcPr>
            <w:tcW w:w="6028" w:type="dxa"/>
            <w:noWrap w:val="0"/>
            <w:vAlign w:val="center"/>
          </w:tcPr>
          <w:p w14:paraId="1F626029">
            <w:pPr>
              <w:spacing w:after="60" w:afterLines="25" w:line="360" w:lineRule="exact"/>
              <w:ind w:firstLine="420" w:firstLineChars="200"/>
              <w:jc w:val="left"/>
              <w:rPr>
                <w:rFonts w:hint="default" w:ascii="宋体" w:hAnsi="宋体" w:eastAsia="宋体" w:cs="Times New Roman"/>
                <w:szCs w:val="21"/>
                <w:highlight w:val="none"/>
                <w:lang w:val="en-US" w:eastAsia="zh-CN"/>
              </w:rPr>
            </w:pPr>
            <w:r>
              <w:rPr>
                <w:rFonts w:hint="eastAsia" w:ascii="宋体" w:hAnsi="宋体" w:eastAsia="宋体" w:cs="Times New Roman"/>
                <w:szCs w:val="21"/>
                <w:highlight w:val="none"/>
              </w:rPr>
              <w:t>由评委根据供应商提供的针对本项目</w:t>
            </w:r>
            <w:r>
              <w:rPr>
                <w:rFonts w:hint="eastAsia" w:ascii="宋体" w:hAnsi="宋体" w:eastAsia="宋体" w:cs="Times New Roman"/>
                <w:szCs w:val="21"/>
                <w:highlight w:val="none"/>
                <w:lang w:val="en-US" w:eastAsia="zh-CN"/>
              </w:rPr>
              <w:t>重点、难点</w:t>
            </w:r>
            <w:r>
              <w:rPr>
                <w:rFonts w:hint="eastAsia" w:ascii="宋体" w:hAnsi="宋体" w:eastAsia="宋体" w:cs="Times New Roman"/>
                <w:szCs w:val="21"/>
                <w:highlight w:val="none"/>
              </w:rPr>
              <w:t>及对策措施</w:t>
            </w:r>
            <w:r>
              <w:rPr>
                <w:rFonts w:hint="eastAsia" w:ascii="宋体" w:hAnsi="宋体"/>
                <w:szCs w:val="21"/>
                <w:highlight w:val="none"/>
              </w:rPr>
              <w:t>等</w:t>
            </w:r>
            <w:r>
              <w:rPr>
                <w:rFonts w:hint="eastAsia" w:ascii="宋体" w:hAnsi="宋体"/>
                <w:szCs w:val="21"/>
                <w:highlight w:val="none"/>
                <w:lang w:val="en-US" w:eastAsia="zh-CN"/>
              </w:rPr>
              <w:t>方面</w:t>
            </w:r>
            <w:r>
              <w:rPr>
                <w:rFonts w:hint="eastAsia" w:ascii="宋体" w:hAnsi="宋体" w:eastAsia="宋体" w:cs="Times New Roman"/>
                <w:szCs w:val="21"/>
                <w:highlight w:val="none"/>
                <w:lang w:val="en-US" w:eastAsia="zh-CN"/>
              </w:rPr>
              <w:t>分析</w:t>
            </w:r>
            <w:r>
              <w:rPr>
                <w:rFonts w:hint="eastAsia" w:ascii="宋体" w:hAnsi="宋体" w:eastAsia="宋体" w:cs="Times New Roman"/>
                <w:szCs w:val="21"/>
                <w:highlight w:val="none"/>
              </w:rPr>
              <w:t>的全面性、准确性酌情打分(评分范围：</w:t>
            </w:r>
            <w:r>
              <w:rPr>
                <w:rFonts w:hint="eastAsia" w:ascii="宋体" w:hAnsi="宋体" w:eastAsia="宋体" w:cs="Times New Roman"/>
                <w:szCs w:val="21"/>
                <w:highlight w:val="none"/>
                <w:lang w:val="en-US" w:eastAsia="zh-CN"/>
              </w:rPr>
              <w:t>1</w:t>
            </w:r>
            <w:r>
              <w:rPr>
                <w:rFonts w:hint="eastAsia" w:ascii="宋体" w:hAnsi="宋体" w:eastAsia="宋体" w:cs="Times New Roman"/>
                <w:szCs w:val="21"/>
                <w:highlight w:val="none"/>
              </w:rPr>
              <w:t>，</w:t>
            </w:r>
            <w:r>
              <w:rPr>
                <w:rFonts w:hint="eastAsia" w:ascii="宋体" w:hAnsi="宋体" w:eastAsia="宋体" w:cs="Times New Roman"/>
                <w:szCs w:val="21"/>
                <w:highlight w:val="none"/>
                <w:lang w:val="en-US" w:eastAsia="zh-CN"/>
              </w:rPr>
              <w:t>2</w:t>
            </w:r>
            <w:r>
              <w:rPr>
                <w:rFonts w:hint="eastAsia" w:ascii="宋体" w:hAnsi="宋体" w:eastAsia="宋体" w:cs="Times New Roman"/>
                <w:szCs w:val="21"/>
                <w:highlight w:val="none"/>
              </w:rPr>
              <w:t>，3，</w:t>
            </w:r>
            <w:r>
              <w:rPr>
                <w:rFonts w:hint="eastAsia" w:ascii="宋体" w:hAnsi="宋体" w:eastAsia="宋体" w:cs="Times New Roman"/>
                <w:szCs w:val="21"/>
                <w:highlight w:val="none"/>
                <w:lang w:val="en-US" w:eastAsia="zh-CN"/>
              </w:rPr>
              <w:t>4</w:t>
            </w:r>
            <w:r>
              <w:rPr>
                <w:rFonts w:hint="eastAsia" w:ascii="宋体" w:hAnsi="宋体" w:eastAsia="宋体" w:cs="Times New Roman"/>
                <w:szCs w:val="21"/>
                <w:highlight w:val="none"/>
              </w:rPr>
              <w:t>，</w:t>
            </w:r>
            <w:r>
              <w:rPr>
                <w:rFonts w:hint="eastAsia" w:ascii="宋体" w:hAnsi="宋体" w:eastAsia="宋体" w:cs="Times New Roman"/>
                <w:szCs w:val="21"/>
                <w:highlight w:val="none"/>
                <w:lang w:val="en-US" w:eastAsia="zh-CN"/>
              </w:rPr>
              <w:t>5</w:t>
            </w:r>
            <w:r>
              <w:rPr>
                <w:rFonts w:hint="eastAsia" w:ascii="宋体" w:hAnsi="宋体" w:eastAsia="宋体" w:cs="Times New Roman"/>
                <w:szCs w:val="21"/>
                <w:highlight w:val="none"/>
              </w:rPr>
              <w:t>，</w:t>
            </w:r>
            <w:r>
              <w:rPr>
                <w:rFonts w:hint="eastAsia" w:ascii="宋体" w:hAnsi="宋体" w:eastAsia="宋体" w:cs="Times New Roman"/>
                <w:szCs w:val="21"/>
                <w:highlight w:val="none"/>
                <w:lang w:val="en-US" w:eastAsia="zh-CN"/>
              </w:rPr>
              <w:t>6，7，</w:t>
            </w:r>
            <w:r>
              <w:rPr>
                <w:rFonts w:hint="eastAsia" w:ascii="宋体" w:hAnsi="宋体" w:eastAsia="宋体" w:cs="Times New Roman"/>
                <w:szCs w:val="21"/>
                <w:highlight w:val="none"/>
              </w:rPr>
              <w:t>缺项为0分)。</w:t>
            </w:r>
          </w:p>
        </w:tc>
        <w:tc>
          <w:tcPr>
            <w:tcW w:w="992" w:type="dxa"/>
            <w:noWrap w:val="0"/>
            <w:vAlign w:val="center"/>
          </w:tcPr>
          <w:p w14:paraId="057EADA0">
            <w:pPr>
              <w:pStyle w:val="23"/>
              <w:spacing w:after="25" w:line="360" w:lineRule="exact"/>
              <w:jc w:val="center"/>
              <w:rPr>
                <w:rFonts w:hint="eastAsia" w:ascii="宋体" w:hAnsi="宋体" w:eastAsia="宋体"/>
                <w:szCs w:val="21"/>
                <w:highlight w:val="none"/>
              </w:rPr>
            </w:pPr>
            <w:r>
              <w:rPr>
                <w:rFonts w:hint="eastAsia" w:ascii="宋体" w:hAnsi="宋体" w:eastAsia="宋体"/>
                <w:szCs w:val="21"/>
                <w:highlight w:val="none"/>
              </w:rPr>
              <w:t>0-7</w:t>
            </w:r>
          </w:p>
        </w:tc>
      </w:tr>
      <w:tr w14:paraId="542D0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777" w:type="dxa"/>
            <w:noWrap w:val="0"/>
            <w:vAlign w:val="center"/>
          </w:tcPr>
          <w:p w14:paraId="420E96C0">
            <w:pPr>
              <w:spacing w:after="60" w:afterLines="25" w:line="360" w:lineRule="exact"/>
              <w:ind w:firstLine="210" w:firstLineChars="100"/>
              <w:jc w:val="left"/>
              <w:rPr>
                <w:rFonts w:hint="default" w:ascii="宋体" w:hAnsi="宋体" w:eastAsia="宋体" w:cs="Times New Roman"/>
                <w:szCs w:val="21"/>
                <w:highlight w:val="none"/>
                <w:lang w:val="en-US" w:eastAsia="zh-CN"/>
              </w:rPr>
            </w:pPr>
            <w:r>
              <w:rPr>
                <w:rFonts w:hint="eastAsia" w:ascii="宋体" w:hAnsi="宋体" w:cs="Times New Roman"/>
                <w:szCs w:val="21"/>
                <w:highlight w:val="none"/>
                <w:lang w:val="en-US" w:eastAsia="zh-CN"/>
              </w:rPr>
              <w:t>11</w:t>
            </w:r>
          </w:p>
        </w:tc>
        <w:tc>
          <w:tcPr>
            <w:tcW w:w="1438" w:type="dxa"/>
            <w:noWrap w:val="0"/>
            <w:vAlign w:val="center"/>
          </w:tcPr>
          <w:p w14:paraId="06878D7A">
            <w:pPr>
              <w:spacing w:after="60" w:afterLines="25" w:line="360" w:lineRule="exact"/>
              <w:ind w:firstLine="420" w:firstLineChars="200"/>
              <w:jc w:val="left"/>
              <w:rPr>
                <w:rFonts w:hint="eastAsia" w:ascii="宋体" w:hAnsi="宋体" w:eastAsia="宋体" w:cs="Times New Roman"/>
                <w:szCs w:val="21"/>
                <w:highlight w:val="none"/>
              </w:rPr>
            </w:pPr>
            <w:r>
              <w:rPr>
                <w:rFonts w:hint="eastAsia" w:ascii="宋体" w:hAnsi="宋体" w:eastAsia="宋体" w:cs="Times New Roman"/>
                <w:szCs w:val="21"/>
                <w:highlight w:val="none"/>
                <w:lang w:val="en-US" w:eastAsia="zh-CN"/>
              </w:rPr>
              <w:t>环境保护方案和措施</w:t>
            </w:r>
          </w:p>
        </w:tc>
        <w:tc>
          <w:tcPr>
            <w:tcW w:w="6028" w:type="dxa"/>
            <w:noWrap w:val="0"/>
            <w:vAlign w:val="center"/>
          </w:tcPr>
          <w:p w14:paraId="4AC9A6A7">
            <w:pPr>
              <w:spacing w:after="60" w:afterLines="25" w:line="360" w:lineRule="exact"/>
              <w:ind w:firstLine="420" w:firstLineChars="200"/>
              <w:jc w:val="left"/>
              <w:rPr>
                <w:rFonts w:hint="eastAsia" w:ascii="宋体" w:hAnsi="宋体" w:eastAsia="宋体" w:cs="Times New Roman"/>
                <w:szCs w:val="21"/>
                <w:highlight w:val="none"/>
              </w:rPr>
            </w:pPr>
            <w:r>
              <w:rPr>
                <w:rFonts w:hint="eastAsia" w:ascii="宋体" w:hAnsi="宋体" w:eastAsia="宋体" w:cs="Times New Roman"/>
                <w:szCs w:val="21"/>
                <w:highlight w:val="none"/>
              </w:rPr>
              <w:t>由评委根据供应商提供的针对本项目</w:t>
            </w:r>
            <w:r>
              <w:rPr>
                <w:rFonts w:hint="eastAsia" w:ascii="宋体" w:hAnsi="宋体" w:eastAsia="宋体" w:cs="Times New Roman"/>
                <w:szCs w:val="21"/>
                <w:highlight w:val="none"/>
                <w:lang w:val="en-US" w:eastAsia="zh-CN"/>
              </w:rPr>
              <w:t>环境保护方案和措施</w:t>
            </w:r>
            <w:r>
              <w:rPr>
                <w:rFonts w:hint="eastAsia" w:ascii="宋体" w:hAnsi="宋体"/>
                <w:szCs w:val="21"/>
                <w:highlight w:val="none"/>
              </w:rPr>
              <w:t>等</w:t>
            </w:r>
            <w:r>
              <w:rPr>
                <w:rFonts w:hint="eastAsia" w:ascii="宋体" w:hAnsi="宋体"/>
                <w:szCs w:val="21"/>
                <w:highlight w:val="none"/>
                <w:lang w:val="en-US" w:eastAsia="zh-CN"/>
              </w:rPr>
              <w:t>方面</w:t>
            </w:r>
            <w:r>
              <w:rPr>
                <w:rFonts w:hint="eastAsia" w:ascii="宋体" w:hAnsi="宋体" w:eastAsia="宋体" w:cs="Times New Roman"/>
                <w:szCs w:val="21"/>
                <w:highlight w:val="none"/>
                <w:lang w:val="en-US" w:eastAsia="zh-CN"/>
              </w:rPr>
              <w:t>分析</w:t>
            </w:r>
            <w:r>
              <w:rPr>
                <w:rFonts w:hint="eastAsia" w:ascii="宋体" w:hAnsi="宋体" w:eastAsia="宋体" w:cs="Times New Roman"/>
                <w:szCs w:val="21"/>
                <w:highlight w:val="none"/>
              </w:rPr>
              <w:t>的全面性、准确性酌情打分(评分范围：</w:t>
            </w:r>
            <w:r>
              <w:rPr>
                <w:rFonts w:hint="eastAsia" w:ascii="宋体" w:hAnsi="宋体" w:eastAsia="宋体" w:cs="Times New Roman"/>
                <w:szCs w:val="21"/>
                <w:highlight w:val="none"/>
                <w:lang w:val="en-US" w:eastAsia="zh-CN"/>
              </w:rPr>
              <w:t>1</w:t>
            </w:r>
            <w:r>
              <w:rPr>
                <w:rFonts w:hint="eastAsia" w:ascii="宋体" w:hAnsi="宋体" w:eastAsia="宋体" w:cs="Times New Roman"/>
                <w:szCs w:val="21"/>
                <w:highlight w:val="none"/>
              </w:rPr>
              <w:t>，</w:t>
            </w:r>
            <w:r>
              <w:rPr>
                <w:rFonts w:hint="eastAsia" w:ascii="宋体" w:hAnsi="宋体" w:eastAsia="宋体" w:cs="Times New Roman"/>
                <w:szCs w:val="21"/>
                <w:highlight w:val="none"/>
                <w:lang w:val="en-US" w:eastAsia="zh-CN"/>
              </w:rPr>
              <w:t>2</w:t>
            </w:r>
            <w:r>
              <w:rPr>
                <w:rFonts w:hint="eastAsia" w:ascii="宋体" w:hAnsi="宋体" w:eastAsia="宋体" w:cs="Times New Roman"/>
                <w:szCs w:val="21"/>
                <w:highlight w:val="none"/>
              </w:rPr>
              <w:t>，3，</w:t>
            </w:r>
            <w:r>
              <w:rPr>
                <w:rFonts w:hint="eastAsia" w:ascii="宋体" w:hAnsi="宋体" w:eastAsia="宋体" w:cs="Times New Roman"/>
                <w:szCs w:val="21"/>
                <w:highlight w:val="none"/>
                <w:lang w:val="en-US" w:eastAsia="zh-CN"/>
              </w:rPr>
              <w:t>4</w:t>
            </w:r>
            <w:r>
              <w:rPr>
                <w:rFonts w:hint="eastAsia" w:ascii="宋体" w:hAnsi="宋体" w:eastAsia="宋体" w:cs="Times New Roman"/>
                <w:szCs w:val="21"/>
                <w:highlight w:val="none"/>
              </w:rPr>
              <w:t>，</w:t>
            </w:r>
            <w:r>
              <w:rPr>
                <w:rFonts w:hint="eastAsia" w:ascii="宋体" w:hAnsi="宋体" w:eastAsia="宋体" w:cs="Times New Roman"/>
                <w:szCs w:val="21"/>
                <w:highlight w:val="none"/>
                <w:lang w:val="en-US" w:eastAsia="zh-CN"/>
              </w:rPr>
              <w:t>5</w:t>
            </w:r>
            <w:r>
              <w:rPr>
                <w:rFonts w:hint="eastAsia" w:ascii="宋体" w:hAnsi="宋体" w:eastAsia="宋体" w:cs="Times New Roman"/>
                <w:szCs w:val="21"/>
                <w:highlight w:val="none"/>
              </w:rPr>
              <w:t>，</w:t>
            </w:r>
            <w:r>
              <w:rPr>
                <w:rFonts w:hint="eastAsia" w:ascii="宋体" w:hAnsi="宋体" w:eastAsia="宋体" w:cs="Times New Roman"/>
                <w:szCs w:val="21"/>
                <w:highlight w:val="none"/>
                <w:lang w:val="en-US" w:eastAsia="zh-CN"/>
              </w:rPr>
              <w:t>6，7，</w:t>
            </w:r>
            <w:r>
              <w:rPr>
                <w:rFonts w:hint="eastAsia" w:ascii="宋体" w:hAnsi="宋体" w:eastAsia="宋体" w:cs="Times New Roman"/>
                <w:szCs w:val="21"/>
                <w:highlight w:val="none"/>
              </w:rPr>
              <w:t>缺项为0分)。</w:t>
            </w:r>
          </w:p>
        </w:tc>
        <w:tc>
          <w:tcPr>
            <w:tcW w:w="992" w:type="dxa"/>
            <w:noWrap w:val="0"/>
            <w:vAlign w:val="center"/>
          </w:tcPr>
          <w:p w14:paraId="691E5D03">
            <w:pPr>
              <w:pStyle w:val="23"/>
              <w:spacing w:after="25" w:line="360" w:lineRule="exact"/>
              <w:jc w:val="center"/>
              <w:rPr>
                <w:rFonts w:hint="eastAsia" w:ascii="宋体" w:hAnsi="宋体" w:eastAsia="宋体"/>
                <w:szCs w:val="21"/>
                <w:highlight w:val="none"/>
              </w:rPr>
            </w:pPr>
            <w:r>
              <w:rPr>
                <w:rFonts w:hint="eastAsia" w:ascii="宋体" w:hAnsi="宋体" w:eastAsia="宋体"/>
                <w:szCs w:val="21"/>
                <w:highlight w:val="none"/>
              </w:rPr>
              <w:t>0-7</w:t>
            </w:r>
          </w:p>
        </w:tc>
      </w:tr>
      <w:tr w14:paraId="3CD37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777" w:type="dxa"/>
            <w:noWrap w:val="0"/>
            <w:vAlign w:val="center"/>
          </w:tcPr>
          <w:p w14:paraId="74A341ED">
            <w:pPr>
              <w:numPr>
                <w:ilvl w:val="0"/>
                <w:numId w:val="0"/>
              </w:numPr>
              <w:spacing w:line="360" w:lineRule="exact"/>
              <w:ind w:leftChars="100"/>
              <w:jc w:val="both"/>
              <w:rPr>
                <w:rFonts w:hint="default" w:ascii="宋体" w:hAnsi="宋体" w:eastAsia="宋体"/>
                <w:szCs w:val="21"/>
                <w:highlight w:val="none"/>
                <w:lang w:val="en-US" w:eastAsia="zh-CN"/>
              </w:rPr>
            </w:pPr>
            <w:r>
              <w:rPr>
                <w:rFonts w:hint="eastAsia" w:ascii="宋体" w:hAnsi="宋体"/>
                <w:szCs w:val="21"/>
                <w:highlight w:val="none"/>
                <w:lang w:val="en-US" w:eastAsia="zh-CN"/>
              </w:rPr>
              <w:t>12</w:t>
            </w:r>
          </w:p>
        </w:tc>
        <w:tc>
          <w:tcPr>
            <w:tcW w:w="1438" w:type="dxa"/>
            <w:noWrap w:val="0"/>
            <w:vAlign w:val="center"/>
          </w:tcPr>
          <w:p w14:paraId="4B943B8C">
            <w:pPr>
              <w:spacing w:after="25" w:line="360" w:lineRule="exact"/>
              <w:jc w:val="left"/>
              <w:rPr>
                <w:rFonts w:hint="eastAsia" w:ascii="宋体" w:hAnsi="宋体"/>
                <w:szCs w:val="21"/>
                <w:highlight w:val="none"/>
              </w:rPr>
            </w:pPr>
            <w:r>
              <w:rPr>
                <w:rFonts w:hint="eastAsia" w:ascii="宋体" w:hAnsi="宋体"/>
                <w:szCs w:val="21"/>
                <w:highlight w:val="none"/>
              </w:rPr>
              <w:t>拟投入本项目实施人员</w:t>
            </w:r>
          </w:p>
        </w:tc>
        <w:tc>
          <w:tcPr>
            <w:tcW w:w="6028" w:type="dxa"/>
            <w:noWrap w:val="0"/>
            <w:vAlign w:val="center"/>
          </w:tcPr>
          <w:p w14:paraId="5C517415">
            <w:pPr>
              <w:spacing w:after="25" w:line="360" w:lineRule="exact"/>
              <w:ind w:firstLine="420" w:firstLineChars="200"/>
              <w:jc w:val="left"/>
              <w:rPr>
                <w:rFonts w:hint="eastAsia" w:ascii="宋体" w:hAnsi="宋体"/>
                <w:szCs w:val="21"/>
                <w:highlight w:val="none"/>
              </w:rPr>
            </w:pPr>
            <w:r>
              <w:rPr>
                <w:rFonts w:hint="eastAsia" w:ascii="宋体" w:hAnsi="宋体"/>
                <w:szCs w:val="21"/>
                <w:highlight w:val="none"/>
              </w:rPr>
              <w:t>由评委根据供应商提供的针对本项目的实施人员、专业、岗位配置等</w:t>
            </w:r>
            <w:r>
              <w:rPr>
                <w:rFonts w:hint="eastAsia" w:ascii="宋体" w:hAnsi="宋体"/>
                <w:szCs w:val="21"/>
                <w:highlight w:val="none"/>
                <w:lang w:val="en-US" w:eastAsia="zh-CN"/>
              </w:rPr>
              <w:t>方面分析</w:t>
            </w:r>
            <w:r>
              <w:rPr>
                <w:rFonts w:hint="eastAsia" w:ascii="宋体" w:hAnsi="宋体"/>
                <w:szCs w:val="21"/>
                <w:highlight w:val="none"/>
              </w:rPr>
              <w:t>的全面性、准确性酌情打分</w:t>
            </w:r>
            <w:r>
              <w:rPr>
                <w:rFonts w:hint="eastAsia" w:ascii="宋体" w:hAnsi="宋体" w:eastAsia="宋体" w:cs="Times New Roman"/>
                <w:szCs w:val="21"/>
                <w:highlight w:val="none"/>
              </w:rPr>
              <w:t>(评分范围：</w:t>
            </w:r>
            <w:r>
              <w:rPr>
                <w:rFonts w:hint="eastAsia" w:ascii="宋体" w:hAnsi="宋体" w:eastAsia="宋体" w:cs="Times New Roman"/>
                <w:szCs w:val="21"/>
                <w:highlight w:val="none"/>
                <w:lang w:val="en-US" w:eastAsia="zh-CN"/>
              </w:rPr>
              <w:t>1</w:t>
            </w:r>
            <w:r>
              <w:rPr>
                <w:rFonts w:hint="eastAsia" w:ascii="宋体" w:hAnsi="宋体" w:eastAsia="宋体" w:cs="Times New Roman"/>
                <w:szCs w:val="21"/>
                <w:highlight w:val="none"/>
              </w:rPr>
              <w:t>，</w:t>
            </w:r>
            <w:r>
              <w:rPr>
                <w:rFonts w:hint="eastAsia" w:ascii="宋体" w:hAnsi="宋体" w:eastAsia="宋体" w:cs="Times New Roman"/>
                <w:szCs w:val="21"/>
                <w:highlight w:val="none"/>
                <w:lang w:val="en-US" w:eastAsia="zh-CN"/>
              </w:rPr>
              <w:t>2</w:t>
            </w:r>
            <w:r>
              <w:rPr>
                <w:rFonts w:hint="eastAsia" w:ascii="宋体" w:hAnsi="宋体" w:eastAsia="宋体" w:cs="Times New Roman"/>
                <w:szCs w:val="21"/>
                <w:highlight w:val="none"/>
              </w:rPr>
              <w:t>，3，</w:t>
            </w:r>
            <w:r>
              <w:rPr>
                <w:rFonts w:hint="eastAsia" w:ascii="宋体" w:hAnsi="宋体" w:eastAsia="宋体" w:cs="Times New Roman"/>
                <w:szCs w:val="21"/>
                <w:highlight w:val="none"/>
                <w:lang w:val="en-US" w:eastAsia="zh-CN"/>
              </w:rPr>
              <w:t>4</w:t>
            </w:r>
            <w:r>
              <w:rPr>
                <w:rFonts w:hint="eastAsia" w:ascii="宋体" w:hAnsi="宋体" w:eastAsia="宋体" w:cs="Times New Roman"/>
                <w:szCs w:val="21"/>
                <w:highlight w:val="none"/>
              </w:rPr>
              <w:t>，</w:t>
            </w:r>
            <w:r>
              <w:rPr>
                <w:rFonts w:hint="eastAsia" w:ascii="宋体" w:hAnsi="宋体" w:eastAsia="宋体" w:cs="Times New Roman"/>
                <w:szCs w:val="21"/>
                <w:highlight w:val="none"/>
                <w:lang w:val="en-US" w:eastAsia="zh-CN"/>
              </w:rPr>
              <w:t>5</w:t>
            </w:r>
            <w:r>
              <w:rPr>
                <w:rFonts w:hint="eastAsia" w:ascii="宋体" w:hAnsi="宋体" w:eastAsia="宋体" w:cs="Times New Roman"/>
                <w:szCs w:val="21"/>
                <w:highlight w:val="none"/>
              </w:rPr>
              <w:t>，</w:t>
            </w:r>
            <w:r>
              <w:rPr>
                <w:rFonts w:hint="eastAsia" w:ascii="宋体" w:hAnsi="宋体" w:eastAsia="宋体" w:cs="Times New Roman"/>
                <w:szCs w:val="21"/>
                <w:highlight w:val="none"/>
                <w:lang w:val="en-US" w:eastAsia="zh-CN"/>
              </w:rPr>
              <w:t>6，7，</w:t>
            </w:r>
            <w:r>
              <w:rPr>
                <w:rFonts w:hint="eastAsia" w:ascii="宋体" w:hAnsi="宋体" w:cs="Times New Roman"/>
                <w:szCs w:val="21"/>
                <w:highlight w:val="none"/>
                <w:lang w:val="en-US" w:eastAsia="zh-CN"/>
              </w:rPr>
              <w:t>8，</w:t>
            </w:r>
            <w:r>
              <w:rPr>
                <w:rFonts w:hint="eastAsia" w:ascii="宋体" w:hAnsi="宋体" w:eastAsia="宋体" w:cs="Times New Roman"/>
                <w:szCs w:val="21"/>
                <w:highlight w:val="none"/>
              </w:rPr>
              <w:t>缺项为0分)。</w:t>
            </w:r>
          </w:p>
        </w:tc>
        <w:tc>
          <w:tcPr>
            <w:tcW w:w="992" w:type="dxa"/>
            <w:noWrap w:val="0"/>
            <w:vAlign w:val="center"/>
          </w:tcPr>
          <w:p w14:paraId="5E6ECD2C">
            <w:pPr>
              <w:pStyle w:val="23"/>
              <w:spacing w:after="25" w:line="360" w:lineRule="exact"/>
              <w:jc w:val="center"/>
              <w:rPr>
                <w:rFonts w:hint="default" w:hAnsi="宋体" w:eastAsia="宋体"/>
                <w:szCs w:val="21"/>
                <w:highlight w:val="none"/>
                <w:lang w:val="en-US" w:eastAsia="zh-CN"/>
              </w:rPr>
            </w:pPr>
            <w:r>
              <w:rPr>
                <w:rFonts w:hint="eastAsia" w:hAnsi="宋体"/>
                <w:szCs w:val="21"/>
                <w:highlight w:val="none"/>
              </w:rPr>
              <w:t>0-</w:t>
            </w:r>
            <w:r>
              <w:rPr>
                <w:rFonts w:hint="eastAsia" w:hAnsi="宋体"/>
                <w:szCs w:val="21"/>
                <w:highlight w:val="none"/>
                <w:lang w:val="en-US" w:eastAsia="zh-CN"/>
              </w:rPr>
              <w:t>8</w:t>
            </w:r>
          </w:p>
        </w:tc>
      </w:tr>
      <w:tr w14:paraId="5B502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777" w:type="dxa"/>
            <w:noWrap w:val="0"/>
            <w:vAlign w:val="center"/>
          </w:tcPr>
          <w:p w14:paraId="2CB5641D">
            <w:pPr>
              <w:numPr>
                <w:ilvl w:val="0"/>
                <w:numId w:val="0"/>
              </w:numPr>
              <w:spacing w:line="360" w:lineRule="exact"/>
              <w:ind w:leftChars="100"/>
              <w:jc w:val="both"/>
              <w:rPr>
                <w:rFonts w:hint="default" w:ascii="宋体" w:hAnsi="宋体" w:eastAsia="宋体"/>
                <w:szCs w:val="21"/>
                <w:highlight w:val="none"/>
                <w:lang w:val="en-US" w:eastAsia="zh-CN"/>
              </w:rPr>
            </w:pPr>
            <w:r>
              <w:rPr>
                <w:rFonts w:hint="eastAsia" w:ascii="宋体" w:hAnsi="宋体"/>
                <w:szCs w:val="21"/>
                <w:highlight w:val="none"/>
                <w:lang w:val="en-US" w:eastAsia="zh-CN"/>
              </w:rPr>
              <w:t>13</w:t>
            </w:r>
          </w:p>
        </w:tc>
        <w:tc>
          <w:tcPr>
            <w:tcW w:w="1438" w:type="dxa"/>
            <w:noWrap w:val="0"/>
            <w:vAlign w:val="center"/>
          </w:tcPr>
          <w:p w14:paraId="02CDB1AE">
            <w:pPr>
              <w:spacing w:after="25" w:line="360" w:lineRule="exact"/>
              <w:jc w:val="left"/>
              <w:rPr>
                <w:rFonts w:hint="eastAsia" w:ascii="宋体" w:hAnsi="宋体"/>
                <w:szCs w:val="21"/>
                <w:highlight w:val="none"/>
              </w:rPr>
            </w:pPr>
            <w:r>
              <w:rPr>
                <w:rFonts w:hint="eastAsia" w:ascii="宋体" w:hAnsi="宋体"/>
                <w:szCs w:val="21"/>
                <w:highlight w:val="none"/>
              </w:rPr>
              <w:t>合理化建议</w:t>
            </w:r>
          </w:p>
        </w:tc>
        <w:tc>
          <w:tcPr>
            <w:tcW w:w="6028" w:type="dxa"/>
            <w:noWrap w:val="0"/>
            <w:vAlign w:val="center"/>
          </w:tcPr>
          <w:p w14:paraId="67E7B76A">
            <w:pPr>
              <w:spacing w:after="25" w:line="360" w:lineRule="exact"/>
              <w:ind w:firstLine="420" w:firstLineChars="200"/>
              <w:jc w:val="left"/>
              <w:rPr>
                <w:rFonts w:hint="eastAsia" w:ascii="宋体" w:hAnsi="宋体"/>
                <w:szCs w:val="21"/>
                <w:highlight w:val="none"/>
              </w:rPr>
            </w:pPr>
            <w:r>
              <w:rPr>
                <w:rFonts w:hint="eastAsia" w:ascii="宋体" w:hAnsi="宋体"/>
                <w:szCs w:val="21"/>
                <w:highlight w:val="none"/>
              </w:rPr>
              <w:t>根据投标人对本项目的理解，结合自身日常维护与增设经验所作出合理化建议，1条被采纳的得1分，最高得3分。</w:t>
            </w:r>
          </w:p>
        </w:tc>
        <w:tc>
          <w:tcPr>
            <w:tcW w:w="992" w:type="dxa"/>
            <w:noWrap w:val="0"/>
            <w:vAlign w:val="center"/>
          </w:tcPr>
          <w:p w14:paraId="6104E560">
            <w:pPr>
              <w:pStyle w:val="23"/>
              <w:spacing w:after="25" w:line="360" w:lineRule="exact"/>
              <w:jc w:val="center"/>
              <w:rPr>
                <w:rFonts w:hint="eastAsia" w:hAnsi="宋体"/>
                <w:szCs w:val="21"/>
                <w:highlight w:val="none"/>
              </w:rPr>
            </w:pPr>
            <w:r>
              <w:rPr>
                <w:rFonts w:hAnsi="宋体"/>
                <w:szCs w:val="21"/>
                <w:highlight w:val="none"/>
              </w:rPr>
              <w:t>0-3</w:t>
            </w:r>
          </w:p>
        </w:tc>
      </w:tr>
    </w:tbl>
    <w:p w14:paraId="05CDAB59">
      <w:pPr>
        <w:ind w:left="422"/>
        <w:rPr>
          <w:rFonts w:ascii="宋体" w:hAnsi="宋体"/>
          <w:b/>
          <w:bCs/>
          <w:szCs w:val="21"/>
          <w:highlight w:val="none"/>
        </w:rPr>
      </w:pPr>
      <w:r>
        <w:rPr>
          <w:rFonts w:hint="eastAsia" w:ascii="宋体" w:hAnsi="宋体"/>
          <w:b/>
          <w:bCs/>
          <w:szCs w:val="21"/>
          <w:highlight w:val="none"/>
        </w:rPr>
        <w:t>（三）资信、商务及其他分（0分）（适用所有标项）</w:t>
      </w:r>
    </w:p>
    <w:tbl>
      <w:tblPr>
        <w:tblStyle w:val="51"/>
        <w:tblW w:w="90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3"/>
        <w:gridCol w:w="1361"/>
        <w:gridCol w:w="5958"/>
        <w:gridCol w:w="1026"/>
      </w:tblGrid>
      <w:tr w14:paraId="00356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3" w:type="dxa"/>
            <w:noWrap w:val="0"/>
            <w:vAlign w:val="center"/>
          </w:tcPr>
          <w:p w14:paraId="66ACFC72">
            <w:pPr>
              <w:spacing w:after="60" w:afterLines="25" w:line="360" w:lineRule="exact"/>
              <w:jc w:val="center"/>
              <w:rPr>
                <w:rFonts w:ascii="宋体" w:hAnsi="宋体"/>
                <w:szCs w:val="21"/>
                <w:highlight w:val="none"/>
              </w:rPr>
            </w:pPr>
            <w:r>
              <w:rPr>
                <w:rFonts w:hint="eastAsia" w:ascii="宋体" w:hAnsi="宋体"/>
                <w:szCs w:val="21"/>
                <w:highlight w:val="none"/>
              </w:rPr>
              <w:t>序号</w:t>
            </w:r>
          </w:p>
        </w:tc>
        <w:tc>
          <w:tcPr>
            <w:tcW w:w="1361" w:type="dxa"/>
            <w:noWrap w:val="0"/>
            <w:vAlign w:val="center"/>
          </w:tcPr>
          <w:p w14:paraId="7AD1CE9B">
            <w:pPr>
              <w:spacing w:after="60" w:afterLines="25" w:line="360" w:lineRule="exact"/>
              <w:jc w:val="center"/>
              <w:rPr>
                <w:rFonts w:ascii="宋体" w:hAnsi="宋体"/>
                <w:szCs w:val="21"/>
                <w:highlight w:val="none"/>
              </w:rPr>
            </w:pPr>
            <w:r>
              <w:rPr>
                <w:rFonts w:hint="eastAsia" w:ascii="宋体" w:hAnsi="宋体"/>
                <w:szCs w:val="21"/>
                <w:highlight w:val="none"/>
              </w:rPr>
              <w:t>评分项目</w:t>
            </w:r>
          </w:p>
        </w:tc>
        <w:tc>
          <w:tcPr>
            <w:tcW w:w="5958" w:type="dxa"/>
            <w:noWrap w:val="0"/>
            <w:vAlign w:val="center"/>
          </w:tcPr>
          <w:p w14:paraId="223FF236">
            <w:pPr>
              <w:spacing w:after="60" w:afterLines="25" w:line="360" w:lineRule="exact"/>
              <w:jc w:val="center"/>
              <w:rPr>
                <w:rFonts w:ascii="宋体" w:hAnsi="宋体"/>
                <w:szCs w:val="21"/>
                <w:highlight w:val="none"/>
              </w:rPr>
            </w:pPr>
            <w:r>
              <w:rPr>
                <w:rFonts w:hint="eastAsia" w:ascii="宋体" w:hAnsi="宋体"/>
                <w:szCs w:val="21"/>
                <w:highlight w:val="none"/>
              </w:rPr>
              <w:t>评分细则</w:t>
            </w:r>
          </w:p>
        </w:tc>
        <w:tc>
          <w:tcPr>
            <w:tcW w:w="1026" w:type="dxa"/>
            <w:noWrap w:val="0"/>
            <w:vAlign w:val="center"/>
          </w:tcPr>
          <w:p w14:paraId="374B6C86">
            <w:pPr>
              <w:spacing w:after="60" w:afterLines="25" w:line="360" w:lineRule="exact"/>
              <w:jc w:val="center"/>
              <w:rPr>
                <w:rFonts w:ascii="宋体" w:hAnsi="宋体"/>
                <w:szCs w:val="21"/>
                <w:highlight w:val="none"/>
              </w:rPr>
            </w:pPr>
            <w:r>
              <w:rPr>
                <w:rFonts w:hint="eastAsia" w:ascii="宋体" w:hAnsi="宋体"/>
                <w:szCs w:val="21"/>
                <w:highlight w:val="none"/>
              </w:rPr>
              <w:t>分值</w:t>
            </w:r>
          </w:p>
        </w:tc>
      </w:tr>
      <w:tr w14:paraId="7379F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3" w:type="dxa"/>
            <w:noWrap w:val="0"/>
            <w:vAlign w:val="center"/>
          </w:tcPr>
          <w:p w14:paraId="1B907C6D">
            <w:pPr>
              <w:spacing w:after="60" w:afterLines="25" w:line="360" w:lineRule="exact"/>
              <w:jc w:val="center"/>
              <w:rPr>
                <w:rFonts w:hint="eastAsia" w:ascii="宋体" w:hAnsi="宋体" w:eastAsia="宋体"/>
                <w:szCs w:val="21"/>
                <w:lang w:val="en-US" w:eastAsia="zh-CN"/>
              </w:rPr>
            </w:pPr>
            <w:r>
              <w:rPr>
                <w:rFonts w:hint="eastAsia" w:ascii="宋体" w:hAnsi="宋体"/>
                <w:szCs w:val="21"/>
                <w:lang w:val="en-US" w:eastAsia="zh-CN"/>
              </w:rPr>
              <w:t>/</w:t>
            </w:r>
          </w:p>
        </w:tc>
        <w:tc>
          <w:tcPr>
            <w:tcW w:w="1361" w:type="dxa"/>
            <w:noWrap w:val="0"/>
            <w:vAlign w:val="center"/>
          </w:tcPr>
          <w:p w14:paraId="69F27BF0">
            <w:pPr>
              <w:spacing w:after="60" w:afterLines="25" w:line="360" w:lineRule="exact"/>
              <w:jc w:val="center"/>
              <w:rPr>
                <w:rFonts w:hint="eastAsia" w:ascii="宋体" w:hAnsi="宋体" w:eastAsia="宋体"/>
                <w:szCs w:val="21"/>
                <w:lang w:val="en-US" w:eastAsia="zh-CN"/>
              </w:rPr>
            </w:pPr>
            <w:r>
              <w:rPr>
                <w:rFonts w:hint="eastAsia" w:ascii="宋体" w:hAnsi="宋体"/>
                <w:szCs w:val="21"/>
                <w:lang w:val="en-US" w:eastAsia="zh-CN"/>
              </w:rPr>
              <w:t>/</w:t>
            </w:r>
          </w:p>
        </w:tc>
        <w:tc>
          <w:tcPr>
            <w:tcW w:w="5958" w:type="dxa"/>
            <w:noWrap w:val="0"/>
            <w:vAlign w:val="center"/>
          </w:tcPr>
          <w:p w14:paraId="10198C17">
            <w:pPr>
              <w:spacing w:after="60" w:afterLines="25" w:line="360" w:lineRule="exact"/>
              <w:jc w:val="center"/>
              <w:rPr>
                <w:rFonts w:hint="eastAsia" w:ascii="宋体" w:hAnsi="宋体" w:eastAsia="宋体"/>
                <w:kern w:val="0"/>
                <w:szCs w:val="21"/>
                <w:lang w:val="en-US" w:eastAsia="zh-CN"/>
              </w:rPr>
            </w:pPr>
            <w:r>
              <w:rPr>
                <w:rFonts w:hint="eastAsia" w:ascii="宋体" w:hAnsi="宋体"/>
                <w:kern w:val="0"/>
                <w:szCs w:val="21"/>
                <w:lang w:val="en-US" w:eastAsia="zh-CN"/>
              </w:rPr>
              <w:t>/</w:t>
            </w:r>
          </w:p>
        </w:tc>
        <w:tc>
          <w:tcPr>
            <w:tcW w:w="1026" w:type="dxa"/>
            <w:noWrap w:val="0"/>
            <w:vAlign w:val="center"/>
          </w:tcPr>
          <w:p w14:paraId="2D83715D">
            <w:pPr>
              <w:spacing w:after="60" w:afterLines="25" w:line="360" w:lineRule="exact"/>
              <w:jc w:val="center"/>
              <w:rPr>
                <w:rFonts w:hint="eastAsia" w:ascii="宋体" w:hAnsi="宋体" w:eastAsia="宋体"/>
                <w:szCs w:val="21"/>
                <w:lang w:eastAsia="zh-CN"/>
              </w:rPr>
            </w:pPr>
            <w:r>
              <w:rPr>
                <w:rFonts w:ascii="宋体" w:hAnsi="宋体"/>
                <w:szCs w:val="21"/>
              </w:rPr>
              <w:t>0</w:t>
            </w:r>
          </w:p>
        </w:tc>
      </w:tr>
    </w:tbl>
    <w:p w14:paraId="669780B3">
      <w:pPr>
        <w:pStyle w:val="23"/>
        <w:pageBreakBefore w:val="0"/>
        <w:kinsoku/>
        <w:overflowPunct/>
        <w:topLinePunct w:val="0"/>
        <w:bidi w:val="0"/>
        <w:snapToGrid w:val="0"/>
        <w:spacing w:before="120" w:line="360" w:lineRule="auto"/>
        <w:ind w:firstLine="422"/>
        <w:outlineLvl w:val="0"/>
        <w:rPr>
          <w:rFonts w:ascii="Times New Roman" w:hAnsi="Times New Roman" w:cs="宋体"/>
          <w:b/>
          <w:color w:val="000000"/>
          <w:kern w:val="0"/>
          <w:sz w:val="21"/>
          <w:szCs w:val="21"/>
        </w:rPr>
      </w:pPr>
      <w:r>
        <w:rPr>
          <w:rFonts w:hint="eastAsia" w:ascii="Times New Roman" w:hAnsi="Times New Roman" w:cs="宋体"/>
          <w:b/>
          <w:color w:val="000000"/>
          <w:sz w:val="21"/>
          <w:szCs w:val="21"/>
        </w:rPr>
        <w:t>注：以上所涉及项目，若附件格式未提供，请自行设计格式装订于投标文件中。建议在制作投标文件时，在目录后附一个评分索引表，方便查找。</w:t>
      </w:r>
    </w:p>
    <w:p w14:paraId="6AB76DA9">
      <w:pPr>
        <w:pageBreakBefore w:val="0"/>
        <w:widowControl/>
        <w:kinsoku/>
        <w:overflowPunct/>
        <w:topLinePunct w:val="0"/>
        <w:bidi w:val="0"/>
        <w:spacing w:line="360" w:lineRule="auto"/>
        <w:ind w:firstLine="422"/>
        <w:jc w:val="left"/>
        <w:rPr>
          <w:rFonts w:ascii="Times New Roman" w:hAnsi="Times New Roman" w:cs="宋体"/>
          <w:b/>
          <w:color w:val="000000"/>
          <w:kern w:val="0"/>
          <w:szCs w:val="21"/>
        </w:rPr>
        <w:sectPr>
          <w:headerReference r:id="rId4" w:type="default"/>
          <w:footerReference r:id="rId5" w:type="default"/>
          <w:pgSz w:w="11906" w:h="16838"/>
          <w:pgMar w:top="1474" w:right="1559" w:bottom="1247" w:left="1797" w:header="851" w:footer="851" w:gutter="0"/>
          <w:cols w:space="720" w:num="1"/>
        </w:sectPr>
      </w:pPr>
    </w:p>
    <w:bookmarkEnd w:id="303"/>
    <w:p w14:paraId="1FACF42A">
      <w:pPr>
        <w:pStyle w:val="48"/>
        <w:pageBreakBefore w:val="0"/>
        <w:kinsoku/>
        <w:overflowPunct/>
        <w:topLinePunct w:val="0"/>
        <w:bidi w:val="0"/>
        <w:spacing w:before="156" w:line="360" w:lineRule="auto"/>
        <w:ind w:firstLine="643"/>
        <w:rPr>
          <w:rFonts w:ascii="Times New Roman" w:hAnsi="Times New Roman"/>
          <w:color w:val="000000"/>
        </w:rPr>
      </w:pPr>
      <w:r>
        <w:rPr>
          <w:rFonts w:hint="eastAsia" w:ascii="Times New Roman" w:hAnsi="Times New Roman"/>
          <w:color w:val="000000"/>
        </w:rPr>
        <w:t>第五章</w:t>
      </w:r>
      <w:r>
        <w:rPr>
          <w:rFonts w:ascii="Times New Roman" w:hAnsi="Times New Roman"/>
          <w:color w:val="000000"/>
        </w:rPr>
        <w:t xml:space="preserve">  </w:t>
      </w:r>
      <w:r>
        <w:rPr>
          <w:rFonts w:hint="eastAsia" w:ascii="Times New Roman" w:hAnsi="Times New Roman"/>
          <w:color w:val="000000"/>
        </w:rPr>
        <w:t>嘉兴市政府采购合同（指引）</w:t>
      </w:r>
    </w:p>
    <w:p w14:paraId="513BC0C0">
      <w:pPr>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before="156" w:line="360" w:lineRule="auto"/>
        <w:ind w:firstLine="422"/>
        <w:jc w:val="center"/>
        <w:rPr>
          <w:rFonts w:ascii="Times New Roman" w:hAnsi="Times New Roman" w:cs="Arial"/>
          <w:b/>
          <w:bCs/>
          <w:color w:val="000000"/>
          <w:kern w:val="0"/>
          <w:szCs w:val="21"/>
        </w:rPr>
      </w:pPr>
      <w:r>
        <w:rPr>
          <w:rFonts w:hint="eastAsia" w:ascii="Times New Roman" w:hAnsi="Times New Roman" w:cs="Arial"/>
          <w:b/>
          <w:bCs/>
          <w:color w:val="000000"/>
          <w:kern w:val="0"/>
          <w:szCs w:val="21"/>
        </w:rPr>
        <w:t>一、通用必备条款部分</w:t>
      </w:r>
    </w:p>
    <w:p w14:paraId="47671DD6">
      <w:pPr>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before="156" w:line="360" w:lineRule="auto"/>
        <w:ind w:firstLine="420"/>
        <w:jc w:val="left"/>
        <w:rPr>
          <w:rFonts w:ascii="Times New Roman" w:hAnsi="Times New Roman" w:cs="Arial"/>
          <w:color w:val="000000"/>
          <w:kern w:val="0"/>
          <w:szCs w:val="21"/>
        </w:rPr>
      </w:pPr>
      <w:r>
        <w:rPr>
          <w:rFonts w:hint="eastAsia" w:ascii="Times New Roman" w:hAnsi="Times New Roman" w:cs="Arial"/>
          <w:color w:val="000000"/>
          <w:kern w:val="0"/>
          <w:szCs w:val="21"/>
        </w:rPr>
        <w:t>招标编号：</w:t>
      </w:r>
    </w:p>
    <w:p w14:paraId="474BE6E4">
      <w:pPr>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before="156" w:line="360" w:lineRule="auto"/>
        <w:ind w:firstLine="420"/>
        <w:jc w:val="left"/>
        <w:rPr>
          <w:rFonts w:ascii="Times New Roman" w:hAnsi="Times New Roman" w:cs="Arial"/>
          <w:color w:val="000000"/>
          <w:kern w:val="0"/>
          <w:szCs w:val="21"/>
        </w:rPr>
      </w:pPr>
      <w:r>
        <w:rPr>
          <w:rFonts w:hint="eastAsia" w:ascii="Times New Roman" w:hAnsi="Times New Roman" w:cs="Arial"/>
          <w:color w:val="000000"/>
          <w:kern w:val="0"/>
          <w:szCs w:val="21"/>
        </w:rPr>
        <w:t>合同编号：</w:t>
      </w:r>
    </w:p>
    <w:p w14:paraId="0D926962">
      <w:pPr>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before="156" w:line="360" w:lineRule="auto"/>
        <w:ind w:firstLine="420"/>
        <w:jc w:val="left"/>
        <w:rPr>
          <w:rFonts w:ascii="Times New Roman" w:hAnsi="Times New Roman" w:cs="Arial"/>
          <w:color w:val="000000"/>
          <w:kern w:val="0"/>
          <w:szCs w:val="21"/>
        </w:rPr>
      </w:pPr>
      <w:r>
        <w:rPr>
          <w:rFonts w:hint="eastAsia" w:ascii="Times New Roman" w:hAnsi="Times New Roman" w:cs="Arial"/>
          <w:color w:val="000000"/>
          <w:kern w:val="0"/>
          <w:szCs w:val="21"/>
        </w:rPr>
        <w:t>政府采购计划（预算）确认书号：</w:t>
      </w:r>
    </w:p>
    <w:p w14:paraId="44B938DD">
      <w:pPr>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before="156" w:line="360" w:lineRule="auto"/>
        <w:ind w:firstLine="420"/>
        <w:jc w:val="left"/>
        <w:rPr>
          <w:rFonts w:ascii="Times New Roman" w:hAnsi="Times New Roman" w:cs="Arial"/>
          <w:color w:val="000000"/>
          <w:kern w:val="0"/>
          <w:szCs w:val="21"/>
        </w:rPr>
      </w:pPr>
      <w:r>
        <w:rPr>
          <w:rFonts w:hint="eastAsia" w:ascii="Times New Roman" w:hAnsi="Times New Roman" w:cs="Arial"/>
          <w:color w:val="000000"/>
          <w:kern w:val="0"/>
          <w:szCs w:val="21"/>
        </w:rPr>
        <w:t>预算金额：</w:t>
      </w:r>
      <w:r>
        <w:rPr>
          <w:rFonts w:ascii="Times New Roman" w:hAnsi="Times New Roman" w:cs="Arial"/>
          <w:color w:val="000000"/>
          <w:kern w:val="0"/>
          <w:szCs w:val="21"/>
        </w:rPr>
        <w:t xml:space="preserve">     </w:t>
      </w:r>
      <w:r>
        <w:rPr>
          <w:rFonts w:hint="eastAsia" w:ascii="Times New Roman" w:hAnsi="Times New Roman" w:cs="Arial"/>
          <w:color w:val="000000"/>
          <w:kern w:val="0"/>
          <w:szCs w:val="21"/>
        </w:rPr>
        <w:t>万元</w:t>
      </w:r>
    </w:p>
    <w:p w14:paraId="3083990A">
      <w:pPr>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before="156" w:line="360" w:lineRule="auto"/>
        <w:ind w:firstLine="420"/>
        <w:jc w:val="left"/>
        <w:rPr>
          <w:rFonts w:ascii="Times New Roman" w:hAnsi="Times New Roman" w:cs="Arial"/>
          <w:color w:val="000000"/>
          <w:kern w:val="0"/>
          <w:szCs w:val="21"/>
        </w:rPr>
      </w:pPr>
      <w:r>
        <w:rPr>
          <w:rFonts w:hint="eastAsia" w:ascii="Times New Roman" w:hAnsi="Times New Roman" w:cs="Arial"/>
          <w:color w:val="000000"/>
          <w:kern w:val="0"/>
          <w:szCs w:val="21"/>
        </w:rPr>
        <w:t>采购人（以下称甲方）：</w:t>
      </w:r>
    </w:p>
    <w:p w14:paraId="4F266852">
      <w:pPr>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before="156" w:line="360" w:lineRule="auto"/>
        <w:ind w:firstLine="420"/>
        <w:jc w:val="left"/>
        <w:rPr>
          <w:rFonts w:ascii="Times New Roman" w:hAnsi="Times New Roman" w:cs="Arial"/>
          <w:color w:val="000000"/>
          <w:kern w:val="0"/>
          <w:szCs w:val="21"/>
        </w:rPr>
      </w:pPr>
      <w:r>
        <w:rPr>
          <w:rFonts w:hint="eastAsia" w:ascii="Times New Roman" w:hAnsi="Times New Roman" w:cs="Arial"/>
          <w:color w:val="000000"/>
          <w:kern w:val="0"/>
          <w:szCs w:val="21"/>
        </w:rPr>
        <w:t>供应商（以下称乙方）：</w:t>
      </w:r>
    </w:p>
    <w:p w14:paraId="2884EA33">
      <w:pPr>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before="156" w:line="360" w:lineRule="auto"/>
        <w:ind w:firstLine="420"/>
        <w:jc w:val="left"/>
        <w:rPr>
          <w:rFonts w:ascii="Times New Roman" w:hAnsi="Times New Roman" w:cs="Arial"/>
          <w:color w:val="000000"/>
          <w:kern w:val="0"/>
          <w:szCs w:val="21"/>
        </w:rPr>
      </w:pPr>
      <w:r>
        <w:rPr>
          <w:rFonts w:hint="eastAsia" w:ascii="Times New Roman" w:hAnsi="Times New Roman" w:cs="Arial"/>
          <w:color w:val="000000"/>
          <w:kern w:val="0"/>
          <w:szCs w:val="21"/>
        </w:rPr>
        <w:t>代理机构：</w:t>
      </w:r>
    </w:p>
    <w:p w14:paraId="13F36EB7">
      <w:pPr>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before="156" w:line="360" w:lineRule="auto"/>
        <w:ind w:firstLine="420"/>
        <w:jc w:val="left"/>
        <w:rPr>
          <w:rFonts w:ascii="Times New Roman" w:hAnsi="Times New Roman" w:cs="Arial"/>
          <w:color w:val="000000"/>
          <w:kern w:val="0"/>
          <w:szCs w:val="21"/>
        </w:rPr>
      </w:pPr>
      <w:r>
        <w:rPr>
          <w:rFonts w:hint="eastAsia" w:ascii="Times New Roman" w:hAnsi="Times New Roman" w:cs="Arial"/>
          <w:color w:val="000000"/>
          <w:kern w:val="0"/>
          <w:szCs w:val="21"/>
        </w:rPr>
        <w:t>采购方式：</w:t>
      </w:r>
    </w:p>
    <w:p w14:paraId="6149EDEA">
      <w:pPr>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before="156" w:line="360" w:lineRule="auto"/>
        <w:ind w:firstLine="420" w:firstLineChars="200"/>
        <w:jc w:val="left"/>
        <w:rPr>
          <w:rFonts w:ascii="Times New Roman" w:hAnsi="Times New Roman" w:cs="Arial"/>
          <w:color w:val="000000"/>
          <w:kern w:val="0"/>
          <w:szCs w:val="21"/>
        </w:rPr>
      </w:pPr>
      <w:r>
        <w:rPr>
          <w:rFonts w:hint="eastAsia" w:ascii="Times New Roman" w:hAnsi="Times New Roman" w:cs="Arial"/>
          <w:color w:val="000000"/>
          <w:kern w:val="0"/>
          <w:szCs w:val="21"/>
        </w:rPr>
        <w:t>根据《中华人民共和国政府采购法》、《中华人民共和国民法典》等法律法规的规定，甲乙双方按照</w:t>
      </w:r>
      <w:r>
        <w:rPr>
          <w:rFonts w:ascii="Times New Roman" w:hAnsi="Times New Roman" w:cs="Arial"/>
          <w:color w:val="000000"/>
          <w:kern w:val="0"/>
          <w:szCs w:val="21"/>
          <w:u w:val="single"/>
        </w:rPr>
        <w:t xml:space="preserve">                                  </w:t>
      </w:r>
      <w:r>
        <w:rPr>
          <w:rFonts w:hint="eastAsia" w:ascii="Times New Roman" w:hAnsi="Times New Roman" w:cs="Arial"/>
          <w:color w:val="000000"/>
          <w:kern w:val="0"/>
          <w:szCs w:val="21"/>
        </w:rPr>
        <w:t>采购结果签订本合同。</w:t>
      </w:r>
    </w:p>
    <w:p w14:paraId="31C1D83B">
      <w:pPr>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before="156" w:line="360" w:lineRule="auto"/>
        <w:ind w:firstLine="422"/>
        <w:jc w:val="left"/>
        <w:rPr>
          <w:rFonts w:ascii="Times New Roman" w:hAnsi="Times New Roman" w:cs="Arial"/>
          <w:b/>
          <w:color w:val="000000"/>
          <w:kern w:val="0"/>
          <w:szCs w:val="21"/>
        </w:rPr>
      </w:pPr>
      <w:r>
        <w:rPr>
          <w:rFonts w:hint="eastAsia" w:ascii="Times New Roman" w:hAnsi="Times New Roman" w:cs="Arial"/>
          <w:b/>
          <w:color w:val="000000"/>
          <w:kern w:val="0"/>
          <w:szCs w:val="21"/>
        </w:rPr>
        <w:t>第一条</w:t>
      </w:r>
      <w:r>
        <w:rPr>
          <w:rFonts w:ascii="Times New Roman" w:hAnsi="Times New Roman" w:cs="Arial"/>
          <w:b/>
          <w:color w:val="000000"/>
          <w:kern w:val="0"/>
          <w:szCs w:val="21"/>
        </w:rPr>
        <w:t xml:space="preserve"> </w:t>
      </w:r>
      <w:r>
        <w:rPr>
          <w:rFonts w:hint="eastAsia" w:ascii="Times New Roman" w:hAnsi="Times New Roman" w:cs="Arial"/>
          <w:b/>
          <w:color w:val="000000"/>
          <w:kern w:val="0"/>
          <w:szCs w:val="21"/>
        </w:rPr>
        <w:t>合同组成</w:t>
      </w:r>
    </w:p>
    <w:p w14:paraId="1B0069F4">
      <w:pPr>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before="156" w:line="360" w:lineRule="auto"/>
        <w:ind w:firstLine="420"/>
        <w:jc w:val="left"/>
        <w:rPr>
          <w:rFonts w:ascii="Times New Roman" w:hAnsi="Times New Roman" w:cs="Arial"/>
          <w:color w:val="000000"/>
          <w:kern w:val="0"/>
          <w:szCs w:val="21"/>
        </w:rPr>
      </w:pPr>
      <w:r>
        <w:rPr>
          <w:rFonts w:hint="eastAsia" w:ascii="Times New Roman" w:hAnsi="Times New Roman" w:cs="Arial"/>
          <w:color w:val="000000"/>
          <w:kern w:val="0"/>
          <w:szCs w:val="21"/>
        </w:rPr>
        <w:t>本次政府采购活动的相关文件为本合同的组成部分，这些文件包括但不限于：</w:t>
      </w:r>
    </w:p>
    <w:p w14:paraId="60A725D0">
      <w:pPr>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before="156" w:line="360" w:lineRule="auto"/>
        <w:ind w:firstLine="420"/>
        <w:jc w:val="left"/>
        <w:rPr>
          <w:rFonts w:ascii="Times New Roman" w:hAnsi="Times New Roman" w:cs="Arial"/>
          <w:color w:val="000000"/>
          <w:kern w:val="0"/>
          <w:szCs w:val="21"/>
        </w:rPr>
      </w:pPr>
      <w:r>
        <w:rPr>
          <w:rFonts w:hint="eastAsia" w:ascii="Times New Roman" w:hAnsi="Times New Roman" w:cs="Arial"/>
          <w:color w:val="000000"/>
          <w:kern w:val="0"/>
          <w:szCs w:val="21"/>
        </w:rPr>
        <w:t>（</w:t>
      </w:r>
      <w:r>
        <w:rPr>
          <w:rFonts w:ascii="Times New Roman" w:hAnsi="Times New Roman" w:cs="Arial"/>
          <w:color w:val="000000"/>
          <w:kern w:val="0"/>
          <w:szCs w:val="21"/>
        </w:rPr>
        <w:t>1</w:t>
      </w:r>
      <w:r>
        <w:rPr>
          <w:rFonts w:hint="eastAsia" w:ascii="Times New Roman" w:hAnsi="Times New Roman" w:cs="Arial"/>
          <w:color w:val="000000"/>
          <w:kern w:val="0"/>
          <w:szCs w:val="21"/>
        </w:rPr>
        <w:t>）本合同文本；</w:t>
      </w:r>
    </w:p>
    <w:p w14:paraId="770BF956">
      <w:pPr>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before="156" w:line="360" w:lineRule="auto"/>
        <w:ind w:firstLine="420"/>
        <w:jc w:val="left"/>
        <w:rPr>
          <w:rFonts w:ascii="Times New Roman" w:hAnsi="Times New Roman" w:cs="Arial"/>
          <w:color w:val="000000"/>
          <w:kern w:val="0"/>
          <w:szCs w:val="21"/>
        </w:rPr>
      </w:pPr>
      <w:r>
        <w:rPr>
          <w:rFonts w:hint="eastAsia" w:ascii="Times New Roman" w:hAnsi="Times New Roman" w:cs="Arial"/>
          <w:color w:val="000000"/>
          <w:kern w:val="0"/>
          <w:szCs w:val="21"/>
        </w:rPr>
        <w:t>（</w:t>
      </w:r>
      <w:r>
        <w:rPr>
          <w:rFonts w:ascii="Times New Roman" w:hAnsi="Times New Roman" w:cs="Arial"/>
          <w:color w:val="000000"/>
          <w:kern w:val="0"/>
          <w:szCs w:val="21"/>
        </w:rPr>
        <w:t>2</w:t>
      </w:r>
      <w:r>
        <w:rPr>
          <w:rFonts w:hint="eastAsia" w:ascii="Times New Roman" w:hAnsi="Times New Roman" w:cs="Arial"/>
          <w:color w:val="000000"/>
          <w:kern w:val="0"/>
          <w:szCs w:val="21"/>
        </w:rPr>
        <w:t>）采购文件与采购响应文件；</w:t>
      </w:r>
    </w:p>
    <w:p w14:paraId="76A04613">
      <w:pPr>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before="156" w:line="360" w:lineRule="auto"/>
        <w:ind w:firstLine="420"/>
        <w:jc w:val="left"/>
        <w:rPr>
          <w:rFonts w:ascii="Times New Roman" w:hAnsi="Times New Roman" w:cs="Arial"/>
          <w:color w:val="000000"/>
          <w:kern w:val="0"/>
          <w:szCs w:val="21"/>
        </w:rPr>
      </w:pPr>
      <w:r>
        <w:rPr>
          <w:rFonts w:hint="eastAsia" w:ascii="Times New Roman" w:hAnsi="Times New Roman" w:cs="Arial"/>
          <w:color w:val="000000"/>
          <w:kern w:val="0"/>
          <w:szCs w:val="21"/>
        </w:rPr>
        <w:t>（</w:t>
      </w:r>
      <w:r>
        <w:rPr>
          <w:rFonts w:ascii="Times New Roman" w:hAnsi="Times New Roman" w:cs="Arial"/>
          <w:color w:val="000000"/>
          <w:kern w:val="0"/>
          <w:szCs w:val="21"/>
        </w:rPr>
        <w:t>3</w:t>
      </w:r>
      <w:r>
        <w:rPr>
          <w:rFonts w:hint="eastAsia" w:ascii="Times New Roman" w:hAnsi="Times New Roman" w:cs="Arial"/>
          <w:color w:val="000000"/>
          <w:kern w:val="0"/>
          <w:szCs w:val="21"/>
        </w:rPr>
        <w:t>）中标或成交通知书；</w:t>
      </w:r>
    </w:p>
    <w:p w14:paraId="1229B23B">
      <w:pPr>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before="156" w:line="360" w:lineRule="auto"/>
        <w:ind w:firstLine="420"/>
        <w:jc w:val="left"/>
        <w:rPr>
          <w:rFonts w:ascii="Times New Roman" w:hAnsi="Times New Roman" w:cs="Arial"/>
          <w:color w:val="000000"/>
          <w:kern w:val="0"/>
          <w:szCs w:val="21"/>
        </w:rPr>
      </w:pPr>
      <w:r>
        <w:rPr>
          <w:rFonts w:hint="eastAsia" w:ascii="Times New Roman" w:hAnsi="Times New Roman" w:cs="Arial"/>
          <w:color w:val="000000"/>
          <w:kern w:val="0"/>
          <w:szCs w:val="21"/>
        </w:rPr>
        <w:t>组成本合同的所有文件必须为书面形式。政府采购合同备案时，须提供以上（</w:t>
      </w:r>
      <w:r>
        <w:rPr>
          <w:rFonts w:ascii="Times New Roman" w:hAnsi="Times New Roman" w:cs="Arial"/>
          <w:color w:val="000000"/>
          <w:kern w:val="0"/>
          <w:szCs w:val="21"/>
        </w:rPr>
        <w:t>1</w:t>
      </w:r>
      <w:r>
        <w:rPr>
          <w:rFonts w:hint="eastAsia" w:ascii="Times New Roman" w:hAnsi="Times New Roman" w:cs="Arial"/>
          <w:color w:val="000000"/>
          <w:kern w:val="0"/>
          <w:szCs w:val="21"/>
        </w:rPr>
        <w:t>）、（</w:t>
      </w:r>
      <w:r>
        <w:rPr>
          <w:rFonts w:ascii="Times New Roman" w:hAnsi="Times New Roman" w:cs="Arial"/>
          <w:color w:val="000000"/>
          <w:kern w:val="0"/>
          <w:szCs w:val="21"/>
        </w:rPr>
        <w:t>3</w:t>
      </w:r>
      <w:r>
        <w:rPr>
          <w:rFonts w:hint="eastAsia" w:ascii="Times New Roman" w:hAnsi="Times New Roman" w:cs="Arial"/>
          <w:color w:val="000000"/>
          <w:kern w:val="0"/>
          <w:szCs w:val="21"/>
        </w:rPr>
        <w:t>）两项，如由社会中介机构代理，须提供代理协议，合同如有变更的，须提供变更协议。</w:t>
      </w:r>
    </w:p>
    <w:p w14:paraId="0B69F465">
      <w:pPr>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before="156" w:line="360" w:lineRule="auto"/>
        <w:ind w:firstLine="422"/>
        <w:jc w:val="left"/>
        <w:rPr>
          <w:rFonts w:ascii="Times New Roman" w:hAnsi="Times New Roman" w:cs="Arial"/>
          <w:b/>
          <w:color w:val="000000"/>
          <w:kern w:val="0"/>
          <w:szCs w:val="21"/>
        </w:rPr>
      </w:pPr>
      <w:r>
        <w:rPr>
          <w:rFonts w:hint="eastAsia" w:ascii="Times New Roman" w:hAnsi="Times New Roman" w:cs="Arial"/>
          <w:b/>
          <w:color w:val="000000"/>
          <w:kern w:val="0"/>
          <w:szCs w:val="21"/>
        </w:rPr>
        <w:t>第二条</w:t>
      </w:r>
      <w:r>
        <w:rPr>
          <w:rFonts w:ascii="Times New Roman" w:hAnsi="Times New Roman" w:cs="Arial"/>
          <w:b/>
          <w:color w:val="000000"/>
          <w:kern w:val="0"/>
          <w:szCs w:val="21"/>
        </w:rPr>
        <w:t xml:space="preserve"> </w:t>
      </w:r>
      <w:r>
        <w:rPr>
          <w:rFonts w:hint="eastAsia" w:ascii="Times New Roman" w:hAnsi="Times New Roman" w:cs="Arial"/>
          <w:b/>
          <w:color w:val="000000"/>
          <w:kern w:val="0"/>
          <w:szCs w:val="21"/>
        </w:rPr>
        <w:t>合同标的与相关内容</w:t>
      </w:r>
    </w:p>
    <w:p w14:paraId="53E63DB1">
      <w:pPr>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before="156" w:line="360" w:lineRule="auto"/>
        <w:ind w:firstLine="420"/>
        <w:jc w:val="left"/>
        <w:rPr>
          <w:rFonts w:ascii="Times New Roman" w:hAnsi="Times New Roman" w:cs="Arial"/>
          <w:color w:val="000000"/>
          <w:kern w:val="0"/>
          <w:szCs w:val="21"/>
          <w:u w:val="single"/>
        </w:rPr>
      </w:pPr>
      <w:r>
        <w:rPr>
          <w:rFonts w:ascii="Times New Roman" w:hAnsi="Times New Roman" w:cs="Arial"/>
          <w:color w:val="000000"/>
          <w:kern w:val="0"/>
          <w:szCs w:val="21"/>
        </w:rPr>
        <w:t>1</w:t>
      </w:r>
      <w:r>
        <w:rPr>
          <w:rFonts w:hint="eastAsia" w:ascii="Times New Roman" w:hAnsi="Times New Roman" w:cs="Arial"/>
          <w:color w:val="000000"/>
          <w:kern w:val="0"/>
          <w:szCs w:val="21"/>
        </w:rPr>
        <w:t>、本次采购的是</w:t>
      </w:r>
      <w:r>
        <w:rPr>
          <w:rFonts w:ascii="Times New Roman" w:hAnsi="Times New Roman" w:cs="Arial"/>
          <w:color w:val="000000"/>
          <w:kern w:val="0"/>
          <w:szCs w:val="21"/>
          <w:u w:val="single"/>
        </w:rPr>
        <w:t xml:space="preserve">                      </w:t>
      </w:r>
    </w:p>
    <w:p w14:paraId="38AEE41B">
      <w:pPr>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before="156" w:line="360" w:lineRule="auto"/>
        <w:ind w:firstLine="420"/>
        <w:jc w:val="left"/>
        <w:rPr>
          <w:rFonts w:ascii="Times New Roman" w:hAnsi="Times New Roman" w:cs="Arial"/>
          <w:color w:val="000000"/>
          <w:kern w:val="0"/>
          <w:szCs w:val="21"/>
        </w:rPr>
      </w:pPr>
      <w:r>
        <w:rPr>
          <w:rFonts w:ascii="Times New Roman" w:hAnsi="Times New Roman" w:cs="Arial"/>
          <w:color w:val="000000"/>
          <w:kern w:val="0"/>
          <w:szCs w:val="21"/>
        </w:rPr>
        <w:t>2</w:t>
      </w:r>
      <w:r>
        <w:rPr>
          <w:rFonts w:hint="eastAsia" w:ascii="Times New Roman" w:hAnsi="Times New Roman" w:cs="Arial"/>
          <w:color w:val="000000"/>
          <w:kern w:val="0"/>
          <w:szCs w:val="21"/>
        </w:rPr>
        <w:t>、乙方是否属于中小微企业：□是   □否</w:t>
      </w:r>
    </w:p>
    <w:p w14:paraId="45A3CBBF">
      <w:pPr>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before="156" w:line="360" w:lineRule="auto"/>
        <w:ind w:firstLine="420"/>
        <w:jc w:val="left"/>
        <w:rPr>
          <w:rFonts w:ascii="Times New Roman" w:hAnsi="Times New Roman" w:cs="Arial"/>
          <w:color w:val="000000"/>
          <w:kern w:val="0"/>
          <w:szCs w:val="21"/>
          <w:u w:val="single"/>
        </w:rPr>
      </w:pPr>
      <w:r>
        <w:rPr>
          <w:rFonts w:ascii="Times New Roman" w:hAnsi="Times New Roman" w:cs="Arial"/>
          <w:color w:val="000000"/>
          <w:kern w:val="0"/>
          <w:szCs w:val="21"/>
        </w:rPr>
        <w:t>3</w:t>
      </w:r>
      <w:r>
        <w:rPr>
          <w:rFonts w:hint="eastAsia" w:ascii="Times New Roman" w:hAnsi="Times New Roman" w:cs="Arial"/>
          <w:color w:val="000000"/>
          <w:kern w:val="0"/>
          <w:szCs w:val="21"/>
        </w:rPr>
        <w:t>、服务内容：</w:t>
      </w:r>
      <w:r>
        <w:rPr>
          <w:rFonts w:ascii="Times New Roman" w:hAnsi="Times New Roman" w:cs="Arial"/>
          <w:color w:val="000000"/>
          <w:kern w:val="0"/>
          <w:szCs w:val="21"/>
          <w:u w:val="single"/>
        </w:rPr>
        <w:t xml:space="preserve">                        </w:t>
      </w:r>
    </w:p>
    <w:p w14:paraId="4959C28C">
      <w:pPr>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before="156" w:line="360" w:lineRule="auto"/>
        <w:ind w:firstLine="422"/>
        <w:jc w:val="left"/>
        <w:rPr>
          <w:rFonts w:ascii="Times New Roman" w:hAnsi="Times New Roman" w:cs="Arial"/>
          <w:b/>
          <w:color w:val="000000"/>
          <w:kern w:val="0"/>
          <w:szCs w:val="21"/>
        </w:rPr>
      </w:pPr>
      <w:r>
        <w:rPr>
          <w:rFonts w:hint="eastAsia" w:ascii="Times New Roman" w:hAnsi="Times New Roman" w:cs="Arial"/>
          <w:b/>
          <w:color w:val="000000"/>
          <w:kern w:val="0"/>
          <w:szCs w:val="21"/>
        </w:rPr>
        <w:t>第三条</w:t>
      </w:r>
      <w:r>
        <w:rPr>
          <w:rFonts w:ascii="Times New Roman" w:hAnsi="Times New Roman" w:cs="Arial"/>
          <w:b/>
          <w:color w:val="000000"/>
          <w:kern w:val="0"/>
          <w:szCs w:val="21"/>
        </w:rPr>
        <w:t xml:space="preserve"> </w:t>
      </w:r>
      <w:r>
        <w:rPr>
          <w:rFonts w:hint="eastAsia" w:ascii="Times New Roman" w:hAnsi="Times New Roman" w:cs="Arial"/>
          <w:b/>
          <w:color w:val="000000"/>
          <w:kern w:val="0"/>
          <w:szCs w:val="21"/>
        </w:rPr>
        <w:t>合同价款及付款方式</w:t>
      </w:r>
    </w:p>
    <w:p w14:paraId="1640D384">
      <w:pPr>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before="156" w:line="360" w:lineRule="auto"/>
        <w:ind w:firstLine="420"/>
        <w:jc w:val="left"/>
        <w:rPr>
          <w:rFonts w:ascii="Times New Roman" w:hAnsi="Times New Roman" w:cs="Arial"/>
          <w:color w:val="000000"/>
          <w:kern w:val="0"/>
          <w:szCs w:val="21"/>
        </w:rPr>
      </w:pPr>
      <w:r>
        <w:rPr>
          <w:rFonts w:ascii="Times New Roman" w:hAnsi="Times New Roman" w:cs="Arial"/>
          <w:color w:val="000000"/>
          <w:kern w:val="0"/>
          <w:szCs w:val="21"/>
        </w:rPr>
        <w:t>1</w:t>
      </w:r>
      <w:r>
        <w:rPr>
          <w:rFonts w:hint="eastAsia" w:ascii="Times New Roman" w:hAnsi="Times New Roman" w:cs="Arial"/>
          <w:color w:val="000000"/>
          <w:kern w:val="0"/>
          <w:szCs w:val="21"/>
        </w:rPr>
        <w:t>、本合同价款在“报价明细表”中明确。</w:t>
      </w:r>
    </w:p>
    <w:p w14:paraId="0A4E8F14">
      <w:pPr>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before="156" w:line="360" w:lineRule="auto"/>
        <w:ind w:firstLine="420"/>
        <w:jc w:val="left"/>
        <w:rPr>
          <w:rFonts w:ascii="Times New Roman" w:hAnsi="Times New Roman" w:cs="Arial"/>
          <w:color w:val="000000"/>
          <w:kern w:val="0"/>
          <w:szCs w:val="21"/>
        </w:rPr>
      </w:pPr>
      <w:r>
        <w:rPr>
          <w:rFonts w:ascii="Times New Roman" w:hAnsi="Times New Roman" w:cs="Arial"/>
          <w:color w:val="000000"/>
          <w:kern w:val="0"/>
          <w:szCs w:val="21"/>
        </w:rPr>
        <w:t>2</w:t>
      </w:r>
      <w:r>
        <w:rPr>
          <w:rFonts w:hint="eastAsia" w:ascii="Times New Roman" w:hAnsi="Times New Roman" w:cs="Arial"/>
          <w:color w:val="000000"/>
          <w:kern w:val="0"/>
          <w:szCs w:val="21"/>
        </w:rPr>
        <w:t>、本合同价款包括完成项目服务所需的全部费用。</w:t>
      </w:r>
    </w:p>
    <w:p w14:paraId="603D1014">
      <w:pPr>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before="156" w:line="360" w:lineRule="auto"/>
        <w:ind w:firstLine="420"/>
        <w:jc w:val="left"/>
        <w:rPr>
          <w:rFonts w:ascii="Times New Roman" w:hAnsi="Times New Roman" w:cs="Arial"/>
          <w:color w:val="000000"/>
          <w:kern w:val="0"/>
          <w:szCs w:val="21"/>
        </w:rPr>
      </w:pPr>
      <w:r>
        <w:rPr>
          <w:rFonts w:ascii="Times New Roman" w:hAnsi="Times New Roman" w:cs="Arial"/>
          <w:color w:val="000000"/>
          <w:kern w:val="0"/>
          <w:szCs w:val="21"/>
        </w:rPr>
        <w:t>3</w:t>
      </w:r>
      <w:r>
        <w:rPr>
          <w:rFonts w:hint="eastAsia" w:ascii="Times New Roman" w:hAnsi="Times New Roman" w:cs="Arial"/>
          <w:color w:val="000000"/>
          <w:kern w:val="0"/>
          <w:szCs w:val="21"/>
        </w:rPr>
        <w:t>、本合同付款方式为以下第</w:t>
      </w:r>
      <w:r>
        <w:rPr>
          <w:rFonts w:ascii="Times New Roman" w:hAnsi="Times New Roman" w:cs="Arial"/>
          <w:color w:val="000000"/>
          <w:kern w:val="0"/>
          <w:szCs w:val="21"/>
          <w:u w:val="single"/>
        </w:rPr>
        <w:t xml:space="preserve">        </w:t>
      </w:r>
      <w:r>
        <w:rPr>
          <w:rFonts w:hint="eastAsia" w:ascii="Times New Roman" w:hAnsi="Times New Roman" w:cs="Arial"/>
          <w:color w:val="000000"/>
          <w:kern w:val="0"/>
          <w:szCs w:val="21"/>
        </w:rPr>
        <w:t>项：</w:t>
      </w:r>
    </w:p>
    <w:p w14:paraId="0BF620BD">
      <w:pPr>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before="156" w:line="360" w:lineRule="auto"/>
        <w:ind w:firstLine="420"/>
        <w:jc w:val="left"/>
        <w:rPr>
          <w:rFonts w:ascii="Times New Roman" w:hAnsi="Times New Roman" w:cs="Arial"/>
          <w:color w:val="000000"/>
          <w:kern w:val="0"/>
          <w:szCs w:val="21"/>
        </w:rPr>
      </w:pPr>
      <w:r>
        <w:rPr>
          <w:rFonts w:hint="eastAsia" w:ascii="Times New Roman" w:hAnsi="Times New Roman" w:cs="Arial"/>
          <w:color w:val="000000"/>
          <w:kern w:val="0"/>
          <w:szCs w:val="21"/>
        </w:rPr>
        <w:t>（</w:t>
      </w:r>
      <w:r>
        <w:rPr>
          <w:rFonts w:ascii="Times New Roman" w:hAnsi="Times New Roman" w:cs="Arial"/>
          <w:color w:val="000000"/>
          <w:kern w:val="0"/>
          <w:szCs w:val="21"/>
        </w:rPr>
        <w:t>1</w:t>
      </w:r>
      <w:r>
        <w:rPr>
          <w:rFonts w:hint="eastAsia" w:ascii="Times New Roman" w:hAnsi="Times New Roman" w:cs="Arial"/>
          <w:color w:val="000000"/>
          <w:kern w:val="0"/>
          <w:szCs w:val="21"/>
        </w:rPr>
        <w:t>）本合同项下的采购资金系甲方自行支付，付款程序为</w:t>
      </w:r>
      <w:r>
        <w:rPr>
          <w:rFonts w:ascii="Times New Roman" w:hAnsi="Times New Roman" w:cs="Arial"/>
          <w:color w:val="000000"/>
          <w:kern w:val="0"/>
          <w:szCs w:val="21"/>
          <w:u w:val="single"/>
        </w:rPr>
        <w:t xml:space="preserve">        </w:t>
      </w:r>
      <w:r>
        <w:rPr>
          <w:rFonts w:hint="eastAsia" w:ascii="Times New Roman" w:hAnsi="Times New Roman" w:cs="Arial"/>
          <w:color w:val="000000"/>
          <w:kern w:val="0"/>
          <w:szCs w:val="21"/>
        </w:rPr>
        <w:t>；</w:t>
      </w:r>
    </w:p>
    <w:p w14:paraId="0C9499CA">
      <w:pPr>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before="156" w:line="360" w:lineRule="auto"/>
        <w:ind w:firstLine="420"/>
        <w:jc w:val="left"/>
        <w:rPr>
          <w:rFonts w:ascii="Times New Roman" w:hAnsi="Times New Roman" w:cs="Arial"/>
          <w:color w:val="000000"/>
          <w:kern w:val="0"/>
          <w:szCs w:val="21"/>
        </w:rPr>
      </w:pPr>
      <w:r>
        <w:rPr>
          <w:rFonts w:hint="eastAsia" w:ascii="Times New Roman" w:hAnsi="Times New Roman" w:cs="Arial"/>
          <w:color w:val="000000"/>
          <w:kern w:val="0"/>
          <w:szCs w:val="21"/>
        </w:rPr>
        <w:t>（</w:t>
      </w:r>
      <w:r>
        <w:rPr>
          <w:rFonts w:ascii="Times New Roman" w:hAnsi="Times New Roman" w:cs="Arial"/>
          <w:color w:val="000000"/>
          <w:kern w:val="0"/>
          <w:szCs w:val="21"/>
        </w:rPr>
        <w:t>2</w:t>
      </w:r>
      <w:r>
        <w:rPr>
          <w:rFonts w:hint="eastAsia" w:ascii="Times New Roman" w:hAnsi="Times New Roman" w:cs="Arial"/>
          <w:color w:val="000000"/>
          <w:kern w:val="0"/>
          <w:szCs w:val="21"/>
        </w:rPr>
        <w:t>）本合同项下的采购资金须财政直接支付，付款程序为</w:t>
      </w:r>
      <w:r>
        <w:rPr>
          <w:rFonts w:ascii="Times New Roman" w:hAnsi="Times New Roman" w:cs="Arial"/>
          <w:color w:val="000000"/>
          <w:kern w:val="0"/>
          <w:szCs w:val="21"/>
          <w:u w:val="single"/>
        </w:rPr>
        <w:t xml:space="preserve">        </w:t>
      </w:r>
      <w:r>
        <w:rPr>
          <w:rFonts w:hint="eastAsia" w:ascii="Times New Roman" w:hAnsi="Times New Roman" w:cs="Arial"/>
          <w:color w:val="000000"/>
          <w:kern w:val="0"/>
          <w:szCs w:val="21"/>
        </w:rPr>
        <w:t>；</w:t>
      </w:r>
    </w:p>
    <w:p w14:paraId="59AE7DBE">
      <w:pPr>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before="156" w:line="360" w:lineRule="auto"/>
        <w:ind w:firstLine="420"/>
        <w:jc w:val="left"/>
        <w:rPr>
          <w:rFonts w:ascii="Times New Roman" w:hAnsi="Times New Roman" w:cs="Arial"/>
          <w:color w:val="000000"/>
          <w:kern w:val="0"/>
          <w:szCs w:val="21"/>
        </w:rPr>
      </w:pPr>
      <w:r>
        <w:rPr>
          <w:rFonts w:hint="eastAsia" w:ascii="Times New Roman" w:hAnsi="Times New Roman" w:cs="Arial"/>
          <w:color w:val="000000"/>
          <w:kern w:val="0"/>
          <w:szCs w:val="21"/>
        </w:rPr>
        <w:t>（</w:t>
      </w:r>
      <w:r>
        <w:rPr>
          <w:rFonts w:ascii="Times New Roman" w:hAnsi="Times New Roman" w:cs="Arial"/>
          <w:color w:val="000000"/>
          <w:kern w:val="0"/>
          <w:szCs w:val="21"/>
        </w:rPr>
        <w:t>3</w:t>
      </w:r>
      <w:r>
        <w:rPr>
          <w:rFonts w:hint="eastAsia" w:ascii="Times New Roman" w:hAnsi="Times New Roman" w:cs="Arial"/>
          <w:color w:val="000000"/>
          <w:kern w:val="0"/>
          <w:szCs w:val="21"/>
        </w:rPr>
        <w:t>）其他方式：</w:t>
      </w:r>
    </w:p>
    <w:p w14:paraId="6BF0CAF5">
      <w:pPr>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before="156" w:line="360" w:lineRule="auto"/>
        <w:ind w:firstLine="420"/>
        <w:jc w:val="left"/>
        <w:rPr>
          <w:rFonts w:ascii="Times New Roman" w:hAnsi="Times New Roman" w:cs="Arial"/>
          <w:color w:val="000000"/>
          <w:kern w:val="0"/>
          <w:szCs w:val="21"/>
        </w:rPr>
      </w:pPr>
      <w:r>
        <w:rPr>
          <w:rFonts w:ascii="Times New Roman" w:hAnsi="Times New Roman" w:cs="Arial"/>
          <w:color w:val="000000"/>
          <w:kern w:val="0"/>
          <w:szCs w:val="21"/>
        </w:rPr>
        <w:t>4</w:t>
      </w:r>
      <w:r>
        <w:rPr>
          <w:rFonts w:hint="eastAsia" w:ascii="Times New Roman" w:hAnsi="Times New Roman" w:cs="Arial"/>
          <w:color w:val="000000"/>
          <w:kern w:val="0"/>
          <w:szCs w:val="21"/>
        </w:rPr>
        <w:t>、本合同项下的采购资金付款进度按招标文件规定，未规定时按以下第</w:t>
      </w:r>
      <w:r>
        <w:rPr>
          <w:rFonts w:ascii="Times New Roman" w:hAnsi="Times New Roman" w:cs="Arial"/>
          <w:color w:val="000000"/>
          <w:kern w:val="0"/>
          <w:szCs w:val="21"/>
          <w:u w:val="single"/>
        </w:rPr>
        <w:t xml:space="preserve">     </w:t>
      </w:r>
      <w:r>
        <w:rPr>
          <w:rFonts w:hint="eastAsia" w:ascii="Times New Roman" w:hAnsi="Times New Roman" w:cs="Arial"/>
          <w:color w:val="000000"/>
          <w:kern w:val="0"/>
          <w:szCs w:val="21"/>
        </w:rPr>
        <w:t>项支付：</w:t>
      </w:r>
    </w:p>
    <w:p w14:paraId="1C9EF292">
      <w:pPr>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before="156" w:line="360" w:lineRule="auto"/>
        <w:ind w:firstLine="420"/>
        <w:jc w:val="left"/>
        <w:rPr>
          <w:rFonts w:ascii="Times New Roman" w:hAnsi="Times New Roman" w:cs="Arial"/>
          <w:color w:val="000000"/>
          <w:kern w:val="0"/>
          <w:szCs w:val="21"/>
        </w:rPr>
      </w:pPr>
      <w:r>
        <w:rPr>
          <w:rFonts w:hint="eastAsia" w:ascii="Times New Roman" w:hAnsi="Times New Roman" w:cs="Arial"/>
          <w:color w:val="000000"/>
          <w:kern w:val="0"/>
          <w:szCs w:val="21"/>
        </w:rPr>
        <w:t>（</w:t>
      </w:r>
      <w:r>
        <w:rPr>
          <w:rFonts w:ascii="Times New Roman" w:hAnsi="Times New Roman" w:cs="Arial"/>
          <w:color w:val="000000"/>
          <w:kern w:val="0"/>
          <w:szCs w:val="21"/>
        </w:rPr>
        <w:t>1</w:t>
      </w:r>
      <w:r>
        <w:rPr>
          <w:rFonts w:hint="eastAsia" w:ascii="Times New Roman" w:hAnsi="Times New Roman" w:cs="Arial"/>
          <w:color w:val="000000"/>
          <w:kern w:val="0"/>
          <w:szCs w:val="21"/>
        </w:rPr>
        <w:t>）一次性付款：乙方合同履行达到</w:t>
      </w:r>
      <w:r>
        <w:rPr>
          <w:rFonts w:ascii="Times New Roman" w:hAnsi="Times New Roman" w:cs="Arial"/>
          <w:color w:val="000000"/>
          <w:kern w:val="0"/>
          <w:szCs w:val="21"/>
        </w:rPr>
        <w:t>_________</w:t>
      </w:r>
      <w:r>
        <w:rPr>
          <w:rFonts w:hint="eastAsia" w:ascii="Times New Roman" w:hAnsi="Times New Roman" w:cs="Arial"/>
          <w:color w:val="000000"/>
          <w:kern w:val="0"/>
          <w:szCs w:val="21"/>
        </w:rPr>
        <w:t>（条件）时，一次性付款；</w:t>
      </w:r>
    </w:p>
    <w:p w14:paraId="6F07FBA0">
      <w:pPr>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before="156" w:line="360" w:lineRule="auto"/>
        <w:ind w:firstLine="420"/>
        <w:jc w:val="left"/>
        <w:rPr>
          <w:rFonts w:ascii="Times New Roman" w:hAnsi="Times New Roman" w:cs="Arial"/>
          <w:color w:val="000000"/>
          <w:kern w:val="0"/>
          <w:szCs w:val="21"/>
        </w:rPr>
      </w:pPr>
      <w:r>
        <w:rPr>
          <w:rFonts w:hint="eastAsia" w:ascii="Times New Roman" w:hAnsi="Times New Roman" w:cs="Arial"/>
          <w:color w:val="000000"/>
          <w:kern w:val="0"/>
          <w:szCs w:val="21"/>
        </w:rPr>
        <w:t>（</w:t>
      </w:r>
      <w:r>
        <w:rPr>
          <w:rFonts w:ascii="Times New Roman" w:hAnsi="Times New Roman" w:cs="Arial"/>
          <w:color w:val="000000"/>
          <w:kern w:val="0"/>
          <w:szCs w:val="21"/>
        </w:rPr>
        <w:t>2</w:t>
      </w:r>
      <w:r>
        <w:rPr>
          <w:rFonts w:hint="eastAsia" w:ascii="Times New Roman" w:hAnsi="Times New Roman" w:cs="Arial"/>
          <w:color w:val="000000"/>
          <w:kern w:val="0"/>
          <w:szCs w:val="21"/>
        </w:rPr>
        <w:t>）分期付款：</w:t>
      </w:r>
      <w:r>
        <w:rPr>
          <w:rFonts w:ascii="Times New Roman" w:hAnsi="Times New Roman" w:cs="Arial"/>
          <w:color w:val="000000"/>
          <w:kern w:val="0"/>
          <w:szCs w:val="21"/>
        </w:rPr>
        <w:t>_________</w:t>
      </w:r>
      <w:r>
        <w:rPr>
          <w:rFonts w:hint="eastAsia" w:ascii="Times New Roman" w:hAnsi="Times New Roman" w:cs="Arial"/>
          <w:color w:val="000000"/>
          <w:kern w:val="0"/>
          <w:szCs w:val="21"/>
        </w:rPr>
        <w:t>时支付</w:t>
      </w:r>
      <w:r>
        <w:rPr>
          <w:rFonts w:ascii="Times New Roman" w:hAnsi="Times New Roman" w:cs="Arial"/>
          <w:color w:val="000000"/>
          <w:kern w:val="0"/>
          <w:szCs w:val="21"/>
        </w:rPr>
        <w:t>_________</w:t>
      </w:r>
      <w:r>
        <w:rPr>
          <w:rFonts w:hint="eastAsia" w:ascii="Times New Roman" w:hAnsi="Times New Roman" w:cs="Arial"/>
          <w:color w:val="000000"/>
          <w:kern w:val="0"/>
          <w:szCs w:val="21"/>
        </w:rPr>
        <w:t>；</w:t>
      </w:r>
      <w:r>
        <w:rPr>
          <w:rFonts w:ascii="Times New Roman" w:hAnsi="Times New Roman" w:cs="Arial"/>
          <w:color w:val="000000"/>
          <w:kern w:val="0"/>
          <w:szCs w:val="21"/>
        </w:rPr>
        <w:t>_________</w:t>
      </w:r>
      <w:r>
        <w:rPr>
          <w:rFonts w:hint="eastAsia" w:ascii="Times New Roman" w:hAnsi="Times New Roman" w:cs="Arial"/>
          <w:color w:val="000000"/>
          <w:kern w:val="0"/>
          <w:szCs w:val="21"/>
        </w:rPr>
        <w:t>时支付</w:t>
      </w:r>
      <w:r>
        <w:rPr>
          <w:rFonts w:ascii="Times New Roman" w:hAnsi="Times New Roman" w:cs="Arial"/>
          <w:color w:val="000000"/>
          <w:kern w:val="0"/>
          <w:szCs w:val="21"/>
        </w:rPr>
        <w:t>_________</w:t>
      </w:r>
      <w:r>
        <w:rPr>
          <w:rFonts w:hint="eastAsia" w:ascii="Times New Roman" w:hAnsi="Times New Roman" w:cs="Arial"/>
          <w:color w:val="000000"/>
          <w:kern w:val="0"/>
          <w:szCs w:val="21"/>
        </w:rPr>
        <w:t>；</w:t>
      </w:r>
      <w:r>
        <w:rPr>
          <w:rFonts w:ascii="Times New Roman" w:hAnsi="Times New Roman" w:cs="Arial"/>
          <w:color w:val="000000"/>
          <w:kern w:val="0"/>
          <w:szCs w:val="21"/>
        </w:rPr>
        <w:t>_________</w:t>
      </w:r>
      <w:r>
        <w:rPr>
          <w:rFonts w:hint="eastAsia" w:ascii="Times New Roman" w:hAnsi="Times New Roman" w:cs="Arial"/>
          <w:color w:val="000000"/>
          <w:kern w:val="0"/>
          <w:szCs w:val="21"/>
        </w:rPr>
        <w:t>时支付</w:t>
      </w:r>
      <w:r>
        <w:rPr>
          <w:rFonts w:ascii="Times New Roman" w:hAnsi="Times New Roman" w:cs="Arial"/>
          <w:color w:val="000000"/>
          <w:kern w:val="0"/>
          <w:szCs w:val="21"/>
        </w:rPr>
        <w:t>_________</w:t>
      </w:r>
      <w:r>
        <w:rPr>
          <w:rFonts w:hint="eastAsia" w:ascii="Times New Roman" w:hAnsi="Times New Roman" w:cs="Arial"/>
          <w:color w:val="000000"/>
          <w:kern w:val="0"/>
          <w:szCs w:val="21"/>
        </w:rPr>
        <w:t>；</w:t>
      </w:r>
    </w:p>
    <w:p w14:paraId="65ED0D2D">
      <w:pPr>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before="156" w:line="360" w:lineRule="auto"/>
        <w:ind w:firstLine="420"/>
        <w:jc w:val="left"/>
        <w:rPr>
          <w:rFonts w:ascii="Times New Roman" w:hAnsi="Times New Roman" w:cs="Arial"/>
          <w:color w:val="000000"/>
          <w:kern w:val="0"/>
          <w:szCs w:val="21"/>
        </w:rPr>
      </w:pPr>
      <w:r>
        <w:rPr>
          <w:rFonts w:hint="eastAsia" w:ascii="Times New Roman" w:hAnsi="Times New Roman" w:cs="Arial"/>
          <w:color w:val="000000"/>
          <w:kern w:val="0"/>
          <w:szCs w:val="21"/>
        </w:rPr>
        <w:t>若收取了履约保证金，则不应重复设置尾款支付条件。</w:t>
      </w:r>
    </w:p>
    <w:p w14:paraId="1EA48DCB">
      <w:pPr>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before="156" w:line="360" w:lineRule="auto"/>
        <w:ind w:firstLine="420"/>
        <w:jc w:val="left"/>
        <w:rPr>
          <w:rFonts w:ascii="Times New Roman" w:hAnsi="Times New Roman" w:cs="Arial"/>
          <w:color w:val="000000"/>
          <w:kern w:val="0"/>
          <w:szCs w:val="21"/>
        </w:rPr>
      </w:pPr>
      <w:bookmarkStart w:id="304" w:name="_Hlk51575978"/>
      <w:r>
        <w:rPr>
          <w:rFonts w:ascii="Times New Roman" w:hAnsi="Times New Roman" w:cs="Arial"/>
          <w:color w:val="000000"/>
          <w:kern w:val="0"/>
          <w:szCs w:val="21"/>
        </w:rPr>
        <w:t>5</w:t>
      </w:r>
      <w:r>
        <w:rPr>
          <w:rFonts w:hint="eastAsia" w:ascii="Times New Roman" w:hAnsi="Times New Roman" w:cs="Arial"/>
          <w:color w:val="000000"/>
          <w:kern w:val="0"/>
          <w:szCs w:val="21"/>
        </w:rPr>
        <w:t>、乙方收款银行信息：</w:t>
      </w:r>
    </w:p>
    <w:p w14:paraId="608275DA">
      <w:pPr>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before="156" w:line="360" w:lineRule="auto"/>
        <w:ind w:firstLine="420"/>
        <w:jc w:val="left"/>
        <w:rPr>
          <w:rFonts w:ascii="Times New Roman" w:hAnsi="Times New Roman" w:cs="Arial"/>
          <w:color w:val="000000"/>
          <w:kern w:val="0"/>
          <w:szCs w:val="21"/>
        </w:rPr>
      </w:pPr>
      <w:r>
        <w:rPr>
          <w:rFonts w:hint="eastAsia" w:ascii="Times New Roman" w:hAnsi="Times New Roman" w:cs="Arial"/>
          <w:color w:val="000000"/>
          <w:kern w:val="0"/>
          <w:szCs w:val="21"/>
        </w:rPr>
        <w:t>账户名：</w:t>
      </w:r>
      <w:r>
        <w:rPr>
          <w:rFonts w:ascii="Times New Roman" w:hAnsi="Times New Roman" w:cs="Arial"/>
          <w:color w:val="000000"/>
          <w:kern w:val="0"/>
          <w:szCs w:val="21"/>
          <w:u w:val="single"/>
        </w:rPr>
        <w:t xml:space="preserve">                 </w:t>
      </w:r>
    </w:p>
    <w:p w14:paraId="76E98BA5">
      <w:pPr>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before="156" w:line="360" w:lineRule="auto"/>
        <w:ind w:firstLine="420"/>
        <w:jc w:val="left"/>
        <w:rPr>
          <w:rFonts w:ascii="Times New Roman" w:hAnsi="Times New Roman" w:cs="Arial"/>
          <w:color w:val="000000"/>
          <w:kern w:val="0"/>
          <w:szCs w:val="21"/>
        </w:rPr>
      </w:pPr>
      <w:r>
        <w:rPr>
          <w:rFonts w:hint="eastAsia" w:ascii="Times New Roman" w:hAnsi="Times New Roman" w:cs="Arial"/>
          <w:color w:val="000000"/>
          <w:kern w:val="0"/>
          <w:szCs w:val="21"/>
        </w:rPr>
        <w:t>开户行：</w:t>
      </w:r>
      <w:r>
        <w:rPr>
          <w:rFonts w:ascii="Times New Roman" w:hAnsi="Times New Roman" w:cs="Arial"/>
          <w:color w:val="000000"/>
          <w:kern w:val="0"/>
          <w:szCs w:val="21"/>
          <w:u w:val="single"/>
        </w:rPr>
        <w:t xml:space="preserve">                 </w:t>
      </w:r>
      <w:r>
        <w:rPr>
          <w:rFonts w:ascii="Times New Roman" w:hAnsi="Times New Roman" w:cs="Arial"/>
          <w:color w:val="000000"/>
          <w:kern w:val="0"/>
          <w:szCs w:val="21"/>
        </w:rPr>
        <w:t xml:space="preserve"> </w:t>
      </w:r>
    </w:p>
    <w:p w14:paraId="1D5A5165">
      <w:pPr>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before="156" w:line="360" w:lineRule="auto"/>
        <w:ind w:firstLine="420"/>
        <w:jc w:val="left"/>
        <w:rPr>
          <w:rFonts w:ascii="Times New Roman" w:hAnsi="Times New Roman" w:cs="Arial"/>
          <w:color w:val="000000"/>
          <w:kern w:val="0"/>
          <w:szCs w:val="21"/>
        </w:rPr>
      </w:pPr>
      <w:r>
        <w:rPr>
          <w:rFonts w:hint="eastAsia" w:ascii="Times New Roman" w:hAnsi="Times New Roman" w:cs="Arial"/>
          <w:color w:val="000000"/>
          <w:kern w:val="0"/>
          <w:szCs w:val="21"/>
        </w:rPr>
        <w:t>账</w:t>
      </w:r>
      <w:r>
        <w:rPr>
          <w:rFonts w:ascii="Times New Roman" w:hAnsi="Times New Roman" w:cs="Arial"/>
          <w:color w:val="000000"/>
          <w:kern w:val="0"/>
          <w:szCs w:val="21"/>
        </w:rPr>
        <w:t xml:space="preserve">  </w:t>
      </w:r>
      <w:r>
        <w:rPr>
          <w:rFonts w:hint="eastAsia" w:ascii="Times New Roman" w:hAnsi="Times New Roman" w:cs="Arial"/>
          <w:color w:val="000000"/>
          <w:kern w:val="0"/>
          <w:szCs w:val="21"/>
        </w:rPr>
        <w:t>号：</w:t>
      </w:r>
      <w:r>
        <w:rPr>
          <w:rFonts w:ascii="Times New Roman" w:hAnsi="Times New Roman" w:cs="Arial"/>
          <w:color w:val="000000"/>
          <w:kern w:val="0"/>
          <w:szCs w:val="21"/>
          <w:u w:val="single"/>
        </w:rPr>
        <w:t xml:space="preserve">                  </w:t>
      </w:r>
      <w:bookmarkEnd w:id="304"/>
    </w:p>
    <w:p w14:paraId="13A2FEF9">
      <w:pPr>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before="156" w:line="360" w:lineRule="auto"/>
        <w:ind w:firstLine="422"/>
        <w:jc w:val="left"/>
        <w:rPr>
          <w:rFonts w:ascii="Times New Roman" w:hAnsi="Times New Roman" w:cs="Arial"/>
          <w:b/>
          <w:color w:val="000000"/>
          <w:kern w:val="0"/>
          <w:szCs w:val="21"/>
        </w:rPr>
      </w:pPr>
      <w:r>
        <w:rPr>
          <w:rFonts w:hint="eastAsia" w:ascii="Times New Roman" w:hAnsi="Times New Roman" w:cs="Arial"/>
          <w:b/>
          <w:color w:val="000000"/>
          <w:kern w:val="0"/>
          <w:szCs w:val="21"/>
        </w:rPr>
        <w:t>第四条</w:t>
      </w:r>
      <w:r>
        <w:rPr>
          <w:rFonts w:ascii="Times New Roman" w:hAnsi="Times New Roman" w:cs="Arial"/>
          <w:b/>
          <w:color w:val="000000"/>
          <w:kern w:val="0"/>
          <w:szCs w:val="21"/>
        </w:rPr>
        <w:t xml:space="preserve"> </w:t>
      </w:r>
      <w:r>
        <w:rPr>
          <w:rFonts w:hint="eastAsia" w:ascii="Times New Roman" w:hAnsi="Times New Roman" w:cs="Arial"/>
          <w:b/>
          <w:color w:val="000000"/>
          <w:kern w:val="0"/>
          <w:szCs w:val="21"/>
        </w:rPr>
        <w:t>履约保证金</w:t>
      </w:r>
    </w:p>
    <w:p w14:paraId="324C3047">
      <w:pPr>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before="156" w:line="360" w:lineRule="auto"/>
        <w:ind w:firstLine="420"/>
        <w:jc w:val="left"/>
        <w:rPr>
          <w:rFonts w:ascii="Times New Roman" w:hAnsi="Times New Roman" w:cs="Arial"/>
          <w:b/>
          <w:color w:val="000000"/>
          <w:kern w:val="0"/>
          <w:szCs w:val="21"/>
        </w:rPr>
      </w:pPr>
      <w:r>
        <w:rPr>
          <w:rFonts w:hint="eastAsia" w:ascii="Times New Roman" w:hAnsi="Times New Roman" w:cs="Arial"/>
          <w:color w:val="000000"/>
          <w:kern w:val="0"/>
          <w:szCs w:val="21"/>
        </w:rPr>
        <w:t>按以下第</w:t>
      </w:r>
      <w:r>
        <w:rPr>
          <w:rFonts w:ascii="Times New Roman" w:hAnsi="Times New Roman" w:cs="Arial"/>
          <w:color w:val="000000"/>
          <w:kern w:val="0"/>
          <w:szCs w:val="21"/>
          <w:u w:val="single"/>
        </w:rPr>
        <w:t xml:space="preserve">  </w:t>
      </w:r>
      <w:r>
        <w:rPr>
          <w:rFonts w:hint="eastAsia" w:ascii="Times New Roman" w:hAnsi="Times New Roman" w:cs="Arial"/>
          <w:color w:val="000000"/>
          <w:kern w:val="0"/>
          <w:szCs w:val="21"/>
          <w:u w:val="single"/>
        </w:rPr>
        <w:t>2</w:t>
      </w:r>
      <w:r>
        <w:rPr>
          <w:rFonts w:ascii="Times New Roman" w:hAnsi="Times New Roman" w:cs="Arial"/>
          <w:color w:val="000000"/>
          <w:kern w:val="0"/>
          <w:szCs w:val="21"/>
          <w:u w:val="single"/>
        </w:rPr>
        <w:t xml:space="preserve">  </w:t>
      </w:r>
      <w:r>
        <w:rPr>
          <w:rFonts w:hint="eastAsia" w:ascii="Times New Roman" w:hAnsi="Times New Roman" w:cs="Arial"/>
          <w:color w:val="000000"/>
          <w:kern w:val="0"/>
          <w:szCs w:val="21"/>
        </w:rPr>
        <w:t>项处理：</w:t>
      </w:r>
    </w:p>
    <w:p w14:paraId="65B0CF5D">
      <w:pPr>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before="156" w:line="360" w:lineRule="auto"/>
        <w:ind w:firstLine="420"/>
        <w:jc w:val="left"/>
        <w:rPr>
          <w:rFonts w:ascii="Times New Roman" w:hAnsi="Times New Roman" w:cs="Arial"/>
          <w:color w:val="000000"/>
          <w:kern w:val="0"/>
          <w:szCs w:val="21"/>
        </w:rPr>
      </w:pPr>
      <w:r>
        <w:rPr>
          <w:rFonts w:ascii="Times New Roman" w:hAnsi="Times New Roman" w:cs="Arial"/>
          <w:color w:val="000000"/>
          <w:kern w:val="0"/>
          <w:szCs w:val="21"/>
        </w:rPr>
        <w:t>1</w:t>
      </w:r>
      <w:r>
        <w:rPr>
          <w:rFonts w:hint="eastAsia" w:ascii="Times New Roman" w:hAnsi="Times New Roman" w:cs="Arial"/>
          <w:color w:val="000000"/>
          <w:kern w:val="0"/>
          <w:szCs w:val="21"/>
        </w:rPr>
        <w:t>、本项目设置履约保证金，乙方应于</w:t>
      </w:r>
      <w:r>
        <w:rPr>
          <w:rFonts w:ascii="Times New Roman" w:hAnsi="Times New Roman" w:cs="Arial"/>
          <w:color w:val="000000"/>
          <w:kern w:val="0"/>
          <w:szCs w:val="21"/>
        </w:rPr>
        <w:t>_________</w:t>
      </w:r>
      <w:r>
        <w:rPr>
          <w:rFonts w:hint="eastAsia" w:ascii="Times New Roman" w:hAnsi="Times New Roman" w:cs="Arial"/>
          <w:color w:val="000000"/>
          <w:kern w:val="0"/>
          <w:szCs w:val="21"/>
        </w:rPr>
        <w:t>（时间）向甲方提交履约保证金</w:t>
      </w:r>
      <w:r>
        <w:rPr>
          <w:rFonts w:ascii="Times New Roman" w:hAnsi="Times New Roman" w:cs="Arial"/>
          <w:color w:val="000000"/>
          <w:kern w:val="0"/>
          <w:szCs w:val="21"/>
        </w:rPr>
        <w:t>_________</w:t>
      </w:r>
      <w:r>
        <w:rPr>
          <w:rFonts w:hint="eastAsia" w:ascii="Times New Roman" w:hAnsi="Times New Roman" w:cs="Arial"/>
          <w:color w:val="000000"/>
          <w:kern w:val="0"/>
          <w:szCs w:val="21"/>
        </w:rPr>
        <w:t>元。履约保证金在</w:t>
      </w:r>
      <w:r>
        <w:rPr>
          <w:rFonts w:ascii="Times New Roman" w:hAnsi="Times New Roman" w:cs="Arial"/>
          <w:color w:val="000000"/>
          <w:kern w:val="0"/>
          <w:szCs w:val="21"/>
        </w:rPr>
        <w:t>_________</w:t>
      </w:r>
      <w:r>
        <w:rPr>
          <w:rFonts w:hint="eastAsia" w:ascii="Times New Roman" w:hAnsi="Times New Roman" w:cs="Arial"/>
          <w:color w:val="000000"/>
          <w:kern w:val="0"/>
          <w:szCs w:val="21"/>
        </w:rPr>
        <w:t>（时间）退还乙方。</w:t>
      </w:r>
    </w:p>
    <w:p w14:paraId="197AA5A9">
      <w:pPr>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before="156" w:line="360" w:lineRule="auto"/>
        <w:ind w:firstLine="420"/>
        <w:jc w:val="left"/>
        <w:rPr>
          <w:rFonts w:ascii="Times New Roman" w:hAnsi="Times New Roman" w:cs="Arial"/>
          <w:color w:val="000000"/>
          <w:kern w:val="0"/>
          <w:szCs w:val="21"/>
        </w:rPr>
      </w:pPr>
      <w:r>
        <w:rPr>
          <w:rFonts w:ascii="Times New Roman" w:hAnsi="Times New Roman" w:cs="Arial"/>
          <w:color w:val="000000"/>
          <w:kern w:val="0"/>
          <w:szCs w:val="21"/>
        </w:rPr>
        <w:t>2</w:t>
      </w:r>
      <w:r>
        <w:rPr>
          <w:rFonts w:hint="eastAsia" w:ascii="Times New Roman" w:hAnsi="Times New Roman" w:cs="Arial"/>
          <w:color w:val="000000"/>
          <w:kern w:val="0"/>
          <w:szCs w:val="21"/>
        </w:rPr>
        <w:t>、本项目不设置履约保证金。</w:t>
      </w:r>
    </w:p>
    <w:p w14:paraId="2A9969B1">
      <w:pPr>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before="156" w:line="360" w:lineRule="auto"/>
        <w:ind w:firstLine="422"/>
        <w:jc w:val="left"/>
        <w:rPr>
          <w:rFonts w:ascii="Times New Roman" w:hAnsi="Times New Roman" w:cs="Arial"/>
          <w:b/>
          <w:color w:val="000000"/>
          <w:kern w:val="0"/>
          <w:szCs w:val="21"/>
        </w:rPr>
      </w:pPr>
      <w:r>
        <w:rPr>
          <w:rFonts w:hint="eastAsia" w:ascii="Times New Roman" w:hAnsi="Times New Roman" w:cs="Arial"/>
          <w:b/>
          <w:color w:val="000000"/>
          <w:kern w:val="0"/>
          <w:szCs w:val="21"/>
        </w:rPr>
        <w:t>第五条</w:t>
      </w:r>
      <w:r>
        <w:rPr>
          <w:rFonts w:ascii="Times New Roman" w:hAnsi="Times New Roman" w:cs="Arial"/>
          <w:b/>
          <w:color w:val="000000"/>
          <w:kern w:val="0"/>
          <w:szCs w:val="21"/>
        </w:rPr>
        <w:t xml:space="preserve"> </w:t>
      </w:r>
      <w:r>
        <w:rPr>
          <w:rFonts w:hint="eastAsia" w:ascii="Times New Roman" w:hAnsi="Times New Roman" w:cs="Arial"/>
          <w:b/>
          <w:color w:val="000000"/>
          <w:kern w:val="0"/>
          <w:szCs w:val="21"/>
        </w:rPr>
        <w:t>合同的变更和终止</w:t>
      </w:r>
    </w:p>
    <w:p w14:paraId="7746083C">
      <w:pPr>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before="156" w:line="360" w:lineRule="auto"/>
        <w:ind w:firstLine="420"/>
        <w:jc w:val="left"/>
        <w:rPr>
          <w:rFonts w:ascii="Times New Roman" w:hAnsi="Times New Roman" w:cs="Arial"/>
          <w:color w:val="000000"/>
          <w:kern w:val="0"/>
          <w:szCs w:val="21"/>
        </w:rPr>
      </w:pPr>
      <w:r>
        <w:rPr>
          <w:rFonts w:hint="eastAsia" w:ascii="Times New Roman" w:hAnsi="Times New Roman" w:cs="Arial"/>
          <w:color w:val="000000"/>
          <w:kern w:val="0"/>
          <w:szCs w:val="21"/>
        </w:rPr>
        <w:t>除《政府采购法》第</w:t>
      </w:r>
      <w:r>
        <w:rPr>
          <w:rFonts w:ascii="Times New Roman" w:hAnsi="Times New Roman" w:cs="Arial"/>
          <w:color w:val="000000"/>
          <w:kern w:val="0"/>
          <w:szCs w:val="21"/>
        </w:rPr>
        <w:t>49</w:t>
      </w:r>
      <w:r>
        <w:rPr>
          <w:rFonts w:hint="eastAsia" w:ascii="Times New Roman" w:hAnsi="Times New Roman" w:cs="Arial"/>
          <w:color w:val="000000"/>
          <w:kern w:val="0"/>
          <w:szCs w:val="21"/>
        </w:rPr>
        <w:t>条、第</w:t>
      </w:r>
      <w:r>
        <w:rPr>
          <w:rFonts w:ascii="Times New Roman" w:hAnsi="Times New Roman" w:cs="Arial"/>
          <w:color w:val="000000"/>
          <w:kern w:val="0"/>
          <w:szCs w:val="21"/>
        </w:rPr>
        <w:t>50</w:t>
      </w:r>
      <w:r>
        <w:rPr>
          <w:rFonts w:hint="eastAsia" w:ascii="Times New Roman" w:hAnsi="Times New Roman" w:cs="Arial"/>
          <w:color w:val="000000"/>
          <w:kern w:val="0"/>
          <w:szCs w:val="21"/>
        </w:rPr>
        <w:t>条第二款规定的情形外，本合同一经签订，甲乙双方不得擅自终止合同或对合同实质性条款进行变更。确有特殊情况的，须经同级财政部门批准。</w:t>
      </w:r>
    </w:p>
    <w:p w14:paraId="75A0B8DB">
      <w:pPr>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before="156" w:line="360" w:lineRule="auto"/>
        <w:ind w:firstLine="422"/>
        <w:jc w:val="left"/>
        <w:rPr>
          <w:rFonts w:ascii="Times New Roman" w:hAnsi="Times New Roman" w:cs="Arial"/>
          <w:b/>
          <w:color w:val="000000"/>
          <w:kern w:val="0"/>
          <w:szCs w:val="21"/>
        </w:rPr>
      </w:pPr>
      <w:r>
        <w:rPr>
          <w:rFonts w:hint="eastAsia" w:ascii="Times New Roman" w:hAnsi="Times New Roman" w:cs="Arial"/>
          <w:b/>
          <w:color w:val="000000"/>
          <w:kern w:val="0"/>
          <w:szCs w:val="21"/>
        </w:rPr>
        <w:t>第六条</w:t>
      </w:r>
      <w:r>
        <w:rPr>
          <w:rFonts w:ascii="Times New Roman" w:hAnsi="Times New Roman" w:cs="Arial"/>
          <w:b/>
          <w:color w:val="000000"/>
          <w:kern w:val="0"/>
          <w:szCs w:val="21"/>
        </w:rPr>
        <w:t xml:space="preserve"> </w:t>
      </w:r>
      <w:r>
        <w:rPr>
          <w:rFonts w:hint="eastAsia" w:ascii="Times New Roman" w:hAnsi="Times New Roman" w:cs="Arial"/>
          <w:b/>
          <w:color w:val="000000"/>
          <w:kern w:val="0"/>
          <w:szCs w:val="21"/>
        </w:rPr>
        <w:t>合同的转让与分包</w:t>
      </w:r>
    </w:p>
    <w:p w14:paraId="280EA46F">
      <w:pPr>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before="156" w:line="360" w:lineRule="auto"/>
        <w:ind w:firstLine="420"/>
        <w:jc w:val="left"/>
        <w:rPr>
          <w:rFonts w:ascii="Times New Roman" w:hAnsi="Times New Roman" w:cs="Arial"/>
          <w:color w:val="000000"/>
          <w:kern w:val="0"/>
          <w:szCs w:val="21"/>
        </w:rPr>
      </w:pPr>
      <w:r>
        <w:rPr>
          <w:rFonts w:hint="eastAsia" w:ascii="Times New Roman" w:hAnsi="Times New Roman" w:cs="Arial"/>
          <w:color w:val="000000"/>
          <w:kern w:val="0"/>
          <w:szCs w:val="21"/>
        </w:rPr>
        <w:t>乙方不得转让或分包本项目。</w:t>
      </w:r>
    </w:p>
    <w:p w14:paraId="08E56423">
      <w:pPr>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before="156" w:line="360" w:lineRule="auto"/>
        <w:ind w:firstLine="422"/>
        <w:jc w:val="left"/>
        <w:rPr>
          <w:rFonts w:ascii="Times New Roman" w:hAnsi="Times New Roman" w:cs="Arial"/>
          <w:b/>
          <w:color w:val="000000"/>
          <w:kern w:val="0"/>
          <w:szCs w:val="21"/>
        </w:rPr>
      </w:pPr>
      <w:r>
        <w:rPr>
          <w:rFonts w:hint="eastAsia" w:ascii="Times New Roman" w:hAnsi="Times New Roman" w:cs="Arial"/>
          <w:b/>
          <w:color w:val="000000"/>
          <w:kern w:val="0"/>
          <w:szCs w:val="21"/>
        </w:rPr>
        <w:t>第七条</w:t>
      </w:r>
      <w:r>
        <w:rPr>
          <w:rFonts w:ascii="Times New Roman" w:hAnsi="Times New Roman" w:cs="Arial"/>
          <w:b/>
          <w:color w:val="000000"/>
          <w:kern w:val="0"/>
          <w:szCs w:val="21"/>
        </w:rPr>
        <w:t xml:space="preserve"> </w:t>
      </w:r>
      <w:r>
        <w:rPr>
          <w:rFonts w:hint="eastAsia" w:ascii="Times New Roman" w:hAnsi="Times New Roman" w:cs="Arial"/>
          <w:b/>
          <w:color w:val="000000"/>
          <w:kern w:val="0"/>
          <w:szCs w:val="21"/>
        </w:rPr>
        <w:t>争议的解决</w:t>
      </w:r>
    </w:p>
    <w:p w14:paraId="09FA9DEE">
      <w:pPr>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before="156" w:line="360" w:lineRule="auto"/>
        <w:ind w:firstLine="420"/>
        <w:jc w:val="left"/>
        <w:rPr>
          <w:rFonts w:ascii="Times New Roman" w:hAnsi="Times New Roman" w:cs="Arial"/>
          <w:color w:val="000000"/>
          <w:kern w:val="0"/>
          <w:szCs w:val="21"/>
        </w:rPr>
      </w:pPr>
      <w:r>
        <w:rPr>
          <w:rFonts w:ascii="Times New Roman" w:hAnsi="Times New Roman" w:cs="Arial"/>
          <w:color w:val="000000"/>
          <w:kern w:val="0"/>
          <w:szCs w:val="21"/>
        </w:rPr>
        <w:t>1</w:t>
      </w:r>
      <w:r>
        <w:rPr>
          <w:rFonts w:hint="eastAsia" w:ascii="Times New Roman" w:hAnsi="Times New Roman" w:cs="Arial"/>
          <w:color w:val="000000"/>
          <w:kern w:val="0"/>
          <w:szCs w:val="21"/>
        </w:rPr>
        <w:t>、因履行本合同引起的或与本合同有关的争议，甲、乙双方应首先通过友好协商解决，如果协商不能解决争议，则采取以下第</w:t>
      </w:r>
      <w:r>
        <w:rPr>
          <w:rFonts w:ascii="Times New Roman" w:hAnsi="Times New Roman" w:cs="Arial"/>
          <w:color w:val="000000"/>
          <w:kern w:val="0"/>
          <w:szCs w:val="21"/>
          <w:u w:val="single"/>
        </w:rPr>
        <w:t xml:space="preserve">      </w:t>
      </w:r>
      <w:r>
        <w:rPr>
          <w:rFonts w:hint="eastAsia" w:ascii="Times New Roman" w:hAnsi="Times New Roman" w:cs="Arial"/>
          <w:color w:val="000000"/>
          <w:kern w:val="0"/>
          <w:szCs w:val="21"/>
        </w:rPr>
        <w:t>种方式解决争议：</w:t>
      </w:r>
    </w:p>
    <w:p w14:paraId="7052B368">
      <w:pPr>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before="156" w:line="360" w:lineRule="auto"/>
        <w:ind w:firstLine="420"/>
        <w:jc w:val="left"/>
        <w:rPr>
          <w:rFonts w:ascii="Times New Roman" w:hAnsi="Times New Roman" w:cs="Arial"/>
          <w:color w:val="000000"/>
          <w:kern w:val="0"/>
          <w:szCs w:val="21"/>
        </w:rPr>
      </w:pPr>
      <w:r>
        <w:rPr>
          <w:rFonts w:hint="eastAsia" w:ascii="Times New Roman" w:hAnsi="Times New Roman" w:cs="Arial"/>
          <w:color w:val="000000"/>
          <w:kern w:val="0"/>
          <w:szCs w:val="21"/>
        </w:rPr>
        <w:t>（</w:t>
      </w:r>
      <w:r>
        <w:rPr>
          <w:rFonts w:ascii="Times New Roman" w:hAnsi="Times New Roman" w:cs="Arial"/>
          <w:color w:val="000000"/>
          <w:kern w:val="0"/>
          <w:szCs w:val="21"/>
        </w:rPr>
        <w:t>1</w:t>
      </w:r>
      <w:r>
        <w:rPr>
          <w:rFonts w:hint="eastAsia" w:ascii="Times New Roman" w:hAnsi="Times New Roman" w:cs="Arial"/>
          <w:color w:val="000000"/>
          <w:kern w:val="0"/>
          <w:szCs w:val="21"/>
        </w:rPr>
        <w:t>）向甲方所在地有管辖权的人民法院提起诉讼；</w:t>
      </w:r>
    </w:p>
    <w:p w14:paraId="2B3B5D01">
      <w:pPr>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before="156" w:line="360" w:lineRule="auto"/>
        <w:ind w:firstLine="420"/>
        <w:jc w:val="left"/>
        <w:rPr>
          <w:rFonts w:ascii="Times New Roman" w:hAnsi="Times New Roman" w:cs="Arial"/>
          <w:color w:val="000000"/>
          <w:kern w:val="0"/>
          <w:szCs w:val="21"/>
        </w:rPr>
      </w:pPr>
      <w:r>
        <w:rPr>
          <w:rFonts w:hint="eastAsia" w:ascii="Times New Roman" w:hAnsi="Times New Roman" w:cs="Arial"/>
          <w:color w:val="000000"/>
          <w:kern w:val="0"/>
          <w:szCs w:val="21"/>
        </w:rPr>
        <w:t>（</w:t>
      </w:r>
      <w:r>
        <w:rPr>
          <w:rFonts w:ascii="Times New Roman" w:hAnsi="Times New Roman" w:cs="Arial"/>
          <w:color w:val="000000"/>
          <w:kern w:val="0"/>
          <w:szCs w:val="21"/>
        </w:rPr>
        <w:t>2</w:t>
      </w:r>
      <w:r>
        <w:rPr>
          <w:rFonts w:hint="eastAsia" w:ascii="Times New Roman" w:hAnsi="Times New Roman" w:cs="Arial"/>
          <w:color w:val="000000"/>
          <w:kern w:val="0"/>
          <w:szCs w:val="21"/>
        </w:rPr>
        <w:t>）向</w:t>
      </w:r>
      <w:r>
        <w:rPr>
          <w:rFonts w:ascii="Times New Roman" w:hAnsi="Times New Roman" w:cs="Arial"/>
          <w:color w:val="000000"/>
          <w:kern w:val="0"/>
          <w:szCs w:val="21"/>
          <w:u w:val="single"/>
        </w:rPr>
        <w:t xml:space="preserve"> </w:t>
      </w:r>
      <w:r>
        <w:rPr>
          <w:rFonts w:hint="eastAsia" w:ascii="Times New Roman" w:hAnsi="Times New Roman" w:cs="Arial"/>
          <w:color w:val="000000"/>
          <w:kern w:val="0"/>
          <w:szCs w:val="21"/>
          <w:u w:val="single"/>
        </w:rPr>
        <w:t>嘉兴</w:t>
      </w:r>
      <w:r>
        <w:rPr>
          <w:rFonts w:ascii="Times New Roman" w:hAnsi="Times New Roman" w:cs="Arial"/>
          <w:color w:val="000000"/>
          <w:kern w:val="0"/>
          <w:szCs w:val="21"/>
          <w:u w:val="single"/>
        </w:rPr>
        <w:t xml:space="preserve"> </w:t>
      </w:r>
      <w:r>
        <w:rPr>
          <w:rFonts w:hint="eastAsia" w:ascii="Times New Roman" w:hAnsi="Times New Roman" w:cs="Arial"/>
          <w:color w:val="000000"/>
          <w:kern w:val="0"/>
          <w:szCs w:val="21"/>
        </w:rPr>
        <w:t>仲裁委员申请仲裁。</w:t>
      </w:r>
    </w:p>
    <w:p w14:paraId="15B5D5BC">
      <w:pPr>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before="156" w:line="360" w:lineRule="auto"/>
        <w:ind w:firstLine="422"/>
        <w:jc w:val="left"/>
        <w:rPr>
          <w:rFonts w:ascii="Times New Roman" w:hAnsi="Times New Roman"/>
          <w:b/>
          <w:color w:val="000000"/>
          <w:kern w:val="0"/>
          <w:szCs w:val="21"/>
        </w:rPr>
      </w:pPr>
      <w:r>
        <w:rPr>
          <w:rFonts w:hint="eastAsia" w:ascii="Times New Roman" w:hAnsi="Times New Roman"/>
          <w:b/>
          <w:color w:val="000000"/>
          <w:kern w:val="0"/>
          <w:szCs w:val="21"/>
        </w:rPr>
        <w:t>第八条</w:t>
      </w:r>
      <w:r>
        <w:rPr>
          <w:rFonts w:ascii="Times New Roman" w:hAnsi="Times New Roman"/>
          <w:b/>
          <w:color w:val="000000"/>
          <w:kern w:val="0"/>
          <w:szCs w:val="21"/>
        </w:rPr>
        <w:t xml:space="preserve"> </w:t>
      </w:r>
      <w:r>
        <w:rPr>
          <w:rFonts w:hint="eastAsia" w:ascii="Times New Roman" w:hAnsi="Times New Roman"/>
          <w:b/>
          <w:color w:val="000000"/>
          <w:kern w:val="0"/>
          <w:szCs w:val="21"/>
        </w:rPr>
        <w:t>合同生效及备案</w:t>
      </w:r>
    </w:p>
    <w:p w14:paraId="316C12E9">
      <w:pPr>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before="156" w:line="360" w:lineRule="auto"/>
        <w:ind w:firstLine="420"/>
        <w:jc w:val="left"/>
        <w:rPr>
          <w:rFonts w:ascii="Times New Roman" w:hAnsi="Times New Roman"/>
          <w:color w:val="000000"/>
          <w:kern w:val="0"/>
          <w:szCs w:val="21"/>
        </w:rPr>
      </w:pPr>
      <w:r>
        <w:rPr>
          <w:rFonts w:ascii="Times New Roman" w:hAnsi="Times New Roman"/>
          <w:color w:val="000000"/>
          <w:kern w:val="0"/>
          <w:szCs w:val="21"/>
        </w:rPr>
        <w:t>1</w:t>
      </w:r>
      <w:r>
        <w:rPr>
          <w:rFonts w:hint="eastAsia" w:ascii="Times New Roman" w:hAnsi="Times New Roman"/>
          <w:color w:val="000000"/>
          <w:kern w:val="0"/>
          <w:szCs w:val="21"/>
        </w:rPr>
        <w:t>、合同经双方法定代表人或被授权人签字并加盖单位公章后生效。</w:t>
      </w:r>
    </w:p>
    <w:p w14:paraId="2E286A8E">
      <w:pPr>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before="156" w:line="360" w:lineRule="auto"/>
        <w:ind w:firstLine="420"/>
        <w:jc w:val="left"/>
        <w:rPr>
          <w:rFonts w:ascii="Times New Roman" w:hAnsi="Times New Roman"/>
          <w:color w:val="000000"/>
          <w:kern w:val="0"/>
          <w:szCs w:val="21"/>
        </w:rPr>
      </w:pPr>
      <w:r>
        <w:rPr>
          <w:rFonts w:ascii="Times New Roman" w:hAnsi="Times New Roman"/>
          <w:color w:val="000000"/>
          <w:kern w:val="0"/>
          <w:szCs w:val="21"/>
        </w:rPr>
        <w:t>2</w:t>
      </w:r>
      <w:r>
        <w:rPr>
          <w:rFonts w:hint="eastAsia" w:ascii="Times New Roman" w:hAnsi="Times New Roman"/>
          <w:color w:val="000000"/>
          <w:kern w:val="0"/>
          <w:szCs w:val="21"/>
        </w:rPr>
        <w:t>、合同执行中涉及采购资金和采购内容修改或补充的，须经财政部门审批，并签书面补充协议报政府部门备案，方可作为主合同不可分割的一部分。</w:t>
      </w:r>
    </w:p>
    <w:p w14:paraId="55B75253">
      <w:pPr>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before="156" w:line="360" w:lineRule="auto"/>
        <w:ind w:firstLine="420"/>
        <w:jc w:val="left"/>
        <w:rPr>
          <w:rFonts w:ascii="Times New Roman" w:hAnsi="Times New Roman"/>
          <w:color w:val="000000"/>
          <w:kern w:val="0"/>
          <w:szCs w:val="21"/>
        </w:rPr>
      </w:pPr>
      <w:r>
        <w:rPr>
          <w:rFonts w:ascii="Times New Roman" w:hAnsi="Times New Roman"/>
          <w:color w:val="000000"/>
          <w:kern w:val="0"/>
          <w:szCs w:val="21"/>
        </w:rPr>
        <w:t>3</w:t>
      </w:r>
      <w:r>
        <w:rPr>
          <w:rFonts w:hint="eastAsia" w:ascii="Times New Roman" w:hAnsi="Times New Roman"/>
          <w:color w:val="000000"/>
          <w:kern w:val="0"/>
          <w:szCs w:val="21"/>
        </w:rPr>
        <w:t>、本合同未尽事宜，遵照《</w:t>
      </w:r>
      <w:r>
        <w:rPr>
          <w:rFonts w:hint="eastAsia" w:ascii="Times New Roman" w:hAnsi="Times New Roman" w:cs="Arial"/>
          <w:color w:val="000000"/>
          <w:kern w:val="0"/>
          <w:szCs w:val="21"/>
        </w:rPr>
        <w:t>中华人民共和国民法典</w:t>
      </w:r>
      <w:r>
        <w:rPr>
          <w:rFonts w:hint="eastAsia" w:ascii="Times New Roman" w:hAnsi="Times New Roman"/>
          <w:color w:val="000000"/>
          <w:kern w:val="0"/>
          <w:szCs w:val="21"/>
        </w:rPr>
        <w:t>》有关条文执行。</w:t>
      </w:r>
    </w:p>
    <w:p w14:paraId="2CF38A7E">
      <w:pPr>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before="156" w:line="360" w:lineRule="auto"/>
        <w:ind w:firstLine="420"/>
        <w:jc w:val="left"/>
        <w:rPr>
          <w:rFonts w:ascii="Times New Roman" w:hAnsi="Times New Roman"/>
          <w:color w:val="000000"/>
          <w:kern w:val="0"/>
          <w:szCs w:val="21"/>
        </w:rPr>
      </w:pPr>
      <w:r>
        <w:rPr>
          <w:rFonts w:ascii="Times New Roman" w:hAnsi="Times New Roman"/>
          <w:color w:val="000000"/>
          <w:kern w:val="0"/>
          <w:szCs w:val="21"/>
        </w:rPr>
        <w:t>4</w:t>
      </w:r>
      <w:r>
        <w:rPr>
          <w:rFonts w:hint="eastAsia" w:ascii="Times New Roman" w:hAnsi="Times New Roman"/>
          <w:color w:val="000000"/>
          <w:kern w:val="0"/>
          <w:szCs w:val="21"/>
        </w:rPr>
        <w:t>、本合同一式五份，甲乙双方各执二份，一份送招标代理机构存档。</w:t>
      </w:r>
    </w:p>
    <w:p w14:paraId="3F83284F">
      <w:pPr>
        <w:rPr>
          <w:rFonts w:hint="eastAsia" w:ascii="Times New Roman" w:hAnsi="Times New Roman"/>
          <w:b/>
          <w:color w:val="000000"/>
          <w:kern w:val="0"/>
          <w:szCs w:val="21"/>
        </w:rPr>
      </w:pPr>
      <w:r>
        <w:rPr>
          <w:rFonts w:hint="eastAsia" w:ascii="Times New Roman" w:hAnsi="Times New Roman"/>
          <w:b/>
          <w:color w:val="000000"/>
          <w:kern w:val="0"/>
          <w:szCs w:val="21"/>
        </w:rPr>
        <w:br w:type="page"/>
      </w:r>
    </w:p>
    <w:p w14:paraId="41035EDB">
      <w:pPr>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before="156" w:line="360" w:lineRule="auto"/>
        <w:ind w:firstLine="422"/>
        <w:jc w:val="center"/>
        <w:rPr>
          <w:rFonts w:ascii="Times New Roman" w:hAnsi="Times New Roman"/>
          <w:b/>
          <w:color w:val="000000"/>
          <w:kern w:val="0"/>
          <w:szCs w:val="21"/>
        </w:rPr>
      </w:pPr>
      <w:r>
        <w:rPr>
          <w:rFonts w:hint="eastAsia" w:ascii="Times New Roman" w:hAnsi="Times New Roman"/>
          <w:b/>
          <w:color w:val="000000"/>
          <w:kern w:val="0"/>
          <w:szCs w:val="21"/>
        </w:rPr>
        <w:t>二、特殊专用条款部分</w:t>
      </w:r>
    </w:p>
    <w:p w14:paraId="16F9E32F">
      <w:pPr>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before="156" w:line="360" w:lineRule="auto"/>
        <w:ind w:firstLine="422"/>
        <w:jc w:val="center"/>
        <w:rPr>
          <w:rFonts w:hint="eastAsia" w:ascii="Times New Roman" w:hAnsi="Times New Roman" w:eastAsia="宋体" w:cs="Times New Roman"/>
          <w:b/>
          <w:color w:val="000000"/>
          <w:kern w:val="0"/>
          <w:szCs w:val="21"/>
        </w:rPr>
      </w:pPr>
      <w:r>
        <w:rPr>
          <w:rFonts w:hint="eastAsia" w:ascii="Times New Roman" w:hAnsi="Times New Roman" w:eastAsia="宋体" w:cs="Times New Roman"/>
          <w:b/>
          <w:color w:val="000000"/>
          <w:kern w:val="0"/>
          <w:szCs w:val="21"/>
        </w:rPr>
        <w:t>项目专用合同条款数据表</w:t>
      </w:r>
    </w:p>
    <w:p w14:paraId="5DB6D65D">
      <w:pPr>
        <w:spacing w:after="120" w:afterLines="50" w:line="360" w:lineRule="auto"/>
        <w:rPr>
          <w:rFonts w:ascii="宋体" w:hAnsi="宋体"/>
          <w:szCs w:val="21"/>
        </w:rPr>
      </w:pPr>
      <w:r>
        <w:rPr>
          <w:rFonts w:hint="eastAsia" w:ascii="宋体" w:hAnsi="宋体"/>
          <w:szCs w:val="21"/>
        </w:rPr>
        <w:t>说明：本数据表是项目专用合同条款中适用于本项目的信息和数据的归纳与提示，是专用合同条款的组成部分。</w:t>
      </w:r>
    </w:p>
    <w:tbl>
      <w:tblPr>
        <w:tblStyle w:val="51"/>
        <w:tblW w:w="9360" w:type="dxa"/>
        <w:tblInd w:w="10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20"/>
        <w:gridCol w:w="1340"/>
        <w:gridCol w:w="7200"/>
      </w:tblGrid>
      <w:tr w14:paraId="357AC8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6" w:hRule="atLeast"/>
        </w:trPr>
        <w:tc>
          <w:tcPr>
            <w:tcW w:w="820" w:type="dxa"/>
            <w:noWrap w:val="0"/>
            <w:vAlign w:val="center"/>
          </w:tcPr>
          <w:p w14:paraId="69D8017E">
            <w:pPr>
              <w:spacing w:line="360" w:lineRule="auto"/>
              <w:jc w:val="center"/>
              <w:rPr>
                <w:rFonts w:ascii="宋体" w:hAnsi="宋体"/>
                <w:b/>
                <w:szCs w:val="21"/>
              </w:rPr>
            </w:pPr>
            <w:r>
              <w:rPr>
                <w:rFonts w:ascii="宋体" w:hAnsi="宋体"/>
                <w:b/>
                <w:szCs w:val="21"/>
              </w:rPr>
              <w:t>序号</w:t>
            </w:r>
          </w:p>
        </w:tc>
        <w:tc>
          <w:tcPr>
            <w:tcW w:w="1340" w:type="dxa"/>
            <w:noWrap w:val="0"/>
            <w:vAlign w:val="center"/>
          </w:tcPr>
          <w:p w14:paraId="38008A7F">
            <w:pPr>
              <w:spacing w:line="360" w:lineRule="auto"/>
              <w:jc w:val="center"/>
              <w:rPr>
                <w:rFonts w:ascii="宋体" w:hAnsi="宋体"/>
                <w:b/>
                <w:szCs w:val="21"/>
              </w:rPr>
            </w:pPr>
            <w:r>
              <w:rPr>
                <w:rFonts w:ascii="宋体" w:hAnsi="宋体"/>
                <w:b/>
                <w:szCs w:val="21"/>
              </w:rPr>
              <w:t>条目号</w:t>
            </w:r>
          </w:p>
        </w:tc>
        <w:tc>
          <w:tcPr>
            <w:tcW w:w="7200" w:type="dxa"/>
            <w:noWrap w:val="0"/>
            <w:vAlign w:val="center"/>
          </w:tcPr>
          <w:p w14:paraId="4CEE5615">
            <w:pPr>
              <w:spacing w:line="360" w:lineRule="auto"/>
              <w:jc w:val="center"/>
              <w:rPr>
                <w:rFonts w:ascii="宋体" w:hAnsi="宋体"/>
                <w:b/>
                <w:szCs w:val="21"/>
              </w:rPr>
            </w:pPr>
            <w:r>
              <w:rPr>
                <w:rFonts w:ascii="宋体" w:hAnsi="宋体"/>
                <w:b/>
                <w:szCs w:val="21"/>
              </w:rPr>
              <w:t>信息或数据</w:t>
            </w:r>
          </w:p>
        </w:tc>
      </w:tr>
      <w:tr w14:paraId="7C0BBC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57" w:hRule="atLeast"/>
        </w:trPr>
        <w:tc>
          <w:tcPr>
            <w:tcW w:w="820" w:type="dxa"/>
            <w:noWrap w:val="0"/>
            <w:vAlign w:val="center"/>
          </w:tcPr>
          <w:p w14:paraId="5CC182EB">
            <w:pPr>
              <w:spacing w:line="360" w:lineRule="auto"/>
              <w:jc w:val="center"/>
              <w:rPr>
                <w:rFonts w:ascii="宋体" w:hAnsi="宋体"/>
                <w:szCs w:val="21"/>
                <w:highlight w:val="none"/>
              </w:rPr>
            </w:pPr>
            <w:r>
              <w:rPr>
                <w:rFonts w:ascii="宋体" w:hAnsi="宋体"/>
                <w:szCs w:val="21"/>
                <w:highlight w:val="none"/>
              </w:rPr>
              <w:t>1</w:t>
            </w:r>
          </w:p>
        </w:tc>
        <w:tc>
          <w:tcPr>
            <w:tcW w:w="1340" w:type="dxa"/>
            <w:noWrap w:val="0"/>
            <w:vAlign w:val="center"/>
          </w:tcPr>
          <w:p w14:paraId="16F62A76">
            <w:pPr>
              <w:spacing w:line="360" w:lineRule="auto"/>
              <w:jc w:val="center"/>
              <w:rPr>
                <w:rFonts w:ascii="宋体" w:hAnsi="宋体"/>
                <w:szCs w:val="21"/>
                <w:highlight w:val="none"/>
              </w:rPr>
            </w:pPr>
            <w:r>
              <w:rPr>
                <w:rFonts w:ascii="宋体" w:hAnsi="宋体"/>
                <w:szCs w:val="21"/>
                <w:highlight w:val="none"/>
              </w:rPr>
              <w:t>1.1.2.2</w:t>
            </w:r>
          </w:p>
        </w:tc>
        <w:tc>
          <w:tcPr>
            <w:tcW w:w="7200" w:type="dxa"/>
            <w:noWrap w:val="0"/>
            <w:vAlign w:val="center"/>
          </w:tcPr>
          <w:p w14:paraId="6E818E06">
            <w:pPr>
              <w:spacing w:line="360" w:lineRule="auto"/>
              <w:rPr>
                <w:rFonts w:ascii="宋体" w:hAnsi="宋体"/>
                <w:szCs w:val="21"/>
                <w:highlight w:val="none"/>
              </w:rPr>
            </w:pPr>
            <w:r>
              <w:rPr>
                <w:rFonts w:ascii="宋体" w:hAnsi="宋体"/>
                <w:szCs w:val="21"/>
                <w:highlight w:val="none"/>
              </w:rPr>
              <w:t>发 包 人：嘉兴市秀洲区公路与运输管理服务中心</w:t>
            </w:r>
          </w:p>
          <w:p w14:paraId="525882D2">
            <w:pPr>
              <w:spacing w:line="360" w:lineRule="auto"/>
              <w:rPr>
                <w:rFonts w:ascii="宋体" w:hAnsi="宋体"/>
                <w:szCs w:val="21"/>
                <w:highlight w:val="none"/>
              </w:rPr>
            </w:pPr>
            <w:r>
              <w:rPr>
                <w:rFonts w:ascii="宋体" w:hAnsi="宋体"/>
                <w:szCs w:val="21"/>
                <w:highlight w:val="none"/>
              </w:rPr>
              <w:t>地    址：嘉兴市秀洲区新平路117号秀洲交通大楼</w:t>
            </w:r>
          </w:p>
          <w:p w14:paraId="602B54E1">
            <w:pPr>
              <w:spacing w:line="360" w:lineRule="auto"/>
              <w:jc w:val="left"/>
              <w:rPr>
                <w:rFonts w:ascii="宋体" w:hAnsi="宋体"/>
                <w:szCs w:val="21"/>
                <w:highlight w:val="none"/>
              </w:rPr>
            </w:pPr>
            <w:r>
              <w:rPr>
                <w:rFonts w:ascii="宋体" w:hAnsi="宋体"/>
                <w:szCs w:val="21"/>
                <w:highlight w:val="none"/>
              </w:rPr>
              <w:t>邮政编码：314000</w:t>
            </w:r>
          </w:p>
        </w:tc>
      </w:tr>
      <w:tr w14:paraId="373AEB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1" w:hRule="exact"/>
        </w:trPr>
        <w:tc>
          <w:tcPr>
            <w:tcW w:w="820" w:type="dxa"/>
            <w:noWrap w:val="0"/>
            <w:vAlign w:val="center"/>
          </w:tcPr>
          <w:p w14:paraId="353A6A01">
            <w:pPr>
              <w:spacing w:line="360" w:lineRule="auto"/>
              <w:jc w:val="center"/>
              <w:rPr>
                <w:rFonts w:ascii="宋体" w:hAnsi="宋体"/>
                <w:szCs w:val="21"/>
                <w:highlight w:val="none"/>
              </w:rPr>
            </w:pPr>
            <w:r>
              <w:rPr>
                <w:rFonts w:ascii="宋体" w:hAnsi="宋体"/>
                <w:szCs w:val="21"/>
                <w:highlight w:val="none"/>
              </w:rPr>
              <w:t>2</w:t>
            </w:r>
          </w:p>
        </w:tc>
        <w:tc>
          <w:tcPr>
            <w:tcW w:w="1340" w:type="dxa"/>
            <w:noWrap w:val="0"/>
            <w:vAlign w:val="center"/>
          </w:tcPr>
          <w:p w14:paraId="09D38A6A">
            <w:pPr>
              <w:spacing w:line="360" w:lineRule="auto"/>
              <w:jc w:val="center"/>
              <w:rPr>
                <w:rFonts w:ascii="宋体" w:hAnsi="宋体"/>
                <w:szCs w:val="21"/>
                <w:highlight w:val="none"/>
              </w:rPr>
            </w:pPr>
            <w:r>
              <w:rPr>
                <w:rFonts w:ascii="宋体" w:hAnsi="宋体"/>
                <w:szCs w:val="21"/>
                <w:highlight w:val="none"/>
              </w:rPr>
              <w:t>1.1.2.6</w:t>
            </w:r>
          </w:p>
        </w:tc>
        <w:tc>
          <w:tcPr>
            <w:tcW w:w="7200" w:type="dxa"/>
            <w:noWrap w:val="0"/>
            <w:vAlign w:val="center"/>
          </w:tcPr>
          <w:p w14:paraId="76A760FA">
            <w:pPr>
              <w:spacing w:line="360" w:lineRule="auto"/>
              <w:jc w:val="left"/>
              <w:rPr>
                <w:rFonts w:ascii="宋体" w:hAnsi="宋体"/>
                <w:szCs w:val="21"/>
                <w:highlight w:val="none"/>
              </w:rPr>
            </w:pPr>
            <w:r>
              <w:rPr>
                <w:rFonts w:ascii="宋体" w:hAnsi="宋体"/>
                <w:szCs w:val="21"/>
                <w:highlight w:val="none"/>
              </w:rPr>
              <w:t>监理人：</w:t>
            </w:r>
          </w:p>
          <w:p w14:paraId="62148BE5">
            <w:pPr>
              <w:spacing w:line="360" w:lineRule="auto"/>
              <w:rPr>
                <w:rFonts w:ascii="宋体" w:hAnsi="宋体"/>
                <w:szCs w:val="21"/>
                <w:highlight w:val="none"/>
              </w:rPr>
            </w:pPr>
            <w:r>
              <w:rPr>
                <w:rFonts w:ascii="宋体" w:hAnsi="宋体"/>
                <w:szCs w:val="21"/>
                <w:highlight w:val="none"/>
              </w:rPr>
              <w:t>地  址：                       邮政编码：</w:t>
            </w:r>
          </w:p>
        </w:tc>
      </w:tr>
      <w:tr w14:paraId="6EC445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1" w:hRule="atLeast"/>
        </w:trPr>
        <w:tc>
          <w:tcPr>
            <w:tcW w:w="820" w:type="dxa"/>
            <w:noWrap w:val="0"/>
            <w:vAlign w:val="center"/>
          </w:tcPr>
          <w:p w14:paraId="495491A9">
            <w:pPr>
              <w:spacing w:line="360" w:lineRule="auto"/>
              <w:jc w:val="center"/>
              <w:rPr>
                <w:rFonts w:ascii="宋体" w:hAnsi="宋体"/>
                <w:szCs w:val="21"/>
                <w:highlight w:val="none"/>
              </w:rPr>
            </w:pPr>
            <w:r>
              <w:rPr>
                <w:rFonts w:ascii="宋体" w:hAnsi="宋体"/>
                <w:szCs w:val="21"/>
                <w:highlight w:val="none"/>
              </w:rPr>
              <w:t>3</w:t>
            </w:r>
          </w:p>
        </w:tc>
        <w:tc>
          <w:tcPr>
            <w:tcW w:w="1340" w:type="dxa"/>
            <w:noWrap w:val="0"/>
            <w:vAlign w:val="center"/>
          </w:tcPr>
          <w:p w14:paraId="52A55612">
            <w:pPr>
              <w:spacing w:line="360" w:lineRule="auto"/>
              <w:jc w:val="center"/>
              <w:rPr>
                <w:rFonts w:ascii="宋体" w:hAnsi="宋体"/>
                <w:szCs w:val="21"/>
                <w:highlight w:val="none"/>
              </w:rPr>
            </w:pPr>
            <w:r>
              <w:rPr>
                <w:rFonts w:ascii="宋体" w:hAnsi="宋体"/>
                <w:szCs w:val="21"/>
                <w:highlight w:val="none"/>
              </w:rPr>
              <w:t>1.1.4.5</w:t>
            </w:r>
          </w:p>
        </w:tc>
        <w:tc>
          <w:tcPr>
            <w:tcW w:w="7200" w:type="dxa"/>
            <w:noWrap w:val="0"/>
            <w:vAlign w:val="center"/>
          </w:tcPr>
          <w:p w14:paraId="7B759F83">
            <w:pPr>
              <w:spacing w:line="360" w:lineRule="auto"/>
              <w:jc w:val="left"/>
              <w:rPr>
                <w:rFonts w:ascii="宋体" w:hAnsi="宋体"/>
                <w:szCs w:val="21"/>
                <w:highlight w:val="none"/>
              </w:rPr>
            </w:pPr>
            <w:r>
              <w:rPr>
                <w:rFonts w:ascii="宋体" w:hAnsi="宋体"/>
                <w:szCs w:val="21"/>
                <w:highlight w:val="none"/>
              </w:rPr>
              <w:t>缺陷责任期：</w:t>
            </w:r>
            <w:r>
              <w:rPr>
                <w:rFonts w:hint="eastAsia" w:ascii="宋体" w:hAnsi="宋体" w:cs="宋体"/>
                <w:color w:val="000000"/>
                <w:szCs w:val="21"/>
                <w:highlight w:val="none"/>
              </w:rPr>
              <w:t>自验收合格之日起3个月</w:t>
            </w:r>
          </w:p>
        </w:tc>
      </w:tr>
      <w:tr w14:paraId="1DF420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1" w:hRule="exact"/>
        </w:trPr>
        <w:tc>
          <w:tcPr>
            <w:tcW w:w="820" w:type="dxa"/>
            <w:noWrap w:val="0"/>
            <w:vAlign w:val="center"/>
          </w:tcPr>
          <w:p w14:paraId="7D4BC724">
            <w:pPr>
              <w:spacing w:line="360" w:lineRule="auto"/>
              <w:jc w:val="center"/>
              <w:rPr>
                <w:rFonts w:ascii="宋体" w:hAnsi="宋体"/>
                <w:szCs w:val="21"/>
                <w:highlight w:val="none"/>
              </w:rPr>
            </w:pPr>
            <w:r>
              <w:rPr>
                <w:rFonts w:ascii="宋体" w:hAnsi="宋体"/>
                <w:szCs w:val="21"/>
                <w:highlight w:val="none"/>
              </w:rPr>
              <w:t>4</w:t>
            </w:r>
          </w:p>
        </w:tc>
        <w:tc>
          <w:tcPr>
            <w:tcW w:w="1340" w:type="dxa"/>
            <w:noWrap w:val="0"/>
            <w:vAlign w:val="center"/>
          </w:tcPr>
          <w:p w14:paraId="50D32EA5">
            <w:pPr>
              <w:spacing w:line="360" w:lineRule="auto"/>
              <w:jc w:val="center"/>
              <w:rPr>
                <w:rFonts w:ascii="宋体" w:hAnsi="宋体"/>
                <w:szCs w:val="21"/>
                <w:highlight w:val="none"/>
              </w:rPr>
            </w:pPr>
            <w:r>
              <w:rPr>
                <w:rFonts w:ascii="宋体" w:hAnsi="宋体"/>
                <w:szCs w:val="21"/>
                <w:highlight w:val="none"/>
              </w:rPr>
              <w:t>1.6.3</w:t>
            </w:r>
          </w:p>
        </w:tc>
        <w:tc>
          <w:tcPr>
            <w:tcW w:w="7200" w:type="dxa"/>
            <w:noWrap w:val="0"/>
            <w:vAlign w:val="center"/>
          </w:tcPr>
          <w:p w14:paraId="549E001B">
            <w:pPr>
              <w:spacing w:line="360" w:lineRule="auto"/>
              <w:jc w:val="left"/>
              <w:rPr>
                <w:rFonts w:ascii="宋体" w:hAnsi="宋体"/>
                <w:szCs w:val="21"/>
                <w:highlight w:val="none"/>
              </w:rPr>
            </w:pPr>
            <w:r>
              <w:rPr>
                <w:rFonts w:hint="eastAsia" w:ascii="宋体" w:hAnsi="宋体"/>
                <w:szCs w:val="21"/>
                <w:highlight w:val="none"/>
              </w:rPr>
              <w:t xml:space="preserve">图纸需要修改和补充的，应由监理人取得发包人同意后，在该工程或工程相应部位施工前 </w:t>
            </w:r>
            <w:r>
              <w:rPr>
                <w:rFonts w:ascii="宋体" w:hAnsi="宋体"/>
                <w:szCs w:val="21"/>
                <w:highlight w:val="none"/>
              </w:rPr>
              <w:t>14</w:t>
            </w:r>
            <w:r>
              <w:rPr>
                <w:rFonts w:hint="eastAsia" w:ascii="宋体" w:hAnsi="宋体"/>
                <w:szCs w:val="21"/>
                <w:highlight w:val="none"/>
              </w:rPr>
              <w:t>天内签发图纸修改图给承包人</w:t>
            </w:r>
          </w:p>
        </w:tc>
      </w:tr>
      <w:tr w14:paraId="0AF148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7" w:hRule="exact"/>
        </w:trPr>
        <w:tc>
          <w:tcPr>
            <w:tcW w:w="820" w:type="dxa"/>
            <w:noWrap w:val="0"/>
            <w:vAlign w:val="center"/>
          </w:tcPr>
          <w:p w14:paraId="4EECC4C9">
            <w:pPr>
              <w:spacing w:line="360" w:lineRule="auto"/>
              <w:jc w:val="center"/>
              <w:rPr>
                <w:rFonts w:ascii="宋体" w:hAnsi="宋体"/>
                <w:szCs w:val="21"/>
                <w:highlight w:val="none"/>
              </w:rPr>
            </w:pPr>
            <w:r>
              <w:rPr>
                <w:rFonts w:ascii="宋体" w:hAnsi="宋体"/>
                <w:szCs w:val="21"/>
                <w:highlight w:val="none"/>
              </w:rPr>
              <w:t>5</w:t>
            </w:r>
          </w:p>
        </w:tc>
        <w:tc>
          <w:tcPr>
            <w:tcW w:w="1340" w:type="dxa"/>
            <w:noWrap w:val="0"/>
            <w:vAlign w:val="center"/>
          </w:tcPr>
          <w:p w14:paraId="18E15600">
            <w:pPr>
              <w:spacing w:line="360" w:lineRule="auto"/>
              <w:jc w:val="center"/>
              <w:rPr>
                <w:rFonts w:ascii="宋体" w:hAnsi="宋体"/>
                <w:szCs w:val="21"/>
                <w:highlight w:val="none"/>
              </w:rPr>
            </w:pPr>
            <w:r>
              <w:rPr>
                <w:rFonts w:ascii="宋体" w:hAnsi="宋体"/>
                <w:szCs w:val="21"/>
                <w:highlight w:val="none"/>
              </w:rPr>
              <w:t>3.1.1</w:t>
            </w:r>
          </w:p>
        </w:tc>
        <w:tc>
          <w:tcPr>
            <w:tcW w:w="7200" w:type="dxa"/>
            <w:noWrap w:val="0"/>
            <w:vAlign w:val="center"/>
          </w:tcPr>
          <w:p w14:paraId="7C597D4C">
            <w:pPr>
              <w:spacing w:line="360" w:lineRule="auto"/>
              <w:jc w:val="left"/>
              <w:rPr>
                <w:rFonts w:ascii="宋体" w:hAnsi="宋体"/>
                <w:szCs w:val="21"/>
                <w:highlight w:val="none"/>
              </w:rPr>
            </w:pPr>
            <w:r>
              <w:rPr>
                <w:rFonts w:hint="eastAsia" w:ascii="宋体" w:hAnsi="宋体" w:cs="宋体"/>
                <w:color w:val="000000"/>
                <w:szCs w:val="21"/>
                <w:highlight w:val="none"/>
              </w:rPr>
              <w:t>本项目不适用</w:t>
            </w:r>
          </w:p>
        </w:tc>
      </w:tr>
      <w:tr w14:paraId="6E7572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0" w:hRule="exact"/>
        </w:trPr>
        <w:tc>
          <w:tcPr>
            <w:tcW w:w="820" w:type="dxa"/>
            <w:noWrap w:val="0"/>
            <w:vAlign w:val="center"/>
          </w:tcPr>
          <w:p w14:paraId="29E527E3">
            <w:pPr>
              <w:spacing w:line="360" w:lineRule="auto"/>
              <w:jc w:val="center"/>
              <w:rPr>
                <w:rFonts w:ascii="宋体" w:hAnsi="宋体"/>
                <w:szCs w:val="21"/>
                <w:highlight w:val="none"/>
              </w:rPr>
            </w:pPr>
            <w:r>
              <w:rPr>
                <w:rFonts w:ascii="宋体" w:hAnsi="宋体"/>
                <w:szCs w:val="21"/>
                <w:highlight w:val="none"/>
              </w:rPr>
              <w:t>6</w:t>
            </w:r>
          </w:p>
        </w:tc>
        <w:tc>
          <w:tcPr>
            <w:tcW w:w="1340" w:type="dxa"/>
            <w:noWrap w:val="0"/>
            <w:vAlign w:val="center"/>
          </w:tcPr>
          <w:p w14:paraId="7AE3C15D">
            <w:pPr>
              <w:spacing w:line="360" w:lineRule="auto"/>
              <w:jc w:val="center"/>
              <w:rPr>
                <w:rFonts w:ascii="宋体" w:hAnsi="宋体"/>
                <w:szCs w:val="21"/>
                <w:highlight w:val="none"/>
              </w:rPr>
            </w:pPr>
            <w:r>
              <w:rPr>
                <w:rFonts w:ascii="宋体" w:hAnsi="宋体"/>
                <w:szCs w:val="21"/>
                <w:highlight w:val="none"/>
              </w:rPr>
              <w:t>5.2.1</w:t>
            </w:r>
          </w:p>
        </w:tc>
        <w:tc>
          <w:tcPr>
            <w:tcW w:w="7200" w:type="dxa"/>
            <w:noWrap w:val="0"/>
            <w:vAlign w:val="center"/>
          </w:tcPr>
          <w:p w14:paraId="1B858E0F">
            <w:pPr>
              <w:spacing w:line="360" w:lineRule="auto"/>
              <w:jc w:val="left"/>
              <w:rPr>
                <w:rFonts w:ascii="宋体" w:hAnsi="宋体"/>
                <w:szCs w:val="21"/>
                <w:highlight w:val="none"/>
              </w:rPr>
            </w:pPr>
            <w:r>
              <w:rPr>
                <w:rFonts w:ascii="宋体" w:hAnsi="宋体"/>
                <w:szCs w:val="21"/>
                <w:highlight w:val="none"/>
              </w:rPr>
              <w:t>发包人是否提供材料：</w:t>
            </w:r>
            <w:r>
              <w:rPr>
                <w:rFonts w:ascii="宋体" w:hAnsi="宋体"/>
                <w:szCs w:val="21"/>
                <w:highlight w:val="none"/>
                <w:u w:val="single"/>
              </w:rPr>
              <w:t xml:space="preserve"> 否 </w:t>
            </w:r>
            <w:r>
              <w:rPr>
                <w:rFonts w:ascii="宋体" w:hAnsi="宋体"/>
                <w:szCs w:val="21"/>
                <w:highlight w:val="none"/>
              </w:rPr>
              <w:t xml:space="preserve"> </w:t>
            </w:r>
          </w:p>
        </w:tc>
      </w:tr>
      <w:tr w14:paraId="1A3AE3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0" w:hRule="exact"/>
        </w:trPr>
        <w:tc>
          <w:tcPr>
            <w:tcW w:w="820" w:type="dxa"/>
            <w:noWrap w:val="0"/>
            <w:vAlign w:val="center"/>
          </w:tcPr>
          <w:p w14:paraId="609704F6">
            <w:pPr>
              <w:spacing w:line="360" w:lineRule="auto"/>
              <w:jc w:val="center"/>
              <w:rPr>
                <w:rFonts w:ascii="宋体" w:hAnsi="宋体"/>
                <w:szCs w:val="21"/>
                <w:highlight w:val="none"/>
              </w:rPr>
            </w:pPr>
            <w:r>
              <w:rPr>
                <w:rFonts w:ascii="宋体" w:hAnsi="宋体"/>
                <w:szCs w:val="21"/>
                <w:highlight w:val="none"/>
              </w:rPr>
              <w:t>7</w:t>
            </w:r>
          </w:p>
        </w:tc>
        <w:tc>
          <w:tcPr>
            <w:tcW w:w="1340" w:type="dxa"/>
            <w:noWrap w:val="0"/>
            <w:vAlign w:val="center"/>
          </w:tcPr>
          <w:p w14:paraId="6D83F85F">
            <w:pPr>
              <w:spacing w:line="360" w:lineRule="auto"/>
              <w:jc w:val="center"/>
              <w:rPr>
                <w:rFonts w:ascii="宋体" w:hAnsi="宋体"/>
                <w:szCs w:val="21"/>
                <w:highlight w:val="none"/>
              </w:rPr>
            </w:pPr>
            <w:r>
              <w:rPr>
                <w:rFonts w:ascii="宋体" w:hAnsi="宋体"/>
                <w:szCs w:val="21"/>
                <w:highlight w:val="none"/>
              </w:rPr>
              <w:t>6.2</w:t>
            </w:r>
          </w:p>
        </w:tc>
        <w:tc>
          <w:tcPr>
            <w:tcW w:w="7200" w:type="dxa"/>
            <w:noWrap w:val="0"/>
            <w:vAlign w:val="center"/>
          </w:tcPr>
          <w:p w14:paraId="6B0A064A">
            <w:pPr>
              <w:spacing w:line="360" w:lineRule="auto"/>
              <w:jc w:val="left"/>
              <w:rPr>
                <w:rFonts w:ascii="宋体" w:hAnsi="宋体"/>
                <w:szCs w:val="21"/>
                <w:highlight w:val="none"/>
              </w:rPr>
            </w:pPr>
            <w:r>
              <w:rPr>
                <w:rFonts w:ascii="宋体" w:hAnsi="宋体"/>
                <w:szCs w:val="21"/>
                <w:highlight w:val="none"/>
              </w:rPr>
              <w:t>发包人是否提供施工设备和临时设施：</w:t>
            </w:r>
            <w:r>
              <w:rPr>
                <w:rFonts w:ascii="宋体" w:hAnsi="宋体"/>
                <w:szCs w:val="21"/>
                <w:highlight w:val="none"/>
                <w:u w:val="single"/>
              </w:rPr>
              <w:t xml:space="preserve">  否  </w:t>
            </w:r>
            <w:r>
              <w:rPr>
                <w:rFonts w:ascii="宋体" w:hAnsi="宋体"/>
                <w:szCs w:val="21"/>
                <w:highlight w:val="none"/>
              </w:rPr>
              <w:t xml:space="preserve"> </w:t>
            </w:r>
          </w:p>
        </w:tc>
      </w:tr>
      <w:tr w14:paraId="326D5C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0" w:hRule="exact"/>
        </w:trPr>
        <w:tc>
          <w:tcPr>
            <w:tcW w:w="820" w:type="dxa"/>
            <w:noWrap w:val="0"/>
            <w:vAlign w:val="center"/>
          </w:tcPr>
          <w:p w14:paraId="7B5D4E97">
            <w:pPr>
              <w:spacing w:line="360" w:lineRule="auto"/>
              <w:jc w:val="center"/>
              <w:rPr>
                <w:rFonts w:ascii="宋体" w:hAnsi="宋体"/>
                <w:szCs w:val="21"/>
                <w:highlight w:val="none"/>
              </w:rPr>
            </w:pPr>
            <w:r>
              <w:rPr>
                <w:rFonts w:ascii="宋体" w:hAnsi="宋体"/>
                <w:szCs w:val="21"/>
                <w:highlight w:val="none"/>
              </w:rPr>
              <w:t>8</w:t>
            </w:r>
          </w:p>
        </w:tc>
        <w:tc>
          <w:tcPr>
            <w:tcW w:w="1340" w:type="dxa"/>
            <w:noWrap w:val="0"/>
            <w:vAlign w:val="center"/>
          </w:tcPr>
          <w:p w14:paraId="7A3951A8">
            <w:pPr>
              <w:spacing w:line="360" w:lineRule="auto"/>
              <w:jc w:val="center"/>
              <w:rPr>
                <w:rFonts w:ascii="宋体" w:hAnsi="宋体"/>
                <w:szCs w:val="21"/>
                <w:highlight w:val="none"/>
              </w:rPr>
            </w:pPr>
            <w:r>
              <w:rPr>
                <w:rFonts w:ascii="宋体" w:hAnsi="宋体"/>
                <w:szCs w:val="21"/>
                <w:highlight w:val="none"/>
              </w:rPr>
              <w:t>11.5</w:t>
            </w:r>
          </w:p>
        </w:tc>
        <w:tc>
          <w:tcPr>
            <w:tcW w:w="7200" w:type="dxa"/>
            <w:noWrap w:val="0"/>
            <w:vAlign w:val="center"/>
          </w:tcPr>
          <w:p w14:paraId="79180CD7">
            <w:pPr>
              <w:spacing w:line="360" w:lineRule="auto"/>
              <w:jc w:val="left"/>
              <w:rPr>
                <w:rFonts w:ascii="宋体" w:hAnsi="宋体"/>
                <w:szCs w:val="21"/>
                <w:highlight w:val="none"/>
              </w:rPr>
            </w:pPr>
            <w:r>
              <w:rPr>
                <w:rFonts w:ascii="宋体" w:hAnsi="宋体"/>
                <w:szCs w:val="21"/>
                <w:highlight w:val="none"/>
              </w:rPr>
              <w:t>逾期交工违约金：</w:t>
            </w:r>
            <w:r>
              <w:rPr>
                <w:rFonts w:hint="eastAsia" w:ascii="宋体" w:hAnsi="宋体" w:cs="宋体"/>
                <w:color w:val="000000"/>
                <w:szCs w:val="21"/>
                <w:highlight w:val="none"/>
              </w:rPr>
              <w:t>/</w:t>
            </w:r>
          </w:p>
        </w:tc>
      </w:tr>
      <w:tr w14:paraId="6274E5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0" w:hRule="exact"/>
        </w:trPr>
        <w:tc>
          <w:tcPr>
            <w:tcW w:w="820" w:type="dxa"/>
            <w:noWrap w:val="0"/>
            <w:vAlign w:val="center"/>
          </w:tcPr>
          <w:p w14:paraId="0655E142">
            <w:pPr>
              <w:spacing w:line="360" w:lineRule="auto"/>
              <w:jc w:val="center"/>
              <w:rPr>
                <w:rFonts w:ascii="宋体" w:hAnsi="宋体"/>
                <w:szCs w:val="21"/>
                <w:highlight w:val="none"/>
              </w:rPr>
            </w:pPr>
            <w:r>
              <w:rPr>
                <w:rFonts w:ascii="宋体" w:hAnsi="宋体"/>
                <w:szCs w:val="21"/>
                <w:highlight w:val="none"/>
              </w:rPr>
              <w:t>9</w:t>
            </w:r>
          </w:p>
        </w:tc>
        <w:tc>
          <w:tcPr>
            <w:tcW w:w="1340" w:type="dxa"/>
            <w:noWrap w:val="0"/>
            <w:vAlign w:val="center"/>
          </w:tcPr>
          <w:p w14:paraId="2ECA7451">
            <w:pPr>
              <w:spacing w:line="360" w:lineRule="auto"/>
              <w:jc w:val="center"/>
              <w:rPr>
                <w:rFonts w:ascii="宋体" w:hAnsi="宋体"/>
                <w:szCs w:val="21"/>
                <w:highlight w:val="none"/>
              </w:rPr>
            </w:pPr>
            <w:r>
              <w:rPr>
                <w:rFonts w:ascii="宋体" w:hAnsi="宋体"/>
                <w:szCs w:val="21"/>
                <w:highlight w:val="none"/>
              </w:rPr>
              <w:t>11.5</w:t>
            </w:r>
          </w:p>
        </w:tc>
        <w:tc>
          <w:tcPr>
            <w:tcW w:w="7200" w:type="dxa"/>
            <w:noWrap w:val="0"/>
            <w:vAlign w:val="center"/>
          </w:tcPr>
          <w:p w14:paraId="0F5C550C">
            <w:pPr>
              <w:spacing w:line="360" w:lineRule="auto"/>
              <w:jc w:val="left"/>
              <w:rPr>
                <w:rFonts w:ascii="宋体" w:hAnsi="宋体"/>
                <w:szCs w:val="21"/>
                <w:highlight w:val="none"/>
              </w:rPr>
            </w:pPr>
            <w:r>
              <w:rPr>
                <w:rFonts w:ascii="宋体" w:hAnsi="宋体"/>
                <w:szCs w:val="21"/>
                <w:highlight w:val="none"/>
              </w:rPr>
              <w:t>逾期交工违约金限额：</w:t>
            </w:r>
            <w:r>
              <w:rPr>
                <w:rFonts w:ascii="宋体" w:hAnsi="宋体"/>
                <w:szCs w:val="21"/>
                <w:highlight w:val="none"/>
                <w:u w:val="single"/>
              </w:rPr>
              <w:t xml:space="preserve"> 10 </w:t>
            </w:r>
            <w:r>
              <w:rPr>
                <w:rFonts w:ascii="宋体" w:hAnsi="宋体"/>
                <w:szCs w:val="21"/>
                <w:highlight w:val="none"/>
              </w:rPr>
              <w:t>%签约合同价</w:t>
            </w:r>
          </w:p>
        </w:tc>
      </w:tr>
      <w:tr w14:paraId="2BA26B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0" w:hRule="exact"/>
        </w:trPr>
        <w:tc>
          <w:tcPr>
            <w:tcW w:w="820" w:type="dxa"/>
            <w:noWrap w:val="0"/>
            <w:vAlign w:val="center"/>
          </w:tcPr>
          <w:p w14:paraId="64954E27">
            <w:pPr>
              <w:spacing w:line="360" w:lineRule="auto"/>
              <w:jc w:val="center"/>
              <w:rPr>
                <w:rFonts w:ascii="宋体" w:hAnsi="宋体"/>
                <w:szCs w:val="21"/>
                <w:highlight w:val="none"/>
              </w:rPr>
            </w:pPr>
            <w:r>
              <w:rPr>
                <w:rFonts w:ascii="宋体" w:hAnsi="宋体"/>
                <w:szCs w:val="21"/>
                <w:highlight w:val="none"/>
              </w:rPr>
              <w:t>10</w:t>
            </w:r>
          </w:p>
        </w:tc>
        <w:tc>
          <w:tcPr>
            <w:tcW w:w="1340" w:type="dxa"/>
            <w:noWrap w:val="0"/>
            <w:vAlign w:val="center"/>
          </w:tcPr>
          <w:p w14:paraId="7D81438C">
            <w:pPr>
              <w:spacing w:line="360" w:lineRule="auto"/>
              <w:jc w:val="center"/>
              <w:rPr>
                <w:rFonts w:ascii="宋体" w:hAnsi="宋体"/>
                <w:szCs w:val="21"/>
                <w:highlight w:val="none"/>
              </w:rPr>
            </w:pPr>
            <w:r>
              <w:rPr>
                <w:rFonts w:ascii="宋体" w:hAnsi="宋体"/>
                <w:szCs w:val="21"/>
                <w:highlight w:val="none"/>
              </w:rPr>
              <w:t>11.6</w:t>
            </w:r>
          </w:p>
        </w:tc>
        <w:tc>
          <w:tcPr>
            <w:tcW w:w="7200" w:type="dxa"/>
            <w:noWrap w:val="0"/>
            <w:vAlign w:val="center"/>
          </w:tcPr>
          <w:p w14:paraId="48B3CB1F">
            <w:pPr>
              <w:spacing w:line="360" w:lineRule="auto"/>
              <w:jc w:val="left"/>
              <w:rPr>
                <w:rFonts w:ascii="宋体" w:hAnsi="宋体"/>
                <w:szCs w:val="21"/>
                <w:highlight w:val="none"/>
              </w:rPr>
            </w:pPr>
            <w:r>
              <w:rPr>
                <w:rFonts w:ascii="宋体" w:hAnsi="宋体"/>
                <w:szCs w:val="21"/>
                <w:highlight w:val="none"/>
              </w:rPr>
              <w:t>提前交工的奖金：无</w:t>
            </w:r>
          </w:p>
        </w:tc>
      </w:tr>
      <w:tr w14:paraId="34D39C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8" w:hRule="exact"/>
        </w:trPr>
        <w:tc>
          <w:tcPr>
            <w:tcW w:w="820" w:type="dxa"/>
            <w:noWrap w:val="0"/>
            <w:vAlign w:val="center"/>
          </w:tcPr>
          <w:p w14:paraId="786CC370">
            <w:pPr>
              <w:spacing w:line="360" w:lineRule="auto"/>
              <w:jc w:val="center"/>
              <w:rPr>
                <w:rFonts w:ascii="宋体" w:hAnsi="宋体"/>
                <w:szCs w:val="21"/>
                <w:highlight w:val="none"/>
              </w:rPr>
            </w:pPr>
            <w:r>
              <w:rPr>
                <w:rFonts w:ascii="宋体" w:hAnsi="宋体"/>
                <w:szCs w:val="21"/>
                <w:highlight w:val="none"/>
              </w:rPr>
              <w:t>11</w:t>
            </w:r>
          </w:p>
        </w:tc>
        <w:tc>
          <w:tcPr>
            <w:tcW w:w="1340" w:type="dxa"/>
            <w:noWrap w:val="0"/>
            <w:vAlign w:val="center"/>
          </w:tcPr>
          <w:p w14:paraId="7579C69A">
            <w:pPr>
              <w:spacing w:line="360" w:lineRule="auto"/>
              <w:jc w:val="center"/>
              <w:rPr>
                <w:rFonts w:ascii="宋体" w:hAnsi="宋体"/>
                <w:szCs w:val="21"/>
                <w:highlight w:val="none"/>
              </w:rPr>
            </w:pPr>
            <w:r>
              <w:rPr>
                <w:rFonts w:ascii="宋体" w:hAnsi="宋体"/>
                <w:szCs w:val="21"/>
                <w:highlight w:val="none"/>
              </w:rPr>
              <w:t>11.6</w:t>
            </w:r>
          </w:p>
        </w:tc>
        <w:tc>
          <w:tcPr>
            <w:tcW w:w="7200" w:type="dxa"/>
            <w:noWrap w:val="0"/>
            <w:vAlign w:val="center"/>
          </w:tcPr>
          <w:p w14:paraId="6ED72077">
            <w:pPr>
              <w:spacing w:line="360" w:lineRule="auto"/>
              <w:jc w:val="left"/>
              <w:rPr>
                <w:rFonts w:ascii="宋体" w:hAnsi="宋体" w:cs="Times New Roman"/>
                <w:szCs w:val="21"/>
                <w:highlight w:val="none"/>
              </w:rPr>
            </w:pPr>
            <w:r>
              <w:rPr>
                <w:rFonts w:ascii="宋体" w:hAnsi="宋体" w:cs="Times New Roman"/>
                <w:szCs w:val="21"/>
                <w:highlight w:val="none"/>
              </w:rPr>
              <w:t xml:space="preserve">提前交工的奖金限额：无 </w:t>
            </w:r>
          </w:p>
        </w:tc>
      </w:tr>
      <w:tr w14:paraId="7B46D5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0" w:hRule="exact"/>
        </w:trPr>
        <w:tc>
          <w:tcPr>
            <w:tcW w:w="820" w:type="dxa"/>
            <w:noWrap w:val="0"/>
            <w:vAlign w:val="center"/>
          </w:tcPr>
          <w:p w14:paraId="28C2B579">
            <w:pPr>
              <w:spacing w:line="360" w:lineRule="auto"/>
              <w:jc w:val="center"/>
              <w:rPr>
                <w:rFonts w:ascii="宋体" w:hAnsi="宋体"/>
                <w:szCs w:val="21"/>
                <w:highlight w:val="none"/>
              </w:rPr>
            </w:pPr>
            <w:r>
              <w:rPr>
                <w:rFonts w:ascii="宋体" w:hAnsi="宋体"/>
                <w:szCs w:val="21"/>
                <w:highlight w:val="none"/>
              </w:rPr>
              <w:t>12</w:t>
            </w:r>
          </w:p>
        </w:tc>
        <w:tc>
          <w:tcPr>
            <w:tcW w:w="1340" w:type="dxa"/>
            <w:noWrap w:val="0"/>
            <w:vAlign w:val="center"/>
          </w:tcPr>
          <w:p w14:paraId="6F4C53D3">
            <w:pPr>
              <w:spacing w:line="360" w:lineRule="auto"/>
              <w:jc w:val="center"/>
              <w:rPr>
                <w:rFonts w:ascii="宋体" w:hAnsi="宋体"/>
                <w:szCs w:val="21"/>
                <w:highlight w:val="none"/>
              </w:rPr>
            </w:pPr>
            <w:r>
              <w:rPr>
                <w:rFonts w:ascii="宋体" w:hAnsi="宋体"/>
                <w:szCs w:val="21"/>
                <w:highlight w:val="none"/>
              </w:rPr>
              <w:t>16.1</w:t>
            </w:r>
          </w:p>
        </w:tc>
        <w:tc>
          <w:tcPr>
            <w:tcW w:w="7200" w:type="dxa"/>
            <w:noWrap w:val="0"/>
            <w:vAlign w:val="center"/>
          </w:tcPr>
          <w:p w14:paraId="72952B9F">
            <w:pPr>
              <w:spacing w:line="360" w:lineRule="auto"/>
              <w:jc w:val="left"/>
              <w:rPr>
                <w:rFonts w:ascii="宋体" w:hAnsi="宋体" w:cs="Times New Roman"/>
                <w:szCs w:val="21"/>
                <w:highlight w:val="none"/>
              </w:rPr>
            </w:pPr>
            <w:r>
              <w:rPr>
                <w:rFonts w:hint="eastAsia" w:ascii="宋体" w:hAnsi="宋体" w:cs="Times New Roman"/>
                <w:szCs w:val="21"/>
                <w:highlight w:val="none"/>
              </w:rPr>
              <w:t>合同期内不调价</w:t>
            </w:r>
          </w:p>
        </w:tc>
      </w:tr>
      <w:tr w14:paraId="76310D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0" w:hRule="exact"/>
        </w:trPr>
        <w:tc>
          <w:tcPr>
            <w:tcW w:w="820" w:type="dxa"/>
            <w:noWrap w:val="0"/>
            <w:vAlign w:val="center"/>
          </w:tcPr>
          <w:p w14:paraId="4BE91543">
            <w:pPr>
              <w:spacing w:line="360" w:lineRule="auto"/>
              <w:jc w:val="center"/>
              <w:rPr>
                <w:rFonts w:ascii="宋体" w:hAnsi="宋体"/>
                <w:szCs w:val="21"/>
                <w:highlight w:val="none"/>
              </w:rPr>
            </w:pPr>
            <w:r>
              <w:rPr>
                <w:rFonts w:ascii="宋体" w:hAnsi="宋体"/>
                <w:szCs w:val="21"/>
                <w:highlight w:val="none"/>
              </w:rPr>
              <w:t>13</w:t>
            </w:r>
          </w:p>
        </w:tc>
        <w:tc>
          <w:tcPr>
            <w:tcW w:w="1340" w:type="dxa"/>
            <w:noWrap w:val="0"/>
            <w:vAlign w:val="center"/>
          </w:tcPr>
          <w:p w14:paraId="1BBCA0B2">
            <w:pPr>
              <w:spacing w:line="360" w:lineRule="auto"/>
              <w:jc w:val="center"/>
              <w:rPr>
                <w:rFonts w:ascii="宋体" w:hAnsi="宋体"/>
                <w:szCs w:val="21"/>
                <w:highlight w:val="none"/>
              </w:rPr>
            </w:pPr>
            <w:r>
              <w:rPr>
                <w:rFonts w:ascii="宋体" w:hAnsi="宋体"/>
                <w:szCs w:val="21"/>
                <w:highlight w:val="none"/>
              </w:rPr>
              <w:t>17.2.1</w:t>
            </w:r>
          </w:p>
        </w:tc>
        <w:tc>
          <w:tcPr>
            <w:tcW w:w="7200" w:type="dxa"/>
            <w:noWrap w:val="0"/>
            <w:vAlign w:val="center"/>
          </w:tcPr>
          <w:p w14:paraId="6E4953D0">
            <w:pPr>
              <w:spacing w:line="360" w:lineRule="auto"/>
              <w:jc w:val="left"/>
              <w:rPr>
                <w:rFonts w:hint="eastAsia" w:ascii="宋体" w:hAnsi="宋体" w:cs="Times New Roman"/>
                <w:szCs w:val="21"/>
                <w:highlight w:val="none"/>
                <w:lang w:val="en-US" w:eastAsia="zh-CN"/>
              </w:rPr>
            </w:pPr>
            <w:r>
              <w:rPr>
                <w:rFonts w:ascii="宋体" w:hAnsi="宋体" w:cs="Times New Roman"/>
                <w:szCs w:val="21"/>
                <w:highlight w:val="none"/>
              </w:rPr>
              <w:t>开工预付款金额：</w:t>
            </w:r>
            <w:r>
              <w:rPr>
                <w:rFonts w:hint="eastAsia" w:ascii="宋体" w:hAnsi="宋体" w:cs="Times New Roman"/>
                <w:szCs w:val="21"/>
                <w:highlight w:val="none"/>
                <w:lang w:val="en-US" w:eastAsia="zh-CN"/>
              </w:rPr>
              <w:t>根据</w:t>
            </w:r>
            <w:r>
              <w:rPr>
                <w:rFonts w:hint="eastAsia" w:ascii="宋体" w:hAnsi="宋体" w:cs="Times New Roman"/>
                <w:szCs w:val="21"/>
                <w:highlight w:val="none"/>
              </w:rPr>
              <w:t>[浙财采监〔2022〕3号]规定</w:t>
            </w:r>
            <w:r>
              <w:rPr>
                <w:rFonts w:hint="eastAsia" w:ascii="宋体" w:hAnsi="宋体" w:cs="Times New Roman"/>
                <w:szCs w:val="21"/>
                <w:highlight w:val="none"/>
                <w:lang w:val="en-US" w:eastAsia="zh-CN"/>
              </w:rPr>
              <w:t>执行</w:t>
            </w:r>
          </w:p>
        </w:tc>
      </w:tr>
      <w:tr w14:paraId="2C7BDE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0" w:hRule="exact"/>
        </w:trPr>
        <w:tc>
          <w:tcPr>
            <w:tcW w:w="820" w:type="dxa"/>
            <w:noWrap w:val="0"/>
            <w:vAlign w:val="center"/>
          </w:tcPr>
          <w:p w14:paraId="34056283">
            <w:pPr>
              <w:spacing w:line="360" w:lineRule="auto"/>
              <w:jc w:val="center"/>
              <w:rPr>
                <w:rFonts w:ascii="宋体" w:hAnsi="宋体"/>
                <w:szCs w:val="21"/>
                <w:highlight w:val="none"/>
              </w:rPr>
            </w:pPr>
            <w:r>
              <w:rPr>
                <w:rFonts w:ascii="宋体" w:hAnsi="宋体"/>
                <w:szCs w:val="21"/>
                <w:highlight w:val="none"/>
              </w:rPr>
              <w:t>14</w:t>
            </w:r>
          </w:p>
        </w:tc>
        <w:tc>
          <w:tcPr>
            <w:tcW w:w="1340" w:type="dxa"/>
            <w:noWrap w:val="0"/>
            <w:vAlign w:val="center"/>
          </w:tcPr>
          <w:p w14:paraId="6EF0B574">
            <w:pPr>
              <w:spacing w:line="360" w:lineRule="auto"/>
              <w:jc w:val="center"/>
              <w:rPr>
                <w:rFonts w:ascii="宋体" w:hAnsi="宋体"/>
                <w:szCs w:val="21"/>
                <w:highlight w:val="none"/>
              </w:rPr>
            </w:pPr>
            <w:r>
              <w:rPr>
                <w:rFonts w:ascii="宋体" w:hAnsi="宋体"/>
                <w:szCs w:val="21"/>
                <w:highlight w:val="none"/>
              </w:rPr>
              <w:t>17.2.1</w:t>
            </w:r>
          </w:p>
        </w:tc>
        <w:tc>
          <w:tcPr>
            <w:tcW w:w="7200" w:type="dxa"/>
            <w:noWrap w:val="0"/>
            <w:vAlign w:val="center"/>
          </w:tcPr>
          <w:p w14:paraId="0780F418">
            <w:pPr>
              <w:spacing w:line="360" w:lineRule="auto"/>
              <w:rPr>
                <w:rFonts w:ascii="宋体" w:hAnsi="宋体"/>
                <w:sz w:val="24"/>
                <w:highlight w:val="none"/>
                <w:vertAlign w:val="superscript"/>
              </w:rPr>
            </w:pPr>
            <w:r>
              <w:rPr>
                <w:rFonts w:ascii="宋体" w:hAnsi="宋体"/>
                <w:szCs w:val="21"/>
                <w:highlight w:val="none"/>
              </w:rPr>
              <w:t>材料预付款比例：</w:t>
            </w:r>
            <w:r>
              <w:rPr>
                <w:rFonts w:ascii="宋体" w:hAnsi="宋体"/>
                <w:szCs w:val="21"/>
                <w:highlight w:val="none"/>
                <w:u w:val="single"/>
              </w:rPr>
              <w:t xml:space="preserve">      /      </w:t>
            </w:r>
            <w:r>
              <w:rPr>
                <w:rFonts w:ascii="宋体" w:hAnsi="宋体"/>
                <w:szCs w:val="21"/>
                <w:highlight w:val="none"/>
              </w:rPr>
              <w:t>等主要材料单据所列费用的</w:t>
            </w:r>
            <w:r>
              <w:rPr>
                <w:rFonts w:hint="eastAsia" w:ascii="宋体" w:hAnsi="宋体"/>
                <w:szCs w:val="21"/>
                <w:highlight w:val="none"/>
                <w:u w:val="single"/>
              </w:rPr>
              <w:t xml:space="preserve"> </w:t>
            </w:r>
            <w:r>
              <w:rPr>
                <w:rFonts w:ascii="宋体" w:hAnsi="宋体"/>
                <w:szCs w:val="21"/>
                <w:highlight w:val="none"/>
                <w:u w:val="single"/>
              </w:rPr>
              <w:t xml:space="preserve">/ </w:t>
            </w:r>
            <w:r>
              <w:rPr>
                <w:rFonts w:ascii="宋体" w:hAnsi="宋体"/>
                <w:szCs w:val="21"/>
                <w:highlight w:val="none"/>
              </w:rPr>
              <w:t>％</w:t>
            </w:r>
          </w:p>
        </w:tc>
      </w:tr>
      <w:tr w14:paraId="7F0A04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0" w:hRule="exact"/>
        </w:trPr>
        <w:tc>
          <w:tcPr>
            <w:tcW w:w="820" w:type="dxa"/>
            <w:noWrap w:val="0"/>
            <w:vAlign w:val="center"/>
          </w:tcPr>
          <w:p w14:paraId="6C5E0C37">
            <w:pPr>
              <w:spacing w:line="360" w:lineRule="auto"/>
              <w:jc w:val="center"/>
              <w:rPr>
                <w:rFonts w:ascii="宋体" w:hAnsi="宋体"/>
                <w:szCs w:val="21"/>
                <w:highlight w:val="none"/>
              </w:rPr>
            </w:pPr>
            <w:r>
              <w:rPr>
                <w:rFonts w:ascii="宋体" w:hAnsi="宋体"/>
                <w:szCs w:val="21"/>
                <w:highlight w:val="none"/>
              </w:rPr>
              <w:t>15</w:t>
            </w:r>
          </w:p>
        </w:tc>
        <w:tc>
          <w:tcPr>
            <w:tcW w:w="1340" w:type="dxa"/>
            <w:noWrap w:val="0"/>
            <w:vAlign w:val="center"/>
          </w:tcPr>
          <w:p w14:paraId="74A377EE">
            <w:pPr>
              <w:spacing w:line="360" w:lineRule="auto"/>
              <w:jc w:val="center"/>
              <w:rPr>
                <w:rFonts w:ascii="宋体" w:hAnsi="宋体"/>
                <w:szCs w:val="21"/>
                <w:highlight w:val="none"/>
              </w:rPr>
            </w:pPr>
            <w:r>
              <w:rPr>
                <w:rFonts w:ascii="宋体" w:hAnsi="宋体"/>
                <w:szCs w:val="21"/>
                <w:highlight w:val="none"/>
              </w:rPr>
              <w:t>17.3.2</w:t>
            </w:r>
          </w:p>
        </w:tc>
        <w:tc>
          <w:tcPr>
            <w:tcW w:w="7200" w:type="dxa"/>
            <w:noWrap w:val="0"/>
            <w:vAlign w:val="center"/>
          </w:tcPr>
          <w:p w14:paraId="4BB2CE4B">
            <w:pPr>
              <w:spacing w:line="360" w:lineRule="auto"/>
              <w:jc w:val="left"/>
              <w:rPr>
                <w:rFonts w:ascii="宋体" w:hAnsi="宋体"/>
                <w:szCs w:val="21"/>
                <w:highlight w:val="none"/>
              </w:rPr>
            </w:pPr>
            <w:r>
              <w:rPr>
                <w:rFonts w:ascii="宋体" w:hAnsi="宋体"/>
                <w:szCs w:val="21"/>
                <w:highlight w:val="none"/>
              </w:rPr>
              <w:t>承包人在每个付款周期末向监理人提交进度付款申请单的份数：</w:t>
            </w:r>
            <w:r>
              <w:rPr>
                <w:rFonts w:ascii="宋体" w:hAnsi="宋体"/>
                <w:szCs w:val="21"/>
                <w:highlight w:val="none"/>
                <w:u w:val="single"/>
              </w:rPr>
              <w:t xml:space="preserve"> 6 </w:t>
            </w:r>
            <w:r>
              <w:rPr>
                <w:rFonts w:ascii="宋体" w:hAnsi="宋体"/>
                <w:szCs w:val="21"/>
                <w:highlight w:val="none"/>
              </w:rPr>
              <w:t>份</w:t>
            </w:r>
          </w:p>
        </w:tc>
      </w:tr>
      <w:tr w14:paraId="6ACB77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0" w:hRule="exact"/>
        </w:trPr>
        <w:tc>
          <w:tcPr>
            <w:tcW w:w="820" w:type="dxa"/>
            <w:noWrap w:val="0"/>
            <w:vAlign w:val="center"/>
          </w:tcPr>
          <w:p w14:paraId="43257644">
            <w:pPr>
              <w:spacing w:line="360" w:lineRule="auto"/>
              <w:jc w:val="center"/>
              <w:rPr>
                <w:rFonts w:ascii="宋体" w:hAnsi="宋体"/>
                <w:szCs w:val="21"/>
                <w:highlight w:val="none"/>
              </w:rPr>
            </w:pPr>
            <w:r>
              <w:rPr>
                <w:rFonts w:hint="eastAsia" w:ascii="宋体" w:hAnsi="宋体"/>
                <w:szCs w:val="21"/>
                <w:highlight w:val="none"/>
              </w:rPr>
              <w:t>1</w:t>
            </w:r>
            <w:r>
              <w:rPr>
                <w:rFonts w:ascii="宋体" w:hAnsi="宋体"/>
                <w:szCs w:val="21"/>
                <w:highlight w:val="none"/>
              </w:rPr>
              <w:t>6</w:t>
            </w:r>
          </w:p>
        </w:tc>
        <w:tc>
          <w:tcPr>
            <w:tcW w:w="1340" w:type="dxa"/>
            <w:noWrap w:val="0"/>
            <w:vAlign w:val="center"/>
          </w:tcPr>
          <w:p w14:paraId="233881EF">
            <w:pPr>
              <w:spacing w:line="360" w:lineRule="auto"/>
              <w:jc w:val="center"/>
              <w:rPr>
                <w:rFonts w:ascii="宋体" w:hAnsi="宋体"/>
                <w:szCs w:val="21"/>
                <w:highlight w:val="none"/>
              </w:rPr>
            </w:pPr>
            <w:r>
              <w:rPr>
                <w:rFonts w:ascii="宋体" w:hAnsi="宋体"/>
                <w:szCs w:val="21"/>
                <w:highlight w:val="none"/>
              </w:rPr>
              <w:t>17.3.3（2）</w:t>
            </w:r>
          </w:p>
        </w:tc>
        <w:tc>
          <w:tcPr>
            <w:tcW w:w="7200" w:type="dxa"/>
            <w:noWrap w:val="0"/>
            <w:vAlign w:val="center"/>
          </w:tcPr>
          <w:p w14:paraId="1386F106">
            <w:pPr>
              <w:spacing w:line="360" w:lineRule="auto"/>
              <w:jc w:val="left"/>
              <w:rPr>
                <w:rFonts w:ascii="宋体" w:hAnsi="宋体"/>
                <w:szCs w:val="21"/>
                <w:highlight w:val="none"/>
              </w:rPr>
            </w:pPr>
            <w:r>
              <w:rPr>
                <w:rFonts w:ascii="宋体" w:hAnsi="宋体"/>
                <w:szCs w:val="21"/>
                <w:highlight w:val="none"/>
              </w:rPr>
              <w:t>进度付款证书最低限额：</w:t>
            </w:r>
            <w:r>
              <w:rPr>
                <w:rFonts w:ascii="宋体" w:hAnsi="宋体"/>
                <w:szCs w:val="21"/>
                <w:highlight w:val="none"/>
                <w:u w:val="single"/>
              </w:rPr>
              <w:t xml:space="preserve"> </w:t>
            </w:r>
            <w:r>
              <w:rPr>
                <w:rFonts w:hint="eastAsia" w:ascii="宋体" w:hAnsi="宋体"/>
                <w:szCs w:val="21"/>
                <w:highlight w:val="none"/>
                <w:u w:val="single"/>
              </w:rPr>
              <w:t xml:space="preserve">/  </w:t>
            </w:r>
            <w:r>
              <w:rPr>
                <w:rFonts w:ascii="宋体" w:hAnsi="宋体"/>
                <w:szCs w:val="21"/>
                <w:highlight w:val="none"/>
              </w:rPr>
              <w:t>万元</w:t>
            </w:r>
          </w:p>
        </w:tc>
      </w:tr>
    </w:tbl>
    <w:p w14:paraId="3CFFA7B6">
      <w:pPr>
        <w:spacing w:line="360" w:lineRule="auto"/>
        <w:ind w:left="420" w:leftChars="200"/>
        <w:rPr>
          <w:rFonts w:ascii="宋体" w:hAnsi="宋体"/>
          <w:sz w:val="18"/>
          <w:szCs w:val="18"/>
          <w:highlight w:val="none"/>
        </w:rPr>
        <w:sectPr>
          <w:headerReference r:id="rId6" w:type="default"/>
          <w:footerReference r:id="rId8" w:type="default"/>
          <w:headerReference r:id="rId7" w:type="even"/>
          <w:footerReference r:id="rId9" w:type="even"/>
          <w:pgSz w:w="11906" w:h="16838"/>
          <w:pgMar w:top="1134" w:right="1247" w:bottom="1077" w:left="1247" w:header="851" w:footer="794" w:gutter="0"/>
          <w:pgNumType w:fmt="decimal"/>
          <w:cols w:space="720" w:num="1"/>
          <w:docGrid w:linePitch="312" w:charSpace="0"/>
        </w:sectPr>
      </w:pPr>
    </w:p>
    <w:p w14:paraId="4F2AA62A">
      <w:pPr>
        <w:spacing w:after="120" w:afterLines="50" w:line="360" w:lineRule="auto"/>
        <w:ind w:firstLine="7875" w:firstLineChars="3750"/>
        <w:rPr>
          <w:rFonts w:ascii="宋体" w:hAnsi="宋体"/>
          <w:highlight w:val="none"/>
        </w:rPr>
      </w:pPr>
      <w:r>
        <w:rPr>
          <w:rFonts w:ascii="宋体" w:hAnsi="宋体"/>
          <w:highlight w:val="none"/>
        </w:rPr>
        <w:t>续上表</w:t>
      </w:r>
    </w:p>
    <w:tbl>
      <w:tblPr>
        <w:tblStyle w:val="51"/>
        <w:tblW w:w="0" w:type="auto"/>
        <w:tblInd w:w="10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20"/>
        <w:gridCol w:w="1340"/>
        <w:gridCol w:w="7200"/>
      </w:tblGrid>
      <w:tr w14:paraId="6C982D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820" w:type="dxa"/>
            <w:noWrap w:val="0"/>
            <w:vAlign w:val="center"/>
          </w:tcPr>
          <w:p w14:paraId="1B81D565">
            <w:pPr>
              <w:spacing w:line="360" w:lineRule="auto"/>
              <w:jc w:val="center"/>
              <w:rPr>
                <w:rFonts w:ascii="宋体" w:hAnsi="宋体"/>
                <w:szCs w:val="21"/>
                <w:highlight w:val="none"/>
              </w:rPr>
            </w:pPr>
            <w:r>
              <w:rPr>
                <w:rFonts w:ascii="宋体" w:hAnsi="宋体"/>
                <w:szCs w:val="21"/>
                <w:highlight w:val="none"/>
              </w:rPr>
              <w:t>序号</w:t>
            </w:r>
          </w:p>
        </w:tc>
        <w:tc>
          <w:tcPr>
            <w:tcW w:w="1340" w:type="dxa"/>
            <w:noWrap w:val="0"/>
            <w:vAlign w:val="center"/>
          </w:tcPr>
          <w:p w14:paraId="09026B5A">
            <w:pPr>
              <w:spacing w:line="360" w:lineRule="auto"/>
              <w:jc w:val="center"/>
              <w:rPr>
                <w:rFonts w:ascii="宋体" w:hAnsi="宋体"/>
                <w:szCs w:val="21"/>
                <w:highlight w:val="none"/>
              </w:rPr>
            </w:pPr>
            <w:r>
              <w:rPr>
                <w:rFonts w:ascii="宋体" w:hAnsi="宋体"/>
                <w:szCs w:val="21"/>
                <w:highlight w:val="none"/>
              </w:rPr>
              <w:t>条目号</w:t>
            </w:r>
          </w:p>
        </w:tc>
        <w:tc>
          <w:tcPr>
            <w:tcW w:w="7200" w:type="dxa"/>
            <w:noWrap w:val="0"/>
            <w:vAlign w:val="center"/>
          </w:tcPr>
          <w:p w14:paraId="259AC9CB">
            <w:pPr>
              <w:spacing w:line="360" w:lineRule="auto"/>
              <w:jc w:val="center"/>
              <w:rPr>
                <w:rFonts w:ascii="宋体" w:hAnsi="宋体"/>
                <w:szCs w:val="21"/>
                <w:highlight w:val="none"/>
              </w:rPr>
            </w:pPr>
            <w:r>
              <w:rPr>
                <w:rFonts w:ascii="宋体" w:hAnsi="宋体"/>
                <w:szCs w:val="21"/>
                <w:highlight w:val="none"/>
              </w:rPr>
              <w:t>信息或数据</w:t>
            </w:r>
          </w:p>
        </w:tc>
      </w:tr>
      <w:tr w14:paraId="6752E3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92" w:hRule="exact"/>
        </w:trPr>
        <w:tc>
          <w:tcPr>
            <w:tcW w:w="820" w:type="dxa"/>
            <w:noWrap w:val="0"/>
            <w:vAlign w:val="center"/>
          </w:tcPr>
          <w:p w14:paraId="13D0C29B">
            <w:pPr>
              <w:spacing w:line="360" w:lineRule="auto"/>
              <w:jc w:val="center"/>
              <w:rPr>
                <w:rFonts w:ascii="宋体" w:hAnsi="宋体"/>
                <w:szCs w:val="21"/>
                <w:highlight w:val="none"/>
              </w:rPr>
            </w:pPr>
            <w:r>
              <w:rPr>
                <w:rFonts w:ascii="宋体" w:hAnsi="宋体"/>
                <w:szCs w:val="21"/>
                <w:highlight w:val="none"/>
              </w:rPr>
              <w:t>17</w:t>
            </w:r>
          </w:p>
        </w:tc>
        <w:tc>
          <w:tcPr>
            <w:tcW w:w="1340" w:type="dxa"/>
            <w:noWrap w:val="0"/>
            <w:vAlign w:val="center"/>
          </w:tcPr>
          <w:p w14:paraId="44B8F53E">
            <w:pPr>
              <w:spacing w:line="360" w:lineRule="auto"/>
              <w:jc w:val="center"/>
              <w:rPr>
                <w:rFonts w:ascii="宋体" w:hAnsi="宋体"/>
                <w:szCs w:val="21"/>
                <w:highlight w:val="none"/>
              </w:rPr>
            </w:pPr>
            <w:r>
              <w:rPr>
                <w:rFonts w:ascii="宋体" w:hAnsi="宋体"/>
                <w:szCs w:val="21"/>
                <w:highlight w:val="none"/>
              </w:rPr>
              <w:t>17.3.3（3）</w:t>
            </w:r>
          </w:p>
        </w:tc>
        <w:tc>
          <w:tcPr>
            <w:tcW w:w="7200" w:type="dxa"/>
            <w:noWrap w:val="0"/>
            <w:vAlign w:val="center"/>
          </w:tcPr>
          <w:p w14:paraId="24D833E6">
            <w:pPr>
              <w:spacing w:line="360" w:lineRule="auto"/>
              <w:rPr>
                <w:rFonts w:ascii="宋体" w:hAnsi="宋体"/>
                <w:highlight w:val="none"/>
              </w:rPr>
            </w:pPr>
            <w:r>
              <w:rPr>
                <w:rFonts w:hint="eastAsia" w:ascii="宋体" w:hAnsi="宋体"/>
                <w:szCs w:val="21"/>
                <w:highlight w:val="none"/>
              </w:rPr>
              <w:t>逾期付款违约金的利率：（按全国银行间同业拆借中心发布的贷款市场报价利率（LPR）（1年期）加手续费）</w:t>
            </w:r>
          </w:p>
        </w:tc>
      </w:tr>
      <w:tr w14:paraId="1055C1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5" w:hRule="exact"/>
        </w:trPr>
        <w:tc>
          <w:tcPr>
            <w:tcW w:w="820" w:type="dxa"/>
            <w:noWrap w:val="0"/>
            <w:vAlign w:val="center"/>
          </w:tcPr>
          <w:p w14:paraId="7DBAAB79">
            <w:pPr>
              <w:spacing w:line="360" w:lineRule="auto"/>
              <w:jc w:val="center"/>
              <w:rPr>
                <w:rFonts w:ascii="宋体" w:hAnsi="宋体"/>
                <w:szCs w:val="21"/>
                <w:highlight w:val="none"/>
              </w:rPr>
            </w:pPr>
            <w:r>
              <w:rPr>
                <w:rFonts w:ascii="宋体" w:hAnsi="宋体"/>
                <w:szCs w:val="21"/>
                <w:highlight w:val="none"/>
              </w:rPr>
              <w:t>18</w:t>
            </w:r>
          </w:p>
        </w:tc>
        <w:tc>
          <w:tcPr>
            <w:tcW w:w="1340" w:type="dxa"/>
            <w:noWrap w:val="0"/>
            <w:vAlign w:val="center"/>
          </w:tcPr>
          <w:p w14:paraId="74D5EDB5">
            <w:pPr>
              <w:spacing w:line="360" w:lineRule="auto"/>
              <w:jc w:val="center"/>
              <w:rPr>
                <w:rFonts w:ascii="宋体" w:hAnsi="宋体"/>
                <w:szCs w:val="21"/>
                <w:highlight w:val="none"/>
              </w:rPr>
            </w:pPr>
            <w:r>
              <w:rPr>
                <w:rFonts w:ascii="宋体" w:hAnsi="宋体"/>
                <w:szCs w:val="21"/>
                <w:highlight w:val="none"/>
              </w:rPr>
              <w:t>17.4.1</w:t>
            </w:r>
          </w:p>
        </w:tc>
        <w:tc>
          <w:tcPr>
            <w:tcW w:w="7200" w:type="dxa"/>
            <w:noWrap w:val="0"/>
            <w:vAlign w:val="center"/>
          </w:tcPr>
          <w:p w14:paraId="297ED858">
            <w:pPr>
              <w:spacing w:line="360" w:lineRule="auto"/>
              <w:jc w:val="left"/>
              <w:rPr>
                <w:rFonts w:hint="eastAsia" w:ascii="宋体" w:hAnsi="宋体"/>
                <w:szCs w:val="21"/>
                <w:highlight w:val="none"/>
              </w:rPr>
            </w:pPr>
            <w:r>
              <w:rPr>
                <w:rFonts w:hint="eastAsia" w:ascii="宋体" w:hAnsi="宋体" w:cs="宋体"/>
                <w:color w:val="000000"/>
                <w:szCs w:val="21"/>
                <w:highlight w:val="none"/>
              </w:rPr>
              <w:t>质量保证金百分比：/</w:t>
            </w:r>
          </w:p>
        </w:tc>
      </w:tr>
      <w:tr w14:paraId="3CD21C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0" w:hRule="exact"/>
        </w:trPr>
        <w:tc>
          <w:tcPr>
            <w:tcW w:w="820" w:type="dxa"/>
            <w:noWrap w:val="0"/>
            <w:vAlign w:val="center"/>
          </w:tcPr>
          <w:p w14:paraId="5046B4DF">
            <w:pPr>
              <w:spacing w:line="360" w:lineRule="auto"/>
              <w:jc w:val="center"/>
              <w:rPr>
                <w:rFonts w:ascii="宋体" w:hAnsi="宋体"/>
                <w:szCs w:val="21"/>
                <w:highlight w:val="none"/>
              </w:rPr>
            </w:pPr>
            <w:r>
              <w:rPr>
                <w:rFonts w:hint="eastAsia" w:ascii="宋体" w:hAnsi="宋体"/>
                <w:szCs w:val="21"/>
                <w:highlight w:val="none"/>
              </w:rPr>
              <w:t>1</w:t>
            </w:r>
            <w:r>
              <w:rPr>
                <w:rFonts w:ascii="宋体" w:hAnsi="宋体"/>
                <w:szCs w:val="21"/>
                <w:highlight w:val="none"/>
              </w:rPr>
              <w:t>9</w:t>
            </w:r>
          </w:p>
        </w:tc>
        <w:tc>
          <w:tcPr>
            <w:tcW w:w="1340" w:type="dxa"/>
            <w:noWrap w:val="0"/>
            <w:vAlign w:val="center"/>
          </w:tcPr>
          <w:p w14:paraId="4101015C">
            <w:pPr>
              <w:spacing w:line="360" w:lineRule="auto"/>
              <w:jc w:val="center"/>
              <w:rPr>
                <w:rFonts w:ascii="宋体" w:hAnsi="宋体"/>
                <w:szCs w:val="21"/>
                <w:highlight w:val="none"/>
              </w:rPr>
            </w:pPr>
            <w:r>
              <w:rPr>
                <w:rFonts w:ascii="宋体" w:hAnsi="宋体"/>
                <w:szCs w:val="21"/>
                <w:highlight w:val="none"/>
              </w:rPr>
              <w:t>17.5.1</w:t>
            </w:r>
          </w:p>
        </w:tc>
        <w:tc>
          <w:tcPr>
            <w:tcW w:w="7200" w:type="dxa"/>
            <w:noWrap w:val="0"/>
            <w:vAlign w:val="center"/>
          </w:tcPr>
          <w:p w14:paraId="0AA2034B">
            <w:pPr>
              <w:spacing w:line="360" w:lineRule="auto"/>
              <w:jc w:val="left"/>
              <w:rPr>
                <w:rFonts w:ascii="宋体" w:hAnsi="宋体"/>
                <w:szCs w:val="21"/>
                <w:highlight w:val="none"/>
              </w:rPr>
            </w:pPr>
            <w:r>
              <w:rPr>
                <w:rFonts w:ascii="宋体" w:hAnsi="宋体"/>
                <w:szCs w:val="21"/>
                <w:highlight w:val="none"/>
              </w:rPr>
              <w:t>承包人向监理人提交交工付款申请单（包括相关证明材料）的份数：</w:t>
            </w:r>
            <w:r>
              <w:rPr>
                <w:rFonts w:ascii="宋体" w:hAnsi="宋体"/>
                <w:szCs w:val="21"/>
                <w:highlight w:val="none"/>
                <w:u w:val="single"/>
              </w:rPr>
              <w:t xml:space="preserve">6 </w:t>
            </w:r>
            <w:r>
              <w:rPr>
                <w:rFonts w:ascii="宋体" w:hAnsi="宋体"/>
                <w:szCs w:val="21"/>
                <w:highlight w:val="none"/>
              </w:rPr>
              <w:t>份</w:t>
            </w:r>
          </w:p>
        </w:tc>
      </w:tr>
      <w:tr w14:paraId="6ACAC6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0" w:hRule="exact"/>
        </w:trPr>
        <w:tc>
          <w:tcPr>
            <w:tcW w:w="820" w:type="dxa"/>
            <w:noWrap w:val="0"/>
            <w:vAlign w:val="center"/>
          </w:tcPr>
          <w:p w14:paraId="735D63DC">
            <w:pPr>
              <w:spacing w:line="360" w:lineRule="auto"/>
              <w:jc w:val="center"/>
              <w:rPr>
                <w:rFonts w:ascii="宋体" w:hAnsi="宋体"/>
                <w:szCs w:val="21"/>
                <w:highlight w:val="none"/>
              </w:rPr>
            </w:pPr>
            <w:r>
              <w:rPr>
                <w:rFonts w:ascii="宋体" w:hAnsi="宋体"/>
                <w:szCs w:val="21"/>
                <w:highlight w:val="none"/>
              </w:rPr>
              <w:t>20</w:t>
            </w:r>
          </w:p>
        </w:tc>
        <w:tc>
          <w:tcPr>
            <w:tcW w:w="1340" w:type="dxa"/>
            <w:noWrap w:val="0"/>
            <w:vAlign w:val="center"/>
          </w:tcPr>
          <w:p w14:paraId="3B14B3F2">
            <w:pPr>
              <w:spacing w:line="360" w:lineRule="auto"/>
              <w:jc w:val="center"/>
              <w:rPr>
                <w:rFonts w:ascii="宋体" w:hAnsi="宋体"/>
                <w:szCs w:val="21"/>
                <w:highlight w:val="none"/>
              </w:rPr>
            </w:pPr>
            <w:r>
              <w:rPr>
                <w:rFonts w:ascii="宋体" w:hAnsi="宋体"/>
                <w:szCs w:val="21"/>
                <w:highlight w:val="none"/>
              </w:rPr>
              <w:t>17.6.1</w:t>
            </w:r>
          </w:p>
        </w:tc>
        <w:tc>
          <w:tcPr>
            <w:tcW w:w="7200" w:type="dxa"/>
            <w:noWrap w:val="0"/>
            <w:vAlign w:val="center"/>
          </w:tcPr>
          <w:p w14:paraId="2379E1AE">
            <w:pPr>
              <w:spacing w:line="360" w:lineRule="auto"/>
              <w:jc w:val="left"/>
              <w:rPr>
                <w:rFonts w:ascii="宋体" w:hAnsi="宋体"/>
                <w:szCs w:val="21"/>
                <w:highlight w:val="none"/>
              </w:rPr>
            </w:pPr>
            <w:r>
              <w:rPr>
                <w:rFonts w:ascii="宋体" w:hAnsi="宋体"/>
                <w:szCs w:val="21"/>
                <w:highlight w:val="none"/>
              </w:rPr>
              <w:t>承包人向监理人提交最终结清申请单（包括相关证明材料）的份数：</w:t>
            </w:r>
            <w:r>
              <w:rPr>
                <w:rFonts w:ascii="宋体" w:hAnsi="宋体"/>
                <w:szCs w:val="21"/>
                <w:highlight w:val="none"/>
                <w:u w:val="single"/>
              </w:rPr>
              <w:t xml:space="preserve">6 </w:t>
            </w:r>
            <w:r>
              <w:rPr>
                <w:rFonts w:ascii="宋体" w:hAnsi="宋体"/>
                <w:szCs w:val="21"/>
                <w:highlight w:val="none"/>
              </w:rPr>
              <w:t>份</w:t>
            </w:r>
          </w:p>
        </w:tc>
      </w:tr>
      <w:tr w14:paraId="41046B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0" w:hRule="exact"/>
        </w:trPr>
        <w:tc>
          <w:tcPr>
            <w:tcW w:w="820" w:type="dxa"/>
            <w:noWrap w:val="0"/>
            <w:vAlign w:val="center"/>
          </w:tcPr>
          <w:p w14:paraId="64FC7CF5">
            <w:pPr>
              <w:spacing w:line="360" w:lineRule="auto"/>
              <w:jc w:val="center"/>
              <w:rPr>
                <w:rFonts w:ascii="宋体" w:hAnsi="宋体"/>
                <w:szCs w:val="21"/>
                <w:highlight w:val="none"/>
              </w:rPr>
            </w:pPr>
            <w:r>
              <w:rPr>
                <w:rFonts w:ascii="宋体" w:hAnsi="宋体"/>
                <w:szCs w:val="21"/>
                <w:highlight w:val="none"/>
              </w:rPr>
              <w:t>21</w:t>
            </w:r>
          </w:p>
        </w:tc>
        <w:tc>
          <w:tcPr>
            <w:tcW w:w="1340" w:type="dxa"/>
            <w:noWrap w:val="0"/>
            <w:vAlign w:val="center"/>
          </w:tcPr>
          <w:p w14:paraId="0181A0C7">
            <w:pPr>
              <w:spacing w:line="360" w:lineRule="auto"/>
              <w:jc w:val="center"/>
              <w:rPr>
                <w:rFonts w:ascii="宋体" w:hAnsi="宋体"/>
                <w:szCs w:val="21"/>
                <w:highlight w:val="none"/>
              </w:rPr>
            </w:pPr>
            <w:r>
              <w:rPr>
                <w:rFonts w:ascii="宋体" w:hAnsi="宋体"/>
                <w:szCs w:val="21"/>
                <w:highlight w:val="none"/>
              </w:rPr>
              <w:t>18.2</w:t>
            </w:r>
          </w:p>
        </w:tc>
        <w:tc>
          <w:tcPr>
            <w:tcW w:w="7200" w:type="dxa"/>
            <w:noWrap w:val="0"/>
            <w:vAlign w:val="center"/>
          </w:tcPr>
          <w:p w14:paraId="2E692887">
            <w:pPr>
              <w:spacing w:line="360" w:lineRule="auto"/>
              <w:jc w:val="left"/>
              <w:rPr>
                <w:rFonts w:ascii="宋体" w:hAnsi="宋体"/>
                <w:szCs w:val="21"/>
                <w:highlight w:val="none"/>
              </w:rPr>
            </w:pPr>
            <w:r>
              <w:rPr>
                <w:rFonts w:ascii="宋体" w:hAnsi="宋体"/>
                <w:szCs w:val="21"/>
                <w:highlight w:val="none"/>
              </w:rPr>
              <w:t>竣工资料的份数：</w:t>
            </w:r>
            <w:r>
              <w:rPr>
                <w:rFonts w:ascii="宋体" w:hAnsi="宋体"/>
                <w:szCs w:val="21"/>
                <w:highlight w:val="none"/>
                <w:u w:val="single"/>
              </w:rPr>
              <w:t xml:space="preserve"> 6 </w:t>
            </w:r>
            <w:r>
              <w:rPr>
                <w:rFonts w:ascii="宋体" w:hAnsi="宋体"/>
                <w:szCs w:val="21"/>
                <w:highlight w:val="none"/>
              </w:rPr>
              <w:t>份</w:t>
            </w:r>
          </w:p>
        </w:tc>
      </w:tr>
      <w:tr w14:paraId="3F285C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exact"/>
        </w:trPr>
        <w:tc>
          <w:tcPr>
            <w:tcW w:w="820" w:type="dxa"/>
            <w:noWrap w:val="0"/>
            <w:vAlign w:val="center"/>
          </w:tcPr>
          <w:p w14:paraId="00EF6168">
            <w:pPr>
              <w:spacing w:line="360" w:lineRule="auto"/>
              <w:jc w:val="center"/>
              <w:rPr>
                <w:rFonts w:ascii="宋体" w:hAnsi="宋体"/>
                <w:szCs w:val="21"/>
                <w:highlight w:val="none"/>
              </w:rPr>
            </w:pPr>
            <w:r>
              <w:rPr>
                <w:rFonts w:ascii="宋体" w:hAnsi="宋体"/>
                <w:szCs w:val="21"/>
                <w:highlight w:val="none"/>
              </w:rPr>
              <w:t>22</w:t>
            </w:r>
          </w:p>
        </w:tc>
        <w:tc>
          <w:tcPr>
            <w:tcW w:w="1340" w:type="dxa"/>
            <w:noWrap w:val="0"/>
            <w:vAlign w:val="center"/>
          </w:tcPr>
          <w:p w14:paraId="384C617A">
            <w:pPr>
              <w:spacing w:line="360" w:lineRule="auto"/>
              <w:jc w:val="center"/>
              <w:rPr>
                <w:rFonts w:ascii="宋体" w:hAnsi="宋体"/>
                <w:szCs w:val="21"/>
                <w:highlight w:val="none"/>
              </w:rPr>
            </w:pPr>
            <w:r>
              <w:rPr>
                <w:rFonts w:ascii="宋体" w:hAnsi="宋体"/>
                <w:szCs w:val="21"/>
                <w:highlight w:val="none"/>
              </w:rPr>
              <w:t>19.7</w:t>
            </w:r>
          </w:p>
        </w:tc>
        <w:tc>
          <w:tcPr>
            <w:tcW w:w="7200" w:type="dxa"/>
            <w:noWrap w:val="0"/>
            <w:vAlign w:val="center"/>
          </w:tcPr>
          <w:p w14:paraId="48B22F79">
            <w:pPr>
              <w:spacing w:line="360" w:lineRule="auto"/>
              <w:jc w:val="left"/>
              <w:rPr>
                <w:rFonts w:hint="eastAsia" w:ascii="宋体" w:hAnsi="宋体"/>
                <w:szCs w:val="21"/>
                <w:highlight w:val="none"/>
              </w:rPr>
            </w:pPr>
            <w:r>
              <w:rPr>
                <w:rFonts w:hint="eastAsia" w:ascii="宋体" w:hAnsi="宋体"/>
                <w:szCs w:val="21"/>
                <w:highlight w:val="none"/>
              </w:rPr>
              <w:t>保修期：自实际交工日期起计算</w:t>
            </w:r>
            <w:r>
              <w:rPr>
                <w:rFonts w:hint="eastAsia" w:ascii="宋体" w:hAnsi="宋体"/>
                <w:szCs w:val="21"/>
                <w:highlight w:val="none"/>
                <w:lang w:val="en-US" w:eastAsia="zh-CN"/>
              </w:rPr>
              <w:t>3</w:t>
            </w:r>
            <w:r>
              <w:rPr>
                <w:rFonts w:hint="eastAsia" w:ascii="宋体" w:hAnsi="宋体"/>
                <w:szCs w:val="21"/>
                <w:highlight w:val="none"/>
              </w:rPr>
              <w:t>个月</w:t>
            </w:r>
          </w:p>
        </w:tc>
      </w:tr>
      <w:tr w14:paraId="21CDA7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41" w:hRule="exact"/>
        </w:trPr>
        <w:tc>
          <w:tcPr>
            <w:tcW w:w="820" w:type="dxa"/>
            <w:noWrap w:val="0"/>
            <w:vAlign w:val="center"/>
          </w:tcPr>
          <w:p w14:paraId="39D14240">
            <w:pPr>
              <w:spacing w:line="360" w:lineRule="auto"/>
              <w:jc w:val="center"/>
              <w:rPr>
                <w:rFonts w:ascii="宋体" w:hAnsi="宋体"/>
                <w:szCs w:val="21"/>
                <w:highlight w:val="none"/>
              </w:rPr>
            </w:pPr>
            <w:r>
              <w:rPr>
                <w:rFonts w:ascii="宋体" w:hAnsi="宋体"/>
                <w:szCs w:val="21"/>
                <w:highlight w:val="none"/>
              </w:rPr>
              <w:t>23</w:t>
            </w:r>
          </w:p>
        </w:tc>
        <w:tc>
          <w:tcPr>
            <w:tcW w:w="1340" w:type="dxa"/>
            <w:noWrap w:val="0"/>
            <w:vAlign w:val="center"/>
          </w:tcPr>
          <w:p w14:paraId="1BC06D10">
            <w:pPr>
              <w:spacing w:line="360" w:lineRule="auto"/>
              <w:jc w:val="center"/>
              <w:rPr>
                <w:rFonts w:ascii="宋体" w:hAnsi="宋体"/>
                <w:szCs w:val="21"/>
                <w:highlight w:val="none"/>
              </w:rPr>
            </w:pPr>
            <w:r>
              <w:rPr>
                <w:rFonts w:ascii="宋体" w:hAnsi="宋体"/>
                <w:szCs w:val="21"/>
                <w:highlight w:val="none"/>
              </w:rPr>
              <w:t>20.1</w:t>
            </w:r>
          </w:p>
        </w:tc>
        <w:tc>
          <w:tcPr>
            <w:tcW w:w="7200" w:type="dxa"/>
            <w:noWrap w:val="0"/>
            <w:vAlign w:val="center"/>
          </w:tcPr>
          <w:p w14:paraId="37A8722C">
            <w:pPr>
              <w:spacing w:line="360" w:lineRule="auto"/>
              <w:jc w:val="left"/>
              <w:rPr>
                <w:rFonts w:hint="eastAsia" w:ascii="宋体" w:hAnsi="宋体" w:eastAsia="宋体" w:cs="Times New Roman"/>
                <w:szCs w:val="21"/>
                <w:highlight w:val="none"/>
                <w:lang w:val="en-US" w:eastAsia="zh-CN"/>
              </w:rPr>
            </w:pPr>
            <w:r>
              <w:rPr>
                <w:rFonts w:ascii="宋体" w:hAnsi="宋体" w:eastAsia="宋体" w:cs="Times New Roman"/>
                <w:szCs w:val="21"/>
                <w:highlight w:val="none"/>
              </w:rPr>
              <w:t>建筑工程一切险的保险费率：</w:t>
            </w:r>
            <w:r>
              <w:rPr>
                <w:rFonts w:hint="eastAsia" w:ascii="宋体" w:hAnsi="宋体"/>
                <w:szCs w:val="21"/>
                <w:highlight w:val="none"/>
              </w:rPr>
              <w:t>工程一切险的投保金额为工程量清单中各章合计金额（不含安全生产费、建筑工程一切险保险费的费用），保险费率暂定为3‰；</w:t>
            </w:r>
          </w:p>
        </w:tc>
      </w:tr>
      <w:tr w14:paraId="08653C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1" w:hRule="exact"/>
        </w:trPr>
        <w:tc>
          <w:tcPr>
            <w:tcW w:w="820" w:type="dxa"/>
            <w:noWrap w:val="0"/>
            <w:vAlign w:val="center"/>
          </w:tcPr>
          <w:p w14:paraId="09842879">
            <w:pPr>
              <w:spacing w:line="360" w:lineRule="auto"/>
              <w:jc w:val="center"/>
              <w:rPr>
                <w:rFonts w:ascii="宋体" w:hAnsi="宋体"/>
                <w:szCs w:val="21"/>
                <w:highlight w:val="none"/>
              </w:rPr>
            </w:pPr>
            <w:r>
              <w:rPr>
                <w:rFonts w:ascii="宋体" w:hAnsi="宋体"/>
                <w:szCs w:val="21"/>
                <w:highlight w:val="none"/>
              </w:rPr>
              <w:t>24</w:t>
            </w:r>
          </w:p>
        </w:tc>
        <w:tc>
          <w:tcPr>
            <w:tcW w:w="1340" w:type="dxa"/>
            <w:noWrap w:val="0"/>
            <w:vAlign w:val="center"/>
          </w:tcPr>
          <w:p w14:paraId="3CA80E89">
            <w:pPr>
              <w:spacing w:line="360" w:lineRule="auto"/>
              <w:jc w:val="center"/>
              <w:rPr>
                <w:rFonts w:ascii="宋体" w:hAnsi="宋体"/>
                <w:szCs w:val="21"/>
                <w:highlight w:val="none"/>
              </w:rPr>
            </w:pPr>
            <w:r>
              <w:rPr>
                <w:rFonts w:ascii="宋体" w:hAnsi="宋体"/>
                <w:szCs w:val="21"/>
                <w:highlight w:val="none"/>
              </w:rPr>
              <w:t>20.4.2</w:t>
            </w:r>
          </w:p>
        </w:tc>
        <w:tc>
          <w:tcPr>
            <w:tcW w:w="7200" w:type="dxa"/>
            <w:noWrap w:val="0"/>
            <w:vAlign w:val="center"/>
          </w:tcPr>
          <w:p w14:paraId="229FDFA9">
            <w:pPr>
              <w:spacing w:line="360" w:lineRule="auto"/>
              <w:jc w:val="left"/>
              <w:rPr>
                <w:rFonts w:hint="eastAsia" w:ascii="宋体" w:hAnsi="宋体" w:eastAsia="宋体" w:cs="Times New Roman"/>
                <w:szCs w:val="21"/>
                <w:highlight w:val="none"/>
              </w:rPr>
            </w:pPr>
            <w:r>
              <w:rPr>
                <w:rFonts w:hint="eastAsia" w:ascii="宋体" w:hAnsi="宋体" w:eastAsia="宋体" w:cs="Times New Roman"/>
                <w:szCs w:val="21"/>
                <w:highlight w:val="none"/>
              </w:rPr>
              <w:t>第三者责任险的最低投保金额：</w:t>
            </w:r>
            <w:r>
              <w:rPr>
                <w:rFonts w:hint="eastAsia" w:ascii="宋体" w:hAnsi="宋体" w:cs="Times New Roman"/>
                <w:szCs w:val="21"/>
                <w:highlight w:val="none"/>
                <w:lang w:val="en-US" w:eastAsia="zh-CN"/>
              </w:rPr>
              <w:t>5</w:t>
            </w:r>
            <w:r>
              <w:rPr>
                <w:rFonts w:hint="eastAsia" w:ascii="宋体" w:hAnsi="宋体" w:eastAsia="宋体" w:cs="Times New Roman"/>
                <w:szCs w:val="21"/>
                <w:highlight w:val="none"/>
              </w:rPr>
              <w:t>00万元，保险费率暂定为5‰。事故次数不限(不计免赔额)；保险金额已包含在安全生产责任保险中</w:t>
            </w:r>
          </w:p>
        </w:tc>
      </w:tr>
      <w:tr w14:paraId="0F0575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46" w:hRule="exact"/>
        </w:trPr>
        <w:tc>
          <w:tcPr>
            <w:tcW w:w="820" w:type="dxa"/>
            <w:noWrap w:val="0"/>
            <w:vAlign w:val="center"/>
          </w:tcPr>
          <w:p w14:paraId="3AD8C704">
            <w:pPr>
              <w:spacing w:line="360" w:lineRule="auto"/>
              <w:jc w:val="center"/>
              <w:rPr>
                <w:rFonts w:ascii="宋体" w:hAnsi="宋体"/>
                <w:szCs w:val="21"/>
                <w:highlight w:val="none"/>
              </w:rPr>
            </w:pPr>
            <w:r>
              <w:rPr>
                <w:rFonts w:hint="eastAsia" w:ascii="宋体" w:hAnsi="宋体"/>
                <w:szCs w:val="21"/>
                <w:highlight w:val="none"/>
              </w:rPr>
              <w:t>25</w:t>
            </w:r>
          </w:p>
        </w:tc>
        <w:tc>
          <w:tcPr>
            <w:tcW w:w="1340" w:type="dxa"/>
            <w:noWrap w:val="0"/>
            <w:vAlign w:val="center"/>
          </w:tcPr>
          <w:p w14:paraId="372EE86F">
            <w:pPr>
              <w:pStyle w:val="453"/>
              <w:spacing w:line="360" w:lineRule="auto"/>
              <w:jc w:val="center"/>
              <w:rPr>
                <w:rFonts w:ascii="宋体" w:hAnsi="宋体"/>
                <w:highlight w:val="none"/>
              </w:rPr>
            </w:pPr>
            <w:r>
              <w:rPr>
                <w:rFonts w:hint="eastAsia" w:ascii="宋体" w:hAnsi="宋体"/>
                <w:highlight w:val="none"/>
              </w:rPr>
              <w:t>20.5</w:t>
            </w:r>
          </w:p>
        </w:tc>
        <w:tc>
          <w:tcPr>
            <w:tcW w:w="7200" w:type="dxa"/>
            <w:noWrap w:val="0"/>
            <w:vAlign w:val="center"/>
          </w:tcPr>
          <w:p w14:paraId="6AEF3068">
            <w:pPr>
              <w:spacing w:line="360" w:lineRule="auto"/>
              <w:jc w:val="left"/>
              <w:rPr>
                <w:rFonts w:hint="eastAsia" w:ascii="宋体" w:hAnsi="宋体" w:eastAsia="宋体" w:cs="Times New Roman"/>
                <w:szCs w:val="21"/>
                <w:highlight w:val="none"/>
              </w:rPr>
            </w:pPr>
            <w:r>
              <w:rPr>
                <w:rFonts w:hint="eastAsia" w:ascii="宋体" w:hAnsi="宋体" w:eastAsia="宋体" w:cs="Times New Roman"/>
                <w:szCs w:val="21"/>
                <w:highlight w:val="none"/>
              </w:rPr>
              <w:t>安全生产费应不低于投标价（不含安全生产费、建筑工程一切险保险费）的2%，交通安全管理费包含在安全生产费内，不单独计列。</w:t>
            </w:r>
          </w:p>
        </w:tc>
      </w:tr>
      <w:tr w14:paraId="7D6BE5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1" w:hRule="exact"/>
        </w:trPr>
        <w:tc>
          <w:tcPr>
            <w:tcW w:w="820" w:type="dxa"/>
            <w:noWrap w:val="0"/>
            <w:vAlign w:val="center"/>
          </w:tcPr>
          <w:p w14:paraId="2F3E63C7">
            <w:pPr>
              <w:spacing w:line="360" w:lineRule="auto"/>
              <w:jc w:val="center"/>
              <w:rPr>
                <w:rFonts w:ascii="宋体" w:hAnsi="宋体"/>
                <w:szCs w:val="21"/>
                <w:highlight w:val="none"/>
              </w:rPr>
            </w:pPr>
            <w:r>
              <w:rPr>
                <w:rFonts w:hint="eastAsia" w:ascii="宋体" w:hAnsi="宋体"/>
                <w:szCs w:val="21"/>
                <w:highlight w:val="none"/>
              </w:rPr>
              <w:t>26</w:t>
            </w:r>
          </w:p>
        </w:tc>
        <w:tc>
          <w:tcPr>
            <w:tcW w:w="1340" w:type="dxa"/>
            <w:noWrap w:val="0"/>
            <w:vAlign w:val="center"/>
          </w:tcPr>
          <w:p w14:paraId="1A767975">
            <w:pPr>
              <w:spacing w:line="360" w:lineRule="auto"/>
              <w:jc w:val="center"/>
              <w:rPr>
                <w:rFonts w:ascii="宋体" w:hAnsi="宋体"/>
                <w:szCs w:val="21"/>
                <w:highlight w:val="none"/>
              </w:rPr>
            </w:pPr>
            <w:r>
              <w:rPr>
                <w:rFonts w:ascii="宋体" w:hAnsi="宋体"/>
                <w:szCs w:val="21"/>
                <w:highlight w:val="none"/>
              </w:rPr>
              <w:t>24.1</w:t>
            </w:r>
          </w:p>
        </w:tc>
        <w:tc>
          <w:tcPr>
            <w:tcW w:w="7200" w:type="dxa"/>
            <w:noWrap w:val="0"/>
            <w:vAlign w:val="center"/>
          </w:tcPr>
          <w:p w14:paraId="7B4E20CD">
            <w:pPr>
              <w:spacing w:line="360" w:lineRule="auto"/>
              <w:jc w:val="left"/>
              <w:rPr>
                <w:rFonts w:ascii="宋体" w:hAnsi="宋体"/>
                <w:szCs w:val="21"/>
                <w:highlight w:val="none"/>
                <w:u w:val="single"/>
              </w:rPr>
            </w:pPr>
            <w:r>
              <w:rPr>
                <w:rFonts w:ascii="宋体" w:hAnsi="宋体"/>
                <w:szCs w:val="21"/>
                <w:highlight w:val="none"/>
              </w:rPr>
              <w:t>争议的最终解决方式：</w:t>
            </w:r>
            <w:r>
              <w:rPr>
                <w:rFonts w:ascii="宋体" w:hAnsi="宋体"/>
                <w:szCs w:val="21"/>
                <w:highlight w:val="none"/>
                <w:u w:val="single"/>
              </w:rPr>
              <w:t xml:space="preserve">诉讼  </w:t>
            </w:r>
          </w:p>
          <w:p w14:paraId="6E79C0AD">
            <w:pPr>
              <w:spacing w:line="360" w:lineRule="auto"/>
              <w:jc w:val="left"/>
              <w:rPr>
                <w:rFonts w:ascii="宋体" w:hAnsi="宋体"/>
                <w:szCs w:val="21"/>
                <w:highlight w:val="none"/>
              </w:rPr>
            </w:pPr>
            <w:r>
              <w:rPr>
                <w:rFonts w:ascii="宋体" w:hAnsi="宋体"/>
                <w:szCs w:val="21"/>
                <w:highlight w:val="none"/>
              </w:rPr>
              <w:t>约定人民法院：</w:t>
            </w:r>
            <w:r>
              <w:rPr>
                <w:rFonts w:ascii="宋体" w:hAnsi="宋体"/>
                <w:szCs w:val="21"/>
                <w:highlight w:val="none"/>
                <w:u w:val="single"/>
              </w:rPr>
              <w:t xml:space="preserve"> 项目所在地有管辖权的人民法院提起诉讼</w:t>
            </w:r>
          </w:p>
        </w:tc>
      </w:tr>
    </w:tbl>
    <w:p w14:paraId="58C0EC76">
      <w:pPr>
        <w:spacing w:line="360" w:lineRule="auto"/>
        <w:rPr>
          <w:rFonts w:ascii="宋体" w:hAnsi="宋体"/>
          <w:szCs w:val="21"/>
          <w:highlight w:val="none"/>
        </w:rPr>
      </w:pPr>
    </w:p>
    <w:p w14:paraId="209E294B">
      <w:pPr>
        <w:spacing w:line="360" w:lineRule="auto"/>
        <w:rPr>
          <w:rFonts w:ascii="宋体" w:hAnsi="宋体"/>
          <w:szCs w:val="21"/>
          <w:highlight w:val="none"/>
        </w:rPr>
      </w:pPr>
    </w:p>
    <w:p w14:paraId="34BE20F2">
      <w:pPr>
        <w:spacing w:line="360" w:lineRule="auto"/>
        <w:rPr>
          <w:rFonts w:ascii="宋体" w:hAnsi="宋体"/>
          <w:szCs w:val="21"/>
          <w:highlight w:val="none"/>
        </w:rPr>
      </w:pPr>
    </w:p>
    <w:p w14:paraId="28E96AA4">
      <w:pPr>
        <w:spacing w:line="360" w:lineRule="auto"/>
        <w:rPr>
          <w:rFonts w:ascii="宋体" w:hAnsi="宋体"/>
          <w:sz w:val="18"/>
          <w:szCs w:val="18"/>
        </w:rPr>
        <w:sectPr>
          <w:type w:val="nextColumn"/>
          <w:pgSz w:w="11906" w:h="16838"/>
          <w:pgMar w:top="1134" w:right="1247" w:bottom="1077" w:left="1247" w:header="851" w:footer="794" w:gutter="0"/>
          <w:pgNumType w:fmt="decimal"/>
          <w:cols w:space="720" w:num="1"/>
          <w:docGrid w:linePitch="312" w:charSpace="0"/>
        </w:sectPr>
      </w:pPr>
    </w:p>
    <w:p w14:paraId="3EDA59AA">
      <w:pPr>
        <w:spacing w:line="360" w:lineRule="auto"/>
        <w:jc w:val="center"/>
        <w:rPr>
          <w:rFonts w:ascii="宋体" w:hAnsi="宋体"/>
          <w:b/>
          <w:sz w:val="25"/>
          <w:szCs w:val="25"/>
        </w:rPr>
      </w:pPr>
      <w:bookmarkStart w:id="305" w:name="_Toc489296006"/>
      <w:bookmarkStart w:id="306" w:name="_Toc283794319"/>
      <w:bookmarkStart w:id="307" w:name="_Toc287853471"/>
      <w:bookmarkStart w:id="308" w:name="_Toc288546771"/>
      <w:bookmarkStart w:id="309" w:name="_Toc54"/>
      <w:bookmarkStart w:id="310" w:name="_Toc428300168"/>
      <w:bookmarkStart w:id="311" w:name="_Toc288491647"/>
      <w:bookmarkStart w:id="312" w:name="_Toc282779631"/>
      <w:bookmarkStart w:id="313" w:name="_Toc282779122"/>
      <w:bookmarkStart w:id="314" w:name="_Toc282787573"/>
      <w:r>
        <w:rPr>
          <w:rFonts w:ascii="宋体" w:hAnsi="宋体"/>
          <w:b/>
          <w:sz w:val="25"/>
          <w:szCs w:val="25"/>
        </w:rPr>
        <w:t>项目专用合同条款</w:t>
      </w:r>
      <w:bookmarkEnd w:id="305"/>
      <w:bookmarkEnd w:id="306"/>
      <w:bookmarkEnd w:id="307"/>
      <w:bookmarkEnd w:id="308"/>
      <w:bookmarkEnd w:id="309"/>
      <w:bookmarkEnd w:id="310"/>
      <w:bookmarkEnd w:id="311"/>
      <w:bookmarkEnd w:id="312"/>
      <w:bookmarkEnd w:id="313"/>
      <w:bookmarkEnd w:id="314"/>
    </w:p>
    <w:p w14:paraId="41822759">
      <w:pPr>
        <w:spacing w:line="360" w:lineRule="auto"/>
        <w:ind w:firstLine="420" w:firstLineChars="200"/>
        <w:rPr>
          <w:rFonts w:ascii="宋体" w:hAnsi="宋体"/>
          <w:szCs w:val="21"/>
        </w:rPr>
      </w:pPr>
      <w:r>
        <w:rPr>
          <w:rFonts w:hint="eastAsia" w:ascii="宋体" w:hAnsi="宋体"/>
          <w:szCs w:val="21"/>
        </w:rPr>
        <w:t>说明：本部分所列的项目专用合同条款根据本项目的特点和实际需要，是对“通用合同条款”、“养护工程专用合同条款”的补充、细化或约定，应对照“通用合同条款”、“养护工程专用合同条款”中同一编号的条款一起阅读和理解。</w:t>
      </w:r>
    </w:p>
    <w:p w14:paraId="193AACC3">
      <w:pPr>
        <w:spacing w:line="360" w:lineRule="auto"/>
        <w:ind w:firstLine="422" w:firstLineChars="200"/>
        <w:outlineLvl w:val="0"/>
        <w:rPr>
          <w:rFonts w:ascii="宋体" w:hAnsi="宋体"/>
          <w:b/>
          <w:szCs w:val="21"/>
        </w:rPr>
      </w:pPr>
      <w:bookmarkStart w:id="315" w:name="_Toc7351"/>
      <w:bookmarkStart w:id="316" w:name="_Toc149226437"/>
      <w:bookmarkStart w:id="317" w:name="_Toc234382844"/>
      <w:bookmarkStart w:id="318" w:name="_Toc431721231"/>
      <w:bookmarkStart w:id="319" w:name="_Toc455665850"/>
      <w:bookmarkStart w:id="320" w:name="_Toc417397757"/>
      <w:bookmarkStart w:id="321" w:name="_Toc422583688"/>
      <w:bookmarkStart w:id="322" w:name="_Toc238268347"/>
      <w:bookmarkStart w:id="323" w:name="_Toc455669969"/>
      <w:bookmarkStart w:id="324" w:name="_Toc7782"/>
      <w:bookmarkStart w:id="325" w:name="_Toc455323750"/>
      <w:r>
        <w:rPr>
          <w:rFonts w:ascii="宋体" w:hAnsi="宋体"/>
          <w:b/>
          <w:szCs w:val="21"/>
        </w:rPr>
        <w:t>2．</w:t>
      </w:r>
      <w:r>
        <w:rPr>
          <w:rFonts w:hint="eastAsia" w:ascii="宋体" w:hAnsi="宋体"/>
          <w:b/>
          <w:szCs w:val="21"/>
        </w:rPr>
        <w:t xml:space="preserve"> </w:t>
      </w:r>
      <w:r>
        <w:rPr>
          <w:rFonts w:ascii="宋体" w:hAnsi="宋体"/>
          <w:b/>
          <w:szCs w:val="21"/>
        </w:rPr>
        <w:t xml:space="preserve"> 发包人义务</w:t>
      </w:r>
      <w:bookmarkEnd w:id="315"/>
      <w:bookmarkEnd w:id="316"/>
    </w:p>
    <w:p w14:paraId="5456570D">
      <w:pPr>
        <w:spacing w:line="360" w:lineRule="auto"/>
        <w:ind w:firstLine="420" w:firstLineChars="200"/>
        <w:outlineLvl w:val="0"/>
        <w:rPr>
          <w:rFonts w:ascii="宋体" w:hAnsi="宋体"/>
          <w:szCs w:val="21"/>
        </w:rPr>
      </w:pPr>
      <w:bookmarkStart w:id="326" w:name="_Toc149226439"/>
      <w:bookmarkStart w:id="327" w:name="_Toc16204"/>
      <w:r>
        <w:rPr>
          <w:rFonts w:ascii="宋体" w:hAnsi="宋体"/>
          <w:szCs w:val="21"/>
        </w:rPr>
        <w:t>2.8其它义务</w:t>
      </w:r>
      <w:bookmarkEnd w:id="326"/>
      <w:bookmarkEnd w:id="327"/>
    </w:p>
    <w:p w14:paraId="7FC7F589">
      <w:pPr>
        <w:spacing w:line="360" w:lineRule="auto"/>
        <w:ind w:firstLine="420" w:firstLineChars="200"/>
        <w:outlineLvl w:val="0"/>
        <w:rPr>
          <w:rFonts w:ascii="宋体" w:hAnsi="宋体"/>
          <w:szCs w:val="21"/>
        </w:rPr>
      </w:pPr>
      <w:bookmarkStart w:id="328" w:name="_Toc161676691"/>
      <w:bookmarkStart w:id="329" w:name="_Toc162968664"/>
      <w:bookmarkStart w:id="330" w:name="_Toc12499"/>
      <w:r>
        <w:rPr>
          <w:rFonts w:ascii="宋体" w:hAnsi="宋体"/>
          <w:szCs w:val="21"/>
        </w:rPr>
        <w:t>本条补充：</w:t>
      </w:r>
      <w:bookmarkEnd w:id="328"/>
      <w:bookmarkEnd w:id="329"/>
      <w:bookmarkEnd w:id="330"/>
    </w:p>
    <w:p w14:paraId="7F07AF82">
      <w:pPr>
        <w:spacing w:line="360" w:lineRule="auto"/>
        <w:ind w:firstLine="420" w:firstLineChars="200"/>
        <w:outlineLvl w:val="0"/>
        <w:rPr>
          <w:rFonts w:ascii="宋体" w:hAnsi="宋体"/>
          <w:szCs w:val="21"/>
        </w:rPr>
      </w:pPr>
      <w:bookmarkStart w:id="331" w:name="_Toc27603"/>
      <w:bookmarkStart w:id="332" w:name="_Toc162968665"/>
      <w:bookmarkStart w:id="333" w:name="_Toc161676692"/>
      <w:r>
        <w:rPr>
          <w:rFonts w:ascii="宋体" w:hAnsi="宋体"/>
          <w:szCs w:val="21"/>
        </w:rPr>
        <w:t>发包人向承包人提交和履约担保对等金额的支付担保。发包人应在签署合同协议书后28天内，按照金额和条件对等的原则，按招标文件规定的格式或者其他经承包人事先认可的格式向承包人提交一份支付担保。支付担保的有效期同履约担保。支付担保应在发包人付清交工付款之后28天内退还给发包人，承包人不承担发包人与支付担保有关的任何利息或其他费用或收益。</w:t>
      </w:r>
      <w:bookmarkEnd w:id="331"/>
      <w:bookmarkEnd w:id="332"/>
      <w:bookmarkEnd w:id="333"/>
    </w:p>
    <w:p w14:paraId="39CCBC71">
      <w:pPr>
        <w:spacing w:line="360" w:lineRule="auto"/>
        <w:ind w:firstLine="422" w:firstLineChars="200"/>
        <w:outlineLvl w:val="0"/>
        <w:rPr>
          <w:rFonts w:ascii="宋体" w:hAnsi="宋体"/>
          <w:b/>
          <w:szCs w:val="21"/>
        </w:rPr>
      </w:pPr>
      <w:bookmarkStart w:id="334" w:name="_Toc2182"/>
      <w:r>
        <w:rPr>
          <w:rFonts w:ascii="宋体" w:hAnsi="宋体"/>
          <w:b/>
          <w:szCs w:val="21"/>
        </w:rPr>
        <w:t>4.</w:t>
      </w:r>
      <w:bookmarkEnd w:id="317"/>
      <w:r>
        <w:rPr>
          <w:rFonts w:ascii="宋体" w:hAnsi="宋体"/>
          <w:b/>
          <w:szCs w:val="21"/>
        </w:rPr>
        <w:t xml:space="preserve">  承包人</w:t>
      </w:r>
      <w:bookmarkEnd w:id="318"/>
      <w:bookmarkEnd w:id="319"/>
      <w:bookmarkEnd w:id="320"/>
      <w:bookmarkEnd w:id="321"/>
      <w:bookmarkEnd w:id="322"/>
      <w:bookmarkEnd w:id="323"/>
      <w:bookmarkEnd w:id="324"/>
      <w:bookmarkEnd w:id="325"/>
      <w:bookmarkEnd w:id="334"/>
    </w:p>
    <w:p w14:paraId="275CBE8F">
      <w:pPr>
        <w:spacing w:line="360" w:lineRule="auto"/>
        <w:ind w:firstLine="422" w:firstLineChars="200"/>
        <w:rPr>
          <w:rFonts w:ascii="宋体" w:hAnsi="宋体"/>
          <w:b/>
          <w:szCs w:val="21"/>
        </w:rPr>
      </w:pPr>
      <w:bookmarkStart w:id="335" w:name="_Toc422583689"/>
      <w:bookmarkStart w:id="336" w:name="_Toc417397758"/>
      <w:bookmarkStart w:id="337" w:name="_Toc455669970"/>
      <w:bookmarkStart w:id="338" w:name="_Toc455323751"/>
      <w:bookmarkStart w:id="339" w:name="_Toc455665851"/>
      <w:bookmarkStart w:id="340" w:name="_Toc238268348"/>
      <w:bookmarkStart w:id="341" w:name="_Toc431721232"/>
      <w:r>
        <w:rPr>
          <w:rFonts w:ascii="宋体" w:hAnsi="宋体"/>
          <w:b/>
          <w:szCs w:val="21"/>
        </w:rPr>
        <w:t>4.1  承包人的一般义务</w:t>
      </w:r>
      <w:bookmarkEnd w:id="335"/>
      <w:bookmarkEnd w:id="336"/>
      <w:bookmarkEnd w:id="337"/>
      <w:bookmarkEnd w:id="338"/>
      <w:bookmarkEnd w:id="339"/>
      <w:bookmarkEnd w:id="340"/>
      <w:bookmarkEnd w:id="341"/>
    </w:p>
    <w:p w14:paraId="37EEC437">
      <w:pPr>
        <w:tabs>
          <w:tab w:val="left" w:pos="3193"/>
        </w:tabs>
        <w:spacing w:line="360" w:lineRule="auto"/>
        <w:ind w:firstLine="422" w:firstLineChars="200"/>
        <w:rPr>
          <w:rFonts w:hint="eastAsia" w:ascii="宋体" w:hAnsi="宋体"/>
          <w:b/>
          <w:szCs w:val="21"/>
        </w:rPr>
      </w:pPr>
      <w:r>
        <w:rPr>
          <w:rFonts w:hint="eastAsia" w:ascii="宋体" w:hAnsi="宋体"/>
          <w:b/>
          <w:szCs w:val="21"/>
        </w:rPr>
        <w:t>4.1.10</w:t>
      </w:r>
      <w:r>
        <w:rPr>
          <w:rFonts w:ascii="宋体" w:hAnsi="宋体"/>
          <w:b/>
          <w:szCs w:val="21"/>
        </w:rPr>
        <w:t xml:space="preserve">  </w:t>
      </w:r>
      <w:r>
        <w:rPr>
          <w:rFonts w:hint="eastAsia" w:ascii="宋体" w:hAnsi="宋体"/>
          <w:b/>
          <w:szCs w:val="21"/>
        </w:rPr>
        <w:t>其它义务</w:t>
      </w:r>
    </w:p>
    <w:p w14:paraId="1E32EE47">
      <w:pPr>
        <w:tabs>
          <w:tab w:val="left" w:pos="3193"/>
        </w:tabs>
        <w:spacing w:line="360" w:lineRule="auto"/>
        <w:ind w:firstLine="420" w:firstLineChars="200"/>
        <w:rPr>
          <w:rFonts w:hint="eastAsia" w:ascii="宋体" w:hAnsi="宋体"/>
          <w:szCs w:val="21"/>
        </w:rPr>
      </w:pPr>
      <w:r>
        <w:rPr>
          <w:rFonts w:hint="eastAsia" w:ascii="宋体" w:hAnsi="宋体"/>
          <w:szCs w:val="21"/>
        </w:rPr>
        <w:t>本项第4.1.10（2）目细化为：</w:t>
      </w:r>
    </w:p>
    <w:p w14:paraId="4B6E63BC">
      <w:pPr>
        <w:tabs>
          <w:tab w:val="left" w:pos="3193"/>
        </w:tabs>
        <w:spacing w:line="360" w:lineRule="auto"/>
        <w:ind w:firstLine="420" w:firstLineChars="200"/>
        <w:rPr>
          <w:rFonts w:ascii="宋体" w:hAnsi="宋体" w:eastAsia="宋体" w:cs="Times New Roman"/>
          <w:szCs w:val="21"/>
        </w:rPr>
      </w:pPr>
      <w:r>
        <w:rPr>
          <w:rFonts w:ascii="宋体" w:hAnsi="宋体" w:eastAsia="宋体" w:cs="Times New Roman"/>
          <w:szCs w:val="21"/>
        </w:rPr>
        <w:t>（2）承包人在本工程中，应严格执行相关规定 ，及时支付工程中的材料、设备货款及民工工资等费用。承包人不得以任何借口拖欠材料、设备货款及民工工资等费用 ，如果出现此种现象 ，发包人有权代为支付其拖欠的材料、设备货款及民工工资 ，并从应 付给承包人的工程款中扣除相应款项。对恶意拖欠和拒不按计划支付的，作为不良记录纳入浙江省交通运输信用综合管理服务系统。</w:t>
      </w:r>
    </w:p>
    <w:p w14:paraId="7E1F2B93">
      <w:pPr>
        <w:tabs>
          <w:tab w:val="left" w:pos="3193"/>
        </w:tabs>
        <w:spacing w:line="360" w:lineRule="auto"/>
        <w:ind w:firstLine="420" w:firstLineChars="200"/>
        <w:rPr>
          <w:rFonts w:ascii="宋体" w:hAnsi="宋体" w:eastAsia="宋体" w:cs="Times New Roman"/>
          <w:szCs w:val="21"/>
        </w:rPr>
      </w:pPr>
      <w:r>
        <w:rPr>
          <w:rFonts w:ascii="宋体" w:hAnsi="宋体" w:eastAsia="宋体" w:cs="Times New Roman"/>
          <w:szCs w:val="21"/>
        </w:rPr>
        <w:t>承包人的项目经理部是民工工资支付行为的主体，承包人的项目经理是民工工资支付的责任人。项 目经理部要建立全体民工花名册和工资支付表（包含分包单位），确保将工资直接发放给民工本人 ，或 委托银行发放民工工资 ，严禁发放给“包工头”或其他不具备用工主体资格的组织和个人。工资支付表 应如实记录支付单位、支付时间、支付对象、支付数额、支付对象的身份证号和签字等信息。民工花名 册和工资支付表应报监理人备查。</w:t>
      </w:r>
    </w:p>
    <w:p w14:paraId="54E1570D">
      <w:pPr>
        <w:tabs>
          <w:tab w:val="left" w:pos="3193"/>
        </w:tabs>
        <w:spacing w:line="360" w:lineRule="auto"/>
        <w:ind w:firstLine="420" w:firstLineChars="200"/>
        <w:rPr>
          <w:rFonts w:ascii="宋体" w:hAnsi="宋体" w:eastAsia="宋体" w:cs="Times New Roman"/>
          <w:szCs w:val="21"/>
        </w:rPr>
      </w:pPr>
      <w:r>
        <w:rPr>
          <w:rFonts w:ascii="宋体" w:hAnsi="宋体" w:eastAsia="宋体" w:cs="Times New Roman"/>
          <w:szCs w:val="21"/>
        </w:rPr>
        <w:t>承包人应按规定缴纳农民工工资保证金。</w:t>
      </w:r>
    </w:p>
    <w:p w14:paraId="52529D23">
      <w:pPr>
        <w:tabs>
          <w:tab w:val="left" w:pos="3193"/>
        </w:tabs>
        <w:spacing w:line="360" w:lineRule="auto"/>
        <w:ind w:firstLine="420" w:firstLineChars="200"/>
        <w:rPr>
          <w:rFonts w:ascii="宋体" w:hAnsi="宋体" w:eastAsia="宋体" w:cs="Times New Roman"/>
          <w:szCs w:val="21"/>
        </w:rPr>
      </w:pPr>
      <w:r>
        <w:rPr>
          <w:rFonts w:ascii="宋体" w:hAnsi="宋体" w:eastAsia="宋体" w:cs="Times New Roman"/>
          <w:szCs w:val="21"/>
        </w:rPr>
        <w:t>承包人应加强劳动合同管理，规范公路建设用工行为。不拖欠农民工工资 ，及时、足额发放农民工工资。</w:t>
      </w:r>
    </w:p>
    <w:p w14:paraId="7FD89AA2">
      <w:pPr>
        <w:tabs>
          <w:tab w:val="left" w:pos="3193"/>
        </w:tabs>
        <w:spacing w:line="360" w:lineRule="auto"/>
        <w:ind w:firstLine="420" w:firstLineChars="200"/>
        <w:rPr>
          <w:rFonts w:ascii="宋体" w:hAnsi="宋体" w:eastAsia="宋体" w:cs="Times New Roman"/>
          <w:szCs w:val="21"/>
        </w:rPr>
      </w:pPr>
      <w:r>
        <w:rPr>
          <w:rFonts w:ascii="宋体" w:hAnsi="宋体" w:eastAsia="宋体" w:cs="Times New Roman"/>
          <w:szCs w:val="21"/>
        </w:rPr>
        <w:t>若农民工工资专用账户中的余额不足以支付承包人应支付的农民工工资时，不足部分由发包人先行 补足 ，发包人垫付部分将从应支付给承包人的任何款项中扣除 ，承包人应无条件接受。</w:t>
      </w:r>
    </w:p>
    <w:p w14:paraId="044EC983">
      <w:pPr>
        <w:tabs>
          <w:tab w:val="left" w:pos="3193"/>
        </w:tabs>
        <w:spacing w:line="360" w:lineRule="auto"/>
        <w:ind w:firstLine="420" w:firstLineChars="200"/>
        <w:rPr>
          <w:rFonts w:ascii="宋体" w:hAnsi="宋体" w:eastAsia="宋体" w:cs="Times New Roman"/>
          <w:szCs w:val="21"/>
        </w:rPr>
      </w:pPr>
      <w:r>
        <w:rPr>
          <w:rFonts w:ascii="宋体" w:hAnsi="宋体" w:eastAsia="宋体" w:cs="Times New Roman"/>
          <w:szCs w:val="21"/>
        </w:rPr>
        <w:t>（3）临时占地由承包人向当地政府土地管理部门申请 ，并办理租用手续 ，承包人按有关规定直接支付其费用 ，发包人对此将予以协调。</w:t>
      </w:r>
    </w:p>
    <w:p w14:paraId="58BD0F4D">
      <w:pPr>
        <w:tabs>
          <w:tab w:val="left" w:pos="3193"/>
        </w:tabs>
        <w:spacing w:line="360" w:lineRule="auto"/>
        <w:ind w:firstLine="420" w:firstLineChars="200"/>
        <w:rPr>
          <w:rFonts w:ascii="宋体" w:hAnsi="宋体" w:eastAsia="宋体" w:cs="Times New Roman"/>
          <w:b/>
          <w:bCs/>
          <w:szCs w:val="21"/>
        </w:rPr>
      </w:pPr>
      <w:r>
        <w:rPr>
          <w:rFonts w:ascii="宋体" w:hAnsi="宋体" w:eastAsia="宋体" w:cs="Times New Roman"/>
          <w:szCs w:val="21"/>
        </w:rPr>
        <w:t>临时占地范围包括承包人驻地的办公室、食堂、宿舍、道路和机械设备停放场、材料堆放场地、拌 和场、钢筋加工场、预制场、仓库、进场临时道路、临时便道、便桥、弃土场、取土场等。承包人应在 “临时占地计划表”范围内按实际需要与先后次序 ，提出具体计划报监理人同意 ，并报发包人。临时占 地的面积和使用期应满足工程需要 ，费用包括临时占地数量、时间及因此而发生的协调、租用、复耕、 地面附着物（包括电力、电信、房屋、坟墓）的拆迁补偿等相关费用。临</w:t>
      </w:r>
      <w:r>
        <w:rPr>
          <w:rFonts w:ascii="宋体" w:hAnsi="宋体" w:eastAsia="宋体" w:cs="Times New Roman"/>
          <w:b/>
          <w:bCs/>
          <w:szCs w:val="21"/>
        </w:rPr>
        <w:t>时占地的租地费用实施总额包 干，列入工程量清单 100 章中由承包人按总额报价。报批临时用地所需的其他一切费用也由承包人综合 考虑在第 100 章中 ，发包人不再另行支付。</w:t>
      </w:r>
    </w:p>
    <w:p w14:paraId="7DB624C0">
      <w:pPr>
        <w:tabs>
          <w:tab w:val="left" w:pos="3193"/>
        </w:tabs>
        <w:spacing w:line="360" w:lineRule="auto"/>
        <w:ind w:firstLine="420" w:firstLineChars="200"/>
        <w:rPr>
          <w:rFonts w:ascii="宋体" w:hAnsi="宋体" w:eastAsia="宋体" w:cs="Times New Roman"/>
          <w:szCs w:val="21"/>
        </w:rPr>
      </w:pPr>
      <w:r>
        <w:rPr>
          <w:rFonts w:ascii="宋体" w:hAnsi="宋体" w:eastAsia="宋体" w:cs="Times New Roman"/>
          <w:szCs w:val="21"/>
        </w:rPr>
        <w:t>发包人对临时占地协助办理的成功与否 ，不免除根据合同文件规定的承包人的一切责任。</w:t>
      </w:r>
    </w:p>
    <w:p w14:paraId="52B20FE8">
      <w:pPr>
        <w:tabs>
          <w:tab w:val="left" w:pos="3193"/>
        </w:tabs>
        <w:spacing w:line="360" w:lineRule="auto"/>
        <w:ind w:firstLine="420" w:firstLineChars="200"/>
        <w:rPr>
          <w:rFonts w:ascii="宋体" w:hAnsi="宋体" w:eastAsia="宋体" w:cs="Times New Roman"/>
          <w:szCs w:val="21"/>
        </w:rPr>
      </w:pPr>
      <w:r>
        <w:rPr>
          <w:rFonts w:ascii="宋体" w:hAnsi="宋体" w:eastAsia="宋体" w:cs="Times New Roman"/>
          <w:szCs w:val="21"/>
        </w:rPr>
        <w:t>临时占地、临时用河使用退还前，承包人应自费恢复到使用前的状况或自费恢复到符合地方政府要 求的状况。如因承包人撤离后未按要求对临时用地、用河进行恢复或虽进行了恢复但未达到标准的，将由发包人委托第三方对其恢复 ，所发生的费用将从应付给承包人的任何款项内扣除。</w:t>
      </w:r>
    </w:p>
    <w:p w14:paraId="4CB7FBE2">
      <w:pPr>
        <w:spacing w:before="1" w:line="228" w:lineRule="auto"/>
        <w:ind w:left="455"/>
        <w:rPr>
          <w:rFonts w:ascii="微软雅黑" w:hAnsi="微软雅黑" w:eastAsia="微软雅黑" w:cs="微软雅黑"/>
          <w:sz w:val="20"/>
          <w:szCs w:val="20"/>
        </w:rPr>
      </w:pPr>
    </w:p>
    <w:p w14:paraId="4024725F">
      <w:pPr>
        <w:tabs>
          <w:tab w:val="left" w:pos="3193"/>
        </w:tabs>
        <w:spacing w:line="360" w:lineRule="auto"/>
        <w:rPr>
          <w:rFonts w:ascii="宋体" w:hAnsi="宋体"/>
          <w:b/>
          <w:szCs w:val="21"/>
        </w:rPr>
      </w:pPr>
      <w:r>
        <w:rPr>
          <w:rFonts w:ascii="宋体" w:hAnsi="宋体"/>
          <w:b/>
          <w:szCs w:val="21"/>
        </w:rPr>
        <w:t>本项补充第4.1.10（4）～（</w:t>
      </w:r>
      <w:r>
        <w:rPr>
          <w:rFonts w:hint="eastAsia" w:ascii="宋体" w:hAnsi="宋体"/>
          <w:b/>
          <w:szCs w:val="21"/>
        </w:rPr>
        <w:t>2</w:t>
      </w:r>
      <w:r>
        <w:rPr>
          <w:rFonts w:ascii="宋体" w:hAnsi="宋体"/>
          <w:b/>
          <w:szCs w:val="21"/>
        </w:rPr>
        <w:t>4）：</w:t>
      </w:r>
      <w:bookmarkStart w:id="342" w:name="_Toc455669972"/>
      <w:bookmarkStart w:id="343" w:name="_Toc455665853"/>
    </w:p>
    <w:p w14:paraId="3089FAF9">
      <w:pPr>
        <w:tabs>
          <w:tab w:val="left" w:pos="3193"/>
        </w:tabs>
        <w:spacing w:line="360" w:lineRule="auto"/>
        <w:ind w:firstLine="420" w:firstLineChars="200"/>
        <w:rPr>
          <w:rFonts w:ascii="宋体" w:hAnsi="宋体"/>
          <w:b/>
          <w:szCs w:val="21"/>
        </w:rPr>
      </w:pPr>
      <w:r>
        <w:rPr>
          <w:rFonts w:ascii="宋体" w:hAnsi="宋体"/>
          <w:szCs w:val="21"/>
        </w:rPr>
        <w:t>（4）项目审计（含跟踪审计）、稽查和检查等的配合</w:t>
      </w:r>
      <w:bookmarkEnd w:id="342"/>
      <w:bookmarkEnd w:id="343"/>
    </w:p>
    <w:p w14:paraId="65571DE0">
      <w:pPr>
        <w:tabs>
          <w:tab w:val="left" w:pos="3193"/>
        </w:tabs>
        <w:spacing w:line="360" w:lineRule="auto"/>
        <w:ind w:firstLine="420" w:firstLineChars="200"/>
        <w:rPr>
          <w:rFonts w:ascii="宋体" w:hAnsi="宋体"/>
          <w:szCs w:val="21"/>
        </w:rPr>
      </w:pPr>
      <w:r>
        <w:rPr>
          <w:rFonts w:ascii="宋体" w:hAnsi="宋体"/>
          <w:szCs w:val="21"/>
        </w:rPr>
        <w:t xml:space="preserve"> a、与本工程项目相关的审计和稽查，承包人应高度重视并委派专人积极予以配合；</w:t>
      </w:r>
    </w:p>
    <w:p w14:paraId="5607FEB0">
      <w:pPr>
        <w:tabs>
          <w:tab w:val="left" w:pos="3193"/>
        </w:tabs>
        <w:spacing w:line="360" w:lineRule="auto"/>
        <w:ind w:firstLine="420" w:firstLineChars="200"/>
        <w:rPr>
          <w:rFonts w:ascii="宋体" w:hAnsi="宋体"/>
          <w:szCs w:val="21"/>
        </w:rPr>
      </w:pPr>
      <w:r>
        <w:rPr>
          <w:rFonts w:ascii="宋体" w:hAnsi="宋体"/>
          <w:szCs w:val="21"/>
        </w:rPr>
        <w:t xml:space="preserve"> b、有关单位对本项目的各种检查等活动，承包人有义务予以积极配合开展各项工作；</w:t>
      </w:r>
    </w:p>
    <w:p w14:paraId="18D09A5B">
      <w:pPr>
        <w:tabs>
          <w:tab w:val="left" w:pos="3193"/>
        </w:tabs>
        <w:spacing w:line="360" w:lineRule="auto"/>
        <w:ind w:firstLine="420" w:firstLineChars="200"/>
        <w:rPr>
          <w:rFonts w:ascii="宋体" w:hAnsi="宋体"/>
          <w:szCs w:val="21"/>
        </w:rPr>
      </w:pPr>
      <w:r>
        <w:rPr>
          <w:rFonts w:ascii="宋体" w:hAnsi="宋体"/>
          <w:szCs w:val="21"/>
        </w:rPr>
        <w:t xml:space="preserve"> c、本工程项目有关的各类统计报表、汇报材料包括交（竣）工验收和项目后评价报告等，承包人有义务配合发包人做好编制工作并提供相应的资料；</w:t>
      </w:r>
    </w:p>
    <w:p w14:paraId="04D5BB8A">
      <w:pPr>
        <w:tabs>
          <w:tab w:val="left" w:pos="3193"/>
        </w:tabs>
        <w:spacing w:line="360" w:lineRule="auto"/>
        <w:ind w:firstLine="420" w:firstLineChars="200"/>
        <w:rPr>
          <w:rFonts w:ascii="宋体" w:hAnsi="宋体"/>
          <w:szCs w:val="21"/>
        </w:rPr>
      </w:pPr>
      <w:r>
        <w:rPr>
          <w:rFonts w:ascii="宋体" w:hAnsi="宋体"/>
          <w:szCs w:val="21"/>
        </w:rPr>
        <w:t xml:space="preserve"> d、承包人应按发包人、监理人和有关文件的要求，建立相应的计量、支付和变更台帐，同时承包人应配合发包人、监理人建立相应的台帐，并保持其持续有效直至工程决算完成；</w:t>
      </w:r>
    </w:p>
    <w:p w14:paraId="48994759">
      <w:pPr>
        <w:tabs>
          <w:tab w:val="left" w:pos="3193"/>
        </w:tabs>
        <w:spacing w:line="360" w:lineRule="auto"/>
        <w:ind w:firstLine="420" w:firstLineChars="200"/>
        <w:rPr>
          <w:rFonts w:ascii="宋体" w:hAnsi="宋体"/>
          <w:szCs w:val="21"/>
        </w:rPr>
      </w:pPr>
      <w:r>
        <w:rPr>
          <w:rFonts w:ascii="宋体" w:hAnsi="宋体"/>
          <w:szCs w:val="21"/>
        </w:rPr>
        <w:t xml:space="preserve"> e、承包人应按发包人要求将有关材料的供货合同等资料提供给发包人和监理人备案。取材的料场或供货人和货源应保持相对固定，承包人及其供货人应接受发包人和监理人的监督检查，如有变更应及时通知发包人或监理人并送交相应有关资料。监理人征得发包人同意后有权要求承包人更换不符合要求的料场，承包人必须接受。</w:t>
      </w:r>
    </w:p>
    <w:p w14:paraId="32DC622E">
      <w:pPr>
        <w:tabs>
          <w:tab w:val="left" w:pos="3193"/>
        </w:tabs>
        <w:spacing w:line="360" w:lineRule="auto"/>
        <w:ind w:firstLine="420" w:firstLineChars="200"/>
        <w:rPr>
          <w:rFonts w:ascii="宋体" w:hAnsi="宋体"/>
          <w:szCs w:val="21"/>
        </w:rPr>
      </w:pPr>
      <w:bookmarkStart w:id="344" w:name="_Toc455669973"/>
      <w:bookmarkStart w:id="345" w:name="_Toc455665854"/>
      <w:r>
        <w:rPr>
          <w:rFonts w:ascii="宋体" w:hAnsi="宋体"/>
          <w:szCs w:val="21"/>
        </w:rPr>
        <w:t>（5）与第三方检测、监控、科研单位的配合</w:t>
      </w:r>
      <w:bookmarkEnd w:id="344"/>
      <w:bookmarkEnd w:id="345"/>
    </w:p>
    <w:p w14:paraId="03102BE8">
      <w:pPr>
        <w:tabs>
          <w:tab w:val="left" w:pos="3193"/>
        </w:tabs>
        <w:spacing w:line="360" w:lineRule="auto"/>
        <w:ind w:firstLine="420" w:firstLineChars="200"/>
        <w:rPr>
          <w:rFonts w:ascii="宋体" w:hAnsi="宋体"/>
          <w:szCs w:val="21"/>
        </w:rPr>
      </w:pPr>
      <w:r>
        <w:rPr>
          <w:rFonts w:ascii="宋体" w:hAnsi="宋体"/>
          <w:szCs w:val="21"/>
        </w:rPr>
        <w:t xml:space="preserve"> a、承包人必须积极配合、协助第三方检测、监控、科研等单位的工作，委派专人做好配合工作。</w:t>
      </w:r>
    </w:p>
    <w:p w14:paraId="6D76EEA9">
      <w:pPr>
        <w:tabs>
          <w:tab w:val="left" w:pos="3193"/>
        </w:tabs>
        <w:spacing w:line="360" w:lineRule="auto"/>
        <w:ind w:firstLine="420" w:firstLineChars="200"/>
        <w:rPr>
          <w:rFonts w:ascii="宋体" w:hAnsi="宋体"/>
          <w:szCs w:val="21"/>
        </w:rPr>
      </w:pPr>
      <w:r>
        <w:rPr>
          <w:rFonts w:ascii="宋体" w:hAnsi="宋体"/>
          <w:szCs w:val="21"/>
        </w:rPr>
        <w:t xml:space="preserve"> b、承包人应熟悉第三方检测、监控、科研等单位的检测、监控、科研实施方案和流程，配合工作也应有相应的方案，该方案须经监理人审批同意；</w:t>
      </w:r>
    </w:p>
    <w:p w14:paraId="3A8D6685">
      <w:pPr>
        <w:tabs>
          <w:tab w:val="left" w:pos="3193"/>
        </w:tabs>
        <w:spacing w:line="360" w:lineRule="auto"/>
        <w:ind w:firstLine="420" w:firstLineChars="200"/>
        <w:rPr>
          <w:rFonts w:ascii="宋体" w:hAnsi="宋体"/>
          <w:szCs w:val="21"/>
        </w:rPr>
      </w:pPr>
      <w:r>
        <w:rPr>
          <w:rFonts w:ascii="宋体" w:hAnsi="宋体"/>
          <w:szCs w:val="21"/>
        </w:rPr>
        <w:t xml:space="preserve"> c、施工检测、监控、科研过程中，应在监理人的统一调配下，承包人应尽可能地提供人员、材料、设备的便利，以便施工检测、监控、科研工作顺利的进行；</w:t>
      </w:r>
    </w:p>
    <w:p w14:paraId="5A08858D">
      <w:pPr>
        <w:tabs>
          <w:tab w:val="left" w:pos="3193"/>
        </w:tabs>
        <w:spacing w:line="360" w:lineRule="auto"/>
        <w:ind w:firstLine="420" w:firstLineChars="200"/>
        <w:rPr>
          <w:rFonts w:ascii="宋体" w:hAnsi="宋体"/>
          <w:szCs w:val="21"/>
        </w:rPr>
      </w:pPr>
      <w:r>
        <w:rPr>
          <w:rFonts w:ascii="宋体" w:hAnsi="宋体"/>
          <w:szCs w:val="21"/>
        </w:rPr>
        <w:t xml:space="preserve"> d、承包人应参与检测、监控、科研资料的总结与分析工作。</w:t>
      </w:r>
    </w:p>
    <w:p w14:paraId="3CF1EB1C">
      <w:pPr>
        <w:numPr>
          <w:ilvl w:val="0"/>
          <w:numId w:val="18"/>
        </w:numPr>
        <w:tabs>
          <w:tab w:val="left" w:pos="3193"/>
        </w:tabs>
        <w:spacing w:line="360" w:lineRule="auto"/>
        <w:ind w:firstLine="420" w:firstLineChars="200"/>
        <w:rPr>
          <w:rFonts w:ascii="宋体" w:hAnsi="宋体"/>
          <w:szCs w:val="21"/>
        </w:rPr>
      </w:pPr>
      <w:r>
        <w:rPr>
          <w:rFonts w:ascii="宋体" w:hAnsi="宋体"/>
          <w:szCs w:val="21"/>
        </w:rPr>
        <w:t>地方道路、分流道路的维护和管理</w:t>
      </w:r>
    </w:p>
    <w:p w14:paraId="7A8B6CA0">
      <w:pPr>
        <w:tabs>
          <w:tab w:val="left" w:pos="3193"/>
        </w:tabs>
        <w:spacing w:line="360" w:lineRule="auto"/>
        <w:ind w:firstLine="420" w:firstLineChars="200"/>
        <w:rPr>
          <w:rFonts w:ascii="宋体" w:hAnsi="宋体"/>
          <w:szCs w:val="21"/>
        </w:rPr>
      </w:pPr>
      <w:r>
        <w:rPr>
          <w:rFonts w:ascii="宋体" w:hAnsi="宋体"/>
          <w:szCs w:val="21"/>
        </w:rPr>
        <w:t xml:space="preserve"> 承包人在使用现有地方道路和分流道路过程中，必须采用一切措施确保车辆正常通行，做好施工、通车两不误。承包人应针对通车路段的施工特点，提出通车路段的施工维护方案、交通组织方案，报监理人及相关职能部门批准，并认真组织实施。施工方案和措施应包括：     </w:t>
      </w:r>
    </w:p>
    <w:p w14:paraId="19850D93">
      <w:pPr>
        <w:tabs>
          <w:tab w:val="left" w:pos="3193"/>
        </w:tabs>
        <w:spacing w:line="360" w:lineRule="auto"/>
        <w:ind w:firstLine="420" w:firstLineChars="200"/>
        <w:rPr>
          <w:rFonts w:ascii="宋体" w:hAnsi="宋体"/>
          <w:szCs w:val="21"/>
        </w:rPr>
      </w:pPr>
      <w:r>
        <w:rPr>
          <w:rFonts w:ascii="宋体" w:hAnsi="宋体"/>
          <w:szCs w:val="21"/>
        </w:rPr>
        <w:t xml:space="preserve"> a．成立维护、管理组织，负责正常道路维护和交通管理工作；</w:t>
      </w:r>
    </w:p>
    <w:p w14:paraId="479DDACE">
      <w:pPr>
        <w:tabs>
          <w:tab w:val="left" w:pos="3193"/>
        </w:tabs>
        <w:spacing w:line="360" w:lineRule="auto"/>
        <w:ind w:firstLine="420" w:firstLineChars="200"/>
        <w:rPr>
          <w:rFonts w:ascii="宋体" w:hAnsi="宋体"/>
          <w:szCs w:val="21"/>
        </w:rPr>
      </w:pPr>
      <w:r>
        <w:rPr>
          <w:rFonts w:ascii="宋体" w:hAnsi="宋体"/>
          <w:szCs w:val="21"/>
        </w:rPr>
        <w:t xml:space="preserve"> b. 落实施工措施，根据实际情况合理分段、分幅安排施工，要控制施工长度，维持足够宽度，保持良好平整度，做好排水顺畅，路面无低洼积水，确保车辆能顺利交会，车辆平稳通过；</w:t>
      </w:r>
    </w:p>
    <w:p w14:paraId="4D1E163E">
      <w:pPr>
        <w:tabs>
          <w:tab w:val="left" w:pos="3193"/>
        </w:tabs>
        <w:spacing w:line="360" w:lineRule="auto"/>
        <w:ind w:firstLine="420" w:firstLineChars="200"/>
        <w:rPr>
          <w:rFonts w:ascii="宋体" w:hAnsi="宋体"/>
          <w:szCs w:val="21"/>
        </w:rPr>
      </w:pPr>
      <w:r>
        <w:rPr>
          <w:rFonts w:ascii="宋体" w:hAnsi="宋体"/>
          <w:szCs w:val="21"/>
        </w:rPr>
        <w:t xml:space="preserve"> c. 配备交通管理标志，指定专人维护交通秩序；</w:t>
      </w:r>
    </w:p>
    <w:p w14:paraId="3F4D7C49">
      <w:pPr>
        <w:tabs>
          <w:tab w:val="left" w:pos="3193"/>
        </w:tabs>
        <w:spacing w:line="360" w:lineRule="auto"/>
        <w:ind w:firstLine="420" w:firstLineChars="200"/>
        <w:rPr>
          <w:rFonts w:ascii="宋体" w:hAnsi="宋体"/>
          <w:szCs w:val="21"/>
        </w:rPr>
      </w:pPr>
      <w:r>
        <w:rPr>
          <w:rFonts w:ascii="宋体" w:hAnsi="宋体"/>
          <w:szCs w:val="21"/>
        </w:rPr>
        <w:t xml:space="preserve"> d. 加强与交警、路政等职能部门联系，争取交警。路政等的参与，建立切实可行交通管理制度。</w:t>
      </w:r>
    </w:p>
    <w:p w14:paraId="425F90AF">
      <w:pPr>
        <w:tabs>
          <w:tab w:val="left" w:pos="3193"/>
        </w:tabs>
        <w:spacing w:line="360" w:lineRule="auto"/>
        <w:ind w:firstLine="420" w:firstLineChars="200"/>
        <w:rPr>
          <w:rFonts w:ascii="宋体" w:hAnsi="宋体"/>
          <w:szCs w:val="21"/>
        </w:rPr>
      </w:pPr>
      <w:r>
        <w:rPr>
          <w:rFonts w:ascii="宋体" w:hAnsi="宋体"/>
          <w:szCs w:val="21"/>
        </w:rPr>
        <w:t xml:space="preserve"> 由于承包人措施不力，导致阻车和事故频发或损坏地方的道路及分流道路，影响交通安全和正常运行，并造成重大影响，引起索赔，赔偿、诉讼费用及工程拖延或施工费用增加时，应由承包人承担一切责任和费用。</w:t>
      </w:r>
    </w:p>
    <w:p w14:paraId="5B084C2C">
      <w:pPr>
        <w:tabs>
          <w:tab w:val="left" w:pos="3193"/>
        </w:tabs>
        <w:spacing w:line="360" w:lineRule="auto"/>
        <w:ind w:firstLine="420" w:firstLineChars="200"/>
        <w:rPr>
          <w:rFonts w:ascii="宋体" w:hAnsi="宋体"/>
          <w:szCs w:val="21"/>
        </w:rPr>
      </w:pPr>
      <w:r>
        <w:rPr>
          <w:rFonts w:ascii="宋体" w:hAnsi="宋体"/>
          <w:szCs w:val="21"/>
        </w:rPr>
        <w:t xml:space="preserve"> （7）承包人应配合发包人做好征地拆迁的配合工作，必要时应无偿提供人力、设备以及材料等方面的支持配合，承包人因此增加的费用应认为已包括在合同价之中，发包人不另行支付。</w:t>
      </w:r>
    </w:p>
    <w:p w14:paraId="609C8A8D">
      <w:pPr>
        <w:tabs>
          <w:tab w:val="left" w:pos="3193"/>
        </w:tabs>
        <w:spacing w:line="360" w:lineRule="auto"/>
        <w:ind w:firstLine="420" w:firstLineChars="200"/>
        <w:rPr>
          <w:rFonts w:ascii="宋体" w:hAnsi="宋体"/>
          <w:szCs w:val="21"/>
        </w:rPr>
      </w:pPr>
      <w:r>
        <w:rPr>
          <w:rFonts w:ascii="宋体" w:hAnsi="宋体"/>
          <w:szCs w:val="21"/>
        </w:rPr>
        <w:t xml:space="preserve"> （8）几个承包人或与相邻标段或与相邻项目在同一区域内施工时，监理人有权协调工程的实施，并对工程衔接作出指示，承包人应在监理人的统一协调下工程，承包人因此增加的费用应认为已包括在投标价之中，发包人不另行支付。</w:t>
      </w:r>
    </w:p>
    <w:p w14:paraId="68490B5E">
      <w:pPr>
        <w:tabs>
          <w:tab w:val="left" w:pos="3193"/>
        </w:tabs>
        <w:spacing w:line="360" w:lineRule="auto"/>
        <w:ind w:firstLine="420" w:firstLineChars="200"/>
        <w:rPr>
          <w:rFonts w:ascii="宋体" w:hAnsi="宋体"/>
          <w:szCs w:val="21"/>
        </w:rPr>
      </w:pPr>
      <w:r>
        <w:rPr>
          <w:rFonts w:ascii="宋体" w:hAnsi="宋体"/>
          <w:szCs w:val="21"/>
        </w:rPr>
        <w:t xml:space="preserve"> （9）未经发包人事先批准，承包人不得在任何报纸、商业或技术文献上刊登或披露任何与本合同或与本工程有关的详细资料。</w:t>
      </w:r>
    </w:p>
    <w:p w14:paraId="2FF55C80">
      <w:pPr>
        <w:tabs>
          <w:tab w:val="left" w:pos="3193"/>
        </w:tabs>
        <w:spacing w:line="360" w:lineRule="auto"/>
        <w:ind w:firstLine="420" w:firstLineChars="200"/>
        <w:rPr>
          <w:rFonts w:ascii="宋体" w:hAnsi="宋体"/>
          <w:szCs w:val="21"/>
        </w:rPr>
      </w:pPr>
      <w:r>
        <w:rPr>
          <w:rFonts w:ascii="宋体" w:hAnsi="宋体"/>
          <w:szCs w:val="21"/>
        </w:rPr>
        <w:t xml:space="preserve"> 承包人不应在现场或施工设施上展示或容许展示任何贸易和商业性广告。在工地现场张贴布告，应事先得到监理人的批准，当监理人指示撤除时，应立即执行。</w:t>
      </w:r>
    </w:p>
    <w:p w14:paraId="02A98E8C">
      <w:pPr>
        <w:tabs>
          <w:tab w:val="left" w:pos="3193"/>
        </w:tabs>
        <w:spacing w:line="360" w:lineRule="auto"/>
        <w:ind w:firstLine="420" w:firstLineChars="200"/>
        <w:rPr>
          <w:rFonts w:ascii="宋体" w:hAnsi="宋体"/>
          <w:szCs w:val="21"/>
        </w:rPr>
      </w:pPr>
      <w:r>
        <w:rPr>
          <w:rFonts w:ascii="宋体" w:hAnsi="宋体"/>
          <w:szCs w:val="21"/>
        </w:rPr>
        <w:t xml:space="preserve"> （10）承包人不得将任何种类的爆破器材给予、易货或其他任何方式转给他人，承包人应遵守《中华人民共和国民用爆炸品管理条例》。承包人进行爆破施工前应当编制详细实施性施工方案、安全专项方案以及相关的试爆工作的实施方案，并报监理人及相关部门审批认可，同时应综合考虑爆破震动、落物等负面因素对正在运营的高速公路、电力、通信通讯等周边设施、建筑物和环境等的影响，承包人应加强施工过程中的监控量测工作，制定相应的预警预控机制和安全应急预案，避免对上诉设施造成破坏，否则，由此引起的一切费用由承包人承担。</w:t>
      </w:r>
    </w:p>
    <w:p w14:paraId="6CA443E8">
      <w:pPr>
        <w:tabs>
          <w:tab w:val="left" w:pos="3193"/>
        </w:tabs>
        <w:spacing w:line="360" w:lineRule="auto"/>
        <w:ind w:firstLine="420" w:firstLineChars="200"/>
        <w:rPr>
          <w:rFonts w:ascii="宋体" w:hAnsi="宋体"/>
          <w:szCs w:val="21"/>
        </w:rPr>
      </w:pPr>
      <w:r>
        <w:rPr>
          <w:rFonts w:ascii="宋体" w:hAnsi="宋体"/>
          <w:szCs w:val="21"/>
        </w:rPr>
        <w:t>（11）工程完工后，承包人所在标段的遗留问题，如（不限于）：河道清理、渣土清运、临时用地（含取、弃土场等）的复耕复绿、老桥拆除砼垃圾的清理外运解小、建筑垃圾和渣土清运，临时工程的清楚、赔偿，因承包人施工原因造成的受损地方道路、桥梁或其他公共设施等，承包人应积极主动进行处理、解决、 修复和恢复等，并承担所有费用。如果上述问题在发包人规定的期限内不能解决，发包人有权单独或委托其他单位进行处理，发生的全部费用从承包人保留金抵扣，承包人应无条件接受。</w:t>
      </w:r>
      <w:bookmarkStart w:id="346" w:name="_Toc455669974"/>
      <w:bookmarkStart w:id="347" w:name="_Toc455665855"/>
      <w:bookmarkStart w:id="348" w:name="_Toc455323752"/>
    </w:p>
    <w:p w14:paraId="0A2ABB5E">
      <w:pPr>
        <w:tabs>
          <w:tab w:val="left" w:pos="3193"/>
        </w:tabs>
        <w:spacing w:line="360" w:lineRule="auto"/>
        <w:ind w:firstLine="420" w:firstLineChars="200"/>
        <w:rPr>
          <w:rFonts w:ascii="宋体" w:hAnsi="宋体"/>
          <w:szCs w:val="21"/>
        </w:rPr>
      </w:pPr>
      <w:r>
        <w:rPr>
          <w:rFonts w:hint="eastAsia" w:ascii="宋体" w:hAnsi="宋体"/>
          <w:szCs w:val="21"/>
        </w:rPr>
        <w:t>（12）维护社会稳定</w:t>
      </w:r>
    </w:p>
    <w:p w14:paraId="291B3C11">
      <w:pPr>
        <w:tabs>
          <w:tab w:val="left" w:pos="3193"/>
        </w:tabs>
        <w:spacing w:line="360" w:lineRule="auto"/>
        <w:ind w:firstLine="420" w:firstLineChars="200"/>
        <w:rPr>
          <w:rFonts w:ascii="宋体" w:hAnsi="宋体"/>
          <w:szCs w:val="21"/>
        </w:rPr>
      </w:pPr>
      <w:r>
        <w:rPr>
          <w:rFonts w:hint="eastAsia" w:ascii="宋体" w:hAnsi="宋体"/>
          <w:szCs w:val="21"/>
        </w:rPr>
        <w:t>承包人应做好施工区域相关工作维护社会稳定，避免发生承包人原因引起施工队伍或施工引起周边群众等群体性上访事件。违反本款规定，则按第22.1款承包人违约处理。</w:t>
      </w:r>
    </w:p>
    <w:p w14:paraId="18F79181">
      <w:pPr>
        <w:tabs>
          <w:tab w:val="left" w:pos="3193"/>
        </w:tabs>
        <w:spacing w:line="360" w:lineRule="auto"/>
        <w:ind w:firstLine="420" w:firstLineChars="200"/>
        <w:rPr>
          <w:rFonts w:ascii="宋体" w:hAnsi="宋体"/>
          <w:szCs w:val="21"/>
        </w:rPr>
      </w:pPr>
      <w:r>
        <w:rPr>
          <w:rFonts w:hint="eastAsia" w:ascii="宋体" w:hAnsi="宋体"/>
          <w:szCs w:val="21"/>
        </w:rPr>
        <w:t>（13）承包人应加强做好文明施工，和谐稳定工作，做好施工区域相关工作维护社会稳定，避免发生承包人原因引起施工队伍或施工引起周边群众等群体性上访事件。</w:t>
      </w:r>
    </w:p>
    <w:p w14:paraId="1194B3BC">
      <w:pPr>
        <w:tabs>
          <w:tab w:val="left" w:pos="3193"/>
        </w:tabs>
        <w:spacing w:line="360" w:lineRule="auto"/>
        <w:ind w:firstLine="420" w:firstLineChars="200"/>
        <w:rPr>
          <w:rFonts w:ascii="宋体" w:hAnsi="宋体"/>
          <w:szCs w:val="21"/>
        </w:rPr>
      </w:pPr>
      <w:r>
        <w:rPr>
          <w:rFonts w:hint="eastAsia" w:ascii="宋体" w:hAnsi="宋体"/>
          <w:szCs w:val="21"/>
        </w:rPr>
        <w:t>（14）为进一步加强公路水运工程安全生产“双基”工作，有效落实企业安全生产主体责任，根据《交通运输部关于开展公路水运工程平安工地建设活动的通知》（交质监发[2010]132 号）、《交通运输部 安全监管总局关于组织公路水运建设项目平安工程冠名工作的通知》（交质监发 [2012] 639 号）、《交通运输部关于开展公路水运工程“平安工地”考核评价工作的通知》（交质监发[2012]679 号）要求，做好工程施工安全及平安工地建设，确保本工程顺利完工。考虑到本项目有边通车边施工的情况，且车流量较大，为加强安全管理力度，促进安全管理工作相关的措施，以上所涉及到的相关费用均由承包人充分考虑在安全生产费用中（计入交通安全管理费部分除外），发包人不另行计量和支付。</w:t>
      </w:r>
    </w:p>
    <w:p w14:paraId="0F9F25D4">
      <w:pPr>
        <w:tabs>
          <w:tab w:val="left" w:pos="3193"/>
        </w:tabs>
        <w:spacing w:line="360" w:lineRule="auto"/>
        <w:ind w:firstLine="420" w:firstLineChars="200"/>
        <w:rPr>
          <w:rFonts w:ascii="宋体" w:hAnsi="宋体"/>
          <w:szCs w:val="21"/>
        </w:rPr>
      </w:pPr>
      <w:r>
        <w:rPr>
          <w:rFonts w:hint="eastAsia" w:ascii="宋体" w:hAnsi="宋体"/>
          <w:szCs w:val="21"/>
        </w:rPr>
        <w:t>（15）承包人在施工前应该根据本项目的实际情况、因地制宜编制完备的施工方案和文明施工措施，按照相关部门的规定要求，制定完善的洒水防尘、清扫、防震、防噪措施，减少对施工周边地区的干扰。承包人为完成上述工作而可能发生的全部费用计入投标报价中，发包人将不另行支付。如因承包人采取措施不力，给周边社区或个人造成的一切损失或由于上述原因造成工期的拖延或施工费用的增加，均由承包人自行承担。</w:t>
      </w:r>
    </w:p>
    <w:p w14:paraId="633AFC0A">
      <w:pPr>
        <w:tabs>
          <w:tab w:val="left" w:pos="3193"/>
        </w:tabs>
        <w:spacing w:line="360" w:lineRule="auto"/>
        <w:ind w:firstLine="420" w:firstLineChars="200"/>
        <w:rPr>
          <w:rFonts w:ascii="宋体" w:hAnsi="宋体"/>
          <w:szCs w:val="21"/>
        </w:rPr>
      </w:pPr>
      <w:r>
        <w:rPr>
          <w:rFonts w:hint="eastAsia" w:ascii="宋体" w:hAnsi="宋体"/>
          <w:szCs w:val="21"/>
        </w:rPr>
        <w:t xml:space="preserve"> (16）承包人须严格执行发包人制定的建设工地扬尘污染管理办法，要求做到在必要路段做到必须硬化道路、必须设置冲洗设备、必须及时洒水作业、必须落实保洁人员、必须定时清扫施工现场。以上内容由承包人在报价中综合考虑，发包人不另行计量与支付。</w:t>
      </w:r>
    </w:p>
    <w:p w14:paraId="77D6F6B5">
      <w:pPr>
        <w:tabs>
          <w:tab w:val="left" w:pos="3193"/>
        </w:tabs>
        <w:spacing w:line="360" w:lineRule="auto"/>
        <w:ind w:firstLine="420" w:firstLineChars="200"/>
        <w:rPr>
          <w:rFonts w:ascii="宋体" w:hAnsi="宋体"/>
          <w:szCs w:val="21"/>
        </w:rPr>
      </w:pPr>
      <w:r>
        <w:rPr>
          <w:rFonts w:hint="eastAsia" w:ascii="宋体" w:hAnsi="宋体"/>
          <w:szCs w:val="21"/>
        </w:rPr>
        <w:t>（17）承包人在施工过程中如遇到上级主管部门指令性停工，承包人不得向发包人索赔停工费用。</w:t>
      </w:r>
    </w:p>
    <w:p w14:paraId="6D537CA6">
      <w:pPr>
        <w:tabs>
          <w:tab w:val="left" w:pos="3193"/>
        </w:tabs>
        <w:spacing w:line="360" w:lineRule="auto"/>
        <w:ind w:firstLine="420" w:firstLineChars="200"/>
        <w:rPr>
          <w:rFonts w:ascii="宋体" w:hAnsi="宋体"/>
          <w:szCs w:val="21"/>
        </w:rPr>
      </w:pPr>
      <w:r>
        <w:rPr>
          <w:rFonts w:hint="eastAsia" w:ascii="宋体" w:hAnsi="宋体"/>
          <w:szCs w:val="21"/>
        </w:rPr>
        <w:t xml:space="preserve"> (18) 根据最新修订的《中华人民共和国水土保持法》规定及要求，承包人在项目施工过程中应严格规范施工技术，确保建设项目水土保持的稳定性，积极配合相关部门的水土保持监测和监督工作。</w:t>
      </w:r>
    </w:p>
    <w:p w14:paraId="6D0E906D">
      <w:pPr>
        <w:tabs>
          <w:tab w:val="left" w:pos="3193"/>
        </w:tabs>
        <w:spacing w:line="360" w:lineRule="auto"/>
        <w:ind w:firstLine="420" w:firstLineChars="200"/>
        <w:rPr>
          <w:rFonts w:ascii="宋体" w:hAnsi="宋体"/>
          <w:szCs w:val="21"/>
        </w:rPr>
      </w:pPr>
      <w:r>
        <w:rPr>
          <w:rFonts w:hint="eastAsia" w:ascii="宋体" w:hAnsi="宋体"/>
          <w:szCs w:val="21"/>
        </w:rPr>
        <w:t>（19）本项目沿线近距离存在较多住宅、店铺及厂房等结构物，生产、生活人流量较大，承包人须在施工过程中做好与沿线周边人员的沟通与协调，做好防尘、防噪音等环境污染的防治工作，由此产生的费用在投标报价中等自行考虑，发包人不另行计量与支付。</w:t>
      </w:r>
    </w:p>
    <w:p w14:paraId="1F9A7AEE">
      <w:pPr>
        <w:tabs>
          <w:tab w:val="left" w:pos="3193"/>
        </w:tabs>
        <w:spacing w:line="360" w:lineRule="auto"/>
        <w:ind w:firstLine="420" w:firstLineChars="200"/>
        <w:rPr>
          <w:rFonts w:ascii="宋体" w:hAnsi="宋体"/>
          <w:szCs w:val="21"/>
        </w:rPr>
      </w:pPr>
      <w:r>
        <w:rPr>
          <w:rFonts w:hint="eastAsia" w:ascii="宋体" w:hAnsi="宋体"/>
          <w:szCs w:val="21"/>
        </w:rPr>
        <w:t>（20）当地灌溉和饮用水系的维护和管理</w:t>
      </w:r>
    </w:p>
    <w:p w14:paraId="36CCEAF6">
      <w:pPr>
        <w:tabs>
          <w:tab w:val="left" w:pos="3193"/>
        </w:tabs>
        <w:spacing w:line="360" w:lineRule="auto"/>
        <w:ind w:firstLine="420" w:firstLineChars="200"/>
        <w:rPr>
          <w:rFonts w:ascii="宋体" w:hAnsi="宋体"/>
          <w:szCs w:val="21"/>
        </w:rPr>
      </w:pPr>
      <w:r>
        <w:rPr>
          <w:rFonts w:hint="eastAsia" w:ascii="宋体" w:hAnsi="宋体"/>
          <w:szCs w:val="21"/>
        </w:rPr>
        <w:t>做到早准备、早安排，确保不中断、及时修复。</w:t>
      </w:r>
    </w:p>
    <w:p w14:paraId="2FA0E090">
      <w:pPr>
        <w:tabs>
          <w:tab w:val="left" w:pos="3193"/>
        </w:tabs>
        <w:spacing w:line="360" w:lineRule="auto"/>
        <w:ind w:firstLine="420" w:firstLineChars="200"/>
        <w:rPr>
          <w:rFonts w:ascii="宋体" w:hAnsi="宋体"/>
          <w:szCs w:val="21"/>
        </w:rPr>
      </w:pPr>
      <w:r>
        <w:rPr>
          <w:rFonts w:hint="eastAsia" w:ascii="宋体" w:hAnsi="宋体"/>
          <w:szCs w:val="21"/>
        </w:rPr>
        <w:t>承包人应采取有效措施在施工过程中维持当地灌溉、饮用水系的正常使用功能，并充分考虑因此所发生的各种费用，该费用承包人应充分考虑在投标报价中，发包人不再另行支付。因承包人措施不力而引起的索赔、赔偿、诉讼费用及工程拖延或施工费用增加时，应由承包人承担一切责任和一切费用。</w:t>
      </w:r>
    </w:p>
    <w:p w14:paraId="04FC5FC2">
      <w:pPr>
        <w:tabs>
          <w:tab w:val="left" w:pos="3193"/>
        </w:tabs>
        <w:spacing w:line="360" w:lineRule="auto"/>
        <w:ind w:firstLine="420" w:firstLineChars="200"/>
        <w:rPr>
          <w:rFonts w:ascii="宋体" w:hAnsi="宋体"/>
          <w:szCs w:val="21"/>
        </w:rPr>
      </w:pPr>
      <w:r>
        <w:rPr>
          <w:rFonts w:hint="eastAsia" w:ascii="宋体" w:hAnsi="宋体"/>
          <w:szCs w:val="21"/>
        </w:rPr>
        <w:t xml:space="preserve"> （21）承包人应充分做好沿线相关设施的保护工作，承包人有义务和责任辅助配合电力、电讯、供水管道施工单位的施工，由此产生的费用由承包人承担并根据本项目的实际情况综合考虑在投标报价中，发包人不再另行计量与支付。因承包人措施不力而引起的索赔、赔偿、诉讼费用及工程拖延或施工费用增加时，应由承包人承担一切责任和一切费用。</w:t>
      </w:r>
    </w:p>
    <w:p w14:paraId="11B78EDD">
      <w:pPr>
        <w:tabs>
          <w:tab w:val="left" w:pos="3193"/>
        </w:tabs>
        <w:spacing w:line="360" w:lineRule="auto"/>
        <w:ind w:firstLine="420" w:firstLineChars="200"/>
        <w:rPr>
          <w:rFonts w:ascii="宋体" w:hAnsi="宋体"/>
          <w:szCs w:val="21"/>
        </w:rPr>
      </w:pPr>
      <w:r>
        <w:rPr>
          <w:rFonts w:hint="eastAsia" w:ascii="宋体" w:hAnsi="宋体"/>
          <w:szCs w:val="21"/>
        </w:rPr>
        <w:t>（22）承包人必须遵守浙江省、嘉兴市的法规、规章，服从行业主管部门、发包人、监理人的管理。在项目实施过程中，发包人转发或下发的有关文件和制定的本工程相关管理办法及规定是合同文件的组成部分，承包人应严格执行。</w:t>
      </w:r>
    </w:p>
    <w:p w14:paraId="1024D53F">
      <w:pPr>
        <w:tabs>
          <w:tab w:val="left" w:pos="3193"/>
        </w:tabs>
        <w:spacing w:line="360" w:lineRule="auto"/>
        <w:ind w:firstLine="420" w:firstLineChars="200"/>
        <w:rPr>
          <w:rFonts w:ascii="宋体" w:hAnsi="宋体"/>
          <w:szCs w:val="21"/>
        </w:rPr>
      </w:pPr>
      <w:r>
        <w:rPr>
          <w:rFonts w:hint="eastAsia" w:ascii="宋体" w:hAnsi="宋体"/>
          <w:szCs w:val="21"/>
        </w:rPr>
        <w:t>（23）</w:t>
      </w:r>
      <w:r>
        <w:rPr>
          <w:rFonts w:ascii="宋体" w:hAnsi="宋体"/>
          <w:szCs w:val="21"/>
        </w:rPr>
        <w:t>由于营改增税收政策的调整所引起的费用增减，由投标人自行考虑，均视为已经包含在相应工程的报价中，发包人不另行支付。</w:t>
      </w:r>
    </w:p>
    <w:p w14:paraId="06832984">
      <w:pPr>
        <w:tabs>
          <w:tab w:val="left" w:pos="3193"/>
        </w:tabs>
        <w:spacing w:line="360" w:lineRule="auto"/>
        <w:ind w:firstLine="420" w:firstLineChars="200"/>
        <w:rPr>
          <w:rFonts w:hint="eastAsia" w:ascii="宋体" w:hAnsi="宋体"/>
          <w:szCs w:val="21"/>
        </w:rPr>
      </w:pPr>
      <w:r>
        <w:rPr>
          <w:rFonts w:hint="eastAsia" w:ascii="宋体" w:hAnsi="宋体"/>
          <w:szCs w:val="21"/>
        </w:rPr>
        <w:t>（24）承包人对项目图纸资料负有保密义务。</w:t>
      </w:r>
    </w:p>
    <w:p w14:paraId="2B136F69">
      <w:pPr>
        <w:tabs>
          <w:tab w:val="left" w:pos="3193"/>
        </w:tabs>
        <w:spacing w:line="360" w:lineRule="auto"/>
        <w:ind w:firstLine="422" w:firstLineChars="200"/>
        <w:rPr>
          <w:rFonts w:hint="eastAsia" w:ascii="宋体" w:hAnsi="宋体" w:eastAsia="宋体"/>
          <w:b/>
          <w:bCs/>
          <w:szCs w:val="21"/>
          <w:lang w:eastAsia="zh-CN"/>
        </w:rPr>
      </w:pPr>
      <w:r>
        <w:rPr>
          <w:rFonts w:hint="eastAsia" w:ascii="宋体" w:hAnsi="宋体"/>
          <w:b/>
          <w:bCs/>
          <w:szCs w:val="21"/>
          <w:lang w:eastAsia="zh-CN"/>
        </w:rPr>
        <w:t>（</w:t>
      </w:r>
      <w:r>
        <w:rPr>
          <w:rFonts w:hint="eastAsia" w:ascii="宋体" w:hAnsi="宋体"/>
          <w:b/>
          <w:bCs/>
          <w:szCs w:val="21"/>
          <w:lang w:val="en-US" w:eastAsia="zh-CN"/>
        </w:rPr>
        <w:t>25</w:t>
      </w:r>
      <w:r>
        <w:rPr>
          <w:rFonts w:hint="eastAsia" w:ascii="宋体" w:hAnsi="宋体"/>
          <w:b/>
          <w:bCs/>
          <w:szCs w:val="21"/>
          <w:lang w:eastAsia="zh-CN"/>
        </w:rPr>
        <w:t>）</w:t>
      </w:r>
      <w:r>
        <w:rPr>
          <w:rFonts w:hint="eastAsia" w:ascii="宋体" w:hAnsi="宋体" w:eastAsia="宋体" w:cs="Times New Roman"/>
          <w:b/>
          <w:bCs/>
          <w:szCs w:val="21"/>
        </w:rPr>
        <w:t>承包人应在施工作业期间应配备相应人数的交通指挥人员，并服从当地交警指挥要求，费用 考虑在交通安全管理费中</w:t>
      </w:r>
      <w:r>
        <w:rPr>
          <w:rFonts w:hint="eastAsia" w:ascii="宋体" w:hAnsi="宋体" w:eastAsia="宋体" w:cs="Times New Roman"/>
          <w:b/>
          <w:bCs/>
          <w:szCs w:val="21"/>
          <w:lang w:eastAsia="zh-CN"/>
        </w:rPr>
        <w:t>。</w:t>
      </w:r>
    </w:p>
    <w:p w14:paraId="67322E81">
      <w:pPr>
        <w:tabs>
          <w:tab w:val="left" w:pos="3193"/>
        </w:tabs>
        <w:spacing w:line="360" w:lineRule="auto"/>
        <w:ind w:firstLine="422" w:firstLineChars="200"/>
        <w:rPr>
          <w:rFonts w:ascii="宋体" w:hAnsi="宋体"/>
          <w:b/>
          <w:szCs w:val="21"/>
        </w:rPr>
      </w:pPr>
      <w:r>
        <w:rPr>
          <w:rFonts w:ascii="宋体" w:hAnsi="宋体"/>
          <w:b/>
          <w:szCs w:val="21"/>
        </w:rPr>
        <w:t>4.3  分包</w:t>
      </w:r>
      <w:bookmarkEnd w:id="346"/>
      <w:bookmarkEnd w:id="347"/>
      <w:bookmarkEnd w:id="348"/>
    </w:p>
    <w:p w14:paraId="64F83751">
      <w:pPr>
        <w:tabs>
          <w:tab w:val="left" w:pos="3193"/>
        </w:tabs>
        <w:spacing w:line="360" w:lineRule="auto"/>
        <w:ind w:firstLine="420" w:firstLineChars="200"/>
        <w:rPr>
          <w:rFonts w:hint="eastAsia" w:ascii="宋体" w:hAnsi="宋体"/>
          <w:szCs w:val="21"/>
        </w:rPr>
      </w:pPr>
      <w:bookmarkStart w:id="349" w:name="_Toc422583692"/>
      <w:bookmarkStart w:id="350" w:name="_Toc488762904"/>
      <w:bookmarkStart w:id="351" w:name="_Toc489296012"/>
      <w:bookmarkStart w:id="352" w:name="_Toc5690"/>
      <w:bookmarkStart w:id="353" w:name="_Toc455669977"/>
      <w:bookmarkStart w:id="354" w:name="_Toc489169066"/>
      <w:bookmarkStart w:id="355" w:name="_Toc455323755"/>
      <w:bookmarkStart w:id="356" w:name="_Toc26126"/>
      <w:bookmarkStart w:id="357" w:name="_Toc431721235"/>
      <w:bookmarkStart w:id="358" w:name="_Toc417397761"/>
      <w:bookmarkStart w:id="359" w:name="_Toc455665858"/>
      <w:r>
        <w:rPr>
          <w:rFonts w:hint="eastAsia" w:ascii="宋体" w:hAnsi="宋体"/>
          <w:szCs w:val="21"/>
        </w:rPr>
        <w:t>4.3.7 本项目的各项分包工作均应遵守《公路工程施工分包管理办法》及《浙江省公路水运工程施工分包和劳务合作管理实施细则》的有关规定。</w:t>
      </w:r>
    </w:p>
    <w:p w14:paraId="661DE4EA">
      <w:pPr>
        <w:tabs>
          <w:tab w:val="left" w:pos="3193"/>
        </w:tabs>
        <w:spacing w:line="360" w:lineRule="auto"/>
        <w:ind w:firstLine="422" w:firstLineChars="200"/>
        <w:rPr>
          <w:rFonts w:ascii="宋体" w:hAnsi="宋体"/>
          <w:b/>
          <w:szCs w:val="21"/>
        </w:rPr>
      </w:pPr>
      <w:r>
        <w:rPr>
          <w:rFonts w:ascii="宋体" w:hAnsi="宋体"/>
          <w:b/>
          <w:szCs w:val="21"/>
        </w:rPr>
        <w:t>4.11  不利物质条件</w:t>
      </w:r>
      <w:bookmarkEnd w:id="349"/>
      <w:bookmarkEnd w:id="350"/>
      <w:bookmarkEnd w:id="351"/>
      <w:bookmarkEnd w:id="352"/>
      <w:bookmarkEnd w:id="353"/>
      <w:bookmarkEnd w:id="354"/>
      <w:bookmarkEnd w:id="355"/>
      <w:bookmarkEnd w:id="356"/>
      <w:bookmarkEnd w:id="357"/>
      <w:bookmarkEnd w:id="358"/>
      <w:bookmarkEnd w:id="359"/>
    </w:p>
    <w:p w14:paraId="74386CEE">
      <w:pPr>
        <w:tabs>
          <w:tab w:val="left" w:pos="3193"/>
        </w:tabs>
        <w:spacing w:line="360" w:lineRule="auto"/>
        <w:ind w:firstLine="420" w:firstLineChars="200"/>
        <w:rPr>
          <w:rFonts w:ascii="宋体" w:hAnsi="宋体"/>
          <w:szCs w:val="21"/>
        </w:rPr>
      </w:pPr>
      <w:r>
        <w:rPr>
          <w:rFonts w:ascii="宋体" w:hAnsi="宋体"/>
          <w:szCs w:val="21"/>
        </w:rPr>
        <w:t>4.11.1 不利物质条件的范围：</w:t>
      </w:r>
      <w:r>
        <w:rPr>
          <w:rFonts w:ascii="宋体" w:hAnsi="宋体"/>
          <w:szCs w:val="21"/>
          <w:u w:val="single"/>
        </w:rPr>
        <w:t xml:space="preserve">  /  </w:t>
      </w:r>
    </w:p>
    <w:p w14:paraId="5F6FCDC9">
      <w:pPr>
        <w:spacing w:line="360" w:lineRule="auto"/>
        <w:ind w:firstLine="422" w:firstLineChars="200"/>
        <w:outlineLvl w:val="0"/>
        <w:rPr>
          <w:rFonts w:ascii="宋体" w:hAnsi="宋体"/>
          <w:b/>
          <w:szCs w:val="21"/>
        </w:rPr>
      </w:pPr>
      <w:bookmarkStart w:id="360" w:name="_Toc5125"/>
      <w:bookmarkStart w:id="361" w:name="_Toc455665863"/>
      <w:bookmarkStart w:id="362" w:name="_Toc455323760"/>
      <w:bookmarkStart w:id="363" w:name="_Toc455669982"/>
      <w:bookmarkStart w:id="364" w:name="_Toc417397766"/>
      <w:bookmarkStart w:id="365" w:name="_Toc422583697"/>
      <w:bookmarkStart w:id="366" w:name="_Toc238268354"/>
      <w:bookmarkStart w:id="367" w:name="_Toc431721240"/>
      <w:bookmarkStart w:id="368" w:name="_Toc23132"/>
      <w:r>
        <w:rPr>
          <w:rFonts w:ascii="宋体" w:hAnsi="宋体"/>
          <w:b/>
          <w:szCs w:val="21"/>
        </w:rPr>
        <w:t>9.  施工安全、治安保卫和环境保护</w:t>
      </w:r>
      <w:bookmarkEnd w:id="360"/>
      <w:bookmarkEnd w:id="361"/>
      <w:bookmarkEnd w:id="362"/>
      <w:bookmarkEnd w:id="363"/>
      <w:bookmarkEnd w:id="364"/>
      <w:bookmarkEnd w:id="365"/>
      <w:bookmarkEnd w:id="366"/>
      <w:bookmarkEnd w:id="367"/>
      <w:bookmarkEnd w:id="368"/>
    </w:p>
    <w:p w14:paraId="2DD65D23">
      <w:pPr>
        <w:spacing w:line="360" w:lineRule="auto"/>
        <w:ind w:firstLine="422" w:firstLineChars="200"/>
        <w:outlineLvl w:val="0"/>
        <w:rPr>
          <w:rFonts w:ascii="宋体" w:hAnsi="宋体"/>
          <w:b/>
          <w:szCs w:val="21"/>
        </w:rPr>
      </w:pPr>
      <w:bookmarkStart w:id="369" w:name="_Toc20678"/>
      <w:bookmarkStart w:id="370" w:name="_Toc488762906"/>
      <w:bookmarkStart w:id="371" w:name="_Toc455669983"/>
      <w:bookmarkStart w:id="372" w:name="_Toc422583698"/>
      <w:bookmarkStart w:id="373" w:name="_Toc489296014"/>
      <w:bookmarkStart w:id="374" w:name="_Toc455665864"/>
      <w:bookmarkStart w:id="375" w:name="_Toc417397767"/>
      <w:bookmarkStart w:id="376" w:name="_Toc11442"/>
      <w:bookmarkStart w:id="377" w:name="_Toc489169068"/>
      <w:bookmarkStart w:id="378" w:name="_Toc362550543"/>
      <w:bookmarkStart w:id="379" w:name="_Toc431721241"/>
      <w:bookmarkStart w:id="380" w:name="_Toc7198"/>
      <w:bookmarkStart w:id="381" w:name="_Toc455323761"/>
      <w:r>
        <w:rPr>
          <w:rFonts w:ascii="宋体" w:hAnsi="宋体"/>
          <w:b/>
          <w:szCs w:val="21"/>
        </w:rPr>
        <w:t>9.2  承包人的施工安全责任</w:t>
      </w:r>
      <w:bookmarkEnd w:id="369"/>
      <w:bookmarkEnd w:id="370"/>
      <w:bookmarkEnd w:id="371"/>
      <w:bookmarkEnd w:id="372"/>
      <w:bookmarkEnd w:id="373"/>
      <w:bookmarkEnd w:id="374"/>
      <w:bookmarkEnd w:id="375"/>
      <w:bookmarkEnd w:id="376"/>
      <w:bookmarkEnd w:id="377"/>
      <w:bookmarkEnd w:id="378"/>
      <w:bookmarkEnd w:id="379"/>
      <w:bookmarkEnd w:id="380"/>
      <w:bookmarkEnd w:id="381"/>
    </w:p>
    <w:p w14:paraId="1B2D15A8">
      <w:pPr>
        <w:spacing w:line="360" w:lineRule="auto"/>
        <w:ind w:firstLine="420" w:firstLineChars="200"/>
        <w:outlineLvl w:val="0"/>
        <w:rPr>
          <w:rFonts w:hint="eastAsia" w:ascii="宋体" w:hAnsi="宋体"/>
          <w:kern w:val="0"/>
          <w:szCs w:val="21"/>
        </w:rPr>
      </w:pPr>
      <w:bookmarkStart w:id="382" w:name="_Toc20830"/>
      <w:bookmarkStart w:id="383" w:name="_Toc455669984"/>
      <w:bookmarkStart w:id="384" w:name="_Toc455665865"/>
      <w:bookmarkStart w:id="385" w:name="_Toc489296015"/>
      <w:bookmarkStart w:id="386" w:name="_Toc455323762"/>
      <w:bookmarkStart w:id="387" w:name="_Toc488762907"/>
      <w:bookmarkStart w:id="388" w:name="_Toc489169069"/>
      <w:bookmarkStart w:id="389" w:name="_Toc23656"/>
      <w:r>
        <w:rPr>
          <w:rFonts w:hint="eastAsia" w:ascii="宋体" w:hAnsi="宋体"/>
          <w:kern w:val="0"/>
          <w:szCs w:val="21"/>
        </w:rPr>
        <w:t>养护工程专用合同条款第9.2.1项补充：</w:t>
      </w:r>
      <w:bookmarkEnd w:id="382"/>
    </w:p>
    <w:p w14:paraId="7D5DC9F6">
      <w:pPr>
        <w:spacing w:line="360" w:lineRule="auto"/>
        <w:ind w:firstLine="420" w:firstLineChars="200"/>
        <w:outlineLvl w:val="0"/>
        <w:rPr>
          <w:rFonts w:hint="eastAsia" w:ascii="宋体" w:hAnsi="宋体"/>
          <w:kern w:val="0"/>
          <w:szCs w:val="21"/>
        </w:rPr>
      </w:pPr>
      <w:bookmarkStart w:id="390" w:name="_Toc162968670"/>
      <w:bookmarkStart w:id="391" w:name="_Toc30390"/>
      <w:bookmarkStart w:id="392" w:name="_Toc161676697"/>
      <w:r>
        <w:rPr>
          <w:rFonts w:hint="eastAsia" w:ascii="宋体" w:hAnsi="宋体"/>
          <w:kern w:val="0"/>
          <w:szCs w:val="21"/>
        </w:rPr>
        <w:t>监理人发现承包人在施工现场存在安全隐患或未落实安全生产费用的，应当提出要求其改正，施工单位拒不改正的，监理人可暂时停止工程款的计量支付，并及时向发包人报告。</w:t>
      </w:r>
      <w:bookmarkEnd w:id="390"/>
      <w:bookmarkEnd w:id="391"/>
      <w:bookmarkEnd w:id="392"/>
    </w:p>
    <w:p w14:paraId="1FAB4DFC">
      <w:pPr>
        <w:spacing w:line="360" w:lineRule="auto"/>
        <w:ind w:firstLine="420" w:firstLineChars="200"/>
        <w:outlineLvl w:val="0"/>
        <w:rPr>
          <w:rFonts w:hint="eastAsia" w:ascii="宋体" w:hAnsi="宋体"/>
          <w:kern w:val="0"/>
          <w:szCs w:val="21"/>
        </w:rPr>
      </w:pPr>
      <w:bookmarkStart w:id="393" w:name="_Toc162968671"/>
      <w:bookmarkStart w:id="394" w:name="_Toc161676698"/>
      <w:bookmarkStart w:id="395" w:name="_Toc28230"/>
      <w:r>
        <w:rPr>
          <w:rFonts w:hint="eastAsia" w:ascii="宋体" w:hAnsi="宋体"/>
          <w:kern w:val="0"/>
          <w:szCs w:val="21"/>
        </w:rPr>
        <w:t>第9.2.5项约定为：</w:t>
      </w:r>
      <w:bookmarkEnd w:id="393"/>
      <w:bookmarkEnd w:id="394"/>
      <w:bookmarkEnd w:id="395"/>
    </w:p>
    <w:p w14:paraId="578F32BA">
      <w:pPr>
        <w:spacing w:line="360" w:lineRule="auto"/>
        <w:ind w:firstLine="420" w:firstLineChars="200"/>
        <w:outlineLvl w:val="0"/>
        <w:rPr>
          <w:rFonts w:hint="eastAsia" w:ascii="宋体" w:hAnsi="宋体"/>
          <w:kern w:val="0"/>
          <w:szCs w:val="21"/>
        </w:rPr>
      </w:pPr>
      <w:bookmarkStart w:id="396" w:name="_Toc161676699"/>
      <w:bookmarkStart w:id="397" w:name="_Toc11193"/>
      <w:bookmarkStart w:id="398" w:name="_Toc162968672"/>
      <w:r>
        <w:rPr>
          <w:rFonts w:hint="eastAsia" w:ascii="宋体" w:hAnsi="宋体"/>
          <w:kern w:val="0"/>
          <w:szCs w:val="21"/>
        </w:rPr>
        <w:t>9.2.5</w:t>
      </w:r>
      <w:r>
        <w:rPr>
          <w:rFonts w:hint="eastAsia" w:ascii="宋体" w:hAnsi="宋体"/>
          <w:kern w:val="0"/>
          <w:szCs w:val="21"/>
          <w:highlight w:val="none"/>
        </w:rPr>
        <w:t xml:space="preserve"> 安全生产费</w:t>
      </w:r>
      <w:r>
        <w:rPr>
          <w:rFonts w:hint="eastAsia" w:ascii="宋体" w:hAnsi="宋体" w:eastAsia="宋体" w:cs="宋体"/>
          <w:sz w:val="21"/>
          <w:szCs w:val="21"/>
          <w:highlight w:val="none"/>
          <w:lang w:val="en-US" w:eastAsia="zh-CN"/>
        </w:rPr>
        <w:t>不</w:t>
      </w:r>
      <w:r>
        <w:rPr>
          <w:rFonts w:hint="eastAsia" w:ascii="宋体" w:hAnsi="宋体"/>
          <w:kern w:val="0"/>
          <w:szCs w:val="21"/>
          <w:highlight w:val="none"/>
          <w:lang w:val="en-US" w:eastAsia="zh-CN"/>
        </w:rPr>
        <w:t>少于投标总价的2%</w:t>
      </w:r>
      <w:r>
        <w:rPr>
          <w:rFonts w:hint="eastAsia" w:ascii="宋体" w:hAnsi="宋体"/>
          <w:kern w:val="0"/>
          <w:szCs w:val="21"/>
          <w:highlight w:val="none"/>
        </w:rPr>
        <w:t>。安</w:t>
      </w:r>
      <w:r>
        <w:rPr>
          <w:rFonts w:hint="eastAsia" w:ascii="宋体" w:hAnsi="宋体"/>
          <w:kern w:val="0"/>
          <w:szCs w:val="21"/>
        </w:rPr>
        <w:t>全生产费应用于施工安全防护用具及设施的采购和更新、安全施工措施的落实、安全生产条件的改善，不得挪作他用。如承包人在此基础上增加安全生产费用以满足项目施工需要，则承包人应在本项目工程量清单其他相关子目的单价或总额价中予以考虑，发包人不再另行支付。因采取合同未约定的特殊防护措施增加的费用，由监理人按第 3.5 款商定或确定。</w:t>
      </w:r>
      <w:bookmarkEnd w:id="396"/>
      <w:bookmarkEnd w:id="397"/>
      <w:bookmarkEnd w:id="398"/>
    </w:p>
    <w:p w14:paraId="78A20922">
      <w:pPr>
        <w:spacing w:line="360" w:lineRule="auto"/>
        <w:ind w:firstLine="420" w:firstLineChars="200"/>
        <w:outlineLvl w:val="0"/>
        <w:rPr>
          <w:rFonts w:ascii="宋体" w:hAnsi="宋体"/>
          <w:kern w:val="0"/>
          <w:szCs w:val="21"/>
        </w:rPr>
      </w:pPr>
      <w:bookmarkStart w:id="399" w:name="_Toc162968673"/>
      <w:bookmarkStart w:id="400" w:name="_Toc161676700"/>
      <w:bookmarkStart w:id="401" w:name="_Toc13866"/>
      <w:r>
        <w:rPr>
          <w:rFonts w:hint="eastAsia" w:ascii="宋体" w:hAnsi="宋体"/>
          <w:kern w:val="0"/>
          <w:szCs w:val="21"/>
        </w:rPr>
        <w:t>承包人还应执行《浙江省交通建设工程质量和安全生产管理条例》的相关规定和要求。安全生产费的使用和支付按《浙江省交通建设工程安全生产费用管理办法》的相关要求以及相关最新规定办理。</w:t>
      </w:r>
      <w:bookmarkEnd w:id="399"/>
      <w:bookmarkEnd w:id="400"/>
      <w:bookmarkEnd w:id="401"/>
    </w:p>
    <w:p w14:paraId="797F7376">
      <w:pPr>
        <w:spacing w:line="360" w:lineRule="auto"/>
        <w:ind w:firstLine="422" w:firstLineChars="200"/>
        <w:outlineLvl w:val="0"/>
        <w:rPr>
          <w:rFonts w:ascii="宋体" w:hAnsi="宋体"/>
          <w:b/>
          <w:szCs w:val="21"/>
        </w:rPr>
      </w:pPr>
      <w:bookmarkStart w:id="402" w:name="_Toc234"/>
      <w:r>
        <w:rPr>
          <w:rFonts w:ascii="宋体" w:hAnsi="宋体"/>
          <w:b/>
          <w:szCs w:val="21"/>
        </w:rPr>
        <w:t>9.4  环境保护</w:t>
      </w:r>
      <w:bookmarkEnd w:id="383"/>
      <w:bookmarkEnd w:id="384"/>
      <w:bookmarkEnd w:id="385"/>
      <w:bookmarkEnd w:id="386"/>
      <w:bookmarkEnd w:id="387"/>
      <w:bookmarkEnd w:id="388"/>
      <w:bookmarkEnd w:id="389"/>
      <w:bookmarkEnd w:id="402"/>
    </w:p>
    <w:p w14:paraId="14C7BDEB">
      <w:pPr>
        <w:spacing w:line="360" w:lineRule="auto"/>
        <w:ind w:firstLine="420" w:firstLineChars="200"/>
        <w:rPr>
          <w:rFonts w:ascii="宋体" w:hAnsi="宋体"/>
          <w:szCs w:val="21"/>
        </w:rPr>
      </w:pPr>
      <w:r>
        <w:rPr>
          <w:rFonts w:ascii="宋体" w:hAnsi="宋体"/>
          <w:szCs w:val="21"/>
        </w:rPr>
        <w:t xml:space="preserve"> 通用合同条款补充第9.4.11项：</w:t>
      </w:r>
    </w:p>
    <w:p w14:paraId="33FDA3FC">
      <w:pPr>
        <w:spacing w:line="360" w:lineRule="auto"/>
        <w:ind w:firstLine="420" w:firstLineChars="200"/>
        <w:rPr>
          <w:rFonts w:ascii="宋体" w:hAnsi="宋体"/>
          <w:szCs w:val="21"/>
        </w:rPr>
      </w:pPr>
      <w:r>
        <w:rPr>
          <w:rFonts w:ascii="宋体" w:hAnsi="宋体"/>
          <w:szCs w:val="21"/>
        </w:rPr>
        <w:t xml:space="preserve"> 9.4.11 承包人在施工中应当贯彻“不破坏就是最大的保护”思想，尊重自然植被地貌，原则上不准在主线视线范围内设置借土场（取土坑）、弃土场（弃渣场），确需要的，承包人须采取复绿、排水 及防护等措施，保证公路沿线美观、和谐、环保。 </w:t>
      </w:r>
    </w:p>
    <w:p w14:paraId="237CABC3">
      <w:pPr>
        <w:spacing w:line="360" w:lineRule="auto"/>
        <w:ind w:firstLine="420" w:firstLineChars="200"/>
        <w:rPr>
          <w:rFonts w:hint="eastAsia" w:ascii="宋体" w:hAnsi="宋体"/>
          <w:szCs w:val="21"/>
        </w:rPr>
      </w:pPr>
      <w:r>
        <w:rPr>
          <w:rFonts w:ascii="宋体" w:hAnsi="宋体"/>
          <w:szCs w:val="21"/>
        </w:rPr>
        <w:t xml:space="preserve"> 承包人对借土场（取土坑）、弃土场（弃渣场）以及其他临时用地须按照设计图纸或承包人自行调查确定，选取工作须报监理人审批、发包人同意，并履行相关职能部门的报批程序后，方可开展施工，所采取的复绿、复耕、排水及防护等措施须通过相关部门的环评、水保、土地等验收，承包人所采取的所有措施以及因此增加的费用应认为已包括在投标价之中，发包人不另行支付。若承包人无视借、弃土场的环保、水保等的处理要求，发包人有权指定第三方专业施工队伍履行承包人的上述义务，因此所发生的所有费用将在承包人的计量款中直接扣除。</w:t>
      </w:r>
    </w:p>
    <w:p w14:paraId="1065F808">
      <w:pPr>
        <w:spacing w:line="360" w:lineRule="auto"/>
        <w:ind w:firstLine="420" w:firstLineChars="200"/>
        <w:rPr>
          <w:rFonts w:hint="eastAsia" w:ascii="宋体" w:hAnsi="宋体"/>
          <w:szCs w:val="21"/>
        </w:rPr>
      </w:pPr>
      <w:r>
        <w:rPr>
          <w:rFonts w:hint="eastAsia" w:ascii="宋体" w:hAnsi="宋体" w:cs="宋体"/>
        </w:rPr>
        <w:t>承包人在施工中应当严格按照《嘉兴市交通运输局办公室关于加强交通建设工程施工扬尘污染防治工作的通知》（嘉交办【2019】51号文）文件要求做好工程施工过程中的扬尘污染防治工作，因此增加的费用应认为已包括在合同价之中，发包人不另行支付。</w:t>
      </w:r>
    </w:p>
    <w:p w14:paraId="48D299F5">
      <w:pPr>
        <w:spacing w:line="360" w:lineRule="auto"/>
        <w:ind w:firstLine="420" w:firstLineChars="200"/>
        <w:outlineLvl w:val="0"/>
        <w:rPr>
          <w:rFonts w:ascii="宋体" w:hAnsi="宋体"/>
          <w:szCs w:val="21"/>
        </w:rPr>
      </w:pPr>
      <w:bookmarkStart w:id="403" w:name="_Toc26564"/>
      <w:bookmarkStart w:id="404" w:name="_Toc431721242"/>
      <w:bookmarkStart w:id="405" w:name="_Toc455665866"/>
      <w:bookmarkStart w:id="406" w:name="_Toc238268355"/>
      <w:bookmarkStart w:id="407" w:name="_Toc455323763"/>
      <w:bookmarkStart w:id="408" w:name="_Toc455669985"/>
      <w:bookmarkStart w:id="409" w:name="_Toc417397768"/>
      <w:bookmarkStart w:id="410" w:name="_Toc2850"/>
      <w:bookmarkStart w:id="411" w:name="_Toc422583699"/>
      <w:bookmarkStart w:id="412" w:name="_Toc234382939"/>
      <w:r>
        <w:rPr>
          <w:rFonts w:ascii="宋体" w:hAnsi="宋体"/>
          <w:szCs w:val="21"/>
        </w:rPr>
        <w:t>10.  进度计划</w:t>
      </w:r>
      <w:bookmarkEnd w:id="403"/>
      <w:bookmarkEnd w:id="404"/>
      <w:bookmarkEnd w:id="405"/>
      <w:bookmarkEnd w:id="406"/>
      <w:bookmarkEnd w:id="407"/>
      <w:bookmarkEnd w:id="408"/>
      <w:bookmarkEnd w:id="409"/>
      <w:bookmarkEnd w:id="410"/>
      <w:bookmarkEnd w:id="411"/>
    </w:p>
    <w:bookmarkEnd w:id="412"/>
    <w:p w14:paraId="00111E3C">
      <w:pPr>
        <w:spacing w:line="360" w:lineRule="auto"/>
        <w:ind w:firstLine="420" w:firstLineChars="200"/>
        <w:outlineLvl w:val="0"/>
        <w:rPr>
          <w:rFonts w:ascii="宋体" w:hAnsi="宋体"/>
          <w:szCs w:val="21"/>
        </w:rPr>
      </w:pPr>
      <w:bookmarkStart w:id="413" w:name="_Toc455323764"/>
      <w:bookmarkStart w:id="414" w:name="_Toc489296016"/>
      <w:bookmarkStart w:id="415" w:name="_Toc455669986"/>
      <w:bookmarkStart w:id="416" w:name="_Toc29441"/>
      <w:bookmarkStart w:id="417" w:name="_Toc488762908"/>
      <w:bookmarkStart w:id="418" w:name="_Toc455665867"/>
      <w:bookmarkStart w:id="419" w:name="_Toc431721243"/>
      <w:bookmarkStart w:id="420" w:name="_Toc489169070"/>
      <w:bookmarkStart w:id="421" w:name="_Toc2616"/>
      <w:bookmarkStart w:id="422" w:name="_Toc417397769"/>
      <w:bookmarkStart w:id="423" w:name="_Toc26755"/>
      <w:bookmarkStart w:id="424" w:name="_Toc362550545"/>
      <w:bookmarkStart w:id="425" w:name="_Toc422583700"/>
      <w:r>
        <w:rPr>
          <w:rFonts w:ascii="宋体" w:hAnsi="宋体"/>
          <w:szCs w:val="21"/>
        </w:rPr>
        <w:t>10.1   合同进度计划</w:t>
      </w:r>
      <w:bookmarkEnd w:id="413"/>
      <w:bookmarkEnd w:id="414"/>
      <w:bookmarkEnd w:id="415"/>
      <w:bookmarkEnd w:id="416"/>
      <w:bookmarkEnd w:id="417"/>
      <w:bookmarkEnd w:id="418"/>
      <w:bookmarkEnd w:id="419"/>
      <w:bookmarkEnd w:id="420"/>
      <w:bookmarkEnd w:id="421"/>
      <w:bookmarkEnd w:id="422"/>
      <w:bookmarkEnd w:id="423"/>
      <w:bookmarkEnd w:id="424"/>
      <w:bookmarkEnd w:id="425"/>
    </w:p>
    <w:p w14:paraId="493E2F59">
      <w:pPr>
        <w:tabs>
          <w:tab w:val="left" w:pos="3193"/>
        </w:tabs>
        <w:spacing w:line="360" w:lineRule="auto"/>
        <w:ind w:firstLine="420" w:firstLineChars="200"/>
        <w:rPr>
          <w:rFonts w:hint="eastAsia" w:ascii="宋体" w:hAnsi="宋体"/>
          <w:szCs w:val="21"/>
        </w:rPr>
      </w:pPr>
      <w:r>
        <w:rPr>
          <w:rFonts w:ascii="宋体" w:hAnsi="宋体"/>
          <w:szCs w:val="21"/>
        </w:rPr>
        <w:t xml:space="preserve">    </w:t>
      </w:r>
      <w:bookmarkStart w:id="426" w:name="_Toc234382940"/>
      <w:bookmarkStart w:id="427" w:name="_Toc31057"/>
      <w:bookmarkStart w:id="428" w:name="_Toc431721244"/>
      <w:bookmarkStart w:id="429" w:name="_Toc455323766"/>
      <w:bookmarkStart w:id="430" w:name="_Toc417397770"/>
      <w:bookmarkStart w:id="431" w:name="_Toc455665869"/>
      <w:bookmarkStart w:id="432" w:name="_Toc238268356"/>
      <w:bookmarkStart w:id="433" w:name="_Toc422583701"/>
      <w:bookmarkStart w:id="434" w:name="_Toc455669988"/>
      <w:r>
        <w:rPr>
          <w:rFonts w:hint="eastAsia" w:ascii="宋体" w:hAnsi="宋体"/>
          <w:szCs w:val="21"/>
        </w:rPr>
        <w:t>养护工程专用合同条款第10.1款补充：</w:t>
      </w:r>
    </w:p>
    <w:p w14:paraId="20A2697D">
      <w:pPr>
        <w:tabs>
          <w:tab w:val="left" w:pos="3193"/>
        </w:tabs>
        <w:spacing w:line="360" w:lineRule="auto"/>
        <w:ind w:firstLine="420" w:firstLineChars="200"/>
        <w:rPr>
          <w:rFonts w:hint="eastAsia" w:ascii="宋体" w:hAnsi="宋体"/>
          <w:szCs w:val="21"/>
        </w:rPr>
      </w:pPr>
      <w:r>
        <w:rPr>
          <w:rFonts w:hint="eastAsia" w:ascii="宋体" w:hAnsi="宋体"/>
          <w:szCs w:val="21"/>
        </w:rPr>
        <w:t>承包人编制养护工程作业方案的内容（适用于养护工程）：</w:t>
      </w:r>
    </w:p>
    <w:p w14:paraId="6E140C62">
      <w:pPr>
        <w:tabs>
          <w:tab w:val="left" w:pos="3193"/>
        </w:tabs>
        <w:spacing w:line="360" w:lineRule="auto"/>
        <w:ind w:firstLine="420" w:firstLineChars="200"/>
        <w:rPr>
          <w:rFonts w:hint="eastAsia" w:ascii="宋体" w:hAnsi="宋体"/>
          <w:szCs w:val="21"/>
        </w:rPr>
      </w:pPr>
      <w:r>
        <w:rPr>
          <w:rFonts w:hint="eastAsia" w:ascii="宋体" w:hAnsi="宋体"/>
          <w:szCs w:val="21"/>
        </w:rPr>
        <w:t>（1）施工组织及现场布置</w:t>
      </w:r>
    </w:p>
    <w:p w14:paraId="6F2D1B2D">
      <w:pPr>
        <w:tabs>
          <w:tab w:val="left" w:pos="3193"/>
        </w:tabs>
        <w:spacing w:line="360" w:lineRule="auto"/>
        <w:ind w:firstLine="420" w:firstLineChars="200"/>
        <w:rPr>
          <w:rFonts w:hint="eastAsia" w:ascii="宋体" w:hAnsi="宋体"/>
          <w:szCs w:val="21"/>
        </w:rPr>
      </w:pPr>
      <w:r>
        <w:rPr>
          <w:rFonts w:hint="eastAsia" w:ascii="宋体" w:hAnsi="宋体"/>
          <w:szCs w:val="21"/>
        </w:rPr>
        <w:t>（2）技术人员配置及劳动力安排</w:t>
      </w:r>
    </w:p>
    <w:p w14:paraId="0F71B62C">
      <w:pPr>
        <w:tabs>
          <w:tab w:val="left" w:pos="3193"/>
        </w:tabs>
        <w:spacing w:line="360" w:lineRule="auto"/>
        <w:ind w:firstLine="420" w:firstLineChars="200"/>
        <w:rPr>
          <w:rFonts w:hint="eastAsia" w:ascii="宋体" w:hAnsi="宋体"/>
          <w:szCs w:val="21"/>
        </w:rPr>
      </w:pPr>
      <w:r>
        <w:rPr>
          <w:rFonts w:hint="eastAsia" w:ascii="宋体" w:hAnsi="宋体"/>
          <w:szCs w:val="21"/>
        </w:rPr>
        <w:t>（3）养护设备配置（包括质量检测设备）</w:t>
      </w:r>
    </w:p>
    <w:p w14:paraId="1DBB9073">
      <w:pPr>
        <w:tabs>
          <w:tab w:val="left" w:pos="3193"/>
        </w:tabs>
        <w:spacing w:line="360" w:lineRule="auto"/>
        <w:ind w:firstLine="420" w:firstLineChars="200"/>
        <w:rPr>
          <w:rFonts w:hint="eastAsia" w:ascii="宋体" w:hAnsi="宋体"/>
          <w:szCs w:val="21"/>
        </w:rPr>
      </w:pPr>
      <w:r>
        <w:rPr>
          <w:rFonts w:hint="eastAsia" w:ascii="宋体" w:hAnsi="宋体"/>
          <w:szCs w:val="21"/>
        </w:rPr>
        <w:t>（4）养护技术方案及措施</w:t>
      </w:r>
    </w:p>
    <w:p w14:paraId="2BB97F63">
      <w:pPr>
        <w:tabs>
          <w:tab w:val="left" w:pos="3193"/>
        </w:tabs>
        <w:spacing w:line="360" w:lineRule="auto"/>
        <w:ind w:firstLine="420" w:firstLineChars="200"/>
        <w:rPr>
          <w:rFonts w:hint="eastAsia" w:ascii="宋体" w:hAnsi="宋体"/>
          <w:szCs w:val="21"/>
        </w:rPr>
      </w:pPr>
      <w:r>
        <w:rPr>
          <w:rFonts w:hint="eastAsia" w:ascii="宋体" w:hAnsi="宋体"/>
          <w:szCs w:val="21"/>
        </w:rPr>
        <w:t>a．施工现场临时用电方案</w:t>
      </w:r>
    </w:p>
    <w:p w14:paraId="4456E374">
      <w:pPr>
        <w:tabs>
          <w:tab w:val="left" w:pos="3193"/>
        </w:tabs>
        <w:spacing w:line="360" w:lineRule="auto"/>
        <w:ind w:firstLine="420" w:firstLineChars="200"/>
        <w:rPr>
          <w:rFonts w:hint="eastAsia" w:ascii="宋体" w:hAnsi="宋体"/>
          <w:szCs w:val="21"/>
        </w:rPr>
      </w:pPr>
      <w:r>
        <w:rPr>
          <w:rFonts w:hint="eastAsia" w:ascii="宋体" w:hAnsi="宋体"/>
          <w:szCs w:val="21"/>
        </w:rPr>
        <w:t>b．对下列危险性较大的养护作业应当编制专项施工方案：</w:t>
      </w:r>
    </w:p>
    <w:p w14:paraId="0F5A4641">
      <w:pPr>
        <w:tabs>
          <w:tab w:val="left" w:pos="3193"/>
        </w:tabs>
        <w:spacing w:line="360" w:lineRule="auto"/>
        <w:ind w:firstLine="420" w:firstLineChars="200"/>
        <w:rPr>
          <w:rFonts w:hint="eastAsia" w:ascii="宋体" w:hAnsi="宋体"/>
          <w:szCs w:val="21"/>
        </w:rPr>
      </w:pPr>
      <w:r>
        <w:rPr>
          <w:rFonts w:hint="eastAsia" w:ascii="宋体" w:hAnsi="宋体"/>
          <w:szCs w:val="21"/>
        </w:rPr>
        <w:t>① 不良地质条件下有潜在危险性的土方、石方开挖</w:t>
      </w:r>
    </w:p>
    <w:p w14:paraId="17098EFD">
      <w:pPr>
        <w:tabs>
          <w:tab w:val="left" w:pos="3193"/>
        </w:tabs>
        <w:spacing w:line="360" w:lineRule="auto"/>
        <w:ind w:firstLine="420" w:firstLineChars="200"/>
        <w:rPr>
          <w:rFonts w:hint="eastAsia" w:ascii="宋体" w:hAnsi="宋体"/>
          <w:szCs w:val="21"/>
        </w:rPr>
      </w:pPr>
      <w:r>
        <w:rPr>
          <w:rFonts w:hint="eastAsia" w:ascii="宋体" w:hAnsi="宋体"/>
          <w:szCs w:val="21"/>
        </w:rPr>
        <w:t>② 滑坡和高边坡处理</w:t>
      </w:r>
    </w:p>
    <w:p w14:paraId="7FA4FE77">
      <w:pPr>
        <w:tabs>
          <w:tab w:val="left" w:pos="3193"/>
        </w:tabs>
        <w:spacing w:line="360" w:lineRule="auto"/>
        <w:ind w:firstLine="420" w:firstLineChars="200"/>
        <w:rPr>
          <w:rFonts w:hint="eastAsia" w:ascii="宋体" w:hAnsi="宋体"/>
          <w:szCs w:val="21"/>
        </w:rPr>
      </w:pPr>
      <w:r>
        <w:rPr>
          <w:rFonts w:hint="eastAsia" w:ascii="宋体" w:hAnsi="宋体"/>
          <w:szCs w:val="21"/>
        </w:rPr>
        <w:t>③ 桩基础、挡墙基础、深水基础及围堰工程</w:t>
      </w:r>
    </w:p>
    <w:p w14:paraId="72B8BED3">
      <w:pPr>
        <w:tabs>
          <w:tab w:val="left" w:pos="3193"/>
        </w:tabs>
        <w:spacing w:line="360" w:lineRule="auto"/>
        <w:ind w:firstLine="420" w:firstLineChars="200"/>
        <w:rPr>
          <w:rFonts w:hint="eastAsia" w:ascii="宋体" w:hAnsi="宋体"/>
          <w:szCs w:val="21"/>
        </w:rPr>
      </w:pPr>
      <w:r>
        <w:rPr>
          <w:rFonts w:hint="eastAsia" w:ascii="宋体" w:hAnsi="宋体"/>
          <w:szCs w:val="21"/>
        </w:rPr>
        <w:t>④ 桥梁工程中的梁、拱、柱等构件施工</w:t>
      </w:r>
    </w:p>
    <w:p w14:paraId="0CD057BF">
      <w:pPr>
        <w:tabs>
          <w:tab w:val="left" w:pos="3193"/>
        </w:tabs>
        <w:spacing w:line="360" w:lineRule="auto"/>
        <w:ind w:firstLine="420" w:firstLineChars="200"/>
        <w:rPr>
          <w:rFonts w:hint="eastAsia" w:ascii="宋体" w:hAnsi="宋体"/>
          <w:szCs w:val="21"/>
        </w:rPr>
      </w:pPr>
      <w:r>
        <w:rPr>
          <w:rFonts w:hint="eastAsia" w:ascii="宋体" w:hAnsi="宋体"/>
          <w:szCs w:val="21"/>
        </w:rPr>
        <w:t>⑤ 隧道工程中的不良地质隧道施工</w:t>
      </w:r>
    </w:p>
    <w:p w14:paraId="3465DCCA">
      <w:pPr>
        <w:tabs>
          <w:tab w:val="left" w:pos="3193"/>
        </w:tabs>
        <w:spacing w:line="360" w:lineRule="auto"/>
        <w:ind w:firstLine="420" w:firstLineChars="200"/>
        <w:rPr>
          <w:rFonts w:hint="eastAsia" w:ascii="宋体" w:hAnsi="宋体"/>
          <w:szCs w:val="21"/>
        </w:rPr>
      </w:pPr>
      <w:r>
        <w:rPr>
          <w:rFonts w:hint="eastAsia" w:ascii="宋体" w:hAnsi="宋体"/>
          <w:szCs w:val="21"/>
        </w:rPr>
        <w:t>⑥ 大型临时工程中的大型支架、模板、便桥的架设与拆除</w:t>
      </w:r>
    </w:p>
    <w:p w14:paraId="5A705A9B">
      <w:pPr>
        <w:tabs>
          <w:tab w:val="left" w:pos="3193"/>
        </w:tabs>
        <w:spacing w:line="360" w:lineRule="auto"/>
        <w:ind w:firstLine="420" w:firstLineChars="200"/>
        <w:rPr>
          <w:rFonts w:hint="eastAsia" w:ascii="宋体" w:hAnsi="宋体"/>
          <w:szCs w:val="21"/>
        </w:rPr>
      </w:pPr>
      <w:r>
        <w:rPr>
          <w:rFonts w:hint="eastAsia" w:ascii="宋体" w:hAnsi="宋体"/>
          <w:szCs w:val="21"/>
        </w:rPr>
        <w:t>⑦ 爆破工程</w:t>
      </w:r>
    </w:p>
    <w:p w14:paraId="2271AC78">
      <w:pPr>
        <w:tabs>
          <w:tab w:val="left" w:pos="3193"/>
        </w:tabs>
        <w:spacing w:line="360" w:lineRule="auto"/>
        <w:ind w:firstLine="420" w:firstLineChars="200"/>
        <w:rPr>
          <w:rFonts w:hint="eastAsia" w:ascii="宋体" w:hAnsi="宋体"/>
          <w:szCs w:val="21"/>
        </w:rPr>
      </w:pPr>
      <w:r>
        <w:rPr>
          <w:rFonts w:hint="eastAsia" w:ascii="宋体" w:hAnsi="宋体"/>
          <w:szCs w:val="21"/>
        </w:rPr>
        <w:t>⑧ 其它危险性较大的养护作业</w:t>
      </w:r>
    </w:p>
    <w:p w14:paraId="0559F9A4">
      <w:pPr>
        <w:tabs>
          <w:tab w:val="left" w:pos="3193"/>
        </w:tabs>
        <w:spacing w:line="360" w:lineRule="auto"/>
        <w:ind w:firstLine="420" w:firstLineChars="200"/>
        <w:rPr>
          <w:rFonts w:hint="eastAsia" w:ascii="宋体" w:hAnsi="宋体"/>
          <w:szCs w:val="21"/>
        </w:rPr>
      </w:pPr>
      <w:r>
        <w:rPr>
          <w:rFonts w:hint="eastAsia" w:ascii="宋体" w:hAnsi="宋体"/>
          <w:szCs w:val="21"/>
        </w:rPr>
        <w:t>（5）质量、安全、进度、文明作业保证和保畅</w:t>
      </w:r>
    </w:p>
    <w:p w14:paraId="6385F4B3">
      <w:pPr>
        <w:tabs>
          <w:tab w:val="left" w:pos="3193"/>
        </w:tabs>
        <w:spacing w:line="360" w:lineRule="auto"/>
        <w:ind w:firstLine="420" w:firstLineChars="200"/>
        <w:rPr>
          <w:rFonts w:hint="eastAsia" w:ascii="宋体" w:hAnsi="宋体"/>
          <w:szCs w:val="21"/>
        </w:rPr>
      </w:pPr>
      <w:r>
        <w:rPr>
          <w:rFonts w:hint="eastAsia" w:ascii="宋体" w:hAnsi="宋体"/>
          <w:szCs w:val="21"/>
        </w:rPr>
        <w:t>（6）环境保护措施</w:t>
      </w:r>
    </w:p>
    <w:p w14:paraId="3DAA5065">
      <w:pPr>
        <w:tabs>
          <w:tab w:val="left" w:pos="3193"/>
        </w:tabs>
        <w:spacing w:line="360" w:lineRule="auto"/>
        <w:ind w:firstLine="420" w:firstLineChars="200"/>
        <w:rPr>
          <w:rFonts w:ascii="宋体" w:hAnsi="宋体"/>
          <w:szCs w:val="21"/>
        </w:rPr>
      </w:pPr>
      <w:r>
        <w:rPr>
          <w:rFonts w:hint="eastAsia" w:ascii="宋体" w:hAnsi="宋体"/>
          <w:szCs w:val="21"/>
        </w:rPr>
        <w:t>（7）其它应说明的事项</w:t>
      </w:r>
    </w:p>
    <w:p w14:paraId="649AA367">
      <w:pPr>
        <w:tabs>
          <w:tab w:val="left" w:pos="3193"/>
        </w:tabs>
        <w:spacing w:line="360" w:lineRule="auto"/>
        <w:ind w:firstLine="422" w:firstLineChars="200"/>
        <w:rPr>
          <w:rFonts w:ascii="宋体" w:hAnsi="宋体"/>
          <w:b/>
          <w:szCs w:val="21"/>
        </w:rPr>
      </w:pPr>
      <w:r>
        <w:rPr>
          <w:rFonts w:ascii="宋体" w:hAnsi="宋体"/>
          <w:b/>
          <w:szCs w:val="21"/>
        </w:rPr>
        <w:t>11</w:t>
      </w:r>
      <w:bookmarkEnd w:id="426"/>
      <w:r>
        <w:rPr>
          <w:rFonts w:ascii="宋体" w:hAnsi="宋体"/>
          <w:b/>
          <w:szCs w:val="21"/>
        </w:rPr>
        <w:t>.  开工和交工</w:t>
      </w:r>
      <w:bookmarkEnd w:id="427"/>
      <w:bookmarkEnd w:id="428"/>
      <w:bookmarkEnd w:id="429"/>
      <w:bookmarkEnd w:id="430"/>
      <w:bookmarkEnd w:id="431"/>
      <w:bookmarkEnd w:id="432"/>
      <w:bookmarkEnd w:id="433"/>
      <w:bookmarkEnd w:id="434"/>
      <w:r>
        <w:rPr>
          <w:rFonts w:ascii="宋体" w:hAnsi="宋体"/>
          <w:b/>
          <w:szCs w:val="21"/>
        </w:rPr>
        <w:t xml:space="preserve"> </w:t>
      </w:r>
    </w:p>
    <w:p w14:paraId="538AFFE4">
      <w:pPr>
        <w:spacing w:line="360" w:lineRule="auto"/>
        <w:ind w:firstLine="422" w:firstLineChars="200"/>
        <w:rPr>
          <w:rFonts w:ascii="宋体" w:hAnsi="宋体"/>
          <w:b/>
          <w:szCs w:val="21"/>
        </w:rPr>
      </w:pPr>
      <w:bookmarkStart w:id="435" w:name="_Toc422583702"/>
      <w:bookmarkStart w:id="436" w:name="_Toc455669989"/>
      <w:bookmarkStart w:id="437" w:name="_Toc431721245"/>
      <w:bookmarkStart w:id="438" w:name="_Toc455323767"/>
      <w:bookmarkStart w:id="439" w:name="_Toc455665870"/>
      <w:bookmarkStart w:id="440" w:name="_Toc24645"/>
      <w:bookmarkStart w:id="441" w:name="_Toc362550547"/>
      <w:bookmarkStart w:id="442" w:name="_Toc417397771"/>
      <w:r>
        <w:rPr>
          <w:rFonts w:ascii="宋体" w:hAnsi="宋体"/>
          <w:b/>
          <w:szCs w:val="21"/>
        </w:rPr>
        <w:t>11.4   异常恶劣的气候条件</w:t>
      </w:r>
      <w:bookmarkEnd w:id="435"/>
      <w:bookmarkEnd w:id="436"/>
      <w:bookmarkEnd w:id="437"/>
      <w:bookmarkEnd w:id="438"/>
      <w:bookmarkEnd w:id="439"/>
      <w:bookmarkEnd w:id="440"/>
      <w:bookmarkEnd w:id="441"/>
      <w:bookmarkEnd w:id="442"/>
    </w:p>
    <w:p w14:paraId="3A95239B">
      <w:pPr>
        <w:spacing w:line="360" w:lineRule="auto"/>
        <w:ind w:firstLine="420" w:firstLineChars="200"/>
        <w:rPr>
          <w:rFonts w:hint="eastAsia" w:ascii="宋体" w:hAnsi="宋体"/>
          <w:szCs w:val="21"/>
        </w:rPr>
      </w:pPr>
      <w:r>
        <w:rPr>
          <w:rFonts w:hint="eastAsia" w:ascii="宋体" w:hAnsi="宋体"/>
          <w:szCs w:val="21"/>
        </w:rPr>
        <w:t>本款约定为：</w:t>
      </w:r>
    </w:p>
    <w:p w14:paraId="705A44F2">
      <w:pPr>
        <w:spacing w:line="360" w:lineRule="auto"/>
        <w:ind w:firstLine="420" w:firstLineChars="200"/>
        <w:rPr>
          <w:rFonts w:hint="eastAsia" w:ascii="宋体" w:hAnsi="宋体"/>
          <w:szCs w:val="21"/>
        </w:rPr>
      </w:pPr>
      <w:r>
        <w:rPr>
          <w:rFonts w:hint="eastAsia" w:ascii="宋体" w:hAnsi="宋体"/>
          <w:szCs w:val="21"/>
        </w:rPr>
        <w:t>(1)异常恶劣的气候条件，对本项目而言，是指发生龙卷风、工地受淹、超过桥梁设计洪水位以及不利降水等引起延误的情况。</w:t>
      </w:r>
    </w:p>
    <w:p w14:paraId="04C26349">
      <w:pPr>
        <w:spacing w:line="360" w:lineRule="auto"/>
        <w:ind w:firstLine="420" w:firstLineChars="200"/>
        <w:rPr>
          <w:rFonts w:hint="eastAsia" w:ascii="宋体" w:hAnsi="宋体"/>
          <w:szCs w:val="21"/>
        </w:rPr>
      </w:pPr>
      <w:r>
        <w:rPr>
          <w:rFonts w:hint="eastAsia" w:ascii="宋体" w:hAnsi="宋体"/>
          <w:szCs w:val="21"/>
        </w:rPr>
        <w:t>(2)不利降水的衡量标准为：</w:t>
      </w:r>
    </w:p>
    <w:p w14:paraId="7D7E2A4F">
      <w:pPr>
        <w:spacing w:line="360" w:lineRule="auto"/>
        <w:ind w:firstLine="420" w:firstLineChars="200"/>
        <w:rPr>
          <w:rFonts w:hint="eastAsia" w:ascii="宋体" w:hAnsi="宋体"/>
          <w:szCs w:val="21"/>
        </w:rPr>
      </w:pPr>
      <w:r>
        <w:rPr>
          <w:rFonts w:hint="eastAsia" w:ascii="宋体" w:hAnsi="宋体"/>
          <w:szCs w:val="21"/>
        </w:rPr>
        <w:t>a.按本省气象部门统计的项目所在地降水资料，取最近二十年的平均降水天数为标准；</w:t>
      </w:r>
    </w:p>
    <w:p w14:paraId="65F31457">
      <w:pPr>
        <w:spacing w:line="360" w:lineRule="auto"/>
        <w:ind w:firstLine="420" w:firstLineChars="200"/>
        <w:rPr>
          <w:rFonts w:hint="eastAsia" w:ascii="宋体" w:hAnsi="宋体"/>
          <w:szCs w:val="21"/>
        </w:rPr>
      </w:pPr>
      <w:r>
        <w:rPr>
          <w:rFonts w:hint="eastAsia" w:ascii="宋体" w:hAnsi="宋体"/>
          <w:szCs w:val="21"/>
        </w:rPr>
        <w:t>b.按项目所在地实际统计的年降水天数与a所指的年降水天数之差，每年计算一次。</w:t>
      </w:r>
    </w:p>
    <w:p w14:paraId="442CB959">
      <w:pPr>
        <w:spacing w:line="360" w:lineRule="auto"/>
        <w:ind w:firstLine="420" w:firstLineChars="200"/>
        <w:rPr>
          <w:rFonts w:hint="eastAsia" w:ascii="宋体" w:hAnsi="宋体"/>
          <w:szCs w:val="21"/>
        </w:rPr>
      </w:pPr>
      <w:r>
        <w:rPr>
          <w:rFonts w:hint="eastAsia" w:ascii="宋体" w:hAnsi="宋体"/>
          <w:szCs w:val="21"/>
        </w:rPr>
        <w:t>(3)异常恶劣气候的时间，监理人将根据承包人的申请和提交的证明予以评定，但在评定时还将考虑按同等标准，用施工期限内其它月份良好的气候的时间予以抵补。恶劣气候在每个月对工程进度影响的评定，应在整个合同期内予以累计。</w:t>
      </w:r>
    </w:p>
    <w:p w14:paraId="0ED04C0A">
      <w:pPr>
        <w:spacing w:line="360" w:lineRule="auto"/>
        <w:ind w:firstLine="420" w:firstLineChars="200"/>
        <w:rPr>
          <w:rFonts w:hint="eastAsia" w:ascii="宋体" w:hAnsi="宋体"/>
          <w:szCs w:val="21"/>
        </w:rPr>
      </w:pPr>
      <w:r>
        <w:rPr>
          <w:rFonts w:hint="eastAsia" w:ascii="宋体" w:hAnsi="宋体"/>
          <w:szCs w:val="21"/>
        </w:rPr>
        <w:t>(4)若恶劣气候只是对局部工程有影响，承包人应采取合同措施予以弥补，而不能推迟工程的总工期。</w:t>
      </w:r>
    </w:p>
    <w:p w14:paraId="5D0A0BF4">
      <w:pPr>
        <w:spacing w:line="360" w:lineRule="auto"/>
        <w:ind w:firstLine="420" w:firstLineChars="200"/>
        <w:rPr>
          <w:rFonts w:ascii="宋体" w:hAnsi="宋体"/>
          <w:szCs w:val="21"/>
        </w:rPr>
      </w:pPr>
      <w:r>
        <w:rPr>
          <w:rFonts w:hint="eastAsia" w:ascii="宋体" w:hAnsi="宋体"/>
          <w:szCs w:val="21"/>
        </w:rPr>
        <w:t>(5)受本款所述的恶劣气候影响的分项工程，必须在工程施工进度网络计划的关键线路上，监理人方能考虑延长工程总工期</w:t>
      </w:r>
      <w:r>
        <w:rPr>
          <w:rFonts w:ascii="宋体" w:hAnsi="宋体"/>
          <w:szCs w:val="21"/>
        </w:rPr>
        <w:t>。</w:t>
      </w:r>
    </w:p>
    <w:p w14:paraId="1F837BB3">
      <w:pPr>
        <w:spacing w:line="360" w:lineRule="auto"/>
        <w:ind w:firstLine="422" w:firstLineChars="200"/>
        <w:outlineLvl w:val="0"/>
        <w:rPr>
          <w:rFonts w:ascii="宋体" w:hAnsi="宋体"/>
          <w:b/>
          <w:szCs w:val="21"/>
        </w:rPr>
      </w:pPr>
      <w:bookmarkStart w:id="443" w:name="_Toc234382941"/>
      <w:bookmarkStart w:id="444" w:name="_Toc455665872"/>
      <w:bookmarkStart w:id="445" w:name="_Toc5633"/>
      <w:bookmarkStart w:id="446" w:name="_Toc6185"/>
      <w:bookmarkStart w:id="447" w:name="_Toc238268357"/>
      <w:bookmarkStart w:id="448" w:name="_Toc455323768"/>
      <w:bookmarkStart w:id="449" w:name="_Toc422583703"/>
      <w:bookmarkStart w:id="450" w:name="_Toc431721246"/>
      <w:bookmarkStart w:id="451" w:name="_Toc455669991"/>
      <w:bookmarkStart w:id="452" w:name="_Toc417397772"/>
      <w:r>
        <w:rPr>
          <w:rFonts w:ascii="宋体" w:hAnsi="宋体"/>
          <w:b/>
          <w:szCs w:val="21"/>
        </w:rPr>
        <w:t>12.</w:t>
      </w:r>
      <w:bookmarkEnd w:id="443"/>
      <w:r>
        <w:rPr>
          <w:rFonts w:ascii="宋体" w:hAnsi="宋体"/>
          <w:b/>
          <w:szCs w:val="21"/>
        </w:rPr>
        <w:t xml:space="preserve">  暂停施工</w:t>
      </w:r>
      <w:bookmarkEnd w:id="444"/>
      <w:bookmarkEnd w:id="445"/>
      <w:bookmarkEnd w:id="446"/>
      <w:bookmarkEnd w:id="447"/>
      <w:bookmarkEnd w:id="448"/>
      <w:bookmarkEnd w:id="449"/>
      <w:bookmarkEnd w:id="450"/>
      <w:bookmarkEnd w:id="451"/>
      <w:bookmarkEnd w:id="452"/>
      <w:r>
        <w:rPr>
          <w:rFonts w:ascii="宋体" w:hAnsi="宋体"/>
          <w:b/>
          <w:szCs w:val="21"/>
        </w:rPr>
        <w:t xml:space="preserve"> </w:t>
      </w:r>
    </w:p>
    <w:p w14:paraId="1031C0BD">
      <w:pPr>
        <w:spacing w:line="360" w:lineRule="auto"/>
        <w:ind w:firstLine="422" w:firstLineChars="200"/>
        <w:rPr>
          <w:rFonts w:ascii="宋体" w:hAnsi="宋体"/>
          <w:b/>
          <w:szCs w:val="21"/>
        </w:rPr>
      </w:pPr>
      <w:bookmarkStart w:id="453" w:name="_Toc431721247"/>
      <w:bookmarkStart w:id="454" w:name="_Toc362550549"/>
      <w:bookmarkStart w:id="455" w:name="_Toc17867"/>
      <w:bookmarkStart w:id="456" w:name="_Toc455323769"/>
      <w:bookmarkStart w:id="457" w:name="_Toc417397773"/>
      <w:bookmarkStart w:id="458" w:name="_Toc422583704"/>
      <w:bookmarkStart w:id="459" w:name="_Toc455669992"/>
      <w:bookmarkStart w:id="460" w:name="_Toc455665873"/>
      <w:r>
        <w:rPr>
          <w:rFonts w:ascii="宋体" w:hAnsi="宋体"/>
          <w:b/>
          <w:szCs w:val="21"/>
        </w:rPr>
        <w:t xml:space="preserve">12.1   </w:t>
      </w:r>
      <w:bookmarkEnd w:id="453"/>
      <w:bookmarkEnd w:id="454"/>
      <w:bookmarkEnd w:id="455"/>
      <w:bookmarkEnd w:id="456"/>
      <w:bookmarkEnd w:id="457"/>
      <w:bookmarkEnd w:id="458"/>
      <w:bookmarkEnd w:id="459"/>
      <w:bookmarkEnd w:id="460"/>
      <w:r>
        <w:rPr>
          <w:rFonts w:hint="eastAsia" w:ascii="宋体" w:hAnsi="宋体"/>
          <w:b/>
          <w:szCs w:val="21"/>
        </w:rPr>
        <w:t>承包人暂停施工的责任</w:t>
      </w:r>
    </w:p>
    <w:p w14:paraId="3D6578B3">
      <w:pPr>
        <w:tabs>
          <w:tab w:val="left" w:pos="3193"/>
        </w:tabs>
        <w:spacing w:line="360" w:lineRule="auto"/>
        <w:ind w:firstLine="420" w:firstLineChars="200"/>
        <w:rPr>
          <w:rFonts w:hint="eastAsia" w:ascii="宋体" w:hAnsi="宋体"/>
          <w:szCs w:val="21"/>
        </w:rPr>
      </w:pPr>
      <w:r>
        <w:rPr>
          <w:rFonts w:ascii="宋体" w:hAnsi="宋体"/>
          <w:szCs w:val="21"/>
        </w:rPr>
        <w:t xml:space="preserve">   </w:t>
      </w:r>
      <w:r>
        <w:rPr>
          <w:rFonts w:hint="eastAsia" w:ascii="宋体" w:hAnsi="宋体"/>
          <w:szCs w:val="21"/>
        </w:rPr>
        <w:t>养护工程专用合同条款第12.1（6）项约定为：</w:t>
      </w:r>
    </w:p>
    <w:p w14:paraId="77B88141">
      <w:pPr>
        <w:tabs>
          <w:tab w:val="left" w:pos="3193"/>
        </w:tabs>
        <w:spacing w:line="360" w:lineRule="auto"/>
        <w:ind w:firstLine="420" w:firstLineChars="200"/>
        <w:rPr>
          <w:rFonts w:ascii="宋体" w:hAnsi="宋体"/>
          <w:szCs w:val="21"/>
        </w:rPr>
      </w:pPr>
      <w:r>
        <w:rPr>
          <w:rFonts w:hint="eastAsia" w:ascii="宋体" w:hAnsi="宋体"/>
          <w:szCs w:val="21"/>
        </w:rPr>
        <w:t>（6）由承包人承担的其它暂停施工：</w:t>
      </w:r>
      <w:r>
        <w:rPr>
          <w:rFonts w:ascii="宋体" w:hAnsi="宋体"/>
          <w:szCs w:val="21"/>
        </w:rPr>
        <w:t>监理人认为有必要时，可向承包人作出暂停施工的指示，承包人应按监理人指示暂停施工。因政府重大活动引起的施工暂停，合同工期相应顺延，但承包人不得要求发包人增加其他费用及利润。暂停施工期间承包人应负责妥善保护工程并提供安全保障。</w:t>
      </w:r>
    </w:p>
    <w:p w14:paraId="307B454B">
      <w:pPr>
        <w:spacing w:line="360" w:lineRule="auto"/>
        <w:ind w:firstLine="422" w:firstLineChars="200"/>
        <w:rPr>
          <w:rFonts w:ascii="宋体" w:hAnsi="宋体"/>
          <w:b/>
          <w:szCs w:val="21"/>
        </w:rPr>
      </w:pPr>
      <w:bookmarkStart w:id="461" w:name="_Toc149226452"/>
      <w:r>
        <w:rPr>
          <w:rFonts w:ascii="宋体" w:hAnsi="宋体"/>
          <w:b/>
          <w:szCs w:val="21"/>
        </w:rPr>
        <w:t>12.2  发包人暂停施工的责任</w:t>
      </w:r>
      <w:bookmarkEnd w:id="461"/>
    </w:p>
    <w:p w14:paraId="6DC640EC">
      <w:pPr>
        <w:tabs>
          <w:tab w:val="left" w:pos="3193"/>
        </w:tabs>
        <w:spacing w:line="360" w:lineRule="auto"/>
        <w:ind w:firstLine="420" w:firstLineChars="200"/>
        <w:rPr>
          <w:rFonts w:ascii="宋体" w:hAnsi="宋体"/>
          <w:szCs w:val="21"/>
        </w:rPr>
      </w:pPr>
      <w:r>
        <w:rPr>
          <w:rFonts w:hint="eastAsia" w:ascii="宋体" w:hAnsi="宋体"/>
          <w:szCs w:val="21"/>
        </w:rPr>
        <w:t>养护工程专用</w:t>
      </w:r>
      <w:r>
        <w:rPr>
          <w:rFonts w:ascii="宋体" w:hAnsi="宋体"/>
          <w:szCs w:val="21"/>
        </w:rPr>
        <w:t>合同条款第12.2款原内容后补充：</w:t>
      </w:r>
    </w:p>
    <w:p w14:paraId="6B9ED4E6">
      <w:pPr>
        <w:tabs>
          <w:tab w:val="left" w:pos="3193"/>
        </w:tabs>
        <w:spacing w:line="360" w:lineRule="auto"/>
        <w:ind w:firstLine="420" w:firstLineChars="200"/>
        <w:rPr>
          <w:rFonts w:hint="eastAsia" w:ascii="宋体" w:hAnsi="宋体"/>
          <w:szCs w:val="21"/>
        </w:rPr>
      </w:pPr>
      <w:r>
        <w:rPr>
          <w:rFonts w:ascii="宋体" w:hAnsi="宋体"/>
          <w:szCs w:val="21"/>
        </w:rPr>
        <w:t>发包人如连续2个月发生已计量应支付而未支付工程款的，承包人可停工。造成的损失由发包人承担。</w:t>
      </w:r>
    </w:p>
    <w:p w14:paraId="0CBC3C1A">
      <w:pPr>
        <w:spacing w:line="360" w:lineRule="auto"/>
        <w:ind w:firstLine="422" w:firstLineChars="200"/>
        <w:outlineLvl w:val="0"/>
        <w:rPr>
          <w:rFonts w:ascii="宋体" w:hAnsi="宋体"/>
          <w:b/>
          <w:szCs w:val="21"/>
        </w:rPr>
      </w:pPr>
      <w:bookmarkStart w:id="462" w:name="_Toc2790"/>
      <w:bookmarkStart w:id="463" w:name="_Toc455669993"/>
      <w:bookmarkStart w:id="464" w:name="_Toc431721248"/>
      <w:bookmarkStart w:id="465" w:name="_Toc422583705"/>
      <w:bookmarkStart w:id="466" w:name="_Toc455665874"/>
      <w:bookmarkStart w:id="467" w:name="_Toc455323770"/>
      <w:bookmarkStart w:id="468" w:name="_Toc4757"/>
      <w:bookmarkStart w:id="469" w:name="_Toc238268358"/>
      <w:bookmarkStart w:id="470" w:name="_Toc417397774"/>
      <w:r>
        <w:rPr>
          <w:rFonts w:ascii="宋体" w:hAnsi="宋体"/>
          <w:b/>
          <w:szCs w:val="21"/>
        </w:rPr>
        <w:t>13.  工程质量</w:t>
      </w:r>
      <w:bookmarkEnd w:id="462"/>
      <w:bookmarkEnd w:id="463"/>
      <w:bookmarkEnd w:id="464"/>
      <w:bookmarkEnd w:id="465"/>
      <w:bookmarkEnd w:id="466"/>
      <w:bookmarkEnd w:id="467"/>
      <w:bookmarkEnd w:id="468"/>
      <w:bookmarkEnd w:id="469"/>
      <w:bookmarkEnd w:id="470"/>
    </w:p>
    <w:p w14:paraId="0A1A9B57">
      <w:pPr>
        <w:spacing w:line="360" w:lineRule="auto"/>
        <w:ind w:firstLine="422" w:firstLineChars="200"/>
        <w:outlineLvl w:val="0"/>
        <w:rPr>
          <w:rFonts w:ascii="宋体" w:hAnsi="宋体"/>
          <w:b/>
          <w:szCs w:val="21"/>
        </w:rPr>
      </w:pPr>
      <w:bookmarkStart w:id="471" w:name="_Toc489169072"/>
      <w:bookmarkStart w:id="472" w:name="_Toc25905"/>
      <w:bookmarkStart w:id="473" w:name="_Toc488762910"/>
      <w:bookmarkStart w:id="474" w:name="_Toc489296018"/>
      <w:bookmarkStart w:id="475" w:name="_Toc27733"/>
      <w:bookmarkStart w:id="476" w:name="_Toc422583706"/>
      <w:bookmarkStart w:id="477" w:name="_Toc417397775"/>
      <w:bookmarkStart w:id="478" w:name="_Toc455323771"/>
      <w:bookmarkStart w:id="479" w:name="_Toc455669994"/>
      <w:bookmarkStart w:id="480" w:name="_Toc431721249"/>
      <w:bookmarkStart w:id="481" w:name="_Toc362550551"/>
      <w:bookmarkStart w:id="482" w:name="_Toc455665875"/>
      <w:bookmarkStart w:id="483" w:name="_Toc19405"/>
      <w:r>
        <w:rPr>
          <w:rFonts w:ascii="宋体" w:hAnsi="宋体"/>
          <w:b/>
          <w:szCs w:val="21"/>
        </w:rPr>
        <w:t>13.1   工程质量要求</w:t>
      </w:r>
      <w:bookmarkEnd w:id="471"/>
      <w:bookmarkEnd w:id="472"/>
      <w:bookmarkEnd w:id="473"/>
      <w:bookmarkEnd w:id="474"/>
      <w:bookmarkEnd w:id="475"/>
      <w:bookmarkEnd w:id="476"/>
      <w:bookmarkEnd w:id="477"/>
      <w:bookmarkEnd w:id="478"/>
      <w:bookmarkEnd w:id="479"/>
      <w:bookmarkEnd w:id="480"/>
      <w:bookmarkEnd w:id="481"/>
      <w:bookmarkEnd w:id="482"/>
      <w:bookmarkEnd w:id="483"/>
    </w:p>
    <w:p w14:paraId="593D447C">
      <w:pPr>
        <w:spacing w:line="360" w:lineRule="auto"/>
        <w:ind w:firstLine="420" w:firstLineChars="200"/>
        <w:rPr>
          <w:rFonts w:hint="eastAsia" w:ascii="宋体" w:hAnsi="宋体"/>
          <w:szCs w:val="21"/>
        </w:rPr>
      </w:pPr>
      <w:bookmarkStart w:id="484" w:name="_Toc488762911"/>
      <w:bookmarkStart w:id="485" w:name="_Toc25794"/>
      <w:bookmarkStart w:id="486" w:name="_Toc455669995"/>
      <w:bookmarkStart w:id="487" w:name="_Toc489296019"/>
      <w:bookmarkStart w:id="488" w:name="_Toc455323772"/>
      <w:bookmarkStart w:id="489" w:name="_Toc489169073"/>
      <w:bookmarkStart w:id="490" w:name="_Toc455665876"/>
      <w:r>
        <w:rPr>
          <w:rFonts w:hint="eastAsia" w:ascii="宋体" w:hAnsi="宋体"/>
          <w:szCs w:val="21"/>
        </w:rPr>
        <w:t>第13.1.1项约定为：</w:t>
      </w:r>
    </w:p>
    <w:p w14:paraId="1079D84D">
      <w:pPr>
        <w:spacing w:line="360" w:lineRule="auto"/>
        <w:ind w:firstLine="420" w:firstLineChars="200"/>
        <w:rPr>
          <w:rFonts w:ascii="宋体" w:hAnsi="宋体"/>
          <w:szCs w:val="21"/>
        </w:rPr>
      </w:pPr>
      <w:r>
        <w:rPr>
          <w:rFonts w:hint="eastAsia" w:ascii="宋体" w:hAnsi="宋体"/>
          <w:szCs w:val="21"/>
        </w:rPr>
        <w:t>工程质量验收按技术规范及《公路养护工程质量检验评定标准》JTG5220-2020执行。本工程的质量目标为：</w:t>
      </w:r>
      <w:r>
        <w:rPr>
          <w:rFonts w:hint="eastAsia" w:ascii="宋体" w:hAnsi="宋体"/>
          <w:kern w:val="2"/>
        </w:rPr>
        <w:t>合格</w:t>
      </w:r>
      <w:r>
        <w:rPr>
          <w:rFonts w:hint="eastAsia" w:ascii="宋体" w:hAnsi="宋体"/>
          <w:szCs w:val="21"/>
        </w:rPr>
        <w:t>。</w:t>
      </w:r>
    </w:p>
    <w:p w14:paraId="1C2CEF6E">
      <w:pPr>
        <w:spacing w:line="360" w:lineRule="auto"/>
        <w:ind w:firstLine="422" w:firstLineChars="200"/>
        <w:rPr>
          <w:rFonts w:ascii="宋体" w:hAnsi="宋体"/>
          <w:b/>
          <w:szCs w:val="21"/>
        </w:rPr>
      </w:pPr>
      <w:r>
        <w:rPr>
          <w:rFonts w:ascii="宋体" w:hAnsi="宋体"/>
          <w:b/>
          <w:szCs w:val="21"/>
        </w:rPr>
        <w:t>13.2   承包人的质量管理</w:t>
      </w:r>
      <w:bookmarkEnd w:id="484"/>
      <w:bookmarkEnd w:id="485"/>
      <w:bookmarkEnd w:id="486"/>
      <w:bookmarkEnd w:id="487"/>
      <w:bookmarkEnd w:id="488"/>
      <w:bookmarkEnd w:id="489"/>
      <w:bookmarkEnd w:id="490"/>
    </w:p>
    <w:p w14:paraId="6551703C">
      <w:pPr>
        <w:spacing w:line="360" w:lineRule="auto"/>
        <w:ind w:firstLine="420" w:firstLineChars="200"/>
        <w:rPr>
          <w:rFonts w:hint="eastAsia" w:ascii="宋体" w:hAnsi="宋体"/>
          <w:szCs w:val="21"/>
        </w:rPr>
      </w:pPr>
      <w:bookmarkStart w:id="491" w:name="_Toc455323773"/>
      <w:bookmarkStart w:id="492" w:name="_Toc455665877"/>
      <w:bookmarkStart w:id="493" w:name="_Toc455669996"/>
      <w:r>
        <w:rPr>
          <w:rFonts w:hint="eastAsia" w:ascii="宋体" w:hAnsi="宋体"/>
          <w:szCs w:val="21"/>
        </w:rPr>
        <w:t>第13.2.4项细化为：</w:t>
      </w:r>
    </w:p>
    <w:p w14:paraId="1E752ADD">
      <w:pPr>
        <w:spacing w:line="360" w:lineRule="auto"/>
        <w:ind w:firstLine="420" w:firstLineChars="200"/>
        <w:rPr>
          <w:rFonts w:ascii="宋体" w:hAnsi="宋体"/>
          <w:szCs w:val="21"/>
        </w:rPr>
      </w:pPr>
      <w:r>
        <w:rPr>
          <w:rFonts w:hint="eastAsia" w:ascii="宋体" w:hAnsi="宋体"/>
          <w:szCs w:val="21"/>
        </w:rPr>
        <w:t>13.2.4承包人应当建立健全工程质量保证体系，制定质量管理制度，强化工程质量管理措施，完善工程质量目标保障机制；严格遵守国家有关法律、法规、规章及《浙江省交通建设工程质量和安全生产管理条例》，严格执行公路工程强制性技术标准、各类技术规范及规程，全面履行工程合同义务。</w:t>
      </w:r>
    </w:p>
    <w:p w14:paraId="081FC310">
      <w:pPr>
        <w:spacing w:line="360" w:lineRule="auto"/>
        <w:ind w:firstLine="422" w:firstLineChars="200"/>
        <w:rPr>
          <w:rFonts w:ascii="宋体" w:hAnsi="宋体"/>
          <w:b/>
          <w:szCs w:val="21"/>
        </w:rPr>
      </w:pPr>
      <w:r>
        <w:rPr>
          <w:rFonts w:ascii="宋体" w:hAnsi="宋体"/>
          <w:b/>
          <w:szCs w:val="21"/>
        </w:rPr>
        <w:t>13.5   工程隐蔽部位覆盖前的检查</w:t>
      </w:r>
      <w:bookmarkEnd w:id="491"/>
      <w:bookmarkEnd w:id="492"/>
      <w:bookmarkEnd w:id="493"/>
    </w:p>
    <w:p w14:paraId="29613DA3">
      <w:pPr>
        <w:spacing w:line="360" w:lineRule="auto"/>
        <w:ind w:firstLine="420" w:firstLineChars="200"/>
        <w:rPr>
          <w:rFonts w:hint="eastAsia" w:ascii="宋体" w:hAnsi="宋体"/>
          <w:szCs w:val="21"/>
        </w:rPr>
      </w:pPr>
      <w:r>
        <w:rPr>
          <w:rFonts w:hint="eastAsia" w:ascii="宋体" w:hAnsi="宋体"/>
          <w:szCs w:val="21"/>
        </w:rPr>
        <w:t>第13.5.1项补充：</w:t>
      </w:r>
    </w:p>
    <w:p w14:paraId="6A80B269">
      <w:pPr>
        <w:spacing w:line="360" w:lineRule="auto"/>
        <w:ind w:firstLine="420" w:firstLineChars="200"/>
        <w:rPr>
          <w:rFonts w:ascii="宋体" w:hAnsi="宋体"/>
          <w:szCs w:val="21"/>
        </w:rPr>
      </w:pPr>
      <w:r>
        <w:rPr>
          <w:rFonts w:hint="eastAsia" w:ascii="宋体" w:hAnsi="宋体"/>
          <w:szCs w:val="21"/>
        </w:rPr>
        <w:t>隐蔽工程覆盖前应经监理人检查签认，分阶段（工序）进行摄像或照相，并向监理人提供相关资料作为计量支付的依据。</w:t>
      </w:r>
    </w:p>
    <w:p w14:paraId="454B4EA6">
      <w:pPr>
        <w:spacing w:line="360" w:lineRule="auto"/>
        <w:ind w:firstLine="420" w:firstLineChars="200"/>
        <w:rPr>
          <w:rFonts w:hint="eastAsia" w:ascii="宋体" w:hAnsi="宋体"/>
          <w:szCs w:val="21"/>
        </w:rPr>
      </w:pPr>
      <w:bookmarkStart w:id="494" w:name="_Toc455669998"/>
      <w:bookmarkStart w:id="495" w:name="_Toc2103"/>
      <w:bookmarkStart w:id="496" w:name="_Toc431721251"/>
      <w:bookmarkStart w:id="497" w:name="_Toc422583708"/>
      <w:bookmarkStart w:id="498" w:name="_Toc417397777"/>
      <w:bookmarkStart w:id="499" w:name="_Toc455323775"/>
      <w:bookmarkStart w:id="500" w:name="_Toc455665879"/>
      <w:r>
        <w:rPr>
          <w:rFonts w:hint="eastAsia" w:ascii="宋体" w:hAnsi="宋体"/>
          <w:szCs w:val="21"/>
        </w:rPr>
        <w:t>补充第13.7款：</w:t>
      </w:r>
    </w:p>
    <w:p w14:paraId="55CDC1EE">
      <w:pPr>
        <w:spacing w:line="360" w:lineRule="auto"/>
        <w:ind w:firstLine="422" w:firstLineChars="200"/>
        <w:rPr>
          <w:rFonts w:hint="eastAsia" w:ascii="宋体" w:hAnsi="宋体"/>
          <w:b/>
          <w:szCs w:val="21"/>
        </w:rPr>
      </w:pPr>
      <w:r>
        <w:rPr>
          <w:rFonts w:hint="eastAsia" w:ascii="宋体" w:hAnsi="宋体"/>
          <w:b/>
          <w:szCs w:val="21"/>
        </w:rPr>
        <w:t>13.7  质量抽检</w:t>
      </w:r>
    </w:p>
    <w:p w14:paraId="777ABEEF">
      <w:pPr>
        <w:spacing w:line="360" w:lineRule="auto"/>
        <w:ind w:firstLine="420" w:firstLineChars="200"/>
        <w:rPr>
          <w:rFonts w:hint="eastAsia" w:ascii="宋体" w:hAnsi="宋体"/>
          <w:szCs w:val="21"/>
        </w:rPr>
      </w:pPr>
      <w:r>
        <w:rPr>
          <w:rFonts w:hint="eastAsia" w:ascii="宋体" w:hAnsi="宋体"/>
          <w:szCs w:val="21"/>
        </w:rPr>
        <w:t>主管交通工程质量监督机构有权对承包人施工质量随时进行抽检，并通过监理人对工程质量实施否决，承包人应积极配合并免费提供试验用的试件。承包人为配合上述工作发生的材料、机械、人员及试验和检验等费用不另行支付。</w:t>
      </w:r>
    </w:p>
    <w:bookmarkEnd w:id="494"/>
    <w:bookmarkEnd w:id="495"/>
    <w:bookmarkEnd w:id="496"/>
    <w:bookmarkEnd w:id="497"/>
    <w:bookmarkEnd w:id="498"/>
    <w:bookmarkEnd w:id="499"/>
    <w:bookmarkEnd w:id="500"/>
    <w:p w14:paraId="2CCE509C">
      <w:pPr>
        <w:spacing w:line="360" w:lineRule="auto"/>
        <w:ind w:firstLine="422" w:firstLineChars="200"/>
        <w:outlineLvl w:val="0"/>
        <w:rPr>
          <w:rFonts w:ascii="宋体" w:hAnsi="宋体"/>
          <w:b/>
          <w:szCs w:val="21"/>
        </w:rPr>
      </w:pPr>
      <w:bookmarkStart w:id="501" w:name="_Toc238268359"/>
      <w:bookmarkStart w:id="502" w:name="_Toc455323777"/>
      <w:bookmarkStart w:id="503" w:name="_Toc417397779"/>
      <w:bookmarkStart w:id="504" w:name="_Toc161676707"/>
      <w:bookmarkStart w:id="505" w:name="_Toc455665881"/>
      <w:bookmarkStart w:id="506" w:name="_Toc422583710"/>
      <w:bookmarkStart w:id="507" w:name="_Toc431721253"/>
      <w:bookmarkStart w:id="508" w:name="_Toc7138"/>
      <w:bookmarkStart w:id="509" w:name="_Toc455670000"/>
      <w:bookmarkStart w:id="510" w:name="_Toc8826"/>
      <w:r>
        <w:rPr>
          <w:rFonts w:ascii="宋体" w:hAnsi="宋体"/>
          <w:b/>
          <w:szCs w:val="21"/>
        </w:rPr>
        <w:t>15.  变更</w:t>
      </w:r>
      <w:bookmarkEnd w:id="501"/>
      <w:bookmarkEnd w:id="502"/>
      <w:bookmarkEnd w:id="503"/>
      <w:bookmarkEnd w:id="504"/>
      <w:bookmarkEnd w:id="505"/>
      <w:bookmarkEnd w:id="506"/>
      <w:bookmarkEnd w:id="507"/>
      <w:bookmarkEnd w:id="508"/>
      <w:bookmarkEnd w:id="509"/>
      <w:bookmarkEnd w:id="510"/>
    </w:p>
    <w:p w14:paraId="390B9DF5">
      <w:pPr>
        <w:spacing w:line="360" w:lineRule="auto"/>
        <w:ind w:firstLine="422" w:firstLineChars="200"/>
        <w:outlineLvl w:val="0"/>
        <w:rPr>
          <w:rFonts w:ascii="宋体" w:hAnsi="宋体"/>
          <w:b/>
          <w:szCs w:val="21"/>
        </w:rPr>
      </w:pPr>
      <w:bookmarkStart w:id="511" w:name="_Toc10894"/>
      <w:bookmarkStart w:id="512" w:name="_Toc149226455"/>
      <w:bookmarkStart w:id="513" w:name="_Toc6003"/>
      <w:bookmarkStart w:id="514" w:name="_Toc455323780"/>
      <w:bookmarkStart w:id="515" w:name="_Toc422583712"/>
      <w:bookmarkStart w:id="516" w:name="_Toc417397781"/>
      <w:bookmarkStart w:id="517" w:name="_Toc238268360"/>
      <w:bookmarkStart w:id="518" w:name="_Toc455665884"/>
      <w:bookmarkStart w:id="519" w:name="_Toc431721255"/>
      <w:bookmarkStart w:id="520" w:name="_Toc455670003"/>
      <w:r>
        <w:rPr>
          <w:rFonts w:ascii="宋体" w:hAnsi="宋体"/>
          <w:b/>
          <w:szCs w:val="21"/>
        </w:rPr>
        <w:t>1</w:t>
      </w:r>
      <w:r>
        <w:rPr>
          <w:rFonts w:hint="eastAsia" w:ascii="宋体" w:hAnsi="宋体"/>
          <w:b/>
          <w:szCs w:val="21"/>
        </w:rPr>
        <w:t>5</w:t>
      </w:r>
      <w:r>
        <w:rPr>
          <w:rFonts w:ascii="宋体" w:hAnsi="宋体"/>
          <w:b/>
          <w:szCs w:val="21"/>
        </w:rPr>
        <w:t>.</w:t>
      </w:r>
      <w:r>
        <w:rPr>
          <w:rFonts w:hint="eastAsia" w:ascii="宋体" w:hAnsi="宋体"/>
          <w:b/>
          <w:szCs w:val="21"/>
        </w:rPr>
        <w:t>1</w:t>
      </w:r>
      <w:r>
        <w:rPr>
          <w:rFonts w:ascii="宋体" w:hAnsi="宋体"/>
          <w:b/>
          <w:szCs w:val="21"/>
        </w:rPr>
        <w:t xml:space="preserve">  </w:t>
      </w:r>
      <w:r>
        <w:rPr>
          <w:rFonts w:hint="eastAsia" w:ascii="宋体" w:hAnsi="宋体"/>
          <w:b/>
          <w:szCs w:val="21"/>
        </w:rPr>
        <w:t>变更的范围和内容</w:t>
      </w:r>
      <w:bookmarkEnd w:id="511"/>
      <w:bookmarkEnd w:id="512"/>
    </w:p>
    <w:p w14:paraId="31C37F01">
      <w:pPr>
        <w:tabs>
          <w:tab w:val="left" w:pos="3193"/>
        </w:tabs>
        <w:spacing w:line="360" w:lineRule="auto"/>
        <w:ind w:firstLine="420" w:firstLineChars="200"/>
        <w:rPr>
          <w:rFonts w:hint="eastAsia" w:ascii="宋体" w:hAnsi="宋体"/>
          <w:szCs w:val="21"/>
        </w:rPr>
      </w:pPr>
      <w:r>
        <w:rPr>
          <w:rFonts w:hint="eastAsia" w:ascii="宋体" w:hAnsi="宋体"/>
          <w:szCs w:val="21"/>
        </w:rPr>
        <w:t>养护工程专用合同条款第15.1款补充：</w:t>
      </w:r>
    </w:p>
    <w:p w14:paraId="4323CC87">
      <w:pPr>
        <w:tabs>
          <w:tab w:val="left" w:pos="3193"/>
        </w:tabs>
        <w:spacing w:line="360" w:lineRule="auto"/>
        <w:ind w:firstLine="420" w:firstLineChars="200"/>
        <w:rPr>
          <w:rFonts w:ascii="宋体" w:hAnsi="宋体"/>
          <w:szCs w:val="21"/>
        </w:rPr>
      </w:pPr>
      <w:r>
        <w:rPr>
          <w:rFonts w:hint="eastAsia" w:ascii="宋体" w:hAnsi="宋体"/>
          <w:szCs w:val="21"/>
        </w:rPr>
        <w:t>（6）经批复的设计文件不得随意改变，确需设计变更的，必须严格履行审批手续。普通国道非收费公路设计变更后突破总预算批复金额的，需经省级公路管理机构书面同意；普通国道非收费公路养护工程路面结构变化长度或实施里程调整超过15％、桥隧边坡总体处治方案变化等设计变更由设区的市公路管理机构审核审批。</w:t>
      </w:r>
    </w:p>
    <w:p w14:paraId="74D87544">
      <w:pPr>
        <w:spacing w:line="360" w:lineRule="auto"/>
        <w:ind w:firstLine="422" w:firstLineChars="200"/>
        <w:outlineLvl w:val="0"/>
        <w:rPr>
          <w:rFonts w:hint="eastAsia" w:ascii="宋体" w:hAnsi="宋体"/>
          <w:b/>
          <w:szCs w:val="21"/>
        </w:rPr>
      </w:pPr>
      <w:bookmarkStart w:id="521" w:name="_Toc29780"/>
      <w:r>
        <w:rPr>
          <w:rFonts w:hint="eastAsia" w:ascii="宋体" w:hAnsi="宋体"/>
          <w:b/>
          <w:szCs w:val="21"/>
        </w:rPr>
        <w:t>15.4</w:t>
      </w:r>
      <w:r>
        <w:rPr>
          <w:rFonts w:ascii="宋体" w:hAnsi="宋体"/>
          <w:b/>
          <w:szCs w:val="21"/>
        </w:rPr>
        <w:t xml:space="preserve">  </w:t>
      </w:r>
      <w:r>
        <w:rPr>
          <w:rFonts w:hint="eastAsia" w:ascii="宋体" w:hAnsi="宋体"/>
          <w:b/>
          <w:szCs w:val="21"/>
        </w:rPr>
        <w:t>变更的估价原则</w:t>
      </w:r>
      <w:bookmarkEnd w:id="521"/>
    </w:p>
    <w:p w14:paraId="0E7B7DF4">
      <w:pPr>
        <w:tabs>
          <w:tab w:val="left" w:pos="3193"/>
        </w:tabs>
        <w:spacing w:line="360" w:lineRule="auto"/>
        <w:ind w:firstLine="420" w:firstLineChars="200"/>
        <w:rPr>
          <w:rFonts w:hint="eastAsia" w:ascii="宋体" w:hAnsi="宋体"/>
          <w:szCs w:val="21"/>
        </w:rPr>
      </w:pPr>
      <w:r>
        <w:rPr>
          <w:rFonts w:hint="eastAsia" w:ascii="宋体" w:hAnsi="宋体"/>
          <w:szCs w:val="21"/>
        </w:rPr>
        <w:t>养护工程专用合同条款第15.4.4项细化为:</w:t>
      </w:r>
    </w:p>
    <w:p w14:paraId="563CC9D3">
      <w:pPr>
        <w:tabs>
          <w:tab w:val="left" w:pos="3193"/>
        </w:tabs>
        <w:spacing w:line="360" w:lineRule="auto"/>
        <w:ind w:firstLine="420" w:firstLineChars="200"/>
        <w:rPr>
          <w:rFonts w:ascii="宋体" w:hAnsi="宋体"/>
          <w:szCs w:val="21"/>
        </w:rPr>
      </w:pPr>
      <w:r>
        <w:rPr>
          <w:rFonts w:hint="eastAsia" w:ascii="宋体" w:hAnsi="宋体"/>
          <w:szCs w:val="21"/>
        </w:rPr>
        <w:t>15.4.4已标价工程量清单中无适用或类似子目的单价，按以下原则进行组价:</w:t>
      </w:r>
    </w:p>
    <w:p w14:paraId="4BECC6D4">
      <w:pPr>
        <w:spacing w:line="360" w:lineRule="auto"/>
        <w:ind w:firstLine="420" w:firstLineChars="200"/>
        <w:rPr>
          <w:rFonts w:ascii="宋体" w:hAnsi="宋体" w:eastAsia="宋体" w:cs="Times New Roman"/>
          <w:szCs w:val="21"/>
        </w:rPr>
      </w:pPr>
      <w:bookmarkStart w:id="522" w:name="_Toc8595"/>
      <w:r>
        <w:rPr>
          <w:rFonts w:ascii="宋体" w:hAnsi="宋体" w:eastAsia="宋体" w:cs="Times New Roman"/>
          <w:szCs w:val="21"/>
        </w:rPr>
        <w:t>（1）定额套用：《浙江省公路养护工程预算定额》 、及部、浙江省补充定额；</w:t>
      </w:r>
    </w:p>
    <w:p w14:paraId="246251F1">
      <w:pPr>
        <w:spacing w:line="360" w:lineRule="auto"/>
        <w:ind w:firstLine="420" w:firstLineChars="200"/>
        <w:rPr>
          <w:rFonts w:ascii="宋体" w:hAnsi="宋体" w:eastAsia="宋体" w:cs="Times New Roman"/>
          <w:szCs w:val="21"/>
        </w:rPr>
      </w:pPr>
      <w:r>
        <w:rPr>
          <w:rFonts w:ascii="宋体" w:hAnsi="宋体" w:eastAsia="宋体" w:cs="Times New Roman"/>
          <w:szCs w:val="21"/>
        </w:rPr>
        <w:t>（2）取费标准、人工费、机械台班费用 ：按《浙江省公路养护工程预算编制办法》（浙江省交通 运输厅（浙交【 2005】 224 号文） ） 、《浙江省公路养护工程预算定额》 、《浙江省公路养护工程机 械台班费用定额》及省厅发布的有关补充定额；</w:t>
      </w:r>
    </w:p>
    <w:p w14:paraId="7ABD7548">
      <w:pPr>
        <w:spacing w:line="360" w:lineRule="auto"/>
        <w:ind w:firstLine="420" w:firstLineChars="200"/>
        <w:rPr>
          <w:rFonts w:ascii="宋体" w:hAnsi="宋体" w:eastAsia="宋体" w:cs="Times New Roman"/>
          <w:szCs w:val="21"/>
          <w:highlight w:val="none"/>
        </w:rPr>
      </w:pPr>
      <w:r>
        <w:rPr>
          <w:rFonts w:ascii="宋体" w:hAnsi="宋体" w:eastAsia="宋体" w:cs="Times New Roman"/>
          <w:szCs w:val="21"/>
        </w:rPr>
        <w:t>上述养护定额无法套用的 ，优先交通运输部《公路工程预算定额》（JTG/T 3832-2018）、《公路 工程机械台班费用定额》（JTG/T 38</w:t>
      </w:r>
      <w:r>
        <w:rPr>
          <w:rFonts w:ascii="宋体" w:hAnsi="宋体" w:eastAsia="宋体" w:cs="Times New Roman"/>
          <w:szCs w:val="21"/>
          <w:highlight w:val="none"/>
        </w:rPr>
        <w:t>33--2018）、《公路工程基本建设项目概算预算编制办法》（JTG3830 - 2018） 、浙交[2019]116 号、交通运输部[2019]第 26 号等相关规定计取；人工费按浙交[2019]116 号文规定人工费标准计算；施工机械台班费按交通运输部公布的《公路工程机械台班费用定额》（JTG/T 3833--2018）计算 ，其中 ，不变费用按定额规定费用计算 ，可变费用中的台班人工费工日单价按浙交 [2019]116 号文规定标准计算，动力燃料费用按嘉兴市交通工程造价管理站发布的《材料价格信息》电 子版 202</w:t>
      </w:r>
      <w:r>
        <w:rPr>
          <w:rFonts w:hint="eastAsia" w:ascii="宋体" w:hAnsi="宋体" w:eastAsia="宋体" w:cs="Times New Roman"/>
          <w:szCs w:val="21"/>
          <w:highlight w:val="none"/>
          <w:lang w:val="en-US" w:eastAsia="zh-CN"/>
        </w:rPr>
        <w:t>5</w:t>
      </w:r>
      <w:r>
        <w:rPr>
          <w:rFonts w:ascii="宋体" w:hAnsi="宋体" w:eastAsia="宋体" w:cs="Times New Roman"/>
          <w:szCs w:val="21"/>
          <w:highlight w:val="none"/>
        </w:rPr>
        <w:t xml:space="preserve"> 年第</w:t>
      </w:r>
      <w:r>
        <w:rPr>
          <w:rFonts w:hint="eastAsia" w:ascii="宋体" w:hAnsi="宋体" w:eastAsia="宋体" w:cs="Times New Roman"/>
          <w:szCs w:val="21"/>
          <w:highlight w:val="none"/>
          <w:lang w:val="en-US" w:eastAsia="zh-CN"/>
        </w:rPr>
        <w:t>1</w:t>
      </w:r>
      <w:r>
        <w:rPr>
          <w:rFonts w:hint="eastAsia" w:ascii="宋体" w:hAnsi="宋体" w:cs="Times New Roman"/>
          <w:szCs w:val="21"/>
          <w:highlight w:val="none"/>
          <w:lang w:val="en-US" w:eastAsia="zh-CN"/>
        </w:rPr>
        <w:t>2</w:t>
      </w:r>
      <w:r>
        <w:rPr>
          <w:rFonts w:ascii="宋体" w:hAnsi="宋体" w:eastAsia="宋体" w:cs="Times New Roman"/>
          <w:szCs w:val="21"/>
          <w:highlight w:val="none"/>
        </w:rPr>
        <w:t>期信息价计算 ，车船使用税按我省的有关规定计算；</w:t>
      </w:r>
    </w:p>
    <w:p w14:paraId="103CC0AE">
      <w:pPr>
        <w:spacing w:line="360" w:lineRule="auto"/>
        <w:ind w:firstLine="420" w:firstLineChars="200"/>
        <w:rPr>
          <w:rFonts w:ascii="宋体" w:hAnsi="宋体" w:eastAsia="宋体" w:cs="Times New Roman"/>
          <w:szCs w:val="21"/>
          <w:highlight w:val="none"/>
        </w:rPr>
      </w:pPr>
      <w:r>
        <w:rPr>
          <w:rFonts w:ascii="宋体" w:hAnsi="宋体" w:eastAsia="宋体" w:cs="Times New Roman"/>
          <w:szCs w:val="21"/>
          <w:highlight w:val="none"/>
        </w:rPr>
        <w:t>（3）材料 ：按照嘉兴市交通工程造价管理站发布的《材料价格信息》 电子版 202</w:t>
      </w:r>
      <w:r>
        <w:rPr>
          <w:rFonts w:hint="eastAsia" w:ascii="宋体" w:hAnsi="宋体" w:eastAsia="宋体" w:cs="Times New Roman"/>
          <w:szCs w:val="21"/>
          <w:highlight w:val="none"/>
          <w:lang w:val="en-US" w:eastAsia="zh-CN"/>
        </w:rPr>
        <w:t>5</w:t>
      </w:r>
      <w:r>
        <w:rPr>
          <w:rFonts w:ascii="宋体" w:hAnsi="宋体" w:eastAsia="宋体" w:cs="Times New Roman"/>
          <w:szCs w:val="21"/>
          <w:highlight w:val="none"/>
        </w:rPr>
        <w:t xml:space="preserve"> 年第 </w:t>
      </w:r>
      <w:r>
        <w:rPr>
          <w:rFonts w:hint="eastAsia" w:ascii="宋体" w:hAnsi="宋体" w:eastAsia="宋体" w:cs="Times New Roman"/>
          <w:szCs w:val="21"/>
          <w:highlight w:val="none"/>
          <w:lang w:val="en-US" w:eastAsia="zh-CN"/>
        </w:rPr>
        <w:t>1</w:t>
      </w:r>
      <w:r>
        <w:rPr>
          <w:rFonts w:hint="eastAsia" w:ascii="宋体" w:hAnsi="宋体" w:cs="Times New Roman"/>
          <w:szCs w:val="21"/>
          <w:highlight w:val="none"/>
          <w:lang w:val="en-US" w:eastAsia="zh-CN"/>
        </w:rPr>
        <w:t>2</w:t>
      </w:r>
      <w:r>
        <w:rPr>
          <w:rFonts w:ascii="宋体" w:hAnsi="宋体" w:eastAsia="宋体" w:cs="Times New Roman"/>
          <w:szCs w:val="21"/>
          <w:highlight w:val="none"/>
        </w:rPr>
        <w:t>期取定；嘉兴市交通工程造价管理站发布的《材料价格信息》电子版上没有的材料按浙江省交通工程管理中 心发布的《质监与造价》202</w:t>
      </w:r>
      <w:r>
        <w:rPr>
          <w:rFonts w:hint="eastAsia" w:ascii="宋体" w:hAnsi="宋体" w:eastAsia="宋体" w:cs="Times New Roman"/>
          <w:szCs w:val="21"/>
          <w:highlight w:val="none"/>
          <w:lang w:val="en-US" w:eastAsia="zh-CN"/>
        </w:rPr>
        <w:t>5</w:t>
      </w:r>
      <w:r>
        <w:rPr>
          <w:rFonts w:ascii="宋体" w:hAnsi="宋体" w:eastAsia="宋体" w:cs="Times New Roman"/>
          <w:szCs w:val="21"/>
          <w:highlight w:val="none"/>
        </w:rPr>
        <w:t xml:space="preserve"> 年</w:t>
      </w:r>
      <w:r>
        <w:rPr>
          <w:rFonts w:hint="eastAsia" w:ascii="宋体" w:hAnsi="宋体" w:eastAsia="宋体" w:cs="Times New Roman"/>
          <w:szCs w:val="21"/>
          <w:highlight w:val="none"/>
          <w:lang w:val="en-US" w:eastAsia="zh-CN"/>
        </w:rPr>
        <w:t>1</w:t>
      </w:r>
      <w:r>
        <w:rPr>
          <w:rFonts w:hint="eastAsia" w:ascii="宋体" w:hAnsi="宋体" w:cs="Times New Roman"/>
          <w:szCs w:val="21"/>
          <w:highlight w:val="none"/>
          <w:lang w:val="en-US" w:eastAsia="zh-CN"/>
        </w:rPr>
        <w:t>2</w:t>
      </w:r>
      <w:r>
        <w:rPr>
          <w:rFonts w:ascii="宋体" w:hAnsi="宋体" w:eastAsia="宋体" w:cs="Times New Roman"/>
          <w:szCs w:val="21"/>
          <w:highlight w:val="none"/>
        </w:rPr>
        <w:t>月嘉兴地区计入；《材料价格信息》及《质监与造价》均无信息价 的 ， 由监理人、发包人、承包人商定；</w:t>
      </w:r>
    </w:p>
    <w:p w14:paraId="70A042FB">
      <w:pPr>
        <w:spacing w:line="360" w:lineRule="auto"/>
        <w:ind w:firstLine="420" w:firstLineChars="200"/>
        <w:rPr>
          <w:rFonts w:ascii="宋体" w:hAnsi="宋体" w:eastAsia="宋体" w:cs="Times New Roman"/>
          <w:szCs w:val="21"/>
          <w:highlight w:val="none"/>
        </w:rPr>
      </w:pPr>
      <w:r>
        <w:rPr>
          <w:rFonts w:ascii="宋体" w:hAnsi="宋体" w:eastAsia="宋体" w:cs="Times New Roman"/>
          <w:szCs w:val="21"/>
          <w:highlight w:val="none"/>
        </w:rPr>
        <w:t>（4）无法套用上述定额和取费标准的 ，依次按水运、市政、水利、铁路、建筑定额和取费标准的 顺序进行组价；上述定额有区域性的 ，优先适用浙江定额与取费标准；</w:t>
      </w:r>
    </w:p>
    <w:p w14:paraId="1EED62DF">
      <w:pPr>
        <w:spacing w:line="360" w:lineRule="auto"/>
        <w:ind w:firstLine="420" w:firstLineChars="200"/>
        <w:rPr>
          <w:rFonts w:ascii="宋体" w:hAnsi="宋体" w:eastAsia="宋体" w:cs="Times New Roman"/>
          <w:szCs w:val="21"/>
          <w:highlight w:val="none"/>
        </w:rPr>
      </w:pPr>
      <w:r>
        <w:rPr>
          <w:rFonts w:ascii="宋体" w:hAnsi="宋体" w:eastAsia="宋体" w:cs="Times New Roman"/>
          <w:szCs w:val="21"/>
          <w:highlight w:val="none"/>
        </w:rPr>
        <w:t>（5）无法套用任何现行定额的 ， 由承包人报监理人审核 ，并经发包人审批同意后计取；</w:t>
      </w:r>
    </w:p>
    <w:p w14:paraId="5427EF74">
      <w:pPr>
        <w:spacing w:line="360" w:lineRule="auto"/>
        <w:ind w:firstLine="420" w:firstLineChars="200"/>
        <w:rPr>
          <w:rFonts w:ascii="宋体" w:hAnsi="宋体" w:eastAsia="宋体" w:cs="Times New Roman"/>
          <w:szCs w:val="21"/>
          <w:highlight w:val="none"/>
        </w:rPr>
      </w:pPr>
      <w:r>
        <w:rPr>
          <w:rFonts w:ascii="宋体" w:hAnsi="宋体" w:eastAsia="宋体" w:cs="Times New Roman"/>
          <w:szCs w:val="21"/>
          <w:highlight w:val="none"/>
        </w:rPr>
        <w:t>（6）根据上述原则组价的综合单价，乘以承包人的投标价与招标时经公布的工程量清单预算价的 比例 ，作为工程结算依据 ，最终支付以审计价格为准。</w:t>
      </w:r>
    </w:p>
    <w:p w14:paraId="6BD762F4">
      <w:pPr>
        <w:spacing w:line="360" w:lineRule="auto"/>
        <w:ind w:firstLine="422" w:firstLineChars="200"/>
        <w:outlineLvl w:val="0"/>
        <w:rPr>
          <w:rFonts w:ascii="宋体" w:hAnsi="宋体"/>
          <w:b/>
          <w:szCs w:val="21"/>
          <w:highlight w:val="none"/>
        </w:rPr>
      </w:pPr>
      <w:r>
        <w:rPr>
          <w:rFonts w:ascii="宋体" w:hAnsi="宋体"/>
          <w:b/>
          <w:szCs w:val="21"/>
          <w:highlight w:val="none"/>
        </w:rPr>
        <w:t>16.  价格调整</w:t>
      </w:r>
    </w:p>
    <w:p w14:paraId="58BCA2B4">
      <w:pPr>
        <w:spacing w:line="360" w:lineRule="auto"/>
        <w:ind w:firstLine="422" w:firstLineChars="200"/>
        <w:outlineLvl w:val="0"/>
        <w:rPr>
          <w:rFonts w:ascii="宋体" w:hAnsi="宋体"/>
          <w:b/>
          <w:szCs w:val="21"/>
          <w:highlight w:val="none"/>
        </w:rPr>
      </w:pPr>
      <w:bookmarkStart w:id="523" w:name="_Toc11943"/>
      <w:bookmarkStart w:id="524" w:name="_Toc488762915"/>
      <w:bookmarkStart w:id="525" w:name="_Toc455665885"/>
      <w:bookmarkStart w:id="526" w:name="_Toc30289"/>
      <w:bookmarkStart w:id="527" w:name="_Toc489296023"/>
      <w:bookmarkStart w:id="528" w:name="_Toc489169077"/>
      <w:bookmarkStart w:id="529" w:name="_Toc455670004"/>
      <w:bookmarkStart w:id="530" w:name="_Toc455323781"/>
      <w:bookmarkStart w:id="531" w:name="_Toc417397782"/>
      <w:r>
        <w:rPr>
          <w:rFonts w:ascii="宋体" w:hAnsi="宋体"/>
          <w:b/>
          <w:szCs w:val="21"/>
          <w:highlight w:val="none"/>
        </w:rPr>
        <w:t>16.1   物价波动引起的价格调整</w:t>
      </w:r>
      <w:bookmarkEnd w:id="523"/>
      <w:bookmarkEnd w:id="524"/>
      <w:bookmarkEnd w:id="525"/>
      <w:bookmarkEnd w:id="526"/>
      <w:bookmarkEnd w:id="527"/>
      <w:bookmarkEnd w:id="528"/>
      <w:bookmarkEnd w:id="529"/>
      <w:bookmarkEnd w:id="530"/>
    </w:p>
    <w:p w14:paraId="065BF2AE">
      <w:pPr>
        <w:spacing w:line="360" w:lineRule="auto"/>
        <w:ind w:firstLine="420" w:firstLineChars="200"/>
        <w:rPr>
          <w:rFonts w:ascii="宋体" w:hAnsi="宋体"/>
          <w:szCs w:val="21"/>
          <w:highlight w:val="none"/>
        </w:rPr>
      </w:pPr>
      <w:r>
        <w:rPr>
          <w:rFonts w:ascii="宋体" w:hAnsi="宋体"/>
          <w:szCs w:val="21"/>
          <w:highlight w:val="none"/>
        </w:rPr>
        <w:t>本合同执行期间，不进行价格调整。</w:t>
      </w:r>
    </w:p>
    <w:p w14:paraId="53D1D553">
      <w:pPr>
        <w:spacing w:line="360" w:lineRule="auto"/>
        <w:ind w:firstLine="422" w:firstLineChars="200"/>
        <w:outlineLvl w:val="0"/>
        <w:rPr>
          <w:rFonts w:ascii="宋体" w:hAnsi="宋体"/>
          <w:b/>
          <w:szCs w:val="21"/>
          <w:highlight w:val="none"/>
        </w:rPr>
      </w:pPr>
      <w:bookmarkStart w:id="532" w:name="_Toc5218"/>
      <w:bookmarkStart w:id="533" w:name="_Toc431721256"/>
      <w:bookmarkStart w:id="534" w:name="_Toc455323782"/>
      <w:bookmarkStart w:id="535" w:name="_Toc455670005"/>
      <w:bookmarkStart w:id="536" w:name="_Toc11795"/>
      <w:bookmarkStart w:id="537" w:name="_Toc455665886"/>
      <w:bookmarkStart w:id="538" w:name="_Toc422583713"/>
      <w:r>
        <w:rPr>
          <w:rFonts w:ascii="宋体" w:hAnsi="宋体"/>
          <w:b/>
          <w:szCs w:val="21"/>
          <w:highlight w:val="none"/>
        </w:rPr>
        <w:t>17.  计量与支付</w:t>
      </w:r>
      <w:bookmarkEnd w:id="531"/>
      <w:bookmarkEnd w:id="532"/>
      <w:bookmarkEnd w:id="533"/>
      <w:bookmarkEnd w:id="534"/>
      <w:bookmarkEnd w:id="535"/>
      <w:bookmarkEnd w:id="536"/>
      <w:bookmarkEnd w:id="537"/>
      <w:bookmarkEnd w:id="538"/>
    </w:p>
    <w:p w14:paraId="538AF9B9">
      <w:pPr>
        <w:spacing w:line="360" w:lineRule="auto"/>
        <w:ind w:firstLine="422" w:firstLineChars="200"/>
        <w:rPr>
          <w:rFonts w:hint="eastAsia" w:ascii="宋体" w:hAnsi="宋体"/>
          <w:b/>
          <w:szCs w:val="21"/>
          <w:highlight w:val="none"/>
        </w:rPr>
      </w:pPr>
      <w:bookmarkStart w:id="539" w:name="_Toc262895550"/>
      <w:bookmarkStart w:id="540" w:name="_Toc455323784"/>
      <w:bookmarkStart w:id="541" w:name="_Toc361233596"/>
      <w:bookmarkStart w:id="542" w:name="_Toc245538885"/>
      <w:bookmarkStart w:id="543" w:name="_Toc455665888"/>
      <w:bookmarkStart w:id="544" w:name="_Toc455670007"/>
      <w:r>
        <w:rPr>
          <w:rFonts w:hint="eastAsia" w:ascii="宋体" w:hAnsi="宋体"/>
          <w:b/>
          <w:szCs w:val="21"/>
          <w:highlight w:val="none"/>
        </w:rPr>
        <w:t>17.2.1  预付款</w:t>
      </w:r>
    </w:p>
    <w:p w14:paraId="1048A0B1">
      <w:pPr>
        <w:tabs>
          <w:tab w:val="left" w:pos="3193"/>
        </w:tabs>
        <w:spacing w:line="360" w:lineRule="auto"/>
        <w:ind w:firstLine="420" w:firstLineChars="200"/>
        <w:rPr>
          <w:rFonts w:ascii="宋体" w:hAnsi="宋体"/>
          <w:szCs w:val="21"/>
          <w:highlight w:val="none"/>
        </w:rPr>
      </w:pPr>
      <w:r>
        <w:rPr>
          <w:rFonts w:hint="eastAsia" w:ascii="宋体" w:hAnsi="宋体"/>
          <w:szCs w:val="21"/>
          <w:highlight w:val="none"/>
        </w:rPr>
        <w:t>本项目不适用</w:t>
      </w:r>
    </w:p>
    <w:p w14:paraId="1F01F3A1">
      <w:pPr>
        <w:tabs>
          <w:tab w:val="left" w:pos="3193"/>
        </w:tabs>
        <w:spacing w:line="360" w:lineRule="auto"/>
        <w:ind w:firstLine="422" w:firstLineChars="200"/>
        <w:rPr>
          <w:rFonts w:hint="eastAsia" w:ascii="宋体" w:hAnsi="宋体"/>
          <w:b/>
          <w:szCs w:val="21"/>
          <w:highlight w:val="none"/>
        </w:rPr>
      </w:pPr>
      <w:r>
        <w:rPr>
          <w:rFonts w:ascii="宋体" w:hAnsi="宋体"/>
          <w:b/>
          <w:szCs w:val="21"/>
          <w:highlight w:val="none"/>
        </w:rPr>
        <w:t>17.3工程进度付款</w:t>
      </w:r>
      <w:bookmarkEnd w:id="539"/>
      <w:bookmarkEnd w:id="540"/>
      <w:bookmarkEnd w:id="541"/>
      <w:bookmarkEnd w:id="542"/>
      <w:bookmarkEnd w:id="543"/>
      <w:bookmarkEnd w:id="544"/>
    </w:p>
    <w:p w14:paraId="052C829B">
      <w:pPr>
        <w:spacing w:before="2" w:line="189" w:lineRule="auto"/>
        <w:ind w:left="17"/>
        <w:rPr>
          <w:rFonts w:ascii="微软雅黑" w:hAnsi="微软雅黑" w:eastAsia="微软雅黑" w:cs="微软雅黑"/>
          <w:sz w:val="20"/>
          <w:szCs w:val="20"/>
          <w:highlight w:val="none"/>
        </w:rPr>
      </w:pPr>
      <w:r>
        <w:rPr>
          <w:rFonts w:ascii="微软雅黑" w:hAnsi="微软雅黑" w:eastAsia="微软雅黑" w:cs="微软雅黑"/>
          <w:b/>
          <w:bCs/>
          <w:spacing w:val="5"/>
          <w:sz w:val="20"/>
          <w:szCs w:val="20"/>
          <w:highlight w:val="none"/>
        </w:rPr>
        <w:t>17.3</w:t>
      </w:r>
      <w:r>
        <w:rPr>
          <w:rFonts w:ascii="微软雅黑" w:hAnsi="微软雅黑" w:eastAsia="微软雅黑" w:cs="微软雅黑"/>
          <w:b/>
          <w:bCs/>
          <w:spacing w:val="52"/>
          <w:w w:val="101"/>
          <w:sz w:val="20"/>
          <w:szCs w:val="20"/>
          <w:highlight w:val="none"/>
        </w:rPr>
        <w:t xml:space="preserve"> </w:t>
      </w:r>
      <w:r>
        <w:rPr>
          <w:rFonts w:ascii="微软雅黑" w:hAnsi="微软雅黑" w:eastAsia="微软雅黑" w:cs="微软雅黑"/>
          <w:b/>
          <w:bCs/>
          <w:spacing w:val="5"/>
          <w:sz w:val="20"/>
          <w:szCs w:val="20"/>
          <w:highlight w:val="none"/>
        </w:rPr>
        <w:t>工程进度付款</w:t>
      </w:r>
    </w:p>
    <w:p w14:paraId="07EB71EF">
      <w:pPr>
        <w:spacing w:before="189" w:line="190" w:lineRule="auto"/>
        <w:ind w:left="421"/>
        <w:rPr>
          <w:rFonts w:hint="eastAsia" w:ascii="宋体" w:hAnsi="宋体" w:eastAsia="宋体" w:cs="宋体"/>
          <w:sz w:val="21"/>
          <w:szCs w:val="21"/>
          <w:highlight w:val="none"/>
        </w:rPr>
      </w:pPr>
      <w:r>
        <w:rPr>
          <w:rFonts w:hint="eastAsia" w:ascii="宋体" w:hAnsi="宋体" w:eastAsia="宋体" w:cs="宋体"/>
          <w:b/>
          <w:bCs/>
          <w:spacing w:val="6"/>
          <w:sz w:val="21"/>
          <w:szCs w:val="21"/>
          <w:highlight w:val="none"/>
        </w:rPr>
        <w:t>养护专用合同条款补充第  17.3.5</w:t>
      </w:r>
      <w:r>
        <w:rPr>
          <w:rFonts w:hint="eastAsia" w:ascii="宋体" w:hAnsi="宋体" w:eastAsia="宋体" w:cs="宋体"/>
          <w:b/>
          <w:bCs/>
          <w:spacing w:val="49"/>
          <w:sz w:val="21"/>
          <w:szCs w:val="21"/>
          <w:highlight w:val="none"/>
        </w:rPr>
        <w:t xml:space="preserve"> </w:t>
      </w:r>
      <w:r>
        <w:rPr>
          <w:rFonts w:hint="eastAsia" w:ascii="宋体" w:hAnsi="宋体" w:eastAsia="宋体" w:cs="宋体"/>
          <w:b/>
          <w:bCs/>
          <w:spacing w:val="6"/>
          <w:sz w:val="21"/>
          <w:szCs w:val="21"/>
          <w:highlight w:val="none"/>
        </w:rPr>
        <w:t>项：</w:t>
      </w:r>
    </w:p>
    <w:p w14:paraId="3055044B">
      <w:pPr>
        <w:spacing w:before="189" w:line="190" w:lineRule="auto"/>
        <w:ind w:left="440"/>
        <w:rPr>
          <w:rFonts w:hint="eastAsia" w:ascii="宋体" w:hAnsi="宋体" w:eastAsia="宋体" w:cs="宋体"/>
          <w:sz w:val="21"/>
          <w:szCs w:val="21"/>
          <w:highlight w:val="none"/>
          <w:lang w:val="en-US" w:eastAsia="zh-CN"/>
        </w:rPr>
      </w:pPr>
      <w:r>
        <w:rPr>
          <w:rFonts w:hint="eastAsia" w:ascii="宋体" w:hAnsi="宋体" w:eastAsia="宋体" w:cs="宋体"/>
          <w:spacing w:val="6"/>
          <w:sz w:val="21"/>
          <w:szCs w:val="21"/>
          <w:highlight w:val="none"/>
        </w:rPr>
        <w:t>17.3.5</w:t>
      </w:r>
      <w:r>
        <w:rPr>
          <w:rFonts w:hint="eastAsia" w:ascii="宋体" w:hAnsi="宋体" w:eastAsia="宋体" w:cs="宋体"/>
          <w:spacing w:val="48"/>
          <w:w w:val="101"/>
          <w:sz w:val="21"/>
          <w:szCs w:val="21"/>
          <w:highlight w:val="none"/>
        </w:rPr>
        <w:t xml:space="preserve"> </w:t>
      </w:r>
      <w:r>
        <w:rPr>
          <w:rFonts w:hint="eastAsia" w:ascii="宋体" w:hAnsi="宋体" w:eastAsia="宋体" w:cs="宋体"/>
          <w:spacing w:val="6"/>
          <w:sz w:val="21"/>
          <w:szCs w:val="21"/>
          <w:highlight w:val="none"/>
        </w:rPr>
        <w:t>农民工工资保证金的缴存时间</w:t>
      </w:r>
      <w:r>
        <w:rPr>
          <w:rFonts w:hint="eastAsia" w:ascii="宋体" w:hAnsi="宋体" w:eastAsia="宋体" w:cs="宋体"/>
          <w:spacing w:val="-21"/>
          <w:sz w:val="21"/>
          <w:szCs w:val="21"/>
          <w:highlight w:val="none"/>
        </w:rPr>
        <w:t xml:space="preserve"> </w:t>
      </w:r>
      <w:r>
        <w:rPr>
          <w:rFonts w:hint="eastAsia" w:ascii="宋体" w:hAnsi="宋体" w:eastAsia="宋体" w:cs="宋体"/>
          <w:spacing w:val="6"/>
          <w:sz w:val="21"/>
          <w:szCs w:val="21"/>
          <w:highlight w:val="none"/>
        </w:rPr>
        <w:t>：</w:t>
      </w:r>
      <w:r>
        <w:rPr>
          <w:rFonts w:hint="eastAsia" w:ascii="宋体" w:hAnsi="宋体" w:cs="宋体"/>
          <w:spacing w:val="6"/>
          <w:sz w:val="21"/>
          <w:szCs w:val="21"/>
          <w:highlight w:val="none"/>
          <w:u w:val="single" w:color="auto"/>
          <w:lang w:val="en-US" w:eastAsia="zh-CN"/>
        </w:rPr>
        <w:t>/</w:t>
      </w:r>
    </w:p>
    <w:p w14:paraId="00210516">
      <w:pPr>
        <w:spacing w:before="150" w:line="313" w:lineRule="auto"/>
        <w:ind w:left="420" w:right="1667"/>
        <w:rPr>
          <w:rFonts w:hint="eastAsia" w:ascii="宋体" w:hAnsi="宋体" w:cs="宋体"/>
          <w:spacing w:val="8"/>
          <w:sz w:val="21"/>
          <w:szCs w:val="21"/>
          <w:highlight w:val="none"/>
          <w:u w:val="single"/>
          <w:lang w:val="en-US" w:eastAsia="zh-CN"/>
        </w:rPr>
      </w:pPr>
      <w:r>
        <w:rPr>
          <w:rFonts w:hint="eastAsia" w:ascii="宋体" w:hAnsi="宋体" w:eastAsia="宋体" w:cs="宋体"/>
          <w:spacing w:val="7"/>
          <w:sz w:val="21"/>
          <w:szCs w:val="21"/>
          <w:highlight w:val="none"/>
        </w:rPr>
        <w:t>农民工工资保证金的缴存金额</w:t>
      </w:r>
      <w:r>
        <w:rPr>
          <w:rFonts w:hint="eastAsia" w:ascii="宋体" w:hAnsi="宋体" w:eastAsia="宋体" w:cs="宋体"/>
          <w:spacing w:val="-16"/>
          <w:sz w:val="21"/>
          <w:szCs w:val="21"/>
          <w:highlight w:val="none"/>
        </w:rPr>
        <w:t xml:space="preserve"> </w:t>
      </w:r>
      <w:r>
        <w:rPr>
          <w:rFonts w:hint="eastAsia" w:ascii="宋体" w:hAnsi="宋体" w:eastAsia="宋体" w:cs="宋体"/>
          <w:spacing w:val="7"/>
          <w:sz w:val="21"/>
          <w:szCs w:val="21"/>
          <w:highlight w:val="none"/>
        </w:rPr>
        <w:t>：</w:t>
      </w:r>
      <w:r>
        <w:rPr>
          <w:rFonts w:hint="eastAsia" w:ascii="宋体" w:hAnsi="宋体" w:cs="宋体"/>
          <w:spacing w:val="8"/>
          <w:sz w:val="21"/>
          <w:szCs w:val="21"/>
          <w:highlight w:val="none"/>
          <w:u w:val="single"/>
          <w:lang w:val="en-US" w:eastAsia="zh-CN"/>
        </w:rPr>
        <w:t>/</w:t>
      </w:r>
    </w:p>
    <w:p w14:paraId="405142AB">
      <w:pPr>
        <w:spacing w:before="150" w:line="313" w:lineRule="auto"/>
        <w:ind w:left="420" w:right="1667"/>
        <w:rPr>
          <w:rFonts w:hint="eastAsia" w:ascii="宋体" w:hAnsi="宋体" w:eastAsia="宋体" w:cs="宋体"/>
          <w:sz w:val="21"/>
          <w:szCs w:val="21"/>
        </w:rPr>
      </w:pPr>
      <w:r>
        <w:rPr>
          <w:rFonts w:hint="eastAsia" w:ascii="宋体" w:hAnsi="宋体" w:eastAsia="宋体" w:cs="宋体"/>
          <w:sz w:val="21"/>
          <w:szCs w:val="21"/>
        </w:rPr>
        <w:t xml:space="preserve"> </w:t>
      </w:r>
      <w:r>
        <w:rPr>
          <w:rFonts w:hint="eastAsia" w:ascii="宋体" w:hAnsi="宋体" w:eastAsia="宋体" w:cs="宋体"/>
          <w:spacing w:val="7"/>
          <w:sz w:val="21"/>
          <w:szCs w:val="21"/>
        </w:rPr>
        <w:t>农民工工资保证金的扣留条件</w:t>
      </w:r>
      <w:r>
        <w:rPr>
          <w:rFonts w:hint="eastAsia" w:ascii="宋体" w:hAnsi="宋体" w:eastAsia="宋体" w:cs="宋体"/>
          <w:spacing w:val="-18"/>
          <w:sz w:val="21"/>
          <w:szCs w:val="21"/>
        </w:rPr>
        <w:t xml:space="preserve"> </w:t>
      </w:r>
      <w:r>
        <w:rPr>
          <w:rFonts w:hint="eastAsia" w:ascii="宋体" w:hAnsi="宋体" w:eastAsia="宋体" w:cs="宋体"/>
          <w:spacing w:val="7"/>
          <w:sz w:val="21"/>
          <w:szCs w:val="21"/>
        </w:rPr>
        <w:t>：</w:t>
      </w:r>
      <w:r>
        <w:rPr>
          <w:rFonts w:hint="eastAsia" w:ascii="宋体" w:hAnsi="宋体" w:eastAsia="宋体" w:cs="宋体"/>
          <w:spacing w:val="1"/>
          <w:sz w:val="21"/>
          <w:szCs w:val="21"/>
          <w:u w:val="single" w:color="auto"/>
        </w:rPr>
        <w:t xml:space="preserve">                   </w:t>
      </w:r>
      <w:r>
        <w:rPr>
          <w:rFonts w:hint="eastAsia" w:ascii="宋体" w:hAnsi="宋体" w:eastAsia="宋体" w:cs="宋体"/>
          <w:spacing w:val="7"/>
          <w:sz w:val="21"/>
          <w:szCs w:val="21"/>
          <w:u w:val="single" w:color="auto"/>
        </w:rPr>
        <w:t>/</w:t>
      </w:r>
      <w:r>
        <w:rPr>
          <w:rFonts w:hint="eastAsia" w:ascii="宋体" w:hAnsi="宋体" w:eastAsia="宋体" w:cs="宋体"/>
          <w:sz w:val="21"/>
          <w:szCs w:val="21"/>
          <w:u w:val="single" w:color="auto"/>
        </w:rPr>
        <w:t xml:space="preserve">                        </w:t>
      </w:r>
    </w:p>
    <w:p w14:paraId="44AFBAC0">
      <w:pPr>
        <w:spacing w:before="25" w:line="234" w:lineRule="auto"/>
        <w:ind w:left="420"/>
        <w:rPr>
          <w:rFonts w:hint="eastAsia" w:ascii="宋体" w:hAnsi="宋体" w:eastAsia="宋体" w:cs="宋体"/>
          <w:sz w:val="21"/>
          <w:szCs w:val="21"/>
        </w:rPr>
      </w:pPr>
      <w:r>
        <w:rPr>
          <w:rFonts w:hint="eastAsia" w:ascii="宋体" w:hAnsi="宋体" w:eastAsia="宋体" w:cs="宋体"/>
          <w:spacing w:val="7"/>
          <w:sz w:val="21"/>
          <w:szCs w:val="21"/>
        </w:rPr>
        <w:t>农民工工资保证金的返还时间</w:t>
      </w:r>
      <w:r>
        <w:rPr>
          <w:rFonts w:hint="eastAsia" w:ascii="宋体" w:hAnsi="宋体" w:eastAsia="宋体" w:cs="宋体"/>
          <w:spacing w:val="-18"/>
          <w:sz w:val="21"/>
          <w:szCs w:val="21"/>
        </w:rPr>
        <w:t xml:space="preserve"> </w:t>
      </w:r>
      <w:r>
        <w:rPr>
          <w:rFonts w:hint="eastAsia" w:ascii="宋体" w:hAnsi="宋体" w:eastAsia="宋体" w:cs="宋体"/>
          <w:spacing w:val="7"/>
          <w:sz w:val="21"/>
          <w:szCs w:val="21"/>
        </w:rPr>
        <w:t>：</w:t>
      </w:r>
      <w:r>
        <w:rPr>
          <w:rFonts w:hint="eastAsia" w:ascii="宋体" w:hAnsi="宋体" w:eastAsia="宋体" w:cs="宋体"/>
          <w:spacing w:val="1"/>
          <w:sz w:val="21"/>
          <w:szCs w:val="21"/>
          <w:u w:val="single" w:color="auto"/>
        </w:rPr>
        <w:t xml:space="preserve">                   </w:t>
      </w:r>
      <w:r>
        <w:rPr>
          <w:rFonts w:hint="eastAsia" w:ascii="宋体" w:hAnsi="宋体" w:eastAsia="宋体" w:cs="宋体"/>
          <w:spacing w:val="7"/>
          <w:sz w:val="21"/>
          <w:szCs w:val="21"/>
          <w:u w:val="single" w:color="auto"/>
        </w:rPr>
        <w:t>/</w:t>
      </w:r>
      <w:r>
        <w:rPr>
          <w:rFonts w:hint="eastAsia" w:ascii="宋体" w:hAnsi="宋体" w:eastAsia="宋体" w:cs="宋体"/>
          <w:sz w:val="21"/>
          <w:szCs w:val="21"/>
          <w:u w:val="single" w:color="auto"/>
        </w:rPr>
        <w:t xml:space="preserve">                        </w:t>
      </w:r>
    </w:p>
    <w:p w14:paraId="5F336BAA">
      <w:pPr>
        <w:spacing w:before="89" w:line="233" w:lineRule="auto"/>
        <w:ind w:left="421"/>
        <w:rPr>
          <w:rFonts w:hint="eastAsia" w:ascii="宋体" w:hAnsi="宋体" w:eastAsia="宋体" w:cs="宋体"/>
          <w:sz w:val="21"/>
          <w:szCs w:val="21"/>
        </w:rPr>
      </w:pPr>
      <w:r>
        <w:rPr>
          <w:rFonts w:hint="eastAsia" w:ascii="宋体" w:hAnsi="宋体" w:eastAsia="宋体" w:cs="宋体"/>
          <w:b/>
          <w:bCs/>
          <w:spacing w:val="7"/>
          <w:sz w:val="21"/>
          <w:szCs w:val="21"/>
        </w:rPr>
        <w:t>养护专用合同条款第17.3.3款补充第（</w:t>
      </w:r>
      <w:r>
        <w:rPr>
          <w:rFonts w:hint="eastAsia" w:ascii="宋体" w:hAnsi="宋体" w:eastAsia="宋体" w:cs="宋体"/>
          <w:b/>
          <w:bCs/>
          <w:spacing w:val="-33"/>
          <w:sz w:val="21"/>
          <w:szCs w:val="21"/>
        </w:rPr>
        <w:t xml:space="preserve"> </w:t>
      </w:r>
      <w:r>
        <w:rPr>
          <w:rFonts w:hint="eastAsia" w:ascii="宋体" w:hAnsi="宋体" w:eastAsia="宋体" w:cs="宋体"/>
          <w:b/>
          <w:bCs/>
          <w:spacing w:val="7"/>
          <w:sz w:val="21"/>
          <w:szCs w:val="21"/>
        </w:rPr>
        <w:t>6）款内容：</w:t>
      </w:r>
    </w:p>
    <w:p w14:paraId="7731F9D8">
      <w:pPr>
        <w:spacing w:line="420" w:lineRule="exact"/>
        <w:ind w:firstLine="452" w:firstLineChars="200"/>
        <w:rPr>
          <w:rFonts w:hint="eastAsia" w:ascii="Times New Roman" w:hAnsi="Times New Roman" w:eastAsia="宋体" w:cs="Times New Roman"/>
          <w:b/>
          <w:sz w:val="24"/>
          <w:szCs w:val="24"/>
          <w:lang w:val="en-US" w:eastAsia="zh-CN"/>
        </w:rPr>
      </w:pPr>
      <w:r>
        <w:rPr>
          <w:rFonts w:hint="eastAsia" w:ascii="宋体" w:hAnsi="宋体" w:eastAsia="宋体" w:cs="宋体"/>
          <w:spacing w:val="8"/>
          <w:sz w:val="21"/>
          <w:szCs w:val="21"/>
        </w:rPr>
        <w:t>17.3.</w:t>
      </w:r>
      <w:r>
        <w:rPr>
          <w:rFonts w:hint="eastAsia" w:ascii="宋体" w:hAnsi="宋体" w:eastAsia="宋体" w:cs="宋体"/>
          <w:spacing w:val="8"/>
          <w:sz w:val="21"/>
          <w:szCs w:val="21"/>
          <w:lang w:val="en-US" w:eastAsia="zh-CN"/>
        </w:rPr>
        <w:t>3（6）</w:t>
      </w:r>
      <w:r>
        <w:rPr>
          <w:rFonts w:hint="eastAsia" w:ascii="宋体" w:hAnsi="宋体" w:eastAsia="宋体" w:cs="宋体"/>
          <w:spacing w:val="8"/>
          <w:sz w:val="21"/>
          <w:szCs w:val="21"/>
        </w:rPr>
        <w:t xml:space="preserve"> 工程进度款支付的方式和时间</w:t>
      </w:r>
      <w:r>
        <w:rPr>
          <w:rFonts w:hint="eastAsia" w:ascii="宋体" w:hAnsi="宋体" w:eastAsia="宋体" w:cs="宋体"/>
          <w:spacing w:val="-12"/>
          <w:sz w:val="21"/>
          <w:szCs w:val="21"/>
        </w:rPr>
        <w:t xml:space="preserve"> </w:t>
      </w:r>
      <w:r>
        <w:rPr>
          <w:rFonts w:hint="eastAsia" w:ascii="宋体" w:hAnsi="宋体" w:eastAsia="宋体" w:cs="宋体"/>
          <w:spacing w:val="8"/>
          <w:sz w:val="21"/>
          <w:szCs w:val="21"/>
        </w:rPr>
        <w:t>：</w:t>
      </w:r>
    </w:p>
    <w:p w14:paraId="44EA356E">
      <w:pPr>
        <w:keepNext w:val="0"/>
        <w:keepLines w:val="0"/>
        <w:pageBreakBefore w:val="0"/>
        <w:kinsoku/>
        <w:wordWrap/>
        <w:overflowPunct/>
        <w:topLinePunct w:val="0"/>
        <w:bidi w:val="0"/>
        <w:snapToGrid w:val="0"/>
        <w:spacing w:line="360" w:lineRule="auto"/>
        <w:ind w:firstLine="482" w:firstLineChars="200"/>
        <w:rPr>
          <w:rFonts w:hint="eastAsia" w:ascii="Times New Roman" w:hAnsi="Times New Roman" w:cs="Times New Roman"/>
          <w:b/>
          <w:sz w:val="24"/>
          <w:szCs w:val="24"/>
          <w:lang w:val="en-US" w:eastAsia="zh-CN"/>
        </w:rPr>
      </w:pPr>
      <w:r>
        <w:rPr>
          <w:rFonts w:hint="eastAsia" w:ascii="Times New Roman" w:hAnsi="Times New Roman" w:cs="Times New Roman"/>
          <w:b/>
          <w:sz w:val="24"/>
          <w:szCs w:val="24"/>
          <w:lang w:val="en-US" w:eastAsia="zh-CN"/>
        </w:rPr>
        <w:t>小修工程支付：</w:t>
      </w:r>
    </w:p>
    <w:p w14:paraId="5D31FEE2">
      <w:pPr>
        <w:widowControl/>
        <w:spacing w:line="420" w:lineRule="atLeast"/>
        <w:ind w:firstLine="480" w:firstLineChars="200"/>
        <w:jc w:val="left"/>
        <w:rPr>
          <w:rStyle w:val="59"/>
          <w:rFonts w:hint="eastAsia" w:ascii="宋体" w:hAnsi="宋体" w:cs="宋体"/>
          <w:kern w:val="0"/>
          <w:sz w:val="24"/>
          <w:szCs w:val="24"/>
          <w:lang w:val="en-US" w:eastAsia="zh-CN"/>
        </w:rPr>
      </w:pPr>
      <w:r>
        <w:rPr>
          <w:rFonts w:hint="eastAsia" w:ascii="宋体" w:hAnsi="宋体" w:eastAsia="宋体" w:cs="宋体"/>
          <w:sz w:val="24"/>
          <w:szCs w:val="24"/>
          <w:highlight w:val="none"/>
          <w:u w:val="single"/>
          <w:lang w:val="en-US" w:eastAsia="zh-CN"/>
        </w:rPr>
        <w:t>根据实际完成并经发包人验收合格的工程量乘以相应细目单价，按计量支付。质保期为三个月，质保期内出现施工质量问题无条件返工，不及时整改的在下期计量中扣除。注：上述具体支付时间以财政拨款为准。</w:t>
      </w:r>
    </w:p>
    <w:p w14:paraId="218268F8">
      <w:pPr>
        <w:keepNext w:val="0"/>
        <w:keepLines w:val="0"/>
        <w:pageBreakBefore w:val="0"/>
        <w:kinsoku/>
        <w:wordWrap/>
        <w:overflowPunct/>
        <w:topLinePunct w:val="0"/>
        <w:bidi w:val="0"/>
        <w:snapToGrid w:val="0"/>
        <w:spacing w:line="360" w:lineRule="auto"/>
        <w:ind w:firstLine="482" w:firstLineChars="200"/>
        <w:rPr>
          <w:rFonts w:hint="eastAsia" w:ascii="Times New Roman" w:hAnsi="Times New Roman" w:cs="Times New Roman"/>
          <w:b/>
          <w:sz w:val="24"/>
          <w:szCs w:val="24"/>
          <w:lang w:val="en-US" w:eastAsia="zh-CN"/>
        </w:rPr>
      </w:pPr>
      <w:r>
        <w:rPr>
          <w:rFonts w:hint="eastAsia" w:ascii="Times New Roman" w:hAnsi="Times New Roman" w:cs="Times New Roman"/>
          <w:b/>
          <w:sz w:val="24"/>
          <w:szCs w:val="24"/>
          <w:lang w:val="en-US" w:eastAsia="zh-CN"/>
        </w:rPr>
        <w:t>应急抢修支付：</w:t>
      </w:r>
    </w:p>
    <w:p w14:paraId="148E58A3">
      <w:pPr>
        <w:widowControl/>
        <w:spacing w:line="420" w:lineRule="atLeast"/>
        <w:ind w:firstLine="480" w:firstLineChars="200"/>
        <w:jc w:val="left"/>
        <w:rPr>
          <w:rFonts w:hint="eastAsia" w:ascii="宋体" w:hAnsi="宋体" w:eastAsia="宋体" w:cs="宋体"/>
          <w:sz w:val="24"/>
          <w:szCs w:val="24"/>
          <w:highlight w:val="none"/>
          <w:u w:val="single"/>
          <w:lang w:val="en-US" w:eastAsia="zh-CN"/>
        </w:rPr>
      </w:pPr>
      <w:r>
        <w:rPr>
          <w:rFonts w:hint="eastAsia" w:ascii="宋体" w:hAnsi="宋体" w:eastAsia="宋体" w:cs="宋体"/>
          <w:sz w:val="24"/>
          <w:szCs w:val="24"/>
          <w:highlight w:val="none"/>
          <w:u w:val="single"/>
          <w:lang w:val="en-US" w:eastAsia="zh-CN"/>
        </w:rPr>
        <w:t>根据实际完成并经发包人确认的工程量乘以相应细目单价，按月计量，按季支付。注：上述具体支付时间以财政拨款为准。</w:t>
      </w:r>
    </w:p>
    <w:p w14:paraId="53D69DE1">
      <w:pPr>
        <w:spacing w:line="420" w:lineRule="exact"/>
        <w:ind w:firstLine="420" w:firstLineChars="200"/>
        <w:rPr>
          <w:rFonts w:hint="eastAsia" w:ascii="Times New Roman" w:hAnsi="Times New Roman" w:eastAsia="宋体" w:cs="Times New Roman"/>
          <w:szCs w:val="21"/>
          <w:highlight w:val="none"/>
          <w:u w:val="single"/>
        </w:rPr>
      </w:pPr>
    </w:p>
    <w:p w14:paraId="072BF8B5">
      <w:pPr>
        <w:spacing w:line="360" w:lineRule="auto"/>
        <w:ind w:firstLine="422" w:firstLineChars="200"/>
        <w:outlineLvl w:val="0"/>
        <w:rPr>
          <w:rFonts w:ascii="宋体" w:hAnsi="宋体"/>
          <w:b/>
          <w:szCs w:val="21"/>
        </w:rPr>
      </w:pPr>
      <w:bookmarkStart w:id="545" w:name="_Toc455670009"/>
      <w:bookmarkStart w:id="546" w:name="_Toc455323787"/>
      <w:bookmarkStart w:id="547" w:name="_Toc17035"/>
      <w:bookmarkStart w:id="548" w:name="_Toc431721257"/>
      <w:bookmarkStart w:id="549" w:name="_Toc417397783"/>
      <w:bookmarkStart w:id="550" w:name="_Toc422583714"/>
      <w:bookmarkStart w:id="551" w:name="_Toc455665890"/>
      <w:bookmarkStart w:id="552" w:name="_Toc2592"/>
      <w:r>
        <w:rPr>
          <w:rFonts w:ascii="宋体" w:hAnsi="宋体"/>
          <w:b/>
          <w:szCs w:val="21"/>
        </w:rPr>
        <w:t>18.  交</w:t>
      </w:r>
      <w:r>
        <w:rPr>
          <w:rFonts w:hint="eastAsia" w:ascii="宋体" w:hAnsi="宋体"/>
          <w:b/>
          <w:szCs w:val="21"/>
        </w:rPr>
        <w:t>（竣）</w:t>
      </w:r>
      <w:r>
        <w:rPr>
          <w:rFonts w:ascii="宋体" w:hAnsi="宋体"/>
          <w:b/>
          <w:szCs w:val="21"/>
        </w:rPr>
        <w:t>工验收</w:t>
      </w:r>
      <w:bookmarkEnd w:id="545"/>
      <w:bookmarkEnd w:id="546"/>
      <w:bookmarkEnd w:id="547"/>
      <w:bookmarkEnd w:id="548"/>
      <w:bookmarkEnd w:id="549"/>
      <w:bookmarkEnd w:id="550"/>
      <w:bookmarkEnd w:id="551"/>
      <w:bookmarkEnd w:id="552"/>
    </w:p>
    <w:p w14:paraId="546D8CD8">
      <w:pPr>
        <w:spacing w:line="360" w:lineRule="auto"/>
        <w:ind w:firstLine="422" w:firstLineChars="200"/>
        <w:rPr>
          <w:rFonts w:ascii="宋体" w:hAnsi="宋体"/>
          <w:b/>
          <w:szCs w:val="21"/>
        </w:rPr>
      </w:pPr>
      <w:bookmarkStart w:id="553" w:name="_Toc390954953"/>
      <w:bookmarkStart w:id="554" w:name="_Toc455323788"/>
      <w:bookmarkStart w:id="555" w:name="_Toc455665891"/>
      <w:bookmarkStart w:id="556" w:name="_Toc455670010"/>
      <w:r>
        <w:rPr>
          <w:rFonts w:ascii="宋体" w:hAnsi="宋体"/>
          <w:b/>
          <w:szCs w:val="21"/>
        </w:rPr>
        <w:t xml:space="preserve">18.1 </w:t>
      </w:r>
      <w:bookmarkEnd w:id="553"/>
      <w:bookmarkEnd w:id="554"/>
      <w:bookmarkEnd w:id="555"/>
      <w:bookmarkEnd w:id="556"/>
      <w:r>
        <w:rPr>
          <w:rFonts w:hint="eastAsia" w:ascii="宋体" w:hAnsi="宋体"/>
          <w:b/>
          <w:szCs w:val="21"/>
        </w:rPr>
        <w:t>交竣工验收的含义</w:t>
      </w:r>
    </w:p>
    <w:p w14:paraId="38AAD777">
      <w:pPr>
        <w:spacing w:line="360" w:lineRule="auto"/>
        <w:ind w:firstLine="420" w:firstLineChars="200"/>
        <w:outlineLvl w:val="0"/>
        <w:rPr>
          <w:rFonts w:hint="eastAsia" w:ascii="宋体" w:hAnsi="宋体"/>
          <w:szCs w:val="21"/>
        </w:rPr>
      </w:pPr>
      <w:bookmarkStart w:id="557" w:name="_Toc161676713"/>
      <w:bookmarkStart w:id="558" w:name="_Toc162968686"/>
      <w:bookmarkStart w:id="559" w:name="_Toc30939"/>
      <w:bookmarkStart w:id="560" w:name="_Toc455665894"/>
      <w:bookmarkStart w:id="561" w:name="_Toc489296024"/>
      <w:bookmarkStart w:id="562" w:name="_Toc455670013"/>
      <w:bookmarkStart w:id="563" w:name="_Toc31046"/>
      <w:bookmarkStart w:id="564" w:name="_Toc488762916"/>
      <w:bookmarkStart w:id="565" w:name="_Toc455323791"/>
      <w:bookmarkStart w:id="566" w:name="_Toc489169078"/>
      <w:r>
        <w:rPr>
          <w:rFonts w:hint="eastAsia" w:ascii="宋体" w:hAnsi="宋体"/>
          <w:szCs w:val="21"/>
        </w:rPr>
        <w:t>养护工程专用合同条款第18.1款补充：</w:t>
      </w:r>
      <w:bookmarkEnd w:id="557"/>
      <w:bookmarkEnd w:id="558"/>
      <w:bookmarkEnd w:id="559"/>
    </w:p>
    <w:p w14:paraId="1DE2DB15">
      <w:pPr>
        <w:spacing w:line="360" w:lineRule="auto"/>
        <w:ind w:firstLine="420" w:firstLineChars="200"/>
        <w:outlineLvl w:val="0"/>
        <w:rPr>
          <w:rFonts w:hint="eastAsia" w:ascii="宋体" w:hAnsi="宋体"/>
          <w:szCs w:val="21"/>
        </w:rPr>
      </w:pPr>
      <w:bookmarkStart w:id="567" w:name="_Toc161676714"/>
      <w:bookmarkStart w:id="568" w:name="_Toc17906"/>
      <w:bookmarkStart w:id="569" w:name="_Toc162968687"/>
      <w:r>
        <w:rPr>
          <w:rFonts w:hint="eastAsia" w:ascii="宋体" w:hAnsi="宋体"/>
          <w:szCs w:val="21"/>
        </w:rPr>
        <w:t>18.1.4养护工程一般采用一阶段验收，完工交付使用后6个月内及时完成验收。技术复杂或规模较大的项目可采用两阶段验收，在工程完工后应当及时组织交工验收，一般在质量缺陷责任期满后6个月内完成竣工验收。</w:t>
      </w:r>
      <w:bookmarkEnd w:id="567"/>
      <w:bookmarkEnd w:id="568"/>
      <w:bookmarkEnd w:id="569"/>
    </w:p>
    <w:p w14:paraId="2B9FDACD">
      <w:pPr>
        <w:spacing w:line="360" w:lineRule="auto"/>
        <w:ind w:firstLine="420" w:firstLineChars="200"/>
        <w:outlineLvl w:val="0"/>
        <w:rPr>
          <w:rFonts w:hint="eastAsia" w:ascii="宋体" w:hAnsi="宋体"/>
          <w:szCs w:val="21"/>
        </w:rPr>
      </w:pPr>
      <w:bookmarkStart w:id="570" w:name="_Toc27917"/>
      <w:bookmarkStart w:id="571" w:name="_Toc162968688"/>
      <w:bookmarkStart w:id="572" w:name="_Toc161676715"/>
      <w:r>
        <w:rPr>
          <w:rFonts w:hint="eastAsia" w:ascii="宋体" w:hAnsi="宋体"/>
          <w:szCs w:val="21"/>
        </w:rPr>
        <w:t>18.1.5普通国道非收费公路验收工作由设区的市公路管理机构组织并出具验收报告，并抄送省级公路管理机构和设区的市交通运输主管部门。</w:t>
      </w:r>
      <w:bookmarkEnd w:id="570"/>
      <w:bookmarkEnd w:id="571"/>
      <w:bookmarkEnd w:id="572"/>
    </w:p>
    <w:p w14:paraId="556659B6">
      <w:pPr>
        <w:spacing w:line="360" w:lineRule="auto"/>
        <w:ind w:firstLine="420" w:firstLineChars="200"/>
        <w:outlineLvl w:val="0"/>
        <w:rPr>
          <w:rFonts w:ascii="宋体" w:hAnsi="宋体"/>
          <w:szCs w:val="21"/>
        </w:rPr>
      </w:pPr>
      <w:bookmarkStart w:id="573" w:name="_Toc28999"/>
      <w:bookmarkStart w:id="574" w:name="_Toc162968689"/>
      <w:bookmarkStart w:id="575" w:name="_Toc161676716"/>
      <w:r>
        <w:rPr>
          <w:rFonts w:hint="eastAsia" w:ascii="宋体" w:hAnsi="宋体"/>
          <w:szCs w:val="21"/>
        </w:rPr>
        <w:t>普通省道非收费公路验收工作由县（市、区）交通运输主管部门组织验收，并向设区的市交通运输部门报告，设区的市交通运输部门将辖区内的每年的省道验收情况汇总后向省级交通运输部门报告；收费公路养护工程项目验收工作由收费公路经营管理者自行组织，并将验收结果向省级和属地设区的市交通运输部门报告。</w:t>
      </w:r>
      <w:bookmarkEnd w:id="573"/>
      <w:bookmarkEnd w:id="574"/>
      <w:bookmarkEnd w:id="575"/>
    </w:p>
    <w:p w14:paraId="62071C16">
      <w:pPr>
        <w:spacing w:line="360" w:lineRule="auto"/>
        <w:ind w:firstLine="422" w:firstLineChars="200"/>
        <w:outlineLvl w:val="0"/>
        <w:rPr>
          <w:rFonts w:ascii="宋体" w:hAnsi="宋体"/>
          <w:b/>
          <w:szCs w:val="21"/>
        </w:rPr>
      </w:pPr>
      <w:bookmarkStart w:id="576" w:name="_Toc18917"/>
      <w:bookmarkStart w:id="577" w:name="_Toc161676717"/>
      <w:r>
        <w:rPr>
          <w:rFonts w:ascii="宋体" w:hAnsi="宋体"/>
          <w:b/>
          <w:szCs w:val="21"/>
        </w:rPr>
        <w:t>20.  保险</w:t>
      </w:r>
      <w:bookmarkEnd w:id="560"/>
      <w:bookmarkEnd w:id="561"/>
      <w:bookmarkEnd w:id="562"/>
      <w:bookmarkEnd w:id="563"/>
      <w:bookmarkEnd w:id="564"/>
      <w:bookmarkEnd w:id="565"/>
      <w:bookmarkEnd w:id="566"/>
      <w:bookmarkEnd w:id="576"/>
      <w:bookmarkEnd w:id="577"/>
      <w:bookmarkStart w:id="578" w:name="_Toc417397786"/>
      <w:bookmarkStart w:id="579" w:name="_Toc431721260"/>
      <w:bookmarkStart w:id="580" w:name="_Toc455323793"/>
      <w:bookmarkStart w:id="581" w:name="_Toc422583717"/>
    </w:p>
    <w:p w14:paraId="161C8B8E">
      <w:pPr>
        <w:spacing w:line="360" w:lineRule="auto"/>
        <w:ind w:firstLine="422" w:firstLineChars="200"/>
        <w:outlineLvl w:val="0"/>
        <w:rPr>
          <w:rFonts w:ascii="宋体" w:hAnsi="宋体"/>
          <w:b/>
          <w:szCs w:val="21"/>
        </w:rPr>
      </w:pPr>
      <w:bookmarkStart w:id="582" w:name="_Toc489169079"/>
      <w:bookmarkStart w:id="583" w:name="_Toc489296025"/>
      <w:bookmarkStart w:id="584" w:name="_Toc11041"/>
      <w:bookmarkStart w:id="585" w:name="_Toc488762917"/>
      <w:bookmarkStart w:id="586" w:name="_Toc23126"/>
      <w:r>
        <w:rPr>
          <w:rFonts w:ascii="宋体" w:hAnsi="宋体"/>
          <w:b/>
          <w:szCs w:val="21"/>
        </w:rPr>
        <w:t xml:space="preserve">20.2  </w:t>
      </w:r>
      <w:bookmarkEnd w:id="582"/>
      <w:bookmarkEnd w:id="583"/>
      <w:bookmarkEnd w:id="584"/>
      <w:bookmarkEnd w:id="585"/>
      <w:r>
        <w:rPr>
          <w:rFonts w:ascii="宋体" w:hAnsi="宋体"/>
          <w:b/>
          <w:szCs w:val="21"/>
        </w:rPr>
        <w:t>人员工伤事故的保险</w:t>
      </w:r>
      <w:bookmarkEnd w:id="586"/>
    </w:p>
    <w:p w14:paraId="23B1A4D9">
      <w:pPr>
        <w:spacing w:line="360" w:lineRule="auto"/>
        <w:ind w:firstLine="420" w:firstLineChars="200"/>
        <w:outlineLvl w:val="0"/>
        <w:rPr>
          <w:rFonts w:hint="eastAsia" w:ascii="宋体" w:hAnsi="宋体"/>
          <w:szCs w:val="21"/>
        </w:rPr>
      </w:pPr>
      <w:bookmarkStart w:id="587" w:name="_Toc15253"/>
      <w:bookmarkStart w:id="588" w:name="_Toc489296026"/>
      <w:bookmarkStart w:id="589" w:name="_Toc489169080"/>
      <w:bookmarkStart w:id="590" w:name="_Toc1628"/>
      <w:bookmarkStart w:id="591" w:name="_Toc488762918"/>
      <w:r>
        <w:rPr>
          <w:rFonts w:hint="eastAsia" w:ascii="宋体" w:hAnsi="宋体"/>
          <w:szCs w:val="21"/>
        </w:rPr>
        <w:t>20.2.1  承包人员工伤事故的保险</w:t>
      </w:r>
      <w:bookmarkEnd w:id="587"/>
    </w:p>
    <w:p w14:paraId="13CB9B54">
      <w:pPr>
        <w:spacing w:line="360" w:lineRule="auto"/>
        <w:ind w:firstLine="420" w:firstLineChars="200"/>
        <w:outlineLvl w:val="0"/>
        <w:rPr>
          <w:rFonts w:hint="eastAsia" w:ascii="宋体" w:hAnsi="宋体"/>
          <w:szCs w:val="21"/>
        </w:rPr>
      </w:pPr>
      <w:bookmarkStart w:id="592" w:name="_Toc162968693"/>
      <w:bookmarkStart w:id="593" w:name="_Toc31694"/>
      <w:r>
        <w:rPr>
          <w:rFonts w:hint="eastAsia" w:ascii="宋体" w:hAnsi="宋体"/>
          <w:szCs w:val="21"/>
        </w:rPr>
        <w:t>本项补充：</w:t>
      </w:r>
      <w:bookmarkEnd w:id="592"/>
      <w:bookmarkEnd w:id="593"/>
    </w:p>
    <w:p w14:paraId="6CFDD66B">
      <w:pPr>
        <w:spacing w:line="360" w:lineRule="auto"/>
        <w:ind w:firstLine="420" w:firstLineChars="200"/>
        <w:outlineLvl w:val="0"/>
        <w:rPr>
          <w:rFonts w:ascii="宋体" w:hAnsi="宋体"/>
          <w:szCs w:val="21"/>
        </w:rPr>
      </w:pPr>
      <w:bookmarkStart w:id="594" w:name="_Toc162968694"/>
      <w:bookmarkStart w:id="595" w:name="_Toc161676721"/>
      <w:bookmarkStart w:id="596" w:name="_Toc31792"/>
      <w:r>
        <w:rPr>
          <w:rFonts w:hint="eastAsia" w:ascii="宋体" w:hAnsi="宋体"/>
          <w:szCs w:val="21"/>
        </w:rPr>
        <w:t>承包人应按《浙江省人力资源和社会保障厅等六部门转发人力资源社会保障部等六部门关于铁路、公路、水运、水利、能源、机场工程建设项目参加工伤保险工作的通知》、关于印发《嘉兴市秀洲区开展工程建设领域工伤保险专项整治行动工作方案》的通知、嘉兴市开展工程建设领域工伤保险专项整治行动工作方案等规定，在开工前及时办理农民工工伤保险，并要求其劳务合作单位也应进行此项保险农民工工伤保险已包含在安全生产责任保险中，发包人不再单独支付。</w:t>
      </w:r>
      <w:bookmarkEnd w:id="594"/>
      <w:bookmarkEnd w:id="595"/>
      <w:bookmarkEnd w:id="596"/>
    </w:p>
    <w:p w14:paraId="682943F5">
      <w:pPr>
        <w:spacing w:line="360" w:lineRule="auto"/>
        <w:ind w:firstLine="422" w:firstLineChars="200"/>
        <w:outlineLvl w:val="0"/>
        <w:rPr>
          <w:rFonts w:ascii="宋体" w:hAnsi="宋体"/>
          <w:b/>
          <w:szCs w:val="21"/>
        </w:rPr>
      </w:pPr>
      <w:bookmarkStart w:id="597" w:name="_Toc12565"/>
      <w:r>
        <w:rPr>
          <w:rFonts w:ascii="宋体" w:hAnsi="宋体"/>
          <w:b/>
          <w:szCs w:val="21"/>
        </w:rPr>
        <w:t xml:space="preserve">20.4  </w:t>
      </w:r>
      <w:r>
        <w:rPr>
          <w:rFonts w:hint="eastAsia" w:ascii="宋体" w:hAnsi="宋体"/>
          <w:b/>
          <w:szCs w:val="21"/>
        </w:rPr>
        <w:t>第三者</w:t>
      </w:r>
      <w:r>
        <w:rPr>
          <w:rFonts w:ascii="宋体" w:hAnsi="宋体"/>
          <w:b/>
          <w:szCs w:val="21"/>
        </w:rPr>
        <w:t>责任险</w:t>
      </w:r>
      <w:bookmarkEnd w:id="588"/>
      <w:bookmarkEnd w:id="589"/>
      <w:bookmarkEnd w:id="590"/>
      <w:bookmarkEnd w:id="591"/>
      <w:bookmarkEnd w:id="597"/>
    </w:p>
    <w:p w14:paraId="09AF57D4">
      <w:pPr>
        <w:spacing w:line="360" w:lineRule="auto"/>
        <w:ind w:firstLine="420" w:firstLineChars="200"/>
        <w:outlineLvl w:val="0"/>
        <w:rPr>
          <w:rFonts w:hint="eastAsia" w:ascii="宋体" w:hAnsi="宋体"/>
          <w:szCs w:val="21"/>
        </w:rPr>
      </w:pPr>
      <w:bookmarkStart w:id="598" w:name="_Toc17592"/>
      <w:bookmarkStart w:id="599" w:name="_Toc162968696"/>
      <w:r>
        <w:rPr>
          <w:rFonts w:hint="eastAsia" w:ascii="宋体" w:hAnsi="宋体"/>
          <w:szCs w:val="21"/>
        </w:rPr>
        <w:t>第20.4.2项细化为：</w:t>
      </w:r>
      <w:bookmarkEnd w:id="598"/>
      <w:bookmarkEnd w:id="599"/>
    </w:p>
    <w:p w14:paraId="122BDC24">
      <w:pPr>
        <w:spacing w:line="360" w:lineRule="auto"/>
        <w:ind w:firstLine="420" w:firstLineChars="200"/>
        <w:outlineLvl w:val="0"/>
        <w:rPr>
          <w:rFonts w:ascii="宋体" w:hAnsi="宋体"/>
          <w:szCs w:val="21"/>
        </w:rPr>
      </w:pPr>
      <w:bookmarkStart w:id="600" w:name="_Toc13708"/>
      <w:bookmarkStart w:id="601" w:name="_Toc162968697"/>
      <w:bookmarkStart w:id="602" w:name="_Toc161676724"/>
      <w:r>
        <w:rPr>
          <w:rFonts w:hint="eastAsia" w:ascii="宋体" w:hAnsi="宋体"/>
          <w:szCs w:val="21"/>
        </w:rPr>
        <w:t>20.4.2 在缺陷责任期终止证书颁发前，承包人应以承包人和发包人的共同名义，投保第三者责任险，第三者责任险已包含在安全生产责任保险中，发包人不再单独支付。</w:t>
      </w:r>
      <w:bookmarkEnd w:id="600"/>
      <w:bookmarkEnd w:id="601"/>
      <w:bookmarkEnd w:id="602"/>
    </w:p>
    <w:p w14:paraId="27F83016">
      <w:pPr>
        <w:spacing w:line="360" w:lineRule="auto"/>
        <w:ind w:firstLine="422" w:firstLineChars="200"/>
        <w:outlineLvl w:val="0"/>
        <w:rPr>
          <w:rFonts w:ascii="宋体" w:hAnsi="宋体"/>
          <w:b/>
          <w:szCs w:val="21"/>
        </w:rPr>
      </w:pPr>
      <w:bookmarkStart w:id="603" w:name="_Toc22471"/>
      <w:r>
        <w:rPr>
          <w:rFonts w:ascii="宋体" w:hAnsi="宋体"/>
          <w:b/>
          <w:szCs w:val="21"/>
        </w:rPr>
        <w:t>20.</w:t>
      </w:r>
      <w:r>
        <w:rPr>
          <w:rFonts w:hint="eastAsia" w:ascii="宋体" w:hAnsi="宋体"/>
          <w:b/>
          <w:szCs w:val="21"/>
        </w:rPr>
        <w:t xml:space="preserve">5 </w:t>
      </w:r>
      <w:r>
        <w:rPr>
          <w:rFonts w:ascii="宋体" w:hAnsi="宋体"/>
          <w:b/>
          <w:szCs w:val="21"/>
        </w:rPr>
        <w:t xml:space="preserve"> </w:t>
      </w:r>
      <w:r>
        <w:rPr>
          <w:rFonts w:hint="eastAsia" w:ascii="宋体" w:hAnsi="宋体"/>
          <w:b/>
        </w:rPr>
        <w:t>其他保险</w:t>
      </w:r>
      <w:bookmarkEnd w:id="603"/>
    </w:p>
    <w:p w14:paraId="32FBD6C7">
      <w:pPr>
        <w:autoSpaceDE w:val="0"/>
        <w:autoSpaceDN w:val="0"/>
        <w:adjustRightInd w:val="0"/>
        <w:spacing w:line="360" w:lineRule="auto"/>
        <w:ind w:firstLine="428" w:firstLineChars="200"/>
        <w:jc w:val="left"/>
        <w:rPr>
          <w:rFonts w:hint="eastAsia" w:ascii="宋体" w:hAnsi="宋体" w:cs="微软雅黑"/>
          <w:spacing w:val="2"/>
          <w:szCs w:val="21"/>
        </w:rPr>
      </w:pPr>
      <w:r>
        <w:rPr>
          <w:rFonts w:hint="eastAsia" w:ascii="宋体" w:hAnsi="宋体" w:cs="微软雅黑"/>
          <w:spacing w:val="2"/>
          <w:szCs w:val="21"/>
        </w:rPr>
        <w:t>本款细化为：</w:t>
      </w:r>
    </w:p>
    <w:p w14:paraId="3EEEA152">
      <w:pPr>
        <w:autoSpaceDE w:val="0"/>
        <w:autoSpaceDN w:val="0"/>
        <w:adjustRightInd w:val="0"/>
        <w:spacing w:line="360" w:lineRule="auto"/>
        <w:ind w:firstLine="428" w:firstLineChars="200"/>
        <w:jc w:val="left"/>
        <w:rPr>
          <w:rFonts w:hint="eastAsia" w:ascii="宋体" w:hAnsi="宋体" w:cs="微软雅黑"/>
          <w:spacing w:val="2"/>
          <w:szCs w:val="21"/>
        </w:rPr>
      </w:pPr>
      <w:r>
        <w:rPr>
          <w:rFonts w:hint="eastAsia" w:ascii="宋体" w:hAnsi="宋体" w:cs="微软雅黑"/>
          <w:spacing w:val="2"/>
          <w:szCs w:val="21"/>
        </w:rPr>
        <w:t>承包人应为其施工设备等办理保险，其投保金额应足以现场重置。</w:t>
      </w:r>
    </w:p>
    <w:p w14:paraId="3C96793F">
      <w:pPr>
        <w:autoSpaceDE w:val="0"/>
        <w:autoSpaceDN w:val="0"/>
        <w:adjustRightInd w:val="0"/>
        <w:spacing w:line="360" w:lineRule="auto"/>
        <w:ind w:firstLine="428" w:firstLineChars="200"/>
        <w:jc w:val="left"/>
        <w:rPr>
          <w:rFonts w:hint="eastAsia" w:ascii="宋体" w:hAnsi="宋体" w:cs="微软雅黑"/>
          <w:spacing w:val="2"/>
          <w:szCs w:val="21"/>
        </w:rPr>
      </w:pPr>
      <w:r>
        <w:rPr>
          <w:rFonts w:hint="eastAsia" w:ascii="宋体" w:hAnsi="宋体" w:cs="微软雅黑"/>
          <w:spacing w:val="2"/>
          <w:szCs w:val="21"/>
        </w:rPr>
        <w:t>承包人应办理法律法规规定必须投保的其他保险，如安全生产责任保险。</w:t>
      </w:r>
    </w:p>
    <w:p w14:paraId="6C678359">
      <w:pPr>
        <w:autoSpaceDE w:val="0"/>
        <w:autoSpaceDN w:val="0"/>
        <w:adjustRightInd w:val="0"/>
        <w:spacing w:line="360" w:lineRule="auto"/>
        <w:ind w:firstLine="428" w:firstLineChars="200"/>
        <w:jc w:val="left"/>
        <w:rPr>
          <w:rFonts w:hint="eastAsia" w:ascii="宋体" w:hAnsi="宋体" w:cs="微软雅黑"/>
          <w:spacing w:val="2"/>
          <w:szCs w:val="21"/>
        </w:rPr>
      </w:pPr>
      <w:r>
        <w:rPr>
          <w:rFonts w:hint="eastAsia" w:ascii="宋体" w:hAnsi="宋体" w:cs="微软雅黑"/>
          <w:spacing w:val="2"/>
          <w:szCs w:val="21"/>
        </w:rPr>
        <w:t>承包人为本项目办理保险的一切费用，除在工程量清单中另有列明外，均视为已包含在合同价中，不另行支付。</w:t>
      </w:r>
    </w:p>
    <w:p w14:paraId="7F7C7D6A">
      <w:pPr>
        <w:autoSpaceDE w:val="0"/>
        <w:autoSpaceDN w:val="0"/>
        <w:adjustRightInd w:val="0"/>
        <w:spacing w:line="360" w:lineRule="auto"/>
        <w:ind w:firstLine="428" w:firstLineChars="200"/>
        <w:jc w:val="left"/>
        <w:rPr>
          <w:rFonts w:hint="eastAsia" w:ascii="宋体" w:hAnsi="宋体" w:cs="微软雅黑"/>
          <w:spacing w:val="2"/>
          <w:szCs w:val="21"/>
        </w:rPr>
      </w:pPr>
      <w:r>
        <w:rPr>
          <w:rFonts w:hint="eastAsia" w:ascii="宋体" w:hAnsi="宋体" w:cs="微软雅黑"/>
          <w:spacing w:val="2"/>
          <w:szCs w:val="21"/>
        </w:rPr>
        <w:t>根据《中华人民共和国安全生产法》(2021修订版)、浙政办发《浙江省人民政府办公厅转发省安监局等部门关于在高危行业全面推进安全生产责任保险的通知》〔2017〕146号文件、《关于进一步推进我省安全生产责任保险规范化工作的通知》浙应急法〔2020〕9号文件要求，承包人在整个项目实施期间对本标段工程投保安全生产责任制保险。</w:t>
      </w:r>
    </w:p>
    <w:p w14:paraId="23EAB65C">
      <w:pPr>
        <w:autoSpaceDE w:val="0"/>
        <w:autoSpaceDN w:val="0"/>
        <w:adjustRightInd w:val="0"/>
        <w:spacing w:line="360" w:lineRule="auto"/>
        <w:ind w:firstLine="428" w:firstLineChars="200"/>
        <w:jc w:val="left"/>
        <w:rPr>
          <w:rFonts w:hint="eastAsia" w:ascii="宋体" w:hAnsi="宋体" w:cs="微软雅黑"/>
          <w:spacing w:val="2"/>
          <w:szCs w:val="21"/>
        </w:rPr>
      </w:pPr>
      <w:r>
        <w:rPr>
          <w:rFonts w:hint="eastAsia" w:ascii="宋体" w:hAnsi="宋体" w:cs="微软雅黑"/>
          <w:spacing w:val="2"/>
          <w:szCs w:val="21"/>
        </w:rPr>
        <w:t>在缺陷责任期终止证书颁发前，承包人应以承包人和发包人的共同名义，投保本项约定的安全生产责任保险，其保险费率、保险金额等有关内容投标人在报价时暂按项目专用合同条款数据表中约定的费率报价。</w:t>
      </w:r>
    </w:p>
    <w:p w14:paraId="27AEDF9D">
      <w:pPr>
        <w:autoSpaceDE w:val="0"/>
        <w:autoSpaceDN w:val="0"/>
        <w:adjustRightInd w:val="0"/>
        <w:spacing w:line="360" w:lineRule="auto"/>
        <w:ind w:firstLine="428" w:firstLineChars="200"/>
        <w:jc w:val="left"/>
        <w:rPr>
          <w:rFonts w:ascii="宋体" w:hAnsi="宋体"/>
        </w:rPr>
      </w:pPr>
      <w:r>
        <w:rPr>
          <w:rFonts w:hint="eastAsia" w:ascii="宋体" w:hAnsi="宋体" w:cs="微软雅黑"/>
          <w:spacing w:val="2"/>
          <w:szCs w:val="21"/>
        </w:rPr>
        <w:t>安全生产责任保险的保险期限：保险合同签订日起直至本合同工程签发缺陷责任期终止证书止。</w:t>
      </w:r>
    </w:p>
    <w:p w14:paraId="7625A0CD">
      <w:pPr>
        <w:spacing w:line="360" w:lineRule="auto"/>
        <w:ind w:firstLine="422" w:firstLineChars="200"/>
        <w:rPr>
          <w:rFonts w:ascii="宋体" w:hAnsi="宋体"/>
          <w:b/>
          <w:szCs w:val="21"/>
        </w:rPr>
      </w:pPr>
      <w:r>
        <w:rPr>
          <w:rFonts w:ascii="宋体" w:hAnsi="宋体"/>
          <w:b/>
          <w:szCs w:val="21"/>
        </w:rPr>
        <w:t>20.6 对各项保险的一般要求</w:t>
      </w:r>
    </w:p>
    <w:p w14:paraId="316F2727">
      <w:pPr>
        <w:spacing w:line="360" w:lineRule="auto"/>
        <w:ind w:firstLine="420" w:firstLineChars="200"/>
        <w:outlineLvl w:val="0"/>
        <w:rPr>
          <w:rFonts w:ascii="宋体" w:hAnsi="宋体"/>
          <w:szCs w:val="21"/>
        </w:rPr>
      </w:pPr>
      <w:bookmarkStart w:id="604" w:name="_Toc488762919"/>
      <w:bookmarkStart w:id="605" w:name="_Toc455670014"/>
      <w:bookmarkStart w:id="606" w:name="_Toc489169081"/>
      <w:bookmarkStart w:id="607" w:name="_Toc5685"/>
      <w:bookmarkStart w:id="608" w:name="_Toc27421"/>
      <w:bookmarkStart w:id="609" w:name="_Toc489512848"/>
      <w:bookmarkStart w:id="610" w:name="_Toc489544946"/>
      <w:bookmarkStart w:id="611" w:name="_Toc455665895"/>
      <w:bookmarkStart w:id="612" w:name="_Toc489296027"/>
      <w:r>
        <w:rPr>
          <w:rFonts w:ascii="宋体" w:hAnsi="宋体"/>
          <w:szCs w:val="21"/>
        </w:rPr>
        <w:t>20.6.1 保险凭证</w:t>
      </w:r>
      <w:bookmarkEnd w:id="604"/>
      <w:bookmarkEnd w:id="605"/>
      <w:bookmarkEnd w:id="606"/>
      <w:bookmarkEnd w:id="607"/>
      <w:bookmarkEnd w:id="608"/>
      <w:bookmarkEnd w:id="609"/>
      <w:bookmarkEnd w:id="610"/>
      <w:bookmarkEnd w:id="611"/>
      <w:bookmarkEnd w:id="612"/>
    </w:p>
    <w:p w14:paraId="7ECB179C">
      <w:pPr>
        <w:spacing w:line="360" w:lineRule="auto"/>
        <w:ind w:firstLine="420" w:firstLineChars="200"/>
        <w:rPr>
          <w:rFonts w:ascii="宋体" w:hAnsi="宋体"/>
          <w:szCs w:val="21"/>
        </w:rPr>
      </w:pPr>
      <w:r>
        <w:rPr>
          <w:rFonts w:ascii="宋体" w:hAnsi="宋体"/>
          <w:szCs w:val="21"/>
        </w:rPr>
        <w:t>本项约定为：</w:t>
      </w:r>
    </w:p>
    <w:p w14:paraId="7C1BB0B9">
      <w:pPr>
        <w:spacing w:line="360" w:lineRule="auto"/>
        <w:ind w:firstLine="420" w:firstLineChars="200"/>
        <w:rPr>
          <w:rFonts w:ascii="宋体" w:hAnsi="宋体"/>
          <w:szCs w:val="21"/>
        </w:rPr>
      </w:pPr>
      <w:r>
        <w:rPr>
          <w:rFonts w:ascii="宋体" w:hAnsi="宋体"/>
          <w:szCs w:val="21"/>
        </w:rPr>
        <w:t>承包人向发包人提交各项保险失效的证据和保险单副本的期限：开工后28天内。</w:t>
      </w:r>
    </w:p>
    <w:bookmarkEnd w:id="578"/>
    <w:bookmarkEnd w:id="579"/>
    <w:bookmarkEnd w:id="580"/>
    <w:bookmarkEnd w:id="581"/>
    <w:p w14:paraId="5748FE87">
      <w:pPr>
        <w:spacing w:line="360" w:lineRule="auto"/>
        <w:ind w:firstLine="422" w:firstLineChars="200"/>
        <w:outlineLvl w:val="0"/>
        <w:rPr>
          <w:rFonts w:ascii="宋体" w:hAnsi="宋体"/>
          <w:b/>
          <w:szCs w:val="21"/>
        </w:rPr>
      </w:pPr>
      <w:bookmarkStart w:id="613" w:name="_Toc455323795"/>
      <w:bookmarkStart w:id="614" w:name="_Toc26169"/>
      <w:bookmarkStart w:id="615" w:name="_Toc455670015"/>
      <w:bookmarkStart w:id="616" w:name="_Toc161676727"/>
      <w:bookmarkStart w:id="617" w:name="_Toc31351"/>
      <w:bookmarkStart w:id="618" w:name="_Toc455665896"/>
      <w:r>
        <w:rPr>
          <w:rFonts w:ascii="宋体" w:hAnsi="宋体"/>
          <w:b/>
          <w:szCs w:val="21"/>
        </w:rPr>
        <w:t>22.  违约</w:t>
      </w:r>
      <w:bookmarkEnd w:id="613"/>
      <w:bookmarkEnd w:id="614"/>
      <w:bookmarkEnd w:id="615"/>
      <w:bookmarkEnd w:id="616"/>
      <w:bookmarkEnd w:id="617"/>
      <w:bookmarkEnd w:id="618"/>
    </w:p>
    <w:p w14:paraId="5F7FA8FD">
      <w:pPr>
        <w:spacing w:line="360" w:lineRule="auto"/>
        <w:ind w:firstLine="422" w:firstLineChars="200"/>
        <w:rPr>
          <w:rFonts w:ascii="宋体" w:hAnsi="宋体"/>
          <w:b/>
          <w:szCs w:val="21"/>
        </w:rPr>
      </w:pPr>
      <w:bookmarkStart w:id="619" w:name="_Toc455670016"/>
      <w:bookmarkStart w:id="620" w:name="_Toc455323796"/>
      <w:bookmarkStart w:id="621" w:name="_Toc455665897"/>
      <w:r>
        <w:rPr>
          <w:rFonts w:ascii="宋体" w:hAnsi="宋体"/>
          <w:b/>
          <w:szCs w:val="21"/>
        </w:rPr>
        <w:t>22.1   承包人违约</w:t>
      </w:r>
      <w:bookmarkEnd w:id="619"/>
      <w:bookmarkEnd w:id="620"/>
      <w:bookmarkEnd w:id="621"/>
    </w:p>
    <w:p w14:paraId="10B7AE7A">
      <w:pPr>
        <w:tabs>
          <w:tab w:val="left" w:pos="3193"/>
        </w:tabs>
        <w:spacing w:line="360" w:lineRule="auto"/>
        <w:ind w:firstLine="420" w:firstLineChars="200"/>
        <w:rPr>
          <w:rFonts w:hint="eastAsia" w:ascii="宋体" w:hAnsi="宋体"/>
          <w:szCs w:val="21"/>
        </w:rPr>
      </w:pPr>
      <w:r>
        <w:rPr>
          <w:rFonts w:ascii="宋体" w:hAnsi="宋体"/>
          <w:szCs w:val="21"/>
        </w:rPr>
        <w:t xml:space="preserve">     </w:t>
      </w:r>
      <w:bookmarkStart w:id="622" w:name="_Toc26101"/>
      <w:bookmarkStart w:id="623" w:name="_Toc455670022"/>
      <w:bookmarkStart w:id="624" w:name="_Toc455665903"/>
      <w:bookmarkStart w:id="625" w:name="_Toc455323798"/>
      <w:bookmarkStart w:id="626" w:name="_Toc489296033"/>
      <w:bookmarkStart w:id="627" w:name="_Toc488762925"/>
      <w:bookmarkStart w:id="628" w:name="_Toc489169087"/>
      <w:r>
        <w:rPr>
          <w:rFonts w:hint="eastAsia" w:ascii="宋体" w:hAnsi="宋体"/>
          <w:szCs w:val="21"/>
        </w:rPr>
        <w:t>22.1.1  承包人违约的情形</w:t>
      </w:r>
    </w:p>
    <w:p w14:paraId="5EEF61CD">
      <w:pPr>
        <w:tabs>
          <w:tab w:val="left" w:pos="3193"/>
        </w:tabs>
        <w:spacing w:line="360" w:lineRule="auto"/>
        <w:ind w:firstLine="420" w:firstLineChars="200"/>
        <w:rPr>
          <w:rFonts w:hint="eastAsia" w:ascii="宋体" w:hAnsi="宋体"/>
          <w:szCs w:val="21"/>
        </w:rPr>
      </w:pPr>
      <w:r>
        <w:rPr>
          <w:rFonts w:hint="eastAsia" w:ascii="宋体" w:hAnsi="宋体"/>
          <w:szCs w:val="21"/>
        </w:rPr>
        <w:t>养护工程专用合同条款第22.1.1款补充：</w:t>
      </w:r>
    </w:p>
    <w:p w14:paraId="63864D76">
      <w:pPr>
        <w:tabs>
          <w:tab w:val="left" w:pos="3193"/>
        </w:tabs>
        <w:spacing w:line="360" w:lineRule="auto"/>
        <w:ind w:firstLine="420" w:firstLineChars="200"/>
        <w:rPr>
          <w:rFonts w:hint="eastAsia" w:ascii="宋体" w:hAnsi="宋体"/>
          <w:szCs w:val="21"/>
        </w:rPr>
      </w:pPr>
      <w:r>
        <w:rPr>
          <w:rFonts w:hint="eastAsia" w:ascii="宋体" w:hAnsi="宋体"/>
          <w:szCs w:val="21"/>
        </w:rPr>
        <w:t>(10)承包人违反第13.1.1项的约定，工程质量未达到合同约定质量目标要求的；</w:t>
      </w:r>
    </w:p>
    <w:p w14:paraId="15F1E49E">
      <w:pPr>
        <w:tabs>
          <w:tab w:val="left" w:pos="3193"/>
        </w:tabs>
        <w:spacing w:line="360" w:lineRule="auto"/>
        <w:ind w:firstLine="420" w:firstLineChars="200"/>
        <w:rPr>
          <w:rFonts w:hint="eastAsia" w:ascii="宋体" w:hAnsi="宋体"/>
          <w:szCs w:val="21"/>
        </w:rPr>
      </w:pPr>
      <w:r>
        <w:rPr>
          <w:rFonts w:hint="eastAsia" w:ascii="宋体" w:hAnsi="宋体"/>
          <w:szCs w:val="21"/>
        </w:rPr>
        <w:t>(11)承包人违反第4.9款及17.2款的约定，将发包人支付给承包人的各项价款转移或用于其他工程；</w:t>
      </w:r>
    </w:p>
    <w:p w14:paraId="04E692E1">
      <w:pPr>
        <w:tabs>
          <w:tab w:val="left" w:pos="3193"/>
        </w:tabs>
        <w:spacing w:line="360" w:lineRule="auto"/>
        <w:ind w:firstLine="420" w:firstLineChars="200"/>
        <w:rPr>
          <w:rFonts w:hint="eastAsia" w:ascii="宋体" w:hAnsi="宋体"/>
          <w:szCs w:val="21"/>
        </w:rPr>
      </w:pPr>
      <w:r>
        <w:rPr>
          <w:rFonts w:hint="eastAsia" w:ascii="宋体" w:hAnsi="宋体"/>
          <w:szCs w:val="21"/>
        </w:rPr>
        <w:t>(12)承包人违反投标人须知3.5款的规定，在合同实施期间发现承包人在投标时提供了虚假资料的；</w:t>
      </w:r>
    </w:p>
    <w:p w14:paraId="15A3D22B">
      <w:pPr>
        <w:tabs>
          <w:tab w:val="left" w:pos="3193"/>
        </w:tabs>
        <w:spacing w:line="360" w:lineRule="auto"/>
        <w:ind w:firstLine="420" w:firstLineChars="200"/>
        <w:rPr>
          <w:rFonts w:hint="eastAsia" w:ascii="宋体" w:hAnsi="宋体"/>
          <w:szCs w:val="21"/>
        </w:rPr>
      </w:pPr>
      <w:r>
        <w:rPr>
          <w:rFonts w:hint="eastAsia" w:ascii="宋体" w:hAnsi="宋体"/>
          <w:szCs w:val="21"/>
        </w:rPr>
        <w:t>(13)安全目标未达到招标文件规定要求的。</w:t>
      </w:r>
    </w:p>
    <w:p w14:paraId="45CD8644">
      <w:pPr>
        <w:tabs>
          <w:tab w:val="left" w:pos="3193"/>
        </w:tabs>
        <w:spacing w:line="360" w:lineRule="auto"/>
        <w:ind w:firstLine="420" w:firstLineChars="200"/>
        <w:rPr>
          <w:rFonts w:hint="eastAsia" w:ascii="宋体" w:hAnsi="宋体"/>
          <w:szCs w:val="21"/>
        </w:rPr>
      </w:pPr>
      <w:r>
        <w:rPr>
          <w:rFonts w:hint="eastAsia" w:ascii="宋体" w:hAnsi="宋体"/>
          <w:szCs w:val="21"/>
        </w:rPr>
        <w:t>22.1.2  对承包人违约的处理</w:t>
      </w:r>
    </w:p>
    <w:p w14:paraId="6FB4BD99">
      <w:pPr>
        <w:tabs>
          <w:tab w:val="left" w:pos="3193"/>
        </w:tabs>
        <w:spacing w:line="360" w:lineRule="auto"/>
        <w:ind w:firstLine="420" w:firstLineChars="200"/>
        <w:rPr>
          <w:rFonts w:hint="eastAsia" w:ascii="宋体" w:hAnsi="宋体"/>
          <w:szCs w:val="21"/>
        </w:rPr>
      </w:pPr>
      <w:r>
        <w:rPr>
          <w:rFonts w:hint="eastAsia" w:ascii="宋体" w:hAnsi="宋体"/>
          <w:szCs w:val="21"/>
        </w:rPr>
        <w:t>养护工程专用合同条款第22.1.2款补充：</w:t>
      </w:r>
    </w:p>
    <w:p w14:paraId="6BA68712">
      <w:pPr>
        <w:tabs>
          <w:tab w:val="left" w:pos="3193"/>
        </w:tabs>
        <w:spacing w:line="360" w:lineRule="auto"/>
        <w:ind w:firstLine="420" w:firstLineChars="200"/>
        <w:rPr>
          <w:rFonts w:hint="eastAsia" w:ascii="宋体" w:hAnsi="宋体"/>
          <w:szCs w:val="21"/>
        </w:rPr>
      </w:pPr>
      <w:r>
        <w:rPr>
          <w:rFonts w:hint="eastAsia" w:ascii="宋体" w:hAnsi="宋体"/>
          <w:szCs w:val="21"/>
        </w:rPr>
        <w:t>（1）承包人发生第22.1.1项(1)目中违反第1.8款约定的情形，除责令立即纠正外，并课以不超过1％签约合同价的违约金；发生第22.1.1项(1)目中违反第4.3款约定的情形，在发包人向承包人发出书面通知的14天内未见纠正后，发包人将酌情向承包人课以不超过1％签约合同价的违约金。即使缴纳了违约金，承包人仍应按合同规定继续实施和完成本合同工程及其缺陷修复；</w:t>
      </w:r>
    </w:p>
    <w:p w14:paraId="4DF90A90">
      <w:pPr>
        <w:tabs>
          <w:tab w:val="left" w:pos="3193"/>
        </w:tabs>
        <w:spacing w:line="360" w:lineRule="auto"/>
        <w:ind w:firstLine="420" w:firstLineChars="200"/>
        <w:rPr>
          <w:rFonts w:hint="eastAsia" w:ascii="宋体" w:hAnsi="宋体"/>
          <w:szCs w:val="21"/>
        </w:rPr>
      </w:pPr>
      <w:r>
        <w:rPr>
          <w:rFonts w:hint="eastAsia" w:ascii="宋体" w:hAnsi="宋体"/>
          <w:szCs w:val="21"/>
        </w:rPr>
        <w:t xml:space="preserve">（2）承包人发生第22.1.1项(2)目中违反第5.3款约定的情形，在发包人向承包人发出书面通知的14天内未见纠正后，发包人将向承包人课以不超过材料和工程设备价值两倍的违约金；发生第22.1.1项(2)目中违反第6.4款约定的情形，在发包人向承包人发出书面通知的14天内未见纠正后，发包人将向承包人课以不超过其台班费两倍的违约金； </w:t>
      </w:r>
    </w:p>
    <w:p w14:paraId="5A04DC71">
      <w:pPr>
        <w:tabs>
          <w:tab w:val="left" w:pos="3193"/>
        </w:tabs>
        <w:spacing w:line="360" w:lineRule="auto"/>
        <w:ind w:firstLine="420" w:firstLineChars="200"/>
        <w:rPr>
          <w:rFonts w:hint="eastAsia" w:ascii="宋体" w:hAnsi="宋体"/>
          <w:szCs w:val="21"/>
        </w:rPr>
      </w:pPr>
      <w:r>
        <w:rPr>
          <w:rFonts w:hint="eastAsia" w:ascii="宋体" w:hAnsi="宋体"/>
          <w:szCs w:val="21"/>
        </w:rPr>
        <w:t>（3）承包人发生第22.1.1项(3)目情形，在发包人向承包人发出书面通知的14天内未见纠正后，发包人将按每一情形酌情向承包人课以不超过0.5％签约合同价的违约金。即使缴纳了违约金，承包人仍应按合同规定继续实施和完成本合同工程及其缺陷修复；</w:t>
      </w:r>
    </w:p>
    <w:p w14:paraId="0A24B70F">
      <w:pPr>
        <w:tabs>
          <w:tab w:val="left" w:pos="3193"/>
        </w:tabs>
        <w:spacing w:line="360" w:lineRule="auto"/>
        <w:ind w:firstLine="420" w:firstLineChars="200"/>
        <w:rPr>
          <w:rFonts w:hint="eastAsia" w:ascii="宋体" w:hAnsi="宋体"/>
          <w:szCs w:val="21"/>
        </w:rPr>
      </w:pPr>
      <w:r>
        <w:rPr>
          <w:rFonts w:hint="eastAsia" w:ascii="宋体" w:hAnsi="宋体"/>
          <w:szCs w:val="21"/>
        </w:rPr>
        <w:t>（4）承包人发生第22.1.1项(4)目情形，则按第11.5款规定处理；</w:t>
      </w:r>
    </w:p>
    <w:p w14:paraId="213D657F">
      <w:pPr>
        <w:tabs>
          <w:tab w:val="left" w:pos="3193"/>
        </w:tabs>
        <w:spacing w:line="360" w:lineRule="auto"/>
        <w:ind w:firstLine="420" w:firstLineChars="200"/>
        <w:rPr>
          <w:rFonts w:hint="eastAsia" w:ascii="宋体" w:hAnsi="宋体"/>
          <w:szCs w:val="21"/>
        </w:rPr>
      </w:pPr>
      <w:r>
        <w:rPr>
          <w:rFonts w:hint="eastAsia" w:ascii="宋体" w:hAnsi="宋体"/>
          <w:szCs w:val="21"/>
        </w:rPr>
        <w:t>（5）承包人发生第22.1.1项(5)目情形，则按第19.2.4项规定处理；</w:t>
      </w:r>
    </w:p>
    <w:p w14:paraId="34E74C95">
      <w:pPr>
        <w:tabs>
          <w:tab w:val="left" w:pos="3193"/>
        </w:tabs>
        <w:spacing w:line="360" w:lineRule="auto"/>
        <w:ind w:firstLine="420" w:firstLineChars="200"/>
        <w:rPr>
          <w:rFonts w:hint="eastAsia" w:ascii="宋体" w:hAnsi="宋体"/>
          <w:szCs w:val="21"/>
        </w:rPr>
      </w:pPr>
      <w:r>
        <w:rPr>
          <w:rFonts w:hint="eastAsia" w:ascii="宋体" w:hAnsi="宋体"/>
          <w:szCs w:val="21"/>
        </w:rPr>
        <w:t>（6）承包人发生第22.1.1项(7)目情形，发包人有权按第11.5款规定的逾期交工违约金金额的二分之一乘以未按期开工天数处以违约金；</w:t>
      </w:r>
    </w:p>
    <w:p w14:paraId="2F87C79D">
      <w:pPr>
        <w:tabs>
          <w:tab w:val="left" w:pos="3193"/>
        </w:tabs>
        <w:spacing w:line="360" w:lineRule="auto"/>
        <w:ind w:firstLine="420" w:firstLineChars="200"/>
        <w:rPr>
          <w:rFonts w:hint="eastAsia" w:ascii="宋体" w:hAnsi="宋体"/>
          <w:szCs w:val="21"/>
        </w:rPr>
      </w:pPr>
      <w:r>
        <w:rPr>
          <w:rFonts w:hint="eastAsia" w:ascii="宋体" w:hAnsi="宋体"/>
          <w:szCs w:val="21"/>
        </w:rPr>
        <w:t>（7）承包人发生第22.1.1项(8)目违反第4.6款约定的情形，项目经理或项目技术负责人未经发包人同意擅自离开工地或每月在工地不足20天者（特殊情形经监理人批准报发包人同意例外），每天课以违约金2000元／人；承包人未经发包人书面同意更换项目经理和项目技术负责人课以20万元的违约金，更换其他主要管理人员和技术骨干课以每人次5万元的违约金；发生第22.1.1项(8)目违反第6.3款约定的情形，在发包人向承包人发出书面通知的14天内未见纠正后，发包人将向承包人课以不超过0.5％签约合同价的违约金；</w:t>
      </w:r>
    </w:p>
    <w:p w14:paraId="5C3A1C6F">
      <w:pPr>
        <w:tabs>
          <w:tab w:val="left" w:pos="3193"/>
        </w:tabs>
        <w:spacing w:line="360" w:lineRule="auto"/>
        <w:ind w:firstLine="420" w:firstLineChars="200"/>
        <w:rPr>
          <w:rFonts w:hint="eastAsia" w:ascii="宋体" w:hAnsi="宋体"/>
          <w:szCs w:val="21"/>
        </w:rPr>
      </w:pPr>
      <w:r>
        <w:rPr>
          <w:rFonts w:hint="eastAsia" w:ascii="宋体" w:hAnsi="宋体"/>
          <w:szCs w:val="21"/>
        </w:rPr>
        <w:t>（8）承包人发生第22.1.1项(9)目情形，发包人将责令整改；情节严重的，将停工整顿，课以不超过1％签约合同价的违约金；</w:t>
      </w:r>
    </w:p>
    <w:p w14:paraId="39305B33">
      <w:pPr>
        <w:tabs>
          <w:tab w:val="left" w:pos="3193"/>
        </w:tabs>
        <w:spacing w:line="360" w:lineRule="auto"/>
        <w:ind w:firstLine="420" w:firstLineChars="200"/>
        <w:rPr>
          <w:rFonts w:hint="eastAsia" w:ascii="宋体" w:hAnsi="宋体"/>
          <w:szCs w:val="21"/>
        </w:rPr>
      </w:pPr>
      <w:r>
        <w:rPr>
          <w:rFonts w:hint="eastAsia" w:ascii="宋体" w:hAnsi="宋体"/>
          <w:szCs w:val="21"/>
        </w:rPr>
        <w:t>（9）承包人发生第22.1.1项(10)目情形，则课以1％签约合同价的违约金；</w:t>
      </w:r>
    </w:p>
    <w:p w14:paraId="2796BA11">
      <w:pPr>
        <w:tabs>
          <w:tab w:val="left" w:pos="3193"/>
        </w:tabs>
        <w:spacing w:line="360" w:lineRule="auto"/>
        <w:ind w:firstLine="420" w:firstLineChars="200"/>
        <w:rPr>
          <w:rFonts w:hint="eastAsia" w:ascii="宋体" w:hAnsi="宋体"/>
          <w:szCs w:val="21"/>
        </w:rPr>
      </w:pPr>
      <w:r>
        <w:rPr>
          <w:rFonts w:hint="eastAsia" w:ascii="宋体" w:hAnsi="宋体"/>
          <w:szCs w:val="21"/>
        </w:rPr>
        <w:t>（10）承包人发生第22.1.1项(11)目情形，则课以与转移（挪用）资金等额的违约金；</w:t>
      </w:r>
    </w:p>
    <w:p w14:paraId="02CE5D0A">
      <w:pPr>
        <w:tabs>
          <w:tab w:val="left" w:pos="3193"/>
        </w:tabs>
        <w:spacing w:line="360" w:lineRule="auto"/>
        <w:ind w:firstLine="420" w:firstLineChars="200"/>
        <w:rPr>
          <w:rFonts w:hint="eastAsia" w:ascii="宋体" w:hAnsi="宋体"/>
          <w:szCs w:val="21"/>
        </w:rPr>
      </w:pPr>
      <w:r>
        <w:rPr>
          <w:rFonts w:hint="eastAsia" w:ascii="宋体" w:hAnsi="宋体"/>
          <w:szCs w:val="21"/>
        </w:rPr>
        <w:t>（11）承包人发生第22.1.1项(12)目情形，在合同实施期间发现承包人在投标时提供了虚假材料的，课以不超过1％签约合同价的违约金；</w:t>
      </w:r>
    </w:p>
    <w:p w14:paraId="59109E79">
      <w:pPr>
        <w:tabs>
          <w:tab w:val="left" w:pos="3193"/>
        </w:tabs>
        <w:spacing w:line="360" w:lineRule="auto"/>
        <w:ind w:firstLine="420" w:firstLineChars="200"/>
        <w:rPr>
          <w:rFonts w:hint="eastAsia" w:ascii="宋体" w:hAnsi="宋体"/>
          <w:szCs w:val="21"/>
        </w:rPr>
      </w:pPr>
      <w:r>
        <w:rPr>
          <w:rFonts w:hint="eastAsia" w:ascii="宋体" w:hAnsi="宋体"/>
          <w:szCs w:val="21"/>
        </w:rPr>
        <w:t>（12）承包人发生第22.1.1项(13)目情形，则课以不超过1％签约合同价的违约金。</w:t>
      </w:r>
      <w:bookmarkEnd w:id="622"/>
      <w:bookmarkEnd w:id="623"/>
      <w:bookmarkEnd w:id="624"/>
      <w:bookmarkEnd w:id="625"/>
      <w:bookmarkEnd w:id="626"/>
      <w:bookmarkEnd w:id="627"/>
      <w:bookmarkEnd w:id="628"/>
    </w:p>
    <w:bookmarkEnd w:id="513"/>
    <w:bookmarkEnd w:id="514"/>
    <w:bookmarkEnd w:id="515"/>
    <w:bookmarkEnd w:id="516"/>
    <w:bookmarkEnd w:id="517"/>
    <w:bookmarkEnd w:id="518"/>
    <w:bookmarkEnd w:id="519"/>
    <w:bookmarkEnd w:id="520"/>
    <w:bookmarkEnd w:id="522"/>
    <w:p w14:paraId="5AAA9F47">
      <w:pPr>
        <w:rPr>
          <w:rFonts w:ascii="宋体" w:hAnsi="宋体"/>
          <w:sz w:val="28"/>
          <w:szCs w:val="28"/>
        </w:rPr>
      </w:pPr>
      <w:bookmarkStart w:id="629" w:name="_Toc2568"/>
      <w:r>
        <w:rPr>
          <w:rFonts w:ascii="宋体" w:hAnsi="宋体"/>
          <w:sz w:val="28"/>
          <w:szCs w:val="28"/>
        </w:rPr>
        <w:br w:type="page"/>
      </w:r>
    </w:p>
    <w:p w14:paraId="6189C6AA">
      <w:pPr>
        <w:pStyle w:val="2"/>
        <w:numPr>
          <w:ilvl w:val="0"/>
          <w:numId w:val="0"/>
        </w:numPr>
        <w:spacing w:after="120" w:line="360" w:lineRule="auto"/>
        <w:ind w:leftChars="0"/>
        <w:jc w:val="center"/>
        <w:rPr>
          <w:rFonts w:ascii="宋体" w:hAnsi="宋体"/>
          <w:sz w:val="28"/>
          <w:szCs w:val="28"/>
        </w:rPr>
      </w:pPr>
      <w:r>
        <w:rPr>
          <w:rFonts w:ascii="宋体" w:hAnsi="宋体"/>
          <w:sz w:val="28"/>
          <w:szCs w:val="28"/>
        </w:rPr>
        <w:t>第三节  合同附件格式</w:t>
      </w:r>
      <w:bookmarkEnd w:id="629"/>
    </w:p>
    <w:p w14:paraId="041EF585">
      <w:pPr>
        <w:pStyle w:val="2"/>
        <w:numPr>
          <w:ilvl w:val="0"/>
          <w:numId w:val="0"/>
        </w:numPr>
        <w:spacing w:before="120" w:beforeLines="50" w:after="120" w:afterLines="50" w:line="360" w:lineRule="auto"/>
        <w:ind w:leftChars="0"/>
        <w:rPr>
          <w:rFonts w:ascii="宋体" w:hAnsi="宋体"/>
          <w:sz w:val="24"/>
          <w:szCs w:val="24"/>
        </w:rPr>
      </w:pPr>
      <w:bookmarkStart w:id="630" w:name="_Toc481441788"/>
      <w:bookmarkStart w:id="631" w:name="_Toc482371682"/>
      <w:bookmarkStart w:id="632" w:name="_Toc5479"/>
      <w:r>
        <w:rPr>
          <w:rFonts w:ascii="宋体" w:hAnsi="宋体"/>
          <w:sz w:val="24"/>
          <w:szCs w:val="24"/>
        </w:rPr>
        <w:t>附件一  合同协议书</w:t>
      </w:r>
      <w:bookmarkEnd w:id="630"/>
      <w:bookmarkEnd w:id="631"/>
      <w:bookmarkEnd w:id="632"/>
    </w:p>
    <w:p w14:paraId="7D1993F9">
      <w:pPr>
        <w:spacing w:line="360" w:lineRule="auto"/>
        <w:jc w:val="center"/>
        <w:rPr>
          <w:rFonts w:ascii="宋体" w:hAnsi="宋体"/>
          <w:b/>
          <w:sz w:val="30"/>
          <w:szCs w:val="30"/>
        </w:rPr>
      </w:pPr>
      <w:r>
        <w:rPr>
          <w:rFonts w:ascii="宋体" w:hAnsi="宋体"/>
          <w:b/>
          <w:sz w:val="30"/>
          <w:szCs w:val="30"/>
        </w:rPr>
        <w:t>合同协议书</w:t>
      </w:r>
    </w:p>
    <w:p w14:paraId="7374BA56">
      <w:pPr>
        <w:spacing w:line="360" w:lineRule="auto"/>
        <w:rPr>
          <w:rFonts w:hint="eastAsia" w:ascii="宋体" w:hAnsi="宋体"/>
          <w:sz w:val="24"/>
          <w:u w:val="single"/>
        </w:rPr>
      </w:pPr>
    </w:p>
    <w:p w14:paraId="33CAA141">
      <w:pPr>
        <w:spacing w:line="360" w:lineRule="auto"/>
        <w:ind w:firstLine="420" w:firstLineChars="200"/>
        <w:rPr>
          <w:rFonts w:ascii="宋体" w:hAnsi="宋体"/>
          <w:szCs w:val="21"/>
        </w:rPr>
      </w:pPr>
      <w:r>
        <w:rPr>
          <w:rFonts w:ascii="宋体" w:hAnsi="宋体"/>
          <w:szCs w:val="21"/>
          <w:u w:val="single"/>
        </w:rPr>
        <w:t xml:space="preserve">    （发包人名称）   </w:t>
      </w:r>
      <w:r>
        <w:rPr>
          <w:rFonts w:ascii="宋体" w:hAnsi="宋体"/>
          <w:szCs w:val="21"/>
        </w:rPr>
        <w:t>（</w:t>
      </w:r>
      <w:r>
        <w:rPr>
          <w:rFonts w:ascii="宋体" w:hAnsi="宋体"/>
          <w:kern w:val="0"/>
          <w:szCs w:val="21"/>
        </w:rPr>
        <w:t>以下简称“发包人”）</w:t>
      </w:r>
      <w:r>
        <w:rPr>
          <w:rFonts w:ascii="宋体" w:hAnsi="宋体"/>
          <w:szCs w:val="21"/>
        </w:rPr>
        <w:t>为实施</w:t>
      </w:r>
      <w:r>
        <w:rPr>
          <w:rFonts w:ascii="宋体" w:hAnsi="宋体"/>
          <w:szCs w:val="21"/>
          <w:u w:val="single"/>
        </w:rPr>
        <w:t xml:space="preserve">   （项目名称）  </w:t>
      </w:r>
      <w:r>
        <w:rPr>
          <w:rFonts w:ascii="宋体" w:hAnsi="宋体"/>
          <w:szCs w:val="21"/>
        </w:rPr>
        <w:t>，已接受</w:t>
      </w:r>
      <w:r>
        <w:rPr>
          <w:rFonts w:ascii="宋体" w:hAnsi="宋体"/>
          <w:szCs w:val="21"/>
          <w:u w:val="single"/>
        </w:rPr>
        <w:t xml:space="preserve">   （承包人名称）   </w:t>
      </w:r>
      <w:r>
        <w:rPr>
          <w:rFonts w:ascii="宋体" w:hAnsi="宋体"/>
          <w:szCs w:val="21"/>
        </w:rPr>
        <w:t>，</w:t>
      </w:r>
      <w:r>
        <w:rPr>
          <w:rFonts w:ascii="宋体" w:hAnsi="宋体"/>
          <w:kern w:val="0"/>
          <w:szCs w:val="21"/>
        </w:rPr>
        <w:t>以下简称“承包人”）</w:t>
      </w:r>
      <w:r>
        <w:rPr>
          <w:rFonts w:ascii="宋体" w:hAnsi="宋体"/>
          <w:szCs w:val="21"/>
        </w:rPr>
        <w:t>对该项目</w:t>
      </w:r>
      <w:r>
        <w:rPr>
          <w:rFonts w:ascii="宋体" w:hAnsi="宋体"/>
          <w:szCs w:val="21"/>
          <w:u w:val="single"/>
        </w:rPr>
        <w:t xml:space="preserve">     </w:t>
      </w:r>
      <w:r>
        <w:rPr>
          <w:rFonts w:ascii="宋体" w:hAnsi="宋体"/>
          <w:szCs w:val="21"/>
        </w:rPr>
        <w:t>标（路）段的投标。发包人和承包人共同达成如下协议。</w:t>
      </w:r>
    </w:p>
    <w:p w14:paraId="7E599172">
      <w:pPr>
        <w:spacing w:line="360" w:lineRule="auto"/>
        <w:ind w:firstLine="420" w:firstLineChars="200"/>
        <w:rPr>
          <w:rFonts w:ascii="宋体" w:hAnsi="宋体"/>
          <w:szCs w:val="21"/>
        </w:rPr>
      </w:pPr>
      <w:r>
        <w:rPr>
          <w:rFonts w:ascii="宋体" w:hAnsi="宋体"/>
          <w:szCs w:val="21"/>
        </w:rPr>
        <w:t>1．第</w:t>
      </w:r>
      <w:r>
        <w:rPr>
          <w:rFonts w:ascii="宋体" w:hAnsi="宋体"/>
          <w:szCs w:val="21"/>
          <w:u w:val="single"/>
        </w:rPr>
        <w:t xml:space="preserve">    </w:t>
      </w:r>
      <w:r>
        <w:rPr>
          <w:rFonts w:ascii="宋体" w:hAnsi="宋体"/>
          <w:szCs w:val="21"/>
        </w:rPr>
        <w:t>标（路）段由K</w:t>
      </w:r>
      <w:r>
        <w:rPr>
          <w:rFonts w:ascii="宋体" w:hAnsi="宋体"/>
          <w:szCs w:val="21"/>
          <w:u w:val="single"/>
        </w:rPr>
        <w:t xml:space="preserve">   </w:t>
      </w:r>
      <w:r>
        <w:rPr>
          <w:rFonts w:ascii="宋体" w:hAnsi="宋体"/>
          <w:szCs w:val="21"/>
        </w:rPr>
        <w:t>＋</w:t>
      </w:r>
      <w:r>
        <w:rPr>
          <w:rFonts w:ascii="宋体" w:hAnsi="宋体"/>
          <w:szCs w:val="21"/>
          <w:u w:val="single"/>
        </w:rPr>
        <w:t xml:space="preserve">        </w:t>
      </w:r>
      <w:r>
        <w:rPr>
          <w:rFonts w:ascii="宋体" w:hAnsi="宋体"/>
          <w:szCs w:val="21"/>
        </w:rPr>
        <w:t>至K</w:t>
      </w:r>
      <w:r>
        <w:rPr>
          <w:rFonts w:ascii="宋体" w:hAnsi="宋体"/>
          <w:szCs w:val="21"/>
          <w:u w:val="single"/>
        </w:rPr>
        <w:t xml:space="preserve">   </w:t>
      </w:r>
      <w:r>
        <w:rPr>
          <w:rFonts w:ascii="宋体" w:hAnsi="宋体"/>
          <w:szCs w:val="21"/>
        </w:rPr>
        <w:t>＋</w:t>
      </w:r>
      <w:r>
        <w:rPr>
          <w:rFonts w:ascii="宋体" w:hAnsi="宋体"/>
          <w:szCs w:val="21"/>
          <w:u w:val="single"/>
        </w:rPr>
        <w:t xml:space="preserve">       </w:t>
      </w:r>
      <w:r>
        <w:rPr>
          <w:rFonts w:ascii="宋体" w:hAnsi="宋体"/>
          <w:szCs w:val="21"/>
        </w:rPr>
        <w:t>计</w:t>
      </w:r>
      <w:r>
        <w:rPr>
          <w:rFonts w:ascii="宋体" w:hAnsi="宋体"/>
          <w:szCs w:val="21"/>
          <w:u w:val="single"/>
        </w:rPr>
        <w:t xml:space="preserve">       </w:t>
      </w:r>
      <w:r>
        <w:rPr>
          <w:rFonts w:ascii="宋体" w:hAnsi="宋体"/>
          <w:szCs w:val="21"/>
        </w:rPr>
        <w:t>km路面、桥梁</w:t>
      </w:r>
      <w:r>
        <w:rPr>
          <w:rFonts w:ascii="宋体" w:hAnsi="宋体"/>
          <w:szCs w:val="21"/>
          <w:u w:val="single"/>
        </w:rPr>
        <w:t xml:space="preserve">     </w:t>
      </w:r>
      <w:r>
        <w:rPr>
          <w:rFonts w:ascii="宋体" w:hAnsi="宋体"/>
          <w:szCs w:val="21"/>
        </w:rPr>
        <w:t>座，计长</w:t>
      </w:r>
      <w:r>
        <w:rPr>
          <w:rFonts w:ascii="宋体" w:hAnsi="宋体"/>
          <w:szCs w:val="21"/>
          <w:u w:val="single"/>
        </w:rPr>
        <w:t xml:space="preserve">     </w:t>
      </w:r>
      <w:r>
        <w:rPr>
          <w:rFonts w:ascii="宋体" w:hAnsi="宋体"/>
          <w:szCs w:val="21"/>
        </w:rPr>
        <w:t>m以及其它……。</w:t>
      </w:r>
    </w:p>
    <w:p w14:paraId="7C597EDF">
      <w:pPr>
        <w:spacing w:line="360" w:lineRule="auto"/>
        <w:ind w:firstLine="420" w:firstLineChars="200"/>
        <w:rPr>
          <w:rFonts w:ascii="宋体" w:hAnsi="宋体"/>
          <w:szCs w:val="21"/>
        </w:rPr>
      </w:pPr>
      <w:r>
        <w:rPr>
          <w:rFonts w:ascii="宋体" w:hAnsi="宋体"/>
          <w:szCs w:val="21"/>
        </w:rPr>
        <w:t>2．承包人应承诺和</w:t>
      </w:r>
      <w:r>
        <w:rPr>
          <w:rFonts w:ascii="宋体" w:hAnsi="宋体"/>
          <w:kern w:val="0"/>
          <w:szCs w:val="21"/>
        </w:rPr>
        <w:t>承担</w:t>
      </w:r>
      <w:r>
        <w:rPr>
          <w:rFonts w:ascii="宋体" w:hAnsi="宋体"/>
          <w:szCs w:val="21"/>
        </w:rPr>
        <w:t xml:space="preserve">公路的主要内容如下： </w:t>
      </w:r>
    </w:p>
    <w:p w14:paraId="3C422B11">
      <w:pPr>
        <w:spacing w:line="360" w:lineRule="auto"/>
        <w:ind w:firstLine="630" w:firstLineChars="300"/>
        <w:rPr>
          <w:rFonts w:ascii="宋体" w:hAnsi="宋体"/>
          <w:szCs w:val="21"/>
        </w:rPr>
      </w:pPr>
      <w:r>
        <w:rPr>
          <w:rFonts w:ascii="宋体" w:hAnsi="宋体"/>
          <w:szCs w:val="21"/>
        </w:rPr>
        <w:t>(1)合同协议书及各种合同附件(含廉政合同、安全生产合同、工程质量责任合同、工程资金监管协议及评标期间和合同谈判过程中的澄清文件和补充资料)；</w:t>
      </w:r>
    </w:p>
    <w:p w14:paraId="74A8E406">
      <w:pPr>
        <w:spacing w:line="360" w:lineRule="auto"/>
        <w:ind w:firstLine="630" w:firstLineChars="300"/>
        <w:rPr>
          <w:rFonts w:ascii="宋体" w:hAnsi="宋体"/>
          <w:szCs w:val="21"/>
        </w:rPr>
      </w:pPr>
      <w:r>
        <w:rPr>
          <w:rFonts w:ascii="宋体" w:hAnsi="宋体"/>
          <w:szCs w:val="21"/>
        </w:rPr>
        <w:t>(2)中标通知书；</w:t>
      </w:r>
    </w:p>
    <w:p w14:paraId="4F186807">
      <w:pPr>
        <w:spacing w:line="360" w:lineRule="auto"/>
        <w:ind w:firstLine="630" w:firstLineChars="300"/>
        <w:rPr>
          <w:rFonts w:ascii="宋体" w:hAnsi="宋体"/>
          <w:szCs w:val="21"/>
        </w:rPr>
      </w:pPr>
      <w:r>
        <w:rPr>
          <w:rFonts w:ascii="宋体" w:hAnsi="宋体"/>
          <w:szCs w:val="21"/>
        </w:rPr>
        <w:t>(3)投标函及投标函附录；</w:t>
      </w:r>
    </w:p>
    <w:p w14:paraId="419808CA">
      <w:pPr>
        <w:spacing w:line="360" w:lineRule="auto"/>
        <w:ind w:firstLine="630" w:firstLineChars="300"/>
        <w:rPr>
          <w:rFonts w:ascii="宋体" w:hAnsi="宋体"/>
          <w:szCs w:val="21"/>
        </w:rPr>
      </w:pPr>
      <w:r>
        <w:rPr>
          <w:rFonts w:ascii="宋体" w:hAnsi="宋体"/>
          <w:szCs w:val="21"/>
        </w:rPr>
        <w:t xml:space="preserve">(4)专用合同条款（含招标文件补遗书中与此有关的部分）； </w:t>
      </w:r>
    </w:p>
    <w:p w14:paraId="36BCE400">
      <w:pPr>
        <w:spacing w:line="360" w:lineRule="auto"/>
        <w:ind w:firstLine="630" w:firstLineChars="300"/>
        <w:rPr>
          <w:rFonts w:ascii="宋体" w:hAnsi="宋体"/>
          <w:szCs w:val="21"/>
        </w:rPr>
      </w:pPr>
      <w:r>
        <w:rPr>
          <w:rFonts w:ascii="宋体" w:hAnsi="宋体"/>
          <w:szCs w:val="21"/>
        </w:rPr>
        <w:t>(5)通用合同条款；</w:t>
      </w:r>
    </w:p>
    <w:p w14:paraId="2A19461E">
      <w:pPr>
        <w:spacing w:line="360" w:lineRule="auto"/>
        <w:ind w:firstLine="630" w:firstLineChars="300"/>
        <w:rPr>
          <w:rFonts w:ascii="宋体" w:hAnsi="宋体"/>
          <w:szCs w:val="21"/>
        </w:rPr>
      </w:pPr>
      <w:r>
        <w:rPr>
          <w:rFonts w:ascii="宋体" w:hAnsi="宋体"/>
          <w:szCs w:val="21"/>
        </w:rPr>
        <w:t>(6)技术规范；</w:t>
      </w:r>
    </w:p>
    <w:p w14:paraId="7A27AF5B">
      <w:pPr>
        <w:spacing w:line="360" w:lineRule="auto"/>
        <w:ind w:firstLine="630" w:firstLineChars="300"/>
        <w:rPr>
          <w:rFonts w:ascii="宋体" w:hAnsi="宋体"/>
          <w:szCs w:val="21"/>
        </w:rPr>
      </w:pPr>
      <w:r>
        <w:rPr>
          <w:rFonts w:ascii="宋体" w:hAnsi="宋体"/>
          <w:szCs w:val="21"/>
        </w:rPr>
        <w:t>(7)已标价工程量清单；</w:t>
      </w:r>
    </w:p>
    <w:p w14:paraId="66F62010">
      <w:pPr>
        <w:spacing w:line="360" w:lineRule="auto"/>
        <w:ind w:firstLine="630" w:firstLineChars="300"/>
        <w:rPr>
          <w:rFonts w:ascii="宋体" w:hAnsi="宋体"/>
          <w:szCs w:val="21"/>
        </w:rPr>
      </w:pPr>
      <w:r>
        <w:rPr>
          <w:rFonts w:ascii="宋体" w:hAnsi="宋体"/>
          <w:szCs w:val="21"/>
        </w:rPr>
        <w:t>(8)承包人有关人员、设备投入、财务能力的承诺及投标文件中的养护工程作业方案；</w:t>
      </w:r>
    </w:p>
    <w:p w14:paraId="19DC3402">
      <w:pPr>
        <w:spacing w:line="360" w:lineRule="auto"/>
        <w:ind w:firstLine="630" w:firstLineChars="300"/>
        <w:rPr>
          <w:rFonts w:ascii="宋体" w:hAnsi="宋体"/>
          <w:szCs w:val="21"/>
        </w:rPr>
      </w:pPr>
      <w:r>
        <w:rPr>
          <w:rFonts w:ascii="宋体" w:hAnsi="宋体"/>
          <w:szCs w:val="21"/>
        </w:rPr>
        <w:t>(9)其他合同文件。</w:t>
      </w:r>
    </w:p>
    <w:p w14:paraId="157EA60D">
      <w:pPr>
        <w:spacing w:line="360" w:lineRule="auto"/>
        <w:ind w:firstLine="420" w:firstLineChars="200"/>
        <w:rPr>
          <w:rFonts w:ascii="宋体" w:hAnsi="宋体"/>
          <w:szCs w:val="21"/>
        </w:rPr>
      </w:pPr>
      <w:r>
        <w:rPr>
          <w:rFonts w:ascii="宋体" w:hAnsi="宋体"/>
          <w:szCs w:val="21"/>
        </w:rPr>
        <w:t>3．上述文件互相补充和解释，如有不明确或不一致之处，以合同约定次序在先者为准。</w:t>
      </w:r>
    </w:p>
    <w:p w14:paraId="302B6A95">
      <w:pPr>
        <w:spacing w:line="360" w:lineRule="auto"/>
        <w:ind w:firstLine="420" w:firstLineChars="200"/>
        <w:rPr>
          <w:rFonts w:ascii="宋体" w:hAnsi="宋体"/>
          <w:szCs w:val="21"/>
        </w:rPr>
      </w:pPr>
      <w:r>
        <w:rPr>
          <w:rFonts w:ascii="宋体" w:hAnsi="宋体"/>
          <w:szCs w:val="21"/>
        </w:rPr>
        <w:t>4．根据工程量清单所列的数量和单价总额价计算的签约合同价：人民币（大写）</w:t>
      </w:r>
      <w:r>
        <w:rPr>
          <w:rFonts w:ascii="宋体" w:hAnsi="宋体"/>
          <w:szCs w:val="21"/>
          <w:u w:val="single"/>
        </w:rPr>
        <w:t xml:space="preserve">                           </w:t>
      </w:r>
      <w:r>
        <w:rPr>
          <w:rFonts w:ascii="宋体" w:hAnsi="宋体"/>
          <w:szCs w:val="21"/>
        </w:rPr>
        <w:t>元（¥</w:t>
      </w:r>
      <w:r>
        <w:rPr>
          <w:rFonts w:ascii="宋体" w:hAnsi="宋体"/>
          <w:szCs w:val="21"/>
          <w:u w:val="single"/>
        </w:rPr>
        <w:t xml:space="preserve">         </w:t>
      </w:r>
      <w:r>
        <w:rPr>
          <w:rFonts w:ascii="宋体" w:hAnsi="宋体"/>
          <w:szCs w:val="21"/>
        </w:rPr>
        <w:t>）。</w:t>
      </w:r>
    </w:p>
    <w:p w14:paraId="632D5CC2">
      <w:pPr>
        <w:spacing w:line="360" w:lineRule="auto"/>
        <w:ind w:firstLine="420" w:firstLineChars="200"/>
        <w:rPr>
          <w:rFonts w:ascii="宋体" w:hAnsi="宋体"/>
          <w:szCs w:val="21"/>
        </w:rPr>
      </w:pPr>
      <w:r>
        <w:rPr>
          <w:rFonts w:ascii="宋体" w:hAnsi="宋体"/>
          <w:szCs w:val="21"/>
        </w:rPr>
        <w:t>5．承包人项目经理：</w:t>
      </w:r>
      <w:r>
        <w:rPr>
          <w:rFonts w:ascii="宋体" w:hAnsi="宋体"/>
          <w:szCs w:val="21"/>
          <w:u w:val="single"/>
        </w:rPr>
        <w:t xml:space="preserve">           </w:t>
      </w:r>
      <w:r>
        <w:rPr>
          <w:rFonts w:ascii="宋体" w:hAnsi="宋体"/>
          <w:szCs w:val="21"/>
        </w:rPr>
        <w:t>；承包人项目技术负责人：</w:t>
      </w:r>
      <w:r>
        <w:rPr>
          <w:rFonts w:ascii="宋体" w:hAnsi="宋体"/>
          <w:szCs w:val="21"/>
          <w:u w:val="single"/>
        </w:rPr>
        <w:t xml:space="preserve">           </w:t>
      </w:r>
      <w:r>
        <w:rPr>
          <w:rFonts w:hint="eastAsia" w:ascii="宋体" w:hAnsi="宋体"/>
          <w:szCs w:val="21"/>
        </w:rPr>
        <w:t>；</w:t>
      </w:r>
      <w:r>
        <w:rPr>
          <w:rFonts w:ascii="宋体" w:hAnsi="宋体"/>
          <w:szCs w:val="21"/>
        </w:rPr>
        <w:t>承包人安全负责人：</w:t>
      </w:r>
      <w:r>
        <w:rPr>
          <w:rFonts w:ascii="宋体" w:hAnsi="宋体"/>
          <w:szCs w:val="21"/>
          <w:u w:val="single"/>
        </w:rPr>
        <w:t xml:space="preserve">           </w:t>
      </w:r>
      <w:r>
        <w:rPr>
          <w:rFonts w:ascii="宋体" w:hAnsi="宋体"/>
          <w:szCs w:val="21"/>
        </w:rPr>
        <w:t>。</w:t>
      </w:r>
    </w:p>
    <w:p w14:paraId="43362461">
      <w:pPr>
        <w:spacing w:line="360" w:lineRule="auto"/>
        <w:ind w:firstLine="420" w:firstLineChars="200"/>
        <w:rPr>
          <w:rFonts w:ascii="宋体" w:hAnsi="宋体"/>
          <w:szCs w:val="21"/>
        </w:rPr>
      </w:pPr>
      <w:r>
        <w:rPr>
          <w:rFonts w:ascii="宋体" w:hAnsi="宋体"/>
          <w:szCs w:val="21"/>
        </w:rPr>
        <w:t>6</w:t>
      </w:r>
      <w:r>
        <w:rPr>
          <w:rFonts w:hint="eastAsia" w:ascii="宋体" w:hAnsi="宋体"/>
          <w:szCs w:val="21"/>
        </w:rPr>
        <w:t>.工程质量符合</w:t>
      </w:r>
      <w:r>
        <w:rPr>
          <w:rFonts w:hint="eastAsia" w:ascii="宋体" w:hAnsi="宋体"/>
          <w:szCs w:val="21"/>
          <w:u w:val="single"/>
        </w:rPr>
        <w:t xml:space="preserve">            </w:t>
      </w:r>
      <w:r>
        <w:rPr>
          <w:rFonts w:hint="eastAsia" w:ascii="宋体" w:hAnsi="宋体"/>
          <w:szCs w:val="21"/>
        </w:rPr>
        <w:t>标准。工程安全目标：</w:t>
      </w:r>
      <w:r>
        <w:rPr>
          <w:rFonts w:hint="eastAsia" w:ascii="宋体" w:hAnsi="宋体"/>
          <w:szCs w:val="21"/>
          <w:u w:val="single"/>
        </w:rPr>
        <w:t xml:space="preserve">            </w:t>
      </w:r>
      <w:r>
        <w:rPr>
          <w:rFonts w:hint="eastAsia" w:ascii="宋体" w:hAnsi="宋体"/>
          <w:szCs w:val="21"/>
        </w:rPr>
        <w:t>。</w:t>
      </w:r>
    </w:p>
    <w:p w14:paraId="66310A70">
      <w:pPr>
        <w:spacing w:line="360" w:lineRule="auto"/>
        <w:ind w:firstLine="420" w:firstLineChars="200"/>
        <w:rPr>
          <w:rFonts w:ascii="宋体" w:hAnsi="宋体"/>
          <w:szCs w:val="21"/>
        </w:rPr>
      </w:pPr>
      <w:r>
        <w:rPr>
          <w:rFonts w:ascii="宋体" w:hAnsi="宋体"/>
          <w:szCs w:val="21"/>
        </w:rPr>
        <w:t>7．对承包人实施的日常巡查和养护工程考核，由发包人依据合同条款制定具体的养护质量检查考核办法，采用季度检查、年度检查相结合，综合确定年度考核评分结果，并以交通养护工程工程量清单计价规范作为工程子目计量支付的依据。</w:t>
      </w:r>
    </w:p>
    <w:p w14:paraId="1BE3A070">
      <w:pPr>
        <w:spacing w:line="360" w:lineRule="auto"/>
        <w:ind w:firstLine="420" w:firstLineChars="200"/>
        <w:rPr>
          <w:rFonts w:ascii="宋体" w:hAnsi="宋体"/>
          <w:szCs w:val="21"/>
        </w:rPr>
      </w:pPr>
      <w:r>
        <w:rPr>
          <w:rFonts w:ascii="宋体" w:hAnsi="宋体"/>
          <w:szCs w:val="21"/>
        </w:rPr>
        <w:t>8．为本合同</w:t>
      </w:r>
      <w:r>
        <w:rPr>
          <w:rFonts w:hint="eastAsia" w:ascii="宋体" w:hAnsi="宋体"/>
          <w:szCs w:val="21"/>
        </w:rPr>
        <w:t>日常小修</w:t>
      </w:r>
      <w:r>
        <w:rPr>
          <w:rFonts w:ascii="宋体" w:hAnsi="宋体"/>
          <w:szCs w:val="21"/>
        </w:rPr>
        <w:t>工程实施和完成的报酬，发包人承诺按合同约定的条件、时间和方式向承包人支付合同价款。</w:t>
      </w:r>
    </w:p>
    <w:p w14:paraId="58692552">
      <w:pPr>
        <w:spacing w:line="360" w:lineRule="auto"/>
        <w:ind w:firstLine="420" w:firstLineChars="200"/>
        <w:rPr>
          <w:rFonts w:ascii="宋体" w:hAnsi="宋体"/>
          <w:szCs w:val="21"/>
        </w:rPr>
      </w:pPr>
      <w:r>
        <w:rPr>
          <w:rFonts w:ascii="宋体" w:hAnsi="宋体"/>
          <w:szCs w:val="21"/>
        </w:rPr>
        <w:t>9．承包人应按照监理人指示开工，承包期为</w:t>
      </w:r>
      <w:r>
        <w:rPr>
          <w:rFonts w:ascii="宋体" w:hAnsi="宋体"/>
          <w:szCs w:val="21"/>
          <w:u w:val="single"/>
        </w:rPr>
        <w:t xml:space="preserve">    </w:t>
      </w:r>
      <w:r>
        <w:rPr>
          <w:rFonts w:ascii="宋体" w:hAnsi="宋体"/>
          <w:szCs w:val="21"/>
        </w:rPr>
        <w:t>日历天。</w:t>
      </w:r>
    </w:p>
    <w:p w14:paraId="4C821F8B">
      <w:pPr>
        <w:spacing w:line="360" w:lineRule="auto"/>
        <w:ind w:firstLine="420" w:firstLineChars="200"/>
        <w:rPr>
          <w:rFonts w:ascii="宋体" w:hAnsi="宋体"/>
          <w:szCs w:val="21"/>
        </w:rPr>
      </w:pPr>
      <w:r>
        <w:rPr>
          <w:rFonts w:ascii="宋体" w:hAnsi="宋体"/>
          <w:szCs w:val="21"/>
        </w:rPr>
        <w:t>10．本协议书在承包人提供履约担保后，由双方法定代表人或其委托代理人签署并加盖单位章后生效。全部养护工程完工后经交工验收合格后失效。</w:t>
      </w:r>
    </w:p>
    <w:p w14:paraId="6A0B6E76">
      <w:pPr>
        <w:spacing w:line="360" w:lineRule="auto"/>
        <w:ind w:firstLine="420" w:firstLineChars="200"/>
        <w:rPr>
          <w:rFonts w:ascii="宋体" w:hAnsi="宋体"/>
          <w:szCs w:val="21"/>
        </w:rPr>
      </w:pPr>
      <w:r>
        <w:rPr>
          <w:rFonts w:ascii="宋体" w:hAnsi="宋体"/>
          <w:szCs w:val="21"/>
        </w:rPr>
        <w:t>11．本协议书正本二份、副本</w:t>
      </w:r>
      <w:r>
        <w:rPr>
          <w:rFonts w:ascii="宋体" w:hAnsi="宋体"/>
          <w:szCs w:val="21"/>
          <w:u w:val="single"/>
        </w:rPr>
        <w:t xml:space="preserve">     </w:t>
      </w:r>
      <w:r>
        <w:rPr>
          <w:rFonts w:ascii="宋体" w:hAnsi="宋体"/>
          <w:szCs w:val="21"/>
        </w:rPr>
        <w:t>份，合同双方各执正本一份，副本</w:t>
      </w:r>
      <w:r>
        <w:rPr>
          <w:rFonts w:ascii="宋体" w:hAnsi="宋体"/>
          <w:szCs w:val="21"/>
          <w:u w:val="single"/>
        </w:rPr>
        <w:t xml:space="preserve">     </w:t>
      </w:r>
      <w:r>
        <w:rPr>
          <w:rFonts w:ascii="宋体" w:hAnsi="宋体"/>
          <w:szCs w:val="21"/>
        </w:rPr>
        <w:t>份，当正本与副本的内容不一致时，以正本为准。</w:t>
      </w:r>
    </w:p>
    <w:p w14:paraId="0043057D">
      <w:pPr>
        <w:spacing w:line="360" w:lineRule="auto"/>
        <w:ind w:firstLine="420" w:firstLineChars="200"/>
        <w:rPr>
          <w:rFonts w:ascii="宋体" w:hAnsi="宋体"/>
          <w:szCs w:val="21"/>
        </w:rPr>
      </w:pPr>
      <w:r>
        <w:rPr>
          <w:rFonts w:ascii="宋体" w:hAnsi="宋体"/>
          <w:szCs w:val="21"/>
        </w:rPr>
        <w:t>12．合同未尽事宜，双方另行签订补充协议。补充协议是合同的组成部分。</w:t>
      </w:r>
    </w:p>
    <w:p w14:paraId="647B225E">
      <w:pPr>
        <w:spacing w:before="360" w:beforeLines="150" w:line="360" w:lineRule="auto"/>
        <w:rPr>
          <w:rFonts w:ascii="宋体" w:hAnsi="宋体"/>
          <w:szCs w:val="21"/>
        </w:rPr>
      </w:pPr>
      <w:r>
        <w:rPr>
          <w:rFonts w:ascii="宋体" w:hAnsi="宋体"/>
          <w:szCs w:val="21"/>
        </w:rPr>
        <w:t>发包人：</w:t>
      </w:r>
      <w:r>
        <w:rPr>
          <w:rFonts w:ascii="宋体" w:hAnsi="宋体"/>
          <w:szCs w:val="21"/>
          <w:u w:val="single"/>
        </w:rPr>
        <w:t xml:space="preserve">                </w:t>
      </w:r>
      <w:r>
        <w:rPr>
          <w:rFonts w:ascii="宋体" w:hAnsi="宋体"/>
          <w:szCs w:val="21"/>
        </w:rPr>
        <w:t>（盖单位章）   承包人：</w:t>
      </w:r>
      <w:r>
        <w:rPr>
          <w:rFonts w:ascii="宋体" w:hAnsi="宋体"/>
          <w:szCs w:val="21"/>
          <w:u w:val="single"/>
        </w:rPr>
        <w:t xml:space="preserve">                </w:t>
      </w:r>
      <w:r>
        <w:rPr>
          <w:rFonts w:ascii="宋体" w:hAnsi="宋体"/>
          <w:szCs w:val="21"/>
        </w:rPr>
        <w:t>（盖单位章）</w:t>
      </w:r>
    </w:p>
    <w:p w14:paraId="70B64FD1">
      <w:pPr>
        <w:spacing w:line="360" w:lineRule="auto"/>
        <w:rPr>
          <w:rFonts w:ascii="宋体" w:hAnsi="宋体"/>
          <w:szCs w:val="21"/>
        </w:rPr>
      </w:pPr>
      <w:r>
        <w:rPr>
          <w:rFonts w:ascii="宋体" w:hAnsi="宋体"/>
          <w:szCs w:val="21"/>
        </w:rPr>
        <w:t>法定代表人或其委托代理人：</w:t>
      </w:r>
      <w:r>
        <w:rPr>
          <w:rFonts w:ascii="宋体" w:hAnsi="宋体"/>
          <w:szCs w:val="21"/>
          <w:u w:val="single"/>
        </w:rPr>
        <w:t xml:space="preserve">  </w:t>
      </w:r>
      <w:r>
        <w:rPr>
          <w:rFonts w:ascii="宋体" w:hAnsi="宋体"/>
          <w:szCs w:val="21"/>
        </w:rPr>
        <w:t>（签字）</w:t>
      </w:r>
      <w:r>
        <w:rPr>
          <w:rFonts w:hint="eastAsia" w:ascii="宋体" w:hAnsi="宋体"/>
          <w:szCs w:val="21"/>
        </w:rPr>
        <w:t xml:space="preserve"> </w:t>
      </w:r>
      <w:r>
        <w:rPr>
          <w:rFonts w:ascii="宋体" w:hAnsi="宋体"/>
          <w:szCs w:val="21"/>
        </w:rPr>
        <w:t xml:space="preserve">  法定代表人或其委托代理人：</w:t>
      </w:r>
      <w:r>
        <w:rPr>
          <w:rFonts w:ascii="宋体" w:hAnsi="宋体"/>
          <w:szCs w:val="21"/>
          <w:u w:val="single"/>
        </w:rPr>
        <w:t xml:space="preserve">  </w:t>
      </w:r>
      <w:r>
        <w:rPr>
          <w:rFonts w:ascii="宋体" w:hAnsi="宋体"/>
          <w:szCs w:val="21"/>
        </w:rPr>
        <w:t>（签字）</w:t>
      </w:r>
    </w:p>
    <w:p w14:paraId="6FD4C5BB">
      <w:pPr>
        <w:spacing w:line="360" w:lineRule="auto"/>
        <w:ind w:firstLine="735" w:firstLineChars="350"/>
        <w:rPr>
          <w:rFonts w:ascii="宋体" w:hAnsi="宋体"/>
          <w:szCs w:val="21"/>
        </w:rPr>
      </w:pPr>
      <w:r>
        <w:rPr>
          <w:rFonts w:ascii="宋体" w:hAnsi="宋体"/>
          <w:szCs w:val="21"/>
          <w:u w:val="single"/>
        </w:rPr>
        <w:t xml:space="preserve">         </w:t>
      </w:r>
      <w:r>
        <w:rPr>
          <w:rFonts w:ascii="宋体" w:hAnsi="宋体"/>
          <w:szCs w:val="21"/>
        </w:rPr>
        <w:t>年</w:t>
      </w:r>
      <w:r>
        <w:rPr>
          <w:rFonts w:ascii="宋体" w:hAnsi="宋体"/>
          <w:szCs w:val="21"/>
          <w:u w:val="single"/>
        </w:rPr>
        <w:t xml:space="preserve">   </w:t>
      </w:r>
      <w:r>
        <w:rPr>
          <w:rFonts w:ascii="宋体" w:hAnsi="宋体"/>
          <w:szCs w:val="21"/>
        </w:rPr>
        <w:t xml:space="preserve">月 </w:t>
      </w:r>
      <w:r>
        <w:rPr>
          <w:rFonts w:ascii="宋体" w:hAnsi="宋体"/>
          <w:szCs w:val="21"/>
          <w:u w:val="single"/>
        </w:rPr>
        <w:t xml:space="preserve">    </w:t>
      </w:r>
      <w:r>
        <w:rPr>
          <w:rFonts w:ascii="宋体" w:hAnsi="宋体"/>
          <w:szCs w:val="21"/>
        </w:rPr>
        <w:t xml:space="preserve"> 日             </w:t>
      </w:r>
      <w:r>
        <w:rPr>
          <w:rFonts w:ascii="宋体" w:hAnsi="宋体"/>
          <w:szCs w:val="21"/>
          <w:u w:val="single"/>
        </w:rPr>
        <w:t xml:space="preserve">        </w:t>
      </w:r>
      <w:r>
        <w:rPr>
          <w:rFonts w:ascii="宋体" w:hAnsi="宋体"/>
          <w:szCs w:val="21"/>
        </w:rPr>
        <w:t>年</w:t>
      </w:r>
      <w:r>
        <w:rPr>
          <w:rFonts w:ascii="宋体" w:hAnsi="宋体"/>
          <w:szCs w:val="21"/>
          <w:u w:val="single"/>
        </w:rPr>
        <w:t xml:space="preserve">    </w:t>
      </w:r>
      <w:r>
        <w:rPr>
          <w:rFonts w:ascii="宋体" w:hAnsi="宋体"/>
          <w:szCs w:val="21"/>
        </w:rPr>
        <w:t xml:space="preserve">月 </w:t>
      </w:r>
      <w:r>
        <w:rPr>
          <w:rFonts w:ascii="宋体" w:hAnsi="宋体"/>
          <w:szCs w:val="21"/>
          <w:u w:val="single"/>
        </w:rPr>
        <w:t xml:space="preserve">     </w:t>
      </w:r>
      <w:r>
        <w:rPr>
          <w:rFonts w:ascii="宋体" w:hAnsi="宋体"/>
          <w:szCs w:val="21"/>
        </w:rPr>
        <w:t>日</w:t>
      </w:r>
    </w:p>
    <w:p w14:paraId="6F947866">
      <w:pPr>
        <w:spacing w:line="360" w:lineRule="auto"/>
        <w:rPr>
          <w:rFonts w:hint="eastAsia" w:ascii="宋体" w:hAnsi="宋体"/>
          <w:sz w:val="24"/>
        </w:rPr>
      </w:pPr>
    </w:p>
    <w:p w14:paraId="46CE56F0">
      <w:pPr>
        <w:spacing w:line="360" w:lineRule="auto"/>
        <w:ind w:left="840"/>
        <w:rPr>
          <w:rFonts w:ascii="宋体" w:hAnsi="宋体"/>
          <w:szCs w:val="21"/>
        </w:rPr>
      </w:pPr>
    </w:p>
    <w:p w14:paraId="20908A12">
      <w:pPr>
        <w:spacing w:line="360" w:lineRule="auto"/>
        <w:ind w:left="840"/>
        <w:rPr>
          <w:rFonts w:ascii="宋体" w:hAnsi="宋体"/>
          <w:szCs w:val="21"/>
        </w:rPr>
      </w:pPr>
    </w:p>
    <w:p w14:paraId="58F0DA8E">
      <w:pPr>
        <w:spacing w:line="360" w:lineRule="auto"/>
        <w:ind w:left="840"/>
        <w:rPr>
          <w:rFonts w:ascii="宋体" w:hAnsi="宋体"/>
          <w:szCs w:val="21"/>
        </w:rPr>
      </w:pPr>
    </w:p>
    <w:p w14:paraId="345A5743">
      <w:pPr>
        <w:spacing w:line="360" w:lineRule="auto"/>
        <w:ind w:left="840"/>
        <w:rPr>
          <w:rFonts w:ascii="宋体" w:hAnsi="宋体"/>
          <w:szCs w:val="21"/>
        </w:rPr>
      </w:pPr>
    </w:p>
    <w:p w14:paraId="52C67C59">
      <w:pPr>
        <w:spacing w:line="360" w:lineRule="auto"/>
        <w:ind w:left="840"/>
        <w:rPr>
          <w:rFonts w:hint="eastAsia" w:ascii="宋体" w:hAnsi="宋体"/>
          <w:szCs w:val="21"/>
        </w:rPr>
      </w:pPr>
    </w:p>
    <w:p w14:paraId="0D20D6E9">
      <w:pPr>
        <w:spacing w:line="360" w:lineRule="auto"/>
        <w:ind w:left="840"/>
        <w:rPr>
          <w:rFonts w:hint="eastAsia" w:ascii="宋体" w:hAnsi="宋体"/>
          <w:szCs w:val="21"/>
        </w:rPr>
      </w:pPr>
    </w:p>
    <w:p w14:paraId="7277CB70">
      <w:pPr>
        <w:spacing w:line="360" w:lineRule="auto"/>
        <w:ind w:left="840"/>
        <w:rPr>
          <w:rFonts w:hint="eastAsia" w:ascii="宋体" w:hAnsi="宋体"/>
          <w:szCs w:val="21"/>
        </w:rPr>
      </w:pPr>
    </w:p>
    <w:p w14:paraId="54BBE376">
      <w:pPr>
        <w:spacing w:line="360" w:lineRule="auto"/>
        <w:ind w:left="840"/>
        <w:rPr>
          <w:rFonts w:hint="eastAsia" w:ascii="宋体" w:hAnsi="宋体"/>
          <w:szCs w:val="21"/>
        </w:rPr>
      </w:pPr>
    </w:p>
    <w:p w14:paraId="1FF2F960">
      <w:pPr>
        <w:spacing w:line="360" w:lineRule="auto"/>
        <w:ind w:left="840"/>
        <w:rPr>
          <w:rFonts w:hint="eastAsia" w:ascii="宋体" w:hAnsi="宋体"/>
          <w:szCs w:val="21"/>
        </w:rPr>
      </w:pPr>
    </w:p>
    <w:p w14:paraId="431258DC">
      <w:pPr>
        <w:spacing w:line="360" w:lineRule="auto"/>
        <w:ind w:left="840"/>
        <w:rPr>
          <w:rFonts w:hint="eastAsia" w:ascii="宋体" w:hAnsi="宋体"/>
          <w:szCs w:val="21"/>
        </w:rPr>
      </w:pPr>
    </w:p>
    <w:p w14:paraId="1C89649C">
      <w:pPr>
        <w:spacing w:line="360" w:lineRule="auto"/>
        <w:ind w:left="840"/>
        <w:rPr>
          <w:rFonts w:hint="eastAsia" w:ascii="宋体" w:hAnsi="宋体"/>
          <w:szCs w:val="21"/>
        </w:rPr>
      </w:pPr>
    </w:p>
    <w:p w14:paraId="0C11BD77">
      <w:pPr>
        <w:spacing w:line="360" w:lineRule="auto"/>
        <w:ind w:left="840"/>
        <w:rPr>
          <w:rFonts w:hint="eastAsia" w:ascii="宋体" w:hAnsi="宋体"/>
          <w:szCs w:val="21"/>
        </w:rPr>
      </w:pPr>
    </w:p>
    <w:p w14:paraId="40F14284">
      <w:pPr>
        <w:spacing w:line="360" w:lineRule="auto"/>
        <w:ind w:left="840"/>
        <w:rPr>
          <w:rFonts w:hint="eastAsia" w:ascii="宋体" w:hAnsi="宋体"/>
          <w:szCs w:val="21"/>
        </w:rPr>
      </w:pPr>
    </w:p>
    <w:p w14:paraId="01E4B84B">
      <w:pPr>
        <w:spacing w:line="360" w:lineRule="auto"/>
        <w:ind w:left="840"/>
        <w:rPr>
          <w:rFonts w:hint="eastAsia" w:ascii="宋体" w:hAnsi="宋体"/>
          <w:szCs w:val="21"/>
        </w:rPr>
      </w:pPr>
    </w:p>
    <w:p w14:paraId="3C0DE625">
      <w:pPr>
        <w:spacing w:line="360" w:lineRule="auto"/>
        <w:ind w:left="840"/>
        <w:rPr>
          <w:rFonts w:hint="eastAsia" w:ascii="宋体" w:hAnsi="宋体"/>
          <w:szCs w:val="21"/>
        </w:rPr>
      </w:pPr>
    </w:p>
    <w:p w14:paraId="3CE2C34D">
      <w:pPr>
        <w:spacing w:line="360" w:lineRule="auto"/>
        <w:ind w:left="840"/>
        <w:rPr>
          <w:rFonts w:hint="eastAsia" w:ascii="宋体" w:hAnsi="宋体"/>
          <w:szCs w:val="21"/>
        </w:rPr>
      </w:pPr>
    </w:p>
    <w:p w14:paraId="76628BB8">
      <w:pPr>
        <w:spacing w:line="360" w:lineRule="auto"/>
        <w:ind w:left="840"/>
        <w:rPr>
          <w:rFonts w:hint="eastAsia" w:ascii="宋体" w:hAnsi="宋体"/>
          <w:szCs w:val="21"/>
        </w:rPr>
      </w:pPr>
    </w:p>
    <w:p w14:paraId="6CE007F1">
      <w:pPr>
        <w:spacing w:line="360" w:lineRule="auto"/>
        <w:ind w:left="840"/>
        <w:rPr>
          <w:rFonts w:hint="eastAsia" w:ascii="宋体" w:hAnsi="宋体"/>
          <w:szCs w:val="21"/>
        </w:rPr>
      </w:pPr>
    </w:p>
    <w:p w14:paraId="4D1ACE8E">
      <w:pPr>
        <w:spacing w:line="360" w:lineRule="auto"/>
        <w:ind w:left="840"/>
        <w:rPr>
          <w:rFonts w:hint="eastAsia" w:ascii="宋体" w:hAnsi="宋体"/>
          <w:szCs w:val="21"/>
        </w:rPr>
      </w:pPr>
    </w:p>
    <w:p w14:paraId="08C0A6DB">
      <w:pPr>
        <w:spacing w:line="360" w:lineRule="auto"/>
        <w:ind w:left="840"/>
        <w:rPr>
          <w:rFonts w:ascii="宋体" w:hAnsi="宋体"/>
          <w:szCs w:val="21"/>
        </w:rPr>
      </w:pPr>
    </w:p>
    <w:p w14:paraId="5FF510A4">
      <w:pPr>
        <w:spacing w:line="360" w:lineRule="auto"/>
        <w:ind w:left="840"/>
        <w:rPr>
          <w:rFonts w:ascii="宋体" w:hAnsi="宋体"/>
          <w:szCs w:val="21"/>
        </w:rPr>
      </w:pPr>
    </w:p>
    <w:p w14:paraId="339A7821">
      <w:pPr>
        <w:spacing w:line="360" w:lineRule="auto"/>
        <w:ind w:left="840"/>
        <w:rPr>
          <w:rFonts w:ascii="宋体" w:hAnsi="宋体"/>
          <w:szCs w:val="21"/>
        </w:rPr>
      </w:pPr>
    </w:p>
    <w:p w14:paraId="2BFBA3C8">
      <w:pPr>
        <w:spacing w:line="360" w:lineRule="auto"/>
        <w:ind w:left="840"/>
        <w:rPr>
          <w:rFonts w:ascii="宋体" w:hAnsi="宋体"/>
          <w:szCs w:val="21"/>
        </w:rPr>
      </w:pPr>
    </w:p>
    <w:p w14:paraId="290059DD">
      <w:pPr>
        <w:spacing w:line="360" w:lineRule="auto"/>
        <w:ind w:left="840"/>
        <w:rPr>
          <w:rFonts w:ascii="宋体" w:hAnsi="宋体"/>
          <w:szCs w:val="21"/>
        </w:rPr>
      </w:pPr>
    </w:p>
    <w:p w14:paraId="75CB203D">
      <w:pPr>
        <w:spacing w:line="360" w:lineRule="auto"/>
        <w:ind w:left="840"/>
        <w:rPr>
          <w:rFonts w:ascii="宋体" w:hAnsi="宋体"/>
          <w:szCs w:val="21"/>
        </w:rPr>
      </w:pPr>
    </w:p>
    <w:p w14:paraId="7FFC7143">
      <w:pPr>
        <w:spacing w:line="360" w:lineRule="auto"/>
        <w:ind w:left="840"/>
        <w:rPr>
          <w:rFonts w:ascii="宋体" w:hAnsi="宋体"/>
          <w:szCs w:val="21"/>
        </w:rPr>
      </w:pPr>
    </w:p>
    <w:p w14:paraId="693382FB">
      <w:pPr>
        <w:spacing w:line="360" w:lineRule="auto"/>
        <w:ind w:left="840"/>
        <w:rPr>
          <w:rFonts w:ascii="宋体" w:hAnsi="宋体"/>
          <w:szCs w:val="21"/>
        </w:rPr>
      </w:pPr>
    </w:p>
    <w:p w14:paraId="2969B2D1">
      <w:pPr>
        <w:pStyle w:val="2"/>
        <w:numPr>
          <w:ilvl w:val="0"/>
          <w:numId w:val="0"/>
        </w:numPr>
        <w:spacing w:before="120" w:beforeLines="50" w:after="120" w:afterLines="50" w:line="360" w:lineRule="auto"/>
        <w:ind w:leftChars="0"/>
        <w:rPr>
          <w:rFonts w:ascii="宋体" w:hAnsi="宋体"/>
          <w:sz w:val="24"/>
          <w:szCs w:val="24"/>
        </w:rPr>
      </w:pPr>
      <w:bookmarkStart w:id="633" w:name="_Toc482371683"/>
      <w:bookmarkStart w:id="634" w:name="_Toc481441789"/>
      <w:bookmarkStart w:id="635" w:name="_Toc234382945"/>
      <w:bookmarkStart w:id="636" w:name="_Toc11337"/>
      <w:r>
        <w:rPr>
          <w:rFonts w:ascii="宋体" w:hAnsi="宋体"/>
          <w:sz w:val="24"/>
          <w:szCs w:val="24"/>
        </w:rPr>
        <w:t>附件二  廉政合同</w:t>
      </w:r>
      <w:bookmarkEnd w:id="633"/>
      <w:bookmarkEnd w:id="634"/>
      <w:bookmarkEnd w:id="635"/>
      <w:bookmarkEnd w:id="636"/>
    </w:p>
    <w:p w14:paraId="11150C38">
      <w:pPr>
        <w:spacing w:before="120" w:after="120" w:line="360" w:lineRule="auto"/>
        <w:jc w:val="center"/>
        <w:rPr>
          <w:rFonts w:ascii="宋体" w:hAnsi="宋体"/>
          <w:b/>
          <w:sz w:val="32"/>
          <w:szCs w:val="32"/>
        </w:rPr>
      </w:pPr>
      <w:r>
        <w:rPr>
          <w:rFonts w:ascii="宋体" w:hAnsi="宋体"/>
          <w:b/>
          <w:sz w:val="32"/>
          <w:szCs w:val="32"/>
        </w:rPr>
        <w:t>廉政合同</w:t>
      </w:r>
    </w:p>
    <w:p w14:paraId="634A41F3">
      <w:pPr>
        <w:spacing w:line="360" w:lineRule="auto"/>
        <w:ind w:firstLine="420" w:firstLineChars="200"/>
        <w:rPr>
          <w:rFonts w:ascii="宋体" w:hAnsi="宋体"/>
          <w:szCs w:val="21"/>
        </w:rPr>
      </w:pPr>
      <w:r>
        <w:rPr>
          <w:rFonts w:ascii="宋体" w:hAnsi="宋体"/>
          <w:szCs w:val="21"/>
        </w:rPr>
        <w:t>根据《关于在交通基础设施建设中加强廉政建设的若干意见》以及有关工程建设、廉政建设的规定，为做好工程建设中的党风廉政建设，保证工程建设高效优质，保证建设资金的安全和有效使用以及投资效益，</w:t>
      </w:r>
      <w:r>
        <w:rPr>
          <w:rFonts w:ascii="宋体" w:hAnsi="宋体"/>
          <w:szCs w:val="21"/>
          <w:u w:val="single"/>
        </w:rPr>
        <w:t xml:space="preserve">                   </w:t>
      </w:r>
      <w:r>
        <w:rPr>
          <w:rFonts w:ascii="宋体" w:hAnsi="宋体"/>
          <w:szCs w:val="21"/>
        </w:rPr>
        <w:t>（项目名称）的项目法人</w:t>
      </w:r>
      <w:r>
        <w:rPr>
          <w:rFonts w:ascii="宋体" w:hAnsi="宋体"/>
          <w:szCs w:val="21"/>
          <w:u w:val="single"/>
        </w:rPr>
        <w:t xml:space="preserve">               </w:t>
      </w:r>
      <w:r>
        <w:rPr>
          <w:rFonts w:ascii="宋体" w:hAnsi="宋体"/>
          <w:szCs w:val="21"/>
        </w:rPr>
        <w:t>（项目法人名称，</w:t>
      </w:r>
      <w:r>
        <w:rPr>
          <w:rFonts w:ascii="宋体" w:hAnsi="宋体"/>
          <w:kern w:val="0"/>
          <w:szCs w:val="21"/>
        </w:rPr>
        <w:t>以下简称“发包人”）</w:t>
      </w:r>
      <w:r>
        <w:rPr>
          <w:rFonts w:ascii="宋体" w:hAnsi="宋体"/>
          <w:szCs w:val="21"/>
        </w:rPr>
        <w:t>与该项目</w:t>
      </w:r>
      <w:r>
        <w:rPr>
          <w:rFonts w:ascii="宋体" w:hAnsi="宋体"/>
          <w:szCs w:val="21"/>
          <w:u w:val="single"/>
        </w:rPr>
        <w:t xml:space="preserve">      </w:t>
      </w:r>
      <w:r>
        <w:rPr>
          <w:rFonts w:ascii="宋体" w:hAnsi="宋体"/>
          <w:szCs w:val="21"/>
        </w:rPr>
        <w:t>的公路养护施工单位</w:t>
      </w:r>
      <w:r>
        <w:rPr>
          <w:rFonts w:ascii="宋体" w:hAnsi="宋体"/>
          <w:szCs w:val="21"/>
          <w:u w:val="single"/>
        </w:rPr>
        <w:t xml:space="preserve">                </w:t>
      </w:r>
      <w:r>
        <w:rPr>
          <w:rFonts w:ascii="宋体" w:hAnsi="宋体"/>
          <w:szCs w:val="21"/>
        </w:rPr>
        <w:t>（施工单位名称，</w:t>
      </w:r>
      <w:r>
        <w:rPr>
          <w:rFonts w:ascii="宋体" w:hAnsi="宋体"/>
          <w:kern w:val="0"/>
          <w:szCs w:val="21"/>
        </w:rPr>
        <w:t>以下简称“承包人”）</w:t>
      </w:r>
      <w:r>
        <w:rPr>
          <w:rFonts w:ascii="宋体" w:hAnsi="宋体"/>
          <w:szCs w:val="21"/>
        </w:rPr>
        <w:t>，特订立如下合同。</w:t>
      </w:r>
    </w:p>
    <w:p w14:paraId="0E6D47AE">
      <w:pPr>
        <w:spacing w:line="360" w:lineRule="auto"/>
        <w:ind w:firstLine="420" w:firstLineChars="200"/>
        <w:rPr>
          <w:rFonts w:ascii="宋体" w:hAnsi="宋体"/>
          <w:szCs w:val="21"/>
        </w:rPr>
      </w:pPr>
      <w:r>
        <w:rPr>
          <w:rFonts w:ascii="宋体" w:hAnsi="宋体"/>
          <w:szCs w:val="21"/>
        </w:rPr>
        <w:t>1．发包人和承包人双方的权利和义务</w:t>
      </w:r>
    </w:p>
    <w:p w14:paraId="4DFE90DB">
      <w:pPr>
        <w:spacing w:line="360" w:lineRule="auto"/>
        <w:ind w:firstLine="420" w:firstLineChars="200"/>
        <w:rPr>
          <w:rFonts w:ascii="宋体" w:hAnsi="宋体"/>
          <w:szCs w:val="21"/>
        </w:rPr>
      </w:pPr>
      <w:r>
        <w:rPr>
          <w:rFonts w:ascii="宋体" w:hAnsi="宋体"/>
          <w:szCs w:val="21"/>
        </w:rPr>
        <w:t>（1）严格遵守党的政策规定和国家有关法律及交通运输部和浙江省交通运输厅的有关规定。</w:t>
      </w:r>
    </w:p>
    <w:p w14:paraId="5E49CED2">
      <w:pPr>
        <w:spacing w:line="360" w:lineRule="auto"/>
        <w:ind w:firstLine="420" w:firstLineChars="200"/>
        <w:rPr>
          <w:rFonts w:ascii="宋体" w:hAnsi="宋体"/>
          <w:szCs w:val="21"/>
        </w:rPr>
      </w:pPr>
      <w:r>
        <w:rPr>
          <w:rFonts w:ascii="宋体" w:hAnsi="宋体"/>
          <w:szCs w:val="21"/>
        </w:rPr>
        <w:t>（2）严格执行</w:t>
      </w:r>
      <w:r>
        <w:rPr>
          <w:rFonts w:ascii="宋体" w:hAnsi="宋体"/>
          <w:szCs w:val="21"/>
          <w:u w:val="single"/>
        </w:rPr>
        <w:t xml:space="preserve">          </w:t>
      </w:r>
      <w:r>
        <w:rPr>
          <w:rFonts w:ascii="宋体" w:hAnsi="宋体"/>
          <w:szCs w:val="21"/>
        </w:rPr>
        <w:t>（项目名称）养护工程合同文件，自觉按合同办事。</w:t>
      </w:r>
    </w:p>
    <w:p w14:paraId="0D1C8273">
      <w:pPr>
        <w:spacing w:line="360" w:lineRule="auto"/>
        <w:ind w:firstLine="420" w:firstLineChars="200"/>
        <w:rPr>
          <w:rFonts w:ascii="宋体" w:hAnsi="宋体"/>
          <w:szCs w:val="21"/>
        </w:rPr>
      </w:pPr>
      <w:r>
        <w:rPr>
          <w:rFonts w:ascii="宋体" w:hAnsi="宋体"/>
          <w:szCs w:val="21"/>
        </w:rPr>
        <w:t>（3）双方的业务活动坚持公开、公正、诚信、透明的原则（法律认定的商业秘密和合同文件另有规定除外），不得损害国家和集体利益，不得违反工程建设管理规章制度。</w:t>
      </w:r>
    </w:p>
    <w:p w14:paraId="5E4D1F49">
      <w:pPr>
        <w:spacing w:line="360" w:lineRule="auto"/>
        <w:ind w:firstLine="420" w:firstLineChars="200"/>
        <w:rPr>
          <w:rFonts w:ascii="宋体" w:hAnsi="宋体"/>
          <w:szCs w:val="21"/>
        </w:rPr>
      </w:pPr>
      <w:r>
        <w:rPr>
          <w:rFonts w:ascii="宋体" w:hAnsi="宋体"/>
          <w:szCs w:val="21"/>
        </w:rPr>
        <w:t>（4）建立健全廉政制度，开展廉政教育，设立廉政告示牌，公布举报电话，监督并认真查处违法违纪行为。</w:t>
      </w:r>
    </w:p>
    <w:p w14:paraId="11BF7908">
      <w:pPr>
        <w:spacing w:line="360" w:lineRule="auto"/>
        <w:ind w:firstLine="420" w:firstLineChars="200"/>
        <w:rPr>
          <w:rFonts w:ascii="宋体" w:hAnsi="宋体"/>
          <w:szCs w:val="21"/>
        </w:rPr>
      </w:pPr>
      <w:r>
        <w:rPr>
          <w:rFonts w:ascii="宋体" w:hAnsi="宋体"/>
          <w:szCs w:val="21"/>
        </w:rPr>
        <w:t>（5）发现对方在业务活动中有违反廉政规定的行为，有及时提醒对方纠正的权利和义务。</w:t>
      </w:r>
    </w:p>
    <w:p w14:paraId="2C0E288C">
      <w:pPr>
        <w:spacing w:line="360" w:lineRule="auto"/>
        <w:ind w:firstLine="420" w:firstLineChars="200"/>
        <w:rPr>
          <w:rFonts w:ascii="宋体" w:hAnsi="宋体"/>
          <w:szCs w:val="21"/>
        </w:rPr>
      </w:pPr>
      <w:r>
        <w:rPr>
          <w:rFonts w:ascii="宋体" w:hAnsi="宋体"/>
          <w:szCs w:val="21"/>
        </w:rPr>
        <w:t>（6）发现对方严重违反本合同义务条款的行为，有向其上级有关部门举报、建议给予处理并要求告知处理结果的权利。</w:t>
      </w:r>
    </w:p>
    <w:p w14:paraId="0168AFEF">
      <w:pPr>
        <w:spacing w:line="360" w:lineRule="auto"/>
        <w:ind w:firstLine="420" w:firstLineChars="200"/>
        <w:rPr>
          <w:rFonts w:ascii="宋体" w:hAnsi="宋体"/>
          <w:szCs w:val="21"/>
        </w:rPr>
      </w:pPr>
      <w:r>
        <w:rPr>
          <w:rFonts w:ascii="宋体" w:hAnsi="宋体"/>
          <w:szCs w:val="21"/>
        </w:rPr>
        <w:t>2．发包人的义务</w:t>
      </w:r>
    </w:p>
    <w:p w14:paraId="02230F65">
      <w:pPr>
        <w:spacing w:line="360" w:lineRule="auto"/>
        <w:ind w:firstLine="420" w:firstLineChars="200"/>
        <w:rPr>
          <w:rFonts w:ascii="宋体" w:hAnsi="宋体"/>
          <w:szCs w:val="21"/>
        </w:rPr>
      </w:pPr>
      <w:r>
        <w:rPr>
          <w:rFonts w:ascii="宋体" w:hAnsi="宋体"/>
          <w:szCs w:val="21"/>
        </w:rPr>
        <w:t>（1）发包人及其工作人员不得索要或接受乙方的礼金，有价证券和贵重物品，不得让承包人报销任何应由发包人或发包人工作人员个人支付的费用等。</w:t>
      </w:r>
    </w:p>
    <w:p w14:paraId="373A4C37">
      <w:pPr>
        <w:spacing w:line="360" w:lineRule="auto"/>
        <w:ind w:firstLine="420" w:firstLineChars="200"/>
        <w:rPr>
          <w:rFonts w:ascii="宋体" w:hAnsi="宋体"/>
          <w:szCs w:val="21"/>
        </w:rPr>
      </w:pPr>
      <w:r>
        <w:rPr>
          <w:rFonts w:ascii="宋体" w:hAnsi="宋体"/>
          <w:szCs w:val="21"/>
        </w:rPr>
        <w:t>（2）发包人工作人员不得参加承包人安排的超标准宴请和娱乐活动；不得接受承包人提供的通讯工具、交通工具和高档办公用品等。</w:t>
      </w:r>
    </w:p>
    <w:p w14:paraId="1FB27B78">
      <w:pPr>
        <w:spacing w:line="360" w:lineRule="auto"/>
        <w:ind w:firstLine="420" w:firstLineChars="200"/>
        <w:rPr>
          <w:rFonts w:ascii="宋体" w:hAnsi="宋体"/>
          <w:szCs w:val="21"/>
        </w:rPr>
      </w:pPr>
      <w:r>
        <w:rPr>
          <w:rFonts w:ascii="宋体" w:hAnsi="宋体"/>
          <w:szCs w:val="21"/>
        </w:rPr>
        <w:t>（3）发包人及其工作人员不得要求或者接受承包人为其住房装修、婚丧嫁娶活动、配偶子女的工作安排以及出国处境、旅游等提供方便等。</w:t>
      </w:r>
    </w:p>
    <w:p w14:paraId="58B09BA9">
      <w:pPr>
        <w:spacing w:line="360" w:lineRule="auto"/>
        <w:ind w:firstLine="420" w:firstLineChars="200"/>
        <w:rPr>
          <w:rFonts w:ascii="宋体" w:hAnsi="宋体"/>
          <w:szCs w:val="21"/>
        </w:rPr>
      </w:pPr>
      <w:r>
        <w:rPr>
          <w:rFonts w:ascii="宋体" w:hAnsi="宋体"/>
          <w:szCs w:val="21"/>
        </w:rPr>
        <w:t>（4）发包人工作人员的配偶、子女不得从事与发包人工程有关的材料设备供应、工程分包、劳务等经济活动等。</w:t>
      </w:r>
    </w:p>
    <w:p w14:paraId="1B7620E5">
      <w:pPr>
        <w:spacing w:line="360" w:lineRule="auto"/>
        <w:ind w:firstLine="420" w:firstLineChars="200"/>
        <w:rPr>
          <w:rFonts w:ascii="宋体" w:hAnsi="宋体"/>
          <w:szCs w:val="21"/>
        </w:rPr>
      </w:pPr>
      <w:r>
        <w:rPr>
          <w:rFonts w:ascii="宋体" w:hAnsi="宋体"/>
          <w:szCs w:val="21"/>
        </w:rPr>
        <w:t>（5）发包人及其工作人员不得以任何理由向承包人推荐分包单位，不得要求承包人购买合同规定外的材料和设备。</w:t>
      </w:r>
    </w:p>
    <w:p w14:paraId="3CE7856C">
      <w:pPr>
        <w:spacing w:line="360" w:lineRule="auto"/>
        <w:ind w:firstLine="420" w:firstLineChars="200"/>
        <w:rPr>
          <w:rFonts w:ascii="宋体" w:hAnsi="宋体"/>
          <w:szCs w:val="21"/>
        </w:rPr>
      </w:pPr>
      <w:r>
        <w:rPr>
          <w:rFonts w:ascii="宋体" w:hAnsi="宋体"/>
          <w:szCs w:val="21"/>
        </w:rPr>
        <w:t>3．承包人义务</w:t>
      </w:r>
    </w:p>
    <w:p w14:paraId="4BBF371A">
      <w:pPr>
        <w:spacing w:line="360" w:lineRule="auto"/>
        <w:ind w:firstLine="420" w:firstLineChars="200"/>
        <w:rPr>
          <w:rFonts w:ascii="宋体" w:hAnsi="宋体"/>
          <w:szCs w:val="21"/>
        </w:rPr>
      </w:pPr>
      <w:r>
        <w:rPr>
          <w:rFonts w:ascii="宋体" w:hAnsi="宋体"/>
          <w:szCs w:val="21"/>
        </w:rPr>
        <w:t>（1）承包人不得以任何理由向发包人及其工作人员行贿或馈赠礼金、有价证券、贵重礼品。</w:t>
      </w:r>
    </w:p>
    <w:p w14:paraId="2004E95E">
      <w:pPr>
        <w:spacing w:line="360" w:lineRule="auto"/>
        <w:ind w:firstLine="420" w:firstLineChars="200"/>
        <w:rPr>
          <w:rFonts w:ascii="宋体" w:hAnsi="宋体"/>
          <w:szCs w:val="21"/>
        </w:rPr>
      </w:pPr>
      <w:r>
        <w:rPr>
          <w:rFonts w:ascii="宋体" w:hAnsi="宋体"/>
          <w:szCs w:val="21"/>
        </w:rPr>
        <w:t>（2）承包人不得以任何名义为发包人及其工作人员报销由发包人单位或个人支付的任何费用。</w:t>
      </w:r>
    </w:p>
    <w:p w14:paraId="7DCF5E09">
      <w:pPr>
        <w:spacing w:line="360" w:lineRule="auto"/>
        <w:ind w:firstLine="420" w:firstLineChars="200"/>
        <w:rPr>
          <w:rFonts w:ascii="宋体" w:hAnsi="宋体"/>
          <w:szCs w:val="21"/>
        </w:rPr>
      </w:pPr>
      <w:r>
        <w:rPr>
          <w:rFonts w:ascii="宋体" w:hAnsi="宋体"/>
          <w:szCs w:val="21"/>
        </w:rPr>
        <w:t>（3）承包人不得以任何理由安排发包人工作人员参加超标准宴请及娱乐活动。</w:t>
      </w:r>
    </w:p>
    <w:p w14:paraId="47DB3597">
      <w:pPr>
        <w:spacing w:line="360" w:lineRule="auto"/>
        <w:ind w:firstLine="420" w:firstLineChars="200"/>
        <w:rPr>
          <w:rFonts w:ascii="宋体" w:hAnsi="宋体"/>
          <w:szCs w:val="21"/>
        </w:rPr>
      </w:pPr>
      <w:r>
        <w:rPr>
          <w:rFonts w:ascii="宋体" w:hAnsi="宋体"/>
          <w:szCs w:val="21"/>
        </w:rPr>
        <w:t>（4）承包人不得为发包人单位和个人购置或提供通讯工具、交通工具和高档办公用品等。</w:t>
      </w:r>
    </w:p>
    <w:p w14:paraId="185D642C">
      <w:pPr>
        <w:spacing w:line="360" w:lineRule="auto"/>
        <w:ind w:firstLine="420" w:firstLineChars="200"/>
        <w:rPr>
          <w:rFonts w:ascii="宋体" w:hAnsi="宋体"/>
          <w:szCs w:val="21"/>
        </w:rPr>
      </w:pPr>
      <w:r>
        <w:rPr>
          <w:rFonts w:ascii="宋体" w:hAnsi="宋体"/>
          <w:szCs w:val="21"/>
        </w:rPr>
        <w:t>4．违约责任</w:t>
      </w:r>
    </w:p>
    <w:p w14:paraId="11D5483A">
      <w:pPr>
        <w:spacing w:line="360" w:lineRule="auto"/>
        <w:ind w:firstLine="420" w:firstLineChars="200"/>
        <w:rPr>
          <w:rFonts w:ascii="宋体" w:hAnsi="宋体"/>
          <w:szCs w:val="21"/>
        </w:rPr>
      </w:pPr>
      <w:r>
        <w:rPr>
          <w:rFonts w:ascii="宋体" w:hAnsi="宋体"/>
          <w:szCs w:val="21"/>
        </w:rPr>
        <w:t>（1）发包人及其工作人员违反本合同第1、2条，按管理权限，依据有关规定给予党纪、政纪或组织处理；涉嫌犯罪的，移交司法机关追究刑事责任；给承包人单位造成经济损失的，应予以赔偿。</w:t>
      </w:r>
    </w:p>
    <w:p w14:paraId="771496AF">
      <w:pPr>
        <w:spacing w:line="360" w:lineRule="auto"/>
        <w:ind w:firstLine="420" w:firstLineChars="200"/>
        <w:rPr>
          <w:rFonts w:ascii="宋体" w:hAnsi="宋体"/>
          <w:szCs w:val="21"/>
        </w:rPr>
      </w:pPr>
      <w:r>
        <w:rPr>
          <w:rFonts w:ascii="宋体" w:hAnsi="宋体"/>
          <w:szCs w:val="21"/>
        </w:rPr>
        <w:t>（2）承包人及其工作人员违反本合同第1、3条，按管理权限，依据有关规定，给予党纪、政纪或组织处理；给发包人单位造成经济损失的，应予以赔偿；情节严重的，发包人建议交通工程建设主管部门给予承包人一至三年内不得进入其主管的交通工程建设市场的处罚。</w:t>
      </w:r>
    </w:p>
    <w:p w14:paraId="521799E5">
      <w:pPr>
        <w:spacing w:line="360" w:lineRule="auto"/>
        <w:ind w:firstLine="420" w:firstLineChars="200"/>
        <w:rPr>
          <w:rFonts w:ascii="宋体" w:hAnsi="宋体"/>
          <w:szCs w:val="21"/>
        </w:rPr>
      </w:pPr>
      <w:r>
        <w:rPr>
          <w:rFonts w:ascii="宋体" w:hAnsi="宋体"/>
          <w:szCs w:val="21"/>
        </w:rPr>
        <w:t>5．双方约定：本合同由双方上级单位的纪检监察机关负责监督执行。由发包人或发包人上级单位的纪检监察机关约请承包人或承包人上级单位纪检监察机关对本合同履行情况进行检查，提出在本合同规定范围内的裁定意见。</w:t>
      </w:r>
    </w:p>
    <w:p w14:paraId="5EAD4688">
      <w:pPr>
        <w:spacing w:line="360" w:lineRule="auto"/>
        <w:ind w:firstLine="420" w:firstLineChars="200"/>
        <w:rPr>
          <w:rFonts w:ascii="宋体" w:hAnsi="宋体"/>
          <w:szCs w:val="21"/>
        </w:rPr>
      </w:pPr>
      <w:r>
        <w:rPr>
          <w:rFonts w:ascii="宋体" w:hAnsi="宋体"/>
          <w:szCs w:val="21"/>
        </w:rPr>
        <w:t>6．本合同有效期为发包人和承包人签署之日起至该工程项目竣工验收后止。</w:t>
      </w:r>
    </w:p>
    <w:p w14:paraId="1E9AB0AE">
      <w:pPr>
        <w:spacing w:line="360" w:lineRule="auto"/>
        <w:ind w:firstLine="420" w:firstLineChars="200"/>
        <w:rPr>
          <w:rFonts w:ascii="宋体" w:hAnsi="宋体"/>
          <w:szCs w:val="21"/>
        </w:rPr>
      </w:pPr>
      <w:r>
        <w:rPr>
          <w:rFonts w:ascii="宋体" w:hAnsi="宋体"/>
          <w:szCs w:val="21"/>
        </w:rPr>
        <w:t>7．本合同作为</w:t>
      </w:r>
      <w:r>
        <w:rPr>
          <w:rFonts w:ascii="宋体" w:hAnsi="宋体"/>
          <w:szCs w:val="21"/>
          <w:u w:val="single"/>
        </w:rPr>
        <w:t xml:space="preserve">            </w:t>
      </w:r>
      <w:r>
        <w:rPr>
          <w:rFonts w:ascii="宋体" w:hAnsi="宋体"/>
          <w:szCs w:val="21"/>
        </w:rPr>
        <w:t>（项目名称）公路养护工程施工合同的附件，与工程施工合同具有同等的法律效力，经合同双方签署立即生效。</w:t>
      </w:r>
    </w:p>
    <w:p w14:paraId="24697EE6">
      <w:pPr>
        <w:spacing w:line="360" w:lineRule="auto"/>
        <w:ind w:firstLine="420" w:firstLineChars="200"/>
        <w:rPr>
          <w:rFonts w:ascii="宋体" w:hAnsi="宋体"/>
          <w:szCs w:val="21"/>
        </w:rPr>
      </w:pPr>
      <w:r>
        <w:rPr>
          <w:rFonts w:ascii="宋体" w:hAnsi="宋体"/>
          <w:szCs w:val="21"/>
        </w:rPr>
        <w:t>8．本合同一式</w:t>
      </w:r>
      <w:r>
        <w:rPr>
          <w:rFonts w:hint="eastAsia" w:ascii="宋体" w:hAnsi="宋体"/>
          <w:szCs w:val="21"/>
        </w:rPr>
        <w:t>两</w:t>
      </w:r>
      <w:r>
        <w:rPr>
          <w:rFonts w:ascii="宋体" w:hAnsi="宋体"/>
          <w:szCs w:val="21"/>
        </w:rPr>
        <w:t>份，由发包人和承包人各执一份。</w:t>
      </w:r>
    </w:p>
    <w:p w14:paraId="233C1205">
      <w:pPr>
        <w:spacing w:line="360" w:lineRule="auto"/>
        <w:ind w:firstLine="420" w:firstLineChars="200"/>
        <w:rPr>
          <w:rFonts w:ascii="宋体" w:hAnsi="宋体"/>
          <w:szCs w:val="21"/>
        </w:rPr>
      </w:pPr>
    </w:p>
    <w:p w14:paraId="18DE3F8C">
      <w:pPr>
        <w:spacing w:line="360" w:lineRule="auto"/>
        <w:rPr>
          <w:rFonts w:ascii="宋体" w:hAnsi="宋体"/>
          <w:szCs w:val="21"/>
        </w:rPr>
      </w:pPr>
      <w:r>
        <w:rPr>
          <w:rFonts w:ascii="宋体" w:hAnsi="宋体"/>
          <w:szCs w:val="21"/>
        </w:rPr>
        <w:t>发包人：</w:t>
      </w:r>
      <w:r>
        <w:rPr>
          <w:rFonts w:ascii="宋体" w:hAnsi="宋体"/>
          <w:szCs w:val="21"/>
          <w:u w:val="single"/>
        </w:rPr>
        <w:t xml:space="preserve">                </w:t>
      </w:r>
      <w:r>
        <w:rPr>
          <w:rFonts w:ascii="宋体" w:hAnsi="宋体"/>
          <w:szCs w:val="21"/>
        </w:rPr>
        <w:t>（盖单位章）   承包人：</w:t>
      </w:r>
      <w:r>
        <w:rPr>
          <w:rFonts w:ascii="宋体" w:hAnsi="宋体"/>
          <w:szCs w:val="21"/>
          <w:u w:val="single"/>
        </w:rPr>
        <w:t xml:space="preserve">                </w:t>
      </w:r>
      <w:r>
        <w:rPr>
          <w:rFonts w:ascii="宋体" w:hAnsi="宋体"/>
          <w:szCs w:val="21"/>
        </w:rPr>
        <w:t>（盖单位章）</w:t>
      </w:r>
    </w:p>
    <w:p w14:paraId="78D6D8DB">
      <w:pPr>
        <w:spacing w:line="360" w:lineRule="auto"/>
        <w:rPr>
          <w:rFonts w:ascii="宋体" w:hAnsi="宋体"/>
          <w:szCs w:val="21"/>
        </w:rPr>
      </w:pPr>
      <w:r>
        <w:rPr>
          <w:rFonts w:ascii="宋体" w:hAnsi="宋体"/>
          <w:szCs w:val="21"/>
        </w:rPr>
        <w:t>法定代表人或其委托代理人：</w:t>
      </w:r>
      <w:r>
        <w:rPr>
          <w:rFonts w:ascii="宋体" w:hAnsi="宋体"/>
          <w:szCs w:val="21"/>
          <w:u w:val="single"/>
        </w:rPr>
        <w:t xml:space="preserve">   </w:t>
      </w:r>
      <w:r>
        <w:rPr>
          <w:rFonts w:ascii="宋体" w:hAnsi="宋体"/>
          <w:szCs w:val="21"/>
        </w:rPr>
        <w:t>（签字）  法定代表人或其委托代理人：</w:t>
      </w:r>
      <w:r>
        <w:rPr>
          <w:rFonts w:ascii="宋体" w:hAnsi="宋体"/>
          <w:szCs w:val="21"/>
          <w:u w:val="single"/>
        </w:rPr>
        <w:t xml:space="preserve">  </w:t>
      </w:r>
      <w:r>
        <w:rPr>
          <w:rFonts w:ascii="宋体" w:hAnsi="宋体"/>
          <w:szCs w:val="21"/>
        </w:rPr>
        <w:t>（签字）</w:t>
      </w:r>
    </w:p>
    <w:p w14:paraId="0F92E0F8">
      <w:pPr>
        <w:spacing w:line="360" w:lineRule="auto"/>
        <w:ind w:firstLine="420" w:firstLineChars="200"/>
        <w:rPr>
          <w:rFonts w:ascii="宋体" w:hAnsi="宋体"/>
          <w:szCs w:val="21"/>
        </w:rPr>
      </w:pPr>
      <w:r>
        <w:rPr>
          <w:rFonts w:ascii="宋体" w:hAnsi="宋体"/>
          <w:szCs w:val="21"/>
          <w:u w:val="single"/>
        </w:rPr>
        <w:t xml:space="preserve">         </w:t>
      </w:r>
      <w:r>
        <w:rPr>
          <w:rFonts w:ascii="宋体" w:hAnsi="宋体"/>
          <w:szCs w:val="21"/>
        </w:rPr>
        <w:t>年</w:t>
      </w:r>
      <w:r>
        <w:rPr>
          <w:rFonts w:ascii="宋体" w:hAnsi="宋体"/>
          <w:szCs w:val="21"/>
          <w:u w:val="single"/>
        </w:rPr>
        <w:t xml:space="preserve">   </w:t>
      </w:r>
      <w:r>
        <w:rPr>
          <w:rFonts w:ascii="宋体" w:hAnsi="宋体"/>
          <w:szCs w:val="21"/>
        </w:rPr>
        <w:t xml:space="preserve">月 </w:t>
      </w:r>
      <w:r>
        <w:rPr>
          <w:rFonts w:ascii="宋体" w:hAnsi="宋体"/>
          <w:szCs w:val="21"/>
          <w:u w:val="single"/>
        </w:rPr>
        <w:t xml:space="preserve">     </w:t>
      </w:r>
      <w:r>
        <w:rPr>
          <w:rFonts w:ascii="宋体" w:hAnsi="宋体"/>
          <w:szCs w:val="21"/>
        </w:rPr>
        <w:t xml:space="preserve"> 日          </w:t>
      </w:r>
      <w:r>
        <w:rPr>
          <w:rFonts w:ascii="宋体" w:hAnsi="宋体"/>
          <w:szCs w:val="21"/>
          <w:u w:val="single"/>
        </w:rPr>
        <w:t xml:space="preserve">        </w:t>
      </w:r>
      <w:r>
        <w:rPr>
          <w:rFonts w:ascii="宋体" w:hAnsi="宋体"/>
          <w:szCs w:val="21"/>
        </w:rPr>
        <w:t>年</w:t>
      </w:r>
      <w:r>
        <w:rPr>
          <w:rFonts w:ascii="宋体" w:hAnsi="宋体"/>
          <w:szCs w:val="21"/>
          <w:u w:val="single"/>
        </w:rPr>
        <w:t xml:space="preserve">    </w:t>
      </w:r>
      <w:r>
        <w:rPr>
          <w:rFonts w:ascii="宋体" w:hAnsi="宋体"/>
          <w:szCs w:val="21"/>
        </w:rPr>
        <w:t xml:space="preserve">月 </w:t>
      </w:r>
      <w:r>
        <w:rPr>
          <w:rFonts w:ascii="宋体" w:hAnsi="宋体"/>
          <w:szCs w:val="21"/>
          <w:u w:val="single"/>
        </w:rPr>
        <w:t xml:space="preserve">      </w:t>
      </w:r>
      <w:r>
        <w:rPr>
          <w:rFonts w:ascii="宋体" w:hAnsi="宋体"/>
          <w:szCs w:val="21"/>
        </w:rPr>
        <w:t>日</w:t>
      </w:r>
    </w:p>
    <w:p w14:paraId="046BFF10">
      <w:pPr>
        <w:spacing w:line="360" w:lineRule="auto"/>
        <w:rPr>
          <w:rFonts w:ascii="宋体" w:hAnsi="宋体"/>
          <w:szCs w:val="21"/>
          <w:u w:val="single"/>
        </w:rPr>
      </w:pPr>
    </w:p>
    <w:p w14:paraId="768D53B1">
      <w:pPr>
        <w:spacing w:line="360" w:lineRule="auto"/>
        <w:rPr>
          <w:rFonts w:ascii="宋体" w:hAnsi="宋体"/>
          <w:szCs w:val="21"/>
          <w:u w:val="single"/>
        </w:rPr>
      </w:pPr>
    </w:p>
    <w:p w14:paraId="1BE2C94B">
      <w:pPr>
        <w:spacing w:line="360" w:lineRule="auto"/>
        <w:rPr>
          <w:rFonts w:ascii="宋体" w:hAnsi="宋体"/>
          <w:szCs w:val="21"/>
          <w:u w:val="single"/>
        </w:rPr>
      </w:pPr>
    </w:p>
    <w:p w14:paraId="129276BC">
      <w:pPr>
        <w:spacing w:line="360" w:lineRule="auto"/>
        <w:rPr>
          <w:rFonts w:ascii="宋体" w:hAnsi="宋体"/>
          <w:szCs w:val="21"/>
          <w:u w:val="single"/>
        </w:rPr>
      </w:pPr>
    </w:p>
    <w:p w14:paraId="7B222273">
      <w:pPr>
        <w:spacing w:line="360" w:lineRule="auto"/>
        <w:rPr>
          <w:rFonts w:ascii="宋体" w:hAnsi="宋体"/>
          <w:szCs w:val="21"/>
          <w:u w:val="single"/>
        </w:rPr>
      </w:pPr>
    </w:p>
    <w:p w14:paraId="1A783435">
      <w:pPr>
        <w:spacing w:line="360" w:lineRule="auto"/>
        <w:rPr>
          <w:rFonts w:ascii="宋体" w:hAnsi="宋体"/>
          <w:szCs w:val="21"/>
        </w:rPr>
      </w:pPr>
    </w:p>
    <w:p w14:paraId="25DE95A6">
      <w:pPr>
        <w:spacing w:line="360" w:lineRule="auto"/>
        <w:rPr>
          <w:rFonts w:ascii="宋体" w:hAnsi="宋体"/>
          <w:szCs w:val="21"/>
        </w:rPr>
      </w:pPr>
    </w:p>
    <w:p w14:paraId="6D8C6517">
      <w:pPr>
        <w:spacing w:line="360" w:lineRule="auto"/>
        <w:rPr>
          <w:rFonts w:ascii="宋体" w:hAnsi="宋体"/>
          <w:szCs w:val="21"/>
        </w:rPr>
      </w:pPr>
    </w:p>
    <w:p w14:paraId="33062D5C">
      <w:pPr>
        <w:spacing w:line="360" w:lineRule="auto"/>
        <w:rPr>
          <w:rFonts w:ascii="宋体" w:hAnsi="宋体"/>
          <w:szCs w:val="21"/>
        </w:rPr>
      </w:pPr>
    </w:p>
    <w:p w14:paraId="36768FEB">
      <w:pPr>
        <w:spacing w:line="360" w:lineRule="auto"/>
        <w:rPr>
          <w:rFonts w:ascii="宋体" w:hAnsi="宋体"/>
          <w:szCs w:val="21"/>
        </w:rPr>
      </w:pPr>
    </w:p>
    <w:p w14:paraId="4E0C9A6A">
      <w:pPr>
        <w:pStyle w:val="2"/>
        <w:numPr>
          <w:ilvl w:val="0"/>
          <w:numId w:val="0"/>
        </w:numPr>
        <w:spacing w:before="120" w:beforeLines="50" w:after="120" w:afterLines="50" w:line="360" w:lineRule="auto"/>
        <w:ind w:leftChars="0"/>
        <w:rPr>
          <w:rFonts w:ascii="宋体" w:hAnsi="宋体"/>
          <w:sz w:val="24"/>
          <w:szCs w:val="24"/>
        </w:rPr>
      </w:pPr>
      <w:bookmarkStart w:id="637" w:name="_Toc481441790"/>
      <w:bookmarkStart w:id="638" w:name="_Toc234382946"/>
      <w:bookmarkStart w:id="639" w:name="_Toc482371684"/>
      <w:r>
        <w:rPr>
          <w:rFonts w:ascii="宋体" w:hAnsi="宋体"/>
          <w:sz w:val="24"/>
          <w:szCs w:val="24"/>
        </w:rPr>
        <w:br w:type="page"/>
      </w:r>
      <w:bookmarkStart w:id="640" w:name="_Toc18194"/>
      <w:r>
        <w:rPr>
          <w:rFonts w:ascii="宋体" w:hAnsi="宋体"/>
          <w:sz w:val="24"/>
          <w:szCs w:val="24"/>
        </w:rPr>
        <w:t>附件三  安全生产合同</w:t>
      </w:r>
      <w:bookmarkEnd w:id="637"/>
      <w:bookmarkEnd w:id="638"/>
      <w:bookmarkEnd w:id="639"/>
      <w:bookmarkEnd w:id="640"/>
    </w:p>
    <w:p w14:paraId="4BDF680B">
      <w:pPr>
        <w:spacing w:before="120" w:after="120" w:line="360" w:lineRule="auto"/>
        <w:jc w:val="center"/>
        <w:rPr>
          <w:rFonts w:ascii="宋体" w:hAnsi="宋体"/>
          <w:b/>
          <w:sz w:val="32"/>
          <w:szCs w:val="32"/>
        </w:rPr>
      </w:pPr>
      <w:r>
        <w:rPr>
          <w:rFonts w:ascii="宋体" w:hAnsi="宋体"/>
          <w:b/>
          <w:sz w:val="32"/>
          <w:szCs w:val="32"/>
        </w:rPr>
        <w:t>安全生产合同</w:t>
      </w:r>
    </w:p>
    <w:p w14:paraId="2F4A3164">
      <w:pPr>
        <w:widowControl/>
        <w:shd w:val="clear" w:color="auto" w:fill="FFFFFF"/>
        <w:spacing w:line="360" w:lineRule="auto"/>
        <w:ind w:firstLine="420" w:firstLineChars="200"/>
        <w:jc w:val="left"/>
        <w:rPr>
          <w:rFonts w:ascii="宋体" w:hAnsi="宋体"/>
          <w:kern w:val="0"/>
          <w:szCs w:val="21"/>
        </w:rPr>
      </w:pPr>
      <w:r>
        <w:rPr>
          <w:rFonts w:ascii="宋体" w:hAnsi="宋体"/>
          <w:kern w:val="0"/>
          <w:szCs w:val="21"/>
        </w:rPr>
        <w:t>为在</w:t>
      </w:r>
      <w:r>
        <w:rPr>
          <w:rFonts w:ascii="宋体" w:hAnsi="宋体"/>
          <w:kern w:val="0"/>
          <w:szCs w:val="21"/>
          <w:u w:val="single"/>
        </w:rPr>
        <w:t xml:space="preserve">               </w:t>
      </w:r>
      <w:r>
        <w:rPr>
          <w:rFonts w:ascii="宋体" w:hAnsi="宋体"/>
          <w:kern w:val="0"/>
          <w:szCs w:val="21"/>
        </w:rPr>
        <w:t>（项目名称）</w:t>
      </w:r>
      <w:r>
        <w:rPr>
          <w:rFonts w:ascii="宋体" w:hAnsi="宋体"/>
          <w:kern w:val="0"/>
          <w:szCs w:val="21"/>
          <w:u w:val="single"/>
        </w:rPr>
        <w:t xml:space="preserve">   </w:t>
      </w:r>
      <w:r>
        <w:rPr>
          <w:rFonts w:hint="eastAsia" w:ascii="宋体" w:hAnsi="宋体"/>
          <w:kern w:val="0"/>
          <w:szCs w:val="21"/>
          <w:u w:val="single"/>
          <w:lang w:val="en-US" w:eastAsia="zh-CN"/>
        </w:rPr>
        <w:t>/</w:t>
      </w:r>
      <w:r>
        <w:rPr>
          <w:rFonts w:ascii="宋体" w:hAnsi="宋体"/>
          <w:kern w:val="0"/>
          <w:szCs w:val="21"/>
          <w:u w:val="single"/>
        </w:rPr>
        <w:t xml:space="preserve">   </w:t>
      </w:r>
      <w:r>
        <w:rPr>
          <w:rFonts w:ascii="宋体" w:hAnsi="宋体"/>
          <w:kern w:val="0"/>
          <w:szCs w:val="21"/>
        </w:rPr>
        <w:t>标段公路养护施工合同的实施过程中创造安全、高效的施工环境，切实搞好本项目的安全</w:t>
      </w:r>
      <w:r>
        <w:rPr>
          <w:rFonts w:ascii="宋体" w:hAnsi="宋体"/>
          <w:kern w:val="0"/>
          <w:szCs w:val="21"/>
        </w:rPr>
        <w:fldChar w:fldCharType="begin"/>
      </w:r>
      <w:r>
        <w:rPr>
          <w:rFonts w:ascii="宋体" w:hAnsi="宋体"/>
          <w:kern w:val="0"/>
          <w:szCs w:val="21"/>
        </w:rPr>
        <w:instrText xml:space="preserve"> HYPERLINK "http://lwcool.com/lw/showcls.asp?id=162&amp;parent=0" </w:instrText>
      </w:r>
      <w:r>
        <w:rPr>
          <w:rFonts w:ascii="宋体" w:hAnsi="宋体"/>
          <w:kern w:val="0"/>
          <w:szCs w:val="21"/>
        </w:rPr>
        <w:fldChar w:fldCharType="separate"/>
      </w:r>
      <w:r>
        <w:rPr>
          <w:rFonts w:ascii="宋体" w:hAnsi="宋体"/>
          <w:kern w:val="0"/>
          <w:szCs w:val="21"/>
        </w:rPr>
        <w:t>管理</w:t>
      </w:r>
      <w:r>
        <w:rPr>
          <w:rFonts w:ascii="宋体" w:hAnsi="宋体"/>
          <w:kern w:val="0"/>
          <w:szCs w:val="21"/>
        </w:rPr>
        <w:fldChar w:fldCharType="end"/>
      </w:r>
      <w:r>
        <w:rPr>
          <w:rFonts w:ascii="宋体" w:hAnsi="宋体"/>
          <w:kern w:val="0"/>
          <w:szCs w:val="21"/>
        </w:rPr>
        <w:t>工作，本项目发包人</w:t>
      </w:r>
      <w:r>
        <w:rPr>
          <w:rFonts w:ascii="宋体" w:hAnsi="宋体"/>
          <w:kern w:val="0"/>
          <w:szCs w:val="21"/>
          <w:u w:val="single"/>
        </w:rPr>
        <w:t xml:space="preserve">           </w:t>
      </w:r>
      <w:r>
        <w:rPr>
          <w:rFonts w:ascii="宋体" w:hAnsi="宋体"/>
          <w:kern w:val="0"/>
          <w:szCs w:val="21"/>
        </w:rPr>
        <w:t>（发包人名称，以下简称“发包人”）与承包人</w:t>
      </w:r>
      <w:r>
        <w:rPr>
          <w:rFonts w:ascii="宋体" w:hAnsi="宋体"/>
          <w:kern w:val="0"/>
          <w:szCs w:val="21"/>
          <w:u w:val="single"/>
        </w:rPr>
        <w:t xml:space="preserve">          </w:t>
      </w:r>
      <w:r>
        <w:rPr>
          <w:rFonts w:ascii="宋体" w:hAnsi="宋体"/>
          <w:kern w:val="0"/>
          <w:szCs w:val="21"/>
        </w:rPr>
        <w:t>（承包人名称，以下简称“承包人”）特此签订安全生产合同：</w:t>
      </w:r>
    </w:p>
    <w:p w14:paraId="798D0A1F">
      <w:pPr>
        <w:spacing w:line="360" w:lineRule="auto"/>
        <w:ind w:firstLine="420" w:firstLineChars="200"/>
        <w:rPr>
          <w:rFonts w:ascii="宋体" w:hAnsi="宋体"/>
          <w:kern w:val="0"/>
          <w:szCs w:val="21"/>
        </w:rPr>
      </w:pPr>
      <w:r>
        <w:rPr>
          <w:rFonts w:ascii="宋体" w:hAnsi="宋体"/>
          <w:kern w:val="0"/>
          <w:szCs w:val="21"/>
        </w:rPr>
        <w:t>1．发包人职责</w:t>
      </w:r>
    </w:p>
    <w:p w14:paraId="2A09283E">
      <w:pPr>
        <w:widowControl/>
        <w:shd w:val="clear" w:color="auto" w:fill="FFFFFF"/>
        <w:spacing w:line="360" w:lineRule="auto"/>
        <w:ind w:firstLine="420" w:firstLineChars="200"/>
        <w:jc w:val="left"/>
        <w:rPr>
          <w:rFonts w:hint="eastAsia" w:ascii="宋体" w:hAnsi="宋体" w:cs="宋体"/>
          <w:kern w:val="0"/>
          <w:szCs w:val="21"/>
        </w:rPr>
      </w:pPr>
      <w:r>
        <w:rPr>
          <w:rFonts w:hint="eastAsia" w:ascii="宋体" w:hAnsi="宋体" w:cs="宋体"/>
          <w:kern w:val="0"/>
          <w:szCs w:val="21"/>
        </w:rPr>
        <w:t>（1）严格遵守国家有关安全生产的</w:t>
      </w:r>
      <w:r>
        <w:rPr>
          <w:rFonts w:hint="eastAsia" w:ascii="宋体" w:hAnsi="宋体" w:cs="宋体"/>
          <w:kern w:val="0"/>
          <w:szCs w:val="21"/>
        </w:rPr>
        <w:fldChar w:fldCharType="begin"/>
      </w:r>
      <w:r>
        <w:rPr>
          <w:rFonts w:hint="eastAsia" w:ascii="宋体" w:hAnsi="宋体" w:cs="宋体"/>
          <w:kern w:val="0"/>
          <w:szCs w:val="21"/>
        </w:rPr>
        <w:instrText xml:space="preserve"> HYPERLINK "http://lwcool.com/lw/showcls.asp?id=4&amp;parent=0" </w:instrText>
      </w:r>
      <w:r>
        <w:rPr>
          <w:rFonts w:hint="eastAsia" w:ascii="宋体" w:hAnsi="宋体" w:cs="宋体"/>
          <w:kern w:val="0"/>
          <w:szCs w:val="21"/>
        </w:rPr>
        <w:fldChar w:fldCharType="separate"/>
      </w:r>
      <w:r>
        <w:rPr>
          <w:rFonts w:hint="eastAsia" w:ascii="宋体" w:hAnsi="宋体" w:cs="宋体"/>
          <w:kern w:val="0"/>
          <w:szCs w:val="21"/>
        </w:rPr>
        <w:t>法律</w:t>
      </w:r>
      <w:r>
        <w:rPr>
          <w:rFonts w:hint="eastAsia" w:ascii="宋体" w:hAnsi="宋体" w:cs="宋体"/>
          <w:kern w:val="0"/>
          <w:szCs w:val="21"/>
        </w:rPr>
        <w:fldChar w:fldCharType="end"/>
      </w:r>
      <w:r>
        <w:rPr>
          <w:rFonts w:hint="eastAsia" w:ascii="宋体" w:hAnsi="宋体" w:cs="宋体"/>
          <w:kern w:val="0"/>
          <w:szCs w:val="21"/>
        </w:rPr>
        <w:t>法规，认真执行工程承包合同中的有关安全要求。</w:t>
      </w:r>
    </w:p>
    <w:p w14:paraId="4F10351A">
      <w:pPr>
        <w:widowControl/>
        <w:shd w:val="clear" w:color="auto" w:fill="FFFFFF"/>
        <w:spacing w:line="360" w:lineRule="auto"/>
        <w:ind w:firstLine="420" w:firstLineChars="200"/>
        <w:jc w:val="left"/>
        <w:rPr>
          <w:rFonts w:hint="eastAsia" w:ascii="宋体" w:hAnsi="宋体" w:cs="宋体"/>
          <w:kern w:val="0"/>
          <w:szCs w:val="21"/>
        </w:rPr>
      </w:pPr>
      <w:r>
        <w:rPr>
          <w:rFonts w:hint="eastAsia" w:ascii="宋体" w:hAnsi="宋体" w:cs="宋体"/>
          <w:kern w:val="0"/>
          <w:szCs w:val="21"/>
        </w:rPr>
        <w:t>（2）按照“安全第一、预防为主、综合治理”和坚持“管行业必须管安全、管业务必须管安全、管生产必须管安全”的原则进行安全生产管理，做到生产与安全工作同时计划、布置、检查、总结和评比。</w:t>
      </w:r>
    </w:p>
    <w:p w14:paraId="2199766F">
      <w:pPr>
        <w:widowControl/>
        <w:shd w:val="clear" w:color="auto" w:fill="FFFFFF"/>
        <w:spacing w:line="360" w:lineRule="auto"/>
        <w:ind w:firstLine="420" w:firstLineChars="200"/>
        <w:jc w:val="left"/>
        <w:rPr>
          <w:rFonts w:hint="eastAsia" w:ascii="宋体" w:hAnsi="宋体" w:cs="宋体"/>
          <w:kern w:val="0"/>
          <w:szCs w:val="21"/>
        </w:rPr>
      </w:pPr>
      <w:r>
        <w:rPr>
          <w:rFonts w:hint="eastAsia" w:ascii="宋体" w:hAnsi="宋体" w:cs="宋体"/>
          <w:kern w:val="0"/>
          <w:szCs w:val="21"/>
        </w:rPr>
        <w:t>（3）重要的安全设施必须坚持与主体工程“三同时”的原则，即：同同时设计、同时施工、同时投入生产和使用。</w:t>
      </w:r>
    </w:p>
    <w:p w14:paraId="635EAAB9">
      <w:pPr>
        <w:widowControl/>
        <w:shd w:val="clear" w:color="auto" w:fill="FFFFFF"/>
        <w:spacing w:line="360" w:lineRule="auto"/>
        <w:ind w:firstLine="420" w:firstLineChars="200"/>
        <w:jc w:val="left"/>
        <w:rPr>
          <w:rFonts w:hint="eastAsia" w:ascii="宋体" w:hAnsi="宋体" w:cs="宋体"/>
          <w:kern w:val="0"/>
          <w:szCs w:val="21"/>
        </w:rPr>
      </w:pPr>
      <w:r>
        <w:rPr>
          <w:rFonts w:hint="eastAsia" w:ascii="宋体" w:hAnsi="宋体" w:cs="宋体"/>
          <w:kern w:val="0"/>
          <w:szCs w:val="21"/>
        </w:rPr>
        <w:t>（4）定期召开安全生产调度会，及时传达中央及地方有关安全生产的精神。</w:t>
      </w:r>
    </w:p>
    <w:p w14:paraId="046F6C93">
      <w:pPr>
        <w:widowControl/>
        <w:shd w:val="clear" w:color="auto" w:fill="FFFFFF"/>
        <w:spacing w:line="360" w:lineRule="auto"/>
        <w:ind w:firstLine="420" w:firstLineChars="200"/>
        <w:jc w:val="left"/>
        <w:rPr>
          <w:rFonts w:hint="eastAsia" w:ascii="宋体" w:hAnsi="宋体" w:cs="宋体"/>
          <w:kern w:val="0"/>
          <w:szCs w:val="21"/>
        </w:rPr>
      </w:pPr>
      <w:r>
        <w:rPr>
          <w:rFonts w:hint="eastAsia" w:ascii="宋体" w:hAnsi="宋体" w:cs="宋体"/>
          <w:kern w:val="0"/>
          <w:szCs w:val="21"/>
        </w:rPr>
        <w:t>（5）组织对承包人施工现场进行安全生产检查，监督承包人及时处理发现的各种安全隐患。</w:t>
      </w:r>
    </w:p>
    <w:p w14:paraId="3BBB874A">
      <w:pPr>
        <w:spacing w:line="360" w:lineRule="auto"/>
        <w:ind w:firstLine="420" w:firstLineChars="200"/>
        <w:rPr>
          <w:rFonts w:hint="eastAsia" w:ascii="宋体" w:hAnsi="宋体" w:cs="宋体"/>
          <w:kern w:val="0"/>
          <w:szCs w:val="21"/>
        </w:rPr>
      </w:pPr>
      <w:r>
        <w:rPr>
          <w:rFonts w:hint="eastAsia" w:ascii="宋体" w:hAnsi="宋体" w:cs="宋体"/>
          <w:kern w:val="0"/>
          <w:szCs w:val="21"/>
        </w:rPr>
        <w:t>2．承包人职责</w:t>
      </w:r>
    </w:p>
    <w:p w14:paraId="247C714E">
      <w:pPr>
        <w:tabs>
          <w:tab w:val="left" w:pos="2790"/>
        </w:tabs>
        <w:spacing w:line="360" w:lineRule="auto"/>
        <w:ind w:firstLine="420" w:firstLineChars="200"/>
        <w:rPr>
          <w:rFonts w:hint="eastAsia" w:ascii="宋体" w:hAnsi="宋体" w:cs="宋体"/>
          <w:szCs w:val="21"/>
        </w:rPr>
      </w:pPr>
      <w:r>
        <w:rPr>
          <w:rFonts w:hint="eastAsia" w:ascii="宋体" w:hAnsi="宋体" w:cs="宋体"/>
          <w:szCs w:val="21"/>
        </w:rPr>
        <w:t>(1)严格遵守《中华人民共和国安全生产法》、《建设工程安全生产管理条例》等国家有关安全生产的法律法规、《公路水运工程安全生产监督管理办法》、《公路工程施工安全技术规范》、《公路筑养路机械操作规程》和发包人及上级部门等有关安全生产的规定。认真执行工程承包合同中的有关安全要求，承担服务期间一切安全责任。</w:t>
      </w:r>
    </w:p>
    <w:p w14:paraId="21A4A75C">
      <w:pPr>
        <w:tabs>
          <w:tab w:val="left" w:pos="2790"/>
        </w:tabs>
        <w:spacing w:line="360" w:lineRule="auto"/>
        <w:ind w:firstLine="420" w:firstLineChars="200"/>
        <w:rPr>
          <w:rFonts w:hint="eastAsia" w:ascii="宋体" w:hAnsi="宋体" w:cs="宋体"/>
          <w:szCs w:val="21"/>
        </w:rPr>
      </w:pPr>
      <w:r>
        <w:rPr>
          <w:rFonts w:hint="eastAsia" w:ascii="宋体" w:hAnsi="宋体" w:cs="宋体"/>
          <w:szCs w:val="21"/>
        </w:rPr>
        <w:t>(2)坚持“安全第一、预防为主、综合治理”和“管行业必须管安全、管业务必须管安全、管生产必须管安全”的原则，加强安全生产宣传教育，增强全员安全生产意识，建立健全各项安全生产的管理机构和安全生产管理制度，配备专职及兼职安全检查人员，有组织有领导地开展安全生产活动。各级领导、工程技术人员、生产管理人员和具体操作人员，必须熟悉和遵守本合同的各项规定，做到生产与安全工作同时计划、布置、检查、总结和评比。</w:t>
      </w:r>
    </w:p>
    <w:p w14:paraId="37FF5871">
      <w:pPr>
        <w:tabs>
          <w:tab w:val="left" w:pos="2790"/>
        </w:tabs>
        <w:spacing w:line="360" w:lineRule="auto"/>
        <w:ind w:firstLine="420" w:firstLineChars="200"/>
        <w:rPr>
          <w:rFonts w:hint="eastAsia" w:ascii="宋体" w:hAnsi="宋体" w:cs="宋体"/>
          <w:szCs w:val="21"/>
        </w:rPr>
      </w:pPr>
      <w:r>
        <w:rPr>
          <w:rFonts w:hint="eastAsia" w:ascii="宋体" w:hAnsi="宋体" w:cs="宋体"/>
          <w:szCs w:val="21"/>
        </w:rPr>
        <w:t>(3)建立健全全员安全生产责任制。从派往项目实施的项目经理到生产工人(包括临时雇请的民工)的安全生产管理系统必须做到纵向到底，一环不漏；各职能部门、人员的安全生产责任制做到横向到边，人人有责。项目经理是安全生产的第一责任人。现场设置的安全机构，专职负责所有员工的安全和治安保卫工作及预防事故的发生。安全机构人员有权按有关规定发布指令，并采取保护性措施防止事故发生。</w:t>
      </w:r>
    </w:p>
    <w:p w14:paraId="7B44CC07">
      <w:pPr>
        <w:tabs>
          <w:tab w:val="left" w:pos="2790"/>
        </w:tabs>
        <w:spacing w:line="360" w:lineRule="auto"/>
        <w:ind w:firstLine="420" w:firstLineChars="200"/>
        <w:rPr>
          <w:rFonts w:hint="eastAsia" w:ascii="宋体" w:hAnsi="宋体" w:cs="宋体"/>
          <w:szCs w:val="21"/>
        </w:rPr>
      </w:pPr>
      <w:r>
        <w:rPr>
          <w:rFonts w:hint="eastAsia" w:ascii="宋体" w:hAnsi="宋体" w:cs="宋体"/>
          <w:szCs w:val="21"/>
        </w:rPr>
        <w:t>(4)承包人在任何时候都应采取各种合理的预防措施，防止其员工发生任何违法、违禁、暴力或妨碍治安的行为。</w:t>
      </w:r>
    </w:p>
    <w:p w14:paraId="4E267A0E">
      <w:pPr>
        <w:tabs>
          <w:tab w:val="left" w:pos="2790"/>
        </w:tabs>
        <w:spacing w:line="360" w:lineRule="auto"/>
        <w:ind w:firstLine="420" w:firstLineChars="200"/>
        <w:rPr>
          <w:rFonts w:hint="eastAsia" w:ascii="宋体" w:hAnsi="宋体" w:cs="宋体"/>
          <w:szCs w:val="21"/>
        </w:rPr>
      </w:pPr>
      <w:r>
        <w:rPr>
          <w:rFonts w:hint="eastAsia" w:ascii="宋体" w:hAnsi="宋体" w:cs="宋体"/>
          <w:szCs w:val="21"/>
        </w:rPr>
        <w:t>(5)承包人参加施工的人员，必须接受安全技术教育，熟知和遵守本工种的各项安全技术操作规程，定期进行安全技术考核，合格者方准上岗操作。对于从事电气、起重、建筑登高架设作业、锅炉、压力容器、焊接、机动车船艇驾驶、爆破、潜水、瓦斯检验等特殊工种的人员，经过专业培训，获得《安全操作合格证》后，方准持证上岗。施工现场如出现特种作业无证操作现象时，项目经理必须承担管理责任。</w:t>
      </w:r>
    </w:p>
    <w:p w14:paraId="1DD8637F">
      <w:pPr>
        <w:tabs>
          <w:tab w:val="left" w:pos="2790"/>
        </w:tabs>
        <w:spacing w:line="360" w:lineRule="auto"/>
        <w:ind w:firstLine="420" w:firstLineChars="200"/>
        <w:rPr>
          <w:rFonts w:hint="eastAsia" w:ascii="宋体" w:hAnsi="宋体" w:cs="宋体"/>
          <w:szCs w:val="21"/>
        </w:rPr>
      </w:pPr>
      <w:r>
        <w:rPr>
          <w:rFonts w:hint="eastAsia" w:ascii="宋体" w:hAnsi="宋体" w:cs="宋体"/>
          <w:szCs w:val="21"/>
        </w:rPr>
        <w:t>(6)对于易燃易爆的材料除应专门妥善保管之外，还应配备有足够的消防设施，所有施工人员都应熟悉消防设备的性能和使用方法；承包人不得将任何种类的爆炸物给予、易货或以其他方式转让给任何其他人，或允许、容忍上述同样行为。</w:t>
      </w:r>
    </w:p>
    <w:p w14:paraId="307FB43C">
      <w:pPr>
        <w:tabs>
          <w:tab w:val="left" w:pos="2790"/>
        </w:tabs>
        <w:spacing w:line="360" w:lineRule="auto"/>
        <w:ind w:firstLine="420" w:firstLineChars="200"/>
        <w:rPr>
          <w:rFonts w:hint="eastAsia" w:ascii="宋体" w:hAnsi="宋体" w:cs="宋体"/>
          <w:szCs w:val="21"/>
        </w:rPr>
      </w:pPr>
      <w:r>
        <w:rPr>
          <w:rFonts w:hint="eastAsia" w:ascii="宋体" w:hAnsi="宋体" w:cs="宋体"/>
          <w:szCs w:val="21"/>
        </w:rPr>
        <w:t>(7)操作人员上岗，必须按规定穿戴防护用品。施工负责人和安全检查员应随时检查劳动防护用品的穿戴情况，不按规定穿戴防护用品的人员不得上岗。</w:t>
      </w:r>
    </w:p>
    <w:p w14:paraId="1F8AAD87">
      <w:pPr>
        <w:tabs>
          <w:tab w:val="left" w:pos="2790"/>
        </w:tabs>
        <w:spacing w:line="360" w:lineRule="auto"/>
        <w:ind w:firstLine="420" w:firstLineChars="200"/>
        <w:rPr>
          <w:rFonts w:hint="eastAsia" w:ascii="宋体" w:hAnsi="宋体" w:cs="宋体"/>
          <w:szCs w:val="21"/>
        </w:rPr>
      </w:pPr>
      <w:r>
        <w:rPr>
          <w:rFonts w:hint="eastAsia" w:ascii="宋体" w:hAnsi="宋体" w:cs="宋体"/>
          <w:szCs w:val="21"/>
        </w:rPr>
        <w:t>(8)所有施工机具设备和高空作业的设备均应定期检查，并有安全员的签字记录，保证其经常处于完好状态；不合格的机具、设备和劳动保护用品严禁使用。</w:t>
      </w:r>
    </w:p>
    <w:p w14:paraId="71994144">
      <w:pPr>
        <w:tabs>
          <w:tab w:val="left" w:pos="2790"/>
        </w:tabs>
        <w:spacing w:line="360" w:lineRule="auto"/>
        <w:ind w:firstLine="420" w:firstLineChars="200"/>
        <w:rPr>
          <w:rFonts w:hint="eastAsia" w:ascii="宋体" w:hAnsi="宋体" w:cs="宋体"/>
          <w:szCs w:val="21"/>
        </w:rPr>
      </w:pPr>
      <w:r>
        <w:rPr>
          <w:rFonts w:hint="eastAsia" w:ascii="宋体" w:hAnsi="宋体" w:cs="宋体"/>
          <w:szCs w:val="21"/>
        </w:rPr>
        <w:t>(9)施工中采用新技术、新工艺、新设备、新材料时，必须制定相应的安全技术措施，施工现场必须具有相关的安全标志牌。</w:t>
      </w:r>
    </w:p>
    <w:p w14:paraId="30795073">
      <w:pPr>
        <w:tabs>
          <w:tab w:val="left" w:pos="2790"/>
        </w:tabs>
        <w:spacing w:line="360" w:lineRule="auto"/>
        <w:ind w:firstLine="420" w:firstLineChars="200"/>
        <w:rPr>
          <w:rFonts w:hint="eastAsia" w:ascii="宋体" w:hAnsi="宋体" w:cs="宋体"/>
          <w:szCs w:val="21"/>
        </w:rPr>
      </w:pPr>
      <w:r>
        <w:rPr>
          <w:rFonts w:hint="eastAsia" w:ascii="宋体" w:hAnsi="宋体" w:cs="宋体"/>
          <w:szCs w:val="21"/>
        </w:rPr>
        <w:t>(10)</w:t>
      </w:r>
      <w:r>
        <w:rPr>
          <w:rFonts w:hint="eastAsia" w:ascii="宋体" w:hAnsi="宋体" w:cs="宋体"/>
          <w:spacing w:val="-4"/>
          <w:szCs w:val="21"/>
        </w:rPr>
        <w:t>承包人必须按照本工程项目特点，组织制定本工程实施中的生产安全事故应急救援预案；如果发生安全事故，应按照《国务院关于特大安全事故行政责任追究的规定》以及其他有关规定，及时上报有关部门，并坚持“四不放过”的原则，严肃处理相关责任人</w:t>
      </w:r>
      <w:r>
        <w:rPr>
          <w:rFonts w:hint="eastAsia" w:ascii="宋体" w:hAnsi="宋体" w:cs="宋体"/>
          <w:szCs w:val="21"/>
        </w:rPr>
        <w:t>。</w:t>
      </w:r>
    </w:p>
    <w:p w14:paraId="77539E3D">
      <w:pPr>
        <w:tabs>
          <w:tab w:val="left" w:pos="2790"/>
        </w:tabs>
        <w:spacing w:line="360" w:lineRule="auto"/>
        <w:ind w:firstLine="420" w:firstLineChars="200"/>
        <w:rPr>
          <w:rFonts w:hint="eastAsia" w:ascii="宋体" w:hAnsi="宋体" w:cs="宋体"/>
          <w:szCs w:val="21"/>
        </w:rPr>
      </w:pPr>
      <w:r>
        <w:rPr>
          <w:rFonts w:hint="eastAsia" w:ascii="宋体" w:hAnsi="宋体" w:cs="宋体"/>
          <w:szCs w:val="21"/>
        </w:rPr>
        <w:t>(11)安全生产费按照浙交〔2021〕12号省交通运输厅关于印发《浙江省交通建设工程安全生产费用管理办法》的通知等的相关规定使用和管理。</w:t>
      </w:r>
    </w:p>
    <w:p w14:paraId="47F2F195">
      <w:pPr>
        <w:spacing w:line="360" w:lineRule="auto"/>
        <w:ind w:firstLine="420" w:firstLineChars="200"/>
        <w:rPr>
          <w:rFonts w:ascii="宋体" w:hAnsi="宋体"/>
          <w:kern w:val="0"/>
          <w:szCs w:val="21"/>
        </w:rPr>
      </w:pPr>
      <w:r>
        <w:rPr>
          <w:rFonts w:ascii="宋体" w:hAnsi="宋体"/>
          <w:kern w:val="0"/>
          <w:szCs w:val="21"/>
        </w:rPr>
        <w:t>3．违约责任</w:t>
      </w:r>
    </w:p>
    <w:p w14:paraId="5FE59D48">
      <w:pPr>
        <w:widowControl/>
        <w:shd w:val="clear" w:color="auto" w:fill="FFFFFF"/>
        <w:spacing w:line="360" w:lineRule="auto"/>
        <w:ind w:firstLine="420" w:firstLineChars="200"/>
        <w:jc w:val="left"/>
        <w:rPr>
          <w:rFonts w:ascii="宋体" w:hAnsi="宋体"/>
          <w:kern w:val="0"/>
          <w:szCs w:val="21"/>
        </w:rPr>
      </w:pPr>
      <w:r>
        <w:rPr>
          <w:rFonts w:ascii="宋体" w:hAnsi="宋体"/>
          <w:kern w:val="0"/>
          <w:szCs w:val="21"/>
        </w:rPr>
        <w:t>如因发包人或承包人违约造成安全事故，将依法追究责任。</w:t>
      </w:r>
    </w:p>
    <w:p w14:paraId="2F82D82E">
      <w:pPr>
        <w:widowControl/>
        <w:shd w:val="clear" w:color="auto" w:fill="FFFFFF"/>
        <w:spacing w:line="360" w:lineRule="auto"/>
        <w:ind w:firstLine="420" w:firstLineChars="200"/>
        <w:jc w:val="left"/>
        <w:rPr>
          <w:rFonts w:ascii="宋体" w:hAnsi="宋体"/>
          <w:kern w:val="0"/>
          <w:szCs w:val="21"/>
        </w:rPr>
      </w:pPr>
      <w:r>
        <w:rPr>
          <w:rFonts w:ascii="宋体" w:hAnsi="宋体"/>
          <w:kern w:val="0"/>
          <w:szCs w:val="21"/>
        </w:rPr>
        <w:t>4．本合同由双方法定代表人或其授权的代理人签署并加盖单位章后生效，全部工程竣工验收后失效。</w:t>
      </w:r>
    </w:p>
    <w:p w14:paraId="28D73296">
      <w:pPr>
        <w:spacing w:line="360" w:lineRule="auto"/>
        <w:ind w:firstLine="420" w:firstLineChars="200"/>
        <w:rPr>
          <w:rFonts w:ascii="宋体" w:hAnsi="宋体"/>
          <w:szCs w:val="21"/>
        </w:rPr>
      </w:pPr>
      <w:r>
        <w:rPr>
          <w:rFonts w:ascii="宋体" w:hAnsi="宋体"/>
          <w:kern w:val="0"/>
          <w:szCs w:val="21"/>
        </w:rPr>
        <w:t>5．本合同正本一式二份，副本</w:t>
      </w:r>
      <w:r>
        <w:rPr>
          <w:rFonts w:ascii="宋体" w:hAnsi="宋体"/>
          <w:kern w:val="0"/>
          <w:szCs w:val="21"/>
          <w:u w:val="single"/>
        </w:rPr>
        <w:t xml:space="preserve">    </w:t>
      </w:r>
      <w:r>
        <w:rPr>
          <w:rFonts w:ascii="宋体" w:hAnsi="宋体"/>
          <w:kern w:val="0"/>
          <w:szCs w:val="21"/>
        </w:rPr>
        <w:t>份，合同双方各执正本一份，副本</w:t>
      </w:r>
      <w:r>
        <w:rPr>
          <w:rFonts w:ascii="宋体" w:hAnsi="宋体"/>
          <w:kern w:val="0"/>
          <w:szCs w:val="21"/>
          <w:u w:val="single"/>
        </w:rPr>
        <w:t xml:space="preserve">   </w:t>
      </w:r>
      <w:r>
        <w:rPr>
          <w:rFonts w:ascii="宋体" w:hAnsi="宋体"/>
          <w:kern w:val="0"/>
          <w:szCs w:val="21"/>
        </w:rPr>
        <w:t>份。</w:t>
      </w:r>
      <w:r>
        <w:rPr>
          <w:rFonts w:ascii="宋体" w:hAnsi="宋体"/>
          <w:szCs w:val="21"/>
        </w:rPr>
        <w:t>当正本与副本的内容不一致时，以正本为准。</w:t>
      </w:r>
    </w:p>
    <w:p w14:paraId="2543C63B">
      <w:pPr>
        <w:spacing w:line="360" w:lineRule="auto"/>
        <w:rPr>
          <w:rFonts w:ascii="宋体" w:hAnsi="宋体"/>
          <w:szCs w:val="21"/>
        </w:rPr>
      </w:pPr>
    </w:p>
    <w:p w14:paraId="7A252E0E">
      <w:pPr>
        <w:spacing w:line="360" w:lineRule="auto"/>
        <w:rPr>
          <w:rFonts w:ascii="宋体" w:hAnsi="宋体"/>
          <w:szCs w:val="21"/>
        </w:rPr>
      </w:pPr>
      <w:r>
        <w:rPr>
          <w:rFonts w:ascii="宋体" w:hAnsi="宋体"/>
          <w:szCs w:val="21"/>
        </w:rPr>
        <w:t>发包人：</w:t>
      </w:r>
      <w:r>
        <w:rPr>
          <w:rFonts w:ascii="宋体" w:hAnsi="宋体"/>
          <w:szCs w:val="21"/>
          <w:u w:val="single"/>
        </w:rPr>
        <w:t xml:space="preserve">                </w:t>
      </w:r>
      <w:r>
        <w:rPr>
          <w:rFonts w:ascii="宋体" w:hAnsi="宋体"/>
          <w:szCs w:val="21"/>
        </w:rPr>
        <w:t>（盖单位章）   承包人：</w:t>
      </w:r>
      <w:r>
        <w:rPr>
          <w:rFonts w:ascii="宋体" w:hAnsi="宋体"/>
          <w:szCs w:val="21"/>
          <w:u w:val="single"/>
        </w:rPr>
        <w:t xml:space="preserve">                </w:t>
      </w:r>
      <w:r>
        <w:rPr>
          <w:rFonts w:ascii="宋体" w:hAnsi="宋体"/>
          <w:szCs w:val="21"/>
        </w:rPr>
        <w:t>（盖单位章）</w:t>
      </w:r>
    </w:p>
    <w:p w14:paraId="766C2C7E">
      <w:pPr>
        <w:widowControl/>
        <w:shd w:val="clear" w:color="auto" w:fill="FFFFFF"/>
        <w:spacing w:line="360" w:lineRule="auto"/>
        <w:jc w:val="left"/>
        <w:rPr>
          <w:rFonts w:ascii="宋体" w:hAnsi="宋体"/>
          <w:kern w:val="0"/>
          <w:szCs w:val="21"/>
        </w:rPr>
      </w:pPr>
      <w:r>
        <w:rPr>
          <w:rFonts w:ascii="宋体" w:hAnsi="宋体"/>
          <w:kern w:val="0"/>
          <w:szCs w:val="21"/>
        </w:rPr>
        <w:t>法定代表人或其委托代理人：</w:t>
      </w:r>
      <w:r>
        <w:rPr>
          <w:rFonts w:ascii="宋体" w:hAnsi="宋体"/>
          <w:kern w:val="0"/>
          <w:szCs w:val="21"/>
          <w:u w:val="single"/>
        </w:rPr>
        <w:t xml:space="preserve">   </w:t>
      </w:r>
      <w:r>
        <w:rPr>
          <w:rFonts w:ascii="宋体" w:hAnsi="宋体"/>
          <w:kern w:val="0"/>
          <w:szCs w:val="21"/>
        </w:rPr>
        <w:t>（签字）  法定代表人或其委托代理人：</w:t>
      </w:r>
      <w:r>
        <w:rPr>
          <w:rFonts w:ascii="宋体" w:hAnsi="宋体"/>
          <w:kern w:val="0"/>
          <w:szCs w:val="21"/>
          <w:u w:val="single"/>
        </w:rPr>
        <w:t xml:space="preserve">  </w:t>
      </w:r>
      <w:r>
        <w:rPr>
          <w:rFonts w:ascii="宋体" w:hAnsi="宋体"/>
          <w:kern w:val="0"/>
          <w:szCs w:val="21"/>
        </w:rPr>
        <w:t>（签字）</w:t>
      </w:r>
    </w:p>
    <w:p w14:paraId="7F9C6350">
      <w:pPr>
        <w:widowControl/>
        <w:shd w:val="clear" w:color="auto" w:fill="FFFFFF"/>
        <w:spacing w:line="360" w:lineRule="auto"/>
        <w:ind w:firstLine="420" w:firstLineChars="200"/>
        <w:jc w:val="left"/>
        <w:rPr>
          <w:rFonts w:ascii="宋体" w:hAnsi="宋体"/>
          <w:sz w:val="24"/>
        </w:rPr>
        <w:sectPr>
          <w:headerReference r:id="rId10" w:type="default"/>
          <w:footerReference r:id="rId11" w:type="default"/>
          <w:footnotePr>
            <w:numFmt w:val="decimalEnclosedCircleChinese"/>
            <w:numRestart w:val="eachPage"/>
          </w:footnotePr>
          <w:type w:val="nextColumn"/>
          <w:pgSz w:w="11906" w:h="16838"/>
          <w:pgMar w:top="1134" w:right="1247" w:bottom="1077" w:left="1247" w:header="851" w:footer="794" w:gutter="0"/>
          <w:pgNumType w:fmt="decimal"/>
          <w:cols w:space="720" w:num="1"/>
          <w:docGrid w:linePitch="312" w:charSpace="0"/>
        </w:sectPr>
      </w:pPr>
      <w:r>
        <w:rPr>
          <w:rFonts w:ascii="宋体" w:hAnsi="宋体"/>
          <w:kern w:val="0"/>
          <w:szCs w:val="21"/>
          <w:u w:val="single"/>
        </w:rPr>
        <w:t xml:space="preserve">       </w:t>
      </w:r>
      <w:r>
        <w:rPr>
          <w:rFonts w:ascii="宋体" w:hAnsi="宋体"/>
          <w:kern w:val="0"/>
          <w:szCs w:val="21"/>
        </w:rPr>
        <w:t>年</w:t>
      </w:r>
      <w:r>
        <w:rPr>
          <w:rFonts w:ascii="宋体" w:hAnsi="宋体"/>
          <w:kern w:val="0"/>
          <w:szCs w:val="21"/>
          <w:u w:val="single"/>
        </w:rPr>
        <w:t xml:space="preserve">   </w:t>
      </w:r>
      <w:r>
        <w:rPr>
          <w:rFonts w:ascii="宋体" w:hAnsi="宋体"/>
          <w:kern w:val="0"/>
          <w:szCs w:val="21"/>
        </w:rPr>
        <w:t>月</w:t>
      </w:r>
      <w:r>
        <w:rPr>
          <w:rFonts w:ascii="宋体" w:hAnsi="宋体"/>
          <w:kern w:val="0"/>
          <w:szCs w:val="21"/>
          <w:u w:val="single"/>
        </w:rPr>
        <w:t xml:space="preserve">   </w:t>
      </w:r>
      <w:r>
        <w:rPr>
          <w:rFonts w:ascii="宋体" w:hAnsi="宋体"/>
          <w:kern w:val="0"/>
          <w:szCs w:val="21"/>
        </w:rPr>
        <w:t xml:space="preserve">日                     </w:t>
      </w:r>
      <w:r>
        <w:rPr>
          <w:rFonts w:ascii="宋体" w:hAnsi="宋体"/>
          <w:kern w:val="0"/>
          <w:szCs w:val="21"/>
          <w:u w:val="single"/>
        </w:rPr>
        <w:t xml:space="preserve">       </w:t>
      </w:r>
      <w:r>
        <w:rPr>
          <w:rFonts w:ascii="宋体" w:hAnsi="宋体"/>
          <w:kern w:val="0"/>
          <w:szCs w:val="21"/>
        </w:rPr>
        <w:t>年</w:t>
      </w:r>
      <w:r>
        <w:rPr>
          <w:rFonts w:ascii="宋体" w:hAnsi="宋体"/>
          <w:kern w:val="0"/>
          <w:szCs w:val="21"/>
          <w:u w:val="single"/>
        </w:rPr>
        <w:t xml:space="preserve">   </w:t>
      </w:r>
      <w:r>
        <w:rPr>
          <w:rFonts w:ascii="宋体" w:hAnsi="宋体"/>
          <w:kern w:val="0"/>
          <w:szCs w:val="21"/>
        </w:rPr>
        <w:t>月</w:t>
      </w:r>
      <w:r>
        <w:rPr>
          <w:rFonts w:ascii="宋体" w:hAnsi="宋体"/>
          <w:kern w:val="0"/>
          <w:szCs w:val="21"/>
          <w:u w:val="single"/>
        </w:rPr>
        <w:t xml:space="preserve">   </w:t>
      </w:r>
      <w:r>
        <w:rPr>
          <w:rFonts w:ascii="宋体" w:hAnsi="宋体"/>
          <w:kern w:val="0"/>
          <w:szCs w:val="21"/>
        </w:rPr>
        <w:t>日</w:t>
      </w:r>
    </w:p>
    <w:tbl>
      <w:tblPr>
        <w:tblStyle w:val="51"/>
        <w:tblW w:w="0" w:type="auto"/>
        <w:tblInd w:w="93" w:type="dxa"/>
        <w:tblLayout w:type="fixed"/>
        <w:tblCellMar>
          <w:top w:w="0" w:type="dxa"/>
          <w:left w:w="108" w:type="dxa"/>
          <w:bottom w:w="0" w:type="dxa"/>
          <w:right w:w="108" w:type="dxa"/>
        </w:tblCellMar>
      </w:tblPr>
      <w:tblGrid>
        <w:gridCol w:w="4620"/>
        <w:gridCol w:w="4840"/>
        <w:gridCol w:w="1280"/>
        <w:gridCol w:w="1600"/>
        <w:gridCol w:w="1740"/>
      </w:tblGrid>
      <w:tr w14:paraId="5FE8C594">
        <w:tblPrEx>
          <w:tblCellMar>
            <w:top w:w="0" w:type="dxa"/>
            <w:left w:w="108" w:type="dxa"/>
            <w:bottom w:w="0" w:type="dxa"/>
            <w:right w:w="108" w:type="dxa"/>
          </w:tblCellMar>
        </w:tblPrEx>
        <w:trPr>
          <w:trHeight w:val="735" w:hRule="atLeast"/>
        </w:trPr>
        <w:tc>
          <w:tcPr>
            <w:tcW w:w="14080" w:type="dxa"/>
            <w:gridSpan w:val="5"/>
            <w:vAlign w:val="center"/>
          </w:tcPr>
          <w:p w14:paraId="6AB3A795">
            <w:pPr>
              <w:pageBreakBefore w:val="0"/>
              <w:widowControl/>
              <w:kinsoku/>
              <w:overflowPunct/>
              <w:topLinePunct w:val="0"/>
              <w:bidi w:val="0"/>
              <w:spacing w:line="360" w:lineRule="auto"/>
              <w:ind w:firstLine="964"/>
              <w:jc w:val="center"/>
              <w:rPr>
                <w:rFonts w:ascii="Times New Roman" w:hAnsi="Times New Roman" w:cs="宋体"/>
                <w:b/>
                <w:bCs/>
                <w:color w:val="000000"/>
                <w:kern w:val="0"/>
                <w:sz w:val="48"/>
                <w:szCs w:val="48"/>
              </w:rPr>
            </w:pPr>
            <w:r>
              <w:rPr>
                <w:rFonts w:hint="eastAsia" w:ascii="Times New Roman" w:hAnsi="Times New Roman" w:cs="宋体"/>
                <w:b/>
                <w:bCs/>
                <w:color w:val="000000"/>
                <w:kern w:val="0"/>
                <w:sz w:val="48"/>
                <w:szCs w:val="48"/>
              </w:rPr>
              <w:t>政</w:t>
            </w:r>
            <w:r>
              <w:rPr>
                <w:rFonts w:ascii="Times New Roman" w:hAnsi="Times New Roman" w:cs="宋体"/>
                <w:b/>
                <w:bCs/>
                <w:color w:val="000000"/>
                <w:kern w:val="0"/>
                <w:sz w:val="48"/>
                <w:szCs w:val="48"/>
              </w:rPr>
              <w:t xml:space="preserve"> </w:t>
            </w:r>
            <w:r>
              <w:rPr>
                <w:rFonts w:hint="eastAsia" w:ascii="Times New Roman" w:hAnsi="Times New Roman" w:cs="宋体"/>
                <w:b/>
                <w:bCs/>
                <w:color w:val="000000"/>
                <w:kern w:val="0"/>
                <w:sz w:val="48"/>
                <w:szCs w:val="48"/>
              </w:rPr>
              <w:t>府</w:t>
            </w:r>
            <w:r>
              <w:rPr>
                <w:rFonts w:ascii="Times New Roman" w:hAnsi="Times New Roman" w:cs="宋体"/>
                <w:b/>
                <w:bCs/>
                <w:color w:val="000000"/>
                <w:kern w:val="0"/>
                <w:sz w:val="48"/>
                <w:szCs w:val="48"/>
              </w:rPr>
              <w:t xml:space="preserve"> </w:t>
            </w:r>
            <w:r>
              <w:rPr>
                <w:rFonts w:hint="eastAsia" w:ascii="Times New Roman" w:hAnsi="Times New Roman" w:cs="宋体"/>
                <w:b/>
                <w:bCs/>
                <w:color w:val="000000"/>
                <w:kern w:val="0"/>
                <w:sz w:val="48"/>
                <w:szCs w:val="48"/>
              </w:rPr>
              <w:t>采</w:t>
            </w:r>
            <w:r>
              <w:rPr>
                <w:rFonts w:ascii="Times New Roman" w:hAnsi="Times New Roman" w:cs="宋体"/>
                <w:b/>
                <w:bCs/>
                <w:color w:val="000000"/>
                <w:kern w:val="0"/>
                <w:sz w:val="48"/>
                <w:szCs w:val="48"/>
              </w:rPr>
              <w:t xml:space="preserve"> </w:t>
            </w:r>
            <w:r>
              <w:rPr>
                <w:rFonts w:hint="eastAsia" w:ascii="Times New Roman" w:hAnsi="Times New Roman" w:cs="宋体"/>
                <w:b/>
                <w:bCs/>
                <w:color w:val="000000"/>
                <w:kern w:val="0"/>
                <w:sz w:val="48"/>
                <w:szCs w:val="48"/>
              </w:rPr>
              <w:t>购</w:t>
            </w:r>
            <w:r>
              <w:rPr>
                <w:rFonts w:ascii="Times New Roman" w:hAnsi="Times New Roman" w:cs="宋体"/>
                <w:b/>
                <w:bCs/>
                <w:color w:val="000000"/>
                <w:kern w:val="0"/>
                <w:sz w:val="48"/>
                <w:szCs w:val="48"/>
              </w:rPr>
              <w:t xml:space="preserve"> </w:t>
            </w:r>
            <w:r>
              <w:rPr>
                <w:rFonts w:hint="eastAsia" w:ascii="Times New Roman" w:hAnsi="Times New Roman" w:cs="宋体"/>
                <w:b/>
                <w:bCs/>
                <w:color w:val="000000"/>
                <w:kern w:val="0"/>
                <w:sz w:val="48"/>
                <w:szCs w:val="48"/>
              </w:rPr>
              <w:t>项</w:t>
            </w:r>
            <w:r>
              <w:rPr>
                <w:rFonts w:ascii="Times New Roman" w:hAnsi="Times New Roman" w:cs="宋体"/>
                <w:b/>
                <w:bCs/>
                <w:color w:val="000000"/>
                <w:kern w:val="0"/>
                <w:sz w:val="48"/>
                <w:szCs w:val="48"/>
              </w:rPr>
              <w:t xml:space="preserve"> </w:t>
            </w:r>
            <w:r>
              <w:rPr>
                <w:rFonts w:hint="eastAsia" w:ascii="Times New Roman" w:hAnsi="Times New Roman" w:cs="宋体"/>
                <w:b/>
                <w:bCs/>
                <w:color w:val="000000"/>
                <w:kern w:val="0"/>
                <w:sz w:val="48"/>
                <w:szCs w:val="48"/>
              </w:rPr>
              <w:t>目</w:t>
            </w:r>
            <w:r>
              <w:rPr>
                <w:rFonts w:ascii="Times New Roman" w:hAnsi="Times New Roman" w:cs="宋体"/>
                <w:b/>
                <w:bCs/>
                <w:color w:val="000000"/>
                <w:kern w:val="0"/>
                <w:sz w:val="48"/>
                <w:szCs w:val="48"/>
              </w:rPr>
              <w:t xml:space="preserve"> </w:t>
            </w:r>
            <w:r>
              <w:rPr>
                <w:rFonts w:hint="eastAsia" w:ascii="Times New Roman" w:hAnsi="Times New Roman" w:cs="宋体"/>
                <w:b/>
                <w:bCs/>
                <w:color w:val="000000"/>
                <w:kern w:val="0"/>
                <w:sz w:val="48"/>
                <w:szCs w:val="48"/>
              </w:rPr>
              <w:t>验</w:t>
            </w:r>
            <w:r>
              <w:rPr>
                <w:rFonts w:ascii="Times New Roman" w:hAnsi="Times New Roman" w:cs="宋体"/>
                <w:b/>
                <w:bCs/>
                <w:color w:val="000000"/>
                <w:kern w:val="0"/>
                <w:sz w:val="48"/>
                <w:szCs w:val="48"/>
              </w:rPr>
              <w:t xml:space="preserve"> </w:t>
            </w:r>
            <w:r>
              <w:rPr>
                <w:rFonts w:hint="eastAsia" w:ascii="Times New Roman" w:hAnsi="Times New Roman" w:cs="宋体"/>
                <w:b/>
                <w:bCs/>
                <w:color w:val="000000"/>
                <w:kern w:val="0"/>
                <w:sz w:val="48"/>
                <w:szCs w:val="48"/>
              </w:rPr>
              <w:t>收</w:t>
            </w:r>
            <w:r>
              <w:rPr>
                <w:rFonts w:ascii="Times New Roman" w:hAnsi="Times New Roman" w:cs="宋体"/>
                <w:b/>
                <w:bCs/>
                <w:color w:val="000000"/>
                <w:kern w:val="0"/>
                <w:sz w:val="48"/>
                <w:szCs w:val="48"/>
              </w:rPr>
              <w:t xml:space="preserve"> </w:t>
            </w:r>
            <w:r>
              <w:rPr>
                <w:rFonts w:hint="eastAsia" w:ascii="Times New Roman" w:hAnsi="Times New Roman" w:cs="宋体"/>
                <w:b/>
                <w:bCs/>
                <w:color w:val="000000"/>
                <w:kern w:val="0"/>
                <w:sz w:val="48"/>
                <w:szCs w:val="48"/>
              </w:rPr>
              <w:t>单</w:t>
            </w:r>
          </w:p>
        </w:tc>
      </w:tr>
      <w:tr w14:paraId="36D233B4">
        <w:tblPrEx>
          <w:tblCellMar>
            <w:top w:w="0" w:type="dxa"/>
            <w:left w:w="108" w:type="dxa"/>
            <w:bottom w:w="0" w:type="dxa"/>
            <w:right w:w="108" w:type="dxa"/>
          </w:tblCellMar>
        </w:tblPrEx>
        <w:trPr>
          <w:trHeight w:val="570" w:hRule="atLeast"/>
        </w:trPr>
        <w:tc>
          <w:tcPr>
            <w:tcW w:w="14080" w:type="dxa"/>
            <w:gridSpan w:val="5"/>
            <w:vAlign w:val="center"/>
          </w:tcPr>
          <w:p w14:paraId="225CF9B8">
            <w:pPr>
              <w:pageBreakBefore w:val="0"/>
              <w:widowControl/>
              <w:kinsoku/>
              <w:overflowPunct/>
              <w:topLinePunct w:val="0"/>
              <w:bidi w:val="0"/>
              <w:spacing w:line="360" w:lineRule="auto"/>
              <w:ind w:firstLine="480"/>
              <w:jc w:val="left"/>
              <w:rPr>
                <w:rFonts w:ascii="Times New Roman" w:hAnsi="Times New Roman" w:cs="宋体"/>
                <w:color w:val="000000"/>
                <w:kern w:val="0"/>
                <w:sz w:val="24"/>
              </w:rPr>
            </w:pPr>
            <w:r>
              <w:rPr>
                <w:rFonts w:hint="eastAsia" w:ascii="Times New Roman" w:hAnsi="Times New Roman" w:cs="宋体"/>
                <w:color w:val="000000"/>
                <w:kern w:val="0"/>
                <w:sz w:val="24"/>
              </w:rPr>
              <w:t>按照《政府采购委托汇总确认书》</w:t>
            </w:r>
            <w:r>
              <w:rPr>
                <w:rFonts w:ascii="Times New Roman" w:hAnsi="Times New Roman" w:cs="宋体"/>
                <w:color w:val="000000"/>
                <w:kern w:val="0"/>
                <w:sz w:val="24"/>
              </w:rPr>
              <w:t xml:space="preserve">         </w:t>
            </w:r>
            <w:r>
              <w:rPr>
                <w:rFonts w:hint="eastAsia" w:ascii="Times New Roman" w:hAnsi="Times New Roman" w:cs="宋体"/>
                <w:color w:val="000000"/>
                <w:kern w:val="0"/>
                <w:sz w:val="24"/>
              </w:rPr>
              <w:t>号，采购编号：</w:t>
            </w:r>
            <w:r>
              <w:rPr>
                <w:rFonts w:ascii="Times New Roman" w:hAnsi="Times New Roman" w:cs="宋体"/>
                <w:color w:val="000000"/>
                <w:kern w:val="0"/>
                <w:sz w:val="24"/>
              </w:rPr>
              <w:t xml:space="preserve">      </w:t>
            </w:r>
            <w:r>
              <w:rPr>
                <w:rFonts w:hint="eastAsia" w:ascii="Times New Roman" w:hAnsi="Times New Roman" w:cs="宋体"/>
                <w:color w:val="000000"/>
                <w:kern w:val="0"/>
                <w:sz w:val="24"/>
              </w:rPr>
              <w:t>号</w:t>
            </w:r>
            <w:r>
              <w:rPr>
                <w:rFonts w:ascii="Times New Roman" w:hAnsi="Times New Roman" w:cs="宋体"/>
                <w:color w:val="000000"/>
                <w:kern w:val="0"/>
                <w:sz w:val="24"/>
              </w:rPr>
              <w:t xml:space="preserve"> ,</w:t>
            </w:r>
            <w:r>
              <w:rPr>
                <w:rFonts w:hint="eastAsia" w:ascii="Times New Roman" w:hAnsi="Times New Roman" w:cs="宋体"/>
                <w:color w:val="000000"/>
                <w:kern w:val="0"/>
                <w:sz w:val="24"/>
              </w:rPr>
              <w:t>合同号：</w:t>
            </w:r>
            <w:r>
              <w:rPr>
                <w:rFonts w:ascii="Times New Roman" w:hAnsi="Times New Roman" w:cs="宋体"/>
                <w:color w:val="000000"/>
                <w:kern w:val="0"/>
                <w:sz w:val="24"/>
              </w:rPr>
              <w:t xml:space="preserve">      </w:t>
            </w:r>
            <w:r>
              <w:rPr>
                <w:rFonts w:hint="eastAsia" w:ascii="Times New Roman" w:hAnsi="Times New Roman" w:cs="宋体"/>
                <w:color w:val="000000"/>
                <w:kern w:val="0"/>
                <w:sz w:val="24"/>
              </w:rPr>
              <w:t>号</w:t>
            </w:r>
            <w:r>
              <w:rPr>
                <w:rFonts w:ascii="Times New Roman" w:hAnsi="Times New Roman" w:cs="宋体"/>
                <w:color w:val="000000"/>
                <w:kern w:val="0"/>
                <w:sz w:val="24"/>
              </w:rPr>
              <w:t xml:space="preserve"> </w:t>
            </w:r>
          </w:p>
        </w:tc>
      </w:tr>
      <w:tr w14:paraId="6065BAA4">
        <w:tblPrEx>
          <w:tblCellMar>
            <w:top w:w="0" w:type="dxa"/>
            <w:left w:w="108" w:type="dxa"/>
            <w:bottom w:w="0" w:type="dxa"/>
            <w:right w:w="108" w:type="dxa"/>
          </w:tblCellMar>
        </w:tblPrEx>
        <w:trPr>
          <w:trHeight w:val="570" w:hRule="atLeast"/>
        </w:trPr>
        <w:tc>
          <w:tcPr>
            <w:tcW w:w="14080" w:type="dxa"/>
            <w:gridSpan w:val="5"/>
            <w:vAlign w:val="center"/>
          </w:tcPr>
          <w:p w14:paraId="00835E67">
            <w:pPr>
              <w:pageBreakBefore w:val="0"/>
              <w:widowControl/>
              <w:kinsoku/>
              <w:overflowPunct/>
              <w:topLinePunct w:val="0"/>
              <w:bidi w:val="0"/>
              <w:spacing w:line="360" w:lineRule="auto"/>
              <w:ind w:firstLine="520"/>
              <w:jc w:val="left"/>
              <w:rPr>
                <w:rFonts w:ascii="Times New Roman" w:hAnsi="Times New Roman" w:cs="宋体"/>
                <w:color w:val="000000"/>
                <w:kern w:val="0"/>
                <w:sz w:val="26"/>
                <w:szCs w:val="26"/>
              </w:rPr>
            </w:pPr>
            <w:r>
              <w:rPr>
                <w:rFonts w:hint="eastAsia" w:ascii="Times New Roman" w:hAnsi="Times New Roman" w:cs="宋体"/>
                <w:color w:val="000000"/>
                <w:kern w:val="0"/>
                <w:sz w:val="26"/>
                <w:szCs w:val="26"/>
              </w:rPr>
              <w:t>以下项目已采购到位并验收合格。</w:t>
            </w:r>
          </w:p>
        </w:tc>
      </w:tr>
      <w:tr w14:paraId="36416130">
        <w:tblPrEx>
          <w:tblCellMar>
            <w:top w:w="0" w:type="dxa"/>
            <w:left w:w="108" w:type="dxa"/>
            <w:bottom w:w="0" w:type="dxa"/>
            <w:right w:w="108" w:type="dxa"/>
          </w:tblCellMar>
        </w:tblPrEx>
        <w:trPr>
          <w:trHeight w:val="839" w:hRule="atLeast"/>
        </w:trPr>
        <w:tc>
          <w:tcPr>
            <w:tcW w:w="4620" w:type="dxa"/>
            <w:tcBorders>
              <w:top w:val="single" w:color="auto" w:sz="4" w:space="0"/>
              <w:left w:val="single" w:color="auto" w:sz="4" w:space="0"/>
              <w:bottom w:val="nil"/>
              <w:right w:val="single" w:color="auto" w:sz="4" w:space="0"/>
            </w:tcBorders>
            <w:vAlign w:val="center"/>
          </w:tcPr>
          <w:p w14:paraId="6DFA8684">
            <w:pPr>
              <w:pageBreakBefore w:val="0"/>
              <w:widowControl/>
              <w:kinsoku/>
              <w:overflowPunct/>
              <w:topLinePunct w:val="0"/>
              <w:bidi w:val="0"/>
              <w:spacing w:line="360" w:lineRule="auto"/>
              <w:ind w:firstLine="560"/>
              <w:jc w:val="center"/>
              <w:rPr>
                <w:rFonts w:ascii="Times New Roman" w:hAnsi="Times New Roman" w:cs="宋体"/>
                <w:color w:val="000000"/>
                <w:kern w:val="0"/>
                <w:sz w:val="28"/>
                <w:szCs w:val="28"/>
              </w:rPr>
            </w:pPr>
            <w:r>
              <w:rPr>
                <w:rFonts w:hint="eastAsia" w:ascii="Times New Roman" w:hAnsi="Times New Roman" w:cs="宋体"/>
                <w:color w:val="000000"/>
                <w:kern w:val="0"/>
                <w:sz w:val="28"/>
                <w:szCs w:val="28"/>
              </w:rPr>
              <w:t>采购货物（服务，工程）名称</w:t>
            </w:r>
          </w:p>
        </w:tc>
        <w:tc>
          <w:tcPr>
            <w:tcW w:w="4840" w:type="dxa"/>
            <w:tcBorders>
              <w:top w:val="single" w:color="auto" w:sz="4" w:space="0"/>
              <w:left w:val="nil"/>
              <w:bottom w:val="nil"/>
              <w:right w:val="single" w:color="auto" w:sz="4" w:space="0"/>
            </w:tcBorders>
            <w:vAlign w:val="center"/>
          </w:tcPr>
          <w:p w14:paraId="0741DCAB">
            <w:pPr>
              <w:pageBreakBefore w:val="0"/>
              <w:widowControl/>
              <w:kinsoku/>
              <w:overflowPunct/>
              <w:topLinePunct w:val="0"/>
              <w:bidi w:val="0"/>
              <w:spacing w:line="360" w:lineRule="auto"/>
              <w:ind w:firstLine="560"/>
              <w:jc w:val="center"/>
              <w:rPr>
                <w:rFonts w:ascii="Times New Roman" w:hAnsi="Times New Roman" w:cs="宋体"/>
                <w:color w:val="000000"/>
                <w:kern w:val="0"/>
                <w:sz w:val="28"/>
                <w:szCs w:val="28"/>
              </w:rPr>
            </w:pPr>
            <w:r>
              <w:rPr>
                <w:rFonts w:hint="eastAsia" w:ascii="Times New Roman" w:hAnsi="Times New Roman" w:cs="宋体"/>
                <w:color w:val="000000"/>
                <w:kern w:val="0"/>
                <w:sz w:val="28"/>
                <w:szCs w:val="28"/>
              </w:rPr>
              <w:t>规格、型号</w:t>
            </w:r>
          </w:p>
        </w:tc>
        <w:tc>
          <w:tcPr>
            <w:tcW w:w="1280" w:type="dxa"/>
            <w:tcBorders>
              <w:top w:val="single" w:color="auto" w:sz="4" w:space="0"/>
              <w:left w:val="nil"/>
              <w:bottom w:val="nil"/>
              <w:right w:val="single" w:color="auto" w:sz="4" w:space="0"/>
            </w:tcBorders>
            <w:vAlign w:val="center"/>
          </w:tcPr>
          <w:p w14:paraId="70442F93">
            <w:pPr>
              <w:pageBreakBefore w:val="0"/>
              <w:widowControl/>
              <w:kinsoku/>
              <w:overflowPunct/>
              <w:topLinePunct w:val="0"/>
              <w:bidi w:val="0"/>
              <w:spacing w:line="360" w:lineRule="auto"/>
              <w:rPr>
                <w:rFonts w:ascii="Times New Roman" w:hAnsi="Times New Roman" w:cs="宋体"/>
                <w:color w:val="000000"/>
                <w:kern w:val="0"/>
                <w:sz w:val="28"/>
                <w:szCs w:val="28"/>
              </w:rPr>
            </w:pPr>
            <w:r>
              <w:rPr>
                <w:rFonts w:hint="eastAsia" w:ascii="Times New Roman" w:hAnsi="Times New Roman" w:cs="宋体"/>
                <w:color w:val="000000"/>
                <w:kern w:val="0"/>
                <w:sz w:val="28"/>
                <w:szCs w:val="28"/>
              </w:rPr>
              <w:t>数量</w:t>
            </w:r>
          </w:p>
        </w:tc>
        <w:tc>
          <w:tcPr>
            <w:tcW w:w="1600" w:type="dxa"/>
            <w:tcBorders>
              <w:top w:val="single" w:color="auto" w:sz="4" w:space="0"/>
              <w:left w:val="nil"/>
              <w:bottom w:val="nil"/>
              <w:right w:val="single" w:color="auto" w:sz="4" w:space="0"/>
            </w:tcBorders>
            <w:vAlign w:val="center"/>
          </w:tcPr>
          <w:p w14:paraId="441D2BAC">
            <w:pPr>
              <w:pageBreakBefore w:val="0"/>
              <w:widowControl/>
              <w:kinsoku/>
              <w:overflowPunct/>
              <w:topLinePunct w:val="0"/>
              <w:bidi w:val="0"/>
              <w:spacing w:line="360" w:lineRule="auto"/>
              <w:rPr>
                <w:rFonts w:ascii="Times New Roman" w:hAnsi="Times New Roman" w:cs="宋体"/>
                <w:color w:val="000000"/>
                <w:kern w:val="0"/>
                <w:sz w:val="28"/>
                <w:szCs w:val="28"/>
              </w:rPr>
            </w:pPr>
            <w:r>
              <w:rPr>
                <w:rFonts w:hint="eastAsia" w:ascii="Times New Roman" w:hAnsi="Times New Roman" w:cs="宋体"/>
                <w:color w:val="000000"/>
                <w:kern w:val="0"/>
                <w:sz w:val="28"/>
                <w:szCs w:val="28"/>
              </w:rPr>
              <w:t>核定总价</w:t>
            </w:r>
          </w:p>
        </w:tc>
        <w:tc>
          <w:tcPr>
            <w:tcW w:w="1740" w:type="dxa"/>
            <w:tcBorders>
              <w:top w:val="single" w:color="auto" w:sz="4" w:space="0"/>
              <w:left w:val="nil"/>
              <w:bottom w:val="single" w:color="auto" w:sz="4" w:space="0"/>
              <w:right w:val="single" w:color="auto" w:sz="4" w:space="0"/>
            </w:tcBorders>
            <w:vAlign w:val="center"/>
          </w:tcPr>
          <w:p w14:paraId="4745E21A">
            <w:pPr>
              <w:pageBreakBefore w:val="0"/>
              <w:widowControl/>
              <w:kinsoku/>
              <w:overflowPunct/>
              <w:topLinePunct w:val="0"/>
              <w:bidi w:val="0"/>
              <w:spacing w:line="360" w:lineRule="auto"/>
              <w:ind w:firstLine="560"/>
              <w:rPr>
                <w:rFonts w:ascii="Times New Roman" w:hAnsi="Times New Roman" w:cs="宋体"/>
                <w:color w:val="000000"/>
                <w:kern w:val="0"/>
                <w:sz w:val="28"/>
                <w:szCs w:val="28"/>
              </w:rPr>
            </w:pPr>
            <w:r>
              <w:rPr>
                <w:rFonts w:hint="eastAsia" w:ascii="Times New Roman" w:hAnsi="Times New Roman" w:cs="宋体"/>
                <w:color w:val="000000"/>
                <w:kern w:val="0"/>
                <w:sz w:val="28"/>
                <w:szCs w:val="28"/>
              </w:rPr>
              <w:t>采购人验收意见</w:t>
            </w:r>
          </w:p>
        </w:tc>
      </w:tr>
      <w:tr w14:paraId="0D0ABE54">
        <w:tblPrEx>
          <w:tblCellMar>
            <w:top w:w="0" w:type="dxa"/>
            <w:left w:w="108" w:type="dxa"/>
            <w:bottom w:w="0" w:type="dxa"/>
            <w:right w:w="108" w:type="dxa"/>
          </w:tblCellMar>
        </w:tblPrEx>
        <w:trPr>
          <w:trHeight w:val="630" w:hRule="atLeast"/>
        </w:trPr>
        <w:tc>
          <w:tcPr>
            <w:tcW w:w="4620" w:type="dxa"/>
            <w:tcBorders>
              <w:top w:val="single" w:color="auto" w:sz="4" w:space="0"/>
              <w:left w:val="single" w:color="auto" w:sz="4" w:space="0"/>
              <w:bottom w:val="single" w:color="auto" w:sz="4" w:space="0"/>
              <w:right w:val="single" w:color="auto" w:sz="4" w:space="0"/>
            </w:tcBorders>
            <w:vAlign w:val="center"/>
          </w:tcPr>
          <w:p w14:paraId="5B9FE0A0">
            <w:pPr>
              <w:pageBreakBefore w:val="0"/>
              <w:widowControl/>
              <w:kinsoku/>
              <w:overflowPunct/>
              <w:topLinePunct w:val="0"/>
              <w:bidi w:val="0"/>
              <w:spacing w:line="360" w:lineRule="auto"/>
              <w:ind w:firstLine="560"/>
              <w:jc w:val="center"/>
              <w:rPr>
                <w:rFonts w:ascii="Times New Roman" w:hAnsi="Times New Roman" w:cs="宋体"/>
                <w:color w:val="000000"/>
                <w:kern w:val="0"/>
                <w:sz w:val="28"/>
                <w:szCs w:val="28"/>
              </w:rPr>
            </w:pPr>
            <w:r>
              <w:rPr>
                <w:rFonts w:hint="eastAsia" w:ascii="Times New Roman" w:hAnsi="Times New Roman" w:cs="宋体"/>
                <w:color w:val="000000"/>
                <w:kern w:val="0"/>
                <w:sz w:val="28"/>
                <w:szCs w:val="28"/>
              </w:rPr>
              <w:t>　</w:t>
            </w:r>
          </w:p>
        </w:tc>
        <w:tc>
          <w:tcPr>
            <w:tcW w:w="4840" w:type="dxa"/>
            <w:tcBorders>
              <w:top w:val="single" w:color="auto" w:sz="4" w:space="0"/>
              <w:left w:val="nil"/>
              <w:bottom w:val="single" w:color="auto" w:sz="4" w:space="0"/>
              <w:right w:val="single" w:color="auto" w:sz="4" w:space="0"/>
            </w:tcBorders>
            <w:vAlign w:val="center"/>
          </w:tcPr>
          <w:p w14:paraId="56BCB6C9">
            <w:pPr>
              <w:pageBreakBefore w:val="0"/>
              <w:widowControl/>
              <w:kinsoku/>
              <w:overflowPunct/>
              <w:topLinePunct w:val="0"/>
              <w:bidi w:val="0"/>
              <w:spacing w:line="360" w:lineRule="auto"/>
              <w:ind w:firstLine="520"/>
              <w:jc w:val="center"/>
              <w:rPr>
                <w:rFonts w:ascii="Times New Roman" w:hAnsi="Times New Roman" w:cs="宋体"/>
                <w:color w:val="000000"/>
                <w:kern w:val="0"/>
                <w:sz w:val="26"/>
                <w:szCs w:val="26"/>
              </w:rPr>
            </w:pPr>
            <w:r>
              <w:rPr>
                <w:rFonts w:hint="eastAsia" w:ascii="Times New Roman" w:hAnsi="Times New Roman" w:cs="宋体"/>
                <w:color w:val="000000"/>
                <w:kern w:val="0"/>
                <w:sz w:val="26"/>
                <w:szCs w:val="26"/>
              </w:rPr>
              <w:t>　</w:t>
            </w:r>
          </w:p>
        </w:tc>
        <w:tc>
          <w:tcPr>
            <w:tcW w:w="1280" w:type="dxa"/>
            <w:tcBorders>
              <w:top w:val="single" w:color="auto" w:sz="4" w:space="0"/>
              <w:left w:val="nil"/>
              <w:bottom w:val="single" w:color="auto" w:sz="4" w:space="0"/>
              <w:right w:val="single" w:color="auto" w:sz="4" w:space="0"/>
            </w:tcBorders>
            <w:vAlign w:val="center"/>
          </w:tcPr>
          <w:p w14:paraId="1E3E374F">
            <w:pPr>
              <w:pageBreakBefore w:val="0"/>
              <w:widowControl/>
              <w:kinsoku/>
              <w:overflowPunct/>
              <w:topLinePunct w:val="0"/>
              <w:bidi w:val="0"/>
              <w:spacing w:line="360" w:lineRule="auto"/>
              <w:ind w:firstLine="520"/>
              <w:rPr>
                <w:rFonts w:ascii="Times New Roman" w:hAnsi="Times New Roman" w:cs="宋体"/>
                <w:color w:val="000000"/>
                <w:kern w:val="0"/>
                <w:sz w:val="26"/>
                <w:szCs w:val="26"/>
              </w:rPr>
            </w:pPr>
          </w:p>
        </w:tc>
        <w:tc>
          <w:tcPr>
            <w:tcW w:w="1600" w:type="dxa"/>
            <w:tcBorders>
              <w:top w:val="single" w:color="auto" w:sz="4" w:space="0"/>
              <w:left w:val="nil"/>
              <w:bottom w:val="single" w:color="auto" w:sz="4" w:space="0"/>
              <w:right w:val="single" w:color="auto" w:sz="4" w:space="0"/>
            </w:tcBorders>
            <w:vAlign w:val="center"/>
          </w:tcPr>
          <w:p w14:paraId="7F439F23">
            <w:pPr>
              <w:pageBreakBefore w:val="0"/>
              <w:widowControl/>
              <w:kinsoku/>
              <w:overflowPunct/>
              <w:topLinePunct w:val="0"/>
              <w:bidi w:val="0"/>
              <w:spacing w:line="360" w:lineRule="auto"/>
              <w:ind w:firstLine="520"/>
              <w:rPr>
                <w:rFonts w:ascii="Times New Roman" w:hAnsi="Times New Roman" w:cs="宋体"/>
                <w:color w:val="000000"/>
                <w:kern w:val="0"/>
                <w:sz w:val="26"/>
                <w:szCs w:val="26"/>
              </w:rPr>
            </w:pPr>
          </w:p>
        </w:tc>
        <w:tc>
          <w:tcPr>
            <w:tcW w:w="1740" w:type="dxa"/>
            <w:tcBorders>
              <w:top w:val="nil"/>
              <w:left w:val="nil"/>
              <w:bottom w:val="single" w:color="auto" w:sz="4" w:space="0"/>
              <w:right w:val="single" w:color="auto" w:sz="4" w:space="0"/>
            </w:tcBorders>
            <w:vAlign w:val="bottom"/>
          </w:tcPr>
          <w:p w14:paraId="1B66F4AB">
            <w:pPr>
              <w:pageBreakBefore w:val="0"/>
              <w:widowControl/>
              <w:kinsoku/>
              <w:overflowPunct/>
              <w:topLinePunct w:val="0"/>
              <w:bidi w:val="0"/>
              <w:spacing w:line="360" w:lineRule="auto"/>
              <w:ind w:firstLine="520"/>
              <w:jc w:val="left"/>
              <w:rPr>
                <w:rFonts w:ascii="Times New Roman" w:hAnsi="Times New Roman" w:cs="宋体"/>
                <w:color w:val="000000"/>
                <w:kern w:val="0"/>
                <w:sz w:val="26"/>
                <w:szCs w:val="26"/>
              </w:rPr>
            </w:pPr>
            <w:r>
              <w:rPr>
                <w:rFonts w:hint="eastAsia" w:ascii="Times New Roman" w:hAnsi="Times New Roman" w:cs="宋体"/>
                <w:color w:val="000000"/>
                <w:kern w:val="0"/>
                <w:sz w:val="26"/>
                <w:szCs w:val="26"/>
              </w:rPr>
              <w:t>　</w:t>
            </w:r>
          </w:p>
        </w:tc>
      </w:tr>
      <w:tr w14:paraId="03552391">
        <w:tblPrEx>
          <w:tblCellMar>
            <w:top w:w="0" w:type="dxa"/>
            <w:left w:w="108" w:type="dxa"/>
            <w:bottom w:w="0" w:type="dxa"/>
            <w:right w:w="108" w:type="dxa"/>
          </w:tblCellMar>
        </w:tblPrEx>
        <w:trPr>
          <w:trHeight w:val="417" w:hRule="atLeast"/>
        </w:trPr>
        <w:tc>
          <w:tcPr>
            <w:tcW w:w="4620" w:type="dxa"/>
            <w:tcBorders>
              <w:top w:val="nil"/>
              <w:left w:val="single" w:color="auto" w:sz="4" w:space="0"/>
              <w:bottom w:val="single" w:color="auto" w:sz="4" w:space="0"/>
              <w:right w:val="single" w:color="auto" w:sz="4" w:space="0"/>
            </w:tcBorders>
            <w:vAlign w:val="center"/>
          </w:tcPr>
          <w:p w14:paraId="356FC445">
            <w:pPr>
              <w:pageBreakBefore w:val="0"/>
              <w:widowControl/>
              <w:kinsoku/>
              <w:overflowPunct/>
              <w:topLinePunct w:val="0"/>
              <w:bidi w:val="0"/>
              <w:spacing w:line="360" w:lineRule="auto"/>
              <w:ind w:firstLine="520"/>
              <w:jc w:val="center"/>
              <w:rPr>
                <w:rFonts w:ascii="Times New Roman" w:hAnsi="Times New Roman" w:cs="宋体"/>
                <w:color w:val="000000"/>
                <w:kern w:val="0"/>
                <w:sz w:val="26"/>
                <w:szCs w:val="26"/>
              </w:rPr>
            </w:pPr>
            <w:r>
              <w:rPr>
                <w:rFonts w:hint="eastAsia" w:ascii="Times New Roman" w:hAnsi="Times New Roman" w:cs="宋体"/>
                <w:color w:val="000000"/>
                <w:kern w:val="0"/>
                <w:sz w:val="26"/>
                <w:szCs w:val="26"/>
              </w:rPr>
              <w:t>合计总价款（人民币）</w:t>
            </w:r>
          </w:p>
        </w:tc>
        <w:tc>
          <w:tcPr>
            <w:tcW w:w="9460" w:type="dxa"/>
            <w:gridSpan w:val="4"/>
            <w:tcBorders>
              <w:top w:val="nil"/>
              <w:left w:val="nil"/>
              <w:bottom w:val="single" w:color="auto" w:sz="4" w:space="0"/>
              <w:right w:val="single" w:color="000000" w:sz="4" w:space="0"/>
            </w:tcBorders>
            <w:vAlign w:val="center"/>
          </w:tcPr>
          <w:p w14:paraId="64DD9969">
            <w:pPr>
              <w:pageBreakBefore w:val="0"/>
              <w:widowControl/>
              <w:kinsoku/>
              <w:overflowPunct/>
              <w:topLinePunct w:val="0"/>
              <w:bidi w:val="0"/>
              <w:spacing w:line="360" w:lineRule="auto"/>
              <w:ind w:firstLine="520"/>
              <w:jc w:val="left"/>
              <w:rPr>
                <w:rFonts w:ascii="Times New Roman" w:hAnsi="Times New Roman" w:cs="宋体"/>
                <w:color w:val="000000"/>
                <w:kern w:val="0"/>
                <w:sz w:val="26"/>
                <w:szCs w:val="26"/>
              </w:rPr>
            </w:pPr>
            <w:r>
              <w:rPr>
                <w:rFonts w:hint="eastAsia" w:ascii="Times New Roman" w:hAnsi="Times New Roman" w:cs="宋体"/>
                <w:color w:val="000000"/>
                <w:kern w:val="0"/>
                <w:sz w:val="26"/>
                <w:szCs w:val="26"/>
              </w:rPr>
              <w:t>人民币</w:t>
            </w:r>
            <w:r>
              <w:rPr>
                <w:rFonts w:ascii="Times New Roman" w:hAnsi="Times New Roman" w:cs="宋体"/>
                <w:color w:val="000000"/>
                <w:kern w:val="0"/>
                <w:sz w:val="26"/>
                <w:szCs w:val="26"/>
                <w:u w:val="single"/>
              </w:rPr>
              <w:t xml:space="preserve">                 </w:t>
            </w:r>
            <w:r>
              <w:rPr>
                <w:rFonts w:hint="eastAsia" w:ascii="Times New Roman" w:hAnsi="Times New Roman" w:cs="宋体"/>
                <w:color w:val="000000"/>
                <w:kern w:val="0"/>
                <w:sz w:val="26"/>
                <w:szCs w:val="26"/>
              </w:rPr>
              <w:t>元整。</w:t>
            </w:r>
            <w:r>
              <w:rPr>
                <w:rFonts w:ascii="Times New Roman" w:hAnsi="Times New Roman" w:cs="宋体"/>
                <w:color w:val="000000"/>
                <w:kern w:val="0"/>
                <w:sz w:val="26"/>
                <w:szCs w:val="26"/>
              </w:rPr>
              <w:t xml:space="preserve">       </w:t>
            </w:r>
            <w:r>
              <w:rPr>
                <w:rFonts w:hint="eastAsia" w:ascii="Times New Roman" w:hAnsi="Times New Roman" w:cs="宋体"/>
                <w:color w:val="000000"/>
                <w:kern w:val="0"/>
                <w:sz w:val="26"/>
                <w:szCs w:val="26"/>
              </w:rPr>
              <w:t>￥：</w:t>
            </w:r>
            <w:r>
              <w:rPr>
                <w:rFonts w:ascii="Times New Roman" w:hAnsi="Times New Roman" w:cs="宋体"/>
                <w:color w:val="000000"/>
                <w:kern w:val="0"/>
                <w:sz w:val="26"/>
                <w:szCs w:val="26"/>
                <w:u w:val="single"/>
              </w:rPr>
              <w:t xml:space="preserve">             </w:t>
            </w:r>
          </w:p>
        </w:tc>
      </w:tr>
      <w:tr w14:paraId="2002EF8B">
        <w:tblPrEx>
          <w:tblCellMar>
            <w:top w:w="0" w:type="dxa"/>
            <w:left w:w="108" w:type="dxa"/>
            <w:bottom w:w="0" w:type="dxa"/>
            <w:right w:w="108" w:type="dxa"/>
          </w:tblCellMar>
        </w:tblPrEx>
        <w:trPr>
          <w:trHeight w:val="690" w:hRule="atLeast"/>
        </w:trPr>
        <w:tc>
          <w:tcPr>
            <w:tcW w:w="4620" w:type="dxa"/>
            <w:tcBorders>
              <w:top w:val="nil"/>
              <w:left w:val="single" w:color="auto" w:sz="4" w:space="0"/>
              <w:bottom w:val="nil"/>
              <w:right w:val="nil"/>
            </w:tcBorders>
            <w:vAlign w:val="bottom"/>
          </w:tcPr>
          <w:p w14:paraId="3F08F370">
            <w:pPr>
              <w:pageBreakBefore w:val="0"/>
              <w:widowControl/>
              <w:kinsoku/>
              <w:overflowPunct/>
              <w:topLinePunct w:val="0"/>
              <w:bidi w:val="0"/>
              <w:spacing w:line="360" w:lineRule="auto"/>
              <w:ind w:firstLine="480"/>
              <w:jc w:val="left"/>
              <w:rPr>
                <w:rFonts w:ascii="Times New Roman" w:hAnsi="Times New Roman" w:cs="宋体"/>
                <w:color w:val="000000"/>
                <w:kern w:val="0"/>
                <w:sz w:val="24"/>
              </w:rPr>
            </w:pPr>
            <w:r>
              <w:rPr>
                <w:rFonts w:hint="eastAsia" w:ascii="Times New Roman" w:hAnsi="Times New Roman" w:cs="宋体"/>
                <w:color w:val="000000"/>
                <w:kern w:val="0"/>
                <w:sz w:val="24"/>
              </w:rPr>
              <w:t>供货单位（盖章）：</w:t>
            </w:r>
            <w:r>
              <w:rPr>
                <w:rFonts w:ascii="Times New Roman" w:hAnsi="Times New Roman" w:cs="宋体"/>
                <w:color w:val="000000"/>
                <w:kern w:val="0"/>
                <w:sz w:val="24"/>
              </w:rPr>
              <w:t xml:space="preserve">                     </w:t>
            </w:r>
          </w:p>
        </w:tc>
        <w:tc>
          <w:tcPr>
            <w:tcW w:w="4840" w:type="dxa"/>
            <w:vAlign w:val="center"/>
          </w:tcPr>
          <w:p w14:paraId="3B7F849D">
            <w:pPr>
              <w:pageBreakBefore w:val="0"/>
              <w:widowControl/>
              <w:kinsoku/>
              <w:overflowPunct/>
              <w:topLinePunct w:val="0"/>
              <w:bidi w:val="0"/>
              <w:spacing w:line="360" w:lineRule="auto"/>
              <w:ind w:firstLine="480"/>
              <w:jc w:val="right"/>
              <w:rPr>
                <w:rFonts w:ascii="Times New Roman" w:hAnsi="Times New Roman" w:cs="宋体"/>
                <w:color w:val="000000"/>
                <w:kern w:val="0"/>
                <w:sz w:val="24"/>
              </w:rPr>
            </w:pPr>
            <w:r>
              <w:rPr>
                <w:rFonts w:hint="eastAsia" w:ascii="Times New Roman" w:hAnsi="Times New Roman" w:cs="宋体"/>
                <w:color w:val="000000"/>
                <w:kern w:val="0"/>
                <w:sz w:val="24"/>
              </w:rPr>
              <w:t>采购人（盖章）：</w:t>
            </w:r>
          </w:p>
        </w:tc>
        <w:tc>
          <w:tcPr>
            <w:tcW w:w="2880" w:type="dxa"/>
            <w:gridSpan w:val="2"/>
            <w:vAlign w:val="bottom"/>
          </w:tcPr>
          <w:p w14:paraId="6CC2C159">
            <w:pPr>
              <w:pageBreakBefore w:val="0"/>
              <w:widowControl/>
              <w:kinsoku/>
              <w:overflowPunct/>
              <w:topLinePunct w:val="0"/>
              <w:bidi w:val="0"/>
              <w:spacing w:line="360" w:lineRule="auto"/>
              <w:ind w:firstLine="480"/>
              <w:jc w:val="left"/>
              <w:rPr>
                <w:rFonts w:ascii="Times New Roman" w:hAnsi="Times New Roman" w:cs="宋体"/>
                <w:color w:val="000000"/>
                <w:kern w:val="0"/>
                <w:sz w:val="24"/>
              </w:rPr>
            </w:pPr>
          </w:p>
        </w:tc>
        <w:tc>
          <w:tcPr>
            <w:tcW w:w="1740" w:type="dxa"/>
            <w:tcBorders>
              <w:top w:val="nil"/>
              <w:left w:val="nil"/>
              <w:bottom w:val="nil"/>
              <w:right w:val="single" w:color="auto" w:sz="4" w:space="0"/>
            </w:tcBorders>
            <w:vAlign w:val="bottom"/>
          </w:tcPr>
          <w:p w14:paraId="1D925634">
            <w:pPr>
              <w:pageBreakBefore w:val="0"/>
              <w:widowControl/>
              <w:kinsoku/>
              <w:overflowPunct/>
              <w:topLinePunct w:val="0"/>
              <w:bidi w:val="0"/>
              <w:spacing w:line="360" w:lineRule="auto"/>
              <w:ind w:firstLine="480"/>
              <w:jc w:val="left"/>
              <w:rPr>
                <w:rFonts w:ascii="Times New Roman" w:hAnsi="Times New Roman" w:cs="宋体"/>
                <w:color w:val="000000"/>
                <w:kern w:val="0"/>
                <w:sz w:val="24"/>
              </w:rPr>
            </w:pPr>
            <w:r>
              <w:rPr>
                <w:rFonts w:hint="eastAsia" w:ascii="Times New Roman" w:hAnsi="Times New Roman" w:cs="宋体"/>
                <w:color w:val="000000"/>
                <w:kern w:val="0"/>
                <w:sz w:val="24"/>
              </w:rPr>
              <w:t>　</w:t>
            </w:r>
          </w:p>
        </w:tc>
      </w:tr>
      <w:tr w14:paraId="51392F73">
        <w:tblPrEx>
          <w:tblCellMar>
            <w:top w:w="0" w:type="dxa"/>
            <w:left w:w="108" w:type="dxa"/>
            <w:bottom w:w="0" w:type="dxa"/>
            <w:right w:w="108" w:type="dxa"/>
          </w:tblCellMar>
        </w:tblPrEx>
        <w:trPr>
          <w:trHeight w:val="525" w:hRule="atLeast"/>
        </w:trPr>
        <w:tc>
          <w:tcPr>
            <w:tcW w:w="4620" w:type="dxa"/>
            <w:tcBorders>
              <w:top w:val="nil"/>
              <w:left w:val="single" w:color="auto" w:sz="4" w:space="0"/>
              <w:bottom w:val="nil"/>
              <w:right w:val="nil"/>
            </w:tcBorders>
            <w:vAlign w:val="bottom"/>
          </w:tcPr>
          <w:p w14:paraId="510452D6">
            <w:pPr>
              <w:pageBreakBefore w:val="0"/>
              <w:widowControl/>
              <w:kinsoku/>
              <w:overflowPunct/>
              <w:topLinePunct w:val="0"/>
              <w:bidi w:val="0"/>
              <w:spacing w:line="360" w:lineRule="auto"/>
              <w:ind w:firstLine="480"/>
              <w:jc w:val="left"/>
              <w:rPr>
                <w:rFonts w:ascii="Times New Roman" w:hAnsi="Times New Roman" w:cs="宋体"/>
                <w:color w:val="000000"/>
                <w:kern w:val="0"/>
                <w:sz w:val="24"/>
              </w:rPr>
            </w:pPr>
            <w:r>
              <w:rPr>
                <w:rFonts w:hint="eastAsia" w:ascii="Times New Roman" w:hAnsi="Times New Roman" w:cs="宋体"/>
                <w:color w:val="000000"/>
                <w:kern w:val="0"/>
                <w:sz w:val="24"/>
              </w:rPr>
              <w:t>经办项目负责人：</w:t>
            </w:r>
          </w:p>
        </w:tc>
        <w:tc>
          <w:tcPr>
            <w:tcW w:w="4840" w:type="dxa"/>
            <w:vAlign w:val="center"/>
          </w:tcPr>
          <w:p w14:paraId="1CED1873">
            <w:pPr>
              <w:pageBreakBefore w:val="0"/>
              <w:widowControl/>
              <w:kinsoku/>
              <w:overflowPunct/>
              <w:topLinePunct w:val="0"/>
              <w:bidi w:val="0"/>
              <w:spacing w:line="360" w:lineRule="auto"/>
              <w:ind w:firstLine="480"/>
              <w:jc w:val="right"/>
              <w:rPr>
                <w:rFonts w:ascii="Times New Roman" w:hAnsi="Times New Roman" w:cs="宋体"/>
                <w:color w:val="000000"/>
                <w:kern w:val="0"/>
                <w:sz w:val="24"/>
              </w:rPr>
            </w:pPr>
            <w:r>
              <w:rPr>
                <w:rFonts w:hint="eastAsia" w:ascii="Times New Roman" w:hAnsi="Times New Roman" w:cs="宋体"/>
                <w:color w:val="000000"/>
                <w:kern w:val="0"/>
                <w:sz w:val="24"/>
              </w:rPr>
              <w:t>项目验收组组长：</w:t>
            </w:r>
          </w:p>
        </w:tc>
        <w:tc>
          <w:tcPr>
            <w:tcW w:w="2880" w:type="dxa"/>
            <w:gridSpan w:val="2"/>
            <w:vAlign w:val="bottom"/>
          </w:tcPr>
          <w:p w14:paraId="66C23A31">
            <w:pPr>
              <w:pageBreakBefore w:val="0"/>
              <w:widowControl/>
              <w:kinsoku/>
              <w:overflowPunct/>
              <w:topLinePunct w:val="0"/>
              <w:bidi w:val="0"/>
              <w:spacing w:line="360" w:lineRule="auto"/>
              <w:ind w:firstLine="480"/>
              <w:jc w:val="left"/>
              <w:rPr>
                <w:rFonts w:ascii="Times New Roman" w:hAnsi="Times New Roman" w:cs="宋体"/>
                <w:color w:val="000000"/>
                <w:kern w:val="0"/>
                <w:sz w:val="24"/>
              </w:rPr>
            </w:pPr>
          </w:p>
        </w:tc>
        <w:tc>
          <w:tcPr>
            <w:tcW w:w="1740" w:type="dxa"/>
            <w:tcBorders>
              <w:top w:val="nil"/>
              <w:left w:val="nil"/>
              <w:bottom w:val="nil"/>
              <w:right w:val="single" w:color="auto" w:sz="4" w:space="0"/>
            </w:tcBorders>
            <w:vAlign w:val="bottom"/>
          </w:tcPr>
          <w:p w14:paraId="21A558B3">
            <w:pPr>
              <w:pageBreakBefore w:val="0"/>
              <w:widowControl/>
              <w:kinsoku/>
              <w:overflowPunct/>
              <w:topLinePunct w:val="0"/>
              <w:bidi w:val="0"/>
              <w:spacing w:line="360" w:lineRule="auto"/>
              <w:ind w:firstLine="480"/>
              <w:jc w:val="left"/>
              <w:rPr>
                <w:rFonts w:ascii="Times New Roman" w:hAnsi="Times New Roman" w:cs="宋体"/>
                <w:color w:val="000000"/>
                <w:kern w:val="0"/>
                <w:sz w:val="24"/>
              </w:rPr>
            </w:pPr>
            <w:r>
              <w:rPr>
                <w:rFonts w:hint="eastAsia" w:ascii="Times New Roman" w:hAnsi="Times New Roman" w:cs="宋体"/>
                <w:color w:val="000000"/>
                <w:kern w:val="0"/>
                <w:sz w:val="24"/>
              </w:rPr>
              <w:t>　</w:t>
            </w:r>
          </w:p>
        </w:tc>
      </w:tr>
      <w:tr w14:paraId="0FBEDC3A">
        <w:tblPrEx>
          <w:tblCellMar>
            <w:top w:w="0" w:type="dxa"/>
            <w:left w:w="108" w:type="dxa"/>
            <w:bottom w:w="0" w:type="dxa"/>
            <w:right w:w="108" w:type="dxa"/>
          </w:tblCellMar>
        </w:tblPrEx>
        <w:trPr>
          <w:trHeight w:val="525" w:hRule="atLeast"/>
        </w:trPr>
        <w:tc>
          <w:tcPr>
            <w:tcW w:w="4620" w:type="dxa"/>
            <w:tcBorders>
              <w:top w:val="nil"/>
              <w:left w:val="single" w:color="auto" w:sz="4" w:space="0"/>
              <w:bottom w:val="nil"/>
              <w:right w:val="nil"/>
            </w:tcBorders>
            <w:vAlign w:val="bottom"/>
          </w:tcPr>
          <w:p w14:paraId="5A8E3119">
            <w:pPr>
              <w:pageBreakBefore w:val="0"/>
              <w:widowControl/>
              <w:kinsoku/>
              <w:overflowPunct/>
              <w:topLinePunct w:val="0"/>
              <w:bidi w:val="0"/>
              <w:spacing w:line="360" w:lineRule="auto"/>
              <w:ind w:firstLine="480"/>
              <w:jc w:val="left"/>
              <w:rPr>
                <w:rFonts w:ascii="Times New Roman" w:hAnsi="Times New Roman" w:cs="宋体"/>
                <w:color w:val="000000"/>
                <w:kern w:val="0"/>
                <w:sz w:val="24"/>
              </w:rPr>
            </w:pPr>
            <w:r>
              <w:rPr>
                <w:rFonts w:hint="eastAsia" w:ascii="Times New Roman" w:hAnsi="Times New Roman" w:cs="宋体"/>
                <w:color w:val="000000"/>
                <w:kern w:val="0"/>
                <w:sz w:val="24"/>
              </w:rPr>
              <w:t>联系电话：</w:t>
            </w:r>
          </w:p>
        </w:tc>
        <w:tc>
          <w:tcPr>
            <w:tcW w:w="4840" w:type="dxa"/>
            <w:vAlign w:val="center"/>
          </w:tcPr>
          <w:p w14:paraId="0B586EA3">
            <w:pPr>
              <w:pageBreakBefore w:val="0"/>
              <w:widowControl/>
              <w:kinsoku/>
              <w:overflowPunct/>
              <w:topLinePunct w:val="0"/>
              <w:bidi w:val="0"/>
              <w:spacing w:line="360" w:lineRule="auto"/>
              <w:ind w:firstLine="480"/>
              <w:jc w:val="right"/>
              <w:rPr>
                <w:rFonts w:ascii="Times New Roman" w:hAnsi="Times New Roman" w:cs="宋体"/>
                <w:color w:val="000000"/>
                <w:kern w:val="0"/>
                <w:sz w:val="24"/>
              </w:rPr>
            </w:pPr>
            <w:r>
              <w:rPr>
                <w:rFonts w:hint="eastAsia" w:ascii="Times New Roman" w:hAnsi="Times New Roman" w:cs="宋体"/>
                <w:color w:val="000000"/>
                <w:kern w:val="0"/>
                <w:sz w:val="24"/>
              </w:rPr>
              <w:t>联系电话：</w:t>
            </w:r>
          </w:p>
        </w:tc>
        <w:tc>
          <w:tcPr>
            <w:tcW w:w="1280" w:type="dxa"/>
            <w:vAlign w:val="bottom"/>
          </w:tcPr>
          <w:p w14:paraId="31527319">
            <w:pPr>
              <w:pageBreakBefore w:val="0"/>
              <w:widowControl/>
              <w:kinsoku/>
              <w:overflowPunct/>
              <w:topLinePunct w:val="0"/>
              <w:bidi w:val="0"/>
              <w:spacing w:line="360" w:lineRule="auto"/>
              <w:ind w:firstLine="480"/>
              <w:jc w:val="left"/>
              <w:rPr>
                <w:rFonts w:ascii="Times New Roman" w:hAnsi="Times New Roman" w:cs="宋体"/>
                <w:color w:val="000000"/>
                <w:kern w:val="0"/>
                <w:sz w:val="24"/>
              </w:rPr>
            </w:pPr>
          </w:p>
        </w:tc>
        <w:tc>
          <w:tcPr>
            <w:tcW w:w="1600" w:type="dxa"/>
            <w:vAlign w:val="bottom"/>
          </w:tcPr>
          <w:p w14:paraId="1C0DF005">
            <w:pPr>
              <w:pageBreakBefore w:val="0"/>
              <w:widowControl/>
              <w:kinsoku/>
              <w:overflowPunct/>
              <w:topLinePunct w:val="0"/>
              <w:bidi w:val="0"/>
              <w:spacing w:line="360" w:lineRule="auto"/>
              <w:ind w:firstLine="480"/>
              <w:jc w:val="left"/>
              <w:rPr>
                <w:rFonts w:ascii="Times New Roman" w:hAnsi="Times New Roman" w:cs="宋体"/>
                <w:color w:val="000000"/>
                <w:kern w:val="0"/>
                <w:sz w:val="24"/>
              </w:rPr>
            </w:pPr>
          </w:p>
        </w:tc>
        <w:tc>
          <w:tcPr>
            <w:tcW w:w="1740" w:type="dxa"/>
            <w:tcBorders>
              <w:top w:val="nil"/>
              <w:left w:val="nil"/>
              <w:bottom w:val="nil"/>
              <w:right w:val="single" w:color="auto" w:sz="4" w:space="0"/>
            </w:tcBorders>
            <w:vAlign w:val="bottom"/>
          </w:tcPr>
          <w:p w14:paraId="18CAAA12">
            <w:pPr>
              <w:pageBreakBefore w:val="0"/>
              <w:widowControl/>
              <w:kinsoku/>
              <w:overflowPunct/>
              <w:topLinePunct w:val="0"/>
              <w:bidi w:val="0"/>
              <w:spacing w:line="360" w:lineRule="auto"/>
              <w:ind w:firstLine="480"/>
              <w:jc w:val="left"/>
              <w:rPr>
                <w:rFonts w:ascii="Times New Roman" w:hAnsi="Times New Roman" w:cs="宋体"/>
                <w:color w:val="000000"/>
                <w:kern w:val="0"/>
                <w:sz w:val="24"/>
              </w:rPr>
            </w:pPr>
            <w:r>
              <w:rPr>
                <w:rFonts w:hint="eastAsia" w:ascii="Times New Roman" w:hAnsi="Times New Roman" w:cs="宋体"/>
                <w:color w:val="000000"/>
                <w:kern w:val="0"/>
                <w:sz w:val="24"/>
              </w:rPr>
              <w:t>　</w:t>
            </w:r>
          </w:p>
        </w:tc>
      </w:tr>
      <w:tr w14:paraId="7967DB13">
        <w:tblPrEx>
          <w:tblCellMar>
            <w:top w:w="0" w:type="dxa"/>
            <w:left w:w="108" w:type="dxa"/>
            <w:bottom w:w="0" w:type="dxa"/>
            <w:right w:w="108" w:type="dxa"/>
          </w:tblCellMar>
        </w:tblPrEx>
        <w:trPr>
          <w:trHeight w:val="540" w:hRule="atLeast"/>
        </w:trPr>
        <w:tc>
          <w:tcPr>
            <w:tcW w:w="4620" w:type="dxa"/>
            <w:tcBorders>
              <w:top w:val="nil"/>
              <w:left w:val="single" w:color="auto" w:sz="4" w:space="0"/>
              <w:bottom w:val="nil"/>
              <w:right w:val="nil"/>
            </w:tcBorders>
            <w:vAlign w:val="bottom"/>
          </w:tcPr>
          <w:p w14:paraId="200F2459">
            <w:pPr>
              <w:pageBreakBefore w:val="0"/>
              <w:widowControl/>
              <w:kinsoku/>
              <w:overflowPunct/>
              <w:topLinePunct w:val="0"/>
              <w:bidi w:val="0"/>
              <w:spacing w:line="360" w:lineRule="auto"/>
              <w:ind w:firstLine="480"/>
              <w:jc w:val="left"/>
              <w:rPr>
                <w:rFonts w:ascii="Times New Roman" w:hAnsi="Times New Roman" w:cs="宋体"/>
                <w:color w:val="000000"/>
                <w:kern w:val="0"/>
                <w:sz w:val="24"/>
              </w:rPr>
            </w:pPr>
            <w:r>
              <w:rPr>
                <w:rFonts w:hint="eastAsia" w:ascii="Times New Roman" w:hAnsi="Times New Roman" w:cs="宋体"/>
                <w:color w:val="000000"/>
                <w:kern w:val="0"/>
                <w:sz w:val="24"/>
              </w:rPr>
              <w:t>开户银行：</w:t>
            </w:r>
          </w:p>
        </w:tc>
        <w:tc>
          <w:tcPr>
            <w:tcW w:w="4840" w:type="dxa"/>
            <w:vAlign w:val="center"/>
          </w:tcPr>
          <w:p w14:paraId="7F1C9627">
            <w:pPr>
              <w:pageBreakBefore w:val="0"/>
              <w:widowControl/>
              <w:kinsoku/>
              <w:overflowPunct/>
              <w:topLinePunct w:val="0"/>
              <w:bidi w:val="0"/>
              <w:spacing w:line="360" w:lineRule="auto"/>
              <w:ind w:firstLine="480"/>
              <w:jc w:val="right"/>
              <w:rPr>
                <w:rFonts w:ascii="Times New Roman" w:hAnsi="Times New Roman" w:cs="宋体"/>
                <w:color w:val="000000"/>
                <w:kern w:val="0"/>
                <w:sz w:val="24"/>
              </w:rPr>
            </w:pPr>
            <w:r>
              <w:rPr>
                <w:rFonts w:hint="eastAsia" w:ascii="Times New Roman" w:hAnsi="Times New Roman" w:cs="宋体"/>
                <w:color w:val="000000"/>
                <w:kern w:val="0"/>
                <w:sz w:val="24"/>
              </w:rPr>
              <w:t>项目验收组成员（签名）：</w:t>
            </w:r>
          </w:p>
        </w:tc>
        <w:tc>
          <w:tcPr>
            <w:tcW w:w="1280" w:type="dxa"/>
            <w:vAlign w:val="bottom"/>
          </w:tcPr>
          <w:p w14:paraId="06E5AB92">
            <w:pPr>
              <w:pageBreakBefore w:val="0"/>
              <w:widowControl/>
              <w:kinsoku/>
              <w:overflowPunct/>
              <w:topLinePunct w:val="0"/>
              <w:bidi w:val="0"/>
              <w:spacing w:line="360" w:lineRule="auto"/>
              <w:ind w:firstLine="480"/>
              <w:jc w:val="left"/>
              <w:rPr>
                <w:rFonts w:ascii="Times New Roman" w:hAnsi="Times New Roman" w:cs="宋体"/>
                <w:color w:val="000000"/>
                <w:kern w:val="0"/>
                <w:sz w:val="24"/>
              </w:rPr>
            </w:pPr>
          </w:p>
        </w:tc>
        <w:tc>
          <w:tcPr>
            <w:tcW w:w="1600" w:type="dxa"/>
            <w:vAlign w:val="bottom"/>
          </w:tcPr>
          <w:p w14:paraId="09A15DAA">
            <w:pPr>
              <w:pageBreakBefore w:val="0"/>
              <w:widowControl/>
              <w:kinsoku/>
              <w:overflowPunct/>
              <w:topLinePunct w:val="0"/>
              <w:bidi w:val="0"/>
              <w:spacing w:line="360" w:lineRule="auto"/>
              <w:ind w:firstLine="480"/>
              <w:jc w:val="left"/>
              <w:rPr>
                <w:rFonts w:ascii="Times New Roman" w:hAnsi="Times New Roman" w:cs="宋体"/>
                <w:color w:val="000000"/>
                <w:kern w:val="0"/>
                <w:sz w:val="24"/>
              </w:rPr>
            </w:pPr>
          </w:p>
        </w:tc>
        <w:tc>
          <w:tcPr>
            <w:tcW w:w="1740" w:type="dxa"/>
            <w:tcBorders>
              <w:top w:val="nil"/>
              <w:left w:val="nil"/>
              <w:bottom w:val="nil"/>
              <w:right w:val="single" w:color="auto" w:sz="4" w:space="0"/>
            </w:tcBorders>
            <w:vAlign w:val="bottom"/>
          </w:tcPr>
          <w:p w14:paraId="2946C03A">
            <w:pPr>
              <w:pageBreakBefore w:val="0"/>
              <w:widowControl/>
              <w:kinsoku/>
              <w:overflowPunct/>
              <w:topLinePunct w:val="0"/>
              <w:bidi w:val="0"/>
              <w:spacing w:line="360" w:lineRule="auto"/>
              <w:ind w:firstLine="480"/>
              <w:jc w:val="left"/>
              <w:rPr>
                <w:rFonts w:ascii="Times New Roman" w:hAnsi="Times New Roman" w:cs="宋体"/>
                <w:color w:val="000000"/>
                <w:kern w:val="0"/>
                <w:sz w:val="24"/>
              </w:rPr>
            </w:pPr>
            <w:r>
              <w:rPr>
                <w:rFonts w:hint="eastAsia" w:ascii="Times New Roman" w:hAnsi="Times New Roman" w:cs="宋体"/>
                <w:color w:val="000000"/>
                <w:kern w:val="0"/>
                <w:sz w:val="24"/>
              </w:rPr>
              <w:t>　</w:t>
            </w:r>
          </w:p>
        </w:tc>
      </w:tr>
      <w:tr w14:paraId="22A98613">
        <w:tblPrEx>
          <w:tblCellMar>
            <w:top w:w="0" w:type="dxa"/>
            <w:left w:w="108" w:type="dxa"/>
            <w:bottom w:w="0" w:type="dxa"/>
            <w:right w:w="108" w:type="dxa"/>
          </w:tblCellMar>
        </w:tblPrEx>
        <w:trPr>
          <w:trHeight w:val="431" w:hRule="atLeast"/>
        </w:trPr>
        <w:tc>
          <w:tcPr>
            <w:tcW w:w="4620" w:type="dxa"/>
            <w:tcBorders>
              <w:top w:val="nil"/>
              <w:left w:val="single" w:color="auto" w:sz="4" w:space="0"/>
              <w:bottom w:val="single" w:color="auto" w:sz="4" w:space="0"/>
              <w:right w:val="nil"/>
            </w:tcBorders>
            <w:vAlign w:val="center"/>
          </w:tcPr>
          <w:p w14:paraId="29471C2A">
            <w:pPr>
              <w:pageBreakBefore w:val="0"/>
              <w:widowControl/>
              <w:kinsoku/>
              <w:overflowPunct/>
              <w:topLinePunct w:val="0"/>
              <w:bidi w:val="0"/>
              <w:spacing w:line="360" w:lineRule="auto"/>
              <w:ind w:firstLine="480"/>
              <w:rPr>
                <w:rFonts w:ascii="Times New Roman" w:hAnsi="Times New Roman" w:cs="宋体"/>
                <w:color w:val="000000"/>
                <w:kern w:val="0"/>
                <w:sz w:val="24"/>
              </w:rPr>
            </w:pPr>
            <w:r>
              <w:rPr>
                <w:rFonts w:hint="eastAsia" w:ascii="Times New Roman" w:hAnsi="Times New Roman" w:cs="宋体"/>
                <w:color w:val="000000"/>
                <w:kern w:val="0"/>
                <w:sz w:val="24"/>
              </w:rPr>
              <w:t>银行账号：</w:t>
            </w:r>
          </w:p>
        </w:tc>
        <w:tc>
          <w:tcPr>
            <w:tcW w:w="4840" w:type="dxa"/>
            <w:tcBorders>
              <w:top w:val="nil"/>
              <w:left w:val="nil"/>
              <w:bottom w:val="single" w:color="auto" w:sz="4" w:space="0"/>
              <w:right w:val="nil"/>
            </w:tcBorders>
            <w:vAlign w:val="bottom"/>
          </w:tcPr>
          <w:p w14:paraId="779C3BAD">
            <w:pPr>
              <w:pageBreakBefore w:val="0"/>
              <w:widowControl/>
              <w:kinsoku/>
              <w:overflowPunct/>
              <w:topLinePunct w:val="0"/>
              <w:bidi w:val="0"/>
              <w:spacing w:line="360" w:lineRule="auto"/>
              <w:ind w:firstLine="480"/>
              <w:jc w:val="left"/>
              <w:rPr>
                <w:rFonts w:ascii="Times New Roman" w:hAnsi="Times New Roman" w:cs="宋体"/>
                <w:color w:val="000000"/>
                <w:kern w:val="0"/>
                <w:sz w:val="24"/>
              </w:rPr>
            </w:pPr>
            <w:r>
              <w:rPr>
                <w:rFonts w:hint="eastAsia" w:ascii="Times New Roman" w:hAnsi="Times New Roman" w:cs="宋体"/>
                <w:color w:val="000000"/>
                <w:kern w:val="0"/>
                <w:sz w:val="24"/>
              </w:rPr>
              <w:t>　</w:t>
            </w:r>
          </w:p>
        </w:tc>
        <w:tc>
          <w:tcPr>
            <w:tcW w:w="4620" w:type="dxa"/>
            <w:gridSpan w:val="3"/>
            <w:tcBorders>
              <w:top w:val="nil"/>
              <w:left w:val="nil"/>
              <w:bottom w:val="single" w:color="auto" w:sz="4" w:space="0"/>
              <w:right w:val="single" w:color="000000" w:sz="4" w:space="0"/>
            </w:tcBorders>
            <w:vAlign w:val="center"/>
          </w:tcPr>
          <w:p w14:paraId="0291B730">
            <w:pPr>
              <w:pageBreakBefore w:val="0"/>
              <w:widowControl/>
              <w:kinsoku/>
              <w:overflowPunct/>
              <w:topLinePunct w:val="0"/>
              <w:bidi w:val="0"/>
              <w:spacing w:line="360" w:lineRule="auto"/>
              <w:ind w:firstLine="480"/>
              <w:rPr>
                <w:rFonts w:ascii="Times New Roman" w:hAnsi="Times New Roman" w:cs="宋体"/>
                <w:color w:val="000000"/>
                <w:kern w:val="0"/>
                <w:sz w:val="24"/>
              </w:rPr>
            </w:pPr>
            <w:r>
              <w:rPr>
                <w:rFonts w:hint="eastAsia" w:ascii="Times New Roman" w:hAnsi="Times New Roman" w:cs="宋体"/>
                <w:color w:val="000000"/>
                <w:kern w:val="0"/>
                <w:sz w:val="24"/>
              </w:rPr>
              <w:t>验收时间：</w:t>
            </w:r>
            <w:r>
              <w:rPr>
                <w:rFonts w:ascii="Times New Roman" w:hAnsi="Times New Roman" w:cs="宋体"/>
                <w:color w:val="000000"/>
                <w:kern w:val="0"/>
                <w:sz w:val="24"/>
              </w:rPr>
              <w:t xml:space="preserve">       </w:t>
            </w:r>
            <w:r>
              <w:rPr>
                <w:rFonts w:hint="eastAsia" w:ascii="Times New Roman" w:hAnsi="Times New Roman" w:cs="宋体"/>
                <w:color w:val="000000"/>
                <w:kern w:val="0"/>
                <w:sz w:val="24"/>
              </w:rPr>
              <w:t>年</w:t>
            </w:r>
            <w:r>
              <w:rPr>
                <w:rFonts w:ascii="Times New Roman" w:hAnsi="Times New Roman" w:cs="宋体"/>
                <w:color w:val="000000"/>
                <w:kern w:val="0"/>
                <w:sz w:val="24"/>
              </w:rPr>
              <w:t xml:space="preserve">     </w:t>
            </w:r>
            <w:r>
              <w:rPr>
                <w:rFonts w:hint="eastAsia" w:ascii="Times New Roman" w:hAnsi="Times New Roman" w:cs="宋体"/>
                <w:color w:val="000000"/>
                <w:kern w:val="0"/>
                <w:sz w:val="24"/>
              </w:rPr>
              <w:t>月</w:t>
            </w:r>
            <w:r>
              <w:rPr>
                <w:rFonts w:ascii="Times New Roman" w:hAnsi="Times New Roman" w:cs="宋体"/>
                <w:color w:val="000000"/>
                <w:kern w:val="0"/>
                <w:sz w:val="24"/>
              </w:rPr>
              <w:t xml:space="preserve">     </w:t>
            </w:r>
            <w:r>
              <w:rPr>
                <w:rFonts w:hint="eastAsia" w:ascii="Times New Roman" w:hAnsi="Times New Roman" w:cs="宋体"/>
                <w:color w:val="000000"/>
                <w:kern w:val="0"/>
                <w:sz w:val="24"/>
              </w:rPr>
              <w:t>日</w:t>
            </w:r>
          </w:p>
        </w:tc>
      </w:tr>
      <w:tr w14:paraId="3EC30ADB">
        <w:tblPrEx>
          <w:tblCellMar>
            <w:top w:w="0" w:type="dxa"/>
            <w:left w:w="108" w:type="dxa"/>
            <w:bottom w:w="0" w:type="dxa"/>
            <w:right w:w="108" w:type="dxa"/>
          </w:tblCellMar>
        </w:tblPrEx>
        <w:trPr>
          <w:trHeight w:val="345" w:hRule="atLeast"/>
        </w:trPr>
        <w:tc>
          <w:tcPr>
            <w:tcW w:w="14080" w:type="dxa"/>
            <w:gridSpan w:val="5"/>
            <w:tcBorders>
              <w:top w:val="single" w:color="auto" w:sz="4" w:space="0"/>
              <w:left w:val="nil"/>
              <w:bottom w:val="nil"/>
              <w:right w:val="nil"/>
            </w:tcBorders>
            <w:vAlign w:val="center"/>
          </w:tcPr>
          <w:p w14:paraId="5544E076">
            <w:pPr>
              <w:pageBreakBefore w:val="0"/>
              <w:widowControl/>
              <w:kinsoku/>
              <w:overflowPunct/>
              <w:topLinePunct w:val="0"/>
              <w:bidi w:val="0"/>
              <w:spacing w:line="360" w:lineRule="auto"/>
              <w:ind w:firstLine="440"/>
              <w:jc w:val="left"/>
              <w:rPr>
                <w:rFonts w:ascii="Times New Roman" w:hAnsi="Times New Roman" w:cs="宋体"/>
                <w:color w:val="000000"/>
                <w:kern w:val="0"/>
                <w:sz w:val="22"/>
              </w:rPr>
            </w:pPr>
            <w:r>
              <w:rPr>
                <w:rFonts w:hint="eastAsia" w:ascii="Times New Roman" w:hAnsi="Times New Roman" w:cs="宋体"/>
                <w:color w:val="000000"/>
                <w:kern w:val="0"/>
                <w:sz w:val="22"/>
              </w:rPr>
              <w:t>本单一式四联：第一联采购人留存，第二联作为财政支付凭证，第三联供货单位留存，第四联采购办存档备查。</w:t>
            </w:r>
          </w:p>
          <w:p w14:paraId="499B060B">
            <w:pPr>
              <w:pageBreakBefore w:val="0"/>
              <w:kinsoku/>
              <w:overflowPunct/>
              <w:topLinePunct w:val="0"/>
              <w:bidi w:val="0"/>
              <w:spacing w:line="360" w:lineRule="auto"/>
              <w:rPr>
                <w:rFonts w:ascii="Times New Roman" w:hAnsi="Times New Roman" w:cs="宋体"/>
                <w:color w:val="000000"/>
                <w:sz w:val="22"/>
              </w:rPr>
            </w:pPr>
          </w:p>
          <w:p w14:paraId="06BD201B">
            <w:pPr>
              <w:pageBreakBefore w:val="0"/>
              <w:kinsoku/>
              <w:overflowPunct/>
              <w:topLinePunct w:val="0"/>
              <w:bidi w:val="0"/>
              <w:spacing w:line="360" w:lineRule="auto"/>
              <w:ind w:firstLine="440"/>
              <w:rPr>
                <w:rFonts w:ascii="Times New Roman" w:hAnsi="Times New Roman" w:cs="宋体"/>
                <w:color w:val="000000"/>
                <w:sz w:val="22"/>
              </w:rPr>
            </w:pPr>
          </w:p>
        </w:tc>
      </w:tr>
    </w:tbl>
    <w:p w14:paraId="3919B0B9">
      <w:pPr>
        <w:pageBreakBefore w:val="0"/>
        <w:widowControl/>
        <w:kinsoku/>
        <w:overflowPunct/>
        <w:topLinePunct w:val="0"/>
        <w:bidi w:val="0"/>
        <w:spacing w:line="360" w:lineRule="auto"/>
        <w:ind w:firstLine="420"/>
        <w:jc w:val="left"/>
        <w:rPr>
          <w:rFonts w:ascii="Times New Roman" w:hAnsi="Times New Roman"/>
          <w:color w:val="000000"/>
          <w:szCs w:val="21"/>
        </w:rPr>
        <w:sectPr>
          <w:pgSz w:w="16838" w:h="11906" w:orient="landscape"/>
          <w:pgMar w:top="1797" w:right="1474" w:bottom="1559" w:left="1247" w:header="851" w:footer="851" w:gutter="0"/>
          <w:cols w:space="720" w:num="1"/>
        </w:sectPr>
      </w:pPr>
    </w:p>
    <w:p w14:paraId="467ED6F0">
      <w:pPr>
        <w:pStyle w:val="48"/>
        <w:pageBreakBefore w:val="0"/>
        <w:kinsoku/>
        <w:overflowPunct/>
        <w:topLinePunct w:val="0"/>
        <w:bidi w:val="0"/>
        <w:spacing w:before="120" w:line="360" w:lineRule="auto"/>
        <w:ind w:firstLine="643"/>
        <w:rPr>
          <w:rFonts w:ascii="Times New Roman" w:hAnsi="Times New Roman"/>
          <w:color w:val="000000"/>
          <w:sz w:val="21"/>
          <w:szCs w:val="21"/>
        </w:rPr>
      </w:pPr>
      <w:bookmarkStart w:id="641" w:name="_Toc11067543"/>
      <w:r>
        <w:rPr>
          <w:rFonts w:hint="eastAsia" w:ascii="Times New Roman" w:hAnsi="Times New Roman"/>
          <w:color w:val="000000"/>
        </w:rPr>
        <w:t>第六章</w:t>
      </w:r>
      <w:r>
        <w:rPr>
          <w:rFonts w:ascii="Times New Roman" w:hAnsi="Times New Roman"/>
          <w:color w:val="000000"/>
        </w:rPr>
        <w:t xml:space="preserve">  </w:t>
      </w:r>
      <w:r>
        <w:rPr>
          <w:rFonts w:hint="eastAsia" w:ascii="Times New Roman" w:hAnsi="Times New Roman"/>
          <w:color w:val="000000"/>
        </w:rPr>
        <w:t>投标文件格式</w:t>
      </w:r>
      <w:bookmarkEnd w:id="641"/>
    </w:p>
    <w:p w14:paraId="2104B46B">
      <w:pPr>
        <w:pStyle w:val="198"/>
        <w:pageBreakBefore w:val="0"/>
        <w:kinsoku/>
        <w:overflowPunct/>
        <w:topLinePunct w:val="0"/>
        <w:bidi w:val="0"/>
        <w:snapToGrid w:val="0"/>
        <w:spacing w:line="360" w:lineRule="auto"/>
        <w:ind w:firstLine="643"/>
        <w:jc w:val="center"/>
        <w:rPr>
          <w:rFonts w:ascii="Times New Roman" w:hAnsi="Times New Roman" w:eastAsia="宋体" w:cs="宋体"/>
          <w:b/>
          <w:color w:val="000000"/>
          <w:sz w:val="32"/>
          <w:szCs w:val="32"/>
        </w:rPr>
      </w:pPr>
      <w:bookmarkStart w:id="642" w:name="_Toc430786286"/>
    </w:p>
    <w:p w14:paraId="0361C424">
      <w:pPr>
        <w:pStyle w:val="198"/>
        <w:pageBreakBefore w:val="0"/>
        <w:kinsoku/>
        <w:overflowPunct/>
        <w:topLinePunct w:val="0"/>
        <w:bidi w:val="0"/>
        <w:snapToGrid w:val="0"/>
        <w:spacing w:line="360" w:lineRule="auto"/>
        <w:ind w:firstLine="643"/>
        <w:jc w:val="center"/>
        <w:rPr>
          <w:rFonts w:ascii="Times New Roman" w:hAnsi="Times New Roman" w:eastAsia="宋体" w:cs="宋体"/>
          <w:b/>
          <w:color w:val="000000"/>
          <w:sz w:val="32"/>
          <w:szCs w:val="32"/>
        </w:rPr>
      </w:pPr>
      <w:r>
        <w:rPr>
          <w:rFonts w:hint="eastAsia" w:ascii="Times New Roman" w:hAnsi="Times New Roman" w:eastAsia="宋体" w:cs="宋体"/>
          <w:b/>
          <w:color w:val="000000"/>
          <w:sz w:val="32"/>
          <w:szCs w:val="32"/>
        </w:rPr>
        <w:t>政府采购活动现场确认声明书</w:t>
      </w:r>
    </w:p>
    <w:p w14:paraId="6CA092E9">
      <w:pPr>
        <w:pStyle w:val="198"/>
        <w:pageBreakBefore w:val="0"/>
        <w:kinsoku/>
        <w:overflowPunct/>
        <w:topLinePunct w:val="0"/>
        <w:bidi w:val="0"/>
        <w:snapToGrid w:val="0"/>
        <w:spacing w:line="360" w:lineRule="auto"/>
        <w:ind w:firstLine="482"/>
        <w:jc w:val="center"/>
        <w:rPr>
          <w:rFonts w:ascii="Times New Roman" w:hAnsi="Times New Roman" w:eastAsia="宋体" w:cs="宋体"/>
          <w:b/>
          <w:color w:val="000000"/>
          <w:sz w:val="24"/>
          <w:szCs w:val="24"/>
        </w:rPr>
      </w:pPr>
      <w:r>
        <w:rPr>
          <w:rFonts w:hint="eastAsia" w:ascii="Times New Roman" w:hAnsi="Times New Roman" w:eastAsia="宋体" w:cs="宋体"/>
          <w:b/>
          <w:color w:val="000000"/>
          <w:sz w:val="24"/>
          <w:szCs w:val="24"/>
        </w:rPr>
        <w:t>（要求在电子投标文件解密后，将以下表格填写完成后，通过电子邮件方式将清晰扫描件传给932495629</w:t>
      </w:r>
      <w:r>
        <w:rPr>
          <w:rFonts w:ascii="Times New Roman" w:hAnsi="Times New Roman" w:eastAsia="宋体" w:cs="宋体"/>
          <w:b/>
          <w:color w:val="000000"/>
          <w:sz w:val="24"/>
          <w:szCs w:val="24"/>
        </w:rPr>
        <w:t>@qq.com</w:t>
      </w:r>
      <w:r>
        <w:rPr>
          <w:rFonts w:hint="eastAsia" w:ascii="Times New Roman" w:hAnsi="Times New Roman" w:eastAsia="宋体" w:cs="宋体"/>
          <w:b/>
          <w:color w:val="000000"/>
          <w:sz w:val="24"/>
          <w:szCs w:val="24"/>
        </w:rPr>
        <w:t>，不要封存于投标文件里）</w:t>
      </w:r>
    </w:p>
    <w:p w14:paraId="2F42ED51">
      <w:pPr>
        <w:pStyle w:val="198"/>
        <w:pageBreakBefore w:val="0"/>
        <w:kinsoku/>
        <w:overflowPunct/>
        <w:topLinePunct w:val="0"/>
        <w:bidi w:val="0"/>
        <w:snapToGrid w:val="0"/>
        <w:spacing w:line="360" w:lineRule="auto"/>
        <w:ind w:firstLine="420"/>
        <w:rPr>
          <w:rFonts w:ascii="Times New Roman" w:hAnsi="Times New Roman" w:eastAsia="宋体" w:cs="宋体"/>
          <w:color w:val="000000"/>
          <w:kern w:val="0"/>
          <w:sz w:val="21"/>
          <w:szCs w:val="21"/>
        </w:rPr>
      </w:pPr>
      <w:r>
        <w:rPr>
          <w:rFonts w:ascii="Times New Roman" w:hAnsi="Times New Roman" w:eastAsia="宋体" w:cs="宋体"/>
          <w:color w:val="000000"/>
          <w:kern w:val="0"/>
          <w:sz w:val="21"/>
          <w:szCs w:val="21"/>
        </w:rPr>
        <w:t xml:space="preserve"> </w:t>
      </w:r>
    </w:p>
    <w:p w14:paraId="34E7BA3D">
      <w:pPr>
        <w:pStyle w:val="198"/>
        <w:pageBreakBefore w:val="0"/>
        <w:kinsoku/>
        <w:overflowPunct/>
        <w:topLinePunct w:val="0"/>
        <w:bidi w:val="0"/>
        <w:snapToGrid w:val="0"/>
        <w:spacing w:line="360" w:lineRule="auto"/>
        <w:rPr>
          <w:rFonts w:ascii="Times New Roman" w:hAnsi="Times New Roman" w:eastAsia="宋体" w:cs="宋体"/>
          <w:b/>
          <w:color w:val="000000"/>
          <w:sz w:val="21"/>
          <w:szCs w:val="21"/>
        </w:rPr>
      </w:pPr>
      <w:r>
        <w:rPr>
          <w:rFonts w:hint="eastAsia" w:ascii="Times New Roman" w:hAnsi="Times New Roman" w:eastAsia="宋体" w:cs="宋体"/>
          <w:color w:val="000000"/>
          <w:kern w:val="0"/>
          <w:sz w:val="21"/>
          <w:szCs w:val="21"/>
        </w:rPr>
        <w:t>嘉兴市秀洲区公路与运输管理服务中心：</w:t>
      </w:r>
    </w:p>
    <w:p w14:paraId="5E723D54">
      <w:pPr>
        <w:pStyle w:val="198"/>
        <w:pageBreakBefore w:val="0"/>
        <w:kinsoku/>
        <w:overflowPunct/>
        <w:topLinePunct w:val="0"/>
        <w:bidi w:val="0"/>
        <w:snapToGrid w:val="0"/>
        <w:spacing w:line="360" w:lineRule="auto"/>
        <w:ind w:firstLine="444" w:firstLineChars="200"/>
        <w:rPr>
          <w:rFonts w:ascii="Times New Roman" w:hAnsi="Times New Roman" w:eastAsia="宋体" w:cs="宋体"/>
          <w:color w:val="000000"/>
          <w:spacing w:val="6"/>
          <w:sz w:val="21"/>
          <w:szCs w:val="21"/>
        </w:rPr>
      </w:pPr>
      <w:r>
        <w:rPr>
          <w:rFonts w:hint="eastAsia" w:ascii="Times New Roman" w:hAnsi="Times New Roman" w:eastAsia="宋体" w:cs="宋体"/>
          <w:color w:val="000000"/>
          <w:spacing w:val="6"/>
          <w:sz w:val="21"/>
          <w:szCs w:val="21"/>
        </w:rPr>
        <w:t>本人经由</w:t>
      </w:r>
      <w:r>
        <w:rPr>
          <w:rFonts w:ascii="Times New Roman" w:hAnsi="Times New Roman" w:eastAsia="宋体" w:cs="宋体"/>
          <w:color w:val="000000"/>
          <w:spacing w:val="6"/>
          <w:sz w:val="21"/>
          <w:szCs w:val="21"/>
          <w:u w:val="single"/>
        </w:rPr>
        <w:t xml:space="preserve">      </w:t>
      </w:r>
      <w:r>
        <w:rPr>
          <w:rFonts w:hint="eastAsia" w:ascii="Times New Roman" w:hAnsi="Times New Roman" w:eastAsia="宋体" w:cs="宋体"/>
          <w:color w:val="000000"/>
          <w:spacing w:val="6"/>
          <w:sz w:val="21"/>
          <w:szCs w:val="21"/>
          <w:u w:val="single"/>
        </w:rPr>
        <w:t>（单位）</w:t>
      </w:r>
      <w:r>
        <w:rPr>
          <w:rFonts w:hint="eastAsia" w:ascii="Times New Roman" w:hAnsi="Times New Roman" w:eastAsia="宋体" w:cs="宋体"/>
          <w:color w:val="000000"/>
          <w:spacing w:val="6"/>
          <w:sz w:val="21"/>
          <w:szCs w:val="21"/>
        </w:rPr>
        <w:t>负责人</w:t>
      </w:r>
      <w:r>
        <w:rPr>
          <w:rFonts w:ascii="Times New Roman" w:hAnsi="Times New Roman" w:eastAsia="宋体" w:cs="宋体"/>
          <w:color w:val="000000"/>
          <w:spacing w:val="6"/>
          <w:sz w:val="21"/>
          <w:szCs w:val="21"/>
          <w:u w:val="single"/>
        </w:rPr>
        <w:t xml:space="preserve">      </w:t>
      </w:r>
      <w:r>
        <w:rPr>
          <w:rFonts w:hint="eastAsia" w:ascii="Times New Roman" w:hAnsi="Times New Roman" w:eastAsia="宋体" w:cs="宋体"/>
          <w:color w:val="000000"/>
          <w:spacing w:val="6"/>
          <w:sz w:val="21"/>
          <w:szCs w:val="21"/>
          <w:u w:val="single"/>
        </w:rPr>
        <w:t>（姓名）</w:t>
      </w:r>
      <w:r>
        <w:rPr>
          <w:rFonts w:hint="eastAsia" w:ascii="Times New Roman" w:hAnsi="Times New Roman" w:eastAsia="宋体" w:cs="宋体"/>
          <w:color w:val="000000"/>
          <w:spacing w:val="6"/>
          <w:sz w:val="21"/>
          <w:szCs w:val="21"/>
        </w:rPr>
        <w:t>合法授权参加</w:t>
      </w:r>
      <w:r>
        <w:rPr>
          <w:rFonts w:ascii="Times New Roman" w:hAnsi="Times New Roman" w:eastAsia="宋体" w:cs="宋体"/>
          <w:color w:val="000000"/>
          <w:spacing w:val="6"/>
          <w:sz w:val="21"/>
          <w:szCs w:val="21"/>
          <w:u w:val="single"/>
        </w:rPr>
        <w:t xml:space="preserve">                </w:t>
      </w:r>
      <w:r>
        <w:rPr>
          <w:rFonts w:hint="eastAsia" w:ascii="Times New Roman" w:hAnsi="Times New Roman" w:eastAsia="宋体" w:cs="宋体"/>
          <w:color w:val="000000"/>
          <w:spacing w:val="6"/>
          <w:sz w:val="21"/>
          <w:szCs w:val="21"/>
        </w:rPr>
        <w:t>项目（编号：</w:t>
      </w:r>
      <w:r>
        <w:rPr>
          <w:rFonts w:ascii="Times New Roman" w:hAnsi="Times New Roman" w:eastAsia="宋体" w:cs="宋体"/>
          <w:color w:val="000000"/>
          <w:spacing w:val="6"/>
          <w:sz w:val="21"/>
          <w:szCs w:val="21"/>
          <w:u w:val="single"/>
        </w:rPr>
        <w:t xml:space="preserve">        </w:t>
      </w:r>
      <w:r>
        <w:rPr>
          <w:rFonts w:hint="eastAsia" w:ascii="Times New Roman" w:hAnsi="Times New Roman" w:eastAsia="宋体" w:cs="宋体"/>
          <w:color w:val="000000"/>
          <w:spacing w:val="6"/>
          <w:sz w:val="21"/>
          <w:szCs w:val="21"/>
        </w:rPr>
        <w:t>）政府采购活动，经与本单位法人代表（负责人）联系确认，现就有关公平竞争事项郑重声明如下：</w:t>
      </w:r>
      <w:r>
        <w:rPr>
          <w:rFonts w:ascii="Times New Roman" w:hAnsi="Times New Roman" w:eastAsia="宋体" w:cs="宋体"/>
          <w:color w:val="000000"/>
          <w:spacing w:val="6"/>
          <w:sz w:val="21"/>
          <w:szCs w:val="21"/>
        </w:rPr>
        <w:t xml:space="preserve"> </w:t>
      </w:r>
    </w:p>
    <w:p w14:paraId="6EAB9DA9">
      <w:pPr>
        <w:pStyle w:val="273"/>
        <w:pageBreakBefore w:val="0"/>
        <w:widowControl/>
        <w:numPr>
          <w:ilvl w:val="0"/>
          <w:numId w:val="19"/>
        </w:numPr>
        <w:kinsoku/>
        <w:overflowPunct/>
        <w:topLinePunct w:val="0"/>
        <w:bidi w:val="0"/>
        <w:snapToGrid w:val="0"/>
        <w:spacing w:line="360" w:lineRule="auto"/>
        <w:ind w:firstLine="396" w:firstLineChars="189"/>
        <w:rPr>
          <w:rFonts w:ascii="Times New Roman" w:hAnsi="Times New Roman" w:cs="宋体"/>
          <w:color w:val="000000"/>
          <w:kern w:val="0"/>
          <w:szCs w:val="21"/>
        </w:rPr>
      </w:pPr>
      <w:r>
        <w:rPr>
          <w:rFonts w:hint="eastAsia" w:ascii="Times New Roman" w:hAnsi="Times New Roman" w:cs="宋体"/>
          <w:color w:val="000000"/>
          <w:kern w:val="0"/>
          <w:szCs w:val="21"/>
        </w:rPr>
        <w:t>本单位与采购人之间</w:t>
      </w:r>
      <w:r>
        <w:rPr>
          <w:rFonts w:ascii="Times New Roman" w:hAnsi="Times New Roman" w:cs="宋体"/>
          <w:color w:val="000000"/>
          <w:kern w:val="0"/>
          <w:szCs w:val="21"/>
        </w:rPr>
        <w:t xml:space="preserve"> </w:t>
      </w:r>
      <w:r>
        <w:rPr>
          <w:rFonts w:hint="eastAsia" w:ascii="Times New Roman" w:hAnsi="Times New Roman" w:cs="宋体"/>
          <w:color w:val="000000"/>
          <w:kern w:val="0"/>
          <w:szCs w:val="21"/>
        </w:rPr>
        <w:t>□不存在利害关系</w:t>
      </w:r>
      <w:r>
        <w:rPr>
          <w:rFonts w:ascii="Times New Roman" w:hAnsi="Times New Roman" w:cs="宋体"/>
          <w:color w:val="000000"/>
          <w:kern w:val="0"/>
          <w:szCs w:val="21"/>
        </w:rPr>
        <w:t xml:space="preserve"> </w:t>
      </w:r>
      <w:r>
        <w:rPr>
          <w:rFonts w:hint="eastAsia" w:ascii="Times New Roman" w:hAnsi="Times New Roman" w:cs="宋体"/>
          <w:color w:val="000000"/>
          <w:kern w:val="0"/>
          <w:szCs w:val="21"/>
        </w:rPr>
        <w:t>□存在下列利害关系</w:t>
      </w:r>
      <w:r>
        <w:rPr>
          <w:rFonts w:ascii="Times New Roman" w:hAnsi="Times New Roman" w:cs="宋体"/>
          <w:color w:val="000000"/>
          <w:kern w:val="0"/>
          <w:szCs w:val="21"/>
          <w:u w:val="single"/>
        </w:rPr>
        <w:t xml:space="preserve">           </w:t>
      </w:r>
      <w:r>
        <w:rPr>
          <w:rFonts w:hint="eastAsia" w:ascii="Times New Roman" w:hAnsi="Times New Roman" w:cs="宋体"/>
          <w:color w:val="000000"/>
          <w:kern w:val="0"/>
          <w:szCs w:val="21"/>
        </w:rPr>
        <w:t>：</w:t>
      </w:r>
    </w:p>
    <w:p w14:paraId="18A4E766">
      <w:pPr>
        <w:pStyle w:val="273"/>
        <w:pageBreakBefore w:val="0"/>
        <w:widowControl/>
        <w:kinsoku/>
        <w:overflowPunct/>
        <w:topLinePunct w:val="0"/>
        <w:bidi w:val="0"/>
        <w:snapToGrid w:val="0"/>
        <w:spacing w:line="360" w:lineRule="auto"/>
        <w:rPr>
          <w:rFonts w:ascii="Times New Roman" w:hAnsi="Times New Roman" w:cs="宋体"/>
          <w:color w:val="000000"/>
          <w:kern w:val="0"/>
          <w:szCs w:val="21"/>
        </w:rPr>
      </w:pPr>
      <w:r>
        <w:rPr>
          <w:rFonts w:ascii="Times New Roman" w:hAnsi="Times New Roman" w:cs="宋体"/>
          <w:color w:val="000000"/>
          <w:kern w:val="0"/>
          <w:szCs w:val="21"/>
        </w:rPr>
        <w:t xml:space="preserve">  A.</w:t>
      </w:r>
      <w:r>
        <w:rPr>
          <w:rFonts w:hint="eastAsia" w:ascii="Times New Roman" w:hAnsi="Times New Roman" w:cs="宋体"/>
          <w:color w:val="000000"/>
          <w:kern w:val="0"/>
          <w:szCs w:val="21"/>
        </w:rPr>
        <w:t>投资关系</w:t>
      </w:r>
      <w:r>
        <w:rPr>
          <w:rFonts w:ascii="Times New Roman" w:hAnsi="Times New Roman" w:cs="宋体"/>
          <w:color w:val="000000"/>
          <w:kern w:val="0"/>
          <w:szCs w:val="21"/>
        </w:rPr>
        <w:t xml:space="preserve">    B.</w:t>
      </w:r>
      <w:r>
        <w:rPr>
          <w:rFonts w:hint="eastAsia" w:ascii="Times New Roman" w:hAnsi="Times New Roman" w:cs="宋体"/>
          <w:color w:val="000000"/>
          <w:kern w:val="0"/>
          <w:szCs w:val="21"/>
        </w:rPr>
        <w:t>行政隶属关系</w:t>
      </w:r>
      <w:r>
        <w:rPr>
          <w:rFonts w:ascii="Times New Roman" w:hAnsi="Times New Roman" w:cs="宋体"/>
          <w:color w:val="000000"/>
          <w:kern w:val="0"/>
          <w:szCs w:val="21"/>
        </w:rPr>
        <w:t xml:space="preserve">    C.</w:t>
      </w:r>
      <w:r>
        <w:rPr>
          <w:rFonts w:hint="eastAsia" w:ascii="Times New Roman" w:hAnsi="Times New Roman" w:cs="宋体"/>
          <w:color w:val="000000"/>
          <w:kern w:val="0"/>
          <w:szCs w:val="21"/>
        </w:rPr>
        <w:t>业务指导关系</w:t>
      </w:r>
    </w:p>
    <w:p w14:paraId="0B816457">
      <w:pPr>
        <w:pStyle w:val="273"/>
        <w:pageBreakBefore w:val="0"/>
        <w:widowControl/>
        <w:kinsoku/>
        <w:overflowPunct/>
        <w:topLinePunct w:val="0"/>
        <w:bidi w:val="0"/>
        <w:snapToGrid w:val="0"/>
        <w:spacing w:line="360" w:lineRule="auto"/>
        <w:rPr>
          <w:rFonts w:ascii="Times New Roman" w:hAnsi="Times New Roman" w:cs="宋体"/>
          <w:color w:val="000000"/>
          <w:kern w:val="0"/>
          <w:szCs w:val="21"/>
        </w:rPr>
      </w:pPr>
      <w:r>
        <w:rPr>
          <w:rFonts w:ascii="Times New Roman" w:hAnsi="Times New Roman" w:cs="宋体"/>
          <w:color w:val="000000"/>
          <w:kern w:val="0"/>
          <w:szCs w:val="21"/>
        </w:rPr>
        <w:t xml:space="preserve">  D.</w:t>
      </w:r>
      <w:r>
        <w:rPr>
          <w:rFonts w:hint="eastAsia" w:ascii="Times New Roman" w:hAnsi="Times New Roman" w:cs="宋体"/>
          <w:color w:val="000000"/>
          <w:kern w:val="0"/>
          <w:szCs w:val="21"/>
        </w:rPr>
        <w:t>其他可能</w:t>
      </w:r>
      <w:r>
        <w:rPr>
          <w:rFonts w:hint="eastAsia" w:ascii="Times New Roman" w:hAnsi="Times New Roman" w:cs="宋体"/>
          <w:color w:val="000000"/>
          <w:szCs w:val="21"/>
        </w:rPr>
        <w:t>影响采购公正的</w:t>
      </w:r>
      <w:r>
        <w:rPr>
          <w:rFonts w:hint="eastAsia" w:ascii="Times New Roman" w:hAnsi="Times New Roman" w:cs="宋体"/>
          <w:color w:val="000000"/>
          <w:kern w:val="0"/>
          <w:szCs w:val="21"/>
        </w:rPr>
        <w:t>利害关系</w:t>
      </w:r>
      <w:r>
        <w:rPr>
          <w:rFonts w:hint="eastAsia" w:ascii="Times New Roman" w:hAnsi="Times New Roman" w:cs="宋体"/>
          <w:color w:val="000000"/>
          <w:kern w:val="0"/>
          <w:szCs w:val="21"/>
          <w:u w:val="single"/>
        </w:rPr>
        <w:t>（如有，请如实说明）</w:t>
      </w:r>
      <w:r>
        <w:rPr>
          <w:rFonts w:ascii="Times New Roman" w:hAnsi="Times New Roman" w:cs="宋体"/>
          <w:color w:val="000000"/>
          <w:kern w:val="0"/>
          <w:szCs w:val="21"/>
          <w:u w:val="single"/>
        </w:rPr>
        <w:t xml:space="preserve">                 </w:t>
      </w:r>
      <w:r>
        <w:rPr>
          <w:rFonts w:hint="eastAsia" w:ascii="Times New Roman" w:hAnsi="Times New Roman" w:cs="宋体"/>
          <w:color w:val="000000"/>
          <w:kern w:val="0"/>
          <w:szCs w:val="21"/>
        </w:rPr>
        <w:t>。</w:t>
      </w:r>
    </w:p>
    <w:p w14:paraId="5396CC52">
      <w:pPr>
        <w:pStyle w:val="273"/>
        <w:pageBreakBefore w:val="0"/>
        <w:widowControl/>
        <w:kinsoku/>
        <w:overflowPunct/>
        <w:topLinePunct w:val="0"/>
        <w:bidi w:val="0"/>
        <w:snapToGrid w:val="0"/>
        <w:spacing w:line="360" w:lineRule="auto"/>
        <w:rPr>
          <w:rFonts w:ascii="Times New Roman" w:hAnsi="Times New Roman" w:cs="宋体"/>
          <w:color w:val="000000"/>
          <w:kern w:val="0"/>
          <w:szCs w:val="21"/>
        </w:rPr>
      </w:pPr>
      <w:r>
        <w:rPr>
          <w:rFonts w:ascii="Times New Roman" w:hAnsi="Times New Roman" w:cs="宋体"/>
          <w:color w:val="000000"/>
          <w:spacing w:val="6"/>
          <w:szCs w:val="21"/>
        </w:rPr>
        <w:t xml:space="preserve">  </w:t>
      </w:r>
      <w:r>
        <w:rPr>
          <w:rFonts w:hint="eastAsia" w:ascii="Times New Roman" w:hAnsi="Times New Roman" w:cs="宋体"/>
          <w:color w:val="000000"/>
          <w:spacing w:val="6"/>
          <w:szCs w:val="21"/>
        </w:rPr>
        <w:t>二、</w:t>
      </w:r>
      <w:r>
        <w:rPr>
          <w:rFonts w:hint="eastAsia" w:ascii="Times New Roman" w:hAnsi="Times New Roman" w:cs="宋体"/>
          <w:color w:val="000000"/>
          <w:kern w:val="0"/>
          <w:szCs w:val="21"/>
        </w:rPr>
        <w:t>现已清楚知道参加本项目采购活动的其他所有供应商名称，本单位</w:t>
      </w:r>
      <w:r>
        <w:rPr>
          <w:rFonts w:ascii="Times New Roman" w:hAnsi="Times New Roman" w:cs="宋体"/>
          <w:color w:val="000000"/>
          <w:kern w:val="0"/>
          <w:szCs w:val="21"/>
        </w:rPr>
        <w:t xml:space="preserve"> </w:t>
      </w:r>
      <w:r>
        <w:rPr>
          <w:rFonts w:hint="eastAsia" w:ascii="Times New Roman" w:hAnsi="Times New Roman" w:cs="宋体"/>
          <w:color w:val="000000"/>
          <w:kern w:val="0"/>
          <w:szCs w:val="21"/>
        </w:rPr>
        <w:t>□与其他所有供应商之间均不存在利害关系</w:t>
      </w:r>
      <w:r>
        <w:rPr>
          <w:rFonts w:ascii="Times New Roman" w:hAnsi="Times New Roman" w:cs="宋体"/>
          <w:color w:val="000000"/>
          <w:kern w:val="0"/>
          <w:szCs w:val="21"/>
        </w:rPr>
        <w:t xml:space="preserve"> </w:t>
      </w:r>
      <w:r>
        <w:rPr>
          <w:rFonts w:hint="eastAsia" w:ascii="Times New Roman" w:hAnsi="Times New Roman" w:cs="宋体"/>
          <w:color w:val="000000"/>
          <w:kern w:val="0"/>
          <w:szCs w:val="21"/>
        </w:rPr>
        <w:t>□与</w:t>
      </w:r>
      <w:r>
        <w:rPr>
          <w:rFonts w:ascii="Times New Roman" w:hAnsi="Times New Roman" w:cs="宋体"/>
          <w:color w:val="000000"/>
          <w:kern w:val="0"/>
          <w:szCs w:val="21"/>
          <w:u w:val="single"/>
        </w:rPr>
        <w:t xml:space="preserve">           </w:t>
      </w:r>
      <w:r>
        <w:rPr>
          <w:rFonts w:hint="eastAsia" w:ascii="Times New Roman" w:hAnsi="Times New Roman" w:cs="宋体"/>
          <w:color w:val="000000"/>
          <w:kern w:val="0"/>
          <w:szCs w:val="21"/>
          <w:u w:val="single"/>
        </w:rPr>
        <w:t>（供应商名称）</w:t>
      </w:r>
      <w:r>
        <w:rPr>
          <w:rFonts w:hint="eastAsia" w:ascii="Times New Roman" w:hAnsi="Times New Roman" w:cs="宋体"/>
          <w:color w:val="000000"/>
          <w:kern w:val="0"/>
          <w:szCs w:val="21"/>
        </w:rPr>
        <w:t>之间存在下列利害关系</w:t>
      </w:r>
      <w:r>
        <w:rPr>
          <w:rFonts w:ascii="Times New Roman" w:hAnsi="Times New Roman" w:cs="宋体"/>
          <w:color w:val="000000"/>
          <w:kern w:val="0"/>
          <w:szCs w:val="21"/>
          <w:u w:val="single"/>
        </w:rPr>
        <w:t xml:space="preserve">          </w:t>
      </w:r>
      <w:r>
        <w:rPr>
          <w:rFonts w:hint="eastAsia" w:ascii="Times New Roman" w:hAnsi="Times New Roman" w:cs="宋体"/>
          <w:color w:val="000000"/>
          <w:kern w:val="0"/>
          <w:szCs w:val="21"/>
        </w:rPr>
        <w:t>：</w:t>
      </w:r>
    </w:p>
    <w:p w14:paraId="6049FF93">
      <w:pPr>
        <w:pStyle w:val="198"/>
        <w:pageBreakBefore w:val="0"/>
        <w:kinsoku/>
        <w:overflowPunct/>
        <w:topLinePunct w:val="0"/>
        <w:bidi w:val="0"/>
        <w:snapToGrid w:val="0"/>
        <w:spacing w:line="360" w:lineRule="auto"/>
        <w:ind w:firstLine="420"/>
        <w:rPr>
          <w:rFonts w:ascii="Times New Roman" w:hAnsi="Times New Roman" w:eastAsia="宋体" w:cs="宋体"/>
          <w:color w:val="000000"/>
          <w:kern w:val="0"/>
          <w:sz w:val="21"/>
          <w:szCs w:val="21"/>
        </w:rPr>
      </w:pPr>
      <w:r>
        <w:rPr>
          <w:rFonts w:ascii="Times New Roman" w:hAnsi="Times New Roman" w:eastAsia="宋体" w:cs="宋体"/>
          <w:color w:val="000000"/>
          <w:kern w:val="0"/>
          <w:sz w:val="21"/>
          <w:szCs w:val="21"/>
        </w:rPr>
        <w:t xml:space="preserve">  A.</w:t>
      </w:r>
      <w:r>
        <w:rPr>
          <w:rFonts w:hint="eastAsia" w:ascii="Times New Roman" w:hAnsi="Times New Roman" w:eastAsia="宋体" w:cs="宋体"/>
          <w:color w:val="000000"/>
          <w:kern w:val="0"/>
          <w:sz w:val="21"/>
          <w:szCs w:val="21"/>
        </w:rPr>
        <w:t>法定代表人或负责人或实际控制人是同一人</w:t>
      </w:r>
    </w:p>
    <w:p w14:paraId="7B3B8756">
      <w:pPr>
        <w:pStyle w:val="198"/>
        <w:pageBreakBefore w:val="0"/>
        <w:kinsoku/>
        <w:overflowPunct/>
        <w:topLinePunct w:val="0"/>
        <w:bidi w:val="0"/>
        <w:snapToGrid w:val="0"/>
        <w:spacing w:line="360" w:lineRule="auto"/>
        <w:ind w:firstLine="420"/>
        <w:rPr>
          <w:rFonts w:ascii="Times New Roman" w:hAnsi="Times New Roman" w:eastAsia="宋体" w:cs="宋体"/>
          <w:color w:val="000000"/>
          <w:spacing w:val="6"/>
          <w:sz w:val="21"/>
          <w:szCs w:val="21"/>
        </w:rPr>
      </w:pPr>
      <w:r>
        <w:rPr>
          <w:rFonts w:ascii="Times New Roman" w:hAnsi="Times New Roman" w:eastAsia="宋体" w:cs="宋体"/>
          <w:color w:val="000000"/>
          <w:kern w:val="0"/>
          <w:sz w:val="21"/>
          <w:szCs w:val="21"/>
        </w:rPr>
        <w:t xml:space="preserve">  B.</w:t>
      </w:r>
      <w:r>
        <w:rPr>
          <w:rFonts w:hint="eastAsia" w:ascii="Times New Roman" w:hAnsi="Times New Roman" w:eastAsia="宋体" w:cs="宋体"/>
          <w:color w:val="000000"/>
          <w:kern w:val="0"/>
          <w:sz w:val="21"/>
          <w:szCs w:val="21"/>
        </w:rPr>
        <w:t>法定代表人或负责人或实际控制人是夫妻关系</w:t>
      </w:r>
    </w:p>
    <w:p w14:paraId="4E53EDD4">
      <w:pPr>
        <w:pStyle w:val="198"/>
        <w:pageBreakBefore w:val="0"/>
        <w:kinsoku/>
        <w:overflowPunct/>
        <w:topLinePunct w:val="0"/>
        <w:bidi w:val="0"/>
        <w:snapToGrid w:val="0"/>
        <w:spacing w:line="360" w:lineRule="auto"/>
        <w:ind w:firstLine="420"/>
        <w:rPr>
          <w:rFonts w:ascii="Times New Roman" w:hAnsi="Times New Roman" w:eastAsia="宋体" w:cs="宋体"/>
          <w:color w:val="000000"/>
          <w:spacing w:val="6"/>
          <w:sz w:val="21"/>
          <w:szCs w:val="21"/>
        </w:rPr>
      </w:pPr>
      <w:r>
        <w:rPr>
          <w:rFonts w:ascii="Times New Roman" w:hAnsi="Times New Roman" w:eastAsia="宋体" w:cs="宋体"/>
          <w:color w:val="000000"/>
          <w:kern w:val="0"/>
          <w:sz w:val="21"/>
          <w:szCs w:val="21"/>
        </w:rPr>
        <w:t xml:space="preserve">  C.</w:t>
      </w:r>
      <w:r>
        <w:rPr>
          <w:rFonts w:hint="eastAsia" w:ascii="Times New Roman" w:hAnsi="Times New Roman" w:eastAsia="宋体" w:cs="宋体"/>
          <w:color w:val="000000"/>
          <w:kern w:val="0"/>
          <w:sz w:val="21"/>
          <w:szCs w:val="21"/>
        </w:rPr>
        <w:t>法定代表人或负责人或实际控制人是直系血亲关系</w:t>
      </w:r>
    </w:p>
    <w:p w14:paraId="6634804D">
      <w:pPr>
        <w:pStyle w:val="198"/>
        <w:pageBreakBefore w:val="0"/>
        <w:kinsoku/>
        <w:overflowPunct/>
        <w:topLinePunct w:val="0"/>
        <w:bidi w:val="0"/>
        <w:snapToGrid w:val="0"/>
        <w:spacing w:line="360" w:lineRule="auto"/>
        <w:ind w:firstLine="420"/>
        <w:rPr>
          <w:rFonts w:ascii="Times New Roman" w:hAnsi="Times New Roman" w:eastAsia="宋体" w:cs="宋体"/>
          <w:color w:val="000000"/>
          <w:spacing w:val="6"/>
          <w:sz w:val="21"/>
          <w:szCs w:val="21"/>
        </w:rPr>
      </w:pPr>
      <w:r>
        <w:rPr>
          <w:rFonts w:ascii="Times New Roman" w:hAnsi="Times New Roman" w:eastAsia="宋体" w:cs="宋体"/>
          <w:color w:val="000000"/>
          <w:kern w:val="0"/>
          <w:sz w:val="21"/>
          <w:szCs w:val="21"/>
        </w:rPr>
        <w:t xml:space="preserve">  D.</w:t>
      </w:r>
      <w:r>
        <w:rPr>
          <w:rFonts w:hint="eastAsia" w:ascii="Times New Roman" w:hAnsi="Times New Roman" w:eastAsia="宋体" w:cs="宋体"/>
          <w:color w:val="000000"/>
          <w:kern w:val="0"/>
          <w:sz w:val="21"/>
          <w:szCs w:val="21"/>
        </w:rPr>
        <w:t>法定代表人或负责人或实际控制人存在三代以内旁系血亲关系</w:t>
      </w:r>
    </w:p>
    <w:p w14:paraId="6281DA5A">
      <w:pPr>
        <w:pStyle w:val="198"/>
        <w:pageBreakBefore w:val="0"/>
        <w:kinsoku/>
        <w:overflowPunct/>
        <w:topLinePunct w:val="0"/>
        <w:bidi w:val="0"/>
        <w:snapToGrid w:val="0"/>
        <w:spacing w:line="360" w:lineRule="auto"/>
        <w:ind w:firstLine="420"/>
        <w:rPr>
          <w:rFonts w:ascii="Times New Roman" w:hAnsi="Times New Roman" w:eastAsia="宋体" w:cs="宋体"/>
          <w:color w:val="000000"/>
          <w:kern w:val="0"/>
          <w:sz w:val="21"/>
          <w:szCs w:val="21"/>
        </w:rPr>
      </w:pPr>
      <w:r>
        <w:rPr>
          <w:rFonts w:ascii="Times New Roman" w:hAnsi="Times New Roman" w:eastAsia="宋体" w:cs="宋体"/>
          <w:color w:val="000000"/>
          <w:kern w:val="0"/>
          <w:sz w:val="21"/>
          <w:szCs w:val="21"/>
        </w:rPr>
        <w:t xml:space="preserve">  E.</w:t>
      </w:r>
      <w:r>
        <w:rPr>
          <w:rFonts w:hint="eastAsia" w:ascii="Times New Roman" w:hAnsi="Times New Roman" w:eastAsia="宋体" w:cs="宋体"/>
          <w:color w:val="000000"/>
          <w:kern w:val="0"/>
          <w:sz w:val="21"/>
          <w:szCs w:val="21"/>
        </w:rPr>
        <w:t>法定代表人或负责人或实际控制人存在近姻亲关系</w:t>
      </w:r>
    </w:p>
    <w:p w14:paraId="4F9AAB0B">
      <w:pPr>
        <w:pStyle w:val="198"/>
        <w:pageBreakBefore w:val="0"/>
        <w:kinsoku/>
        <w:overflowPunct/>
        <w:topLinePunct w:val="0"/>
        <w:bidi w:val="0"/>
        <w:snapToGrid w:val="0"/>
        <w:spacing w:line="360" w:lineRule="auto"/>
        <w:ind w:firstLine="420"/>
        <w:rPr>
          <w:rFonts w:ascii="Times New Roman" w:hAnsi="Times New Roman" w:eastAsia="宋体" w:cs="宋体"/>
          <w:color w:val="000000"/>
          <w:kern w:val="0"/>
          <w:sz w:val="21"/>
          <w:szCs w:val="21"/>
        </w:rPr>
      </w:pPr>
      <w:r>
        <w:rPr>
          <w:rFonts w:ascii="Times New Roman" w:hAnsi="Times New Roman" w:eastAsia="宋体" w:cs="宋体"/>
          <w:color w:val="000000"/>
          <w:kern w:val="0"/>
          <w:sz w:val="21"/>
          <w:szCs w:val="21"/>
        </w:rPr>
        <w:t xml:space="preserve">  F.</w:t>
      </w:r>
      <w:r>
        <w:rPr>
          <w:rFonts w:hint="eastAsia" w:ascii="Times New Roman" w:hAnsi="Times New Roman" w:eastAsia="宋体" w:cs="宋体"/>
          <w:color w:val="000000"/>
          <w:kern w:val="0"/>
          <w:sz w:val="21"/>
          <w:szCs w:val="21"/>
        </w:rPr>
        <w:t>法定代表人或负责人或实际控制人存在股份控制或实际控制关系</w:t>
      </w:r>
    </w:p>
    <w:p w14:paraId="686449B7">
      <w:pPr>
        <w:pStyle w:val="198"/>
        <w:pageBreakBefore w:val="0"/>
        <w:kinsoku/>
        <w:overflowPunct/>
        <w:topLinePunct w:val="0"/>
        <w:bidi w:val="0"/>
        <w:snapToGrid w:val="0"/>
        <w:spacing w:line="360" w:lineRule="auto"/>
        <w:ind w:firstLine="420"/>
        <w:rPr>
          <w:rFonts w:ascii="Times New Roman" w:hAnsi="Times New Roman" w:eastAsia="宋体" w:cs="宋体"/>
          <w:color w:val="000000"/>
          <w:kern w:val="0"/>
          <w:sz w:val="21"/>
          <w:szCs w:val="21"/>
        </w:rPr>
      </w:pPr>
      <w:r>
        <w:rPr>
          <w:rFonts w:ascii="Times New Roman" w:hAnsi="Times New Roman" w:eastAsia="宋体" w:cs="宋体"/>
          <w:color w:val="000000"/>
          <w:kern w:val="0"/>
          <w:sz w:val="21"/>
          <w:szCs w:val="21"/>
        </w:rPr>
        <w:t xml:space="preserve">  G.</w:t>
      </w:r>
      <w:r>
        <w:rPr>
          <w:rFonts w:hint="eastAsia" w:ascii="Times New Roman" w:hAnsi="Times New Roman" w:eastAsia="宋体" w:cs="宋体"/>
          <w:color w:val="000000"/>
          <w:kern w:val="0"/>
          <w:sz w:val="21"/>
          <w:szCs w:val="21"/>
        </w:rPr>
        <w:t>存在共同直接或间接投资设立子公司、联营企业和合营企业情况</w:t>
      </w:r>
    </w:p>
    <w:p w14:paraId="2A6BBC47">
      <w:pPr>
        <w:pStyle w:val="198"/>
        <w:pageBreakBefore w:val="0"/>
        <w:kinsoku/>
        <w:overflowPunct/>
        <w:topLinePunct w:val="0"/>
        <w:bidi w:val="0"/>
        <w:snapToGrid w:val="0"/>
        <w:spacing w:line="360" w:lineRule="auto"/>
        <w:ind w:firstLine="420"/>
        <w:rPr>
          <w:rFonts w:ascii="Times New Roman" w:hAnsi="Times New Roman" w:eastAsia="宋体" w:cs="宋体"/>
          <w:color w:val="000000"/>
          <w:sz w:val="21"/>
          <w:szCs w:val="21"/>
        </w:rPr>
      </w:pPr>
      <w:r>
        <w:rPr>
          <w:rFonts w:ascii="Times New Roman" w:hAnsi="Times New Roman" w:eastAsia="宋体" w:cs="宋体"/>
          <w:color w:val="000000"/>
          <w:kern w:val="0"/>
          <w:sz w:val="21"/>
          <w:szCs w:val="21"/>
        </w:rPr>
        <w:t xml:space="preserve">  H.</w:t>
      </w:r>
      <w:r>
        <w:rPr>
          <w:rFonts w:hint="eastAsia" w:ascii="Times New Roman" w:hAnsi="Times New Roman" w:eastAsia="宋体" w:cs="宋体"/>
          <w:color w:val="000000"/>
          <w:kern w:val="0"/>
          <w:sz w:val="21"/>
          <w:szCs w:val="21"/>
        </w:rPr>
        <w:t>存在分级代理或代销关系、同一生产制造商关系、</w:t>
      </w:r>
      <w:r>
        <w:rPr>
          <w:rFonts w:hint="eastAsia" w:ascii="Times New Roman" w:hAnsi="Times New Roman" w:eastAsia="宋体" w:cs="宋体"/>
          <w:color w:val="000000"/>
          <w:sz w:val="21"/>
          <w:szCs w:val="21"/>
        </w:rPr>
        <w:t>管理关系、重要业务（占主营业务收入</w:t>
      </w:r>
      <w:r>
        <w:rPr>
          <w:rFonts w:ascii="Times New Roman" w:hAnsi="Times New Roman" w:eastAsia="宋体" w:cs="宋体"/>
          <w:color w:val="000000"/>
          <w:sz w:val="21"/>
          <w:szCs w:val="21"/>
        </w:rPr>
        <w:t>50%</w:t>
      </w:r>
      <w:r>
        <w:rPr>
          <w:rFonts w:hint="eastAsia" w:ascii="Times New Roman" w:hAnsi="Times New Roman" w:eastAsia="宋体" w:cs="宋体"/>
          <w:color w:val="000000"/>
          <w:sz w:val="21"/>
          <w:szCs w:val="21"/>
        </w:rPr>
        <w:t>以上）或重要财务往来关系（如融资）等其他实质性控制关系</w:t>
      </w:r>
    </w:p>
    <w:p w14:paraId="3FDF2673">
      <w:pPr>
        <w:pStyle w:val="198"/>
        <w:pageBreakBefore w:val="0"/>
        <w:kinsoku/>
        <w:overflowPunct/>
        <w:topLinePunct w:val="0"/>
        <w:bidi w:val="0"/>
        <w:snapToGrid w:val="0"/>
        <w:spacing w:line="360" w:lineRule="auto"/>
        <w:ind w:firstLine="420"/>
        <w:rPr>
          <w:rFonts w:ascii="Times New Roman" w:hAnsi="Times New Roman" w:eastAsia="宋体" w:cs="宋体"/>
          <w:color w:val="000000"/>
          <w:spacing w:val="6"/>
          <w:sz w:val="21"/>
          <w:szCs w:val="21"/>
        </w:rPr>
      </w:pPr>
      <w:r>
        <w:rPr>
          <w:rFonts w:ascii="Times New Roman" w:hAnsi="Times New Roman" w:eastAsia="宋体" w:cs="宋体"/>
          <w:color w:val="000000"/>
          <w:sz w:val="21"/>
          <w:szCs w:val="21"/>
        </w:rPr>
        <w:t xml:space="preserve">  </w:t>
      </w:r>
      <w:r>
        <w:rPr>
          <w:rFonts w:hint="eastAsia" w:ascii="Times New Roman" w:hAnsi="Times New Roman" w:eastAsia="宋体" w:cs="宋体"/>
          <w:color w:val="000000"/>
          <w:sz w:val="21"/>
          <w:szCs w:val="21"/>
        </w:rPr>
        <w:t xml:space="preserve"> </w:t>
      </w:r>
      <w:r>
        <w:rPr>
          <w:rFonts w:ascii="Times New Roman" w:hAnsi="Times New Roman" w:eastAsia="宋体" w:cs="宋体"/>
          <w:color w:val="000000"/>
          <w:sz w:val="21"/>
          <w:szCs w:val="21"/>
        </w:rPr>
        <w:t>I</w:t>
      </w:r>
      <w:r>
        <w:rPr>
          <w:rFonts w:ascii="Times New Roman" w:hAnsi="Times New Roman" w:eastAsia="宋体" w:cs="宋体"/>
          <w:color w:val="000000"/>
          <w:kern w:val="0"/>
          <w:sz w:val="21"/>
          <w:szCs w:val="21"/>
        </w:rPr>
        <w:t>.</w:t>
      </w:r>
      <w:r>
        <w:rPr>
          <w:rFonts w:hint="eastAsia" w:ascii="Times New Roman" w:hAnsi="Times New Roman" w:eastAsia="宋体" w:cs="宋体"/>
          <w:color w:val="000000"/>
          <w:sz w:val="21"/>
          <w:szCs w:val="21"/>
        </w:rPr>
        <w:t>其他利害关系情况</w:t>
      </w:r>
      <w:r>
        <w:rPr>
          <w:rFonts w:ascii="Times New Roman" w:hAnsi="Times New Roman" w:eastAsia="宋体" w:cs="宋体"/>
          <w:color w:val="000000"/>
          <w:sz w:val="21"/>
          <w:szCs w:val="21"/>
          <w:u w:val="single"/>
        </w:rPr>
        <w:t xml:space="preserve">                              </w:t>
      </w:r>
      <w:r>
        <w:rPr>
          <w:rFonts w:hint="eastAsia" w:ascii="Times New Roman" w:hAnsi="Times New Roman" w:eastAsia="宋体" w:cs="宋体"/>
          <w:color w:val="000000"/>
          <w:kern w:val="0"/>
          <w:sz w:val="21"/>
          <w:szCs w:val="21"/>
        </w:rPr>
        <w:t>。</w:t>
      </w:r>
    </w:p>
    <w:p w14:paraId="361ED1B8">
      <w:pPr>
        <w:pStyle w:val="273"/>
        <w:pageBreakBefore w:val="0"/>
        <w:widowControl/>
        <w:numPr>
          <w:ilvl w:val="0"/>
          <w:numId w:val="20"/>
        </w:numPr>
        <w:kinsoku/>
        <w:overflowPunct/>
        <w:topLinePunct w:val="0"/>
        <w:bidi w:val="0"/>
        <w:snapToGrid w:val="0"/>
        <w:spacing w:line="360" w:lineRule="auto"/>
        <w:ind w:firstLine="396" w:firstLineChars="189"/>
        <w:rPr>
          <w:rFonts w:ascii="Times New Roman" w:hAnsi="Times New Roman" w:cs="宋体"/>
          <w:color w:val="000000"/>
          <w:kern w:val="0"/>
          <w:szCs w:val="21"/>
        </w:rPr>
      </w:pPr>
      <w:r>
        <w:rPr>
          <w:rFonts w:hint="eastAsia" w:ascii="Times New Roman" w:hAnsi="Times New Roman" w:cs="宋体"/>
          <w:color w:val="000000"/>
          <w:szCs w:val="21"/>
        </w:rPr>
        <w:t>现已清楚知道并</w:t>
      </w:r>
      <w:r>
        <w:rPr>
          <w:rFonts w:hint="eastAsia" w:ascii="Times New Roman" w:hAnsi="Times New Roman" w:cs="宋体"/>
          <w:color w:val="000000"/>
          <w:kern w:val="0"/>
          <w:szCs w:val="21"/>
        </w:rPr>
        <w:t>严格遵守政府采购法律法规和现场纪律。</w:t>
      </w:r>
    </w:p>
    <w:p w14:paraId="777D6211">
      <w:pPr>
        <w:pStyle w:val="273"/>
        <w:pageBreakBefore w:val="0"/>
        <w:widowControl/>
        <w:numPr>
          <w:ilvl w:val="0"/>
          <w:numId w:val="20"/>
        </w:numPr>
        <w:kinsoku/>
        <w:overflowPunct/>
        <w:topLinePunct w:val="0"/>
        <w:bidi w:val="0"/>
        <w:snapToGrid w:val="0"/>
        <w:spacing w:line="360" w:lineRule="auto"/>
        <w:ind w:firstLine="396" w:firstLineChars="189"/>
        <w:rPr>
          <w:rFonts w:ascii="Times New Roman" w:hAnsi="Times New Roman" w:cs="宋体"/>
          <w:color w:val="000000"/>
          <w:kern w:val="0"/>
          <w:szCs w:val="21"/>
        </w:rPr>
      </w:pPr>
      <w:r>
        <w:rPr>
          <w:rFonts w:hint="eastAsia" w:ascii="Times New Roman" w:hAnsi="Times New Roman" w:cs="宋体"/>
          <w:color w:val="000000"/>
          <w:kern w:val="0"/>
          <w:szCs w:val="21"/>
        </w:rPr>
        <w:t>我发现</w:t>
      </w:r>
      <w:r>
        <w:rPr>
          <w:rFonts w:ascii="Times New Roman" w:hAnsi="Times New Roman" w:cs="宋体"/>
          <w:color w:val="000000"/>
          <w:kern w:val="0"/>
          <w:szCs w:val="21"/>
          <w:u w:val="single"/>
        </w:rPr>
        <w:t xml:space="preserve">                    </w:t>
      </w:r>
      <w:r>
        <w:rPr>
          <w:rFonts w:hint="eastAsia" w:ascii="Times New Roman" w:hAnsi="Times New Roman" w:cs="宋体"/>
          <w:color w:val="000000"/>
          <w:kern w:val="0"/>
          <w:szCs w:val="21"/>
        </w:rPr>
        <w:t>供应商之间存在或可能存在上述第二条第</w:t>
      </w:r>
      <w:r>
        <w:rPr>
          <w:rFonts w:ascii="Times New Roman" w:hAnsi="Times New Roman" w:cs="宋体"/>
          <w:color w:val="000000"/>
          <w:kern w:val="0"/>
          <w:szCs w:val="21"/>
          <w:u w:val="single"/>
        </w:rPr>
        <w:t xml:space="preserve">        </w:t>
      </w:r>
      <w:r>
        <w:rPr>
          <w:rFonts w:hint="eastAsia" w:ascii="Times New Roman" w:hAnsi="Times New Roman" w:cs="宋体"/>
          <w:color w:val="000000"/>
          <w:kern w:val="0"/>
          <w:szCs w:val="21"/>
        </w:rPr>
        <w:t>项利害关系。</w:t>
      </w:r>
    </w:p>
    <w:p w14:paraId="7BFDC9BF">
      <w:pPr>
        <w:pStyle w:val="198"/>
        <w:pageBreakBefore w:val="0"/>
        <w:kinsoku/>
        <w:overflowPunct/>
        <w:topLinePunct w:val="0"/>
        <w:bidi w:val="0"/>
        <w:snapToGrid w:val="0"/>
        <w:spacing w:line="360" w:lineRule="auto"/>
        <w:ind w:firstLine="420" w:firstLineChars="200"/>
        <w:rPr>
          <w:rFonts w:ascii="Times New Roman" w:hAnsi="Times New Roman" w:eastAsia="宋体" w:cs="宋体"/>
          <w:color w:val="000000"/>
          <w:sz w:val="21"/>
          <w:szCs w:val="21"/>
        </w:rPr>
      </w:pPr>
    </w:p>
    <w:p w14:paraId="7653FC6D">
      <w:pPr>
        <w:pStyle w:val="198"/>
        <w:pageBreakBefore w:val="0"/>
        <w:kinsoku/>
        <w:overflowPunct/>
        <w:topLinePunct w:val="0"/>
        <w:bidi w:val="0"/>
        <w:snapToGrid w:val="0"/>
        <w:spacing w:line="360" w:lineRule="auto"/>
        <w:ind w:firstLine="420" w:firstLineChars="200"/>
        <w:rPr>
          <w:rFonts w:ascii="Times New Roman" w:hAnsi="Times New Roman" w:eastAsia="宋体" w:cs="宋体"/>
          <w:color w:val="000000"/>
          <w:sz w:val="21"/>
          <w:szCs w:val="21"/>
        </w:rPr>
      </w:pPr>
      <w:r>
        <w:rPr>
          <w:rFonts w:ascii="Times New Roman" w:hAnsi="Times New Roman" w:eastAsia="宋体" w:cs="宋体"/>
          <w:color w:val="000000"/>
          <w:sz w:val="21"/>
          <w:szCs w:val="21"/>
        </w:rPr>
        <w:t xml:space="preserve">                                   </w:t>
      </w:r>
      <w:r>
        <w:rPr>
          <w:rFonts w:hint="eastAsia" w:ascii="Times New Roman" w:hAnsi="Times New Roman" w:eastAsia="宋体" w:cs="宋体"/>
          <w:color w:val="000000"/>
          <w:sz w:val="21"/>
          <w:szCs w:val="21"/>
        </w:rPr>
        <w:t>供应商代表签名：</w:t>
      </w:r>
    </w:p>
    <w:p w14:paraId="4352E3CB">
      <w:pPr>
        <w:pageBreakBefore w:val="0"/>
        <w:kinsoku/>
        <w:overflowPunct/>
        <w:topLinePunct w:val="0"/>
        <w:bidi w:val="0"/>
        <w:snapToGrid w:val="0"/>
        <w:spacing w:line="360" w:lineRule="auto"/>
        <w:ind w:firstLine="420"/>
        <w:jc w:val="left"/>
        <w:rPr>
          <w:rFonts w:ascii="Times New Roman" w:hAnsi="Times New Roman" w:cs="宋体"/>
          <w:b/>
          <w:color w:val="000000"/>
          <w:szCs w:val="21"/>
        </w:rPr>
      </w:pPr>
      <w:r>
        <w:rPr>
          <w:rFonts w:ascii="Times New Roman" w:hAnsi="Times New Roman" w:cs="宋体"/>
          <w:color w:val="000000"/>
          <w:szCs w:val="21"/>
        </w:rPr>
        <w:t xml:space="preserve">                                         </w:t>
      </w:r>
      <w:r>
        <w:rPr>
          <w:rFonts w:hint="eastAsia" w:ascii="Times New Roman" w:hAnsi="Times New Roman" w:cs="宋体"/>
          <w:color w:val="000000"/>
          <w:szCs w:val="21"/>
        </w:rPr>
        <w:t>年</w:t>
      </w:r>
      <w:r>
        <w:rPr>
          <w:rFonts w:ascii="Times New Roman" w:hAnsi="Times New Roman" w:cs="宋体"/>
          <w:color w:val="000000"/>
          <w:szCs w:val="21"/>
        </w:rPr>
        <w:t xml:space="preserve">  </w:t>
      </w:r>
      <w:r>
        <w:rPr>
          <w:rFonts w:hint="eastAsia" w:ascii="Times New Roman" w:hAnsi="Times New Roman" w:cs="宋体"/>
          <w:color w:val="000000"/>
          <w:szCs w:val="21"/>
        </w:rPr>
        <w:t>月</w:t>
      </w:r>
      <w:r>
        <w:rPr>
          <w:rFonts w:ascii="Times New Roman" w:hAnsi="Times New Roman" w:cs="宋体"/>
          <w:color w:val="000000"/>
          <w:szCs w:val="21"/>
        </w:rPr>
        <w:t xml:space="preserve">  </w:t>
      </w:r>
      <w:r>
        <w:rPr>
          <w:rFonts w:hint="eastAsia" w:ascii="Times New Roman" w:hAnsi="Times New Roman" w:cs="宋体"/>
          <w:color w:val="000000"/>
          <w:szCs w:val="21"/>
        </w:rPr>
        <w:t>日</w:t>
      </w:r>
    </w:p>
    <w:p w14:paraId="7E83B9C2">
      <w:pPr>
        <w:pageBreakBefore w:val="0"/>
        <w:kinsoku/>
        <w:overflowPunct/>
        <w:topLinePunct w:val="0"/>
        <w:bidi w:val="0"/>
        <w:snapToGrid w:val="0"/>
        <w:spacing w:line="360" w:lineRule="auto"/>
        <w:ind w:firstLine="938" w:firstLineChars="445"/>
        <w:rPr>
          <w:rFonts w:ascii="Times New Roman" w:hAnsi="Times New Roman"/>
          <w:b/>
          <w:bCs/>
          <w:color w:val="000000"/>
          <w:szCs w:val="21"/>
        </w:rPr>
      </w:pPr>
    </w:p>
    <w:p w14:paraId="5302B562">
      <w:pPr>
        <w:pStyle w:val="50"/>
        <w:pageBreakBefore w:val="0"/>
        <w:kinsoku/>
        <w:overflowPunct/>
        <w:topLinePunct w:val="0"/>
        <w:bidi w:val="0"/>
        <w:spacing w:line="360" w:lineRule="auto"/>
        <w:ind w:firstLine="404"/>
      </w:pPr>
    </w:p>
    <w:p w14:paraId="44E9C92E">
      <w:pPr>
        <w:pStyle w:val="50"/>
        <w:pageBreakBefore w:val="0"/>
        <w:kinsoku/>
        <w:overflowPunct/>
        <w:topLinePunct w:val="0"/>
        <w:bidi w:val="0"/>
        <w:spacing w:line="360" w:lineRule="auto"/>
        <w:ind w:firstLine="404"/>
      </w:pPr>
    </w:p>
    <w:bookmarkEnd w:id="642"/>
    <w:p w14:paraId="73FC767F">
      <w:pPr>
        <w:pageBreakBefore w:val="0"/>
        <w:kinsoku/>
        <w:overflowPunct/>
        <w:topLinePunct w:val="0"/>
        <w:bidi w:val="0"/>
        <w:snapToGrid w:val="0"/>
        <w:spacing w:line="360" w:lineRule="auto"/>
        <w:ind w:firstLine="422"/>
        <w:rPr>
          <w:rFonts w:ascii="Times New Roman" w:hAnsi="Times New Roman"/>
          <w:b/>
          <w:bCs/>
          <w:color w:val="000000"/>
          <w:szCs w:val="21"/>
        </w:rPr>
      </w:pPr>
      <w:r>
        <w:rPr>
          <w:rFonts w:ascii="Times New Roman" w:hAnsi="Times New Roman"/>
          <w:b/>
          <w:color w:val="000000"/>
          <w:szCs w:val="21"/>
        </w:rPr>
        <w:t>1</w:t>
      </w:r>
      <w:r>
        <w:rPr>
          <w:rFonts w:hint="eastAsia" w:ascii="Times New Roman" w:hAnsi="Times New Roman"/>
          <w:b/>
          <w:color w:val="000000"/>
          <w:szCs w:val="21"/>
        </w:rPr>
        <w:t>、投标文件</w:t>
      </w:r>
      <w:r>
        <w:rPr>
          <w:rFonts w:hint="eastAsia" w:ascii="Times New Roman" w:hAnsi="Times New Roman"/>
          <w:b/>
          <w:bCs/>
          <w:color w:val="000000"/>
          <w:szCs w:val="21"/>
        </w:rPr>
        <w:t>的封面格式：</w:t>
      </w:r>
    </w:p>
    <w:p w14:paraId="67A7ABEC">
      <w:pPr>
        <w:pageBreakBefore w:val="0"/>
        <w:kinsoku/>
        <w:overflowPunct/>
        <w:topLinePunct w:val="0"/>
        <w:bidi w:val="0"/>
        <w:snapToGrid w:val="0"/>
        <w:spacing w:beforeLines="50" w:after="50" w:line="360" w:lineRule="auto"/>
        <w:ind w:firstLine="422"/>
        <w:rPr>
          <w:rFonts w:ascii="Times New Roman" w:hAnsi="Times New Roman"/>
          <w:b/>
          <w:bCs/>
          <w:color w:val="000000"/>
          <w:szCs w:val="21"/>
        </w:rPr>
      </w:pPr>
      <w:r>
        <w:rPr>
          <w:rFonts w:ascii="Times New Roman" w:hAnsi="Times New Roman"/>
          <w:b/>
          <w:bCs/>
          <w:color w:val="000000"/>
          <w:szCs w:val="21"/>
        </w:rPr>
        <w:t xml:space="preserve">                                                                             </w:t>
      </w:r>
    </w:p>
    <w:p w14:paraId="6A831857">
      <w:pPr>
        <w:pageBreakBefore w:val="0"/>
        <w:kinsoku/>
        <w:overflowPunct/>
        <w:topLinePunct w:val="0"/>
        <w:bidi w:val="0"/>
        <w:snapToGrid w:val="0"/>
        <w:spacing w:line="360" w:lineRule="auto"/>
        <w:ind w:firstLine="720"/>
        <w:jc w:val="center"/>
        <w:rPr>
          <w:rFonts w:ascii="Times New Roman" w:hAnsi="Times New Roman"/>
          <w:bCs/>
          <w:color w:val="000000"/>
          <w:sz w:val="36"/>
          <w:szCs w:val="36"/>
        </w:rPr>
      </w:pPr>
    </w:p>
    <w:p w14:paraId="15775453">
      <w:pPr>
        <w:pageBreakBefore w:val="0"/>
        <w:kinsoku/>
        <w:overflowPunct/>
        <w:topLinePunct w:val="0"/>
        <w:bidi w:val="0"/>
        <w:snapToGrid w:val="0"/>
        <w:spacing w:line="360" w:lineRule="auto"/>
        <w:jc w:val="center"/>
        <w:rPr>
          <w:rFonts w:hint="eastAsia" w:ascii="Times New Roman" w:hAnsi="Times New Roman" w:eastAsia="宋体"/>
          <w:b/>
          <w:color w:val="000000"/>
          <w:sz w:val="36"/>
          <w:szCs w:val="36"/>
          <w:lang w:eastAsia="zh-CN"/>
        </w:rPr>
      </w:pPr>
      <w:r>
        <w:rPr>
          <w:rFonts w:hint="eastAsia" w:ascii="Times New Roman" w:hAnsi="Times New Roman"/>
          <w:b/>
          <w:color w:val="000000"/>
          <w:sz w:val="36"/>
          <w:szCs w:val="36"/>
          <w:lang w:eastAsia="zh-CN"/>
        </w:rPr>
        <w:t>2026年秀洲区县道及以上公路小修及应急抢险项目</w:t>
      </w:r>
    </w:p>
    <w:p w14:paraId="37270D75">
      <w:pPr>
        <w:pStyle w:val="50"/>
        <w:pageBreakBefore w:val="0"/>
        <w:kinsoku/>
        <w:overflowPunct/>
        <w:topLinePunct w:val="0"/>
        <w:bidi w:val="0"/>
        <w:spacing w:line="360" w:lineRule="auto"/>
        <w:ind w:firstLine="404"/>
      </w:pPr>
    </w:p>
    <w:p w14:paraId="6B5C197F">
      <w:pPr>
        <w:pStyle w:val="50"/>
        <w:pageBreakBefore w:val="0"/>
        <w:kinsoku/>
        <w:overflowPunct/>
        <w:topLinePunct w:val="0"/>
        <w:bidi w:val="0"/>
        <w:spacing w:line="360" w:lineRule="auto"/>
        <w:ind w:left="0" w:leftChars="0" w:firstLine="0" w:firstLineChars="0"/>
        <w:jc w:val="center"/>
      </w:pPr>
      <w:r>
        <w:rPr>
          <w:rFonts w:hint="eastAsia"/>
        </w:rPr>
        <w:t>项目编号：</w:t>
      </w:r>
    </w:p>
    <w:p w14:paraId="57CAEB97">
      <w:pPr>
        <w:pStyle w:val="50"/>
        <w:pageBreakBefore w:val="0"/>
        <w:kinsoku/>
        <w:overflowPunct/>
        <w:topLinePunct w:val="0"/>
        <w:bidi w:val="0"/>
        <w:spacing w:line="360" w:lineRule="auto"/>
        <w:ind w:left="0" w:leftChars="0" w:firstLine="0" w:firstLineChars="0"/>
        <w:jc w:val="center"/>
      </w:pPr>
      <w:r>
        <w:rPr>
          <w:rFonts w:hint="eastAsia"/>
        </w:rPr>
        <w:t>标段：</w:t>
      </w:r>
    </w:p>
    <w:p w14:paraId="2496BA6C">
      <w:pPr>
        <w:pStyle w:val="50"/>
        <w:pageBreakBefore w:val="0"/>
        <w:kinsoku/>
        <w:overflowPunct/>
        <w:topLinePunct w:val="0"/>
        <w:bidi w:val="0"/>
        <w:spacing w:line="360" w:lineRule="auto"/>
        <w:ind w:left="0" w:leftChars="0" w:firstLine="0" w:firstLineChars="0"/>
        <w:jc w:val="center"/>
      </w:pPr>
    </w:p>
    <w:p w14:paraId="6D6818DD">
      <w:pPr>
        <w:pStyle w:val="50"/>
        <w:pageBreakBefore w:val="0"/>
        <w:kinsoku/>
        <w:overflowPunct/>
        <w:topLinePunct w:val="0"/>
        <w:bidi w:val="0"/>
        <w:spacing w:line="360" w:lineRule="auto"/>
        <w:ind w:left="0" w:leftChars="0" w:firstLine="0" w:firstLineChars="0"/>
        <w:jc w:val="center"/>
      </w:pPr>
    </w:p>
    <w:p w14:paraId="15114452">
      <w:pPr>
        <w:pageBreakBefore w:val="0"/>
        <w:kinsoku/>
        <w:overflowPunct/>
        <w:topLinePunct w:val="0"/>
        <w:bidi w:val="0"/>
        <w:snapToGrid w:val="0"/>
        <w:spacing w:line="360" w:lineRule="auto"/>
        <w:jc w:val="center"/>
        <w:rPr>
          <w:rFonts w:ascii="Times New Roman" w:hAnsi="Times New Roman"/>
          <w:bCs/>
          <w:color w:val="000000"/>
          <w:sz w:val="36"/>
          <w:szCs w:val="36"/>
        </w:rPr>
      </w:pPr>
      <w:r>
        <w:rPr>
          <w:rFonts w:hint="eastAsia" w:ascii="Times New Roman" w:hAnsi="Times New Roman"/>
          <w:bCs/>
          <w:color w:val="000000"/>
          <w:sz w:val="36"/>
          <w:szCs w:val="36"/>
        </w:rPr>
        <w:t>投标文件</w:t>
      </w:r>
    </w:p>
    <w:p w14:paraId="05E798E0">
      <w:pPr>
        <w:pStyle w:val="50"/>
        <w:pageBreakBefore w:val="0"/>
        <w:kinsoku/>
        <w:overflowPunct/>
        <w:topLinePunct w:val="0"/>
        <w:bidi w:val="0"/>
        <w:spacing w:line="360" w:lineRule="auto"/>
        <w:ind w:left="0" w:leftChars="0" w:firstLine="0" w:firstLineChars="0"/>
        <w:jc w:val="center"/>
      </w:pPr>
      <w:r>
        <w:rPr>
          <w:rFonts w:hint="eastAsia"/>
        </w:rPr>
        <w:t>资格文件\商务技术文件\报价文件</w:t>
      </w:r>
    </w:p>
    <w:p w14:paraId="77E1C186">
      <w:pPr>
        <w:pageBreakBefore w:val="0"/>
        <w:kinsoku/>
        <w:overflowPunct/>
        <w:topLinePunct w:val="0"/>
        <w:bidi w:val="0"/>
        <w:snapToGrid w:val="0"/>
        <w:spacing w:line="360" w:lineRule="auto"/>
        <w:ind w:firstLine="1050" w:firstLineChars="500"/>
        <w:rPr>
          <w:rFonts w:ascii="Times New Roman" w:hAnsi="Times New Roman"/>
          <w:bCs/>
          <w:color w:val="000000"/>
          <w:szCs w:val="21"/>
        </w:rPr>
      </w:pPr>
    </w:p>
    <w:p w14:paraId="5D872327">
      <w:pPr>
        <w:pStyle w:val="50"/>
        <w:pageBreakBefore w:val="0"/>
        <w:kinsoku/>
        <w:overflowPunct/>
        <w:topLinePunct w:val="0"/>
        <w:bidi w:val="0"/>
        <w:spacing w:line="360" w:lineRule="auto"/>
        <w:ind w:firstLine="404"/>
      </w:pPr>
    </w:p>
    <w:p w14:paraId="05D7CFBF">
      <w:pPr>
        <w:pStyle w:val="50"/>
        <w:pageBreakBefore w:val="0"/>
        <w:kinsoku/>
        <w:overflowPunct/>
        <w:topLinePunct w:val="0"/>
        <w:bidi w:val="0"/>
        <w:spacing w:line="360" w:lineRule="auto"/>
        <w:ind w:firstLine="404"/>
      </w:pPr>
    </w:p>
    <w:p w14:paraId="07352398">
      <w:pPr>
        <w:pStyle w:val="14"/>
        <w:pageBreakBefore w:val="0"/>
        <w:kinsoku/>
        <w:overflowPunct/>
        <w:topLinePunct w:val="0"/>
        <w:bidi w:val="0"/>
        <w:snapToGrid w:val="0"/>
        <w:spacing w:line="360" w:lineRule="auto"/>
        <w:ind w:firstLine="1050" w:firstLineChars="500"/>
        <w:rPr>
          <w:bCs/>
          <w:color w:val="000000"/>
          <w:szCs w:val="21"/>
        </w:rPr>
      </w:pPr>
      <w:r>
        <w:rPr>
          <w:rFonts w:hint="eastAsia"/>
          <w:bCs/>
          <w:color w:val="000000"/>
          <w:szCs w:val="21"/>
        </w:rPr>
        <w:t>投标人名称：（盖章）</w:t>
      </w:r>
    </w:p>
    <w:p w14:paraId="2D8DCC70">
      <w:pPr>
        <w:pStyle w:val="14"/>
        <w:pageBreakBefore w:val="0"/>
        <w:kinsoku/>
        <w:overflowPunct/>
        <w:topLinePunct w:val="0"/>
        <w:bidi w:val="0"/>
        <w:snapToGrid w:val="0"/>
        <w:spacing w:line="360" w:lineRule="auto"/>
        <w:ind w:firstLine="1050" w:firstLineChars="500"/>
        <w:rPr>
          <w:bCs/>
          <w:color w:val="000000"/>
          <w:szCs w:val="21"/>
        </w:rPr>
      </w:pPr>
      <w:r>
        <w:rPr>
          <w:rFonts w:hint="eastAsia"/>
          <w:bCs/>
          <w:color w:val="000000"/>
          <w:szCs w:val="21"/>
        </w:rPr>
        <w:t>投标人地址：</w:t>
      </w:r>
    </w:p>
    <w:p w14:paraId="6D869151">
      <w:pPr>
        <w:pageBreakBefore w:val="0"/>
        <w:kinsoku/>
        <w:overflowPunct/>
        <w:topLinePunct w:val="0"/>
        <w:bidi w:val="0"/>
        <w:snapToGrid w:val="0"/>
        <w:spacing w:line="360" w:lineRule="auto"/>
        <w:ind w:firstLine="3360" w:firstLineChars="1600"/>
        <w:rPr>
          <w:rFonts w:ascii="Times New Roman" w:hAnsi="Times New Roman"/>
          <w:color w:val="000000"/>
          <w:szCs w:val="21"/>
        </w:rPr>
      </w:pPr>
      <w:r>
        <w:rPr>
          <w:rFonts w:hint="eastAsia" w:ascii="Times New Roman" w:hAnsi="Times New Roman"/>
          <w:color w:val="000000"/>
          <w:szCs w:val="21"/>
        </w:rPr>
        <w:t>年</w:t>
      </w:r>
      <w:r>
        <w:rPr>
          <w:rFonts w:ascii="Times New Roman" w:hAnsi="Times New Roman"/>
          <w:color w:val="000000"/>
          <w:szCs w:val="21"/>
        </w:rPr>
        <w:t xml:space="preserve">  </w:t>
      </w:r>
      <w:r>
        <w:rPr>
          <w:rFonts w:hint="eastAsia" w:ascii="Times New Roman" w:hAnsi="Times New Roman"/>
          <w:color w:val="000000"/>
          <w:szCs w:val="21"/>
        </w:rPr>
        <w:t>月</w:t>
      </w:r>
      <w:r>
        <w:rPr>
          <w:rFonts w:ascii="Times New Roman" w:hAnsi="Times New Roman"/>
          <w:color w:val="000000"/>
          <w:szCs w:val="21"/>
        </w:rPr>
        <w:t xml:space="preserve">  </w:t>
      </w:r>
      <w:r>
        <w:rPr>
          <w:rFonts w:hint="eastAsia" w:ascii="Times New Roman" w:hAnsi="Times New Roman"/>
          <w:color w:val="000000"/>
          <w:szCs w:val="21"/>
        </w:rPr>
        <w:t>日</w:t>
      </w:r>
    </w:p>
    <w:p w14:paraId="220E91EB">
      <w:pPr>
        <w:pageBreakBefore w:val="0"/>
        <w:kinsoku/>
        <w:overflowPunct/>
        <w:topLinePunct w:val="0"/>
        <w:bidi w:val="0"/>
        <w:snapToGrid w:val="0"/>
        <w:spacing w:line="360" w:lineRule="auto"/>
        <w:ind w:firstLine="422"/>
        <w:rPr>
          <w:rFonts w:ascii="Times New Roman" w:hAnsi="Times New Roman"/>
          <w:b/>
          <w:color w:val="000000"/>
          <w:szCs w:val="21"/>
        </w:rPr>
      </w:pPr>
    </w:p>
    <w:p w14:paraId="2658BBEA">
      <w:pPr>
        <w:pStyle w:val="50"/>
        <w:rPr>
          <w:rFonts w:ascii="Times New Roman" w:hAnsi="Times New Roman"/>
          <w:b/>
          <w:color w:val="000000"/>
          <w:szCs w:val="21"/>
        </w:rPr>
      </w:pPr>
    </w:p>
    <w:p w14:paraId="0E092843">
      <w:pPr>
        <w:pStyle w:val="50"/>
        <w:rPr>
          <w:rFonts w:ascii="Times New Roman" w:hAnsi="Times New Roman"/>
          <w:b/>
          <w:color w:val="000000"/>
          <w:szCs w:val="21"/>
        </w:rPr>
      </w:pPr>
    </w:p>
    <w:p w14:paraId="20398138">
      <w:pPr>
        <w:pStyle w:val="50"/>
        <w:rPr>
          <w:rFonts w:ascii="Times New Roman" w:hAnsi="Times New Roman"/>
          <w:b/>
          <w:color w:val="000000"/>
          <w:szCs w:val="21"/>
        </w:rPr>
      </w:pPr>
    </w:p>
    <w:p w14:paraId="38F93D4E">
      <w:pPr>
        <w:pStyle w:val="50"/>
        <w:rPr>
          <w:rFonts w:ascii="Times New Roman" w:hAnsi="Times New Roman"/>
          <w:b/>
          <w:color w:val="000000"/>
          <w:szCs w:val="21"/>
        </w:rPr>
      </w:pPr>
    </w:p>
    <w:p w14:paraId="6DB41480">
      <w:pPr>
        <w:pStyle w:val="50"/>
        <w:rPr>
          <w:rFonts w:ascii="Times New Roman" w:hAnsi="Times New Roman"/>
          <w:b/>
          <w:color w:val="000000"/>
          <w:szCs w:val="21"/>
        </w:rPr>
      </w:pPr>
    </w:p>
    <w:p w14:paraId="0CBBDB60">
      <w:pPr>
        <w:pStyle w:val="50"/>
        <w:rPr>
          <w:rFonts w:ascii="Times New Roman" w:hAnsi="Times New Roman"/>
          <w:b/>
          <w:color w:val="000000"/>
          <w:szCs w:val="21"/>
        </w:rPr>
      </w:pPr>
    </w:p>
    <w:p w14:paraId="780E0958">
      <w:pPr>
        <w:pStyle w:val="50"/>
        <w:pageBreakBefore w:val="0"/>
        <w:kinsoku/>
        <w:overflowPunct/>
        <w:topLinePunct w:val="0"/>
        <w:bidi w:val="0"/>
        <w:spacing w:line="360" w:lineRule="auto"/>
        <w:ind w:firstLine="404"/>
      </w:pPr>
    </w:p>
    <w:p w14:paraId="77CB2EED">
      <w:pPr>
        <w:pStyle w:val="50"/>
        <w:pageBreakBefore w:val="0"/>
        <w:kinsoku/>
        <w:overflowPunct/>
        <w:topLinePunct w:val="0"/>
        <w:bidi w:val="0"/>
        <w:spacing w:line="360" w:lineRule="auto"/>
        <w:ind w:firstLine="404"/>
      </w:pPr>
    </w:p>
    <w:p w14:paraId="2BA4A997">
      <w:pPr>
        <w:pageBreakBefore w:val="0"/>
        <w:kinsoku/>
        <w:overflowPunct/>
        <w:topLinePunct w:val="0"/>
        <w:bidi w:val="0"/>
        <w:snapToGrid w:val="0"/>
        <w:spacing w:line="360" w:lineRule="auto"/>
        <w:ind w:firstLine="422"/>
        <w:rPr>
          <w:rFonts w:ascii="Times New Roman" w:hAnsi="Times New Roman"/>
          <w:b/>
          <w:color w:val="000000"/>
          <w:szCs w:val="21"/>
        </w:rPr>
      </w:pPr>
    </w:p>
    <w:p w14:paraId="3C3E9C7E">
      <w:pPr>
        <w:pageBreakBefore w:val="0"/>
        <w:kinsoku/>
        <w:overflowPunct/>
        <w:topLinePunct w:val="0"/>
        <w:bidi w:val="0"/>
        <w:snapToGrid w:val="0"/>
        <w:spacing w:line="360" w:lineRule="auto"/>
        <w:ind w:firstLine="422"/>
        <w:rPr>
          <w:rFonts w:ascii="Times New Roman" w:hAnsi="Times New Roman"/>
          <w:color w:val="000000"/>
          <w:szCs w:val="21"/>
        </w:rPr>
      </w:pPr>
      <w:r>
        <w:rPr>
          <w:rFonts w:ascii="Times New Roman" w:hAnsi="Times New Roman"/>
          <w:b/>
          <w:color w:val="000000"/>
          <w:szCs w:val="21"/>
        </w:rPr>
        <w:t>2</w:t>
      </w:r>
      <w:r>
        <w:rPr>
          <w:rFonts w:hint="eastAsia" w:ascii="Times New Roman" w:hAnsi="Times New Roman"/>
          <w:b/>
          <w:color w:val="000000"/>
          <w:szCs w:val="21"/>
        </w:rPr>
        <w:t>、</w:t>
      </w:r>
      <w:bookmarkStart w:id="643" w:name="_Hlk46482715"/>
      <w:r>
        <w:rPr>
          <w:rFonts w:hint="eastAsia" w:ascii="Times New Roman" w:hAnsi="Times New Roman"/>
          <w:b/>
          <w:color w:val="000000"/>
          <w:szCs w:val="21"/>
        </w:rPr>
        <w:t>投标文件</w:t>
      </w:r>
      <w:bookmarkEnd w:id="643"/>
      <w:r>
        <w:rPr>
          <w:rFonts w:hint="eastAsia" w:ascii="Times New Roman" w:hAnsi="Times New Roman"/>
          <w:b/>
          <w:color w:val="000000"/>
          <w:szCs w:val="21"/>
        </w:rPr>
        <w:t>目录</w:t>
      </w:r>
      <w:r>
        <w:rPr>
          <w:rFonts w:hint="eastAsia" w:ascii="Times New Roman" w:hAnsi="Times New Roman"/>
          <w:b/>
          <w:bCs/>
          <w:color w:val="000000"/>
          <w:szCs w:val="21"/>
        </w:rPr>
        <w:t>（请按照“第三章投标人须知，三、投标文件的编制”的顺序自行编制目录）</w:t>
      </w:r>
    </w:p>
    <w:p w14:paraId="5F91CA2F">
      <w:pPr>
        <w:pageBreakBefore w:val="0"/>
        <w:kinsoku/>
        <w:overflowPunct/>
        <w:topLinePunct w:val="0"/>
        <w:bidi w:val="0"/>
        <w:snapToGrid w:val="0"/>
        <w:spacing w:line="360" w:lineRule="auto"/>
        <w:ind w:firstLine="422"/>
        <w:rPr>
          <w:rFonts w:ascii="Times New Roman" w:hAnsi="Times New Roman"/>
          <w:b/>
          <w:bCs/>
          <w:color w:val="000000"/>
          <w:szCs w:val="21"/>
        </w:rPr>
      </w:pPr>
      <w:r>
        <w:rPr>
          <w:rFonts w:hint="eastAsia" w:ascii="Times New Roman" w:hAnsi="Times New Roman"/>
          <w:b/>
          <w:bCs/>
          <w:color w:val="000000"/>
          <w:szCs w:val="21"/>
        </w:rPr>
        <w:t>例如：</w:t>
      </w:r>
    </w:p>
    <w:p w14:paraId="07D0B5D0">
      <w:pPr>
        <w:pageBreakBefore w:val="0"/>
        <w:kinsoku/>
        <w:overflowPunct/>
        <w:topLinePunct w:val="0"/>
        <w:bidi w:val="0"/>
        <w:snapToGrid w:val="0"/>
        <w:spacing w:line="360" w:lineRule="auto"/>
        <w:ind w:firstLine="420"/>
        <w:rPr>
          <w:rFonts w:ascii="Times New Roman" w:hAnsi="Times New Roman"/>
          <w:color w:val="000000"/>
          <w:szCs w:val="21"/>
        </w:rPr>
      </w:pPr>
      <w:r>
        <w:rPr>
          <w:rFonts w:hint="eastAsia" w:ascii="Times New Roman" w:hAnsi="Times New Roman"/>
          <w:color w:val="000000"/>
          <w:szCs w:val="21"/>
        </w:rPr>
        <w:t>资格文件</w:t>
      </w:r>
    </w:p>
    <w:p w14:paraId="663D421F">
      <w:pPr>
        <w:pageBreakBefore w:val="0"/>
        <w:kinsoku/>
        <w:overflowPunct/>
        <w:topLinePunct w:val="0"/>
        <w:bidi w:val="0"/>
        <w:snapToGrid w:val="0"/>
        <w:spacing w:line="360" w:lineRule="auto"/>
        <w:ind w:firstLine="420"/>
        <w:jc w:val="left"/>
        <w:rPr>
          <w:rFonts w:ascii="Times New Roman" w:hAnsi="Times New Roman"/>
          <w:color w:val="000000"/>
          <w:szCs w:val="21"/>
        </w:rPr>
      </w:pPr>
      <w:r>
        <w:rPr>
          <w:rFonts w:hint="eastAsia" w:ascii="Times New Roman" w:hAnsi="Times New Roman"/>
          <w:color w:val="000000"/>
          <w:szCs w:val="21"/>
        </w:rPr>
        <w:t>（</w:t>
      </w:r>
      <w:r>
        <w:rPr>
          <w:rFonts w:ascii="Times New Roman" w:hAnsi="Times New Roman"/>
          <w:color w:val="000000"/>
          <w:szCs w:val="21"/>
        </w:rPr>
        <w:t>1</w:t>
      </w:r>
      <w:r>
        <w:rPr>
          <w:rFonts w:hint="eastAsia" w:ascii="Times New Roman" w:hAnsi="Times New Roman"/>
          <w:color w:val="000000"/>
          <w:szCs w:val="21"/>
        </w:rPr>
        <w:t>）投标声明书————————————————（页码）</w:t>
      </w:r>
    </w:p>
    <w:p w14:paraId="56CB942D">
      <w:pPr>
        <w:pageBreakBefore w:val="0"/>
        <w:kinsoku/>
        <w:overflowPunct/>
        <w:topLinePunct w:val="0"/>
        <w:bidi w:val="0"/>
        <w:snapToGrid w:val="0"/>
        <w:spacing w:line="360" w:lineRule="auto"/>
        <w:ind w:firstLine="420"/>
        <w:jc w:val="left"/>
        <w:rPr>
          <w:rFonts w:ascii="Times New Roman" w:hAnsi="Times New Roman"/>
          <w:color w:val="000000"/>
          <w:szCs w:val="21"/>
        </w:rPr>
      </w:pPr>
      <w:r>
        <w:rPr>
          <w:rFonts w:hint="eastAsia" w:ascii="Times New Roman" w:hAnsi="Times New Roman"/>
          <w:color w:val="000000"/>
          <w:szCs w:val="21"/>
        </w:rPr>
        <w:t>（</w:t>
      </w:r>
      <w:r>
        <w:rPr>
          <w:rFonts w:ascii="Times New Roman" w:hAnsi="Times New Roman"/>
          <w:color w:val="000000"/>
          <w:szCs w:val="21"/>
        </w:rPr>
        <w:t>2</w:t>
      </w:r>
      <w:r>
        <w:rPr>
          <w:rFonts w:hint="eastAsia" w:ascii="Times New Roman" w:hAnsi="Times New Roman"/>
          <w:color w:val="000000"/>
          <w:szCs w:val="21"/>
        </w:rPr>
        <w:t>）诚信承诺书————————————————（页码）</w:t>
      </w:r>
    </w:p>
    <w:p w14:paraId="19204FA1">
      <w:pPr>
        <w:pageBreakBefore w:val="0"/>
        <w:kinsoku/>
        <w:overflowPunct/>
        <w:topLinePunct w:val="0"/>
        <w:bidi w:val="0"/>
        <w:snapToGrid w:val="0"/>
        <w:spacing w:line="360" w:lineRule="auto"/>
        <w:ind w:firstLine="420"/>
        <w:jc w:val="left"/>
        <w:rPr>
          <w:rFonts w:ascii="Times New Roman" w:hAnsi="Times New Roman"/>
          <w:color w:val="000000"/>
          <w:szCs w:val="21"/>
        </w:rPr>
      </w:pPr>
      <w:r>
        <w:rPr>
          <w:rFonts w:hint="eastAsia" w:ascii="Times New Roman" w:hAnsi="Times New Roman"/>
          <w:color w:val="000000"/>
          <w:szCs w:val="21"/>
        </w:rPr>
        <w:t>（</w:t>
      </w:r>
      <w:r>
        <w:rPr>
          <w:rFonts w:ascii="Times New Roman" w:hAnsi="Times New Roman"/>
          <w:color w:val="000000"/>
          <w:szCs w:val="21"/>
        </w:rPr>
        <w:t>3</w:t>
      </w:r>
      <w:r>
        <w:rPr>
          <w:rFonts w:hint="eastAsia" w:ascii="Times New Roman" w:hAnsi="Times New Roman"/>
          <w:color w:val="000000"/>
          <w:szCs w:val="21"/>
        </w:rPr>
        <w:t>）法定代表人授权委托书———————————（页码）</w:t>
      </w:r>
    </w:p>
    <w:p w14:paraId="642EA805">
      <w:pPr>
        <w:pageBreakBefore w:val="0"/>
        <w:kinsoku/>
        <w:overflowPunct/>
        <w:topLinePunct w:val="0"/>
        <w:bidi w:val="0"/>
        <w:snapToGrid w:val="0"/>
        <w:spacing w:line="360" w:lineRule="auto"/>
        <w:ind w:firstLine="422"/>
        <w:jc w:val="center"/>
        <w:rPr>
          <w:rFonts w:ascii="Times New Roman" w:hAnsi="Times New Roman"/>
          <w:b/>
          <w:bCs/>
          <w:color w:val="000000"/>
          <w:szCs w:val="21"/>
        </w:rPr>
      </w:pPr>
      <w:r>
        <w:rPr>
          <w:rFonts w:ascii="Times New Roman" w:hAnsi="Times New Roman"/>
          <w:b/>
          <w:bCs/>
          <w:color w:val="000000"/>
          <w:szCs w:val="21"/>
        </w:rPr>
        <w:t>……</w:t>
      </w:r>
    </w:p>
    <w:p w14:paraId="06D8B728">
      <w:pPr>
        <w:pageBreakBefore w:val="0"/>
        <w:kinsoku/>
        <w:overflowPunct/>
        <w:topLinePunct w:val="0"/>
        <w:bidi w:val="0"/>
        <w:snapToGrid w:val="0"/>
        <w:spacing w:line="360" w:lineRule="auto"/>
        <w:ind w:firstLine="422"/>
        <w:jc w:val="left"/>
        <w:rPr>
          <w:rFonts w:ascii="Times New Roman" w:hAnsi="Times New Roman"/>
          <w:b/>
          <w:color w:val="000000"/>
          <w:szCs w:val="21"/>
        </w:rPr>
      </w:pPr>
      <w:r>
        <w:rPr>
          <w:rFonts w:ascii="Times New Roman" w:hAnsi="Times New Roman"/>
          <w:b/>
          <w:color w:val="000000"/>
          <w:szCs w:val="21"/>
        </w:rPr>
        <w:br w:type="page"/>
      </w:r>
      <w:r>
        <w:rPr>
          <w:rFonts w:ascii="Times New Roman" w:hAnsi="Times New Roman"/>
          <w:b/>
          <w:color w:val="000000"/>
          <w:szCs w:val="21"/>
        </w:rPr>
        <w:t>3</w:t>
      </w:r>
      <w:r>
        <w:rPr>
          <w:rFonts w:hint="eastAsia" w:ascii="Times New Roman" w:hAnsi="Times New Roman"/>
          <w:b/>
          <w:color w:val="000000"/>
          <w:szCs w:val="21"/>
        </w:rPr>
        <w:t>、投标声明书格式：</w:t>
      </w:r>
    </w:p>
    <w:p w14:paraId="4ACC9032">
      <w:pPr>
        <w:pageBreakBefore w:val="0"/>
        <w:kinsoku/>
        <w:overflowPunct/>
        <w:topLinePunct w:val="0"/>
        <w:bidi w:val="0"/>
        <w:snapToGrid w:val="0"/>
        <w:spacing w:line="360" w:lineRule="auto"/>
        <w:ind w:firstLine="422"/>
        <w:jc w:val="center"/>
        <w:rPr>
          <w:rFonts w:ascii="Times New Roman" w:hAnsi="Times New Roman"/>
          <w:b/>
          <w:bCs/>
          <w:color w:val="000000"/>
          <w:szCs w:val="21"/>
        </w:rPr>
      </w:pPr>
      <w:r>
        <w:rPr>
          <w:rFonts w:hint="eastAsia" w:ascii="Times New Roman" w:hAnsi="Times New Roman"/>
          <w:b/>
          <w:bCs/>
          <w:color w:val="000000"/>
          <w:szCs w:val="21"/>
        </w:rPr>
        <w:t>投标声明书</w:t>
      </w:r>
    </w:p>
    <w:p w14:paraId="28AC6D1A">
      <w:pPr>
        <w:pageBreakBefore w:val="0"/>
        <w:kinsoku/>
        <w:overflowPunct/>
        <w:topLinePunct w:val="0"/>
        <w:bidi w:val="0"/>
        <w:snapToGrid w:val="0"/>
        <w:spacing w:line="360" w:lineRule="auto"/>
        <w:rPr>
          <w:rFonts w:ascii="Times New Roman" w:hAnsi="Times New Roman"/>
          <w:color w:val="000000"/>
          <w:szCs w:val="21"/>
        </w:rPr>
      </w:pPr>
      <w:r>
        <w:rPr>
          <w:rFonts w:hint="eastAsia" w:ascii="Times New Roman" w:hAnsi="Times New Roman"/>
          <w:color w:val="000000"/>
          <w:szCs w:val="21"/>
          <w:u w:val="single"/>
        </w:rPr>
        <w:t>嘉兴市秀洲区公路与运输管理服务中心</w:t>
      </w:r>
      <w:r>
        <w:rPr>
          <w:rFonts w:hint="eastAsia" w:ascii="Times New Roman" w:hAnsi="Times New Roman"/>
          <w:color w:val="000000"/>
          <w:szCs w:val="21"/>
        </w:rPr>
        <w:t>：</w:t>
      </w:r>
    </w:p>
    <w:p w14:paraId="3A345717">
      <w:pPr>
        <w:pageBreakBefore w:val="0"/>
        <w:kinsoku/>
        <w:overflowPunct/>
        <w:topLinePunct w:val="0"/>
        <w:bidi w:val="0"/>
        <w:snapToGrid w:val="0"/>
        <w:spacing w:line="360" w:lineRule="auto"/>
        <w:ind w:firstLine="420" w:firstLineChars="200"/>
        <w:rPr>
          <w:rFonts w:ascii="Times New Roman" w:hAnsi="Times New Roman"/>
          <w:color w:val="000000"/>
          <w:szCs w:val="21"/>
        </w:rPr>
      </w:pPr>
      <w:r>
        <w:rPr>
          <w:rFonts w:hint="eastAsia" w:ascii="Times New Roman" w:hAnsi="Times New Roman"/>
          <w:color w:val="000000"/>
          <w:szCs w:val="21"/>
          <w:u w:val="single"/>
        </w:rPr>
        <w:t xml:space="preserve">                               </w:t>
      </w:r>
      <w:r>
        <w:rPr>
          <w:rFonts w:hint="eastAsia" w:ascii="Times New Roman" w:hAnsi="Times New Roman"/>
          <w:color w:val="000000"/>
          <w:szCs w:val="21"/>
        </w:rPr>
        <w:t>（投标人名称）系中华人民共和国合法企业，经营地址</w:t>
      </w:r>
      <w:r>
        <w:rPr>
          <w:rFonts w:ascii="Times New Roman" w:hAnsi="Times New Roman"/>
          <w:color w:val="000000"/>
          <w:szCs w:val="21"/>
          <w:u w:val="single"/>
        </w:rPr>
        <w:t xml:space="preserve">                           </w:t>
      </w:r>
      <w:r>
        <w:rPr>
          <w:rFonts w:hint="eastAsia" w:ascii="Times New Roman" w:hAnsi="Times New Roman"/>
          <w:color w:val="000000"/>
          <w:szCs w:val="21"/>
        </w:rPr>
        <w:t>。</w:t>
      </w:r>
    </w:p>
    <w:p w14:paraId="3FEADA97">
      <w:pPr>
        <w:pageBreakBefore w:val="0"/>
        <w:kinsoku/>
        <w:overflowPunct/>
        <w:topLinePunct w:val="0"/>
        <w:bidi w:val="0"/>
        <w:snapToGrid w:val="0"/>
        <w:spacing w:line="360" w:lineRule="auto"/>
        <w:ind w:firstLine="420"/>
        <w:rPr>
          <w:rFonts w:ascii="Times New Roman" w:hAnsi="Times New Roman"/>
          <w:color w:val="000000"/>
          <w:szCs w:val="21"/>
        </w:rPr>
      </w:pPr>
      <w:r>
        <w:rPr>
          <w:rFonts w:hint="eastAsia" w:ascii="Times New Roman" w:hAnsi="Times New Roman"/>
          <w:color w:val="000000"/>
          <w:szCs w:val="21"/>
        </w:rPr>
        <w:t>我</w:t>
      </w:r>
      <w:r>
        <w:rPr>
          <w:rFonts w:ascii="Times New Roman" w:hAnsi="Times New Roman"/>
          <w:color w:val="000000"/>
          <w:szCs w:val="21"/>
        </w:rPr>
        <w:t>________</w:t>
      </w:r>
      <w:r>
        <w:rPr>
          <w:rFonts w:hint="eastAsia" w:ascii="Times New Roman" w:hAnsi="Times New Roman"/>
          <w:color w:val="000000"/>
          <w:szCs w:val="21"/>
        </w:rPr>
        <w:t>（姓名）系</w:t>
      </w:r>
      <w:r>
        <w:rPr>
          <w:rFonts w:ascii="Times New Roman" w:hAnsi="Times New Roman"/>
          <w:color w:val="000000"/>
          <w:szCs w:val="21"/>
        </w:rPr>
        <w:t>_______________</w:t>
      </w:r>
      <w:r>
        <w:rPr>
          <w:rFonts w:hint="eastAsia" w:ascii="Times New Roman" w:hAnsi="Times New Roman"/>
          <w:color w:val="000000"/>
          <w:szCs w:val="21"/>
        </w:rPr>
        <w:t>（投标人名称）的法定代表人，我方愿意参加贵方组织的</w:t>
      </w:r>
      <w:r>
        <w:rPr>
          <w:rFonts w:ascii="Times New Roman" w:hAnsi="Times New Roman"/>
          <w:color w:val="000000"/>
          <w:szCs w:val="21"/>
        </w:rPr>
        <w:t>_______________________</w:t>
      </w:r>
      <w:r>
        <w:rPr>
          <w:rFonts w:hint="eastAsia" w:ascii="Times New Roman" w:hAnsi="Times New Roman"/>
          <w:color w:val="000000"/>
          <w:szCs w:val="21"/>
        </w:rPr>
        <w:t>项目</w:t>
      </w:r>
      <w:r>
        <w:rPr>
          <w:rFonts w:hint="eastAsia" w:ascii="Times New Roman" w:hAnsi="Times New Roman" w:cs="宋体"/>
          <w:color w:val="000000"/>
          <w:szCs w:val="21"/>
        </w:rPr>
        <w:t>第</w:t>
      </w:r>
      <w:r>
        <w:rPr>
          <w:rFonts w:hint="eastAsia" w:ascii="Times New Roman" w:hAnsi="Times New Roman" w:cs="宋体"/>
          <w:color w:val="000000"/>
          <w:szCs w:val="21"/>
          <w:u w:val="single"/>
        </w:rPr>
        <w:t xml:space="preserve">    </w:t>
      </w:r>
      <w:r>
        <w:rPr>
          <w:rFonts w:hint="eastAsia" w:ascii="Times New Roman" w:hAnsi="Times New Roman" w:cs="宋体"/>
          <w:color w:val="000000"/>
          <w:szCs w:val="21"/>
        </w:rPr>
        <w:t>标段</w:t>
      </w:r>
      <w:r>
        <w:rPr>
          <w:rFonts w:hint="eastAsia" w:ascii="Times New Roman" w:hAnsi="Times New Roman"/>
          <w:color w:val="000000"/>
          <w:szCs w:val="21"/>
        </w:rPr>
        <w:t>的投标，为便于贵方公正、择优地确定中标人及其服务，我方就本次投标有关事项郑重声明如下：</w:t>
      </w:r>
    </w:p>
    <w:p w14:paraId="03CB94B0">
      <w:pPr>
        <w:pageBreakBefore w:val="0"/>
        <w:kinsoku/>
        <w:overflowPunct/>
        <w:topLinePunct w:val="0"/>
        <w:bidi w:val="0"/>
        <w:snapToGrid w:val="0"/>
        <w:spacing w:line="360" w:lineRule="auto"/>
        <w:ind w:firstLine="420" w:firstLineChars="200"/>
        <w:rPr>
          <w:rFonts w:ascii="Times New Roman" w:hAnsi="Times New Roman"/>
          <w:color w:val="000000"/>
          <w:szCs w:val="21"/>
        </w:rPr>
      </w:pPr>
      <w:r>
        <w:rPr>
          <w:rFonts w:ascii="Times New Roman" w:hAnsi="Times New Roman"/>
          <w:color w:val="000000"/>
          <w:szCs w:val="21"/>
        </w:rPr>
        <w:t>1.</w:t>
      </w:r>
      <w:r>
        <w:rPr>
          <w:rFonts w:hint="eastAsia" w:ascii="Times New Roman" w:hAnsi="Times New Roman"/>
          <w:color w:val="000000"/>
          <w:szCs w:val="21"/>
        </w:rPr>
        <w:t>我方向贵方提交的所有投标文件、资料都是准确的和真实的。</w:t>
      </w:r>
    </w:p>
    <w:p w14:paraId="5AC69AB8">
      <w:pPr>
        <w:pageBreakBefore w:val="0"/>
        <w:kinsoku/>
        <w:overflowPunct/>
        <w:topLinePunct w:val="0"/>
        <w:bidi w:val="0"/>
        <w:snapToGrid w:val="0"/>
        <w:spacing w:line="360" w:lineRule="auto"/>
        <w:ind w:firstLine="420" w:firstLineChars="200"/>
        <w:rPr>
          <w:rFonts w:ascii="Times New Roman" w:hAnsi="Times New Roman"/>
          <w:color w:val="000000"/>
          <w:szCs w:val="21"/>
        </w:rPr>
      </w:pPr>
      <w:r>
        <w:rPr>
          <w:rFonts w:ascii="Times New Roman" w:hAnsi="Times New Roman"/>
          <w:color w:val="000000"/>
          <w:szCs w:val="21"/>
        </w:rPr>
        <w:t>2.</w:t>
      </w:r>
      <w:r>
        <w:rPr>
          <w:rFonts w:hint="eastAsia" w:ascii="Times New Roman" w:hAnsi="Times New Roman"/>
          <w:color w:val="000000"/>
          <w:szCs w:val="21"/>
        </w:rPr>
        <w:t>我方不是采购人的附属机构；在获知本项目采购信息后，与采购人聘请的为此项目提供咨询服务的公司及其附属机构没有任何联系。</w:t>
      </w:r>
    </w:p>
    <w:p w14:paraId="5570028B">
      <w:pPr>
        <w:pageBreakBefore w:val="0"/>
        <w:kinsoku/>
        <w:overflowPunct/>
        <w:topLinePunct w:val="0"/>
        <w:bidi w:val="0"/>
        <w:snapToGrid w:val="0"/>
        <w:spacing w:line="360" w:lineRule="auto"/>
        <w:ind w:firstLine="420" w:firstLineChars="200"/>
        <w:rPr>
          <w:rFonts w:ascii="Times New Roman" w:hAnsi="Times New Roman"/>
          <w:color w:val="000000"/>
          <w:szCs w:val="21"/>
        </w:rPr>
      </w:pPr>
      <w:r>
        <w:rPr>
          <w:rFonts w:ascii="Times New Roman" w:hAnsi="Times New Roman"/>
          <w:color w:val="000000"/>
          <w:szCs w:val="21"/>
        </w:rPr>
        <w:t>3.</w:t>
      </w:r>
      <w:r>
        <w:rPr>
          <w:rFonts w:hint="eastAsia" w:ascii="Times New Roman" w:hAnsi="Times New Roman"/>
          <w:color w:val="000000"/>
          <w:szCs w:val="21"/>
        </w:rPr>
        <w:t>我方此次向贵方提供的服务为：</w:t>
      </w:r>
      <w:r>
        <w:rPr>
          <w:rFonts w:hint="eastAsia" w:ascii="Times New Roman" w:hAnsi="Times New Roman"/>
          <w:color w:val="000000"/>
          <w:szCs w:val="21"/>
          <w:u w:val="single"/>
          <w:lang w:eastAsia="zh-CN"/>
        </w:rPr>
        <w:t>2026年秀洲区县道及以上公路小修及应急抢险项目</w:t>
      </w:r>
      <w:r>
        <w:rPr>
          <w:rFonts w:hint="eastAsia" w:ascii="Times New Roman" w:hAnsi="Times New Roman"/>
          <w:color w:val="000000"/>
          <w:szCs w:val="21"/>
        </w:rPr>
        <w:t>。</w:t>
      </w:r>
    </w:p>
    <w:p w14:paraId="517742ED">
      <w:pPr>
        <w:pageBreakBefore w:val="0"/>
        <w:kinsoku/>
        <w:overflowPunct/>
        <w:topLinePunct w:val="0"/>
        <w:bidi w:val="0"/>
        <w:snapToGrid w:val="0"/>
        <w:spacing w:line="360" w:lineRule="auto"/>
        <w:ind w:firstLine="420" w:firstLineChars="200"/>
        <w:rPr>
          <w:rFonts w:ascii="Times New Roman" w:hAnsi="Times New Roman"/>
          <w:color w:val="000000"/>
          <w:szCs w:val="21"/>
          <w:u w:val="single"/>
        </w:rPr>
      </w:pPr>
      <w:r>
        <w:rPr>
          <w:rFonts w:ascii="Times New Roman" w:hAnsi="Times New Roman"/>
          <w:color w:val="000000"/>
          <w:szCs w:val="21"/>
        </w:rPr>
        <w:t>4.</w:t>
      </w:r>
      <w:r>
        <w:rPr>
          <w:rFonts w:hint="eastAsia" w:ascii="Times New Roman" w:hAnsi="Times New Roman"/>
          <w:color w:val="000000"/>
          <w:szCs w:val="21"/>
        </w:rPr>
        <w:t>我方诚意提请贵方关注：近期有关本项目服务的重大决策和事项有：</w:t>
      </w:r>
      <w:r>
        <w:rPr>
          <w:rFonts w:hint="eastAsia" w:ascii="Times New Roman" w:hAnsi="Times New Roman"/>
          <w:color w:val="000000"/>
          <w:szCs w:val="21"/>
          <w:u w:val="single"/>
        </w:rPr>
        <w:t>　　　　　　</w:t>
      </w:r>
      <w:r>
        <w:rPr>
          <w:rFonts w:hint="eastAsia" w:ascii="Times New Roman" w:hAnsi="Times New Roman"/>
          <w:color w:val="000000"/>
          <w:szCs w:val="21"/>
        </w:rPr>
        <w:t>。</w:t>
      </w:r>
    </w:p>
    <w:p w14:paraId="0FFCF66C">
      <w:pPr>
        <w:pageBreakBefore w:val="0"/>
        <w:kinsoku/>
        <w:overflowPunct/>
        <w:topLinePunct w:val="0"/>
        <w:bidi w:val="0"/>
        <w:snapToGrid w:val="0"/>
        <w:spacing w:line="360" w:lineRule="auto"/>
        <w:ind w:firstLine="420" w:firstLineChars="200"/>
        <w:rPr>
          <w:rFonts w:ascii="Times New Roman" w:hAnsi="Times New Roman"/>
          <w:color w:val="000000"/>
          <w:szCs w:val="21"/>
        </w:rPr>
      </w:pPr>
      <w:r>
        <w:rPr>
          <w:rFonts w:ascii="Times New Roman" w:hAnsi="Times New Roman"/>
          <w:color w:val="000000"/>
          <w:szCs w:val="21"/>
        </w:rPr>
        <w:t>5.</w:t>
      </w:r>
      <w:r>
        <w:rPr>
          <w:rFonts w:hint="eastAsia" w:ascii="Times New Roman" w:hAnsi="Times New Roman"/>
          <w:color w:val="000000"/>
          <w:szCs w:val="21"/>
        </w:rPr>
        <w:t>我方在参加本项目的政府采购活动前三年内，在经营活动中没有重大违法记录。</w:t>
      </w:r>
    </w:p>
    <w:p w14:paraId="708E22C0">
      <w:pPr>
        <w:pageBreakBefore w:val="0"/>
        <w:kinsoku/>
        <w:overflowPunct/>
        <w:topLinePunct w:val="0"/>
        <w:bidi w:val="0"/>
        <w:snapToGrid w:val="0"/>
        <w:spacing w:line="360" w:lineRule="auto"/>
        <w:ind w:firstLine="420" w:firstLineChars="200"/>
        <w:rPr>
          <w:rFonts w:ascii="Times New Roman" w:hAnsi="Times New Roman"/>
          <w:color w:val="000000"/>
          <w:szCs w:val="21"/>
        </w:rPr>
      </w:pPr>
      <w:r>
        <w:rPr>
          <w:rFonts w:ascii="Times New Roman" w:hAnsi="Times New Roman"/>
          <w:color w:val="000000"/>
          <w:szCs w:val="21"/>
        </w:rPr>
        <w:t>6.</w:t>
      </w:r>
      <w:r>
        <w:rPr>
          <w:rFonts w:hint="eastAsia" w:ascii="Times New Roman" w:hAnsi="Times New Roman"/>
          <w:color w:val="000000"/>
          <w:szCs w:val="21"/>
        </w:rPr>
        <w:t>以上事项如有虚假或隐瞒，我方愿意承担一切后果，并不再寻求任何旨在减轻或免除法律责任的辩解。</w:t>
      </w:r>
    </w:p>
    <w:p w14:paraId="61066DD6">
      <w:pPr>
        <w:pageBreakBefore w:val="0"/>
        <w:kinsoku/>
        <w:overflowPunct/>
        <w:topLinePunct w:val="0"/>
        <w:bidi w:val="0"/>
        <w:snapToGrid w:val="0"/>
        <w:spacing w:line="360" w:lineRule="auto"/>
        <w:ind w:firstLine="420" w:firstLineChars="200"/>
        <w:rPr>
          <w:rFonts w:ascii="Times New Roman" w:hAnsi="Times New Roman"/>
          <w:color w:val="000000"/>
          <w:szCs w:val="21"/>
        </w:rPr>
      </w:pPr>
    </w:p>
    <w:p w14:paraId="012B1252">
      <w:pPr>
        <w:pageBreakBefore w:val="0"/>
        <w:kinsoku/>
        <w:overflowPunct/>
        <w:topLinePunct w:val="0"/>
        <w:bidi w:val="0"/>
        <w:spacing w:line="360" w:lineRule="auto"/>
        <w:ind w:firstLine="420" w:firstLineChars="200"/>
        <w:rPr>
          <w:rFonts w:ascii="Times New Roman" w:hAnsi="Times New Roman"/>
          <w:color w:val="000000"/>
          <w:szCs w:val="21"/>
        </w:rPr>
      </w:pPr>
    </w:p>
    <w:p w14:paraId="5DC72C21">
      <w:pPr>
        <w:pageBreakBefore w:val="0"/>
        <w:kinsoku/>
        <w:overflowPunct/>
        <w:topLinePunct w:val="0"/>
        <w:bidi w:val="0"/>
        <w:spacing w:line="360" w:lineRule="auto"/>
        <w:ind w:firstLine="2520" w:firstLineChars="1200"/>
        <w:rPr>
          <w:rFonts w:ascii="Times New Roman" w:hAnsi="Times New Roman"/>
          <w:color w:val="000000"/>
          <w:szCs w:val="21"/>
        </w:rPr>
      </w:pPr>
      <w:r>
        <w:rPr>
          <w:rFonts w:hint="eastAsia" w:ascii="Times New Roman" w:hAnsi="Times New Roman"/>
          <w:color w:val="000000"/>
          <w:szCs w:val="21"/>
        </w:rPr>
        <w:t>投标人（加盖公章）：</w:t>
      </w:r>
      <w:r>
        <w:rPr>
          <w:rFonts w:ascii="Times New Roman" w:hAnsi="Times New Roman"/>
          <w:color w:val="000000"/>
          <w:szCs w:val="21"/>
          <w:u w:val="single"/>
        </w:rPr>
        <w:t xml:space="preserve">                        </w:t>
      </w:r>
    </w:p>
    <w:p w14:paraId="5C885DA1">
      <w:pPr>
        <w:pageBreakBefore w:val="0"/>
        <w:kinsoku/>
        <w:overflowPunct/>
        <w:topLinePunct w:val="0"/>
        <w:bidi w:val="0"/>
        <w:spacing w:line="360" w:lineRule="auto"/>
        <w:ind w:firstLine="1890" w:firstLineChars="900"/>
        <w:rPr>
          <w:rFonts w:ascii="Times New Roman" w:hAnsi="Times New Roman"/>
          <w:color w:val="000000"/>
          <w:szCs w:val="21"/>
        </w:rPr>
      </w:pPr>
      <w:r>
        <w:rPr>
          <w:rFonts w:hint="eastAsia" w:ascii="Times New Roman" w:hAnsi="Times New Roman"/>
          <w:color w:val="000000"/>
          <w:szCs w:val="21"/>
        </w:rPr>
        <w:t>法定代表人或被授权人签字（或盖章）：</w:t>
      </w:r>
      <w:r>
        <w:rPr>
          <w:rFonts w:ascii="Times New Roman" w:hAnsi="Times New Roman"/>
          <w:color w:val="000000"/>
          <w:szCs w:val="21"/>
          <w:u w:val="single"/>
        </w:rPr>
        <w:t xml:space="preserve">                      </w:t>
      </w:r>
    </w:p>
    <w:p w14:paraId="6EB769FF">
      <w:pPr>
        <w:pageBreakBefore w:val="0"/>
        <w:kinsoku/>
        <w:overflowPunct/>
        <w:topLinePunct w:val="0"/>
        <w:bidi w:val="0"/>
        <w:spacing w:line="360" w:lineRule="auto"/>
        <w:ind w:firstLine="4305" w:firstLineChars="2050"/>
        <w:rPr>
          <w:rFonts w:ascii="Times New Roman" w:hAnsi="Times New Roman"/>
          <w:color w:val="000000"/>
          <w:szCs w:val="21"/>
        </w:rPr>
      </w:pPr>
      <w:r>
        <w:rPr>
          <w:rFonts w:hint="eastAsia" w:ascii="Times New Roman" w:hAnsi="Times New Roman"/>
          <w:color w:val="000000"/>
          <w:szCs w:val="21"/>
        </w:rPr>
        <w:t>日</w:t>
      </w:r>
      <w:r>
        <w:rPr>
          <w:rFonts w:ascii="Times New Roman" w:hAnsi="Times New Roman"/>
          <w:color w:val="000000"/>
          <w:szCs w:val="21"/>
        </w:rPr>
        <w:t xml:space="preserve">    </w:t>
      </w:r>
      <w:r>
        <w:rPr>
          <w:rFonts w:hint="eastAsia" w:ascii="Times New Roman" w:hAnsi="Times New Roman"/>
          <w:color w:val="000000"/>
          <w:szCs w:val="21"/>
        </w:rPr>
        <w:t>期：</w:t>
      </w:r>
      <w:r>
        <w:rPr>
          <w:rFonts w:ascii="Times New Roman" w:hAnsi="Times New Roman"/>
          <w:color w:val="000000"/>
          <w:szCs w:val="21"/>
          <w:u w:val="single"/>
        </w:rPr>
        <w:t xml:space="preserve">     </w:t>
      </w:r>
      <w:r>
        <w:rPr>
          <w:rFonts w:hint="eastAsia" w:ascii="Times New Roman" w:hAnsi="Times New Roman"/>
          <w:color w:val="000000"/>
          <w:szCs w:val="21"/>
        </w:rPr>
        <w:t>年</w:t>
      </w:r>
      <w:r>
        <w:rPr>
          <w:rFonts w:ascii="Times New Roman" w:hAnsi="Times New Roman"/>
          <w:color w:val="000000"/>
          <w:szCs w:val="21"/>
          <w:u w:val="single"/>
        </w:rPr>
        <w:t xml:space="preserve">    </w:t>
      </w:r>
      <w:r>
        <w:rPr>
          <w:rFonts w:hint="eastAsia" w:ascii="Times New Roman" w:hAnsi="Times New Roman"/>
          <w:color w:val="000000"/>
          <w:szCs w:val="21"/>
        </w:rPr>
        <w:t>月</w:t>
      </w:r>
      <w:r>
        <w:rPr>
          <w:rFonts w:ascii="Times New Roman" w:hAnsi="Times New Roman"/>
          <w:color w:val="000000"/>
          <w:szCs w:val="21"/>
          <w:u w:val="single"/>
        </w:rPr>
        <w:t xml:space="preserve">    </w:t>
      </w:r>
      <w:r>
        <w:rPr>
          <w:rFonts w:hint="eastAsia" w:ascii="Times New Roman" w:hAnsi="Times New Roman"/>
          <w:color w:val="000000"/>
          <w:szCs w:val="21"/>
        </w:rPr>
        <w:t>日</w:t>
      </w:r>
    </w:p>
    <w:p w14:paraId="307224A9">
      <w:pPr>
        <w:pStyle w:val="23"/>
        <w:pageBreakBefore w:val="0"/>
        <w:kinsoku/>
        <w:overflowPunct/>
        <w:topLinePunct w:val="0"/>
        <w:bidi w:val="0"/>
        <w:snapToGrid w:val="0"/>
        <w:spacing w:before="120" w:line="360" w:lineRule="auto"/>
        <w:ind w:firstLine="420"/>
        <w:rPr>
          <w:rFonts w:ascii="Times New Roman" w:hAnsi="Times New Roman"/>
          <w:color w:val="000000"/>
          <w:sz w:val="21"/>
          <w:szCs w:val="21"/>
        </w:rPr>
      </w:pPr>
    </w:p>
    <w:p w14:paraId="3F7C669A">
      <w:pPr>
        <w:pageBreakBefore w:val="0"/>
        <w:widowControl/>
        <w:kinsoku/>
        <w:overflowPunct/>
        <w:topLinePunct w:val="0"/>
        <w:bidi w:val="0"/>
        <w:spacing w:line="360" w:lineRule="auto"/>
        <w:ind w:firstLine="422"/>
        <w:jc w:val="left"/>
        <w:rPr>
          <w:rFonts w:ascii="Times New Roman" w:hAnsi="Times New Roman"/>
          <w:b/>
          <w:color w:val="000000"/>
          <w:szCs w:val="21"/>
        </w:rPr>
        <w:sectPr>
          <w:pgSz w:w="11906" w:h="16838"/>
          <w:pgMar w:top="1440" w:right="1797" w:bottom="1440" w:left="1797" w:header="851" w:footer="851" w:gutter="0"/>
          <w:cols w:space="720" w:num="1"/>
        </w:sectPr>
      </w:pPr>
    </w:p>
    <w:p w14:paraId="0789B6D0">
      <w:pPr>
        <w:pageBreakBefore w:val="0"/>
        <w:kinsoku/>
        <w:overflowPunct/>
        <w:topLinePunct w:val="0"/>
        <w:bidi w:val="0"/>
        <w:spacing w:line="360" w:lineRule="auto"/>
        <w:ind w:firstLine="422"/>
        <w:jc w:val="left"/>
        <w:rPr>
          <w:rFonts w:ascii="Times New Roman" w:hAnsi="Times New Roman"/>
          <w:b/>
          <w:color w:val="000000"/>
          <w:szCs w:val="21"/>
        </w:rPr>
      </w:pPr>
      <w:r>
        <w:rPr>
          <w:rFonts w:ascii="Times New Roman" w:hAnsi="Times New Roman"/>
          <w:b/>
          <w:color w:val="000000"/>
          <w:szCs w:val="21"/>
        </w:rPr>
        <w:t>4</w:t>
      </w:r>
      <w:r>
        <w:rPr>
          <w:rFonts w:hint="eastAsia" w:ascii="Times New Roman" w:hAnsi="Times New Roman"/>
          <w:b/>
          <w:color w:val="000000"/>
          <w:szCs w:val="21"/>
        </w:rPr>
        <w:t>、诚信承诺书</w:t>
      </w:r>
    </w:p>
    <w:p w14:paraId="285D5BA6">
      <w:pPr>
        <w:pageBreakBefore w:val="0"/>
        <w:kinsoku/>
        <w:overflowPunct/>
        <w:topLinePunct w:val="0"/>
        <w:bidi w:val="0"/>
        <w:spacing w:line="360" w:lineRule="auto"/>
        <w:ind w:firstLine="422"/>
        <w:jc w:val="center"/>
        <w:rPr>
          <w:rFonts w:ascii="Times New Roman" w:hAnsi="Times New Roman"/>
          <w:b/>
          <w:color w:val="000000"/>
          <w:szCs w:val="21"/>
        </w:rPr>
      </w:pPr>
      <w:r>
        <w:rPr>
          <w:rFonts w:hint="eastAsia" w:ascii="Times New Roman" w:hAnsi="Times New Roman"/>
          <w:b/>
          <w:color w:val="000000"/>
          <w:szCs w:val="21"/>
        </w:rPr>
        <w:t>诚信承诺书</w:t>
      </w:r>
    </w:p>
    <w:p w14:paraId="1EC54FBB">
      <w:pPr>
        <w:pageBreakBefore w:val="0"/>
        <w:kinsoku/>
        <w:overflowPunct/>
        <w:topLinePunct w:val="0"/>
        <w:bidi w:val="0"/>
        <w:spacing w:line="360" w:lineRule="auto"/>
        <w:rPr>
          <w:rFonts w:ascii="Times New Roman" w:hAnsi="Times New Roman"/>
          <w:color w:val="000000"/>
          <w:szCs w:val="21"/>
        </w:rPr>
      </w:pPr>
      <w:r>
        <w:rPr>
          <w:rFonts w:hint="eastAsia" w:ascii="Times New Roman" w:hAnsi="Times New Roman"/>
          <w:color w:val="000000"/>
          <w:szCs w:val="21"/>
          <w:u w:val="single"/>
        </w:rPr>
        <w:t>嘉兴市秀洲区公路与运输管理服务中心</w:t>
      </w:r>
      <w:r>
        <w:rPr>
          <w:rFonts w:hint="eastAsia" w:ascii="Times New Roman" w:hAnsi="Times New Roman"/>
          <w:color w:val="000000"/>
          <w:szCs w:val="21"/>
        </w:rPr>
        <w:t>：</w:t>
      </w:r>
    </w:p>
    <w:p w14:paraId="56E631D8">
      <w:pPr>
        <w:pageBreakBefore w:val="0"/>
        <w:kinsoku/>
        <w:overflowPunct/>
        <w:topLinePunct w:val="0"/>
        <w:bidi w:val="0"/>
        <w:spacing w:line="360" w:lineRule="auto"/>
        <w:ind w:firstLine="420" w:firstLineChars="200"/>
        <w:rPr>
          <w:rFonts w:ascii="Times New Roman" w:hAnsi="Times New Roman"/>
          <w:color w:val="000000"/>
          <w:szCs w:val="21"/>
        </w:rPr>
      </w:pPr>
      <w:r>
        <w:rPr>
          <w:rFonts w:hint="eastAsia" w:ascii="Times New Roman" w:hAnsi="Times New Roman"/>
          <w:color w:val="000000"/>
          <w:szCs w:val="21"/>
        </w:rPr>
        <w:t>我方在参加贵方组织的</w:t>
      </w:r>
      <w:r>
        <w:rPr>
          <w:rFonts w:ascii="Times New Roman" w:hAnsi="Times New Roman"/>
          <w:color w:val="000000"/>
          <w:szCs w:val="21"/>
        </w:rPr>
        <w:t>_______________________</w:t>
      </w:r>
      <w:r>
        <w:rPr>
          <w:rFonts w:hint="eastAsia" w:ascii="Times New Roman" w:hAnsi="Times New Roman"/>
          <w:color w:val="000000"/>
          <w:szCs w:val="21"/>
        </w:rPr>
        <w:t>项目</w:t>
      </w:r>
      <w:r>
        <w:rPr>
          <w:rFonts w:hint="eastAsia" w:ascii="Times New Roman" w:hAnsi="Times New Roman" w:cs="宋体"/>
          <w:color w:val="000000"/>
          <w:szCs w:val="21"/>
        </w:rPr>
        <w:t>第</w:t>
      </w:r>
      <w:r>
        <w:rPr>
          <w:rFonts w:hint="eastAsia" w:ascii="Times New Roman" w:hAnsi="Times New Roman" w:cs="宋体"/>
          <w:color w:val="000000"/>
          <w:szCs w:val="21"/>
          <w:u w:val="single"/>
        </w:rPr>
        <w:t xml:space="preserve">    </w:t>
      </w:r>
      <w:r>
        <w:rPr>
          <w:rFonts w:hint="eastAsia" w:ascii="Times New Roman" w:hAnsi="Times New Roman" w:cs="宋体"/>
          <w:color w:val="000000"/>
          <w:szCs w:val="21"/>
        </w:rPr>
        <w:t>标段</w:t>
      </w:r>
      <w:r>
        <w:rPr>
          <w:rFonts w:hint="eastAsia" w:ascii="Times New Roman" w:hAnsi="Times New Roman"/>
          <w:color w:val="000000"/>
          <w:szCs w:val="21"/>
        </w:rPr>
        <w:t>政府采购项目的招投标活动中，郑重承诺如下：</w:t>
      </w:r>
    </w:p>
    <w:p w14:paraId="705CDE7E">
      <w:pPr>
        <w:pageBreakBefore w:val="0"/>
        <w:kinsoku/>
        <w:overflowPunct/>
        <w:topLinePunct w:val="0"/>
        <w:bidi w:val="0"/>
        <w:spacing w:line="360" w:lineRule="auto"/>
        <w:ind w:firstLine="420" w:firstLineChars="200"/>
        <w:rPr>
          <w:rFonts w:ascii="Times New Roman" w:hAnsi="Times New Roman"/>
          <w:color w:val="000000"/>
          <w:szCs w:val="21"/>
        </w:rPr>
      </w:pPr>
      <w:r>
        <w:rPr>
          <w:rFonts w:ascii="Times New Roman" w:hAnsi="Times New Roman"/>
          <w:color w:val="000000"/>
          <w:szCs w:val="21"/>
        </w:rPr>
        <w:t>1</w:t>
      </w:r>
      <w:r>
        <w:rPr>
          <w:rFonts w:hint="eastAsia" w:ascii="Times New Roman" w:hAnsi="Times New Roman"/>
          <w:color w:val="000000"/>
          <w:szCs w:val="21"/>
        </w:rPr>
        <w:t>、我方申报的所有资料都是真实、准确、完整的；</w:t>
      </w:r>
    </w:p>
    <w:p w14:paraId="7E7DA6A1">
      <w:pPr>
        <w:pageBreakBefore w:val="0"/>
        <w:kinsoku/>
        <w:overflowPunct/>
        <w:topLinePunct w:val="0"/>
        <w:bidi w:val="0"/>
        <w:spacing w:line="360" w:lineRule="auto"/>
        <w:ind w:firstLine="420" w:firstLineChars="200"/>
        <w:rPr>
          <w:rFonts w:ascii="Times New Roman" w:hAnsi="Times New Roman"/>
          <w:color w:val="000000"/>
          <w:szCs w:val="21"/>
        </w:rPr>
      </w:pPr>
      <w:r>
        <w:rPr>
          <w:rFonts w:ascii="Times New Roman" w:hAnsi="Times New Roman"/>
          <w:color w:val="000000"/>
          <w:szCs w:val="21"/>
        </w:rPr>
        <w:t>2</w:t>
      </w:r>
      <w:r>
        <w:rPr>
          <w:rFonts w:hint="eastAsia" w:ascii="Times New Roman" w:hAnsi="Times New Roman"/>
          <w:color w:val="000000"/>
          <w:szCs w:val="21"/>
        </w:rPr>
        <w:t>、我方无资质挂靠情形，保证不参与串标、围标及抬标；</w:t>
      </w:r>
    </w:p>
    <w:p w14:paraId="50CAABB9">
      <w:pPr>
        <w:pageBreakBefore w:val="0"/>
        <w:kinsoku/>
        <w:overflowPunct/>
        <w:topLinePunct w:val="0"/>
        <w:bidi w:val="0"/>
        <w:spacing w:line="360" w:lineRule="auto"/>
        <w:ind w:firstLine="420" w:firstLineChars="200"/>
        <w:rPr>
          <w:rFonts w:ascii="Times New Roman" w:hAnsi="Times New Roman"/>
          <w:color w:val="000000"/>
          <w:szCs w:val="21"/>
        </w:rPr>
      </w:pPr>
      <w:r>
        <w:rPr>
          <w:rFonts w:ascii="Times New Roman" w:hAnsi="Times New Roman"/>
          <w:color w:val="000000"/>
          <w:szCs w:val="21"/>
        </w:rPr>
        <w:t>3</w:t>
      </w:r>
      <w:r>
        <w:rPr>
          <w:rFonts w:hint="eastAsia" w:ascii="Times New Roman" w:hAnsi="Times New Roman"/>
          <w:color w:val="000000"/>
          <w:szCs w:val="21"/>
        </w:rPr>
        <w:t>、我方未处于被各级行政主管部门做出停止市场行为处罚的期限内；</w:t>
      </w:r>
    </w:p>
    <w:p w14:paraId="7B6420A2">
      <w:pPr>
        <w:pageBreakBefore w:val="0"/>
        <w:kinsoku/>
        <w:overflowPunct/>
        <w:topLinePunct w:val="0"/>
        <w:bidi w:val="0"/>
        <w:spacing w:line="360" w:lineRule="auto"/>
        <w:ind w:firstLine="420" w:firstLineChars="200"/>
        <w:rPr>
          <w:rFonts w:ascii="Times New Roman" w:hAnsi="Times New Roman"/>
          <w:color w:val="000000"/>
          <w:szCs w:val="21"/>
        </w:rPr>
      </w:pPr>
      <w:r>
        <w:rPr>
          <w:rFonts w:ascii="Times New Roman" w:hAnsi="Times New Roman"/>
          <w:color w:val="000000"/>
          <w:szCs w:val="21"/>
        </w:rPr>
        <w:t>4</w:t>
      </w:r>
      <w:r>
        <w:rPr>
          <w:rFonts w:hint="eastAsia" w:ascii="Times New Roman" w:hAnsi="Times New Roman"/>
          <w:color w:val="000000"/>
          <w:szCs w:val="21"/>
        </w:rPr>
        <w:t>、若我方中标，将严格按照规定及时与采购人签订合同；</w:t>
      </w:r>
    </w:p>
    <w:p w14:paraId="694B0B85">
      <w:pPr>
        <w:pageBreakBefore w:val="0"/>
        <w:kinsoku/>
        <w:overflowPunct/>
        <w:topLinePunct w:val="0"/>
        <w:bidi w:val="0"/>
        <w:spacing w:line="360" w:lineRule="auto"/>
        <w:ind w:firstLine="420" w:firstLineChars="200"/>
        <w:rPr>
          <w:rFonts w:ascii="Times New Roman" w:hAnsi="Times New Roman"/>
          <w:color w:val="000000"/>
          <w:szCs w:val="21"/>
        </w:rPr>
      </w:pPr>
      <w:r>
        <w:rPr>
          <w:rFonts w:ascii="Times New Roman" w:hAnsi="Times New Roman"/>
          <w:color w:val="000000"/>
          <w:szCs w:val="21"/>
        </w:rPr>
        <w:t>5</w:t>
      </w:r>
      <w:r>
        <w:rPr>
          <w:rFonts w:hint="eastAsia" w:ascii="Times New Roman" w:hAnsi="Times New Roman"/>
          <w:color w:val="000000"/>
          <w:szCs w:val="21"/>
        </w:rPr>
        <w:t>、若我方中标，将严格按照招标文件要求及投标文件承诺的报价、质量、服务期、投标方案、项目负责人等内容组织实施；</w:t>
      </w:r>
    </w:p>
    <w:p w14:paraId="3643E41A">
      <w:pPr>
        <w:pageBreakBefore w:val="0"/>
        <w:kinsoku/>
        <w:overflowPunct/>
        <w:topLinePunct w:val="0"/>
        <w:bidi w:val="0"/>
        <w:spacing w:line="360" w:lineRule="auto"/>
        <w:ind w:firstLine="420" w:firstLineChars="200"/>
        <w:rPr>
          <w:rFonts w:ascii="宋体" w:hAnsi="宋体"/>
          <w:color w:val="000000"/>
          <w:szCs w:val="21"/>
        </w:rPr>
      </w:pPr>
      <w:r>
        <w:rPr>
          <w:rFonts w:hint="eastAsia" w:ascii="宋体" w:hAnsi="宋体"/>
          <w:color w:val="000000"/>
          <w:szCs w:val="21"/>
        </w:rPr>
        <w:t>我方若违反上述承诺，隐瞒、提供虚假资料或不按招标文件要求组织实施或参与串标、抬标及围标等行为，被贵方发现或被他人举报查实，无条件接受采购人、行政监管部门作出的取消投标资格、中标资格、解除合同、拒绝后续政府采购投标、不良行为记录等的处罚。对造成的损失，任何法律和经济责任完全由我方负责。</w:t>
      </w:r>
    </w:p>
    <w:p w14:paraId="2D8E9356">
      <w:pPr>
        <w:pageBreakBefore w:val="0"/>
        <w:kinsoku/>
        <w:overflowPunct/>
        <w:topLinePunct w:val="0"/>
        <w:bidi w:val="0"/>
        <w:spacing w:line="360" w:lineRule="auto"/>
        <w:ind w:firstLine="420" w:firstLineChars="200"/>
        <w:rPr>
          <w:rFonts w:ascii="Times New Roman" w:hAnsi="Times New Roman"/>
          <w:color w:val="000000"/>
          <w:szCs w:val="21"/>
        </w:rPr>
      </w:pPr>
      <w:r>
        <w:rPr>
          <w:rFonts w:hint="eastAsia" w:ascii="Times New Roman" w:hAnsi="Times New Roman"/>
          <w:color w:val="000000"/>
          <w:szCs w:val="21"/>
        </w:rPr>
        <w:t>特此承诺。</w:t>
      </w:r>
    </w:p>
    <w:p w14:paraId="3A9AA2DD">
      <w:pPr>
        <w:pageBreakBefore w:val="0"/>
        <w:kinsoku/>
        <w:overflowPunct/>
        <w:topLinePunct w:val="0"/>
        <w:bidi w:val="0"/>
        <w:spacing w:line="360" w:lineRule="auto"/>
        <w:ind w:firstLine="420" w:firstLineChars="200"/>
        <w:rPr>
          <w:rFonts w:ascii="Times New Roman" w:hAnsi="Times New Roman"/>
          <w:color w:val="000000"/>
          <w:szCs w:val="21"/>
        </w:rPr>
      </w:pPr>
    </w:p>
    <w:p w14:paraId="54DE543E">
      <w:pPr>
        <w:pageBreakBefore w:val="0"/>
        <w:kinsoku/>
        <w:overflowPunct/>
        <w:topLinePunct w:val="0"/>
        <w:bidi w:val="0"/>
        <w:spacing w:line="360" w:lineRule="auto"/>
        <w:ind w:firstLine="420" w:firstLineChars="200"/>
        <w:rPr>
          <w:rFonts w:ascii="Times New Roman" w:hAnsi="Times New Roman"/>
          <w:color w:val="000000"/>
          <w:szCs w:val="21"/>
        </w:rPr>
      </w:pPr>
    </w:p>
    <w:p w14:paraId="6B0E24E6">
      <w:pPr>
        <w:pageBreakBefore w:val="0"/>
        <w:kinsoku/>
        <w:overflowPunct/>
        <w:topLinePunct w:val="0"/>
        <w:bidi w:val="0"/>
        <w:spacing w:line="360" w:lineRule="auto"/>
        <w:ind w:firstLine="2520" w:firstLineChars="1200"/>
        <w:rPr>
          <w:rFonts w:ascii="Times New Roman" w:hAnsi="Times New Roman"/>
          <w:color w:val="000000"/>
          <w:szCs w:val="21"/>
        </w:rPr>
      </w:pPr>
      <w:r>
        <w:rPr>
          <w:rFonts w:hint="eastAsia" w:ascii="Times New Roman" w:hAnsi="Times New Roman"/>
          <w:color w:val="000000"/>
          <w:szCs w:val="21"/>
        </w:rPr>
        <w:t>投标人（加盖公章）：</w:t>
      </w:r>
      <w:r>
        <w:rPr>
          <w:rFonts w:ascii="Times New Roman" w:hAnsi="Times New Roman"/>
          <w:color w:val="000000"/>
          <w:szCs w:val="21"/>
          <w:u w:val="single"/>
        </w:rPr>
        <w:t xml:space="preserve">                        </w:t>
      </w:r>
    </w:p>
    <w:p w14:paraId="4BE73B9B">
      <w:pPr>
        <w:pageBreakBefore w:val="0"/>
        <w:kinsoku/>
        <w:overflowPunct/>
        <w:topLinePunct w:val="0"/>
        <w:bidi w:val="0"/>
        <w:spacing w:line="360" w:lineRule="auto"/>
        <w:ind w:firstLine="1890" w:firstLineChars="900"/>
        <w:rPr>
          <w:rFonts w:ascii="Times New Roman" w:hAnsi="Times New Roman"/>
          <w:color w:val="000000"/>
          <w:szCs w:val="21"/>
        </w:rPr>
      </w:pPr>
      <w:r>
        <w:rPr>
          <w:rFonts w:hint="eastAsia" w:ascii="Times New Roman" w:hAnsi="Times New Roman"/>
          <w:color w:val="000000"/>
          <w:szCs w:val="21"/>
        </w:rPr>
        <w:t>法定代表人或被授权人签字（或盖章）：</w:t>
      </w:r>
      <w:r>
        <w:rPr>
          <w:rFonts w:ascii="Times New Roman" w:hAnsi="Times New Roman"/>
          <w:color w:val="000000"/>
          <w:szCs w:val="21"/>
          <w:u w:val="single"/>
        </w:rPr>
        <w:t xml:space="preserve">                      </w:t>
      </w:r>
    </w:p>
    <w:p w14:paraId="1FFAEB8B">
      <w:pPr>
        <w:pageBreakBefore w:val="0"/>
        <w:kinsoku/>
        <w:overflowPunct/>
        <w:topLinePunct w:val="0"/>
        <w:bidi w:val="0"/>
        <w:spacing w:line="360" w:lineRule="auto"/>
        <w:ind w:firstLine="4305" w:firstLineChars="2050"/>
        <w:rPr>
          <w:rFonts w:ascii="Times New Roman" w:hAnsi="Times New Roman"/>
          <w:color w:val="000000"/>
          <w:szCs w:val="21"/>
        </w:rPr>
      </w:pPr>
      <w:r>
        <w:rPr>
          <w:rFonts w:hint="eastAsia" w:ascii="Times New Roman" w:hAnsi="Times New Roman"/>
          <w:color w:val="000000"/>
          <w:szCs w:val="21"/>
        </w:rPr>
        <w:t>日</w:t>
      </w:r>
      <w:r>
        <w:rPr>
          <w:rFonts w:ascii="Times New Roman" w:hAnsi="Times New Roman"/>
          <w:color w:val="000000"/>
          <w:szCs w:val="21"/>
        </w:rPr>
        <w:t xml:space="preserve">    </w:t>
      </w:r>
      <w:r>
        <w:rPr>
          <w:rFonts w:hint="eastAsia" w:ascii="Times New Roman" w:hAnsi="Times New Roman"/>
          <w:color w:val="000000"/>
          <w:szCs w:val="21"/>
        </w:rPr>
        <w:t>期：</w:t>
      </w:r>
      <w:r>
        <w:rPr>
          <w:rFonts w:ascii="Times New Roman" w:hAnsi="Times New Roman"/>
          <w:color w:val="000000"/>
          <w:szCs w:val="21"/>
          <w:u w:val="single"/>
        </w:rPr>
        <w:t xml:space="preserve">     </w:t>
      </w:r>
      <w:r>
        <w:rPr>
          <w:rFonts w:hint="eastAsia" w:ascii="Times New Roman" w:hAnsi="Times New Roman"/>
          <w:color w:val="000000"/>
          <w:szCs w:val="21"/>
        </w:rPr>
        <w:t>年</w:t>
      </w:r>
      <w:r>
        <w:rPr>
          <w:rFonts w:ascii="Times New Roman" w:hAnsi="Times New Roman"/>
          <w:color w:val="000000"/>
          <w:szCs w:val="21"/>
          <w:u w:val="single"/>
        </w:rPr>
        <w:t xml:space="preserve">    </w:t>
      </w:r>
      <w:r>
        <w:rPr>
          <w:rFonts w:hint="eastAsia" w:ascii="Times New Roman" w:hAnsi="Times New Roman"/>
          <w:color w:val="000000"/>
          <w:szCs w:val="21"/>
        </w:rPr>
        <w:t>月</w:t>
      </w:r>
      <w:r>
        <w:rPr>
          <w:rFonts w:ascii="Times New Roman" w:hAnsi="Times New Roman"/>
          <w:color w:val="000000"/>
          <w:szCs w:val="21"/>
          <w:u w:val="single"/>
        </w:rPr>
        <w:t xml:space="preserve">    </w:t>
      </w:r>
      <w:r>
        <w:rPr>
          <w:rFonts w:hint="eastAsia" w:ascii="Times New Roman" w:hAnsi="Times New Roman"/>
          <w:color w:val="000000"/>
          <w:szCs w:val="21"/>
        </w:rPr>
        <w:t>日</w:t>
      </w:r>
    </w:p>
    <w:p w14:paraId="60F7112E">
      <w:pPr>
        <w:pStyle w:val="23"/>
        <w:pageBreakBefore w:val="0"/>
        <w:kinsoku/>
        <w:overflowPunct/>
        <w:topLinePunct w:val="0"/>
        <w:bidi w:val="0"/>
        <w:snapToGrid w:val="0"/>
        <w:spacing w:before="120" w:line="360" w:lineRule="auto"/>
        <w:ind w:firstLine="420"/>
        <w:rPr>
          <w:rFonts w:ascii="Times New Roman" w:hAnsi="Times New Roman"/>
          <w:color w:val="000000"/>
          <w:sz w:val="21"/>
          <w:szCs w:val="21"/>
        </w:rPr>
      </w:pPr>
    </w:p>
    <w:p w14:paraId="187AFA6F">
      <w:pPr>
        <w:pStyle w:val="23"/>
        <w:pageBreakBefore w:val="0"/>
        <w:kinsoku/>
        <w:overflowPunct/>
        <w:topLinePunct w:val="0"/>
        <w:bidi w:val="0"/>
        <w:snapToGrid w:val="0"/>
        <w:spacing w:before="120" w:line="360" w:lineRule="auto"/>
        <w:ind w:firstLine="420"/>
        <w:rPr>
          <w:rFonts w:ascii="Times New Roman" w:hAnsi="Times New Roman"/>
          <w:color w:val="000000"/>
          <w:sz w:val="21"/>
          <w:szCs w:val="21"/>
        </w:rPr>
      </w:pPr>
    </w:p>
    <w:p w14:paraId="7DEF3ABF">
      <w:pPr>
        <w:pageBreakBefore w:val="0"/>
        <w:kinsoku/>
        <w:overflowPunct/>
        <w:topLinePunct w:val="0"/>
        <w:bidi w:val="0"/>
        <w:snapToGrid w:val="0"/>
        <w:spacing w:line="360" w:lineRule="auto"/>
        <w:ind w:firstLine="422"/>
        <w:rPr>
          <w:rFonts w:ascii="Times New Roman" w:hAnsi="Times New Roman"/>
          <w:b/>
          <w:color w:val="000000"/>
          <w:szCs w:val="21"/>
        </w:rPr>
      </w:pPr>
      <w:r>
        <w:rPr>
          <w:rFonts w:ascii="Times New Roman" w:hAnsi="Times New Roman"/>
          <w:b/>
          <w:color w:val="000000"/>
          <w:szCs w:val="21"/>
        </w:rPr>
        <w:br w:type="page"/>
      </w:r>
      <w:r>
        <w:rPr>
          <w:rFonts w:ascii="Times New Roman" w:hAnsi="Times New Roman"/>
          <w:b/>
          <w:color w:val="000000"/>
          <w:szCs w:val="21"/>
        </w:rPr>
        <w:t>5</w:t>
      </w:r>
      <w:r>
        <w:rPr>
          <w:rFonts w:hint="eastAsia" w:ascii="Times New Roman" w:hAnsi="Times New Roman"/>
          <w:b/>
          <w:color w:val="000000"/>
          <w:szCs w:val="21"/>
        </w:rPr>
        <w:t>、法定代表人授权委托书格式：</w:t>
      </w:r>
    </w:p>
    <w:p w14:paraId="3ADB6BC3">
      <w:pPr>
        <w:pageBreakBefore w:val="0"/>
        <w:kinsoku/>
        <w:overflowPunct/>
        <w:topLinePunct w:val="0"/>
        <w:bidi w:val="0"/>
        <w:snapToGrid w:val="0"/>
        <w:spacing w:line="360" w:lineRule="auto"/>
        <w:ind w:firstLine="420"/>
        <w:jc w:val="center"/>
        <w:rPr>
          <w:rFonts w:ascii="Times New Roman" w:hAnsi="Times New Roman"/>
          <w:color w:val="000000"/>
          <w:szCs w:val="21"/>
        </w:rPr>
      </w:pPr>
    </w:p>
    <w:p w14:paraId="5635203F">
      <w:pPr>
        <w:pageBreakBefore w:val="0"/>
        <w:kinsoku/>
        <w:overflowPunct/>
        <w:topLinePunct w:val="0"/>
        <w:bidi w:val="0"/>
        <w:snapToGrid w:val="0"/>
        <w:spacing w:line="360" w:lineRule="auto"/>
        <w:ind w:firstLine="422"/>
        <w:jc w:val="center"/>
        <w:rPr>
          <w:rFonts w:ascii="Times New Roman" w:hAnsi="Times New Roman"/>
          <w:b/>
          <w:color w:val="000000"/>
          <w:szCs w:val="21"/>
        </w:rPr>
      </w:pPr>
      <w:r>
        <w:rPr>
          <w:rFonts w:hint="eastAsia" w:ascii="Times New Roman" w:hAnsi="Times New Roman"/>
          <w:b/>
          <w:color w:val="000000"/>
          <w:szCs w:val="21"/>
        </w:rPr>
        <w:t>法定代表人授权委托书</w:t>
      </w:r>
    </w:p>
    <w:p w14:paraId="6442ADC2">
      <w:pPr>
        <w:pageBreakBefore w:val="0"/>
        <w:kinsoku/>
        <w:overflowPunct/>
        <w:topLinePunct w:val="0"/>
        <w:bidi w:val="0"/>
        <w:snapToGrid w:val="0"/>
        <w:spacing w:line="360" w:lineRule="auto"/>
        <w:rPr>
          <w:rFonts w:ascii="Times New Roman" w:hAnsi="Times New Roman"/>
          <w:b/>
          <w:bCs/>
          <w:color w:val="000000"/>
          <w:szCs w:val="21"/>
        </w:rPr>
      </w:pPr>
      <w:r>
        <w:rPr>
          <w:rFonts w:hint="eastAsia" w:ascii="Times New Roman" w:hAnsi="Times New Roman"/>
          <w:color w:val="000000"/>
          <w:szCs w:val="21"/>
          <w:u w:val="single"/>
        </w:rPr>
        <w:t>嘉兴市秀洲区公路与运输管理服务中心</w:t>
      </w:r>
      <w:r>
        <w:rPr>
          <w:rFonts w:hint="eastAsia" w:ascii="Times New Roman" w:hAnsi="Times New Roman"/>
          <w:color w:val="000000"/>
          <w:szCs w:val="21"/>
        </w:rPr>
        <w:t>：</w:t>
      </w:r>
    </w:p>
    <w:p w14:paraId="46D6C379">
      <w:pPr>
        <w:pageBreakBefore w:val="0"/>
        <w:kinsoku/>
        <w:overflowPunct/>
        <w:topLinePunct w:val="0"/>
        <w:bidi w:val="0"/>
        <w:snapToGrid w:val="0"/>
        <w:spacing w:line="360" w:lineRule="auto"/>
        <w:ind w:firstLine="420" w:firstLineChars="200"/>
        <w:rPr>
          <w:rFonts w:ascii="Times New Roman" w:hAnsi="Times New Roman"/>
          <w:color w:val="000000"/>
          <w:szCs w:val="21"/>
        </w:rPr>
      </w:pPr>
      <w:r>
        <w:rPr>
          <w:rFonts w:hint="eastAsia" w:ascii="Times New Roman" w:hAnsi="Times New Roman"/>
          <w:color w:val="000000"/>
          <w:szCs w:val="21"/>
        </w:rPr>
        <w:t>我</w:t>
      </w:r>
      <w:r>
        <w:rPr>
          <w:rFonts w:ascii="Times New Roman" w:hAnsi="Times New Roman"/>
          <w:color w:val="000000"/>
          <w:szCs w:val="21"/>
        </w:rPr>
        <w:t>_______</w:t>
      </w:r>
      <w:r>
        <w:rPr>
          <w:rFonts w:hint="eastAsia" w:ascii="Times New Roman" w:hAnsi="Times New Roman"/>
          <w:color w:val="000000"/>
          <w:szCs w:val="21"/>
        </w:rPr>
        <w:t>（姓名）系</w:t>
      </w:r>
      <w:r>
        <w:rPr>
          <w:rFonts w:ascii="Times New Roman" w:hAnsi="Times New Roman"/>
          <w:color w:val="000000"/>
          <w:szCs w:val="21"/>
        </w:rPr>
        <w:t>____________</w:t>
      </w:r>
      <w:r>
        <w:rPr>
          <w:rFonts w:hint="eastAsia" w:ascii="Times New Roman" w:hAnsi="Times New Roman"/>
          <w:color w:val="000000"/>
          <w:szCs w:val="21"/>
        </w:rPr>
        <w:t>（投标人名称）的法定代表人，现授权委托本单位在职职工</w:t>
      </w:r>
      <w:r>
        <w:rPr>
          <w:rFonts w:ascii="Times New Roman" w:hAnsi="Times New Roman"/>
          <w:color w:val="000000"/>
          <w:szCs w:val="21"/>
          <w:u w:val="single"/>
        </w:rPr>
        <w:t xml:space="preserve">   </w:t>
      </w:r>
      <w:r>
        <w:rPr>
          <w:rFonts w:hint="eastAsia" w:ascii="Times New Roman" w:hAnsi="Times New Roman"/>
          <w:color w:val="000000"/>
          <w:szCs w:val="21"/>
          <w:u w:val="single"/>
        </w:rPr>
        <w:t xml:space="preserve">   </w:t>
      </w:r>
      <w:r>
        <w:rPr>
          <w:rFonts w:ascii="Times New Roman" w:hAnsi="Times New Roman"/>
          <w:color w:val="000000"/>
          <w:szCs w:val="21"/>
          <w:u w:val="single"/>
        </w:rPr>
        <w:t xml:space="preserve">  </w:t>
      </w:r>
      <w:r>
        <w:rPr>
          <w:rFonts w:hint="eastAsia" w:ascii="Times New Roman" w:hAnsi="Times New Roman"/>
          <w:color w:val="000000"/>
          <w:szCs w:val="21"/>
        </w:rPr>
        <w:t>（姓名）以我方的名义参加</w:t>
      </w:r>
      <w:r>
        <w:rPr>
          <w:rFonts w:ascii="Times New Roman" w:hAnsi="Times New Roman"/>
          <w:color w:val="000000"/>
          <w:szCs w:val="21"/>
          <w:u w:val="single"/>
        </w:rPr>
        <w:t xml:space="preserve">              </w:t>
      </w:r>
      <w:r>
        <w:rPr>
          <w:rFonts w:hint="eastAsia" w:ascii="Times New Roman" w:hAnsi="Times New Roman"/>
          <w:color w:val="000000"/>
          <w:szCs w:val="21"/>
        </w:rPr>
        <w:t>项目</w:t>
      </w:r>
      <w:r>
        <w:rPr>
          <w:rFonts w:hint="eastAsia" w:ascii="Times New Roman" w:hAnsi="Times New Roman" w:cs="宋体"/>
          <w:color w:val="000000"/>
          <w:szCs w:val="21"/>
        </w:rPr>
        <w:t>第</w:t>
      </w:r>
      <w:r>
        <w:rPr>
          <w:rFonts w:hint="eastAsia" w:ascii="Times New Roman" w:hAnsi="Times New Roman" w:cs="宋体"/>
          <w:color w:val="000000"/>
          <w:szCs w:val="21"/>
          <w:u w:val="single"/>
        </w:rPr>
        <w:t xml:space="preserve">    </w:t>
      </w:r>
      <w:r>
        <w:rPr>
          <w:rFonts w:hint="eastAsia" w:ascii="Times New Roman" w:hAnsi="Times New Roman" w:cs="宋体"/>
          <w:color w:val="000000"/>
          <w:szCs w:val="21"/>
        </w:rPr>
        <w:t>标段</w:t>
      </w:r>
      <w:r>
        <w:rPr>
          <w:rFonts w:hint="eastAsia" w:ascii="Times New Roman" w:hAnsi="Times New Roman"/>
          <w:color w:val="000000"/>
          <w:szCs w:val="21"/>
        </w:rPr>
        <w:t>的投标活动，并代表我方全权办理针对上述项目的投标、开标、评标、签约等具体事务和签署相关文件。</w:t>
      </w:r>
    </w:p>
    <w:p w14:paraId="5D195D1E">
      <w:pPr>
        <w:pageBreakBefore w:val="0"/>
        <w:kinsoku/>
        <w:overflowPunct/>
        <w:topLinePunct w:val="0"/>
        <w:bidi w:val="0"/>
        <w:snapToGrid w:val="0"/>
        <w:spacing w:line="360" w:lineRule="auto"/>
        <w:ind w:firstLine="420" w:firstLineChars="200"/>
        <w:rPr>
          <w:rFonts w:ascii="Times New Roman" w:hAnsi="Times New Roman"/>
          <w:color w:val="000000"/>
          <w:szCs w:val="21"/>
        </w:rPr>
      </w:pPr>
      <w:r>
        <w:rPr>
          <w:rFonts w:hint="eastAsia" w:ascii="Times New Roman" w:hAnsi="Times New Roman"/>
          <w:color w:val="000000"/>
          <w:szCs w:val="21"/>
        </w:rPr>
        <w:t>我方对被授权人的签名事项负全部责任。</w:t>
      </w:r>
    </w:p>
    <w:p w14:paraId="0AA921AE">
      <w:pPr>
        <w:pageBreakBefore w:val="0"/>
        <w:kinsoku/>
        <w:overflowPunct/>
        <w:topLinePunct w:val="0"/>
        <w:bidi w:val="0"/>
        <w:snapToGrid w:val="0"/>
        <w:spacing w:line="360" w:lineRule="auto"/>
        <w:ind w:firstLine="420" w:firstLineChars="200"/>
        <w:rPr>
          <w:rFonts w:ascii="Times New Roman" w:hAnsi="Times New Roman"/>
          <w:color w:val="000000"/>
          <w:szCs w:val="21"/>
        </w:rPr>
      </w:pPr>
      <w:r>
        <w:rPr>
          <w:rFonts w:hint="eastAsia" w:ascii="Times New Roman" w:hAnsi="Times New Roman"/>
          <w:color w:val="000000"/>
          <w:szCs w:val="21"/>
          <w:u w:val="single"/>
        </w:rPr>
        <w:t>在撤销授权的书面通知以前，本授权书一直有效</w:t>
      </w:r>
      <w:r>
        <w:rPr>
          <w:rFonts w:hint="eastAsia" w:ascii="Times New Roman" w:hAnsi="Times New Roman"/>
          <w:color w:val="000000"/>
          <w:szCs w:val="21"/>
        </w:rPr>
        <w:t>。被授权人在授权书有效期内签署的所有文件不因授权的撤销而失效。</w:t>
      </w:r>
    </w:p>
    <w:p w14:paraId="3E8583DE">
      <w:pPr>
        <w:pageBreakBefore w:val="0"/>
        <w:kinsoku/>
        <w:overflowPunct/>
        <w:topLinePunct w:val="0"/>
        <w:bidi w:val="0"/>
        <w:snapToGrid w:val="0"/>
        <w:spacing w:line="360" w:lineRule="auto"/>
        <w:ind w:firstLine="420"/>
        <w:rPr>
          <w:rFonts w:ascii="Times New Roman" w:hAnsi="Times New Roman"/>
          <w:color w:val="000000"/>
          <w:szCs w:val="21"/>
        </w:rPr>
      </w:pPr>
      <w:r>
        <w:rPr>
          <w:rFonts w:hint="eastAsia" w:ascii="Times New Roman" w:hAnsi="Times New Roman"/>
          <w:color w:val="000000"/>
          <w:szCs w:val="21"/>
        </w:rPr>
        <w:t>被授权人无转委托权，特此委托。</w:t>
      </w:r>
    </w:p>
    <w:p w14:paraId="63197A7A">
      <w:pPr>
        <w:pageBreakBefore w:val="0"/>
        <w:kinsoku/>
        <w:overflowPunct/>
        <w:topLinePunct w:val="0"/>
        <w:bidi w:val="0"/>
        <w:snapToGrid w:val="0"/>
        <w:spacing w:line="360" w:lineRule="auto"/>
        <w:ind w:firstLine="420"/>
        <w:rPr>
          <w:rFonts w:ascii="Times New Roman" w:hAnsi="Times New Roman"/>
          <w:color w:val="000000"/>
          <w:szCs w:val="21"/>
        </w:rPr>
      </w:pPr>
    </w:p>
    <w:p w14:paraId="528E4FC9">
      <w:pPr>
        <w:pageBreakBefore w:val="0"/>
        <w:kinsoku/>
        <w:overflowPunct/>
        <w:topLinePunct w:val="0"/>
        <w:bidi w:val="0"/>
        <w:snapToGrid w:val="0"/>
        <w:spacing w:line="360" w:lineRule="auto"/>
        <w:ind w:firstLine="420"/>
        <w:rPr>
          <w:rFonts w:ascii="Times New Roman" w:hAnsi="Times New Roman"/>
          <w:color w:val="000000"/>
          <w:szCs w:val="21"/>
          <w:u w:val="single"/>
        </w:rPr>
      </w:pPr>
      <w:r>
        <w:rPr>
          <w:rFonts w:hint="eastAsia" w:ascii="Times New Roman" w:hAnsi="Times New Roman"/>
          <w:color w:val="000000"/>
          <w:szCs w:val="21"/>
        </w:rPr>
        <w:t>被授权人（签名）：</w:t>
      </w:r>
      <w:r>
        <w:rPr>
          <w:rFonts w:ascii="Times New Roman" w:hAnsi="Times New Roman"/>
          <w:color w:val="000000"/>
          <w:szCs w:val="21"/>
          <w:u w:val="single"/>
        </w:rPr>
        <w:t xml:space="preserve">          </w:t>
      </w:r>
      <w:r>
        <w:rPr>
          <w:rFonts w:ascii="Times New Roman" w:hAnsi="Times New Roman"/>
          <w:color w:val="000000"/>
          <w:szCs w:val="21"/>
        </w:rPr>
        <w:t xml:space="preserve">            </w:t>
      </w:r>
      <w:r>
        <w:rPr>
          <w:rFonts w:hint="eastAsia" w:ascii="Times New Roman" w:hAnsi="Times New Roman"/>
          <w:color w:val="000000"/>
          <w:szCs w:val="21"/>
        </w:rPr>
        <w:t>法定代表人（签名）：</w:t>
      </w:r>
      <w:r>
        <w:rPr>
          <w:rFonts w:ascii="Times New Roman" w:hAnsi="Times New Roman"/>
          <w:color w:val="000000"/>
          <w:szCs w:val="21"/>
          <w:u w:val="single"/>
        </w:rPr>
        <w:t xml:space="preserve">       </w:t>
      </w:r>
      <w:r>
        <w:rPr>
          <w:rFonts w:hint="eastAsia" w:ascii="Times New Roman" w:hAnsi="Times New Roman"/>
          <w:color w:val="000000"/>
          <w:szCs w:val="21"/>
          <w:u w:val="single"/>
        </w:rPr>
        <w:t xml:space="preserve"> </w:t>
      </w:r>
      <w:r>
        <w:rPr>
          <w:rFonts w:ascii="Times New Roman" w:hAnsi="Times New Roman"/>
          <w:color w:val="000000"/>
          <w:szCs w:val="21"/>
          <w:u w:val="single"/>
        </w:rPr>
        <w:t xml:space="preserve"> </w:t>
      </w:r>
      <w:r>
        <w:rPr>
          <w:rFonts w:hint="eastAsia" w:ascii="Times New Roman" w:hAnsi="Times New Roman"/>
          <w:color w:val="000000"/>
          <w:szCs w:val="21"/>
          <w:u w:val="single"/>
        </w:rPr>
        <w:t xml:space="preserve"> </w:t>
      </w:r>
      <w:r>
        <w:rPr>
          <w:rFonts w:ascii="Times New Roman" w:hAnsi="Times New Roman"/>
          <w:color w:val="000000"/>
          <w:szCs w:val="21"/>
          <w:u w:val="single"/>
        </w:rPr>
        <w:t xml:space="preserve">  </w:t>
      </w:r>
    </w:p>
    <w:p w14:paraId="6D31B92E">
      <w:pPr>
        <w:pageBreakBefore w:val="0"/>
        <w:kinsoku/>
        <w:overflowPunct/>
        <w:topLinePunct w:val="0"/>
        <w:bidi w:val="0"/>
        <w:snapToGrid w:val="0"/>
        <w:spacing w:line="360" w:lineRule="auto"/>
        <w:ind w:firstLine="1680" w:firstLineChars="800"/>
        <w:rPr>
          <w:rFonts w:ascii="Times New Roman" w:hAnsi="Times New Roman"/>
          <w:color w:val="000000"/>
          <w:szCs w:val="21"/>
        </w:rPr>
      </w:pPr>
      <w:r>
        <w:rPr>
          <w:rFonts w:hint="eastAsia" w:ascii="Times New Roman" w:hAnsi="Times New Roman"/>
          <w:color w:val="000000"/>
          <w:szCs w:val="21"/>
        </w:rPr>
        <w:t>职务：</w:t>
      </w:r>
      <w:r>
        <w:rPr>
          <w:rFonts w:ascii="Times New Roman" w:hAnsi="Times New Roman"/>
          <w:color w:val="000000"/>
          <w:szCs w:val="21"/>
          <w:u w:val="single"/>
        </w:rPr>
        <w:t xml:space="preserve">           </w:t>
      </w:r>
      <w:r>
        <w:rPr>
          <w:rFonts w:ascii="Times New Roman" w:hAnsi="Times New Roman"/>
          <w:color w:val="000000"/>
          <w:szCs w:val="21"/>
        </w:rPr>
        <w:t xml:space="preserve">                   </w:t>
      </w:r>
      <w:r>
        <w:rPr>
          <w:rFonts w:hint="eastAsia" w:ascii="Times New Roman" w:hAnsi="Times New Roman"/>
          <w:color w:val="000000"/>
          <w:szCs w:val="21"/>
        </w:rPr>
        <w:t xml:space="preserve">   </w:t>
      </w:r>
      <w:r>
        <w:rPr>
          <w:rFonts w:ascii="Times New Roman" w:hAnsi="Times New Roman"/>
          <w:color w:val="000000"/>
          <w:szCs w:val="21"/>
        </w:rPr>
        <w:t xml:space="preserve">   </w:t>
      </w:r>
      <w:r>
        <w:rPr>
          <w:rFonts w:hint="eastAsia" w:ascii="Times New Roman" w:hAnsi="Times New Roman"/>
          <w:color w:val="000000"/>
          <w:szCs w:val="21"/>
        </w:rPr>
        <w:t>职务：</w:t>
      </w:r>
      <w:r>
        <w:rPr>
          <w:rFonts w:ascii="Times New Roman" w:hAnsi="Times New Roman"/>
          <w:color w:val="000000"/>
          <w:szCs w:val="21"/>
          <w:u w:val="single"/>
        </w:rPr>
        <w:t xml:space="preserve">         </w:t>
      </w:r>
      <w:r>
        <w:rPr>
          <w:rFonts w:hint="eastAsia" w:ascii="Times New Roman" w:hAnsi="Times New Roman"/>
          <w:color w:val="000000"/>
          <w:szCs w:val="21"/>
          <w:u w:val="single"/>
        </w:rPr>
        <w:t xml:space="preserve"> </w:t>
      </w:r>
      <w:r>
        <w:rPr>
          <w:rFonts w:ascii="Times New Roman" w:hAnsi="Times New Roman"/>
          <w:color w:val="000000"/>
          <w:szCs w:val="21"/>
          <w:u w:val="single"/>
        </w:rPr>
        <w:t xml:space="preserve">  </w:t>
      </w:r>
    </w:p>
    <w:p w14:paraId="34AE69F5">
      <w:pPr>
        <w:pageBreakBefore w:val="0"/>
        <w:kinsoku/>
        <w:overflowPunct/>
        <w:topLinePunct w:val="0"/>
        <w:bidi w:val="0"/>
        <w:snapToGrid w:val="0"/>
        <w:spacing w:line="360" w:lineRule="auto"/>
        <w:ind w:firstLine="420"/>
        <w:rPr>
          <w:rFonts w:ascii="Times New Roman" w:hAnsi="Times New Roman"/>
          <w:color w:val="000000"/>
          <w:szCs w:val="21"/>
        </w:rPr>
      </w:pPr>
      <w:r>
        <w:rPr>
          <w:rFonts w:hint="eastAsia" w:ascii="Times New Roman" w:hAnsi="Times New Roman"/>
          <w:color w:val="000000"/>
          <w:szCs w:val="21"/>
        </w:rPr>
        <w:t>被授权人身份证号码：</w:t>
      </w:r>
      <w:r>
        <w:rPr>
          <w:rFonts w:ascii="Times New Roman" w:hAnsi="Times New Roman"/>
          <w:color w:val="000000"/>
          <w:szCs w:val="21"/>
          <w:u w:val="single"/>
        </w:rPr>
        <w:t xml:space="preserve">                            </w:t>
      </w:r>
    </w:p>
    <w:p w14:paraId="42953AE1">
      <w:pPr>
        <w:pageBreakBefore w:val="0"/>
        <w:kinsoku/>
        <w:overflowPunct/>
        <w:topLinePunct w:val="0"/>
        <w:bidi w:val="0"/>
        <w:snapToGrid w:val="0"/>
        <w:spacing w:line="360" w:lineRule="auto"/>
        <w:ind w:firstLine="420"/>
        <w:rPr>
          <w:rFonts w:ascii="Times New Roman" w:hAnsi="Times New Roman"/>
          <w:color w:val="000000"/>
          <w:szCs w:val="21"/>
        </w:rPr>
      </w:pPr>
      <w:r>
        <w:rPr>
          <w:rFonts w:ascii="Times New Roman" w:hAnsi="Times New Roman"/>
          <w:color w:val="000000"/>
          <w:szCs w:val="21"/>
        </w:rPr>
        <w:t xml:space="preserve">                                   </w:t>
      </w:r>
    </w:p>
    <w:p w14:paraId="18CC2EC4">
      <w:pPr>
        <w:pageBreakBefore w:val="0"/>
        <w:kinsoku/>
        <w:overflowPunct/>
        <w:topLinePunct w:val="0"/>
        <w:bidi w:val="0"/>
        <w:snapToGrid w:val="0"/>
        <w:spacing w:beforeLines="50" w:after="50" w:line="360" w:lineRule="auto"/>
        <w:ind w:firstLine="420"/>
        <w:rPr>
          <w:rFonts w:ascii="Times New Roman" w:hAnsi="Times New Roman"/>
          <w:color w:val="000000"/>
          <w:szCs w:val="21"/>
        </w:rPr>
      </w:pPr>
      <w:r>
        <w:rPr>
          <w:rFonts w:hint="eastAsia" w:ascii="Times New Roman" w:hAnsi="Times New Roman"/>
          <w:color w:val="000000"/>
          <w:szCs w:val="21"/>
        </w:rPr>
        <w:t>法定代表人身份证粘贴处（正反面）</w:t>
      </w:r>
    </w:p>
    <w:p w14:paraId="7044B310">
      <w:pPr>
        <w:pStyle w:val="50"/>
        <w:pageBreakBefore w:val="0"/>
        <w:kinsoku/>
        <w:overflowPunct/>
        <w:topLinePunct w:val="0"/>
        <w:bidi w:val="0"/>
        <w:spacing w:line="360" w:lineRule="auto"/>
        <w:ind w:firstLine="404"/>
      </w:pPr>
    </w:p>
    <w:p w14:paraId="4E46D5F9">
      <w:pPr>
        <w:pStyle w:val="50"/>
        <w:pageBreakBefore w:val="0"/>
        <w:kinsoku/>
        <w:overflowPunct/>
        <w:topLinePunct w:val="0"/>
        <w:bidi w:val="0"/>
        <w:spacing w:line="360" w:lineRule="auto"/>
        <w:ind w:firstLine="404"/>
      </w:pPr>
    </w:p>
    <w:p w14:paraId="0BA22134">
      <w:pPr>
        <w:pStyle w:val="50"/>
        <w:pageBreakBefore w:val="0"/>
        <w:kinsoku/>
        <w:overflowPunct/>
        <w:topLinePunct w:val="0"/>
        <w:bidi w:val="0"/>
        <w:spacing w:line="360" w:lineRule="auto"/>
        <w:ind w:firstLine="404"/>
      </w:pPr>
    </w:p>
    <w:p w14:paraId="2C09CDED">
      <w:pPr>
        <w:pStyle w:val="50"/>
        <w:pageBreakBefore w:val="0"/>
        <w:kinsoku/>
        <w:overflowPunct/>
        <w:topLinePunct w:val="0"/>
        <w:bidi w:val="0"/>
        <w:spacing w:line="360" w:lineRule="auto"/>
        <w:ind w:firstLine="404"/>
      </w:pPr>
    </w:p>
    <w:p w14:paraId="781AD8FC">
      <w:pPr>
        <w:pageBreakBefore w:val="0"/>
        <w:kinsoku/>
        <w:overflowPunct/>
        <w:topLinePunct w:val="0"/>
        <w:bidi w:val="0"/>
        <w:snapToGrid w:val="0"/>
        <w:spacing w:beforeLines="50" w:after="50" w:line="360" w:lineRule="auto"/>
        <w:ind w:firstLine="420"/>
        <w:rPr>
          <w:rFonts w:ascii="Times New Roman" w:hAnsi="Times New Roman"/>
          <w:color w:val="000000"/>
          <w:szCs w:val="21"/>
        </w:rPr>
      </w:pPr>
      <w:r>
        <w:rPr>
          <w:rFonts w:hint="eastAsia" w:ascii="Times New Roman" w:hAnsi="Times New Roman"/>
          <w:color w:val="000000"/>
          <w:szCs w:val="21"/>
        </w:rPr>
        <w:t>被授权人身份证粘贴处（正反面）</w:t>
      </w:r>
    </w:p>
    <w:p w14:paraId="3734FEE4">
      <w:pPr>
        <w:pStyle w:val="50"/>
        <w:pageBreakBefore w:val="0"/>
        <w:kinsoku/>
        <w:overflowPunct/>
        <w:topLinePunct w:val="0"/>
        <w:bidi w:val="0"/>
        <w:spacing w:line="360" w:lineRule="auto"/>
        <w:ind w:firstLine="404"/>
      </w:pPr>
    </w:p>
    <w:p w14:paraId="1B3C1270">
      <w:pPr>
        <w:pStyle w:val="50"/>
        <w:pageBreakBefore w:val="0"/>
        <w:kinsoku/>
        <w:overflowPunct/>
        <w:topLinePunct w:val="0"/>
        <w:bidi w:val="0"/>
        <w:spacing w:line="360" w:lineRule="auto"/>
        <w:ind w:firstLine="404"/>
      </w:pPr>
    </w:p>
    <w:p w14:paraId="65577D30">
      <w:pPr>
        <w:pStyle w:val="50"/>
        <w:pageBreakBefore w:val="0"/>
        <w:kinsoku/>
        <w:overflowPunct/>
        <w:topLinePunct w:val="0"/>
        <w:bidi w:val="0"/>
        <w:spacing w:line="360" w:lineRule="auto"/>
        <w:ind w:firstLine="404"/>
      </w:pPr>
    </w:p>
    <w:p w14:paraId="1F7F5817">
      <w:pPr>
        <w:pStyle w:val="50"/>
        <w:pageBreakBefore w:val="0"/>
        <w:kinsoku/>
        <w:overflowPunct/>
        <w:topLinePunct w:val="0"/>
        <w:bidi w:val="0"/>
        <w:spacing w:line="360" w:lineRule="auto"/>
        <w:ind w:firstLine="404"/>
      </w:pPr>
    </w:p>
    <w:p w14:paraId="00623271">
      <w:pPr>
        <w:pageBreakBefore w:val="0"/>
        <w:kinsoku/>
        <w:overflowPunct/>
        <w:topLinePunct w:val="0"/>
        <w:bidi w:val="0"/>
        <w:snapToGrid w:val="0"/>
        <w:spacing w:beforeLines="50" w:after="50" w:line="360" w:lineRule="auto"/>
        <w:ind w:firstLine="3570" w:firstLineChars="1700"/>
        <w:rPr>
          <w:rFonts w:ascii="Times New Roman" w:hAnsi="Times New Roman"/>
          <w:color w:val="000000"/>
          <w:szCs w:val="21"/>
        </w:rPr>
      </w:pPr>
      <w:r>
        <w:rPr>
          <w:rFonts w:hint="eastAsia" w:ascii="Times New Roman" w:hAnsi="Times New Roman"/>
          <w:color w:val="000000"/>
          <w:szCs w:val="21"/>
        </w:rPr>
        <w:t>投标人（加盖公章）：</w:t>
      </w:r>
      <w:r>
        <w:rPr>
          <w:rFonts w:ascii="Times New Roman" w:hAnsi="Times New Roman"/>
          <w:color w:val="000000"/>
          <w:szCs w:val="21"/>
          <w:u w:val="single"/>
        </w:rPr>
        <w:t xml:space="preserve">                        </w:t>
      </w:r>
    </w:p>
    <w:p w14:paraId="7FF58E99">
      <w:pPr>
        <w:pageBreakBefore w:val="0"/>
        <w:kinsoku/>
        <w:overflowPunct/>
        <w:topLinePunct w:val="0"/>
        <w:bidi w:val="0"/>
        <w:snapToGrid w:val="0"/>
        <w:spacing w:beforeLines="50" w:after="50" w:line="360" w:lineRule="auto"/>
        <w:ind w:right="210" w:firstLine="420"/>
        <w:jc w:val="right"/>
        <w:rPr>
          <w:rFonts w:ascii="Times New Roman" w:hAnsi="Times New Roman"/>
          <w:color w:val="000000"/>
          <w:szCs w:val="21"/>
        </w:rPr>
      </w:pPr>
      <w:r>
        <w:rPr>
          <w:rFonts w:hint="eastAsia" w:ascii="Times New Roman" w:hAnsi="Times New Roman"/>
          <w:color w:val="000000"/>
          <w:szCs w:val="21"/>
        </w:rPr>
        <w:t>日</w:t>
      </w:r>
      <w:r>
        <w:rPr>
          <w:rFonts w:ascii="Times New Roman" w:hAnsi="Times New Roman"/>
          <w:color w:val="000000"/>
          <w:szCs w:val="21"/>
        </w:rPr>
        <w:t xml:space="preserve">    </w:t>
      </w:r>
      <w:r>
        <w:rPr>
          <w:rFonts w:hint="eastAsia" w:ascii="Times New Roman" w:hAnsi="Times New Roman"/>
          <w:color w:val="000000"/>
          <w:szCs w:val="21"/>
        </w:rPr>
        <w:t>期：</w:t>
      </w:r>
      <w:r>
        <w:rPr>
          <w:rFonts w:ascii="Times New Roman" w:hAnsi="Times New Roman"/>
          <w:color w:val="000000"/>
          <w:szCs w:val="21"/>
          <w:u w:val="single"/>
        </w:rPr>
        <w:t xml:space="preserve">     </w:t>
      </w:r>
      <w:r>
        <w:rPr>
          <w:rFonts w:hint="eastAsia" w:ascii="Times New Roman" w:hAnsi="Times New Roman"/>
          <w:color w:val="000000"/>
          <w:szCs w:val="21"/>
        </w:rPr>
        <w:t>年</w:t>
      </w:r>
      <w:r>
        <w:rPr>
          <w:rFonts w:ascii="Times New Roman" w:hAnsi="Times New Roman"/>
          <w:color w:val="000000"/>
          <w:szCs w:val="21"/>
          <w:u w:val="single"/>
        </w:rPr>
        <w:t xml:space="preserve">    </w:t>
      </w:r>
      <w:r>
        <w:rPr>
          <w:rFonts w:hint="eastAsia" w:ascii="Times New Roman" w:hAnsi="Times New Roman"/>
          <w:color w:val="000000"/>
          <w:szCs w:val="21"/>
        </w:rPr>
        <w:t>月</w:t>
      </w:r>
      <w:r>
        <w:rPr>
          <w:rFonts w:ascii="Times New Roman" w:hAnsi="Times New Roman"/>
          <w:color w:val="000000"/>
          <w:szCs w:val="21"/>
          <w:u w:val="single"/>
        </w:rPr>
        <w:t xml:space="preserve">    </w:t>
      </w:r>
      <w:r>
        <w:rPr>
          <w:rFonts w:hint="eastAsia" w:ascii="Times New Roman" w:hAnsi="Times New Roman"/>
          <w:color w:val="000000"/>
          <w:szCs w:val="21"/>
        </w:rPr>
        <w:t>日</w:t>
      </w:r>
    </w:p>
    <w:p w14:paraId="375CFC3C">
      <w:pPr>
        <w:pStyle w:val="303"/>
        <w:pageBreakBefore w:val="0"/>
        <w:kinsoku/>
        <w:overflowPunct/>
        <w:topLinePunct w:val="0"/>
        <w:bidi w:val="0"/>
        <w:spacing w:line="360" w:lineRule="auto"/>
        <w:ind w:firstLine="420"/>
        <w:rPr>
          <w:rFonts w:ascii="Times New Roman" w:hAnsi="Times New Roman" w:eastAsia="宋体"/>
          <w:color w:val="000000"/>
          <w:sz w:val="21"/>
          <w:szCs w:val="21"/>
        </w:rPr>
      </w:pPr>
    </w:p>
    <w:p w14:paraId="6839C33D">
      <w:pPr>
        <w:pageBreakBefore w:val="0"/>
        <w:kinsoku/>
        <w:overflowPunct/>
        <w:topLinePunct w:val="0"/>
        <w:bidi w:val="0"/>
        <w:snapToGrid w:val="0"/>
        <w:spacing w:beforeLines="50" w:after="50" w:line="360" w:lineRule="auto"/>
        <w:ind w:firstLine="422"/>
        <w:rPr>
          <w:rFonts w:ascii="Times New Roman" w:hAnsi="Times New Roman"/>
          <w:b/>
          <w:color w:val="000000"/>
          <w:szCs w:val="21"/>
        </w:rPr>
      </w:pPr>
      <w:r>
        <w:rPr>
          <w:rFonts w:hint="eastAsia" w:ascii="Times New Roman" w:hAnsi="Times New Roman"/>
          <w:b/>
          <w:color w:val="000000"/>
          <w:szCs w:val="21"/>
        </w:rPr>
        <w:t>注：此表请放一页，如要放</w:t>
      </w:r>
      <w:r>
        <w:rPr>
          <w:rFonts w:ascii="Times New Roman" w:hAnsi="Times New Roman"/>
          <w:b/>
          <w:color w:val="000000"/>
          <w:szCs w:val="21"/>
        </w:rPr>
        <w:t>2</w:t>
      </w:r>
      <w:r>
        <w:rPr>
          <w:rFonts w:hint="eastAsia" w:ascii="Times New Roman" w:hAnsi="Times New Roman"/>
          <w:b/>
          <w:color w:val="000000"/>
          <w:szCs w:val="21"/>
        </w:rPr>
        <w:t>页及以上请在每页上都加盖公章。</w:t>
      </w:r>
    </w:p>
    <w:p w14:paraId="6B9A9845">
      <w:pPr>
        <w:pageBreakBefore w:val="0"/>
        <w:kinsoku/>
        <w:overflowPunct/>
        <w:topLinePunct w:val="0"/>
        <w:bidi w:val="0"/>
        <w:snapToGrid w:val="0"/>
        <w:spacing w:beforeLines="50" w:after="50" w:line="360" w:lineRule="auto"/>
        <w:ind w:firstLine="422"/>
        <w:rPr>
          <w:rFonts w:ascii="Times New Roman" w:hAnsi="Times New Roman"/>
          <w:b/>
          <w:color w:val="000000"/>
          <w:szCs w:val="21"/>
        </w:rPr>
      </w:pPr>
    </w:p>
    <w:p w14:paraId="20A52851">
      <w:pPr>
        <w:pageBreakBefore w:val="0"/>
        <w:kinsoku/>
        <w:overflowPunct/>
        <w:topLinePunct w:val="0"/>
        <w:bidi w:val="0"/>
        <w:snapToGrid w:val="0"/>
        <w:spacing w:beforeLines="50" w:after="50" w:line="360" w:lineRule="auto"/>
        <w:ind w:firstLine="422"/>
        <w:rPr>
          <w:rFonts w:ascii="Times New Roman" w:hAnsi="Times New Roman"/>
          <w:b/>
          <w:color w:val="000000"/>
          <w:szCs w:val="21"/>
        </w:rPr>
      </w:pPr>
    </w:p>
    <w:p w14:paraId="6F5BB676">
      <w:pPr>
        <w:pageBreakBefore w:val="0"/>
        <w:kinsoku/>
        <w:overflowPunct/>
        <w:topLinePunct w:val="0"/>
        <w:bidi w:val="0"/>
        <w:snapToGrid w:val="0"/>
        <w:spacing w:line="360" w:lineRule="auto"/>
        <w:ind w:firstLine="422"/>
        <w:rPr>
          <w:rFonts w:ascii="Times New Roman" w:hAnsi="Times New Roman"/>
          <w:b/>
          <w:color w:val="000000"/>
          <w:szCs w:val="21"/>
        </w:rPr>
      </w:pPr>
      <w:r>
        <w:rPr>
          <w:rFonts w:hint="eastAsia" w:ascii="Times New Roman" w:hAnsi="Times New Roman"/>
          <w:b/>
          <w:color w:val="000000"/>
          <w:szCs w:val="21"/>
        </w:rPr>
        <w:t>6、符合参加政府采购活动应当具备的一般条件的承诺函</w:t>
      </w:r>
    </w:p>
    <w:p w14:paraId="3986E589">
      <w:pPr>
        <w:pageBreakBefore w:val="0"/>
        <w:kinsoku/>
        <w:overflowPunct/>
        <w:topLinePunct w:val="0"/>
        <w:bidi w:val="0"/>
        <w:snapToGrid w:val="0"/>
        <w:spacing w:line="360" w:lineRule="auto"/>
        <w:ind w:firstLine="480"/>
        <w:jc w:val="left"/>
        <w:rPr>
          <w:rStyle w:val="57"/>
          <w:rFonts w:asciiTheme="minorEastAsia" w:hAnsiTheme="minorEastAsia" w:eastAsiaTheme="minorEastAsia"/>
          <w:color w:val="000000" w:themeColor="text1"/>
          <w:sz w:val="24"/>
          <w14:textFill>
            <w14:solidFill>
              <w14:schemeClr w14:val="tx1"/>
            </w14:solidFill>
          </w14:textFill>
        </w:rPr>
      </w:pPr>
    </w:p>
    <w:p w14:paraId="6BE917AD">
      <w:pPr>
        <w:pStyle w:val="50"/>
        <w:pageBreakBefore w:val="0"/>
        <w:kinsoku/>
        <w:overflowPunct/>
        <w:topLinePunct w:val="0"/>
        <w:bidi w:val="0"/>
        <w:spacing w:line="360" w:lineRule="auto"/>
        <w:ind w:left="0" w:leftChars="0" w:firstLine="0" w:firstLineChars="0"/>
        <w:jc w:val="center"/>
      </w:pPr>
      <w:r>
        <w:rPr>
          <w:rFonts w:hint="eastAsia" w:ascii="Times New Roman" w:hAnsi="Times New Roman"/>
          <w:b/>
          <w:color w:val="000000"/>
          <w:szCs w:val="21"/>
        </w:rPr>
        <w:t>符合参加政府采购活动应当具备的一般条件的承诺函</w:t>
      </w:r>
    </w:p>
    <w:p w14:paraId="65C8597B">
      <w:pPr>
        <w:pageBreakBefore w:val="0"/>
        <w:kinsoku/>
        <w:overflowPunct/>
        <w:topLinePunct w:val="0"/>
        <w:bidi w:val="0"/>
        <w:snapToGrid w:val="0"/>
        <w:spacing w:line="360" w:lineRule="auto"/>
        <w:jc w:val="left"/>
        <w:rPr>
          <w:rFonts w:ascii="宋体" w:hAnsi="宋体"/>
          <w:sz w:val="24"/>
        </w:rPr>
      </w:pPr>
      <w:r>
        <w:rPr>
          <w:rFonts w:hint="eastAsia" w:ascii="Times New Roman" w:hAnsi="Times New Roman"/>
          <w:color w:val="000000"/>
          <w:szCs w:val="21"/>
          <w:u w:val="single"/>
        </w:rPr>
        <w:t>嘉兴市秀洲区公路与运输管理服务中心</w:t>
      </w:r>
      <w:r>
        <w:rPr>
          <w:rFonts w:hint="eastAsia" w:ascii="Times New Roman" w:hAnsi="Times New Roman"/>
          <w:color w:val="000000"/>
          <w:szCs w:val="21"/>
        </w:rPr>
        <w:t>：</w:t>
      </w:r>
    </w:p>
    <w:p w14:paraId="5E4AB49F">
      <w:pPr>
        <w:pageBreakBefore w:val="0"/>
        <w:kinsoku/>
        <w:overflowPunct/>
        <w:topLinePunct w:val="0"/>
        <w:bidi w:val="0"/>
        <w:snapToGrid w:val="0"/>
        <w:spacing w:line="360" w:lineRule="auto"/>
        <w:ind w:firstLine="420" w:firstLineChars="200"/>
        <w:rPr>
          <w:rFonts w:ascii="宋体" w:hAnsi="宋体" w:cs="宋体"/>
          <w:szCs w:val="21"/>
        </w:rPr>
      </w:pPr>
      <w:r>
        <w:rPr>
          <w:rFonts w:hint="eastAsia" w:ascii="Times New Roman" w:hAnsi="Times New Roman"/>
          <w:color w:val="000000"/>
          <w:szCs w:val="21"/>
          <w:shd w:val="clear" w:color="auto" w:fill="FFFFFF"/>
        </w:rPr>
        <w:t>本公司</w:t>
      </w:r>
      <w:r>
        <w:rPr>
          <w:rFonts w:hint="eastAsia" w:ascii="Times New Roman" w:hAnsi="Times New Roman"/>
          <w:color w:val="000000"/>
          <w:szCs w:val="21"/>
          <w:u w:val="single"/>
          <w:shd w:val="clear" w:color="auto" w:fill="FFFFFF"/>
        </w:rPr>
        <w:t xml:space="preserve">        </w:t>
      </w:r>
      <w:r>
        <w:rPr>
          <w:rFonts w:hint="eastAsia" w:ascii="Times New Roman" w:hAnsi="Times New Roman"/>
          <w:color w:val="000000"/>
          <w:szCs w:val="21"/>
          <w:shd w:val="clear" w:color="auto" w:fill="FFFFFF"/>
        </w:rPr>
        <w:t>（公司名称）参加</w:t>
      </w:r>
      <w:r>
        <w:rPr>
          <w:rFonts w:ascii="Times New Roman" w:hAnsi="Times New Roman" w:cs="宋体"/>
          <w:color w:val="000000"/>
          <w:szCs w:val="21"/>
          <w:u w:val="single"/>
        </w:rPr>
        <w:t xml:space="preserve">         </w:t>
      </w:r>
      <w:r>
        <w:rPr>
          <w:rFonts w:hint="eastAsia" w:ascii="Times New Roman" w:hAnsi="Times New Roman" w:cs="宋体"/>
          <w:color w:val="000000"/>
          <w:szCs w:val="21"/>
          <w:u w:val="single"/>
        </w:rPr>
        <w:t xml:space="preserve">    </w:t>
      </w:r>
      <w:r>
        <w:rPr>
          <w:rFonts w:ascii="Times New Roman" w:hAnsi="Times New Roman" w:cs="宋体"/>
          <w:color w:val="000000"/>
          <w:szCs w:val="21"/>
          <w:u w:val="single"/>
        </w:rPr>
        <w:t xml:space="preserve">       </w:t>
      </w:r>
      <w:r>
        <w:rPr>
          <w:rFonts w:hint="eastAsia" w:ascii="Times New Roman" w:hAnsi="Times New Roman" w:cs="宋体"/>
          <w:color w:val="000000"/>
          <w:szCs w:val="21"/>
        </w:rPr>
        <w:t>项目</w:t>
      </w:r>
      <w:r>
        <w:rPr>
          <w:rFonts w:hint="eastAsia" w:ascii="Times New Roman" w:hAnsi="Times New Roman"/>
          <w:color w:val="000000"/>
          <w:szCs w:val="21"/>
          <w:shd w:val="clear" w:color="auto" w:fill="FFFFFF"/>
        </w:rPr>
        <w:t>投标活动，现</w:t>
      </w:r>
      <w:r>
        <w:rPr>
          <w:rFonts w:hint="eastAsia" w:ascii="宋体" w:hAnsi="宋体" w:cs="宋体"/>
          <w:szCs w:val="21"/>
        </w:rPr>
        <w:t>郑重承诺：</w:t>
      </w:r>
    </w:p>
    <w:p w14:paraId="6A14A240">
      <w:pPr>
        <w:pageBreakBefore w:val="0"/>
        <w:kinsoku/>
        <w:overflowPunct/>
        <w:topLinePunct w:val="0"/>
        <w:bidi w:val="0"/>
        <w:snapToGrid w:val="0"/>
        <w:spacing w:line="360" w:lineRule="auto"/>
        <w:ind w:firstLine="420" w:firstLineChars="200"/>
        <w:rPr>
          <w:rFonts w:ascii="宋体" w:hAnsi="宋体" w:cs="宋体"/>
          <w:szCs w:val="21"/>
        </w:rPr>
      </w:pPr>
      <w:r>
        <w:rPr>
          <w:rFonts w:hint="eastAsia" w:ascii="宋体" w:hAnsi="宋体" w:cs="宋体"/>
          <w:szCs w:val="21"/>
        </w:rPr>
        <w:t>（一）具备《中华人民共和国政府采购法》第二十二条第一款规定的条件：</w:t>
      </w:r>
    </w:p>
    <w:p w14:paraId="6AB033F9">
      <w:pPr>
        <w:pageBreakBefore w:val="0"/>
        <w:kinsoku/>
        <w:overflowPunct/>
        <w:topLinePunct w:val="0"/>
        <w:bidi w:val="0"/>
        <w:snapToGrid w:val="0"/>
        <w:spacing w:line="360" w:lineRule="auto"/>
        <w:ind w:firstLine="420" w:firstLineChars="200"/>
        <w:rPr>
          <w:rFonts w:ascii="宋体" w:hAnsi="宋体" w:cs="宋体"/>
          <w:szCs w:val="21"/>
        </w:rPr>
      </w:pPr>
      <w:r>
        <w:rPr>
          <w:rFonts w:hint="eastAsia" w:ascii="宋体" w:hAnsi="宋体" w:cs="宋体"/>
          <w:szCs w:val="21"/>
        </w:rPr>
        <w:t>1、具有独立承担民事责任的能力；</w:t>
      </w:r>
    </w:p>
    <w:p w14:paraId="1FAADF19">
      <w:pPr>
        <w:pageBreakBefore w:val="0"/>
        <w:kinsoku/>
        <w:overflowPunct/>
        <w:topLinePunct w:val="0"/>
        <w:bidi w:val="0"/>
        <w:snapToGrid w:val="0"/>
        <w:spacing w:line="360" w:lineRule="auto"/>
        <w:ind w:firstLine="420" w:firstLineChars="200"/>
        <w:rPr>
          <w:rFonts w:ascii="宋体" w:hAnsi="宋体" w:cs="宋体"/>
          <w:szCs w:val="21"/>
        </w:rPr>
      </w:pPr>
      <w:r>
        <w:rPr>
          <w:rFonts w:hint="eastAsia" w:ascii="宋体" w:hAnsi="宋体" w:cs="宋体"/>
          <w:szCs w:val="21"/>
        </w:rPr>
        <w:t xml:space="preserve">2、具有良好的商业信誉和健全的财务会计制度； </w:t>
      </w:r>
    </w:p>
    <w:p w14:paraId="015198AC">
      <w:pPr>
        <w:pageBreakBefore w:val="0"/>
        <w:kinsoku/>
        <w:overflowPunct/>
        <w:topLinePunct w:val="0"/>
        <w:bidi w:val="0"/>
        <w:snapToGrid w:val="0"/>
        <w:spacing w:line="360" w:lineRule="auto"/>
        <w:ind w:firstLine="420" w:firstLineChars="200"/>
        <w:rPr>
          <w:rFonts w:ascii="宋体" w:hAnsi="宋体" w:cs="宋体"/>
          <w:szCs w:val="21"/>
        </w:rPr>
      </w:pPr>
      <w:r>
        <w:rPr>
          <w:rFonts w:hint="eastAsia" w:ascii="宋体" w:hAnsi="宋体" w:cs="宋体"/>
          <w:szCs w:val="21"/>
        </w:rPr>
        <w:t>3、具有履行合同所必需的设备和专业技术能力；</w:t>
      </w:r>
    </w:p>
    <w:p w14:paraId="2A359564">
      <w:pPr>
        <w:pageBreakBefore w:val="0"/>
        <w:kinsoku/>
        <w:overflowPunct/>
        <w:topLinePunct w:val="0"/>
        <w:bidi w:val="0"/>
        <w:snapToGrid w:val="0"/>
        <w:spacing w:line="360" w:lineRule="auto"/>
        <w:ind w:firstLine="420" w:firstLineChars="200"/>
        <w:rPr>
          <w:rFonts w:ascii="宋体" w:hAnsi="宋体" w:cs="宋体"/>
          <w:szCs w:val="21"/>
        </w:rPr>
      </w:pPr>
      <w:r>
        <w:rPr>
          <w:rFonts w:hint="eastAsia" w:ascii="宋体" w:hAnsi="宋体" w:cs="宋体"/>
          <w:szCs w:val="21"/>
        </w:rPr>
        <w:t>4、有依法缴纳税收和社会保障资金的良好记录；</w:t>
      </w:r>
    </w:p>
    <w:p w14:paraId="442445F0">
      <w:pPr>
        <w:pageBreakBefore w:val="0"/>
        <w:kinsoku/>
        <w:overflowPunct/>
        <w:topLinePunct w:val="0"/>
        <w:bidi w:val="0"/>
        <w:snapToGrid w:val="0"/>
        <w:spacing w:line="360" w:lineRule="auto"/>
        <w:ind w:firstLine="420" w:firstLineChars="200"/>
        <w:rPr>
          <w:rFonts w:ascii="宋体" w:hAnsi="宋体" w:cs="宋体"/>
          <w:szCs w:val="21"/>
        </w:rPr>
      </w:pPr>
      <w:r>
        <w:rPr>
          <w:rFonts w:hint="eastAsia" w:ascii="宋体" w:hAnsi="宋体" w:cs="宋体"/>
          <w:szCs w:val="21"/>
        </w:rPr>
        <w:t>5、参加政府采购活动前三年内，在经营活动中没有重大违法记录；</w:t>
      </w:r>
    </w:p>
    <w:p w14:paraId="77C0DE29">
      <w:pPr>
        <w:pageBreakBefore w:val="0"/>
        <w:kinsoku/>
        <w:overflowPunct/>
        <w:topLinePunct w:val="0"/>
        <w:bidi w:val="0"/>
        <w:snapToGrid w:val="0"/>
        <w:spacing w:line="360" w:lineRule="auto"/>
        <w:ind w:firstLine="420" w:firstLineChars="200"/>
        <w:rPr>
          <w:rFonts w:ascii="宋体" w:hAnsi="宋体" w:cs="宋体"/>
          <w:szCs w:val="21"/>
        </w:rPr>
      </w:pPr>
      <w:r>
        <w:rPr>
          <w:rFonts w:hint="eastAsia" w:ascii="宋体" w:hAnsi="宋体" w:cs="宋体"/>
          <w:szCs w:val="21"/>
        </w:rPr>
        <w:t>6、具有法律、行政法规规定的其他条件。</w:t>
      </w:r>
    </w:p>
    <w:p w14:paraId="7C2B7482">
      <w:pPr>
        <w:pageBreakBefore w:val="0"/>
        <w:kinsoku/>
        <w:overflowPunct/>
        <w:topLinePunct w:val="0"/>
        <w:bidi w:val="0"/>
        <w:snapToGrid w:val="0"/>
        <w:spacing w:line="360" w:lineRule="auto"/>
        <w:ind w:firstLine="420" w:firstLineChars="200"/>
        <w:rPr>
          <w:rFonts w:ascii="宋体" w:hAnsi="宋体" w:cs="宋体"/>
          <w:szCs w:val="21"/>
        </w:rPr>
      </w:pPr>
      <w:r>
        <w:rPr>
          <w:rFonts w:hint="eastAsia" w:ascii="宋体" w:hAnsi="宋体" w:cs="宋体"/>
          <w:szCs w:val="21"/>
        </w:rPr>
        <w:t>（二）未被“信用中国”网站（www.creditchina.gov.cn)</w:t>
      </w:r>
      <w:r>
        <w:rPr>
          <w:rFonts w:hint="eastAsia" w:ascii="Times New Roman" w:hAnsi="Times New Roman"/>
          <w:color w:val="000000"/>
          <w:szCs w:val="21"/>
        </w:rPr>
        <w:t>、</w:t>
      </w:r>
      <w:r>
        <w:rPr>
          <w:rFonts w:hint="eastAsia" w:ascii="宋体" w:hAnsi="宋体" w:cs="宋体"/>
          <w:szCs w:val="21"/>
        </w:rPr>
        <w:t>中国政府采购网（www.ccgp.gov.cn）列入失信被执行人、重大税收违法案件当事人名单、</w:t>
      </w:r>
      <w:r>
        <w:rPr>
          <w:rFonts w:hint="eastAsia" w:ascii="宋体" w:hAnsi="宋体" w:cs="宋体"/>
          <w:szCs w:val="21"/>
          <w:lang w:val="en-US" w:eastAsia="zh-CN"/>
        </w:rPr>
        <w:t>失信黑名单、</w:t>
      </w:r>
      <w:r>
        <w:rPr>
          <w:rFonts w:hint="eastAsia" w:ascii="宋体" w:hAnsi="宋体" w:cs="宋体"/>
          <w:szCs w:val="21"/>
        </w:rPr>
        <w:t>政府采购严重违法失信行为记录名单。</w:t>
      </w:r>
    </w:p>
    <w:p w14:paraId="3C36B953">
      <w:pPr>
        <w:pageBreakBefore w:val="0"/>
        <w:kinsoku/>
        <w:overflowPunct/>
        <w:topLinePunct w:val="0"/>
        <w:bidi w:val="0"/>
        <w:spacing w:line="360" w:lineRule="auto"/>
        <w:ind w:firstLine="420" w:firstLineChars="200"/>
        <w:rPr>
          <w:rFonts w:ascii="Times New Roman" w:hAnsi="Times New Roman"/>
          <w:color w:val="000000"/>
          <w:szCs w:val="21"/>
          <w:shd w:val="clear" w:color="auto" w:fill="FFFFFF"/>
        </w:rPr>
      </w:pPr>
    </w:p>
    <w:p w14:paraId="5E5C2C2B">
      <w:pPr>
        <w:pageBreakBefore w:val="0"/>
        <w:kinsoku/>
        <w:overflowPunct/>
        <w:topLinePunct w:val="0"/>
        <w:bidi w:val="0"/>
        <w:spacing w:line="360" w:lineRule="auto"/>
        <w:ind w:firstLine="2100" w:firstLineChars="1000"/>
        <w:rPr>
          <w:rFonts w:ascii="Times New Roman" w:hAnsi="Times New Roman"/>
          <w:color w:val="000000"/>
          <w:szCs w:val="21"/>
        </w:rPr>
      </w:pPr>
      <w:r>
        <w:rPr>
          <w:rFonts w:hint="eastAsia" w:ascii="Times New Roman" w:hAnsi="Times New Roman"/>
          <w:color w:val="000000"/>
          <w:szCs w:val="21"/>
        </w:rPr>
        <w:t>投标人（加盖公章）：</w:t>
      </w:r>
      <w:r>
        <w:rPr>
          <w:rFonts w:ascii="Times New Roman" w:hAnsi="Times New Roman"/>
          <w:color w:val="000000"/>
          <w:szCs w:val="21"/>
          <w:u w:val="single"/>
        </w:rPr>
        <w:t xml:space="preserve">                        </w:t>
      </w:r>
    </w:p>
    <w:p w14:paraId="576CF3F1">
      <w:pPr>
        <w:pageBreakBefore w:val="0"/>
        <w:kinsoku/>
        <w:overflowPunct/>
        <w:topLinePunct w:val="0"/>
        <w:bidi w:val="0"/>
        <w:spacing w:line="360" w:lineRule="auto"/>
        <w:ind w:firstLine="2100" w:firstLineChars="1000"/>
        <w:rPr>
          <w:rFonts w:ascii="Times New Roman" w:hAnsi="Times New Roman"/>
          <w:color w:val="000000"/>
          <w:szCs w:val="21"/>
        </w:rPr>
      </w:pPr>
      <w:r>
        <w:rPr>
          <w:rFonts w:hint="eastAsia" w:ascii="Times New Roman" w:hAnsi="Times New Roman"/>
          <w:color w:val="000000"/>
          <w:szCs w:val="21"/>
        </w:rPr>
        <w:t>法定代表人或被授权人签字（或盖章）：</w:t>
      </w:r>
      <w:r>
        <w:rPr>
          <w:rFonts w:ascii="Times New Roman" w:hAnsi="Times New Roman"/>
          <w:color w:val="000000"/>
          <w:szCs w:val="21"/>
          <w:u w:val="single"/>
        </w:rPr>
        <w:t xml:space="preserve">              </w:t>
      </w:r>
      <w:r>
        <w:rPr>
          <w:rFonts w:hint="eastAsia" w:ascii="Times New Roman" w:hAnsi="Times New Roman"/>
          <w:color w:val="000000"/>
          <w:szCs w:val="21"/>
          <w:u w:val="single"/>
        </w:rPr>
        <w:t xml:space="preserve"> </w:t>
      </w:r>
      <w:r>
        <w:rPr>
          <w:rFonts w:ascii="Times New Roman" w:hAnsi="Times New Roman"/>
          <w:color w:val="000000"/>
          <w:szCs w:val="21"/>
          <w:u w:val="single"/>
        </w:rPr>
        <w:t xml:space="preserve">     </w:t>
      </w:r>
    </w:p>
    <w:p w14:paraId="4AC69534">
      <w:pPr>
        <w:pageBreakBefore w:val="0"/>
        <w:kinsoku/>
        <w:overflowPunct/>
        <w:topLinePunct w:val="0"/>
        <w:bidi w:val="0"/>
        <w:spacing w:line="360" w:lineRule="auto"/>
        <w:ind w:firstLine="4305" w:firstLineChars="2050"/>
        <w:rPr>
          <w:rFonts w:ascii="Times New Roman" w:hAnsi="Times New Roman"/>
          <w:color w:val="000000"/>
          <w:szCs w:val="21"/>
        </w:rPr>
      </w:pPr>
      <w:r>
        <w:rPr>
          <w:rFonts w:hint="eastAsia" w:ascii="Times New Roman" w:hAnsi="Times New Roman"/>
          <w:color w:val="000000"/>
          <w:szCs w:val="21"/>
        </w:rPr>
        <w:t>日</w:t>
      </w:r>
      <w:r>
        <w:rPr>
          <w:rFonts w:ascii="Times New Roman" w:hAnsi="Times New Roman"/>
          <w:color w:val="000000"/>
          <w:szCs w:val="21"/>
        </w:rPr>
        <w:t xml:space="preserve">    </w:t>
      </w:r>
      <w:r>
        <w:rPr>
          <w:rFonts w:hint="eastAsia" w:ascii="Times New Roman" w:hAnsi="Times New Roman"/>
          <w:color w:val="000000"/>
          <w:szCs w:val="21"/>
        </w:rPr>
        <w:t>期：</w:t>
      </w:r>
      <w:r>
        <w:rPr>
          <w:rFonts w:ascii="Times New Roman" w:hAnsi="Times New Roman"/>
          <w:color w:val="000000"/>
          <w:szCs w:val="21"/>
          <w:u w:val="single"/>
        </w:rPr>
        <w:t xml:space="preserve">     </w:t>
      </w:r>
      <w:r>
        <w:rPr>
          <w:rFonts w:hint="eastAsia" w:ascii="Times New Roman" w:hAnsi="Times New Roman"/>
          <w:color w:val="000000"/>
          <w:szCs w:val="21"/>
        </w:rPr>
        <w:t>年</w:t>
      </w:r>
      <w:r>
        <w:rPr>
          <w:rFonts w:ascii="Times New Roman" w:hAnsi="Times New Roman"/>
          <w:color w:val="000000"/>
          <w:szCs w:val="21"/>
          <w:u w:val="single"/>
        </w:rPr>
        <w:t xml:space="preserve">    </w:t>
      </w:r>
      <w:r>
        <w:rPr>
          <w:rFonts w:hint="eastAsia" w:ascii="Times New Roman" w:hAnsi="Times New Roman"/>
          <w:color w:val="000000"/>
          <w:szCs w:val="21"/>
        </w:rPr>
        <w:t>月</w:t>
      </w:r>
      <w:r>
        <w:rPr>
          <w:rFonts w:ascii="Times New Roman" w:hAnsi="Times New Roman"/>
          <w:color w:val="000000"/>
          <w:szCs w:val="21"/>
          <w:u w:val="single"/>
        </w:rPr>
        <w:t xml:space="preserve">    </w:t>
      </w:r>
      <w:r>
        <w:rPr>
          <w:rFonts w:hint="eastAsia" w:ascii="Times New Roman" w:hAnsi="Times New Roman"/>
          <w:color w:val="000000"/>
          <w:szCs w:val="21"/>
        </w:rPr>
        <w:t>日</w:t>
      </w:r>
    </w:p>
    <w:p w14:paraId="01611D73">
      <w:pPr>
        <w:pageBreakBefore w:val="0"/>
        <w:kinsoku/>
        <w:overflowPunct/>
        <w:topLinePunct w:val="0"/>
        <w:bidi w:val="0"/>
        <w:snapToGrid w:val="0"/>
        <w:spacing w:line="360" w:lineRule="auto"/>
        <w:ind w:firstLine="420"/>
        <w:rPr>
          <w:rFonts w:ascii="Times New Roman" w:hAnsi="Times New Roman"/>
          <w:color w:val="000000"/>
          <w:szCs w:val="21"/>
        </w:rPr>
      </w:pPr>
    </w:p>
    <w:p w14:paraId="033CA793">
      <w:pPr>
        <w:pageBreakBefore w:val="0"/>
        <w:kinsoku/>
        <w:overflowPunct/>
        <w:topLinePunct w:val="0"/>
        <w:bidi w:val="0"/>
        <w:snapToGrid w:val="0"/>
        <w:spacing w:line="360" w:lineRule="auto"/>
        <w:ind w:firstLine="422"/>
        <w:rPr>
          <w:rFonts w:ascii="Times New Roman" w:hAnsi="Times New Roman"/>
          <w:b/>
          <w:color w:val="000000"/>
          <w:szCs w:val="21"/>
        </w:rPr>
      </w:pPr>
    </w:p>
    <w:p w14:paraId="4C3CB8BA">
      <w:pPr>
        <w:pageBreakBefore w:val="0"/>
        <w:kinsoku/>
        <w:overflowPunct/>
        <w:topLinePunct w:val="0"/>
        <w:bidi w:val="0"/>
        <w:snapToGrid w:val="0"/>
        <w:spacing w:line="360" w:lineRule="auto"/>
        <w:ind w:firstLine="422"/>
        <w:rPr>
          <w:rFonts w:ascii="Times New Roman" w:hAnsi="Times New Roman"/>
          <w:b/>
          <w:color w:val="000000"/>
          <w:szCs w:val="21"/>
        </w:rPr>
      </w:pPr>
    </w:p>
    <w:p w14:paraId="4931F913">
      <w:pPr>
        <w:pageBreakBefore w:val="0"/>
        <w:kinsoku/>
        <w:overflowPunct/>
        <w:topLinePunct w:val="0"/>
        <w:bidi w:val="0"/>
        <w:snapToGrid w:val="0"/>
        <w:spacing w:line="360" w:lineRule="auto"/>
        <w:ind w:firstLine="422"/>
        <w:rPr>
          <w:rFonts w:ascii="Times New Roman" w:hAnsi="Times New Roman"/>
          <w:b/>
          <w:color w:val="000000"/>
          <w:szCs w:val="21"/>
        </w:rPr>
      </w:pPr>
    </w:p>
    <w:p w14:paraId="6AF3A3BA">
      <w:pPr>
        <w:pStyle w:val="50"/>
        <w:pageBreakBefore w:val="0"/>
        <w:kinsoku/>
        <w:overflowPunct/>
        <w:topLinePunct w:val="0"/>
        <w:bidi w:val="0"/>
        <w:spacing w:line="360" w:lineRule="auto"/>
        <w:ind w:firstLine="404"/>
      </w:pPr>
    </w:p>
    <w:p w14:paraId="52363034">
      <w:pPr>
        <w:pStyle w:val="50"/>
        <w:pageBreakBefore w:val="0"/>
        <w:kinsoku/>
        <w:overflowPunct/>
        <w:topLinePunct w:val="0"/>
        <w:bidi w:val="0"/>
        <w:spacing w:line="360" w:lineRule="auto"/>
        <w:ind w:firstLine="404"/>
      </w:pPr>
    </w:p>
    <w:p w14:paraId="3F81B82E">
      <w:pPr>
        <w:pStyle w:val="50"/>
        <w:pageBreakBefore w:val="0"/>
        <w:kinsoku/>
        <w:overflowPunct/>
        <w:topLinePunct w:val="0"/>
        <w:bidi w:val="0"/>
        <w:spacing w:line="360" w:lineRule="auto"/>
        <w:ind w:firstLine="404"/>
      </w:pPr>
    </w:p>
    <w:p w14:paraId="4C29B3E2">
      <w:pPr>
        <w:pStyle w:val="50"/>
        <w:pageBreakBefore w:val="0"/>
        <w:kinsoku/>
        <w:overflowPunct/>
        <w:topLinePunct w:val="0"/>
        <w:bidi w:val="0"/>
        <w:spacing w:line="360" w:lineRule="auto"/>
        <w:ind w:firstLine="404"/>
      </w:pPr>
    </w:p>
    <w:p w14:paraId="38D0DF7A">
      <w:pPr>
        <w:pStyle w:val="50"/>
        <w:pageBreakBefore w:val="0"/>
        <w:kinsoku/>
        <w:overflowPunct/>
        <w:topLinePunct w:val="0"/>
        <w:bidi w:val="0"/>
        <w:spacing w:line="360" w:lineRule="auto"/>
        <w:ind w:firstLine="404"/>
      </w:pPr>
    </w:p>
    <w:p w14:paraId="12415CC9">
      <w:pPr>
        <w:pStyle w:val="50"/>
        <w:pageBreakBefore w:val="0"/>
        <w:kinsoku/>
        <w:overflowPunct/>
        <w:topLinePunct w:val="0"/>
        <w:bidi w:val="0"/>
        <w:spacing w:line="360" w:lineRule="auto"/>
        <w:ind w:firstLine="404"/>
      </w:pPr>
    </w:p>
    <w:p w14:paraId="263910C8">
      <w:pPr>
        <w:pStyle w:val="50"/>
        <w:pageBreakBefore w:val="0"/>
        <w:kinsoku/>
        <w:overflowPunct/>
        <w:topLinePunct w:val="0"/>
        <w:bidi w:val="0"/>
        <w:spacing w:line="360" w:lineRule="auto"/>
        <w:ind w:firstLine="404"/>
      </w:pPr>
    </w:p>
    <w:p w14:paraId="15E472AE">
      <w:pPr>
        <w:pStyle w:val="50"/>
        <w:pageBreakBefore w:val="0"/>
        <w:kinsoku/>
        <w:overflowPunct/>
        <w:topLinePunct w:val="0"/>
        <w:bidi w:val="0"/>
        <w:spacing w:line="360" w:lineRule="auto"/>
        <w:ind w:firstLine="404"/>
      </w:pPr>
    </w:p>
    <w:p w14:paraId="0CE3E171">
      <w:pPr>
        <w:pStyle w:val="50"/>
        <w:pageBreakBefore w:val="0"/>
        <w:kinsoku/>
        <w:overflowPunct/>
        <w:topLinePunct w:val="0"/>
        <w:bidi w:val="0"/>
        <w:spacing w:line="360" w:lineRule="auto"/>
        <w:ind w:firstLine="404"/>
      </w:pPr>
    </w:p>
    <w:p w14:paraId="189F366F">
      <w:pPr>
        <w:pStyle w:val="50"/>
        <w:pageBreakBefore w:val="0"/>
        <w:kinsoku/>
        <w:overflowPunct/>
        <w:topLinePunct w:val="0"/>
        <w:bidi w:val="0"/>
        <w:spacing w:line="360" w:lineRule="auto"/>
        <w:ind w:firstLine="404"/>
      </w:pPr>
    </w:p>
    <w:p w14:paraId="48BE0189">
      <w:pPr>
        <w:pageBreakBefore w:val="0"/>
        <w:kinsoku/>
        <w:overflowPunct/>
        <w:topLinePunct w:val="0"/>
        <w:bidi w:val="0"/>
        <w:snapToGrid w:val="0"/>
        <w:spacing w:line="360" w:lineRule="auto"/>
        <w:ind w:firstLine="422"/>
        <w:rPr>
          <w:rFonts w:ascii="Times New Roman" w:hAnsi="Times New Roman"/>
          <w:b/>
          <w:color w:val="000000"/>
          <w:szCs w:val="21"/>
        </w:rPr>
      </w:pPr>
    </w:p>
    <w:p w14:paraId="3000C70B">
      <w:pPr>
        <w:pageBreakBefore w:val="0"/>
        <w:kinsoku/>
        <w:overflowPunct/>
        <w:topLinePunct w:val="0"/>
        <w:bidi w:val="0"/>
        <w:snapToGrid w:val="0"/>
        <w:spacing w:line="360" w:lineRule="auto"/>
        <w:ind w:firstLine="422"/>
        <w:rPr>
          <w:rFonts w:ascii="Times New Roman" w:hAnsi="Times New Roman"/>
          <w:b/>
          <w:color w:val="000000"/>
          <w:szCs w:val="21"/>
        </w:rPr>
      </w:pPr>
    </w:p>
    <w:p w14:paraId="1D0746EA">
      <w:pPr>
        <w:pageBreakBefore w:val="0"/>
        <w:kinsoku/>
        <w:overflowPunct/>
        <w:topLinePunct w:val="0"/>
        <w:bidi w:val="0"/>
        <w:snapToGrid w:val="0"/>
        <w:spacing w:line="360" w:lineRule="auto"/>
        <w:ind w:firstLine="422"/>
        <w:rPr>
          <w:rFonts w:ascii="Times New Roman" w:hAnsi="Times New Roman"/>
          <w:b/>
          <w:color w:val="000000"/>
          <w:szCs w:val="21"/>
        </w:rPr>
      </w:pPr>
      <w:r>
        <w:rPr>
          <w:rFonts w:hint="eastAsia" w:ascii="Times New Roman" w:hAnsi="Times New Roman"/>
          <w:b/>
          <w:color w:val="000000"/>
          <w:szCs w:val="21"/>
        </w:rPr>
        <w:t>7、具有履行合同所必需的设备和专业技术能力承诺函</w:t>
      </w:r>
    </w:p>
    <w:p w14:paraId="7EDC5151">
      <w:pPr>
        <w:pStyle w:val="23"/>
        <w:pageBreakBefore w:val="0"/>
        <w:kinsoku/>
        <w:overflowPunct/>
        <w:topLinePunct w:val="0"/>
        <w:bidi w:val="0"/>
        <w:snapToGrid w:val="0"/>
        <w:spacing w:beforeLines="10" w:afterLines="10" w:line="360" w:lineRule="auto"/>
        <w:ind w:firstLine="482"/>
        <w:jc w:val="center"/>
        <w:rPr>
          <w:rFonts w:ascii="Times New Roman" w:hAnsi="Times New Roman"/>
          <w:b/>
          <w:color w:val="000000"/>
        </w:rPr>
      </w:pPr>
    </w:p>
    <w:p w14:paraId="25E934EF">
      <w:pPr>
        <w:pStyle w:val="23"/>
        <w:pageBreakBefore w:val="0"/>
        <w:kinsoku/>
        <w:overflowPunct/>
        <w:topLinePunct w:val="0"/>
        <w:bidi w:val="0"/>
        <w:snapToGrid w:val="0"/>
        <w:spacing w:beforeLines="10" w:afterLines="10" w:line="360" w:lineRule="auto"/>
        <w:ind w:firstLine="422"/>
        <w:jc w:val="center"/>
        <w:rPr>
          <w:rFonts w:ascii="Times New Roman" w:hAnsi="Times New Roman"/>
          <w:b/>
          <w:color w:val="000000"/>
          <w:sz w:val="21"/>
          <w:szCs w:val="21"/>
        </w:rPr>
      </w:pPr>
      <w:r>
        <w:rPr>
          <w:rFonts w:hint="eastAsia" w:ascii="Times New Roman" w:hAnsi="Times New Roman"/>
          <w:b/>
          <w:color w:val="000000"/>
          <w:sz w:val="21"/>
          <w:szCs w:val="21"/>
        </w:rPr>
        <w:t>具有履行合同所必需的设备和专业技术能力承诺函</w:t>
      </w:r>
    </w:p>
    <w:p w14:paraId="4FF129BE">
      <w:pPr>
        <w:pageBreakBefore w:val="0"/>
        <w:kinsoku/>
        <w:overflowPunct/>
        <w:topLinePunct w:val="0"/>
        <w:bidi w:val="0"/>
        <w:snapToGrid w:val="0"/>
        <w:spacing w:beforeLines="50" w:after="50" w:line="360" w:lineRule="auto"/>
        <w:ind w:firstLine="422"/>
        <w:rPr>
          <w:rFonts w:ascii="Times New Roman" w:hAnsi="Times New Roman"/>
          <w:b/>
          <w:color w:val="000000"/>
          <w:szCs w:val="21"/>
        </w:rPr>
      </w:pPr>
    </w:p>
    <w:p w14:paraId="1512035B">
      <w:pPr>
        <w:pageBreakBefore w:val="0"/>
        <w:kinsoku/>
        <w:overflowPunct/>
        <w:topLinePunct w:val="0"/>
        <w:bidi w:val="0"/>
        <w:spacing w:line="360" w:lineRule="auto"/>
        <w:rPr>
          <w:rFonts w:ascii="Times New Roman" w:hAnsi="Times New Roman"/>
          <w:color w:val="000000"/>
          <w:szCs w:val="21"/>
        </w:rPr>
      </w:pPr>
      <w:r>
        <w:rPr>
          <w:rFonts w:hint="eastAsia" w:ascii="Times New Roman" w:hAnsi="Times New Roman"/>
          <w:color w:val="000000"/>
          <w:spacing w:val="6"/>
          <w:szCs w:val="21"/>
          <w:u w:val="single"/>
        </w:rPr>
        <w:t>嘉兴市秀洲区公路与运输管理服务中心</w:t>
      </w:r>
      <w:r>
        <w:rPr>
          <w:rFonts w:hint="eastAsia" w:ascii="Times New Roman" w:hAnsi="Times New Roman"/>
          <w:color w:val="000000"/>
          <w:szCs w:val="21"/>
        </w:rPr>
        <w:t>：</w:t>
      </w:r>
    </w:p>
    <w:p w14:paraId="2D76576D">
      <w:pPr>
        <w:pageBreakBefore w:val="0"/>
        <w:kinsoku/>
        <w:overflowPunct/>
        <w:topLinePunct w:val="0"/>
        <w:bidi w:val="0"/>
        <w:snapToGrid w:val="0"/>
        <w:spacing w:line="360" w:lineRule="auto"/>
        <w:ind w:firstLine="420" w:firstLineChars="200"/>
        <w:rPr>
          <w:rFonts w:ascii="Times New Roman" w:hAnsi="Times New Roman"/>
          <w:color w:val="000000"/>
          <w:szCs w:val="21"/>
          <w:shd w:val="clear" w:color="auto" w:fill="FFFFFF"/>
        </w:rPr>
      </w:pPr>
      <w:r>
        <w:rPr>
          <w:rFonts w:hint="eastAsia" w:ascii="Times New Roman" w:hAnsi="Times New Roman"/>
          <w:color w:val="000000"/>
          <w:szCs w:val="21"/>
          <w:shd w:val="clear" w:color="auto" w:fill="FFFFFF"/>
        </w:rPr>
        <w:t>本公司</w:t>
      </w:r>
      <w:r>
        <w:rPr>
          <w:rFonts w:hint="eastAsia" w:ascii="Times New Roman" w:hAnsi="Times New Roman"/>
          <w:color w:val="000000"/>
          <w:szCs w:val="21"/>
          <w:u w:val="single"/>
          <w:shd w:val="clear" w:color="auto" w:fill="FFFFFF"/>
        </w:rPr>
        <w:t xml:space="preserve">        </w:t>
      </w:r>
      <w:r>
        <w:rPr>
          <w:rFonts w:hint="eastAsia" w:ascii="Times New Roman" w:hAnsi="Times New Roman"/>
          <w:color w:val="000000"/>
          <w:szCs w:val="21"/>
          <w:shd w:val="clear" w:color="auto" w:fill="FFFFFF"/>
        </w:rPr>
        <w:t>（公司名称）参加</w:t>
      </w:r>
      <w:r>
        <w:rPr>
          <w:rFonts w:ascii="Times New Roman" w:hAnsi="Times New Roman" w:cs="宋体"/>
          <w:color w:val="000000"/>
          <w:szCs w:val="21"/>
          <w:u w:val="single"/>
        </w:rPr>
        <w:t xml:space="preserve">         </w:t>
      </w:r>
      <w:r>
        <w:rPr>
          <w:rFonts w:hint="eastAsia" w:ascii="Times New Roman" w:hAnsi="Times New Roman" w:cs="宋体"/>
          <w:color w:val="000000"/>
          <w:szCs w:val="21"/>
          <w:u w:val="single"/>
        </w:rPr>
        <w:t xml:space="preserve">    </w:t>
      </w:r>
      <w:r>
        <w:rPr>
          <w:rFonts w:ascii="Times New Roman" w:hAnsi="Times New Roman" w:cs="宋体"/>
          <w:color w:val="000000"/>
          <w:szCs w:val="21"/>
          <w:u w:val="single"/>
        </w:rPr>
        <w:t xml:space="preserve">       </w:t>
      </w:r>
      <w:r>
        <w:rPr>
          <w:rFonts w:hint="eastAsia" w:ascii="Times New Roman" w:hAnsi="Times New Roman" w:cs="宋体"/>
          <w:color w:val="000000"/>
          <w:szCs w:val="21"/>
        </w:rPr>
        <w:t>项目</w:t>
      </w:r>
      <w:r>
        <w:rPr>
          <w:rFonts w:hint="eastAsia" w:ascii="Times New Roman" w:hAnsi="Times New Roman"/>
          <w:color w:val="000000"/>
          <w:szCs w:val="21"/>
          <w:shd w:val="clear" w:color="auto" w:fill="FFFFFF"/>
        </w:rPr>
        <w:t>投标活动，现承诺如下：</w:t>
      </w:r>
    </w:p>
    <w:p w14:paraId="4FCDD0EB">
      <w:pPr>
        <w:pageBreakBefore w:val="0"/>
        <w:kinsoku/>
        <w:overflowPunct/>
        <w:topLinePunct w:val="0"/>
        <w:bidi w:val="0"/>
        <w:spacing w:line="360" w:lineRule="auto"/>
        <w:ind w:firstLine="420" w:firstLineChars="200"/>
        <w:rPr>
          <w:rFonts w:ascii="Times New Roman" w:hAnsi="Times New Roman"/>
          <w:color w:val="000000"/>
          <w:szCs w:val="21"/>
          <w:shd w:val="clear" w:color="auto" w:fill="FFFFFF"/>
        </w:rPr>
      </w:pPr>
      <w:r>
        <w:rPr>
          <w:rFonts w:hint="eastAsia" w:ascii="Times New Roman" w:hAnsi="Times New Roman"/>
          <w:color w:val="000000"/>
          <w:szCs w:val="21"/>
          <w:shd w:val="clear" w:color="auto" w:fill="FFFFFF"/>
        </w:rPr>
        <w:t>我公司具有履行合同所需的设备和专业技术能力。</w:t>
      </w:r>
    </w:p>
    <w:p w14:paraId="33DB57B5">
      <w:pPr>
        <w:pageBreakBefore w:val="0"/>
        <w:kinsoku/>
        <w:overflowPunct/>
        <w:topLinePunct w:val="0"/>
        <w:bidi w:val="0"/>
        <w:spacing w:line="360" w:lineRule="auto"/>
        <w:ind w:firstLine="420" w:firstLineChars="200"/>
        <w:rPr>
          <w:rFonts w:ascii="Times New Roman" w:hAnsi="Times New Roman"/>
          <w:color w:val="000000"/>
          <w:szCs w:val="21"/>
          <w:shd w:val="clear" w:color="auto" w:fill="FFFFFF"/>
        </w:rPr>
      </w:pPr>
      <w:r>
        <w:rPr>
          <w:rFonts w:hint="eastAsia" w:ascii="Times New Roman" w:hAnsi="Times New Roman"/>
          <w:color w:val="000000"/>
          <w:szCs w:val="21"/>
          <w:shd w:val="clear" w:color="auto" w:fill="FFFFFF"/>
        </w:rPr>
        <w:t>如违反以上承诺，本公司愿承担一切法律责任。</w:t>
      </w:r>
    </w:p>
    <w:p w14:paraId="4990023E">
      <w:pPr>
        <w:pageBreakBefore w:val="0"/>
        <w:kinsoku/>
        <w:overflowPunct/>
        <w:topLinePunct w:val="0"/>
        <w:bidi w:val="0"/>
        <w:spacing w:line="360" w:lineRule="auto"/>
        <w:ind w:firstLine="420" w:firstLineChars="200"/>
        <w:rPr>
          <w:rFonts w:ascii="Times New Roman" w:hAnsi="Times New Roman"/>
          <w:color w:val="000000"/>
          <w:szCs w:val="21"/>
          <w:shd w:val="clear" w:color="auto" w:fill="FFFFFF"/>
        </w:rPr>
      </w:pPr>
    </w:p>
    <w:p w14:paraId="51573B88">
      <w:pPr>
        <w:pageBreakBefore w:val="0"/>
        <w:kinsoku/>
        <w:overflowPunct/>
        <w:topLinePunct w:val="0"/>
        <w:bidi w:val="0"/>
        <w:spacing w:line="360" w:lineRule="auto"/>
        <w:ind w:firstLine="2100" w:firstLineChars="1000"/>
        <w:rPr>
          <w:rFonts w:ascii="Times New Roman" w:hAnsi="Times New Roman"/>
          <w:color w:val="000000"/>
          <w:szCs w:val="21"/>
        </w:rPr>
      </w:pPr>
      <w:r>
        <w:rPr>
          <w:rFonts w:hint="eastAsia" w:ascii="Times New Roman" w:hAnsi="Times New Roman"/>
          <w:color w:val="000000"/>
          <w:szCs w:val="21"/>
        </w:rPr>
        <w:t>投标人（加盖公章）：</w:t>
      </w:r>
      <w:r>
        <w:rPr>
          <w:rFonts w:ascii="Times New Roman" w:hAnsi="Times New Roman"/>
          <w:color w:val="000000"/>
          <w:szCs w:val="21"/>
          <w:u w:val="single"/>
        </w:rPr>
        <w:t xml:space="preserve">                        </w:t>
      </w:r>
    </w:p>
    <w:p w14:paraId="172E04A8">
      <w:pPr>
        <w:pageBreakBefore w:val="0"/>
        <w:kinsoku/>
        <w:overflowPunct/>
        <w:topLinePunct w:val="0"/>
        <w:bidi w:val="0"/>
        <w:spacing w:line="360" w:lineRule="auto"/>
        <w:ind w:firstLine="2100" w:firstLineChars="1000"/>
        <w:rPr>
          <w:rFonts w:ascii="Times New Roman" w:hAnsi="Times New Roman"/>
          <w:color w:val="000000"/>
          <w:szCs w:val="21"/>
        </w:rPr>
      </w:pPr>
      <w:r>
        <w:rPr>
          <w:rFonts w:hint="eastAsia" w:ascii="Times New Roman" w:hAnsi="Times New Roman"/>
          <w:color w:val="000000"/>
          <w:szCs w:val="21"/>
        </w:rPr>
        <w:t>法定代表人或被授权人签字（或盖章）：</w:t>
      </w:r>
      <w:r>
        <w:rPr>
          <w:rFonts w:ascii="Times New Roman" w:hAnsi="Times New Roman"/>
          <w:color w:val="000000"/>
          <w:szCs w:val="21"/>
          <w:u w:val="single"/>
        </w:rPr>
        <w:t xml:space="preserve">              </w:t>
      </w:r>
      <w:r>
        <w:rPr>
          <w:rFonts w:hint="eastAsia" w:ascii="Times New Roman" w:hAnsi="Times New Roman"/>
          <w:color w:val="000000"/>
          <w:szCs w:val="21"/>
          <w:u w:val="single"/>
        </w:rPr>
        <w:t xml:space="preserve"> </w:t>
      </w:r>
      <w:r>
        <w:rPr>
          <w:rFonts w:ascii="Times New Roman" w:hAnsi="Times New Roman"/>
          <w:color w:val="000000"/>
          <w:szCs w:val="21"/>
          <w:u w:val="single"/>
        </w:rPr>
        <w:t xml:space="preserve">     </w:t>
      </w:r>
    </w:p>
    <w:p w14:paraId="7F35E38C">
      <w:pPr>
        <w:pageBreakBefore w:val="0"/>
        <w:kinsoku/>
        <w:overflowPunct/>
        <w:topLinePunct w:val="0"/>
        <w:bidi w:val="0"/>
        <w:spacing w:line="360" w:lineRule="auto"/>
        <w:ind w:firstLine="4305" w:firstLineChars="2050"/>
        <w:rPr>
          <w:rFonts w:ascii="Times New Roman" w:hAnsi="Times New Roman"/>
          <w:color w:val="000000"/>
          <w:szCs w:val="21"/>
        </w:rPr>
      </w:pPr>
      <w:r>
        <w:rPr>
          <w:rFonts w:hint="eastAsia" w:ascii="Times New Roman" w:hAnsi="Times New Roman"/>
          <w:color w:val="000000"/>
          <w:szCs w:val="21"/>
        </w:rPr>
        <w:t>日</w:t>
      </w:r>
      <w:r>
        <w:rPr>
          <w:rFonts w:ascii="Times New Roman" w:hAnsi="Times New Roman"/>
          <w:color w:val="000000"/>
          <w:szCs w:val="21"/>
        </w:rPr>
        <w:t xml:space="preserve">    </w:t>
      </w:r>
      <w:r>
        <w:rPr>
          <w:rFonts w:hint="eastAsia" w:ascii="Times New Roman" w:hAnsi="Times New Roman"/>
          <w:color w:val="000000"/>
          <w:szCs w:val="21"/>
        </w:rPr>
        <w:t>期：</w:t>
      </w:r>
      <w:r>
        <w:rPr>
          <w:rFonts w:ascii="Times New Roman" w:hAnsi="Times New Roman"/>
          <w:color w:val="000000"/>
          <w:szCs w:val="21"/>
          <w:u w:val="single"/>
        </w:rPr>
        <w:t xml:space="preserve">     </w:t>
      </w:r>
      <w:r>
        <w:rPr>
          <w:rFonts w:hint="eastAsia" w:ascii="Times New Roman" w:hAnsi="Times New Roman"/>
          <w:color w:val="000000"/>
          <w:szCs w:val="21"/>
        </w:rPr>
        <w:t>年</w:t>
      </w:r>
      <w:r>
        <w:rPr>
          <w:rFonts w:ascii="Times New Roman" w:hAnsi="Times New Roman"/>
          <w:color w:val="000000"/>
          <w:szCs w:val="21"/>
          <w:u w:val="single"/>
        </w:rPr>
        <w:t xml:space="preserve">    </w:t>
      </w:r>
      <w:r>
        <w:rPr>
          <w:rFonts w:hint="eastAsia" w:ascii="Times New Roman" w:hAnsi="Times New Roman"/>
          <w:color w:val="000000"/>
          <w:szCs w:val="21"/>
        </w:rPr>
        <w:t>月</w:t>
      </w:r>
      <w:r>
        <w:rPr>
          <w:rFonts w:ascii="Times New Roman" w:hAnsi="Times New Roman"/>
          <w:color w:val="000000"/>
          <w:szCs w:val="21"/>
          <w:u w:val="single"/>
        </w:rPr>
        <w:t xml:space="preserve">    </w:t>
      </w:r>
      <w:r>
        <w:rPr>
          <w:rFonts w:hint="eastAsia" w:ascii="Times New Roman" w:hAnsi="Times New Roman"/>
          <w:color w:val="000000"/>
          <w:szCs w:val="21"/>
        </w:rPr>
        <w:t>日</w:t>
      </w:r>
    </w:p>
    <w:p w14:paraId="684BDF89">
      <w:pPr>
        <w:pageBreakBefore w:val="0"/>
        <w:kinsoku/>
        <w:overflowPunct/>
        <w:topLinePunct w:val="0"/>
        <w:bidi w:val="0"/>
        <w:snapToGrid w:val="0"/>
        <w:spacing w:line="360" w:lineRule="auto"/>
        <w:ind w:firstLine="420"/>
        <w:rPr>
          <w:rFonts w:ascii="Times New Roman" w:hAnsi="Times New Roman"/>
          <w:color w:val="000000"/>
          <w:szCs w:val="21"/>
        </w:rPr>
      </w:pPr>
    </w:p>
    <w:p w14:paraId="7302041E">
      <w:pPr>
        <w:pStyle w:val="50"/>
        <w:pageBreakBefore w:val="0"/>
        <w:kinsoku/>
        <w:overflowPunct/>
        <w:topLinePunct w:val="0"/>
        <w:bidi w:val="0"/>
        <w:spacing w:line="360" w:lineRule="auto"/>
        <w:ind w:firstLine="404"/>
      </w:pPr>
    </w:p>
    <w:p w14:paraId="1651A985">
      <w:pPr>
        <w:pStyle w:val="50"/>
        <w:pageBreakBefore w:val="0"/>
        <w:kinsoku/>
        <w:overflowPunct/>
        <w:topLinePunct w:val="0"/>
        <w:bidi w:val="0"/>
        <w:spacing w:line="360" w:lineRule="auto"/>
        <w:ind w:firstLine="404"/>
      </w:pPr>
    </w:p>
    <w:p w14:paraId="2D64E519">
      <w:pPr>
        <w:pStyle w:val="50"/>
        <w:pageBreakBefore w:val="0"/>
        <w:kinsoku/>
        <w:overflowPunct/>
        <w:topLinePunct w:val="0"/>
        <w:bidi w:val="0"/>
        <w:spacing w:line="360" w:lineRule="auto"/>
        <w:ind w:firstLine="404"/>
      </w:pPr>
    </w:p>
    <w:p w14:paraId="700E88D5">
      <w:pPr>
        <w:pStyle w:val="23"/>
        <w:pageBreakBefore w:val="0"/>
        <w:kinsoku/>
        <w:overflowPunct/>
        <w:topLinePunct w:val="0"/>
        <w:bidi w:val="0"/>
        <w:snapToGrid w:val="0"/>
        <w:spacing w:before="120" w:line="360" w:lineRule="auto"/>
        <w:ind w:firstLine="482"/>
        <w:rPr>
          <w:rFonts w:ascii="Times New Roman" w:hAnsi="Times New Roman"/>
          <w:b/>
          <w:sz w:val="21"/>
          <w:szCs w:val="21"/>
        </w:rPr>
      </w:pPr>
      <w:r>
        <w:rPr>
          <w:rFonts w:ascii="Times New Roman" w:hAnsi="Times New Roman"/>
          <w:b/>
          <w:color w:val="000000"/>
          <w:kern w:val="0"/>
          <w:szCs w:val="21"/>
        </w:rPr>
        <w:br w:type="page"/>
      </w:r>
      <w:r>
        <w:rPr>
          <w:rFonts w:hint="eastAsia" w:ascii="Calibri" w:hAnsi="Calibri" w:cs="微软雅黑"/>
          <w:b/>
          <w:bCs/>
          <w:kern w:val="0"/>
          <w:sz w:val="21"/>
          <w:szCs w:val="21"/>
        </w:rPr>
        <w:t>8、提供中小企业声明函等证明材料（除监狱企业的证明文件格式自拟外）</w:t>
      </w:r>
    </w:p>
    <w:p w14:paraId="04758F67">
      <w:pPr>
        <w:pStyle w:val="23"/>
        <w:pageBreakBefore w:val="0"/>
        <w:kinsoku/>
        <w:overflowPunct/>
        <w:topLinePunct w:val="0"/>
        <w:bidi w:val="0"/>
        <w:snapToGrid w:val="0"/>
        <w:spacing w:before="120" w:line="360" w:lineRule="auto"/>
        <w:ind w:firstLine="422"/>
        <w:jc w:val="center"/>
        <w:rPr>
          <w:rFonts w:ascii="Times New Roman" w:hAnsi="Times New Roman"/>
          <w:b/>
          <w:color w:val="000000"/>
          <w:sz w:val="21"/>
          <w:szCs w:val="21"/>
        </w:rPr>
      </w:pPr>
      <w:r>
        <w:rPr>
          <w:rFonts w:hint="eastAsia" w:ascii="Times New Roman" w:hAnsi="Times New Roman"/>
          <w:b/>
          <w:color w:val="000000"/>
          <w:sz w:val="21"/>
          <w:szCs w:val="21"/>
        </w:rPr>
        <w:t>中小企业声明函（服务）</w:t>
      </w:r>
    </w:p>
    <w:p w14:paraId="2B98CCE8">
      <w:pPr>
        <w:pageBreakBefore w:val="0"/>
        <w:kinsoku/>
        <w:overflowPunct/>
        <w:topLinePunct w:val="0"/>
        <w:bidi w:val="0"/>
        <w:snapToGrid w:val="0"/>
        <w:spacing w:line="360" w:lineRule="auto"/>
        <w:ind w:firstLine="420" w:firstLineChars="200"/>
        <w:jc w:val="left"/>
        <w:rPr>
          <w:color w:val="000000"/>
          <w:szCs w:val="21"/>
        </w:rPr>
      </w:pPr>
      <w:r>
        <w:rPr>
          <w:rFonts w:hint="eastAsia"/>
          <w:color w:val="000000"/>
          <w:szCs w:val="21"/>
        </w:rPr>
        <w:t>本公司（联合体）郑重声明，根据《政府采购促进中小企业发展管理办法》（财库﹝</w:t>
      </w:r>
      <w:r>
        <w:rPr>
          <w:color w:val="000000"/>
          <w:szCs w:val="21"/>
        </w:rPr>
        <w:t>2020</w:t>
      </w:r>
      <w:r>
        <w:rPr>
          <w:rFonts w:hint="eastAsia"/>
          <w:color w:val="000000"/>
          <w:szCs w:val="21"/>
        </w:rPr>
        <w:t>﹞</w:t>
      </w:r>
      <w:r>
        <w:rPr>
          <w:color w:val="000000"/>
          <w:szCs w:val="21"/>
        </w:rPr>
        <w:t>46</w:t>
      </w:r>
      <w:r>
        <w:rPr>
          <w:rFonts w:hint="eastAsia"/>
          <w:color w:val="000000"/>
          <w:szCs w:val="21"/>
        </w:rPr>
        <w:t>号）的规定，本公司（联合体）参加</w:t>
      </w:r>
      <w:r>
        <w:rPr>
          <w:rFonts w:hint="eastAsia"/>
          <w:color w:val="000000"/>
          <w:szCs w:val="21"/>
          <w:u w:val="single"/>
        </w:rPr>
        <w:t>（单位名称）</w:t>
      </w:r>
      <w:r>
        <w:rPr>
          <w:rFonts w:hint="eastAsia"/>
          <w:color w:val="000000"/>
          <w:szCs w:val="21"/>
        </w:rPr>
        <w:t>的</w:t>
      </w:r>
      <w:r>
        <w:rPr>
          <w:rFonts w:hint="eastAsia"/>
          <w:color w:val="000000"/>
          <w:szCs w:val="21"/>
          <w:u w:val="single"/>
        </w:rPr>
        <w:t>（项目名称）</w:t>
      </w:r>
      <w:r>
        <w:rPr>
          <w:rFonts w:hint="eastAsia"/>
          <w:color w:val="000000"/>
          <w:szCs w:val="21"/>
        </w:rPr>
        <w:t>采购活动，服务全部由符合政策要求的中小企业承接。相关企业（含联合体中的中小企业、签订分包意向协议的中小企业）的具体情况如下：</w:t>
      </w:r>
      <w:r>
        <w:rPr>
          <w:color w:val="000000"/>
          <w:szCs w:val="21"/>
        </w:rPr>
        <w:t xml:space="preserve"> </w:t>
      </w:r>
    </w:p>
    <w:p w14:paraId="1ABCF043">
      <w:pPr>
        <w:pageBreakBefore w:val="0"/>
        <w:kinsoku/>
        <w:overflowPunct/>
        <w:topLinePunct w:val="0"/>
        <w:bidi w:val="0"/>
        <w:snapToGrid w:val="0"/>
        <w:spacing w:line="360" w:lineRule="auto"/>
        <w:ind w:firstLine="420" w:firstLineChars="200"/>
        <w:jc w:val="left"/>
        <w:rPr>
          <w:color w:val="000000"/>
          <w:szCs w:val="21"/>
        </w:rPr>
      </w:pPr>
      <w:r>
        <w:rPr>
          <w:color w:val="000000"/>
          <w:szCs w:val="21"/>
        </w:rPr>
        <w:t xml:space="preserve">1. </w:t>
      </w:r>
      <w:r>
        <w:rPr>
          <w:rFonts w:hint="eastAsia"/>
          <w:color w:val="000000"/>
          <w:szCs w:val="21"/>
          <w:u w:val="single"/>
        </w:rPr>
        <w:t>（标的名称）</w:t>
      </w:r>
      <w:r>
        <w:rPr>
          <w:color w:val="000000"/>
          <w:szCs w:val="21"/>
        </w:rPr>
        <w:t xml:space="preserve"> </w:t>
      </w:r>
      <w:r>
        <w:rPr>
          <w:rFonts w:hint="eastAsia"/>
          <w:color w:val="000000"/>
          <w:szCs w:val="21"/>
        </w:rPr>
        <w:t>，属于</w:t>
      </w:r>
      <w:r>
        <w:rPr>
          <w:rFonts w:hint="eastAsia"/>
          <w:color w:val="000000"/>
          <w:szCs w:val="21"/>
          <w:u w:val="single"/>
        </w:rPr>
        <w:t>（采购文件中明确的所属行业）</w:t>
      </w:r>
      <w:r>
        <w:rPr>
          <w:color w:val="000000"/>
          <w:szCs w:val="21"/>
          <w:u w:val="single"/>
        </w:rPr>
        <w:t xml:space="preserve"> </w:t>
      </w:r>
      <w:r>
        <w:rPr>
          <w:rFonts w:hint="eastAsia"/>
          <w:color w:val="000000"/>
          <w:szCs w:val="21"/>
          <w:u w:val="single"/>
        </w:rPr>
        <w:t>行业</w:t>
      </w:r>
      <w:r>
        <w:rPr>
          <w:rFonts w:hint="eastAsia"/>
          <w:color w:val="000000"/>
          <w:szCs w:val="21"/>
        </w:rPr>
        <w:t>；承接企业为</w:t>
      </w:r>
      <w:r>
        <w:rPr>
          <w:rFonts w:hint="eastAsia"/>
          <w:color w:val="000000"/>
          <w:szCs w:val="21"/>
          <w:u w:val="single"/>
        </w:rPr>
        <w:t>（企业名称）</w:t>
      </w:r>
      <w:r>
        <w:rPr>
          <w:rFonts w:hint="eastAsia"/>
          <w:color w:val="000000"/>
          <w:szCs w:val="21"/>
        </w:rPr>
        <w:t>，从业人员</w:t>
      </w:r>
      <w:r>
        <w:rPr>
          <w:color w:val="000000"/>
          <w:szCs w:val="21"/>
          <w:u w:val="single"/>
        </w:rPr>
        <w:t xml:space="preserve">   </w:t>
      </w:r>
      <w:r>
        <w:rPr>
          <w:rFonts w:hint="eastAsia"/>
          <w:color w:val="000000"/>
          <w:szCs w:val="21"/>
        </w:rPr>
        <w:t>人，营业收入为</w:t>
      </w:r>
      <w:r>
        <w:rPr>
          <w:color w:val="000000"/>
          <w:szCs w:val="21"/>
          <w:u w:val="single"/>
        </w:rPr>
        <w:t xml:space="preserve">   </w:t>
      </w:r>
      <w:r>
        <w:rPr>
          <w:rFonts w:hint="eastAsia"/>
          <w:color w:val="000000"/>
          <w:szCs w:val="21"/>
        </w:rPr>
        <w:t>万元，资产总额为</w:t>
      </w:r>
      <w:r>
        <w:rPr>
          <w:color w:val="000000"/>
          <w:szCs w:val="21"/>
          <w:u w:val="single"/>
        </w:rPr>
        <w:t xml:space="preserve">   </w:t>
      </w:r>
      <w:r>
        <w:rPr>
          <w:rFonts w:hint="eastAsia"/>
          <w:color w:val="000000"/>
          <w:szCs w:val="21"/>
        </w:rPr>
        <w:t>万元，属于</w:t>
      </w:r>
      <w:r>
        <w:rPr>
          <w:rFonts w:hint="eastAsia"/>
          <w:color w:val="000000"/>
          <w:szCs w:val="21"/>
          <w:u w:val="single"/>
        </w:rPr>
        <w:t>（中型企业、小</w:t>
      </w:r>
      <w:r>
        <w:rPr>
          <w:color w:val="000000"/>
          <w:szCs w:val="21"/>
          <w:u w:val="single"/>
        </w:rPr>
        <w:t xml:space="preserve"> </w:t>
      </w:r>
      <w:r>
        <w:rPr>
          <w:rFonts w:hint="eastAsia"/>
          <w:color w:val="000000"/>
          <w:szCs w:val="21"/>
          <w:u w:val="single"/>
        </w:rPr>
        <w:t>型企业、微型企业）</w:t>
      </w:r>
      <w:r>
        <w:rPr>
          <w:rFonts w:hint="eastAsia"/>
          <w:color w:val="000000"/>
          <w:szCs w:val="21"/>
        </w:rPr>
        <w:t>；</w:t>
      </w:r>
      <w:r>
        <w:rPr>
          <w:color w:val="000000"/>
          <w:szCs w:val="21"/>
        </w:rPr>
        <w:t xml:space="preserve"> </w:t>
      </w:r>
    </w:p>
    <w:p w14:paraId="2870F337">
      <w:pPr>
        <w:pageBreakBefore w:val="0"/>
        <w:kinsoku/>
        <w:overflowPunct/>
        <w:topLinePunct w:val="0"/>
        <w:bidi w:val="0"/>
        <w:snapToGrid w:val="0"/>
        <w:spacing w:line="360" w:lineRule="auto"/>
        <w:ind w:firstLine="420" w:firstLineChars="200"/>
        <w:jc w:val="left"/>
        <w:rPr>
          <w:color w:val="000000"/>
          <w:szCs w:val="21"/>
        </w:rPr>
      </w:pPr>
      <w:r>
        <w:rPr>
          <w:color w:val="000000"/>
          <w:szCs w:val="21"/>
        </w:rPr>
        <w:t xml:space="preserve">2. </w:t>
      </w:r>
      <w:r>
        <w:rPr>
          <w:rFonts w:hint="eastAsia"/>
          <w:color w:val="000000"/>
          <w:szCs w:val="21"/>
          <w:u w:val="single"/>
        </w:rPr>
        <w:t>（标的名称）</w:t>
      </w:r>
      <w:r>
        <w:rPr>
          <w:color w:val="000000"/>
          <w:szCs w:val="21"/>
        </w:rPr>
        <w:t xml:space="preserve"> </w:t>
      </w:r>
      <w:r>
        <w:rPr>
          <w:rFonts w:hint="eastAsia"/>
          <w:color w:val="000000"/>
          <w:szCs w:val="21"/>
        </w:rPr>
        <w:t>，属于（</w:t>
      </w:r>
      <w:r>
        <w:rPr>
          <w:rFonts w:hint="eastAsia"/>
          <w:color w:val="000000"/>
          <w:szCs w:val="21"/>
          <w:u w:val="single"/>
        </w:rPr>
        <w:t>采购文件中明确的所属行业）</w:t>
      </w:r>
      <w:r>
        <w:rPr>
          <w:color w:val="000000"/>
          <w:szCs w:val="21"/>
          <w:u w:val="single"/>
        </w:rPr>
        <w:t xml:space="preserve"> </w:t>
      </w:r>
      <w:r>
        <w:rPr>
          <w:rFonts w:hint="eastAsia"/>
          <w:color w:val="000000"/>
          <w:szCs w:val="21"/>
        </w:rPr>
        <w:t>行业；承接企业为</w:t>
      </w:r>
      <w:r>
        <w:rPr>
          <w:rFonts w:hint="eastAsia"/>
          <w:color w:val="000000"/>
          <w:szCs w:val="21"/>
          <w:u w:val="single"/>
        </w:rPr>
        <w:t>（企业名称）</w:t>
      </w:r>
      <w:r>
        <w:rPr>
          <w:rFonts w:hint="eastAsia"/>
          <w:color w:val="000000"/>
          <w:szCs w:val="21"/>
        </w:rPr>
        <w:t>，从业人员</w:t>
      </w:r>
      <w:r>
        <w:rPr>
          <w:color w:val="000000"/>
          <w:szCs w:val="21"/>
          <w:u w:val="single"/>
        </w:rPr>
        <w:t xml:space="preserve">   </w:t>
      </w:r>
      <w:r>
        <w:rPr>
          <w:rFonts w:hint="eastAsia"/>
          <w:color w:val="000000"/>
          <w:szCs w:val="21"/>
        </w:rPr>
        <w:t>人，营业收入为</w:t>
      </w:r>
      <w:r>
        <w:rPr>
          <w:color w:val="000000"/>
          <w:szCs w:val="21"/>
          <w:u w:val="single"/>
        </w:rPr>
        <w:t xml:space="preserve">   </w:t>
      </w:r>
      <w:r>
        <w:rPr>
          <w:rFonts w:hint="eastAsia"/>
          <w:color w:val="000000"/>
          <w:szCs w:val="21"/>
        </w:rPr>
        <w:t>万元，资产总额为</w:t>
      </w:r>
      <w:r>
        <w:rPr>
          <w:color w:val="000000"/>
          <w:szCs w:val="21"/>
          <w:u w:val="single"/>
        </w:rPr>
        <w:t xml:space="preserve">   </w:t>
      </w:r>
      <w:r>
        <w:rPr>
          <w:rFonts w:hint="eastAsia"/>
          <w:color w:val="000000"/>
          <w:szCs w:val="21"/>
        </w:rPr>
        <w:t>万元，属于</w:t>
      </w:r>
      <w:r>
        <w:rPr>
          <w:rFonts w:hint="eastAsia"/>
          <w:color w:val="000000"/>
          <w:szCs w:val="21"/>
          <w:u w:val="single"/>
        </w:rPr>
        <w:t>（中型企业、小型企业、微型企业）</w:t>
      </w:r>
      <w:r>
        <w:rPr>
          <w:rFonts w:hint="eastAsia"/>
          <w:color w:val="000000"/>
          <w:szCs w:val="21"/>
        </w:rPr>
        <w:t>；</w:t>
      </w:r>
    </w:p>
    <w:p w14:paraId="7A72CFA8">
      <w:pPr>
        <w:pageBreakBefore w:val="0"/>
        <w:kinsoku/>
        <w:overflowPunct/>
        <w:topLinePunct w:val="0"/>
        <w:bidi w:val="0"/>
        <w:snapToGrid w:val="0"/>
        <w:spacing w:line="360" w:lineRule="auto"/>
        <w:ind w:firstLine="420" w:firstLineChars="200"/>
        <w:jc w:val="left"/>
        <w:rPr>
          <w:color w:val="000000"/>
          <w:szCs w:val="21"/>
        </w:rPr>
      </w:pPr>
      <w:r>
        <w:rPr>
          <w:color w:val="000000"/>
          <w:szCs w:val="21"/>
        </w:rPr>
        <w:t xml:space="preserve"> </w:t>
      </w:r>
      <w:r>
        <w:rPr>
          <w:rFonts w:hint="eastAsia"/>
          <w:color w:val="000000"/>
          <w:szCs w:val="21"/>
        </w:rPr>
        <w:t>……</w:t>
      </w:r>
    </w:p>
    <w:p w14:paraId="47648AC7">
      <w:pPr>
        <w:pageBreakBefore w:val="0"/>
        <w:kinsoku/>
        <w:overflowPunct/>
        <w:topLinePunct w:val="0"/>
        <w:bidi w:val="0"/>
        <w:snapToGrid w:val="0"/>
        <w:spacing w:line="360" w:lineRule="auto"/>
        <w:ind w:firstLine="420" w:firstLineChars="200"/>
        <w:jc w:val="left"/>
        <w:rPr>
          <w:color w:val="000000"/>
          <w:szCs w:val="21"/>
        </w:rPr>
      </w:pPr>
      <w:r>
        <w:rPr>
          <w:rFonts w:hint="eastAsia"/>
          <w:color w:val="000000"/>
          <w:szCs w:val="21"/>
        </w:rPr>
        <w:t>以上企业，不属于大企业的分支机构，不存在控股股东为大企业的情形，也不存在与大企业的负责人为同一人的情形。</w:t>
      </w:r>
      <w:r>
        <w:rPr>
          <w:color w:val="000000"/>
          <w:szCs w:val="21"/>
        </w:rPr>
        <w:t xml:space="preserve"> </w:t>
      </w:r>
    </w:p>
    <w:p w14:paraId="5B17F526">
      <w:pPr>
        <w:pageBreakBefore w:val="0"/>
        <w:kinsoku/>
        <w:overflowPunct/>
        <w:topLinePunct w:val="0"/>
        <w:bidi w:val="0"/>
        <w:snapToGrid w:val="0"/>
        <w:spacing w:line="360" w:lineRule="auto"/>
        <w:ind w:firstLine="420" w:firstLineChars="200"/>
        <w:jc w:val="left"/>
        <w:rPr>
          <w:rFonts w:ascii="宋体"/>
          <w:color w:val="000000"/>
          <w:szCs w:val="21"/>
        </w:rPr>
      </w:pPr>
      <w:r>
        <w:rPr>
          <w:rFonts w:hint="eastAsia"/>
          <w:color w:val="000000"/>
          <w:szCs w:val="21"/>
        </w:rPr>
        <w:t>本企业对上述声明内容的真实性负责。如有虚假，将依法承担相应责任。</w:t>
      </w:r>
    </w:p>
    <w:p w14:paraId="7D2DAD7D">
      <w:pPr>
        <w:pageBreakBefore w:val="0"/>
        <w:kinsoku/>
        <w:overflowPunct/>
        <w:topLinePunct w:val="0"/>
        <w:bidi w:val="0"/>
        <w:snapToGrid w:val="0"/>
        <w:spacing w:beforeLines="50" w:after="50" w:line="360" w:lineRule="auto"/>
        <w:ind w:firstLine="420"/>
        <w:rPr>
          <w:rFonts w:ascii="Times New Roman" w:hAnsi="Times New Roman"/>
          <w:color w:val="000000"/>
          <w:szCs w:val="21"/>
        </w:rPr>
      </w:pPr>
    </w:p>
    <w:p w14:paraId="3A595EE3">
      <w:pPr>
        <w:pageBreakBefore w:val="0"/>
        <w:kinsoku/>
        <w:overflowPunct/>
        <w:topLinePunct w:val="0"/>
        <w:bidi w:val="0"/>
        <w:snapToGrid w:val="0"/>
        <w:spacing w:beforeLines="50" w:after="50" w:line="360" w:lineRule="auto"/>
        <w:ind w:firstLine="3570" w:firstLineChars="1700"/>
        <w:rPr>
          <w:rFonts w:ascii="Times New Roman" w:hAnsi="Times New Roman"/>
          <w:color w:val="000000"/>
          <w:szCs w:val="21"/>
        </w:rPr>
      </w:pPr>
      <w:r>
        <w:rPr>
          <w:rFonts w:hint="eastAsia" w:ascii="Times New Roman" w:hAnsi="Times New Roman"/>
          <w:color w:val="000000"/>
          <w:szCs w:val="21"/>
        </w:rPr>
        <w:t>投标人（加盖公章）：</w:t>
      </w:r>
      <w:r>
        <w:rPr>
          <w:rFonts w:ascii="Times New Roman" w:hAnsi="Times New Roman"/>
          <w:color w:val="000000"/>
          <w:szCs w:val="21"/>
          <w:u w:val="single"/>
        </w:rPr>
        <w:t xml:space="preserve">                        </w:t>
      </w:r>
    </w:p>
    <w:p w14:paraId="2C97F240">
      <w:pPr>
        <w:pageBreakBefore w:val="0"/>
        <w:kinsoku/>
        <w:overflowPunct/>
        <w:topLinePunct w:val="0"/>
        <w:bidi w:val="0"/>
        <w:snapToGrid w:val="0"/>
        <w:spacing w:beforeLines="50" w:after="50" w:line="360" w:lineRule="auto"/>
        <w:ind w:right="210" w:firstLine="420"/>
        <w:jc w:val="right"/>
        <w:rPr>
          <w:rFonts w:ascii="Times New Roman" w:hAnsi="Times New Roman"/>
          <w:color w:val="000000"/>
          <w:szCs w:val="21"/>
        </w:rPr>
      </w:pPr>
      <w:r>
        <w:rPr>
          <w:rFonts w:hint="eastAsia" w:ascii="Times New Roman" w:hAnsi="Times New Roman"/>
          <w:color w:val="000000"/>
          <w:szCs w:val="21"/>
        </w:rPr>
        <w:t>日</w:t>
      </w:r>
      <w:r>
        <w:rPr>
          <w:rFonts w:ascii="Times New Roman" w:hAnsi="Times New Roman"/>
          <w:color w:val="000000"/>
          <w:szCs w:val="21"/>
        </w:rPr>
        <w:t xml:space="preserve">    </w:t>
      </w:r>
      <w:r>
        <w:rPr>
          <w:rFonts w:hint="eastAsia" w:ascii="Times New Roman" w:hAnsi="Times New Roman"/>
          <w:color w:val="000000"/>
          <w:szCs w:val="21"/>
        </w:rPr>
        <w:t>期：</w:t>
      </w:r>
      <w:r>
        <w:rPr>
          <w:rFonts w:ascii="Times New Roman" w:hAnsi="Times New Roman"/>
          <w:color w:val="000000"/>
          <w:szCs w:val="21"/>
          <w:u w:val="single"/>
        </w:rPr>
        <w:t xml:space="preserve">     </w:t>
      </w:r>
      <w:r>
        <w:rPr>
          <w:rFonts w:hint="eastAsia" w:ascii="Times New Roman" w:hAnsi="Times New Roman"/>
          <w:color w:val="000000"/>
          <w:szCs w:val="21"/>
        </w:rPr>
        <w:t>年</w:t>
      </w:r>
      <w:r>
        <w:rPr>
          <w:rFonts w:ascii="Times New Roman" w:hAnsi="Times New Roman"/>
          <w:color w:val="000000"/>
          <w:szCs w:val="21"/>
          <w:u w:val="single"/>
        </w:rPr>
        <w:t xml:space="preserve">    </w:t>
      </w:r>
      <w:r>
        <w:rPr>
          <w:rFonts w:hint="eastAsia" w:ascii="Times New Roman" w:hAnsi="Times New Roman"/>
          <w:color w:val="000000"/>
          <w:szCs w:val="21"/>
        </w:rPr>
        <w:t>月</w:t>
      </w:r>
      <w:r>
        <w:rPr>
          <w:rFonts w:ascii="Times New Roman" w:hAnsi="Times New Roman"/>
          <w:color w:val="000000"/>
          <w:szCs w:val="21"/>
          <w:u w:val="single"/>
        </w:rPr>
        <w:t xml:space="preserve">    </w:t>
      </w:r>
      <w:r>
        <w:rPr>
          <w:rFonts w:hint="eastAsia" w:ascii="Times New Roman" w:hAnsi="Times New Roman"/>
          <w:color w:val="000000"/>
          <w:szCs w:val="21"/>
        </w:rPr>
        <w:t>日</w:t>
      </w:r>
    </w:p>
    <w:p w14:paraId="3A21A484">
      <w:pPr>
        <w:pStyle w:val="23"/>
        <w:pageBreakBefore w:val="0"/>
        <w:kinsoku/>
        <w:overflowPunct/>
        <w:topLinePunct w:val="0"/>
        <w:bidi w:val="0"/>
        <w:spacing w:before="120" w:line="360" w:lineRule="auto"/>
        <w:ind w:firstLine="422"/>
        <w:rPr>
          <w:rFonts w:ascii="Times New Roman" w:hAnsi="Times New Roman"/>
          <w:b/>
          <w:color w:val="000000"/>
          <w:sz w:val="21"/>
          <w:szCs w:val="21"/>
        </w:rPr>
      </w:pPr>
    </w:p>
    <w:p w14:paraId="1F64859A">
      <w:pPr>
        <w:pStyle w:val="23"/>
        <w:pageBreakBefore w:val="0"/>
        <w:kinsoku/>
        <w:overflowPunct/>
        <w:topLinePunct w:val="0"/>
        <w:bidi w:val="0"/>
        <w:spacing w:beforeLines="0" w:line="360" w:lineRule="auto"/>
        <w:ind w:firstLine="420" w:firstLineChars="200"/>
        <w:rPr>
          <w:rFonts w:ascii="Times New Roman" w:hAnsi="Times New Roman"/>
          <w:color w:val="000000"/>
          <w:sz w:val="21"/>
          <w:szCs w:val="21"/>
        </w:rPr>
      </w:pPr>
      <w:r>
        <w:rPr>
          <w:rFonts w:hint="eastAsia" w:ascii="Times New Roman" w:hAnsi="Times New Roman"/>
          <w:color w:val="000000"/>
          <w:sz w:val="21"/>
          <w:szCs w:val="21"/>
        </w:rPr>
        <w:t>注：</w:t>
      </w:r>
      <w:r>
        <w:rPr>
          <w:rFonts w:ascii="Times New Roman" w:hAnsi="Times New Roman"/>
          <w:color w:val="000000"/>
          <w:sz w:val="21"/>
          <w:szCs w:val="21"/>
        </w:rPr>
        <w:t>1</w:t>
      </w:r>
      <w:r>
        <w:rPr>
          <w:rFonts w:hint="eastAsia" w:ascii="Times New Roman" w:hAnsi="Times New Roman"/>
          <w:color w:val="000000"/>
          <w:sz w:val="21"/>
          <w:szCs w:val="21"/>
        </w:rPr>
        <w:t>、从业人员、营业收入、资产总额填报上一年度数据，无上一年度数据的新成立企业可不填报。</w:t>
      </w:r>
    </w:p>
    <w:p w14:paraId="0DAB6CF1">
      <w:pPr>
        <w:pageBreakBefore w:val="0"/>
        <w:widowControl/>
        <w:kinsoku/>
        <w:overflowPunct/>
        <w:topLinePunct w:val="0"/>
        <w:bidi w:val="0"/>
        <w:spacing w:line="360" w:lineRule="auto"/>
        <w:ind w:firstLine="420" w:firstLineChars="200"/>
        <w:jc w:val="left"/>
        <w:textAlignment w:val="top"/>
        <w:rPr>
          <w:color w:val="000000"/>
          <w:szCs w:val="21"/>
        </w:rPr>
      </w:pPr>
      <w:r>
        <w:rPr>
          <w:color w:val="000000"/>
          <w:szCs w:val="21"/>
        </w:rPr>
        <w:t>2</w:t>
      </w:r>
      <w:r>
        <w:rPr>
          <w:rFonts w:hint="eastAsia"/>
          <w:color w:val="000000"/>
          <w:szCs w:val="21"/>
        </w:rPr>
        <w:t>、本项目所属行业见前附表。</w:t>
      </w:r>
    </w:p>
    <w:p w14:paraId="29A048E0">
      <w:pPr>
        <w:pStyle w:val="23"/>
        <w:pageBreakBefore w:val="0"/>
        <w:kinsoku/>
        <w:overflowPunct/>
        <w:topLinePunct w:val="0"/>
        <w:bidi w:val="0"/>
        <w:spacing w:beforeLines="0" w:line="360" w:lineRule="auto"/>
        <w:ind w:firstLine="420"/>
        <w:rPr>
          <w:rFonts w:ascii="Times New Roman" w:hAnsi="Times New Roman"/>
          <w:color w:val="000000"/>
          <w:sz w:val="21"/>
          <w:szCs w:val="21"/>
        </w:rPr>
      </w:pPr>
      <w:r>
        <w:rPr>
          <w:rFonts w:ascii="Times New Roman" w:hAnsi="Times New Roman"/>
          <w:color w:val="000000"/>
          <w:sz w:val="21"/>
          <w:szCs w:val="21"/>
        </w:rPr>
        <w:t>3</w:t>
      </w:r>
      <w:r>
        <w:rPr>
          <w:rFonts w:hint="eastAsia" w:ascii="Times New Roman" w:hAnsi="Times New Roman"/>
          <w:color w:val="000000"/>
          <w:sz w:val="21"/>
          <w:szCs w:val="21"/>
        </w:rPr>
        <w:t>、中小企业划型标准规定按照工信部联企业</w:t>
      </w:r>
      <w:r>
        <w:rPr>
          <w:rFonts w:ascii="Times New Roman" w:hAnsi="Times New Roman"/>
          <w:color w:val="000000"/>
          <w:sz w:val="21"/>
          <w:szCs w:val="21"/>
        </w:rPr>
        <w:t>[2011]300</w:t>
      </w:r>
      <w:r>
        <w:rPr>
          <w:rFonts w:hint="eastAsia" w:ascii="Times New Roman" w:hAnsi="Times New Roman"/>
          <w:color w:val="000000"/>
          <w:sz w:val="21"/>
          <w:szCs w:val="21"/>
        </w:rPr>
        <w:t>号。</w:t>
      </w:r>
    </w:p>
    <w:p w14:paraId="63541CFA">
      <w:pPr>
        <w:pStyle w:val="23"/>
        <w:pageBreakBefore w:val="0"/>
        <w:kinsoku/>
        <w:overflowPunct/>
        <w:topLinePunct w:val="0"/>
        <w:bidi w:val="0"/>
        <w:spacing w:beforeLines="0" w:line="360" w:lineRule="auto"/>
        <w:ind w:firstLine="420"/>
        <w:rPr>
          <w:rFonts w:ascii="Times New Roman" w:hAnsi="Times New Roman"/>
          <w:color w:val="000000"/>
          <w:sz w:val="21"/>
          <w:szCs w:val="21"/>
        </w:rPr>
      </w:pPr>
      <w:r>
        <w:rPr>
          <w:rFonts w:ascii="Times New Roman" w:hAnsi="Times New Roman"/>
          <w:color w:val="000000"/>
          <w:sz w:val="21"/>
          <w:szCs w:val="21"/>
        </w:rPr>
        <w:t>4</w:t>
      </w:r>
      <w:r>
        <w:rPr>
          <w:rFonts w:hint="eastAsia" w:ascii="Times New Roman" w:hAnsi="Times New Roman"/>
          <w:color w:val="000000"/>
          <w:sz w:val="21"/>
          <w:szCs w:val="21"/>
        </w:rPr>
        <w:t>、《中小企业声明函》格式不得擅自调整，格式中划横线的部分需要各供应商按实际情况如实填写，括号中的内容是对拟填写内容的说明。</w:t>
      </w:r>
    </w:p>
    <w:p w14:paraId="30BA633B">
      <w:pPr>
        <w:pStyle w:val="23"/>
        <w:pageBreakBefore w:val="0"/>
        <w:kinsoku/>
        <w:overflowPunct/>
        <w:topLinePunct w:val="0"/>
        <w:bidi w:val="0"/>
        <w:spacing w:beforeLines="0" w:line="360" w:lineRule="auto"/>
        <w:ind w:firstLine="420"/>
        <w:rPr>
          <w:rFonts w:ascii="Times New Roman" w:hAnsi="Times New Roman"/>
          <w:b/>
          <w:color w:val="000000"/>
          <w:sz w:val="21"/>
          <w:szCs w:val="21"/>
        </w:rPr>
      </w:pPr>
      <w:r>
        <w:rPr>
          <w:rFonts w:ascii="Times New Roman" w:hAnsi="Times New Roman"/>
          <w:color w:val="000000"/>
          <w:sz w:val="21"/>
          <w:szCs w:val="21"/>
        </w:rPr>
        <w:t>5</w:t>
      </w:r>
      <w:r>
        <w:rPr>
          <w:rFonts w:hint="eastAsia" w:ascii="Times New Roman" w:hAnsi="Times New Roman"/>
          <w:color w:val="000000"/>
          <w:sz w:val="21"/>
          <w:szCs w:val="21"/>
        </w:rPr>
        <w:t>、中小企业对其声明内容的真实性负责，声明函内容不实的，属于提供虚假材料谋取中标、成交，依照《中华人民共和国政府采购法》等国家有关规定追究相应责任</w:t>
      </w:r>
      <w:r>
        <w:rPr>
          <w:rFonts w:hint="eastAsia" w:ascii="Times New Roman" w:hAnsi="Times New Roman"/>
          <w:b/>
          <w:color w:val="000000"/>
          <w:sz w:val="21"/>
          <w:szCs w:val="21"/>
        </w:rPr>
        <w:t>。</w:t>
      </w:r>
    </w:p>
    <w:p w14:paraId="2B1A1B51">
      <w:pPr>
        <w:pageBreakBefore w:val="0"/>
        <w:widowControl/>
        <w:kinsoku/>
        <w:wordWrap w:val="0"/>
        <w:overflowPunct/>
        <w:topLinePunct w:val="0"/>
        <w:bidi w:val="0"/>
        <w:spacing w:line="360" w:lineRule="auto"/>
        <w:ind w:firstLine="420"/>
        <w:jc w:val="left"/>
        <w:textAlignment w:val="top"/>
        <w:rPr>
          <w:szCs w:val="21"/>
        </w:rPr>
      </w:pPr>
    </w:p>
    <w:p w14:paraId="0ED83D38">
      <w:pPr>
        <w:pageBreakBefore w:val="0"/>
        <w:widowControl/>
        <w:kinsoku/>
        <w:overflowPunct/>
        <w:topLinePunct w:val="0"/>
        <w:bidi w:val="0"/>
        <w:spacing w:line="360" w:lineRule="auto"/>
        <w:ind w:firstLine="422"/>
        <w:jc w:val="center"/>
        <w:textAlignment w:val="top"/>
        <w:rPr>
          <w:rFonts w:cs="微软雅黑"/>
          <w:b/>
          <w:bCs/>
          <w:kern w:val="0"/>
          <w:szCs w:val="21"/>
        </w:rPr>
      </w:pPr>
      <w:r>
        <w:rPr>
          <w:rFonts w:cs="微软雅黑"/>
          <w:b/>
          <w:bCs/>
          <w:kern w:val="0"/>
          <w:szCs w:val="21"/>
        </w:rPr>
        <w:br w:type="page"/>
      </w:r>
    </w:p>
    <w:p w14:paraId="72C8B357">
      <w:pPr>
        <w:pageBreakBefore w:val="0"/>
        <w:widowControl/>
        <w:kinsoku/>
        <w:overflowPunct/>
        <w:topLinePunct w:val="0"/>
        <w:bidi w:val="0"/>
        <w:spacing w:line="360" w:lineRule="auto"/>
        <w:ind w:firstLine="422"/>
        <w:jc w:val="center"/>
        <w:textAlignment w:val="top"/>
        <w:rPr>
          <w:rFonts w:cs="微软雅黑"/>
          <w:szCs w:val="21"/>
        </w:rPr>
      </w:pPr>
      <w:r>
        <w:rPr>
          <w:rFonts w:hint="eastAsia" w:cs="微软雅黑"/>
          <w:b/>
          <w:bCs/>
          <w:kern w:val="0"/>
          <w:szCs w:val="21"/>
        </w:rPr>
        <w:t>残疾人福利性单位声明函</w:t>
      </w:r>
    </w:p>
    <w:p w14:paraId="6F683579">
      <w:pPr>
        <w:pageBreakBefore w:val="0"/>
        <w:widowControl/>
        <w:kinsoku/>
        <w:overflowPunct/>
        <w:topLinePunct w:val="0"/>
        <w:bidi w:val="0"/>
        <w:spacing w:line="360" w:lineRule="auto"/>
        <w:ind w:firstLine="420" w:firstLineChars="200"/>
        <w:jc w:val="left"/>
        <w:textAlignment w:val="top"/>
        <w:rPr>
          <w:rFonts w:cs="微软雅黑"/>
          <w:kern w:val="0"/>
          <w:szCs w:val="21"/>
        </w:rPr>
      </w:pPr>
      <w:r>
        <w:rPr>
          <w:rFonts w:hint="eastAsia" w:cs="微软雅黑"/>
          <w:kern w:val="0"/>
          <w:szCs w:val="21"/>
        </w:rPr>
        <w:t>本单位郑重声明，根据《财政部</w:t>
      </w:r>
      <w:r>
        <w:rPr>
          <w:rFonts w:cs="微软雅黑"/>
          <w:kern w:val="0"/>
          <w:szCs w:val="21"/>
        </w:rPr>
        <w:t xml:space="preserve"> </w:t>
      </w:r>
      <w:r>
        <w:rPr>
          <w:rFonts w:hint="eastAsia" w:cs="微软雅黑"/>
          <w:kern w:val="0"/>
          <w:szCs w:val="21"/>
        </w:rPr>
        <w:t>民政部</w:t>
      </w:r>
      <w:r>
        <w:rPr>
          <w:rFonts w:cs="微软雅黑"/>
          <w:kern w:val="0"/>
          <w:szCs w:val="21"/>
        </w:rPr>
        <w:t xml:space="preserve"> </w:t>
      </w:r>
      <w:r>
        <w:rPr>
          <w:rFonts w:hint="eastAsia" w:cs="微软雅黑"/>
          <w:kern w:val="0"/>
          <w:szCs w:val="21"/>
        </w:rPr>
        <w:t>中国残疾人联合会关于促进残疾人就业政府采购政策的通知》（财库〔</w:t>
      </w:r>
      <w:r>
        <w:rPr>
          <w:rFonts w:cs="微软雅黑"/>
          <w:kern w:val="0"/>
          <w:szCs w:val="21"/>
        </w:rPr>
        <w:t>2017</w:t>
      </w:r>
      <w:r>
        <w:rPr>
          <w:rFonts w:hint="eastAsia" w:cs="微软雅黑"/>
          <w:kern w:val="0"/>
          <w:szCs w:val="21"/>
        </w:rPr>
        <w:t>〕</w:t>
      </w:r>
      <w:r>
        <w:rPr>
          <w:rFonts w:cs="微软雅黑"/>
          <w:kern w:val="0"/>
          <w:szCs w:val="21"/>
        </w:rPr>
        <w:t>141</w:t>
      </w:r>
      <w:r>
        <w:rPr>
          <w:rFonts w:hint="eastAsia" w:cs="微软雅黑"/>
          <w:kern w:val="0"/>
          <w:szCs w:val="21"/>
        </w:rPr>
        <w:t>号）的规定，本单位为符合条件的残疾人福利性单位，且本单位参加</w:t>
      </w:r>
      <w:r>
        <w:rPr>
          <w:rFonts w:cs="微软雅黑"/>
          <w:kern w:val="0"/>
          <w:szCs w:val="21"/>
        </w:rPr>
        <w:t>______</w:t>
      </w:r>
      <w:r>
        <w:rPr>
          <w:rFonts w:hint="eastAsia" w:cs="微软雅黑"/>
          <w:kern w:val="0"/>
          <w:szCs w:val="21"/>
        </w:rPr>
        <w:t>单位的</w:t>
      </w:r>
      <w:r>
        <w:rPr>
          <w:rFonts w:cs="微软雅黑"/>
          <w:kern w:val="0"/>
          <w:szCs w:val="21"/>
        </w:rPr>
        <w:t>______</w:t>
      </w:r>
      <w:r>
        <w:rPr>
          <w:rFonts w:hint="eastAsia" w:cs="微软雅黑"/>
          <w:kern w:val="0"/>
          <w:szCs w:val="21"/>
        </w:rPr>
        <w:t>项目采购活动提供本单位制造的货物（由本单位承担工程</w:t>
      </w:r>
      <w:r>
        <w:rPr>
          <w:rFonts w:cs="微软雅黑"/>
          <w:kern w:val="0"/>
          <w:szCs w:val="21"/>
        </w:rPr>
        <w:t>/</w:t>
      </w:r>
      <w:r>
        <w:rPr>
          <w:rFonts w:hint="eastAsia" w:cs="微软雅黑"/>
          <w:kern w:val="0"/>
          <w:szCs w:val="21"/>
        </w:rPr>
        <w:t>提供服务），或者提供其他残疾人福利性单位制造的货物（不包括使用非残疾人福利性单位注册商标的货物）。</w:t>
      </w:r>
    </w:p>
    <w:p w14:paraId="3B07DEEF">
      <w:pPr>
        <w:pageBreakBefore w:val="0"/>
        <w:widowControl/>
        <w:kinsoku/>
        <w:overflowPunct/>
        <w:topLinePunct w:val="0"/>
        <w:bidi w:val="0"/>
        <w:spacing w:line="360" w:lineRule="auto"/>
        <w:ind w:firstLine="420" w:firstLineChars="200"/>
        <w:jc w:val="left"/>
        <w:textAlignment w:val="top"/>
        <w:rPr>
          <w:rFonts w:cs="微软雅黑"/>
          <w:kern w:val="0"/>
          <w:szCs w:val="21"/>
        </w:rPr>
      </w:pPr>
      <w:r>
        <w:rPr>
          <w:rFonts w:hint="eastAsia" w:cs="微软雅黑"/>
          <w:kern w:val="0"/>
          <w:szCs w:val="21"/>
        </w:rPr>
        <w:t>本单位对上述声明的真实性负责。如有虚假，将依法承担相应责任。</w:t>
      </w:r>
    </w:p>
    <w:p w14:paraId="7768B4D3">
      <w:pPr>
        <w:pageBreakBefore w:val="0"/>
        <w:widowControl/>
        <w:kinsoku/>
        <w:overflowPunct/>
        <w:topLinePunct w:val="0"/>
        <w:bidi w:val="0"/>
        <w:spacing w:line="360" w:lineRule="auto"/>
        <w:ind w:firstLine="420" w:firstLineChars="200"/>
        <w:jc w:val="left"/>
        <w:textAlignment w:val="top"/>
        <w:rPr>
          <w:rFonts w:cs="微软雅黑"/>
          <w:szCs w:val="21"/>
        </w:rPr>
      </w:pPr>
    </w:p>
    <w:p w14:paraId="40EC654F">
      <w:pPr>
        <w:pageBreakBefore w:val="0"/>
        <w:kinsoku/>
        <w:overflowPunct/>
        <w:topLinePunct w:val="0"/>
        <w:bidi w:val="0"/>
        <w:snapToGrid w:val="0"/>
        <w:spacing w:beforeLines="50" w:after="50" w:line="360" w:lineRule="auto"/>
        <w:ind w:firstLine="420"/>
        <w:rPr>
          <w:rFonts w:ascii="Times New Roman" w:hAnsi="Times New Roman"/>
          <w:color w:val="000000"/>
          <w:szCs w:val="21"/>
        </w:rPr>
      </w:pPr>
    </w:p>
    <w:p w14:paraId="260DEAFF">
      <w:pPr>
        <w:pageBreakBefore w:val="0"/>
        <w:kinsoku/>
        <w:overflowPunct/>
        <w:topLinePunct w:val="0"/>
        <w:bidi w:val="0"/>
        <w:snapToGrid w:val="0"/>
        <w:spacing w:beforeLines="50" w:after="50" w:line="360" w:lineRule="auto"/>
        <w:ind w:firstLine="3570" w:firstLineChars="1700"/>
        <w:rPr>
          <w:rFonts w:ascii="Times New Roman" w:hAnsi="Times New Roman"/>
          <w:color w:val="000000"/>
          <w:szCs w:val="21"/>
        </w:rPr>
      </w:pPr>
      <w:r>
        <w:rPr>
          <w:rFonts w:hint="eastAsia" w:ascii="Times New Roman" w:hAnsi="Times New Roman"/>
          <w:color w:val="000000"/>
          <w:szCs w:val="21"/>
        </w:rPr>
        <w:t>投标人（加盖公章）：</w:t>
      </w:r>
      <w:r>
        <w:rPr>
          <w:rFonts w:ascii="Times New Roman" w:hAnsi="Times New Roman"/>
          <w:color w:val="000000"/>
          <w:szCs w:val="21"/>
          <w:u w:val="single"/>
        </w:rPr>
        <w:t xml:space="preserve">                        </w:t>
      </w:r>
    </w:p>
    <w:p w14:paraId="6E6D8103">
      <w:pPr>
        <w:pageBreakBefore w:val="0"/>
        <w:kinsoku/>
        <w:overflowPunct/>
        <w:topLinePunct w:val="0"/>
        <w:bidi w:val="0"/>
        <w:snapToGrid w:val="0"/>
        <w:spacing w:beforeLines="50" w:after="50" w:line="360" w:lineRule="auto"/>
        <w:ind w:right="210" w:firstLine="420"/>
        <w:jc w:val="right"/>
        <w:rPr>
          <w:rFonts w:ascii="Times New Roman" w:hAnsi="Times New Roman"/>
          <w:color w:val="000000"/>
          <w:szCs w:val="21"/>
        </w:rPr>
      </w:pPr>
      <w:r>
        <w:rPr>
          <w:rFonts w:hint="eastAsia" w:ascii="Times New Roman" w:hAnsi="Times New Roman"/>
          <w:color w:val="000000"/>
          <w:szCs w:val="21"/>
        </w:rPr>
        <w:t>日</w:t>
      </w:r>
      <w:r>
        <w:rPr>
          <w:rFonts w:ascii="Times New Roman" w:hAnsi="Times New Roman"/>
          <w:color w:val="000000"/>
          <w:szCs w:val="21"/>
        </w:rPr>
        <w:t xml:space="preserve">    </w:t>
      </w:r>
      <w:r>
        <w:rPr>
          <w:rFonts w:hint="eastAsia" w:ascii="Times New Roman" w:hAnsi="Times New Roman"/>
          <w:color w:val="000000"/>
          <w:szCs w:val="21"/>
        </w:rPr>
        <w:t>期：</w:t>
      </w:r>
      <w:r>
        <w:rPr>
          <w:rFonts w:ascii="Times New Roman" w:hAnsi="Times New Roman"/>
          <w:color w:val="000000"/>
          <w:szCs w:val="21"/>
          <w:u w:val="single"/>
        </w:rPr>
        <w:t xml:space="preserve">     </w:t>
      </w:r>
      <w:r>
        <w:rPr>
          <w:rFonts w:hint="eastAsia" w:ascii="Times New Roman" w:hAnsi="Times New Roman"/>
          <w:color w:val="000000"/>
          <w:szCs w:val="21"/>
        </w:rPr>
        <w:t>年</w:t>
      </w:r>
      <w:r>
        <w:rPr>
          <w:rFonts w:ascii="Times New Roman" w:hAnsi="Times New Roman"/>
          <w:color w:val="000000"/>
          <w:szCs w:val="21"/>
          <w:u w:val="single"/>
        </w:rPr>
        <w:t xml:space="preserve">    </w:t>
      </w:r>
      <w:r>
        <w:rPr>
          <w:rFonts w:hint="eastAsia" w:ascii="Times New Roman" w:hAnsi="Times New Roman"/>
          <w:color w:val="000000"/>
          <w:szCs w:val="21"/>
        </w:rPr>
        <w:t>月</w:t>
      </w:r>
      <w:r>
        <w:rPr>
          <w:rFonts w:ascii="Times New Roman" w:hAnsi="Times New Roman"/>
          <w:color w:val="000000"/>
          <w:szCs w:val="21"/>
          <w:u w:val="single"/>
        </w:rPr>
        <w:t xml:space="preserve">    </w:t>
      </w:r>
      <w:r>
        <w:rPr>
          <w:rFonts w:hint="eastAsia" w:ascii="Times New Roman" w:hAnsi="Times New Roman"/>
          <w:color w:val="000000"/>
          <w:szCs w:val="21"/>
        </w:rPr>
        <w:t>日</w:t>
      </w:r>
    </w:p>
    <w:p w14:paraId="70C68C77">
      <w:pPr>
        <w:pStyle w:val="23"/>
        <w:pageBreakBefore w:val="0"/>
        <w:kinsoku/>
        <w:overflowPunct/>
        <w:topLinePunct w:val="0"/>
        <w:bidi w:val="0"/>
        <w:snapToGrid w:val="0"/>
        <w:spacing w:before="120" w:line="360" w:lineRule="auto"/>
        <w:ind w:firstLine="480"/>
        <w:rPr>
          <w:szCs w:val="21"/>
        </w:rPr>
      </w:pPr>
    </w:p>
    <w:p w14:paraId="63DA72A2">
      <w:pPr>
        <w:pStyle w:val="23"/>
        <w:pageBreakBefore w:val="0"/>
        <w:kinsoku/>
        <w:overflowPunct/>
        <w:topLinePunct w:val="0"/>
        <w:bidi w:val="0"/>
        <w:snapToGrid w:val="0"/>
        <w:spacing w:before="120" w:line="360" w:lineRule="auto"/>
        <w:ind w:firstLine="480"/>
        <w:rPr>
          <w:szCs w:val="21"/>
        </w:rPr>
      </w:pPr>
    </w:p>
    <w:p w14:paraId="47C13373">
      <w:pPr>
        <w:pStyle w:val="23"/>
        <w:pageBreakBefore w:val="0"/>
        <w:kinsoku/>
        <w:overflowPunct/>
        <w:topLinePunct w:val="0"/>
        <w:bidi w:val="0"/>
        <w:snapToGrid w:val="0"/>
        <w:spacing w:before="120" w:line="360" w:lineRule="auto"/>
        <w:ind w:firstLine="480"/>
        <w:rPr>
          <w:szCs w:val="21"/>
        </w:rPr>
      </w:pPr>
    </w:p>
    <w:p w14:paraId="519F29FF">
      <w:pPr>
        <w:pStyle w:val="23"/>
        <w:pageBreakBefore w:val="0"/>
        <w:kinsoku/>
        <w:overflowPunct/>
        <w:topLinePunct w:val="0"/>
        <w:bidi w:val="0"/>
        <w:snapToGrid w:val="0"/>
        <w:spacing w:before="120" w:line="360" w:lineRule="auto"/>
        <w:ind w:firstLine="480"/>
        <w:rPr>
          <w:szCs w:val="21"/>
        </w:rPr>
      </w:pPr>
    </w:p>
    <w:p w14:paraId="35C724D3">
      <w:pPr>
        <w:pStyle w:val="23"/>
        <w:pageBreakBefore w:val="0"/>
        <w:kinsoku/>
        <w:overflowPunct/>
        <w:topLinePunct w:val="0"/>
        <w:bidi w:val="0"/>
        <w:snapToGrid w:val="0"/>
        <w:spacing w:before="120" w:line="360" w:lineRule="auto"/>
        <w:ind w:firstLine="480"/>
        <w:rPr>
          <w:szCs w:val="21"/>
        </w:rPr>
      </w:pPr>
    </w:p>
    <w:p w14:paraId="27DA1D53">
      <w:pPr>
        <w:pStyle w:val="23"/>
        <w:pageBreakBefore w:val="0"/>
        <w:kinsoku/>
        <w:overflowPunct/>
        <w:topLinePunct w:val="0"/>
        <w:bidi w:val="0"/>
        <w:snapToGrid w:val="0"/>
        <w:spacing w:before="120" w:line="360" w:lineRule="auto"/>
        <w:ind w:firstLine="480"/>
        <w:rPr>
          <w:szCs w:val="21"/>
        </w:rPr>
      </w:pPr>
    </w:p>
    <w:p w14:paraId="655CD85B">
      <w:pPr>
        <w:pStyle w:val="23"/>
        <w:pageBreakBefore w:val="0"/>
        <w:kinsoku/>
        <w:overflowPunct/>
        <w:topLinePunct w:val="0"/>
        <w:bidi w:val="0"/>
        <w:snapToGrid w:val="0"/>
        <w:spacing w:before="120" w:line="360" w:lineRule="auto"/>
        <w:ind w:firstLine="480"/>
        <w:rPr>
          <w:szCs w:val="21"/>
        </w:rPr>
      </w:pPr>
    </w:p>
    <w:p w14:paraId="44912E58">
      <w:pPr>
        <w:pStyle w:val="23"/>
        <w:pageBreakBefore w:val="0"/>
        <w:kinsoku/>
        <w:overflowPunct/>
        <w:topLinePunct w:val="0"/>
        <w:bidi w:val="0"/>
        <w:snapToGrid w:val="0"/>
        <w:spacing w:before="120" w:line="360" w:lineRule="auto"/>
        <w:ind w:firstLine="480"/>
        <w:rPr>
          <w:szCs w:val="21"/>
        </w:rPr>
      </w:pPr>
    </w:p>
    <w:p w14:paraId="699FED72">
      <w:pPr>
        <w:pStyle w:val="23"/>
        <w:pageBreakBefore w:val="0"/>
        <w:kinsoku/>
        <w:overflowPunct/>
        <w:topLinePunct w:val="0"/>
        <w:bidi w:val="0"/>
        <w:snapToGrid w:val="0"/>
        <w:spacing w:before="120" w:line="360" w:lineRule="auto"/>
        <w:ind w:firstLine="480"/>
        <w:rPr>
          <w:szCs w:val="21"/>
        </w:rPr>
      </w:pPr>
    </w:p>
    <w:p w14:paraId="0494F4A0">
      <w:pPr>
        <w:pStyle w:val="23"/>
        <w:pageBreakBefore w:val="0"/>
        <w:kinsoku/>
        <w:overflowPunct/>
        <w:topLinePunct w:val="0"/>
        <w:bidi w:val="0"/>
        <w:snapToGrid w:val="0"/>
        <w:spacing w:before="120" w:line="360" w:lineRule="auto"/>
        <w:ind w:firstLine="480"/>
        <w:rPr>
          <w:szCs w:val="21"/>
        </w:rPr>
      </w:pPr>
    </w:p>
    <w:p w14:paraId="5A74CDB1">
      <w:pPr>
        <w:pStyle w:val="23"/>
        <w:pageBreakBefore w:val="0"/>
        <w:kinsoku/>
        <w:overflowPunct/>
        <w:topLinePunct w:val="0"/>
        <w:bidi w:val="0"/>
        <w:snapToGrid w:val="0"/>
        <w:spacing w:before="120" w:line="360" w:lineRule="auto"/>
        <w:ind w:firstLine="480"/>
        <w:rPr>
          <w:szCs w:val="21"/>
        </w:rPr>
      </w:pPr>
    </w:p>
    <w:p w14:paraId="7743E8C4">
      <w:pPr>
        <w:pStyle w:val="23"/>
        <w:pageBreakBefore w:val="0"/>
        <w:kinsoku/>
        <w:overflowPunct/>
        <w:topLinePunct w:val="0"/>
        <w:bidi w:val="0"/>
        <w:snapToGrid w:val="0"/>
        <w:spacing w:before="120" w:line="360" w:lineRule="auto"/>
        <w:ind w:firstLine="480"/>
        <w:rPr>
          <w:szCs w:val="21"/>
        </w:rPr>
      </w:pPr>
    </w:p>
    <w:p w14:paraId="754E287E">
      <w:pPr>
        <w:pStyle w:val="23"/>
        <w:pageBreakBefore w:val="0"/>
        <w:kinsoku/>
        <w:overflowPunct/>
        <w:topLinePunct w:val="0"/>
        <w:bidi w:val="0"/>
        <w:snapToGrid w:val="0"/>
        <w:spacing w:before="120" w:line="360" w:lineRule="auto"/>
        <w:ind w:firstLine="480"/>
        <w:rPr>
          <w:szCs w:val="21"/>
        </w:rPr>
      </w:pPr>
    </w:p>
    <w:p w14:paraId="72FD4F77">
      <w:pPr>
        <w:pStyle w:val="23"/>
        <w:pageBreakBefore w:val="0"/>
        <w:kinsoku/>
        <w:overflowPunct/>
        <w:topLinePunct w:val="0"/>
        <w:bidi w:val="0"/>
        <w:snapToGrid w:val="0"/>
        <w:spacing w:before="120" w:line="360" w:lineRule="auto"/>
        <w:ind w:firstLine="480"/>
        <w:rPr>
          <w:szCs w:val="21"/>
        </w:rPr>
      </w:pPr>
    </w:p>
    <w:p w14:paraId="56F16AD0">
      <w:pPr>
        <w:pStyle w:val="23"/>
        <w:pageBreakBefore w:val="0"/>
        <w:kinsoku/>
        <w:overflowPunct/>
        <w:topLinePunct w:val="0"/>
        <w:bidi w:val="0"/>
        <w:snapToGrid w:val="0"/>
        <w:spacing w:before="120" w:line="360" w:lineRule="auto"/>
        <w:ind w:firstLine="480"/>
        <w:rPr>
          <w:szCs w:val="21"/>
        </w:rPr>
      </w:pPr>
    </w:p>
    <w:p w14:paraId="21EABE4F">
      <w:pPr>
        <w:pStyle w:val="23"/>
        <w:pageBreakBefore w:val="0"/>
        <w:kinsoku/>
        <w:overflowPunct/>
        <w:topLinePunct w:val="0"/>
        <w:bidi w:val="0"/>
        <w:snapToGrid w:val="0"/>
        <w:spacing w:before="120" w:line="360" w:lineRule="auto"/>
        <w:ind w:firstLine="480"/>
        <w:rPr>
          <w:szCs w:val="21"/>
        </w:rPr>
      </w:pPr>
    </w:p>
    <w:p w14:paraId="0E0DF8A2">
      <w:pPr>
        <w:pageBreakBefore w:val="0"/>
        <w:kinsoku/>
        <w:overflowPunct/>
        <w:topLinePunct w:val="0"/>
        <w:bidi w:val="0"/>
        <w:snapToGrid w:val="0"/>
        <w:spacing w:line="360" w:lineRule="auto"/>
        <w:ind w:firstLine="422"/>
        <w:rPr>
          <w:b/>
        </w:rPr>
      </w:pPr>
      <w:r>
        <w:rPr>
          <w:rFonts w:hint="eastAsia" w:ascii="Times New Roman" w:hAnsi="Times New Roman"/>
          <w:b/>
          <w:color w:val="000000"/>
          <w:szCs w:val="21"/>
        </w:rPr>
        <w:t>9、业绩一览表</w:t>
      </w:r>
    </w:p>
    <w:p w14:paraId="5BF39FB9">
      <w:pPr>
        <w:pStyle w:val="303"/>
        <w:pageBreakBefore w:val="0"/>
        <w:kinsoku/>
        <w:overflowPunct/>
        <w:topLinePunct w:val="0"/>
        <w:bidi w:val="0"/>
        <w:spacing w:line="360" w:lineRule="auto"/>
        <w:ind w:firstLine="422"/>
        <w:jc w:val="center"/>
        <w:rPr>
          <w:rFonts w:ascii="Times New Roman" w:hAnsi="Times New Roman" w:eastAsia="宋体"/>
          <w:b/>
          <w:color w:val="000000"/>
          <w:sz w:val="21"/>
          <w:szCs w:val="21"/>
        </w:rPr>
      </w:pPr>
      <w:r>
        <w:rPr>
          <w:rFonts w:hint="eastAsia" w:ascii="Times New Roman" w:hAnsi="Times New Roman" w:eastAsia="宋体"/>
          <w:b/>
          <w:color w:val="000000"/>
          <w:sz w:val="21"/>
          <w:szCs w:val="21"/>
        </w:rPr>
        <w:t>业绩一览表</w:t>
      </w:r>
    </w:p>
    <w:tbl>
      <w:tblPr>
        <w:tblStyle w:val="5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
        <w:gridCol w:w="1911"/>
        <w:gridCol w:w="1503"/>
        <w:gridCol w:w="1099"/>
        <w:gridCol w:w="1162"/>
        <w:gridCol w:w="1765"/>
      </w:tblGrid>
      <w:tr w14:paraId="36198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1" w:type="dxa"/>
            <w:tcBorders>
              <w:top w:val="single" w:color="auto" w:sz="4" w:space="0"/>
              <w:left w:val="single" w:color="auto" w:sz="4" w:space="0"/>
              <w:bottom w:val="single" w:color="auto" w:sz="4" w:space="0"/>
              <w:right w:val="single" w:color="auto" w:sz="4" w:space="0"/>
            </w:tcBorders>
            <w:vAlign w:val="center"/>
          </w:tcPr>
          <w:p w14:paraId="319FE8DD">
            <w:pPr>
              <w:pageBreakBefore w:val="0"/>
              <w:kinsoku/>
              <w:overflowPunct/>
              <w:topLinePunct w:val="0"/>
              <w:bidi w:val="0"/>
              <w:spacing w:line="360" w:lineRule="auto"/>
              <w:jc w:val="center"/>
              <w:rPr>
                <w:rFonts w:ascii="Times New Roman" w:hAnsi="Times New Roman"/>
                <w:color w:val="000000"/>
                <w:szCs w:val="21"/>
              </w:rPr>
            </w:pPr>
            <w:r>
              <w:rPr>
                <w:rFonts w:hint="eastAsia" w:ascii="Times New Roman" w:hAnsi="Times New Roman"/>
                <w:color w:val="000000"/>
                <w:szCs w:val="21"/>
              </w:rPr>
              <w:t>序号</w:t>
            </w:r>
          </w:p>
        </w:tc>
        <w:tc>
          <w:tcPr>
            <w:tcW w:w="1911" w:type="dxa"/>
            <w:tcBorders>
              <w:top w:val="single" w:color="auto" w:sz="4" w:space="0"/>
              <w:left w:val="single" w:color="auto" w:sz="4" w:space="0"/>
              <w:bottom w:val="single" w:color="auto" w:sz="4" w:space="0"/>
              <w:right w:val="single" w:color="auto" w:sz="4" w:space="0"/>
            </w:tcBorders>
            <w:vAlign w:val="center"/>
          </w:tcPr>
          <w:p w14:paraId="6E204075">
            <w:pPr>
              <w:pageBreakBefore w:val="0"/>
              <w:kinsoku/>
              <w:overflowPunct/>
              <w:topLinePunct w:val="0"/>
              <w:bidi w:val="0"/>
              <w:spacing w:line="360" w:lineRule="auto"/>
              <w:jc w:val="center"/>
              <w:rPr>
                <w:rFonts w:ascii="Times New Roman" w:hAnsi="Times New Roman"/>
                <w:color w:val="000000"/>
                <w:szCs w:val="21"/>
              </w:rPr>
            </w:pPr>
            <w:r>
              <w:rPr>
                <w:rFonts w:hint="eastAsia" w:ascii="Times New Roman" w:hAnsi="Times New Roman"/>
                <w:color w:val="000000"/>
                <w:szCs w:val="21"/>
              </w:rPr>
              <w:t>采购人名称</w:t>
            </w:r>
          </w:p>
        </w:tc>
        <w:tc>
          <w:tcPr>
            <w:tcW w:w="1503" w:type="dxa"/>
            <w:tcBorders>
              <w:top w:val="single" w:color="auto" w:sz="4" w:space="0"/>
              <w:left w:val="single" w:color="auto" w:sz="4" w:space="0"/>
              <w:bottom w:val="single" w:color="auto" w:sz="4" w:space="0"/>
              <w:right w:val="single" w:color="auto" w:sz="4" w:space="0"/>
            </w:tcBorders>
            <w:vAlign w:val="center"/>
          </w:tcPr>
          <w:p w14:paraId="6D32F0D8">
            <w:pPr>
              <w:pageBreakBefore w:val="0"/>
              <w:tabs>
                <w:tab w:val="left" w:pos="6252"/>
              </w:tabs>
              <w:kinsoku/>
              <w:overflowPunct/>
              <w:topLinePunct w:val="0"/>
              <w:bidi w:val="0"/>
              <w:spacing w:line="360" w:lineRule="auto"/>
              <w:jc w:val="center"/>
              <w:rPr>
                <w:rFonts w:ascii="Times New Roman" w:hAnsi="Times New Roman"/>
                <w:color w:val="000000"/>
                <w:szCs w:val="21"/>
              </w:rPr>
            </w:pPr>
            <w:r>
              <w:rPr>
                <w:rFonts w:hint="eastAsia" w:ascii="Times New Roman" w:hAnsi="Times New Roman"/>
                <w:color w:val="000000"/>
                <w:szCs w:val="21"/>
              </w:rPr>
              <w:t>合同签订时间</w:t>
            </w:r>
          </w:p>
        </w:tc>
        <w:tc>
          <w:tcPr>
            <w:tcW w:w="1099" w:type="dxa"/>
            <w:tcBorders>
              <w:top w:val="single" w:color="auto" w:sz="4" w:space="0"/>
              <w:left w:val="single" w:color="auto" w:sz="4" w:space="0"/>
              <w:bottom w:val="single" w:color="auto" w:sz="4" w:space="0"/>
              <w:right w:val="single" w:color="auto" w:sz="4" w:space="0"/>
            </w:tcBorders>
            <w:vAlign w:val="center"/>
          </w:tcPr>
          <w:p w14:paraId="314067FD">
            <w:pPr>
              <w:pageBreakBefore w:val="0"/>
              <w:tabs>
                <w:tab w:val="left" w:pos="6252"/>
              </w:tabs>
              <w:kinsoku/>
              <w:overflowPunct/>
              <w:topLinePunct w:val="0"/>
              <w:bidi w:val="0"/>
              <w:spacing w:line="360" w:lineRule="auto"/>
              <w:jc w:val="center"/>
              <w:rPr>
                <w:rFonts w:ascii="Times New Roman" w:hAnsi="Times New Roman"/>
                <w:color w:val="000000"/>
                <w:szCs w:val="21"/>
              </w:rPr>
            </w:pPr>
            <w:r>
              <w:rPr>
                <w:rFonts w:hint="eastAsia" w:ascii="Times New Roman" w:hAnsi="Times New Roman"/>
                <w:color w:val="000000"/>
                <w:szCs w:val="21"/>
              </w:rPr>
              <w:t>项目名称</w:t>
            </w:r>
          </w:p>
        </w:tc>
        <w:tc>
          <w:tcPr>
            <w:tcW w:w="1162" w:type="dxa"/>
            <w:tcBorders>
              <w:top w:val="single" w:color="auto" w:sz="4" w:space="0"/>
              <w:left w:val="single" w:color="auto" w:sz="4" w:space="0"/>
              <w:bottom w:val="single" w:color="auto" w:sz="4" w:space="0"/>
              <w:right w:val="single" w:color="auto" w:sz="4" w:space="0"/>
            </w:tcBorders>
            <w:vAlign w:val="center"/>
          </w:tcPr>
          <w:p w14:paraId="591FDA4E">
            <w:pPr>
              <w:pageBreakBefore w:val="0"/>
              <w:tabs>
                <w:tab w:val="left" w:pos="6252"/>
              </w:tabs>
              <w:kinsoku/>
              <w:overflowPunct/>
              <w:topLinePunct w:val="0"/>
              <w:bidi w:val="0"/>
              <w:spacing w:line="360" w:lineRule="auto"/>
              <w:jc w:val="center"/>
              <w:rPr>
                <w:rFonts w:ascii="Times New Roman" w:hAnsi="Times New Roman"/>
                <w:color w:val="000000"/>
                <w:szCs w:val="21"/>
              </w:rPr>
            </w:pPr>
            <w:r>
              <w:rPr>
                <w:rFonts w:hint="eastAsia" w:ascii="Times New Roman" w:hAnsi="Times New Roman"/>
                <w:color w:val="000000"/>
                <w:szCs w:val="21"/>
              </w:rPr>
              <w:t>合同金额</w:t>
            </w:r>
          </w:p>
          <w:p w14:paraId="1A3C3AEB">
            <w:pPr>
              <w:pageBreakBefore w:val="0"/>
              <w:tabs>
                <w:tab w:val="left" w:pos="6252"/>
              </w:tabs>
              <w:kinsoku/>
              <w:overflowPunct/>
              <w:topLinePunct w:val="0"/>
              <w:bidi w:val="0"/>
              <w:spacing w:line="360" w:lineRule="auto"/>
              <w:jc w:val="center"/>
              <w:rPr>
                <w:rFonts w:ascii="Times New Roman" w:hAnsi="Times New Roman"/>
                <w:color w:val="000000"/>
                <w:szCs w:val="21"/>
              </w:rPr>
            </w:pPr>
            <w:r>
              <w:rPr>
                <w:rFonts w:hint="eastAsia" w:ascii="Times New Roman" w:hAnsi="Times New Roman"/>
                <w:color w:val="000000"/>
                <w:szCs w:val="21"/>
              </w:rPr>
              <w:t>（万元）</w:t>
            </w:r>
          </w:p>
        </w:tc>
        <w:tc>
          <w:tcPr>
            <w:tcW w:w="1765" w:type="dxa"/>
            <w:tcBorders>
              <w:top w:val="single" w:color="auto" w:sz="4" w:space="0"/>
              <w:left w:val="single" w:color="auto" w:sz="4" w:space="0"/>
              <w:bottom w:val="single" w:color="auto" w:sz="4" w:space="0"/>
              <w:right w:val="single" w:color="auto" w:sz="4" w:space="0"/>
            </w:tcBorders>
            <w:vAlign w:val="center"/>
          </w:tcPr>
          <w:p w14:paraId="22412260">
            <w:pPr>
              <w:pageBreakBefore w:val="0"/>
              <w:tabs>
                <w:tab w:val="left" w:pos="6252"/>
              </w:tabs>
              <w:kinsoku/>
              <w:overflowPunct/>
              <w:topLinePunct w:val="0"/>
              <w:bidi w:val="0"/>
              <w:spacing w:line="360" w:lineRule="auto"/>
              <w:jc w:val="center"/>
              <w:rPr>
                <w:rFonts w:ascii="Times New Roman" w:hAnsi="Times New Roman"/>
                <w:color w:val="000000"/>
                <w:szCs w:val="21"/>
              </w:rPr>
            </w:pPr>
            <w:r>
              <w:rPr>
                <w:rFonts w:hint="eastAsia" w:ascii="Times New Roman" w:hAnsi="Times New Roman"/>
                <w:color w:val="000000"/>
                <w:szCs w:val="21"/>
              </w:rPr>
              <w:t>采购人联系人及电话</w:t>
            </w:r>
          </w:p>
        </w:tc>
      </w:tr>
      <w:tr w14:paraId="11E61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831" w:type="dxa"/>
            <w:tcBorders>
              <w:top w:val="single" w:color="auto" w:sz="4" w:space="0"/>
              <w:left w:val="single" w:color="auto" w:sz="4" w:space="0"/>
              <w:bottom w:val="single" w:color="auto" w:sz="4" w:space="0"/>
              <w:right w:val="single" w:color="auto" w:sz="4" w:space="0"/>
            </w:tcBorders>
            <w:vAlign w:val="center"/>
          </w:tcPr>
          <w:p w14:paraId="59FB5818">
            <w:pPr>
              <w:pageBreakBefore w:val="0"/>
              <w:kinsoku/>
              <w:overflowPunct/>
              <w:topLinePunct w:val="0"/>
              <w:bidi w:val="0"/>
              <w:spacing w:line="360" w:lineRule="auto"/>
              <w:jc w:val="center"/>
              <w:rPr>
                <w:rFonts w:ascii="Times New Roman" w:hAnsi="Times New Roman"/>
                <w:color w:val="000000"/>
                <w:szCs w:val="21"/>
              </w:rPr>
            </w:pPr>
            <w:r>
              <w:rPr>
                <w:rFonts w:ascii="Times New Roman" w:hAnsi="Times New Roman"/>
                <w:color w:val="000000"/>
                <w:szCs w:val="21"/>
              </w:rPr>
              <w:t>1</w:t>
            </w:r>
          </w:p>
        </w:tc>
        <w:tc>
          <w:tcPr>
            <w:tcW w:w="1911" w:type="dxa"/>
            <w:tcBorders>
              <w:top w:val="single" w:color="auto" w:sz="4" w:space="0"/>
              <w:left w:val="single" w:color="auto" w:sz="4" w:space="0"/>
              <w:bottom w:val="single" w:color="auto" w:sz="4" w:space="0"/>
              <w:right w:val="single" w:color="auto" w:sz="4" w:space="0"/>
            </w:tcBorders>
            <w:vAlign w:val="center"/>
          </w:tcPr>
          <w:p w14:paraId="4EA3B410">
            <w:pPr>
              <w:pageBreakBefore w:val="0"/>
              <w:kinsoku/>
              <w:overflowPunct/>
              <w:topLinePunct w:val="0"/>
              <w:bidi w:val="0"/>
              <w:spacing w:line="360" w:lineRule="auto"/>
              <w:jc w:val="center"/>
              <w:rPr>
                <w:rFonts w:ascii="Times New Roman" w:hAnsi="Times New Roman"/>
                <w:color w:val="000000"/>
                <w:szCs w:val="21"/>
              </w:rPr>
            </w:pPr>
          </w:p>
        </w:tc>
        <w:tc>
          <w:tcPr>
            <w:tcW w:w="1503" w:type="dxa"/>
            <w:tcBorders>
              <w:top w:val="single" w:color="auto" w:sz="4" w:space="0"/>
              <w:left w:val="single" w:color="auto" w:sz="4" w:space="0"/>
              <w:bottom w:val="single" w:color="auto" w:sz="4" w:space="0"/>
              <w:right w:val="single" w:color="auto" w:sz="4" w:space="0"/>
            </w:tcBorders>
            <w:vAlign w:val="center"/>
          </w:tcPr>
          <w:p w14:paraId="2F079F70">
            <w:pPr>
              <w:pageBreakBefore w:val="0"/>
              <w:kinsoku/>
              <w:overflowPunct/>
              <w:topLinePunct w:val="0"/>
              <w:bidi w:val="0"/>
              <w:spacing w:line="360" w:lineRule="auto"/>
              <w:jc w:val="center"/>
              <w:rPr>
                <w:rFonts w:ascii="Times New Roman" w:hAnsi="Times New Roman"/>
                <w:color w:val="000000"/>
                <w:szCs w:val="21"/>
              </w:rPr>
            </w:pPr>
          </w:p>
        </w:tc>
        <w:tc>
          <w:tcPr>
            <w:tcW w:w="1099" w:type="dxa"/>
            <w:tcBorders>
              <w:top w:val="single" w:color="auto" w:sz="4" w:space="0"/>
              <w:left w:val="single" w:color="auto" w:sz="4" w:space="0"/>
              <w:bottom w:val="single" w:color="auto" w:sz="4" w:space="0"/>
              <w:right w:val="single" w:color="auto" w:sz="4" w:space="0"/>
            </w:tcBorders>
            <w:vAlign w:val="center"/>
          </w:tcPr>
          <w:p w14:paraId="1A493CD3">
            <w:pPr>
              <w:pageBreakBefore w:val="0"/>
              <w:kinsoku/>
              <w:overflowPunct/>
              <w:topLinePunct w:val="0"/>
              <w:bidi w:val="0"/>
              <w:spacing w:line="360" w:lineRule="auto"/>
              <w:jc w:val="center"/>
              <w:rPr>
                <w:rFonts w:ascii="Times New Roman" w:hAnsi="Times New Roman"/>
                <w:color w:val="000000"/>
                <w:szCs w:val="21"/>
              </w:rPr>
            </w:pPr>
          </w:p>
        </w:tc>
        <w:tc>
          <w:tcPr>
            <w:tcW w:w="1162" w:type="dxa"/>
            <w:tcBorders>
              <w:top w:val="single" w:color="auto" w:sz="4" w:space="0"/>
              <w:left w:val="single" w:color="auto" w:sz="4" w:space="0"/>
              <w:bottom w:val="single" w:color="auto" w:sz="4" w:space="0"/>
              <w:right w:val="single" w:color="auto" w:sz="4" w:space="0"/>
            </w:tcBorders>
            <w:vAlign w:val="center"/>
          </w:tcPr>
          <w:p w14:paraId="4FA3B530">
            <w:pPr>
              <w:pageBreakBefore w:val="0"/>
              <w:kinsoku/>
              <w:overflowPunct/>
              <w:topLinePunct w:val="0"/>
              <w:bidi w:val="0"/>
              <w:spacing w:line="360" w:lineRule="auto"/>
              <w:jc w:val="center"/>
              <w:rPr>
                <w:rFonts w:ascii="Times New Roman" w:hAnsi="Times New Roman"/>
                <w:color w:val="000000"/>
                <w:szCs w:val="21"/>
              </w:rPr>
            </w:pPr>
          </w:p>
        </w:tc>
        <w:tc>
          <w:tcPr>
            <w:tcW w:w="1765" w:type="dxa"/>
            <w:tcBorders>
              <w:top w:val="single" w:color="auto" w:sz="4" w:space="0"/>
              <w:left w:val="single" w:color="auto" w:sz="4" w:space="0"/>
              <w:bottom w:val="single" w:color="auto" w:sz="4" w:space="0"/>
              <w:right w:val="single" w:color="auto" w:sz="4" w:space="0"/>
            </w:tcBorders>
            <w:vAlign w:val="center"/>
          </w:tcPr>
          <w:p w14:paraId="39FAAACE">
            <w:pPr>
              <w:pageBreakBefore w:val="0"/>
              <w:kinsoku/>
              <w:overflowPunct/>
              <w:topLinePunct w:val="0"/>
              <w:bidi w:val="0"/>
              <w:spacing w:line="360" w:lineRule="auto"/>
              <w:jc w:val="center"/>
              <w:rPr>
                <w:rFonts w:ascii="Times New Roman" w:hAnsi="Times New Roman"/>
                <w:color w:val="000000"/>
                <w:szCs w:val="21"/>
              </w:rPr>
            </w:pPr>
          </w:p>
        </w:tc>
      </w:tr>
      <w:tr w14:paraId="59FDA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31" w:type="dxa"/>
            <w:tcBorders>
              <w:top w:val="single" w:color="auto" w:sz="4" w:space="0"/>
              <w:left w:val="single" w:color="auto" w:sz="4" w:space="0"/>
              <w:bottom w:val="single" w:color="auto" w:sz="4" w:space="0"/>
              <w:right w:val="single" w:color="auto" w:sz="4" w:space="0"/>
            </w:tcBorders>
            <w:vAlign w:val="center"/>
          </w:tcPr>
          <w:p w14:paraId="61AA6200">
            <w:pPr>
              <w:pageBreakBefore w:val="0"/>
              <w:kinsoku/>
              <w:overflowPunct/>
              <w:topLinePunct w:val="0"/>
              <w:bidi w:val="0"/>
              <w:spacing w:line="360" w:lineRule="auto"/>
              <w:jc w:val="center"/>
              <w:rPr>
                <w:rFonts w:ascii="Times New Roman" w:hAnsi="Times New Roman"/>
                <w:color w:val="000000"/>
                <w:szCs w:val="21"/>
              </w:rPr>
            </w:pPr>
            <w:r>
              <w:rPr>
                <w:rFonts w:ascii="Times New Roman" w:hAnsi="Times New Roman"/>
                <w:color w:val="000000"/>
                <w:szCs w:val="21"/>
              </w:rPr>
              <w:t>2</w:t>
            </w:r>
          </w:p>
        </w:tc>
        <w:tc>
          <w:tcPr>
            <w:tcW w:w="1911" w:type="dxa"/>
            <w:tcBorders>
              <w:top w:val="single" w:color="auto" w:sz="4" w:space="0"/>
              <w:left w:val="single" w:color="auto" w:sz="4" w:space="0"/>
              <w:bottom w:val="single" w:color="auto" w:sz="4" w:space="0"/>
              <w:right w:val="single" w:color="auto" w:sz="4" w:space="0"/>
            </w:tcBorders>
            <w:vAlign w:val="center"/>
          </w:tcPr>
          <w:p w14:paraId="0C9051F3">
            <w:pPr>
              <w:pageBreakBefore w:val="0"/>
              <w:kinsoku/>
              <w:overflowPunct/>
              <w:topLinePunct w:val="0"/>
              <w:bidi w:val="0"/>
              <w:spacing w:line="360" w:lineRule="auto"/>
              <w:jc w:val="center"/>
              <w:rPr>
                <w:rFonts w:ascii="Times New Roman" w:hAnsi="Times New Roman"/>
                <w:color w:val="000000"/>
                <w:szCs w:val="21"/>
              </w:rPr>
            </w:pPr>
          </w:p>
        </w:tc>
        <w:tc>
          <w:tcPr>
            <w:tcW w:w="1503" w:type="dxa"/>
            <w:tcBorders>
              <w:top w:val="single" w:color="auto" w:sz="4" w:space="0"/>
              <w:left w:val="single" w:color="auto" w:sz="4" w:space="0"/>
              <w:bottom w:val="single" w:color="auto" w:sz="4" w:space="0"/>
              <w:right w:val="single" w:color="auto" w:sz="4" w:space="0"/>
            </w:tcBorders>
            <w:vAlign w:val="center"/>
          </w:tcPr>
          <w:p w14:paraId="746B5279">
            <w:pPr>
              <w:pageBreakBefore w:val="0"/>
              <w:kinsoku/>
              <w:overflowPunct/>
              <w:topLinePunct w:val="0"/>
              <w:bidi w:val="0"/>
              <w:spacing w:line="360" w:lineRule="auto"/>
              <w:jc w:val="center"/>
              <w:rPr>
                <w:rFonts w:ascii="Times New Roman" w:hAnsi="Times New Roman"/>
                <w:color w:val="000000"/>
                <w:szCs w:val="21"/>
              </w:rPr>
            </w:pPr>
          </w:p>
        </w:tc>
        <w:tc>
          <w:tcPr>
            <w:tcW w:w="1099" w:type="dxa"/>
            <w:tcBorders>
              <w:top w:val="single" w:color="auto" w:sz="4" w:space="0"/>
              <w:left w:val="single" w:color="auto" w:sz="4" w:space="0"/>
              <w:bottom w:val="single" w:color="auto" w:sz="4" w:space="0"/>
              <w:right w:val="single" w:color="auto" w:sz="4" w:space="0"/>
            </w:tcBorders>
            <w:vAlign w:val="center"/>
          </w:tcPr>
          <w:p w14:paraId="2DF25729">
            <w:pPr>
              <w:pageBreakBefore w:val="0"/>
              <w:kinsoku/>
              <w:overflowPunct/>
              <w:topLinePunct w:val="0"/>
              <w:bidi w:val="0"/>
              <w:spacing w:line="360" w:lineRule="auto"/>
              <w:jc w:val="center"/>
              <w:rPr>
                <w:rFonts w:ascii="Times New Roman" w:hAnsi="Times New Roman"/>
                <w:color w:val="000000"/>
                <w:szCs w:val="21"/>
              </w:rPr>
            </w:pPr>
          </w:p>
        </w:tc>
        <w:tc>
          <w:tcPr>
            <w:tcW w:w="1162" w:type="dxa"/>
            <w:tcBorders>
              <w:top w:val="single" w:color="auto" w:sz="4" w:space="0"/>
              <w:left w:val="single" w:color="auto" w:sz="4" w:space="0"/>
              <w:bottom w:val="single" w:color="auto" w:sz="4" w:space="0"/>
              <w:right w:val="single" w:color="auto" w:sz="4" w:space="0"/>
            </w:tcBorders>
            <w:vAlign w:val="center"/>
          </w:tcPr>
          <w:p w14:paraId="19E74F83">
            <w:pPr>
              <w:pageBreakBefore w:val="0"/>
              <w:kinsoku/>
              <w:overflowPunct/>
              <w:topLinePunct w:val="0"/>
              <w:bidi w:val="0"/>
              <w:spacing w:line="360" w:lineRule="auto"/>
              <w:jc w:val="center"/>
              <w:rPr>
                <w:rFonts w:ascii="Times New Roman" w:hAnsi="Times New Roman"/>
                <w:color w:val="000000"/>
                <w:szCs w:val="21"/>
              </w:rPr>
            </w:pPr>
          </w:p>
        </w:tc>
        <w:tc>
          <w:tcPr>
            <w:tcW w:w="1765" w:type="dxa"/>
            <w:tcBorders>
              <w:top w:val="single" w:color="auto" w:sz="4" w:space="0"/>
              <w:left w:val="single" w:color="auto" w:sz="4" w:space="0"/>
              <w:bottom w:val="single" w:color="auto" w:sz="4" w:space="0"/>
              <w:right w:val="single" w:color="auto" w:sz="4" w:space="0"/>
            </w:tcBorders>
            <w:vAlign w:val="center"/>
          </w:tcPr>
          <w:p w14:paraId="63A5D568">
            <w:pPr>
              <w:pageBreakBefore w:val="0"/>
              <w:kinsoku/>
              <w:overflowPunct/>
              <w:topLinePunct w:val="0"/>
              <w:bidi w:val="0"/>
              <w:spacing w:line="360" w:lineRule="auto"/>
              <w:jc w:val="center"/>
              <w:rPr>
                <w:rFonts w:ascii="Times New Roman" w:hAnsi="Times New Roman"/>
                <w:color w:val="000000"/>
                <w:szCs w:val="21"/>
              </w:rPr>
            </w:pPr>
          </w:p>
        </w:tc>
      </w:tr>
      <w:tr w14:paraId="0728E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831" w:type="dxa"/>
            <w:tcBorders>
              <w:top w:val="single" w:color="auto" w:sz="4" w:space="0"/>
              <w:left w:val="single" w:color="auto" w:sz="4" w:space="0"/>
              <w:bottom w:val="single" w:color="auto" w:sz="4" w:space="0"/>
              <w:right w:val="single" w:color="auto" w:sz="4" w:space="0"/>
            </w:tcBorders>
            <w:vAlign w:val="center"/>
          </w:tcPr>
          <w:p w14:paraId="52889EBA">
            <w:pPr>
              <w:pageBreakBefore w:val="0"/>
              <w:kinsoku/>
              <w:overflowPunct/>
              <w:topLinePunct w:val="0"/>
              <w:bidi w:val="0"/>
              <w:spacing w:line="360" w:lineRule="auto"/>
              <w:jc w:val="center"/>
              <w:rPr>
                <w:rFonts w:ascii="Times New Roman" w:hAnsi="Times New Roman"/>
                <w:color w:val="000000"/>
                <w:szCs w:val="21"/>
              </w:rPr>
            </w:pPr>
            <w:r>
              <w:rPr>
                <w:rFonts w:ascii="Times New Roman" w:hAnsi="Times New Roman"/>
                <w:color w:val="000000"/>
                <w:szCs w:val="21"/>
              </w:rPr>
              <w:t>3</w:t>
            </w:r>
          </w:p>
        </w:tc>
        <w:tc>
          <w:tcPr>
            <w:tcW w:w="1911" w:type="dxa"/>
            <w:tcBorders>
              <w:top w:val="single" w:color="auto" w:sz="4" w:space="0"/>
              <w:left w:val="single" w:color="auto" w:sz="4" w:space="0"/>
              <w:bottom w:val="single" w:color="auto" w:sz="4" w:space="0"/>
              <w:right w:val="single" w:color="auto" w:sz="4" w:space="0"/>
            </w:tcBorders>
            <w:vAlign w:val="center"/>
          </w:tcPr>
          <w:p w14:paraId="7CCE3926">
            <w:pPr>
              <w:pageBreakBefore w:val="0"/>
              <w:kinsoku/>
              <w:overflowPunct/>
              <w:topLinePunct w:val="0"/>
              <w:bidi w:val="0"/>
              <w:spacing w:line="360" w:lineRule="auto"/>
              <w:jc w:val="center"/>
              <w:rPr>
                <w:rFonts w:ascii="Times New Roman" w:hAnsi="Times New Roman"/>
                <w:color w:val="000000"/>
                <w:szCs w:val="21"/>
              </w:rPr>
            </w:pPr>
          </w:p>
        </w:tc>
        <w:tc>
          <w:tcPr>
            <w:tcW w:w="1503" w:type="dxa"/>
            <w:tcBorders>
              <w:top w:val="single" w:color="auto" w:sz="4" w:space="0"/>
              <w:left w:val="single" w:color="auto" w:sz="4" w:space="0"/>
              <w:bottom w:val="single" w:color="auto" w:sz="4" w:space="0"/>
              <w:right w:val="single" w:color="auto" w:sz="4" w:space="0"/>
            </w:tcBorders>
            <w:vAlign w:val="center"/>
          </w:tcPr>
          <w:p w14:paraId="615A06E6">
            <w:pPr>
              <w:pageBreakBefore w:val="0"/>
              <w:kinsoku/>
              <w:overflowPunct/>
              <w:topLinePunct w:val="0"/>
              <w:bidi w:val="0"/>
              <w:spacing w:line="360" w:lineRule="auto"/>
              <w:jc w:val="center"/>
              <w:rPr>
                <w:rFonts w:ascii="Times New Roman" w:hAnsi="Times New Roman"/>
                <w:color w:val="000000"/>
                <w:szCs w:val="21"/>
              </w:rPr>
            </w:pPr>
          </w:p>
        </w:tc>
        <w:tc>
          <w:tcPr>
            <w:tcW w:w="1099" w:type="dxa"/>
            <w:tcBorders>
              <w:top w:val="single" w:color="auto" w:sz="4" w:space="0"/>
              <w:left w:val="single" w:color="auto" w:sz="4" w:space="0"/>
              <w:bottom w:val="single" w:color="auto" w:sz="4" w:space="0"/>
              <w:right w:val="single" w:color="auto" w:sz="4" w:space="0"/>
            </w:tcBorders>
            <w:vAlign w:val="center"/>
          </w:tcPr>
          <w:p w14:paraId="44157B9D">
            <w:pPr>
              <w:pageBreakBefore w:val="0"/>
              <w:kinsoku/>
              <w:overflowPunct/>
              <w:topLinePunct w:val="0"/>
              <w:bidi w:val="0"/>
              <w:spacing w:line="360" w:lineRule="auto"/>
              <w:jc w:val="center"/>
              <w:rPr>
                <w:rFonts w:ascii="Times New Roman" w:hAnsi="Times New Roman"/>
                <w:color w:val="000000"/>
                <w:szCs w:val="21"/>
              </w:rPr>
            </w:pPr>
          </w:p>
        </w:tc>
        <w:tc>
          <w:tcPr>
            <w:tcW w:w="1162" w:type="dxa"/>
            <w:tcBorders>
              <w:top w:val="single" w:color="auto" w:sz="4" w:space="0"/>
              <w:left w:val="single" w:color="auto" w:sz="4" w:space="0"/>
              <w:bottom w:val="single" w:color="auto" w:sz="4" w:space="0"/>
              <w:right w:val="single" w:color="auto" w:sz="4" w:space="0"/>
            </w:tcBorders>
            <w:vAlign w:val="center"/>
          </w:tcPr>
          <w:p w14:paraId="2BDE32B9">
            <w:pPr>
              <w:pageBreakBefore w:val="0"/>
              <w:kinsoku/>
              <w:overflowPunct/>
              <w:topLinePunct w:val="0"/>
              <w:bidi w:val="0"/>
              <w:spacing w:line="360" w:lineRule="auto"/>
              <w:jc w:val="center"/>
              <w:rPr>
                <w:rFonts w:ascii="Times New Roman" w:hAnsi="Times New Roman"/>
                <w:color w:val="000000"/>
                <w:szCs w:val="21"/>
              </w:rPr>
            </w:pPr>
          </w:p>
        </w:tc>
        <w:tc>
          <w:tcPr>
            <w:tcW w:w="1765" w:type="dxa"/>
            <w:tcBorders>
              <w:top w:val="single" w:color="auto" w:sz="4" w:space="0"/>
              <w:left w:val="single" w:color="auto" w:sz="4" w:space="0"/>
              <w:bottom w:val="single" w:color="auto" w:sz="4" w:space="0"/>
              <w:right w:val="single" w:color="auto" w:sz="4" w:space="0"/>
            </w:tcBorders>
            <w:vAlign w:val="center"/>
          </w:tcPr>
          <w:p w14:paraId="436BC8DC">
            <w:pPr>
              <w:pageBreakBefore w:val="0"/>
              <w:kinsoku/>
              <w:overflowPunct/>
              <w:topLinePunct w:val="0"/>
              <w:bidi w:val="0"/>
              <w:spacing w:line="360" w:lineRule="auto"/>
              <w:jc w:val="center"/>
              <w:rPr>
                <w:rFonts w:ascii="Times New Roman" w:hAnsi="Times New Roman"/>
                <w:color w:val="000000"/>
                <w:szCs w:val="21"/>
              </w:rPr>
            </w:pPr>
          </w:p>
        </w:tc>
      </w:tr>
      <w:tr w14:paraId="47429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31" w:type="dxa"/>
            <w:tcBorders>
              <w:top w:val="single" w:color="auto" w:sz="4" w:space="0"/>
              <w:left w:val="single" w:color="auto" w:sz="4" w:space="0"/>
              <w:bottom w:val="single" w:color="auto" w:sz="4" w:space="0"/>
              <w:right w:val="single" w:color="auto" w:sz="4" w:space="0"/>
            </w:tcBorders>
            <w:vAlign w:val="center"/>
          </w:tcPr>
          <w:p w14:paraId="0A5DC7B7">
            <w:pPr>
              <w:pageBreakBefore w:val="0"/>
              <w:kinsoku/>
              <w:overflowPunct/>
              <w:topLinePunct w:val="0"/>
              <w:bidi w:val="0"/>
              <w:spacing w:line="360" w:lineRule="auto"/>
              <w:jc w:val="center"/>
              <w:rPr>
                <w:rFonts w:ascii="Times New Roman" w:hAnsi="Times New Roman"/>
                <w:color w:val="000000"/>
                <w:szCs w:val="21"/>
              </w:rPr>
            </w:pPr>
            <w:r>
              <w:rPr>
                <w:rFonts w:hint="eastAsia" w:ascii="Times New Roman" w:hAnsi="Times New Roman"/>
                <w:color w:val="000000"/>
                <w:szCs w:val="21"/>
              </w:rPr>
              <w:t>……</w:t>
            </w:r>
          </w:p>
        </w:tc>
        <w:tc>
          <w:tcPr>
            <w:tcW w:w="1911" w:type="dxa"/>
            <w:tcBorders>
              <w:top w:val="single" w:color="auto" w:sz="4" w:space="0"/>
              <w:left w:val="single" w:color="auto" w:sz="4" w:space="0"/>
              <w:bottom w:val="single" w:color="auto" w:sz="4" w:space="0"/>
              <w:right w:val="single" w:color="auto" w:sz="4" w:space="0"/>
            </w:tcBorders>
            <w:vAlign w:val="center"/>
          </w:tcPr>
          <w:p w14:paraId="32790E88">
            <w:pPr>
              <w:pageBreakBefore w:val="0"/>
              <w:kinsoku/>
              <w:overflowPunct/>
              <w:topLinePunct w:val="0"/>
              <w:bidi w:val="0"/>
              <w:spacing w:line="360" w:lineRule="auto"/>
              <w:jc w:val="center"/>
              <w:rPr>
                <w:rFonts w:ascii="Times New Roman" w:hAnsi="Times New Roman"/>
                <w:color w:val="000000"/>
                <w:szCs w:val="21"/>
              </w:rPr>
            </w:pPr>
          </w:p>
        </w:tc>
        <w:tc>
          <w:tcPr>
            <w:tcW w:w="1503" w:type="dxa"/>
            <w:tcBorders>
              <w:top w:val="single" w:color="auto" w:sz="4" w:space="0"/>
              <w:left w:val="single" w:color="auto" w:sz="4" w:space="0"/>
              <w:bottom w:val="single" w:color="auto" w:sz="4" w:space="0"/>
              <w:right w:val="single" w:color="auto" w:sz="4" w:space="0"/>
            </w:tcBorders>
            <w:vAlign w:val="center"/>
          </w:tcPr>
          <w:p w14:paraId="28D6581F">
            <w:pPr>
              <w:pageBreakBefore w:val="0"/>
              <w:kinsoku/>
              <w:overflowPunct/>
              <w:topLinePunct w:val="0"/>
              <w:bidi w:val="0"/>
              <w:spacing w:line="360" w:lineRule="auto"/>
              <w:jc w:val="center"/>
              <w:rPr>
                <w:rFonts w:ascii="Times New Roman" w:hAnsi="Times New Roman"/>
                <w:color w:val="000000"/>
                <w:szCs w:val="21"/>
              </w:rPr>
            </w:pPr>
          </w:p>
        </w:tc>
        <w:tc>
          <w:tcPr>
            <w:tcW w:w="1099" w:type="dxa"/>
            <w:tcBorders>
              <w:top w:val="single" w:color="auto" w:sz="4" w:space="0"/>
              <w:left w:val="single" w:color="auto" w:sz="4" w:space="0"/>
              <w:bottom w:val="single" w:color="auto" w:sz="4" w:space="0"/>
              <w:right w:val="single" w:color="auto" w:sz="4" w:space="0"/>
            </w:tcBorders>
            <w:vAlign w:val="center"/>
          </w:tcPr>
          <w:p w14:paraId="4100615E">
            <w:pPr>
              <w:pageBreakBefore w:val="0"/>
              <w:kinsoku/>
              <w:overflowPunct/>
              <w:topLinePunct w:val="0"/>
              <w:bidi w:val="0"/>
              <w:spacing w:line="360" w:lineRule="auto"/>
              <w:jc w:val="center"/>
              <w:rPr>
                <w:rFonts w:ascii="Times New Roman" w:hAnsi="Times New Roman"/>
                <w:color w:val="000000"/>
                <w:szCs w:val="21"/>
              </w:rPr>
            </w:pPr>
          </w:p>
        </w:tc>
        <w:tc>
          <w:tcPr>
            <w:tcW w:w="1162" w:type="dxa"/>
            <w:tcBorders>
              <w:top w:val="single" w:color="auto" w:sz="4" w:space="0"/>
              <w:left w:val="single" w:color="auto" w:sz="4" w:space="0"/>
              <w:bottom w:val="single" w:color="auto" w:sz="4" w:space="0"/>
              <w:right w:val="single" w:color="auto" w:sz="4" w:space="0"/>
            </w:tcBorders>
            <w:vAlign w:val="center"/>
          </w:tcPr>
          <w:p w14:paraId="17D6EABE">
            <w:pPr>
              <w:pageBreakBefore w:val="0"/>
              <w:kinsoku/>
              <w:overflowPunct/>
              <w:topLinePunct w:val="0"/>
              <w:bidi w:val="0"/>
              <w:spacing w:line="360" w:lineRule="auto"/>
              <w:jc w:val="center"/>
              <w:rPr>
                <w:rFonts w:ascii="Times New Roman" w:hAnsi="Times New Roman"/>
                <w:color w:val="000000"/>
                <w:szCs w:val="21"/>
              </w:rPr>
            </w:pPr>
          </w:p>
        </w:tc>
        <w:tc>
          <w:tcPr>
            <w:tcW w:w="1765" w:type="dxa"/>
            <w:tcBorders>
              <w:top w:val="single" w:color="auto" w:sz="4" w:space="0"/>
              <w:left w:val="single" w:color="auto" w:sz="4" w:space="0"/>
              <w:bottom w:val="single" w:color="auto" w:sz="4" w:space="0"/>
              <w:right w:val="single" w:color="auto" w:sz="4" w:space="0"/>
            </w:tcBorders>
            <w:vAlign w:val="center"/>
          </w:tcPr>
          <w:p w14:paraId="7B17D941">
            <w:pPr>
              <w:pageBreakBefore w:val="0"/>
              <w:kinsoku/>
              <w:overflowPunct/>
              <w:topLinePunct w:val="0"/>
              <w:bidi w:val="0"/>
              <w:spacing w:line="360" w:lineRule="auto"/>
              <w:jc w:val="center"/>
              <w:rPr>
                <w:rFonts w:ascii="Times New Roman" w:hAnsi="Times New Roman"/>
                <w:color w:val="000000"/>
                <w:szCs w:val="21"/>
              </w:rPr>
            </w:pPr>
          </w:p>
        </w:tc>
      </w:tr>
    </w:tbl>
    <w:p w14:paraId="07894CA8">
      <w:pPr>
        <w:pageBreakBefore w:val="0"/>
        <w:kinsoku/>
        <w:overflowPunct/>
        <w:topLinePunct w:val="0"/>
        <w:bidi w:val="0"/>
        <w:snapToGrid w:val="0"/>
        <w:spacing w:beforeLines="50" w:line="360" w:lineRule="auto"/>
        <w:ind w:firstLine="420"/>
        <w:rPr>
          <w:rFonts w:ascii="Times New Roman" w:hAnsi="Times New Roman"/>
          <w:color w:val="000000"/>
          <w:szCs w:val="21"/>
        </w:rPr>
      </w:pPr>
      <w:r>
        <w:rPr>
          <w:rFonts w:hint="eastAsia" w:ascii="Times New Roman" w:hAnsi="Times New Roman"/>
          <w:color w:val="000000"/>
          <w:szCs w:val="21"/>
        </w:rPr>
        <w:t>注：</w:t>
      </w:r>
      <w:bookmarkStart w:id="644" w:name="_Hlk27161104"/>
      <w:r>
        <w:rPr>
          <w:rFonts w:hint="eastAsia" w:ascii="Times New Roman" w:hAnsi="Times New Roman"/>
          <w:color w:val="000000"/>
          <w:szCs w:val="21"/>
        </w:rPr>
        <w:t>按评分标准附证明材料并加盖公章，</w:t>
      </w:r>
      <w:r>
        <w:rPr>
          <w:rFonts w:hint="eastAsia"/>
          <w:color w:val="000000"/>
          <w:szCs w:val="21"/>
        </w:rPr>
        <w:t>如无则填写无。</w:t>
      </w:r>
      <w:bookmarkEnd w:id="644"/>
    </w:p>
    <w:p w14:paraId="1FAA21BD">
      <w:pPr>
        <w:pageBreakBefore w:val="0"/>
        <w:kinsoku/>
        <w:overflowPunct/>
        <w:topLinePunct w:val="0"/>
        <w:bidi w:val="0"/>
        <w:spacing w:line="360" w:lineRule="auto"/>
        <w:ind w:firstLine="2100" w:firstLineChars="1000"/>
        <w:rPr>
          <w:rFonts w:ascii="Times New Roman" w:hAnsi="Times New Roman"/>
          <w:color w:val="000000"/>
          <w:szCs w:val="21"/>
        </w:rPr>
      </w:pPr>
    </w:p>
    <w:p w14:paraId="085C4952">
      <w:pPr>
        <w:pageBreakBefore w:val="0"/>
        <w:kinsoku/>
        <w:overflowPunct/>
        <w:topLinePunct w:val="0"/>
        <w:bidi w:val="0"/>
        <w:spacing w:line="360" w:lineRule="auto"/>
        <w:ind w:firstLine="2100" w:firstLineChars="1000"/>
        <w:rPr>
          <w:rFonts w:ascii="Times New Roman" w:hAnsi="Times New Roman"/>
          <w:color w:val="000000"/>
          <w:szCs w:val="21"/>
        </w:rPr>
      </w:pPr>
      <w:r>
        <w:rPr>
          <w:rFonts w:hint="eastAsia" w:ascii="Times New Roman" w:hAnsi="Times New Roman"/>
          <w:color w:val="000000"/>
          <w:szCs w:val="21"/>
        </w:rPr>
        <w:t>投标人（加盖公章）：</w:t>
      </w:r>
      <w:r>
        <w:rPr>
          <w:rFonts w:ascii="Times New Roman" w:hAnsi="Times New Roman"/>
          <w:color w:val="000000"/>
          <w:szCs w:val="21"/>
          <w:u w:val="single"/>
        </w:rPr>
        <w:t xml:space="preserve">                        </w:t>
      </w:r>
    </w:p>
    <w:p w14:paraId="0DBAF910">
      <w:pPr>
        <w:pageBreakBefore w:val="0"/>
        <w:kinsoku/>
        <w:overflowPunct/>
        <w:topLinePunct w:val="0"/>
        <w:bidi w:val="0"/>
        <w:spacing w:line="360" w:lineRule="auto"/>
        <w:ind w:firstLine="2100" w:firstLineChars="1000"/>
        <w:rPr>
          <w:rFonts w:ascii="Times New Roman" w:hAnsi="Times New Roman"/>
          <w:color w:val="000000"/>
          <w:szCs w:val="21"/>
        </w:rPr>
      </w:pPr>
      <w:r>
        <w:rPr>
          <w:rFonts w:hint="eastAsia" w:ascii="Times New Roman" w:hAnsi="Times New Roman"/>
          <w:color w:val="000000"/>
          <w:szCs w:val="21"/>
        </w:rPr>
        <w:t>法定代表人或被授权人签字（或盖章）：</w:t>
      </w:r>
      <w:r>
        <w:rPr>
          <w:rFonts w:ascii="Times New Roman" w:hAnsi="Times New Roman"/>
          <w:color w:val="000000"/>
          <w:szCs w:val="21"/>
          <w:u w:val="single"/>
        </w:rPr>
        <w:t xml:space="preserve">                    </w:t>
      </w:r>
    </w:p>
    <w:p w14:paraId="5B0055AA">
      <w:pPr>
        <w:pageBreakBefore w:val="0"/>
        <w:kinsoku/>
        <w:overflowPunct/>
        <w:topLinePunct w:val="0"/>
        <w:bidi w:val="0"/>
        <w:spacing w:line="360" w:lineRule="auto"/>
        <w:ind w:firstLine="4305" w:firstLineChars="2050"/>
        <w:rPr>
          <w:rFonts w:ascii="Times New Roman" w:hAnsi="Times New Roman"/>
          <w:color w:val="000000"/>
          <w:szCs w:val="21"/>
        </w:rPr>
      </w:pPr>
      <w:r>
        <w:rPr>
          <w:rFonts w:hint="eastAsia" w:ascii="Times New Roman" w:hAnsi="Times New Roman"/>
          <w:color w:val="000000"/>
          <w:szCs w:val="21"/>
        </w:rPr>
        <w:t>日</w:t>
      </w:r>
      <w:r>
        <w:rPr>
          <w:rFonts w:ascii="Times New Roman" w:hAnsi="Times New Roman"/>
          <w:color w:val="000000"/>
          <w:szCs w:val="21"/>
        </w:rPr>
        <w:t xml:space="preserve">    </w:t>
      </w:r>
      <w:r>
        <w:rPr>
          <w:rFonts w:hint="eastAsia" w:ascii="Times New Roman" w:hAnsi="Times New Roman"/>
          <w:color w:val="000000"/>
          <w:szCs w:val="21"/>
        </w:rPr>
        <w:t>期：</w:t>
      </w:r>
      <w:r>
        <w:rPr>
          <w:rFonts w:ascii="Times New Roman" w:hAnsi="Times New Roman"/>
          <w:color w:val="000000"/>
          <w:szCs w:val="21"/>
          <w:u w:val="single"/>
        </w:rPr>
        <w:t xml:space="preserve">     </w:t>
      </w:r>
      <w:r>
        <w:rPr>
          <w:rFonts w:hint="eastAsia" w:ascii="Times New Roman" w:hAnsi="Times New Roman"/>
          <w:color w:val="000000"/>
          <w:szCs w:val="21"/>
        </w:rPr>
        <w:t>年</w:t>
      </w:r>
      <w:r>
        <w:rPr>
          <w:rFonts w:ascii="Times New Roman" w:hAnsi="Times New Roman"/>
          <w:color w:val="000000"/>
          <w:szCs w:val="21"/>
          <w:u w:val="single"/>
        </w:rPr>
        <w:t xml:space="preserve">    </w:t>
      </w:r>
      <w:r>
        <w:rPr>
          <w:rFonts w:hint="eastAsia" w:ascii="Times New Roman" w:hAnsi="Times New Roman"/>
          <w:color w:val="000000"/>
          <w:szCs w:val="21"/>
        </w:rPr>
        <w:t>月</w:t>
      </w:r>
      <w:r>
        <w:rPr>
          <w:rFonts w:ascii="Times New Roman" w:hAnsi="Times New Roman"/>
          <w:color w:val="000000"/>
          <w:szCs w:val="21"/>
          <w:u w:val="single"/>
        </w:rPr>
        <w:t xml:space="preserve">    </w:t>
      </w:r>
      <w:r>
        <w:rPr>
          <w:rFonts w:hint="eastAsia" w:ascii="Times New Roman" w:hAnsi="Times New Roman"/>
          <w:color w:val="000000"/>
          <w:szCs w:val="21"/>
        </w:rPr>
        <w:t>日</w:t>
      </w:r>
    </w:p>
    <w:p w14:paraId="4CB993E4">
      <w:pPr>
        <w:pStyle w:val="303"/>
        <w:pageBreakBefore w:val="0"/>
        <w:kinsoku/>
        <w:overflowPunct/>
        <w:topLinePunct w:val="0"/>
        <w:bidi w:val="0"/>
        <w:spacing w:line="360" w:lineRule="auto"/>
        <w:ind w:firstLine="422"/>
        <w:jc w:val="left"/>
        <w:rPr>
          <w:rFonts w:ascii="Times New Roman" w:hAnsi="Times New Roman" w:eastAsia="宋体"/>
          <w:b/>
          <w:color w:val="000000"/>
          <w:sz w:val="21"/>
          <w:szCs w:val="21"/>
        </w:rPr>
      </w:pPr>
    </w:p>
    <w:p w14:paraId="69585192">
      <w:pPr>
        <w:pStyle w:val="303"/>
        <w:pageBreakBefore w:val="0"/>
        <w:kinsoku/>
        <w:overflowPunct/>
        <w:topLinePunct w:val="0"/>
        <w:bidi w:val="0"/>
        <w:spacing w:line="360" w:lineRule="auto"/>
        <w:ind w:firstLine="422"/>
        <w:jc w:val="left"/>
        <w:rPr>
          <w:rFonts w:ascii="Times New Roman" w:hAnsi="Times New Roman" w:eastAsia="宋体"/>
          <w:b/>
          <w:color w:val="000000"/>
          <w:sz w:val="21"/>
          <w:szCs w:val="21"/>
        </w:rPr>
      </w:pPr>
    </w:p>
    <w:p w14:paraId="68163834">
      <w:pPr>
        <w:pStyle w:val="303"/>
        <w:pageBreakBefore w:val="0"/>
        <w:kinsoku/>
        <w:overflowPunct/>
        <w:topLinePunct w:val="0"/>
        <w:bidi w:val="0"/>
        <w:spacing w:line="360" w:lineRule="auto"/>
        <w:ind w:firstLine="422"/>
        <w:jc w:val="left"/>
        <w:rPr>
          <w:rFonts w:ascii="Times New Roman" w:hAnsi="Times New Roman" w:eastAsia="宋体"/>
          <w:b/>
          <w:color w:val="000000"/>
          <w:sz w:val="21"/>
          <w:szCs w:val="21"/>
        </w:rPr>
      </w:pPr>
    </w:p>
    <w:p w14:paraId="30C8AFBB">
      <w:pPr>
        <w:pStyle w:val="303"/>
        <w:pageBreakBefore w:val="0"/>
        <w:kinsoku/>
        <w:overflowPunct/>
        <w:topLinePunct w:val="0"/>
        <w:bidi w:val="0"/>
        <w:spacing w:line="360" w:lineRule="auto"/>
        <w:ind w:firstLine="422"/>
        <w:jc w:val="left"/>
        <w:rPr>
          <w:rFonts w:ascii="Times New Roman" w:hAnsi="Times New Roman" w:eastAsia="宋体"/>
          <w:b/>
          <w:color w:val="000000"/>
          <w:sz w:val="21"/>
          <w:szCs w:val="21"/>
        </w:rPr>
      </w:pPr>
    </w:p>
    <w:p w14:paraId="7A77070C">
      <w:pPr>
        <w:pStyle w:val="303"/>
        <w:pageBreakBefore w:val="0"/>
        <w:kinsoku/>
        <w:overflowPunct/>
        <w:topLinePunct w:val="0"/>
        <w:bidi w:val="0"/>
        <w:spacing w:line="360" w:lineRule="auto"/>
        <w:ind w:firstLine="422"/>
        <w:jc w:val="left"/>
        <w:rPr>
          <w:rFonts w:ascii="Times New Roman" w:hAnsi="Times New Roman" w:eastAsia="宋体"/>
          <w:b/>
          <w:color w:val="000000"/>
          <w:sz w:val="21"/>
          <w:szCs w:val="21"/>
        </w:rPr>
      </w:pPr>
    </w:p>
    <w:p w14:paraId="15DB9B13">
      <w:pPr>
        <w:pStyle w:val="303"/>
        <w:pageBreakBefore w:val="0"/>
        <w:kinsoku/>
        <w:overflowPunct/>
        <w:topLinePunct w:val="0"/>
        <w:bidi w:val="0"/>
        <w:spacing w:line="360" w:lineRule="auto"/>
        <w:ind w:firstLine="422"/>
        <w:jc w:val="left"/>
        <w:rPr>
          <w:rFonts w:ascii="Times New Roman" w:hAnsi="Times New Roman" w:eastAsia="宋体"/>
          <w:b/>
          <w:color w:val="000000"/>
          <w:sz w:val="21"/>
          <w:szCs w:val="21"/>
        </w:rPr>
      </w:pPr>
    </w:p>
    <w:p w14:paraId="16C7790B">
      <w:pPr>
        <w:pStyle w:val="303"/>
        <w:pageBreakBefore w:val="0"/>
        <w:kinsoku/>
        <w:overflowPunct/>
        <w:topLinePunct w:val="0"/>
        <w:bidi w:val="0"/>
        <w:spacing w:line="360" w:lineRule="auto"/>
        <w:ind w:firstLine="422"/>
        <w:jc w:val="left"/>
        <w:rPr>
          <w:rFonts w:ascii="Times New Roman" w:hAnsi="Times New Roman" w:eastAsia="宋体"/>
          <w:b/>
          <w:color w:val="000000"/>
          <w:sz w:val="21"/>
          <w:szCs w:val="21"/>
        </w:rPr>
      </w:pPr>
    </w:p>
    <w:p w14:paraId="1DD85BC5">
      <w:pPr>
        <w:pStyle w:val="303"/>
        <w:pageBreakBefore w:val="0"/>
        <w:kinsoku/>
        <w:overflowPunct/>
        <w:topLinePunct w:val="0"/>
        <w:bidi w:val="0"/>
        <w:spacing w:line="360" w:lineRule="auto"/>
        <w:ind w:firstLine="422"/>
        <w:jc w:val="left"/>
        <w:rPr>
          <w:rFonts w:ascii="Times New Roman" w:hAnsi="Times New Roman" w:eastAsia="宋体"/>
          <w:b/>
          <w:color w:val="000000"/>
          <w:sz w:val="21"/>
          <w:szCs w:val="21"/>
        </w:rPr>
      </w:pPr>
    </w:p>
    <w:p w14:paraId="4AC89C0C">
      <w:pPr>
        <w:pStyle w:val="303"/>
        <w:pageBreakBefore w:val="0"/>
        <w:kinsoku/>
        <w:overflowPunct/>
        <w:topLinePunct w:val="0"/>
        <w:bidi w:val="0"/>
        <w:spacing w:line="360" w:lineRule="auto"/>
        <w:ind w:firstLine="422"/>
        <w:jc w:val="left"/>
        <w:rPr>
          <w:rFonts w:ascii="Times New Roman" w:hAnsi="Times New Roman" w:eastAsia="宋体"/>
          <w:b/>
          <w:color w:val="000000"/>
          <w:sz w:val="21"/>
          <w:szCs w:val="21"/>
        </w:rPr>
      </w:pPr>
    </w:p>
    <w:p w14:paraId="55A03F16">
      <w:pPr>
        <w:pStyle w:val="303"/>
        <w:pageBreakBefore w:val="0"/>
        <w:kinsoku/>
        <w:overflowPunct/>
        <w:topLinePunct w:val="0"/>
        <w:bidi w:val="0"/>
        <w:spacing w:line="360" w:lineRule="auto"/>
        <w:ind w:firstLine="422"/>
        <w:jc w:val="left"/>
        <w:rPr>
          <w:rFonts w:ascii="Times New Roman" w:hAnsi="Times New Roman" w:eastAsia="宋体"/>
          <w:b/>
          <w:color w:val="000000"/>
          <w:sz w:val="21"/>
          <w:szCs w:val="21"/>
        </w:rPr>
      </w:pPr>
    </w:p>
    <w:p w14:paraId="10C8FA6D">
      <w:pPr>
        <w:pStyle w:val="303"/>
        <w:pageBreakBefore w:val="0"/>
        <w:kinsoku/>
        <w:overflowPunct/>
        <w:topLinePunct w:val="0"/>
        <w:bidi w:val="0"/>
        <w:spacing w:line="360" w:lineRule="auto"/>
        <w:ind w:firstLine="422"/>
        <w:jc w:val="left"/>
        <w:rPr>
          <w:rFonts w:ascii="Times New Roman" w:hAnsi="Times New Roman" w:eastAsia="宋体"/>
          <w:b/>
          <w:color w:val="000000"/>
          <w:sz w:val="21"/>
          <w:szCs w:val="21"/>
        </w:rPr>
      </w:pPr>
    </w:p>
    <w:p w14:paraId="371BEE44">
      <w:pPr>
        <w:pStyle w:val="303"/>
        <w:pageBreakBefore w:val="0"/>
        <w:kinsoku/>
        <w:overflowPunct/>
        <w:topLinePunct w:val="0"/>
        <w:bidi w:val="0"/>
        <w:spacing w:line="360" w:lineRule="auto"/>
        <w:ind w:firstLine="422"/>
        <w:jc w:val="left"/>
        <w:rPr>
          <w:rFonts w:ascii="Times New Roman" w:hAnsi="Times New Roman" w:eastAsia="宋体"/>
          <w:b/>
          <w:color w:val="000000"/>
          <w:sz w:val="21"/>
          <w:szCs w:val="21"/>
        </w:rPr>
      </w:pPr>
    </w:p>
    <w:p w14:paraId="63924F79">
      <w:pPr>
        <w:pStyle w:val="303"/>
        <w:pageBreakBefore w:val="0"/>
        <w:kinsoku/>
        <w:overflowPunct/>
        <w:topLinePunct w:val="0"/>
        <w:bidi w:val="0"/>
        <w:spacing w:line="360" w:lineRule="auto"/>
        <w:ind w:firstLine="422"/>
        <w:jc w:val="left"/>
        <w:rPr>
          <w:rFonts w:ascii="Times New Roman" w:hAnsi="Times New Roman" w:eastAsia="宋体"/>
          <w:b/>
          <w:color w:val="000000"/>
          <w:sz w:val="21"/>
          <w:szCs w:val="21"/>
        </w:rPr>
      </w:pPr>
    </w:p>
    <w:p w14:paraId="39A16354">
      <w:pPr>
        <w:pStyle w:val="303"/>
        <w:pageBreakBefore w:val="0"/>
        <w:kinsoku/>
        <w:overflowPunct/>
        <w:topLinePunct w:val="0"/>
        <w:bidi w:val="0"/>
        <w:spacing w:line="360" w:lineRule="auto"/>
        <w:ind w:firstLine="422"/>
        <w:jc w:val="left"/>
        <w:rPr>
          <w:rFonts w:ascii="Times New Roman" w:hAnsi="Times New Roman" w:eastAsia="宋体"/>
          <w:b/>
          <w:color w:val="000000"/>
          <w:sz w:val="21"/>
          <w:szCs w:val="21"/>
        </w:rPr>
      </w:pPr>
    </w:p>
    <w:p w14:paraId="0B2E8967">
      <w:pPr>
        <w:pStyle w:val="303"/>
        <w:pageBreakBefore w:val="0"/>
        <w:kinsoku/>
        <w:overflowPunct/>
        <w:topLinePunct w:val="0"/>
        <w:bidi w:val="0"/>
        <w:spacing w:line="360" w:lineRule="auto"/>
        <w:ind w:firstLine="422"/>
        <w:jc w:val="left"/>
        <w:rPr>
          <w:rFonts w:ascii="Times New Roman" w:hAnsi="Times New Roman" w:eastAsia="宋体"/>
          <w:b/>
          <w:color w:val="000000"/>
          <w:sz w:val="21"/>
          <w:szCs w:val="21"/>
        </w:rPr>
      </w:pPr>
    </w:p>
    <w:p w14:paraId="6AAF6E87">
      <w:pPr>
        <w:pStyle w:val="303"/>
        <w:pageBreakBefore w:val="0"/>
        <w:kinsoku/>
        <w:overflowPunct/>
        <w:topLinePunct w:val="0"/>
        <w:bidi w:val="0"/>
        <w:spacing w:line="360" w:lineRule="auto"/>
        <w:ind w:firstLine="422"/>
        <w:jc w:val="left"/>
        <w:rPr>
          <w:rFonts w:ascii="Times New Roman" w:hAnsi="Times New Roman" w:eastAsia="宋体"/>
          <w:b/>
          <w:color w:val="000000"/>
          <w:sz w:val="21"/>
          <w:szCs w:val="21"/>
        </w:rPr>
      </w:pPr>
    </w:p>
    <w:p w14:paraId="1A46B15F">
      <w:pPr>
        <w:pStyle w:val="303"/>
        <w:pageBreakBefore w:val="0"/>
        <w:kinsoku/>
        <w:overflowPunct/>
        <w:topLinePunct w:val="0"/>
        <w:bidi w:val="0"/>
        <w:spacing w:line="360" w:lineRule="auto"/>
        <w:ind w:firstLine="422"/>
        <w:jc w:val="left"/>
        <w:rPr>
          <w:rFonts w:ascii="Times New Roman" w:hAnsi="Times New Roman" w:eastAsia="宋体"/>
          <w:b/>
          <w:color w:val="000000"/>
          <w:sz w:val="21"/>
          <w:szCs w:val="21"/>
        </w:rPr>
      </w:pPr>
    </w:p>
    <w:p w14:paraId="78B0804B">
      <w:pPr>
        <w:pStyle w:val="303"/>
        <w:pageBreakBefore w:val="0"/>
        <w:kinsoku/>
        <w:overflowPunct/>
        <w:topLinePunct w:val="0"/>
        <w:bidi w:val="0"/>
        <w:spacing w:line="360" w:lineRule="auto"/>
        <w:ind w:firstLine="422"/>
        <w:jc w:val="left"/>
        <w:rPr>
          <w:rFonts w:ascii="Times New Roman" w:hAnsi="Times New Roman" w:eastAsia="宋体"/>
          <w:b/>
          <w:color w:val="000000"/>
          <w:sz w:val="21"/>
          <w:szCs w:val="21"/>
        </w:rPr>
      </w:pPr>
    </w:p>
    <w:p w14:paraId="19CEAC10">
      <w:pPr>
        <w:pStyle w:val="303"/>
        <w:pageBreakBefore w:val="0"/>
        <w:kinsoku/>
        <w:overflowPunct/>
        <w:topLinePunct w:val="0"/>
        <w:bidi w:val="0"/>
        <w:spacing w:line="360" w:lineRule="auto"/>
        <w:ind w:firstLine="422"/>
        <w:jc w:val="left"/>
        <w:rPr>
          <w:rFonts w:ascii="Times New Roman" w:hAnsi="Times New Roman" w:eastAsia="宋体"/>
          <w:b/>
          <w:color w:val="000000"/>
          <w:sz w:val="21"/>
          <w:szCs w:val="21"/>
        </w:rPr>
      </w:pPr>
    </w:p>
    <w:p w14:paraId="358A7259">
      <w:pPr>
        <w:pStyle w:val="303"/>
        <w:pageBreakBefore w:val="0"/>
        <w:kinsoku/>
        <w:overflowPunct/>
        <w:topLinePunct w:val="0"/>
        <w:bidi w:val="0"/>
        <w:spacing w:line="360" w:lineRule="auto"/>
        <w:ind w:firstLine="422"/>
        <w:jc w:val="left"/>
        <w:rPr>
          <w:rFonts w:ascii="Times New Roman" w:hAnsi="Times New Roman" w:eastAsia="宋体"/>
          <w:b/>
          <w:color w:val="000000"/>
          <w:sz w:val="21"/>
          <w:szCs w:val="21"/>
        </w:rPr>
      </w:pPr>
    </w:p>
    <w:p w14:paraId="32B1F30D">
      <w:pPr>
        <w:pStyle w:val="303"/>
        <w:pageBreakBefore w:val="0"/>
        <w:kinsoku/>
        <w:overflowPunct/>
        <w:topLinePunct w:val="0"/>
        <w:bidi w:val="0"/>
        <w:spacing w:line="360" w:lineRule="auto"/>
        <w:ind w:firstLine="422"/>
        <w:jc w:val="left"/>
        <w:rPr>
          <w:rFonts w:ascii="Times New Roman" w:hAnsi="Times New Roman" w:eastAsia="宋体"/>
          <w:b/>
          <w:color w:val="000000"/>
          <w:sz w:val="21"/>
          <w:szCs w:val="21"/>
        </w:rPr>
      </w:pPr>
    </w:p>
    <w:p w14:paraId="04EF37F3">
      <w:pPr>
        <w:pStyle w:val="303"/>
        <w:pageBreakBefore w:val="0"/>
        <w:kinsoku/>
        <w:overflowPunct/>
        <w:topLinePunct w:val="0"/>
        <w:bidi w:val="0"/>
        <w:spacing w:line="360" w:lineRule="auto"/>
        <w:ind w:firstLine="422"/>
        <w:jc w:val="left"/>
        <w:rPr>
          <w:rFonts w:ascii="Times New Roman" w:hAnsi="Times New Roman" w:eastAsia="宋体"/>
          <w:b/>
          <w:color w:val="000000"/>
          <w:sz w:val="21"/>
          <w:szCs w:val="21"/>
        </w:rPr>
      </w:pPr>
    </w:p>
    <w:p w14:paraId="472308F8">
      <w:pPr>
        <w:pStyle w:val="303"/>
        <w:pageBreakBefore w:val="0"/>
        <w:kinsoku/>
        <w:overflowPunct/>
        <w:topLinePunct w:val="0"/>
        <w:bidi w:val="0"/>
        <w:spacing w:line="360" w:lineRule="auto"/>
        <w:ind w:firstLine="422"/>
        <w:jc w:val="left"/>
        <w:rPr>
          <w:rFonts w:ascii="Times New Roman" w:hAnsi="Times New Roman" w:eastAsia="宋体"/>
          <w:b/>
          <w:color w:val="000000"/>
          <w:sz w:val="21"/>
          <w:szCs w:val="21"/>
        </w:rPr>
      </w:pPr>
    </w:p>
    <w:p w14:paraId="61AFC3CA">
      <w:pPr>
        <w:pStyle w:val="303"/>
        <w:pageBreakBefore w:val="0"/>
        <w:kinsoku/>
        <w:overflowPunct/>
        <w:topLinePunct w:val="0"/>
        <w:bidi w:val="0"/>
        <w:spacing w:line="360" w:lineRule="auto"/>
        <w:ind w:firstLine="422"/>
        <w:jc w:val="left"/>
        <w:rPr>
          <w:rFonts w:ascii="Times New Roman" w:hAnsi="Times New Roman" w:eastAsia="宋体"/>
          <w:b/>
          <w:color w:val="000000"/>
          <w:sz w:val="21"/>
          <w:szCs w:val="21"/>
        </w:rPr>
      </w:pPr>
      <w:r>
        <w:rPr>
          <w:rFonts w:hint="eastAsia" w:ascii="Times New Roman" w:hAnsi="Times New Roman" w:eastAsia="宋体"/>
          <w:b/>
          <w:color w:val="000000"/>
          <w:sz w:val="21"/>
          <w:szCs w:val="21"/>
        </w:rPr>
        <w:t>10、</w:t>
      </w:r>
      <w:bookmarkStart w:id="645" w:name="_Hlk27161126"/>
      <w:r>
        <w:rPr>
          <w:rFonts w:hint="eastAsia" w:ascii="Times New Roman" w:hAnsi="Times New Roman" w:eastAsia="宋体"/>
          <w:b/>
          <w:color w:val="000000"/>
          <w:sz w:val="21"/>
          <w:szCs w:val="21"/>
        </w:rPr>
        <w:t>响应偏离表</w:t>
      </w:r>
      <w:bookmarkEnd w:id="645"/>
    </w:p>
    <w:p w14:paraId="18ADF0EF">
      <w:pPr>
        <w:pageBreakBefore w:val="0"/>
        <w:kinsoku/>
        <w:overflowPunct/>
        <w:topLinePunct w:val="0"/>
        <w:bidi w:val="0"/>
        <w:spacing w:line="360" w:lineRule="auto"/>
        <w:ind w:firstLine="211" w:firstLineChars="100"/>
        <w:jc w:val="center"/>
        <w:rPr>
          <w:rFonts w:ascii="Times New Roman" w:hAnsi="Times New Roman"/>
          <w:b/>
          <w:bCs/>
          <w:color w:val="000000"/>
          <w:szCs w:val="21"/>
        </w:rPr>
      </w:pPr>
      <w:r>
        <w:rPr>
          <w:rFonts w:hint="eastAsia" w:ascii="Times New Roman" w:hAnsi="Times New Roman"/>
          <w:b/>
          <w:bCs/>
          <w:color w:val="000000"/>
          <w:szCs w:val="21"/>
        </w:rPr>
        <w:t>响应偏离表</w:t>
      </w:r>
    </w:p>
    <w:p w14:paraId="6FD5D5B5">
      <w:pPr>
        <w:pageBreakBefore w:val="0"/>
        <w:kinsoku/>
        <w:overflowPunct/>
        <w:topLinePunct w:val="0"/>
        <w:bidi w:val="0"/>
        <w:spacing w:line="360" w:lineRule="auto"/>
        <w:ind w:firstLine="210" w:firstLineChars="100"/>
        <w:rPr>
          <w:rFonts w:ascii="Times New Roman" w:hAnsi="Times New Roman"/>
          <w:color w:val="000000"/>
          <w:szCs w:val="21"/>
        </w:rPr>
      </w:pPr>
    </w:p>
    <w:tbl>
      <w:tblPr>
        <w:tblStyle w:val="51"/>
        <w:tblW w:w="831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7"/>
        <w:gridCol w:w="2892"/>
        <w:gridCol w:w="2552"/>
        <w:gridCol w:w="1794"/>
      </w:tblGrid>
      <w:tr w14:paraId="7B929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1077" w:type="dxa"/>
            <w:vAlign w:val="center"/>
          </w:tcPr>
          <w:p w14:paraId="361FEDD7">
            <w:pPr>
              <w:pageBreakBefore w:val="0"/>
              <w:kinsoku/>
              <w:overflowPunct/>
              <w:topLinePunct w:val="0"/>
              <w:bidi w:val="0"/>
              <w:spacing w:line="360" w:lineRule="auto"/>
              <w:jc w:val="center"/>
              <w:rPr>
                <w:rFonts w:ascii="Times New Roman" w:hAnsi="Times New Roman"/>
                <w:color w:val="000000"/>
                <w:szCs w:val="21"/>
              </w:rPr>
            </w:pPr>
            <w:r>
              <w:rPr>
                <w:rFonts w:hint="eastAsia" w:ascii="Times New Roman" w:hAnsi="Times New Roman"/>
                <w:color w:val="000000"/>
                <w:szCs w:val="21"/>
              </w:rPr>
              <w:t>序号</w:t>
            </w:r>
          </w:p>
        </w:tc>
        <w:tc>
          <w:tcPr>
            <w:tcW w:w="2892" w:type="dxa"/>
            <w:vAlign w:val="center"/>
          </w:tcPr>
          <w:p w14:paraId="29482365">
            <w:pPr>
              <w:pageBreakBefore w:val="0"/>
              <w:kinsoku/>
              <w:overflowPunct/>
              <w:topLinePunct w:val="0"/>
              <w:bidi w:val="0"/>
              <w:spacing w:line="360" w:lineRule="auto"/>
              <w:jc w:val="center"/>
              <w:rPr>
                <w:rFonts w:ascii="Times New Roman" w:hAnsi="Times New Roman"/>
                <w:color w:val="000000"/>
                <w:szCs w:val="21"/>
              </w:rPr>
            </w:pPr>
            <w:r>
              <w:rPr>
                <w:rFonts w:hint="eastAsia" w:ascii="Times New Roman" w:hAnsi="Times New Roman"/>
                <w:color w:val="000000"/>
                <w:szCs w:val="21"/>
              </w:rPr>
              <w:t>招标文件的规定</w:t>
            </w:r>
          </w:p>
        </w:tc>
        <w:tc>
          <w:tcPr>
            <w:tcW w:w="2552" w:type="dxa"/>
            <w:vAlign w:val="center"/>
          </w:tcPr>
          <w:p w14:paraId="06DAE928">
            <w:pPr>
              <w:pageBreakBefore w:val="0"/>
              <w:kinsoku/>
              <w:overflowPunct/>
              <w:topLinePunct w:val="0"/>
              <w:bidi w:val="0"/>
              <w:spacing w:line="360" w:lineRule="auto"/>
              <w:jc w:val="center"/>
              <w:rPr>
                <w:rFonts w:ascii="Times New Roman" w:hAnsi="Times New Roman"/>
                <w:color w:val="000000"/>
                <w:szCs w:val="21"/>
              </w:rPr>
            </w:pPr>
            <w:r>
              <w:rPr>
                <w:rFonts w:hint="eastAsia" w:ascii="Times New Roman" w:hAnsi="Times New Roman"/>
                <w:color w:val="000000"/>
                <w:szCs w:val="21"/>
              </w:rPr>
              <w:t>投标文件的相应</w:t>
            </w:r>
          </w:p>
        </w:tc>
        <w:tc>
          <w:tcPr>
            <w:tcW w:w="1794" w:type="dxa"/>
            <w:vAlign w:val="center"/>
          </w:tcPr>
          <w:p w14:paraId="02C2923C">
            <w:pPr>
              <w:pageBreakBefore w:val="0"/>
              <w:kinsoku/>
              <w:overflowPunct/>
              <w:topLinePunct w:val="0"/>
              <w:bidi w:val="0"/>
              <w:spacing w:line="360" w:lineRule="auto"/>
              <w:jc w:val="center"/>
              <w:rPr>
                <w:rFonts w:ascii="Times New Roman" w:hAnsi="Times New Roman"/>
                <w:color w:val="000000"/>
                <w:szCs w:val="21"/>
              </w:rPr>
            </w:pPr>
            <w:r>
              <w:rPr>
                <w:rFonts w:hint="eastAsia" w:ascii="Times New Roman" w:hAnsi="Times New Roman"/>
                <w:color w:val="000000"/>
                <w:szCs w:val="21"/>
              </w:rPr>
              <w:t>偏离说明</w:t>
            </w:r>
          </w:p>
        </w:tc>
      </w:tr>
      <w:tr w14:paraId="565EE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1077" w:type="dxa"/>
            <w:vAlign w:val="center"/>
          </w:tcPr>
          <w:p w14:paraId="11E98861">
            <w:pPr>
              <w:pageBreakBefore w:val="0"/>
              <w:kinsoku/>
              <w:overflowPunct/>
              <w:topLinePunct w:val="0"/>
              <w:bidi w:val="0"/>
              <w:spacing w:line="360" w:lineRule="auto"/>
              <w:ind w:firstLine="420"/>
              <w:rPr>
                <w:rFonts w:ascii="Times New Roman" w:hAnsi="Times New Roman"/>
                <w:color w:val="000000"/>
                <w:szCs w:val="21"/>
              </w:rPr>
            </w:pPr>
          </w:p>
        </w:tc>
        <w:tc>
          <w:tcPr>
            <w:tcW w:w="2892" w:type="dxa"/>
            <w:vAlign w:val="center"/>
          </w:tcPr>
          <w:p w14:paraId="467D6E54">
            <w:pPr>
              <w:pageBreakBefore w:val="0"/>
              <w:kinsoku/>
              <w:overflowPunct/>
              <w:topLinePunct w:val="0"/>
              <w:bidi w:val="0"/>
              <w:spacing w:line="360" w:lineRule="auto"/>
              <w:ind w:firstLine="420"/>
              <w:jc w:val="center"/>
              <w:rPr>
                <w:rFonts w:ascii="Times New Roman" w:hAnsi="Times New Roman"/>
                <w:color w:val="000000"/>
                <w:szCs w:val="21"/>
              </w:rPr>
            </w:pPr>
          </w:p>
        </w:tc>
        <w:tc>
          <w:tcPr>
            <w:tcW w:w="2552" w:type="dxa"/>
            <w:vAlign w:val="center"/>
          </w:tcPr>
          <w:p w14:paraId="5370CCC5">
            <w:pPr>
              <w:pageBreakBefore w:val="0"/>
              <w:kinsoku/>
              <w:overflowPunct/>
              <w:topLinePunct w:val="0"/>
              <w:bidi w:val="0"/>
              <w:spacing w:line="360" w:lineRule="auto"/>
              <w:ind w:firstLine="420"/>
              <w:jc w:val="center"/>
              <w:rPr>
                <w:rFonts w:ascii="Times New Roman" w:hAnsi="Times New Roman"/>
                <w:color w:val="000000"/>
                <w:szCs w:val="21"/>
              </w:rPr>
            </w:pPr>
          </w:p>
        </w:tc>
        <w:tc>
          <w:tcPr>
            <w:tcW w:w="1794" w:type="dxa"/>
            <w:vAlign w:val="center"/>
          </w:tcPr>
          <w:p w14:paraId="566FBF03">
            <w:pPr>
              <w:pageBreakBefore w:val="0"/>
              <w:kinsoku/>
              <w:overflowPunct/>
              <w:topLinePunct w:val="0"/>
              <w:bidi w:val="0"/>
              <w:spacing w:line="360" w:lineRule="auto"/>
              <w:jc w:val="center"/>
              <w:rPr>
                <w:rFonts w:ascii="Times New Roman" w:hAnsi="Times New Roman"/>
                <w:color w:val="000000"/>
                <w:szCs w:val="21"/>
              </w:rPr>
            </w:pPr>
          </w:p>
        </w:tc>
      </w:tr>
      <w:tr w14:paraId="4BBFD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1077" w:type="dxa"/>
            <w:vAlign w:val="center"/>
          </w:tcPr>
          <w:p w14:paraId="69B68C77">
            <w:pPr>
              <w:pageBreakBefore w:val="0"/>
              <w:kinsoku/>
              <w:overflowPunct/>
              <w:topLinePunct w:val="0"/>
              <w:bidi w:val="0"/>
              <w:spacing w:line="360" w:lineRule="auto"/>
              <w:ind w:firstLine="420"/>
              <w:rPr>
                <w:rFonts w:ascii="Times New Roman" w:hAnsi="Times New Roman"/>
                <w:color w:val="000000"/>
                <w:szCs w:val="21"/>
              </w:rPr>
            </w:pPr>
          </w:p>
        </w:tc>
        <w:tc>
          <w:tcPr>
            <w:tcW w:w="2892" w:type="dxa"/>
            <w:vAlign w:val="center"/>
          </w:tcPr>
          <w:p w14:paraId="6EF40651">
            <w:pPr>
              <w:pageBreakBefore w:val="0"/>
              <w:kinsoku/>
              <w:overflowPunct/>
              <w:topLinePunct w:val="0"/>
              <w:bidi w:val="0"/>
              <w:spacing w:line="360" w:lineRule="auto"/>
              <w:ind w:firstLine="420"/>
              <w:jc w:val="center"/>
              <w:rPr>
                <w:rFonts w:ascii="Times New Roman" w:hAnsi="Times New Roman"/>
                <w:color w:val="000000"/>
                <w:szCs w:val="21"/>
              </w:rPr>
            </w:pPr>
          </w:p>
        </w:tc>
        <w:tc>
          <w:tcPr>
            <w:tcW w:w="2552" w:type="dxa"/>
            <w:vAlign w:val="center"/>
          </w:tcPr>
          <w:p w14:paraId="1704DF4B">
            <w:pPr>
              <w:pageBreakBefore w:val="0"/>
              <w:kinsoku/>
              <w:overflowPunct/>
              <w:topLinePunct w:val="0"/>
              <w:bidi w:val="0"/>
              <w:spacing w:line="360" w:lineRule="auto"/>
              <w:ind w:firstLine="420"/>
              <w:jc w:val="center"/>
              <w:rPr>
                <w:rFonts w:ascii="Times New Roman" w:hAnsi="Times New Roman"/>
                <w:color w:val="000000"/>
                <w:szCs w:val="21"/>
              </w:rPr>
            </w:pPr>
          </w:p>
        </w:tc>
        <w:tc>
          <w:tcPr>
            <w:tcW w:w="1794" w:type="dxa"/>
            <w:vAlign w:val="center"/>
          </w:tcPr>
          <w:p w14:paraId="38FF7AAC">
            <w:pPr>
              <w:pageBreakBefore w:val="0"/>
              <w:kinsoku/>
              <w:overflowPunct/>
              <w:topLinePunct w:val="0"/>
              <w:bidi w:val="0"/>
              <w:spacing w:line="360" w:lineRule="auto"/>
              <w:jc w:val="center"/>
              <w:rPr>
                <w:rFonts w:ascii="Times New Roman" w:hAnsi="Times New Roman"/>
                <w:color w:val="000000"/>
                <w:szCs w:val="21"/>
              </w:rPr>
            </w:pPr>
          </w:p>
        </w:tc>
      </w:tr>
      <w:tr w14:paraId="32E4D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1077" w:type="dxa"/>
            <w:vAlign w:val="center"/>
          </w:tcPr>
          <w:p w14:paraId="1BE63164">
            <w:pPr>
              <w:pageBreakBefore w:val="0"/>
              <w:kinsoku/>
              <w:overflowPunct/>
              <w:topLinePunct w:val="0"/>
              <w:bidi w:val="0"/>
              <w:spacing w:line="360" w:lineRule="auto"/>
              <w:ind w:firstLine="420"/>
              <w:rPr>
                <w:rFonts w:ascii="Times New Roman" w:hAnsi="Times New Roman"/>
                <w:color w:val="000000"/>
                <w:szCs w:val="21"/>
              </w:rPr>
            </w:pPr>
          </w:p>
        </w:tc>
        <w:tc>
          <w:tcPr>
            <w:tcW w:w="2892" w:type="dxa"/>
            <w:vAlign w:val="center"/>
          </w:tcPr>
          <w:p w14:paraId="547518CE">
            <w:pPr>
              <w:pageBreakBefore w:val="0"/>
              <w:kinsoku/>
              <w:overflowPunct/>
              <w:topLinePunct w:val="0"/>
              <w:bidi w:val="0"/>
              <w:spacing w:line="360" w:lineRule="auto"/>
              <w:ind w:firstLine="420"/>
              <w:jc w:val="center"/>
              <w:rPr>
                <w:rFonts w:ascii="Times New Roman" w:hAnsi="Times New Roman"/>
                <w:color w:val="000000"/>
                <w:szCs w:val="21"/>
              </w:rPr>
            </w:pPr>
          </w:p>
        </w:tc>
        <w:tc>
          <w:tcPr>
            <w:tcW w:w="2552" w:type="dxa"/>
            <w:vAlign w:val="center"/>
          </w:tcPr>
          <w:p w14:paraId="2F2BB4F4">
            <w:pPr>
              <w:pageBreakBefore w:val="0"/>
              <w:kinsoku/>
              <w:overflowPunct/>
              <w:topLinePunct w:val="0"/>
              <w:bidi w:val="0"/>
              <w:spacing w:line="360" w:lineRule="auto"/>
              <w:ind w:firstLine="420"/>
              <w:jc w:val="center"/>
              <w:rPr>
                <w:rFonts w:ascii="Times New Roman" w:hAnsi="Times New Roman"/>
                <w:color w:val="000000"/>
                <w:szCs w:val="21"/>
              </w:rPr>
            </w:pPr>
          </w:p>
        </w:tc>
        <w:tc>
          <w:tcPr>
            <w:tcW w:w="1794" w:type="dxa"/>
            <w:vAlign w:val="center"/>
          </w:tcPr>
          <w:p w14:paraId="53AA3D48">
            <w:pPr>
              <w:pageBreakBefore w:val="0"/>
              <w:kinsoku/>
              <w:overflowPunct/>
              <w:topLinePunct w:val="0"/>
              <w:bidi w:val="0"/>
              <w:spacing w:line="360" w:lineRule="auto"/>
              <w:jc w:val="center"/>
              <w:rPr>
                <w:rFonts w:ascii="Times New Roman" w:hAnsi="Times New Roman"/>
                <w:color w:val="000000"/>
                <w:szCs w:val="21"/>
              </w:rPr>
            </w:pPr>
          </w:p>
        </w:tc>
      </w:tr>
    </w:tbl>
    <w:p w14:paraId="3A1462C0">
      <w:pPr>
        <w:pageBreakBefore w:val="0"/>
        <w:kinsoku/>
        <w:overflowPunct/>
        <w:topLinePunct w:val="0"/>
        <w:bidi w:val="0"/>
        <w:spacing w:beforeLines="50" w:line="360" w:lineRule="auto"/>
        <w:ind w:firstLine="420"/>
        <w:rPr>
          <w:rFonts w:ascii="Times New Roman" w:hAnsi="Times New Roman"/>
          <w:color w:val="000000"/>
          <w:szCs w:val="21"/>
        </w:rPr>
      </w:pPr>
      <w:r>
        <w:rPr>
          <w:rFonts w:hint="eastAsia" w:ascii="Times New Roman" w:hAnsi="Times New Roman"/>
          <w:color w:val="000000"/>
          <w:szCs w:val="21"/>
        </w:rPr>
        <w:t>注：投标人的投标文件与招标文件第二章招标需求的规定存在偏离的，应在此表中如实说明。未在上表中说明的，将被认为完全响应招标文件的规定。</w:t>
      </w:r>
    </w:p>
    <w:p w14:paraId="4FB0E063">
      <w:pPr>
        <w:pageBreakBefore w:val="0"/>
        <w:kinsoku/>
        <w:overflowPunct/>
        <w:topLinePunct w:val="0"/>
        <w:bidi w:val="0"/>
        <w:spacing w:line="360" w:lineRule="auto"/>
        <w:ind w:firstLine="2100" w:firstLineChars="1000"/>
        <w:rPr>
          <w:rFonts w:ascii="Times New Roman" w:hAnsi="Times New Roman"/>
          <w:color w:val="000000"/>
          <w:szCs w:val="21"/>
        </w:rPr>
      </w:pPr>
    </w:p>
    <w:p w14:paraId="4666B32E">
      <w:pPr>
        <w:pageBreakBefore w:val="0"/>
        <w:kinsoku/>
        <w:overflowPunct/>
        <w:topLinePunct w:val="0"/>
        <w:bidi w:val="0"/>
        <w:spacing w:line="360" w:lineRule="auto"/>
        <w:ind w:firstLine="2100" w:firstLineChars="1000"/>
        <w:rPr>
          <w:rFonts w:ascii="Times New Roman" w:hAnsi="Times New Roman"/>
          <w:color w:val="000000"/>
          <w:szCs w:val="21"/>
        </w:rPr>
      </w:pPr>
      <w:r>
        <w:rPr>
          <w:rFonts w:hint="eastAsia" w:ascii="Times New Roman" w:hAnsi="Times New Roman"/>
          <w:color w:val="000000"/>
          <w:szCs w:val="21"/>
        </w:rPr>
        <w:t>投标人（加盖公章）：</w:t>
      </w:r>
      <w:r>
        <w:rPr>
          <w:rFonts w:ascii="Times New Roman" w:hAnsi="Times New Roman"/>
          <w:color w:val="000000"/>
          <w:szCs w:val="21"/>
          <w:u w:val="single"/>
        </w:rPr>
        <w:t xml:space="preserve">                        </w:t>
      </w:r>
    </w:p>
    <w:p w14:paraId="1E06019D">
      <w:pPr>
        <w:pageBreakBefore w:val="0"/>
        <w:kinsoku/>
        <w:overflowPunct/>
        <w:topLinePunct w:val="0"/>
        <w:bidi w:val="0"/>
        <w:spacing w:line="360" w:lineRule="auto"/>
        <w:ind w:firstLine="2100" w:firstLineChars="1000"/>
        <w:rPr>
          <w:rFonts w:ascii="Times New Roman" w:hAnsi="Times New Roman"/>
          <w:color w:val="000000"/>
          <w:szCs w:val="21"/>
        </w:rPr>
      </w:pPr>
      <w:r>
        <w:rPr>
          <w:rFonts w:hint="eastAsia" w:ascii="Times New Roman" w:hAnsi="Times New Roman"/>
          <w:color w:val="000000"/>
          <w:szCs w:val="21"/>
        </w:rPr>
        <w:t>法定代表人或被授权人签字（或盖章）：</w:t>
      </w:r>
      <w:r>
        <w:rPr>
          <w:rFonts w:ascii="Times New Roman" w:hAnsi="Times New Roman"/>
          <w:color w:val="000000"/>
          <w:szCs w:val="21"/>
          <w:u w:val="single"/>
        </w:rPr>
        <w:t xml:space="preserve">                     </w:t>
      </w:r>
    </w:p>
    <w:p w14:paraId="39FEC944">
      <w:pPr>
        <w:pageBreakBefore w:val="0"/>
        <w:kinsoku/>
        <w:overflowPunct/>
        <w:topLinePunct w:val="0"/>
        <w:bidi w:val="0"/>
        <w:spacing w:line="360" w:lineRule="auto"/>
        <w:ind w:firstLine="4305" w:firstLineChars="2050"/>
        <w:rPr>
          <w:rFonts w:ascii="Times New Roman" w:hAnsi="Times New Roman"/>
          <w:color w:val="000000"/>
          <w:szCs w:val="21"/>
        </w:rPr>
      </w:pPr>
      <w:r>
        <w:rPr>
          <w:rFonts w:hint="eastAsia" w:ascii="Times New Roman" w:hAnsi="Times New Roman"/>
          <w:color w:val="000000"/>
          <w:szCs w:val="21"/>
        </w:rPr>
        <w:t>日</w:t>
      </w:r>
      <w:r>
        <w:rPr>
          <w:rFonts w:ascii="Times New Roman" w:hAnsi="Times New Roman"/>
          <w:color w:val="000000"/>
          <w:szCs w:val="21"/>
        </w:rPr>
        <w:t xml:space="preserve">    </w:t>
      </w:r>
      <w:r>
        <w:rPr>
          <w:rFonts w:hint="eastAsia" w:ascii="Times New Roman" w:hAnsi="Times New Roman"/>
          <w:color w:val="000000"/>
          <w:szCs w:val="21"/>
        </w:rPr>
        <w:t>期：</w:t>
      </w:r>
      <w:r>
        <w:rPr>
          <w:rFonts w:ascii="Times New Roman" w:hAnsi="Times New Roman"/>
          <w:color w:val="000000"/>
          <w:szCs w:val="21"/>
          <w:u w:val="single"/>
        </w:rPr>
        <w:t xml:space="preserve">     </w:t>
      </w:r>
      <w:r>
        <w:rPr>
          <w:rFonts w:hint="eastAsia" w:ascii="Times New Roman" w:hAnsi="Times New Roman"/>
          <w:color w:val="000000"/>
          <w:szCs w:val="21"/>
        </w:rPr>
        <w:t>年</w:t>
      </w:r>
      <w:r>
        <w:rPr>
          <w:rFonts w:ascii="Times New Roman" w:hAnsi="Times New Roman"/>
          <w:color w:val="000000"/>
          <w:szCs w:val="21"/>
          <w:u w:val="single"/>
        </w:rPr>
        <w:t xml:space="preserve">    </w:t>
      </w:r>
      <w:r>
        <w:rPr>
          <w:rFonts w:hint="eastAsia" w:ascii="Times New Roman" w:hAnsi="Times New Roman"/>
          <w:color w:val="000000"/>
          <w:szCs w:val="21"/>
        </w:rPr>
        <w:t>月</w:t>
      </w:r>
      <w:r>
        <w:rPr>
          <w:rFonts w:ascii="Times New Roman" w:hAnsi="Times New Roman"/>
          <w:color w:val="000000"/>
          <w:szCs w:val="21"/>
          <w:u w:val="single"/>
        </w:rPr>
        <w:t xml:space="preserve">    </w:t>
      </w:r>
      <w:r>
        <w:rPr>
          <w:rFonts w:hint="eastAsia" w:ascii="Times New Roman" w:hAnsi="Times New Roman"/>
          <w:color w:val="000000"/>
          <w:szCs w:val="21"/>
        </w:rPr>
        <w:t>日</w:t>
      </w:r>
    </w:p>
    <w:p w14:paraId="28264FBB">
      <w:pPr>
        <w:pStyle w:val="303"/>
        <w:pageBreakBefore w:val="0"/>
        <w:kinsoku/>
        <w:overflowPunct/>
        <w:topLinePunct w:val="0"/>
        <w:bidi w:val="0"/>
        <w:spacing w:line="360" w:lineRule="auto"/>
        <w:ind w:firstLine="422"/>
        <w:jc w:val="left"/>
        <w:rPr>
          <w:rFonts w:ascii="Times New Roman" w:hAnsi="Times New Roman" w:eastAsia="宋体"/>
          <w:b/>
          <w:color w:val="000000"/>
          <w:sz w:val="21"/>
          <w:szCs w:val="21"/>
        </w:rPr>
      </w:pPr>
    </w:p>
    <w:p w14:paraId="3B722A49">
      <w:pPr>
        <w:pageBreakBefore w:val="0"/>
        <w:kinsoku/>
        <w:overflowPunct/>
        <w:topLinePunct w:val="0"/>
        <w:bidi w:val="0"/>
        <w:snapToGrid w:val="0"/>
        <w:spacing w:beforeLines="50" w:after="50" w:line="360" w:lineRule="auto"/>
        <w:ind w:firstLine="420"/>
        <w:rPr>
          <w:rFonts w:ascii="Times New Roman" w:hAnsi="Times New Roman"/>
          <w:color w:val="000000"/>
          <w:szCs w:val="21"/>
        </w:rPr>
      </w:pPr>
    </w:p>
    <w:p w14:paraId="2F480938">
      <w:pPr>
        <w:pageBreakBefore w:val="0"/>
        <w:widowControl/>
        <w:kinsoku/>
        <w:overflowPunct/>
        <w:topLinePunct w:val="0"/>
        <w:bidi w:val="0"/>
        <w:spacing w:line="360" w:lineRule="auto"/>
        <w:ind w:firstLine="422"/>
        <w:jc w:val="left"/>
        <w:rPr>
          <w:rFonts w:ascii="Times New Roman" w:hAnsi="Times New Roman"/>
          <w:b/>
          <w:color w:val="000000"/>
          <w:szCs w:val="21"/>
        </w:rPr>
        <w:sectPr>
          <w:pgSz w:w="11906" w:h="16838"/>
          <w:pgMar w:top="1440" w:right="1797" w:bottom="1440" w:left="1797" w:header="851" w:footer="851" w:gutter="0"/>
          <w:cols w:space="720" w:num="1"/>
        </w:sectPr>
      </w:pPr>
    </w:p>
    <w:p w14:paraId="1D4C7DAF">
      <w:pPr>
        <w:pStyle w:val="303"/>
        <w:pageBreakBefore w:val="0"/>
        <w:kinsoku/>
        <w:overflowPunct/>
        <w:topLinePunct w:val="0"/>
        <w:bidi w:val="0"/>
        <w:spacing w:line="360" w:lineRule="auto"/>
        <w:ind w:firstLine="422"/>
        <w:rPr>
          <w:rFonts w:ascii="Times New Roman" w:hAnsi="Times New Roman" w:eastAsia="宋体"/>
          <w:b/>
          <w:color w:val="000000"/>
          <w:sz w:val="21"/>
          <w:szCs w:val="21"/>
        </w:rPr>
      </w:pPr>
      <w:r>
        <w:rPr>
          <w:rFonts w:ascii="Times New Roman" w:hAnsi="Times New Roman" w:eastAsia="宋体"/>
          <w:b/>
          <w:color w:val="000000"/>
          <w:sz w:val="21"/>
          <w:szCs w:val="21"/>
        </w:rPr>
        <w:t>1</w:t>
      </w:r>
      <w:r>
        <w:rPr>
          <w:rFonts w:hint="eastAsia" w:ascii="Times New Roman" w:hAnsi="Times New Roman" w:eastAsia="宋体"/>
          <w:b/>
          <w:color w:val="000000"/>
          <w:sz w:val="21"/>
          <w:szCs w:val="21"/>
        </w:rPr>
        <w:t>1、项目实施人员一览表</w:t>
      </w:r>
    </w:p>
    <w:p w14:paraId="38917CAE">
      <w:pPr>
        <w:pStyle w:val="23"/>
        <w:pageBreakBefore w:val="0"/>
        <w:kinsoku/>
        <w:overflowPunct/>
        <w:topLinePunct w:val="0"/>
        <w:bidi w:val="0"/>
        <w:adjustRightInd w:val="0"/>
        <w:spacing w:before="120" w:line="360" w:lineRule="auto"/>
        <w:ind w:firstLine="422"/>
        <w:jc w:val="center"/>
        <w:textAlignment w:val="baseline"/>
        <w:rPr>
          <w:rFonts w:ascii="Times New Roman" w:hAnsi="Times New Roman"/>
          <w:color w:val="000000"/>
          <w:sz w:val="21"/>
          <w:szCs w:val="21"/>
        </w:rPr>
      </w:pPr>
      <w:r>
        <w:rPr>
          <w:rFonts w:hint="eastAsia" w:ascii="Times New Roman" w:hAnsi="Times New Roman"/>
          <w:b/>
          <w:color w:val="000000"/>
          <w:sz w:val="21"/>
          <w:szCs w:val="21"/>
        </w:rPr>
        <w:t>项目实施人员一览表</w:t>
      </w:r>
    </w:p>
    <w:tbl>
      <w:tblPr>
        <w:tblStyle w:val="51"/>
        <w:tblW w:w="8437"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85"/>
        <w:gridCol w:w="1224"/>
        <w:gridCol w:w="993"/>
        <w:gridCol w:w="1134"/>
        <w:gridCol w:w="1559"/>
        <w:gridCol w:w="1682"/>
        <w:gridCol w:w="1260"/>
      </w:tblGrid>
      <w:tr w14:paraId="328B7F0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585" w:type="dxa"/>
            <w:tcBorders>
              <w:top w:val="single" w:color="auto" w:sz="4" w:space="0"/>
              <w:left w:val="single" w:color="auto" w:sz="4" w:space="0"/>
              <w:bottom w:val="single" w:color="auto" w:sz="4" w:space="0"/>
              <w:right w:val="single" w:color="auto" w:sz="4" w:space="0"/>
            </w:tcBorders>
            <w:vAlign w:val="center"/>
          </w:tcPr>
          <w:p w14:paraId="63DC0578">
            <w:pPr>
              <w:pStyle w:val="32"/>
              <w:pageBreakBefore w:val="0"/>
              <w:kinsoku/>
              <w:overflowPunct/>
              <w:topLinePunct w:val="0"/>
              <w:bidi w:val="0"/>
              <w:spacing w:line="360" w:lineRule="auto"/>
              <w:jc w:val="center"/>
              <w:rPr>
                <w:rFonts w:ascii="Times New Roman" w:hAnsi="Times New Roman"/>
                <w:color w:val="000000"/>
                <w:sz w:val="21"/>
                <w:szCs w:val="21"/>
              </w:rPr>
            </w:pPr>
            <w:r>
              <w:rPr>
                <w:rFonts w:hint="eastAsia" w:ascii="Times New Roman" w:hAnsi="Times New Roman"/>
                <w:color w:val="000000"/>
                <w:sz w:val="21"/>
                <w:szCs w:val="21"/>
              </w:rPr>
              <w:t>序号</w:t>
            </w:r>
          </w:p>
        </w:tc>
        <w:tc>
          <w:tcPr>
            <w:tcW w:w="1224" w:type="dxa"/>
            <w:tcBorders>
              <w:top w:val="single" w:color="auto" w:sz="4" w:space="0"/>
              <w:left w:val="single" w:color="auto" w:sz="4" w:space="0"/>
              <w:bottom w:val="single" w:color="auto" w:sz="4" w:space="0"/>
              <w:right w:val="single" w:color="auto" w:sz="4" w:space="0"/>
            </w:tcBorders>
            <w:vAlign w:val="center"/>
          </w:tcPr>
          <w:p w14:paraId="2DEA301A">
            <w:pPr>
              <w:pStyle w:val="32"/>
              <w:pageBreakBefore w:val="0"/>
              <w:kinsoku/>
              <w:overflowPunct/>
              <w:topLinePunct w:val="0"/>
              <w:bidi w:val="0"/>
              <w:spacing w:line="360" w:lineRule="auto"/>
              <w:jc w:val="center"/>
              <w:rPr>
                <w:rFonts w:ascii="Times New Roman" w:hAnsi="Times New Roman"/>
                <w:color w:val="000000"/>
                <w:sz w:val="21"/>
                <w:szCs w:val="21"/>
              </w:rPr>
            </w:pPr>
            <w:r>
              <w:rPr>
                <w:rFonts w:hint="eastAsia" w:ascii="Times New Roman" w:hAnsi="Times New Roman"/>
                <w:color w:val="000000"/>
                <w:sz w:val="21"/>
                <w:szCs w:val="21"/>
              </w:rPr>
              <w:t>项目担任职务</w:t>
            </w:r>
          </w:p>
        </w:tc>
        <w:tc>
          <w:tcPr>
            <w:tcW w:w="993" w:type="dxa"/>
            <w:tcBorders>
              <w:top w:val="single" w:color="auto" w:sz="4" w:space="0"/>
              <w:left w:val="single" w:color="auto" w:sz="4" w:space="0"/>
              <w:bottom w:val="single" w:color="auto" w:sz="4" w:space="0"/>
              <w:right w:val="single" w:color="auto" w:sz="4" w:space="0"/>
            </w:tcBorders>
            <w:vAlign w:val="center"/>
          </w:tcPr>
          <w:p w14:paraId="4CEC129E">
            <w:pPr>
              <w:pStyle w:val="32"/>
              <w:pageBreakBefore w:val="0"/>
              <w:kinsoku/>
              <w:overflowPunct/>
              <w:topLinePunct w:val="0"/>
              <w:bidi w:val="0"/>
              <w:spacing w:line="360" w:lineRule="auto"/>
              <w:jc w:val="center"/>
              <w:rPr>
                <w:rFonts w:ascii="Times New Roman" w:hAnsi="Times New Roman"/>
                <w:color w:val="000000"/>
                <w:sz w:val="21"/>
                <w:szCs w:val="21"/>
              </w:rPr>
            </w:pPr>
            <w:r>
              <w:rPr>
                <w:rFonts w:hint="eastAsia" w:ascii="Times New Roman" w:hAnsi="Times New Roman"/>
                <w:color w:val="000000"/>
                <w:sz w:val="21"/>
                <w:szCs w:val="21"/>
              </w:rPr>
              <w:t>姓名</w:t>
            </w:r>
          </w:p>
        </w:tc>
        <w:tc>
          <w:tcPr>
            <w:tcW w:w="1134" w:type="dxa"/>
            <w:tcBorders>
              <w:top w:val="single" w:color="auto" w:sz="4" w:space="0"/>
              <w:left w:val="single" w:color="auto" w:sz="4" w:space="0"/>
              <w:bottom w:val="single" w:color="auto" w:sz="4" w:space="0"/>
              <w:right w:val="single" w:color="auto" w:sz="4" w:space="0"/>
            </w:tcBorders>
            <w:vAlign w:val="center"/>
          </w:tcPr>
          <w:p w14:paraId="7C6E98F9">
            <w:pPr>
              <w:jc w:val="center"/>
              <w:rPr>
                <w:rFonts w:ascii="Times New Roman" w:hAnsi="Times New Roman"/>
                <w:color w:val="000000"/>
                <w:sz w:val="21"/>
                <w:szCs w:val="21"/>
              </w:rPr>
            </w:pPr>
            <w:r>
              <w:rPr>
                <w:rFonts w:hint="eastAsia" w:ascii="宋体" w:hAnsi="宋体" w:cs="Arial"/>
                <w:sz w:val="22"/>
              </w:rPr>
              <w:t>学历</w:t>
            </w:r>
          </w:p>
        </w:tc>
        <w:tc>
          <w:tcPr>
            <w:tcW w:w="1559" w:type="dxa"/>
            <w:tcBorders>
              <w:top w:val="single" w:color="auto" w:sz="4" w:space="0"/>
              <w:left w:val="single" w:color="auto" w:sz="4" w:space="0"/>
              <w:bottom w:val="single" w:color="auto" w:sz="4" w:space="0"/>
              <w:right w:val="single" w:color="auto" w:sz="4" w:space="0"/>
            </w:tcBorders>
            <w:vAlign w:val="center"/>
          </w:tcPr>
          <w:p w14:paraId="65DC4C9E">
            <w:pPr>
              <w:jc w:val="center"/>
              <w:rPr>
                <w:rFonts w:ascii="Times New Roman" w:hAnsi="Times New Roman"/>
                <w:color w:val="000000"/>
                <w:sz w:val="21"/>
                <w:szCs w:val="21"/>
              </w:rPr>
            </w:pPr>
            <w:r>
              <w:rPr>
                <w:rFonts w:hint="eastAsia" w:ascii="宋体" w:hAnsi="宋体" w:cs="Arial"/>
                <w:sz w:val="22"/>
              </w:rPr>
              <w:t>年龄</w:t>
            </w:r>
          </w:p>
        </w:tc>
        <w:tc>
          <w:tcPr>
            <w:tcW w:w="1682" w:type="dxa"/>
            <w:tcBorders>
              <w:top w:val="single" w:color="auto" w:sz="4" w:space="0"/>
              <w:left w:val="single" w:color="auto" w:sz="4" w:space="0"/>
              <w:bottom w:val="single" w:color="auto" w:sz="4" w:space="0"/>
              <w:right w:val="single" w:color="auto" w:sz="4" w:space="0"/>
            </w:tcBorders>
            <w:vAlign w:val="center"/>
          </w:tcPr>
          <w:p w14:paraId="326479AF">
            <w:pPr>
              <w:jc w:val="center"/>
              <w:rPr>
                <w:rFonts w:hint="eastAsia" w:ascii="Times New Roman" w:hAnsi="Times New Roman" w:eastAsia="宋体"/>
                <w:color w:val="000000"/>
                <w:sz w:val="21"/>
                <w:szCs w:val="21"/>
                <w:lang w:eastAsia="zh-CN"/>
              </w:rPr>
            </w:pPr>
            <w:r>
              <w:rPr>
                <w:rFonts w:hint="eastAsia" w:ascii="宋体" w:hAnsi="宋体" w:cs="Arial"/>
                <w:sz w:val="22"/>
                <w:lang w:val="en-US" w:eastAsia="zh-CN"/>
              </w:rPr>
              <w:t>职称</w:t>
            </w:r>
          </w:p>
        </w:tc>
        <w:tc>
          <w:tcPr>
            <w:tcW w:w="1260" w:type="dxa"/>
            <w:tcBorders>
              <w:top w:val="single" w:color="auto" w:sz="4" w:space="0"/>
              <w:left w:val="single" w:color="auto" w:sz="4" w:space="0"/>
              <w:bottom w:val="single" w:color="auto" w:sz="4" w:space="0"/>
              <w:right w:val="single" w:color="auto" w:sz="4" w:space="0"/>
            </w:tcBorders>
            <w:vAlign w:val="center"/>
          </w:tcPr>
          <w:p w14:paraId="00AE23FD">
            <w:pPr>
              <w:pStyle w:val="32"/>
              <w:pageBreakBefore w:val="0"/>
              <w:kinsoku/>
              <w:overflowPunct/>
              <w:topLinePunct w:val="0"/>
              <w:bidi w:val="0"/>
              <w:spacing w:line="360" w:lineRule="auto"/>
              <w:jc w:val="center"/>
              <w:rPr>
                <w:rFonts w:hint="eastAsia" w:ascii="Times New Roman" w:hAnsi="Times New Roman"/>
                <w:color w:val="000000"/>
                <w:sz w:val="21"/>
                <w:szCs w:val="21"/>
              </w:rPr>
            </w:pPr>
            <w:r>
              <w:rPr>
                <w:rFonts w:hint="eastAsia" w:ascii="Times New Roman" w:hAnsi="Times New Roman"/>
                <w:color w:val="000000"/>
                <w:sz w:val="21"/>
                <w:szCs w:val="21"/>
              </w:rPr>
              <w:t>从事相关工作年限</w:t>
            </w:r>
          </w:p>
        </w:tc>
      </w:tr>
      <w:tr w14:paraId="57C688A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585" w:type="dxa"/>
            <w:tcBorders>
              <w:top w:val="single" w:color="auto" w:sz="4" w:space="0"/>
              <w:left w:val="single" w:color="auto" w:sz="4" w:space="0"/>
              <w:bottom w:val="single" w:color="auto" w:sz="4" w:space="0"/>
              <w:right w:val="single" w:color="auto" w:sz="4" w:space="0"/>
            </w:tcBorders>
            <w:vAlign w:val="center"/>
          </w:tcPr>
          <w:p w14:paraId="2A13E109">
            <w:pPr>
              <w:pStyle w:val="32"/>
              <w:pageBreakBefore w:val="0"/>
              <w:kinsoku/>
              <w:overflowPunct/>
              <w:topLinePunct w:val="0"/>
              <w:bidi w:val="0"/>
              <w:spacing w:line="360" w:lineRule="auto"/>
              <w:jc w:val="center"/>
              <w:rPr>
                <w:rFonts w:ascii="Times New Roman" w:hAnsi="Times New Roman"/>
                <w:color w:val="000000"/>
                <w:sz w:val="21"/>
                <w:szCs w:val="21"/>
              </w:rPr>
            </w:pPr>
            <w:r>
              <w:rPr>
                <w:rFonts w:ascii="Times New Roman" w:hAnsi="Times New Roman"/>
                <w:color w:val="000000"/>
                <w:sz w:val="21"/>
                <w:szCs w:val="21"/>
              </w:rPr>
              <w:t>1</w:t>
            </w:r>
          </w:p>
        </w:tc>
        <w:tc>
          <w:tcPr>
            <w:tcW w:w="1224" w:type="dxa"/>
            <w:tcBorders>
              <w:top w:val="single" w:color="auto" w:sz="4" w:space="0"/>
              <w:left w:val="single" w:color="auto" w:sz="4" w:space="0"/>
              <w:bottom w:val="single" w:color="auto" w:sz="4" w:space="0"/>
              <w:right w:val="single" w:color="auto" w:sz="4" w:space="0"/>
            </w:tcBorders>
            <w:vAlign w:val="center"/>
          </w:tcPr>
          <w:p w14:paraId="50C54566">
            <w:pPr>
              <w:pStyle w:val="32"/>
              <w:pageBreakBefore w:val="0"/>
              <w:kinsoku/>
              <w:overflowPunct/>
              <w:topLinePunct w:val="0"/>
              <w:bidi w:val="0"/>
              <w:spacing w:line="360" w:lineRule="auto"/>
              <w:jc w:val="center"/>
              <w:rPr>
                <w:rFonts w:hint="default" w:ascii="Times New Roman" w:hAnsi="Times New Roman" w:eastAsia="宋体"/>
                <w:color w:val="000000"/>
                <w:sz w:val="21"/>
                <w:szCs w:val="21"/>
                <w:lang w:val="en-US" w:eastAsia="zh-CN"/>
              </w:rPr>
            </w:pPr>
            <w:r>
              <w:rPr>
                <w:rFonts w:hint="eastAsia" w:ascii="Times New Roman" w:hAnsi="Times New Roman"/>
                <w:color w:val="000000"/>
                <w:sz w:val="21"/>
                <w:szCs w:val="21"/>
                <w:lang w:val="en-US" w:eastAsia="zh-CN"/>
              </w:rPr>
              <w:t>项目经理</w:t>
            </w:r>
          </w:p>
        </w:tc>
        <w:tc>
          <w:tcPr>
            <w:tcW w:w="993" w:type="dxa"/>
            <w:tcBorders>
              <w:top w:val="single" w:color="auto" w:sz="4" w:space="0"/>
              <w:left w:val="single" w:color="auto" w:sz="4" w:space="0"/>
              <w:bottom w:val="single" w:color="auto" w:sz="4" w:space="0"/>
              <w:right w:val="single" w:color="auto" w:sz="4" w:space="0"/>
            </w:tcBorders>
            <w:vAlign w:val="center"/>
          </w:tcPr>
          <w:p w14:paraId="7E7B058D">
            <w:pPr>
              <w:pStyle w:val="32"/>
              <w:pageBreakBefore w:val="0"/>
              <w:kinsoku/>
              <w:overflowPunct/>
              <w:topLinePunct w:val="0"/>
              <w:bidi w:val="0"/>
              <w:spacing w:line="360" w:lineRule="auto"/>
              <w:jc w:val="center"/>
              <w:rPr>
                <w:rFonts w:ascii="Times New Roman" w:hAnsi="Times New Roman"/>
                <w:color w:val="000000"/>
                <w:sz w:val="21"/>
                <w:szCs w:val="21"/>
              </w:rPr>
            </w:pPr>
          </w:p>
        </w:tc>
        <w:tc>
          <w:tcPr>
            <w:tcW w:w="1134" w:type="dxa"/>
            <w:tcBorders>
              <w:top w:val="single" w:color="auto" w:sz="4" w:space="0"/>
              <w:left w:val="single" w:color="auto" w:sz="4" w:space="0"/>
              <w:bottom w:val="single" w:color="auto" w:sz="4" w:space="0"/>
              <w:right w:val="single" w:color="auto" w:sz="4" w:space="0"/>
            </w:tcBorders>
            <w:vAlign w:val="center"/>
          </w:tcPr>
          <w:p w14:paraId="37A254C9">
            <w:pPr>
              <w:pStyle w:val="32"/>
              <w:pageBreakBefore w:val="0"/>
              <w:kinsoku/>
              <w:overflowPunct/>
              <w:topLinePunct w:val="0"/>
              <w:bidi w:val="0"/>
              <w:spacing w:line="360" w:lineRule="auto"/>
              <w:jc w:val="center"/>
              <w:rPr>
                <w:rFonts w:ascii="Times New Roman" w:hAnsi="Times New Roman"/>
                <w:color w:val="000000"/>
                <w:sz w:val="21"/>
                <w:szCs w:val="21"/>
              </w:rPr>
            </w:pPr>
          </w:p>
        </w:tc>
        <w:tc>
          <w:tcPr>
            <w:tcW w:w="1559" w:type="dxa"/>
            <w:tcBorders>
              <w:top w:val="single" w:color="auto" w:sz="4" w:space="0"/>
              <w:left w:val="single" w:color="auto" w:sz="4" w:space="0"/>
              <w:bottom w:val="single" w:color="auto" w:sz="4" w:space="0"/>
              <w:right w:val="single" w:color="auto" w:sz="4" w:space="0"/>
            </w:tcBorders>
            <w:vAlign w:val="center"/>
          </w:tcPr>
          <w:p w14:paraId="30497B1A">
            <w:pPr>
              <w:pStyle w:val="32"/>
              <w:pageBreakBefore w:val="0"/>
              <w:kinsoku/>
              <w:overflowPunct/>
              <w:topLinePunct w:val="0"/>
              <w:bidi w:val="0"/>
              <w:spacing w:line="360" w:lineRule="auto"/>
              <w:jc w:val="center"/>
              <w:rPr>
                <w:rFonts w:ascii="Times New Roman" w:hAnsi="Times New Roman"/>
                <w:color w:val="000000"/>
                <w:sz w:val="21"/>
                <w:szCs w:val="21"/>
              </w:rPr>
            </w:pPr>
          </w:p>
        </w:tc>
        <w:tc>
          <w:tcPr>
            <w:tcW w:w="1682" w:type="dxa"/>
            <w:tcBorders>
              <w:top w:val="single" w:color="auto" w:sz="4" w:space="0"/>
              <w:left w:val="single" w:color="auto" w:sz="4" w:space="0"/>
              <w:bottom w:val="single" w:color="auto" w:sz="4" w:space="0"/>
              <w:right w:val="single" w:color="auto" w:sz="4" w:space="0"/>
            </w:tcBorders>
            <w:vAlign w:val="center"/>
          </w:tcPr>
          <w:p w14:paraId="19163DA5">
            <w:pPr>
              <w:pStyle w:val="32"/>
              <w:pageBreakBefore w:val="0"/>
              <w:kinsoku/>
              <w:overflowPunct/>
              <w:topLinePunct w:val="0"/>
              <w:bidi w:val="0"/>
              <w:spacing w:line="360" w:lineRule="auto"/>
              <w:jc w:val="center"/>
              <w:rPr>
                <w:rFonts w:ascii="Times New Roman" w:hAnsi="Times New Roman"/>
                <w:color w:val="000000"/>
                <w:sz w:val="21"/>
                <w:szCs w:val="21"/>
              </w:rPr>
            </w:pPr>
          </w:p>
        </w:tc>
        <w:tc>
          <w:tcPr>
            <w:tcW w:w="1260" w:type="dxa"/>
            <w:tcBorders>
              <w:top w:val="single" w:color="auto" w:sz="4" w:space="0"/>
              <w:left w:val="single" w:color="auto" w:sz="4" w:space="0"/>
              <w:bottom w:val="single" w:color="auto" w:sz="4" w:space="0"/>
              <w:right w:val="single" w:color="auto" w:sz="4" w:space="0"/>
            </w:tcBorders>
            <w:vAlign w:val="center"/>
          </w:tcPr>
          <w:p w14:paraId="157E9FE0">
            <w:pPr>
              <w:pStyle w:val="32"/>
              <w:pageBreakBefore w:val="0"/>
              <w:kinsoku/>
              <w:overflowPunct/>
              <w:topLinePunct w:val="0"/>
              <w:bidi w:val="0"/>
              <w:spacing w:line="360" w:lineRule="auto"/>
              <w:jc w:val="center"/>
              <w:rPr>
                <w:rFonts w:ascii="Times New Roman" w:hAnsi="Times New Roman"/>
                <w:color w:val="000000"/>
                <w:sz w:val="21"/>
                <w:szCs w:val="21"/>
              </w:rPr>
            </w:pPr>
          </w:p>
        </w:tc>
      </w:tr>
      <w:tr w14:paraId="313D74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585" w:type="dxa"/>
            <w:tcBorders>
              <w:top w:val="single" w:color="auto" w:sz="4" w:space="0"/>
              <w:left w:val="single" w:color="auto" w:sz="4" w:space="0"/>
              <w:bottom w:val="single" w:color="auto" w:sz="4" w:space="0"/>
              <w:right w:val="single" w:color="auto" w:sz="4" w:space="0"/>
            </w:tcBorders>
            <w:vAlign w:val="center"/>
          </w:tcPr>
          <w:p w14:paraId="5B0FD7FB">
            <w:pPr>
              <w:pStyle w:val="32"/>
              <w:pageBreakBefore w:val="0"/>
              <w:kinsoku/>
              <w:overflowPunct/>
              <w:topLinePunct w:val="0"/>
              <w:bidi w:val="0"/>
              <w:spacing w:line="360" w:lineRule="auto"/>
              <w:jc w:val="center"/>
              <w:rPr>
                <w:rFonts w:ascii="Times New Roman" w:hAnsi="Times New Roman"/>
                <w:color w:val="000000"/>
                <w:sz w:val="21"/>
                <w:szCs w:val="21"/>
              </w:rPr>
            </w:pPr>
            <w:r>
              <w:rPr>
                <w:rFonts w:ascii="Times New Roman" w:hAnsi="Times New Roman"/>
                <w:color w:val="000000"/>
                <w:sz w:val="21"/>
                <w:szCs w:val="21"/>
              </w:rPr>
              <w:t>2</w:t>
            </w:r>
          </w:p>
        </w:tc>
        <w:tc>
          <w:tcPr>
            <w:tcW w:w="1224" w:type="dxa"/>
            <w:tcBorders>
              <w:top w:val="single" w:color="auto" w:sz="4" w:space="0"/>
              <w:left w:val="single" w:color="auto" w:sz="4" w:space="0"/>
              <w:bottom w:val="single" w:color="auto" w:sz="4" w:space="0"/>
              <w:right w:val="single" w:color="auto" w:sz="4" w:space="0"/>
            </w:tcBorders>
            <w:vAlign w:val="center"/>
          </w:tcPr>
          <w:p w14:paraId="3DF85ADE">
            <w:pPr>
              <w:pStyle w:val="32"/>
              <w:pageBreakBefore w:val="0"/>
              <w:kinsoku/>
              <w:overflowPunct/>
              <w:topLinePunct w:val="0"/>
              <w:bidi w:val="0"/>
              <w:spacing w:line="360" w:lineRule="auto"/>
              <w:jc w:val="center"/>
              <w:rPr>
                <w:rFonts w:ascii="Times New Roman" w:hAnsi="Times New Roman"/>
                <w:color w:val="000000"/>
                <w:sz w:val="21"/>
                <w:szCs w:val="21"/>
              </w:rPr>
            </w:pPr>
          </w:p>
        </w:tc>
        <w:tc>
          <w:tcPr>
            <w:tcW w:w="993" w:type="dxa"/>
            <w:tcBorders>
              <w:top w:val="single" w:color="auto" w:sz="4" w:space="0"/>
              <w:left w:val="single" w:color="auto" w:sz="4" w:space="0"/>
              <w:bottom w:val="single" w:color="auto" w:sz="4" w:space="0"/>
              <w:right w:val="single" w:color="auto" w:sz="4" w:space="0"/>
            </w:tcBorders>
            <w:vAlign w:val="center"/>
          </w:tcPr>
          <w:p w14:paraId="5A6FCE9E">
            <w:pPr>
              <w:pStyle w:val="32"/>
              <w:pageBreakBefore w:val="0"/>
              <w:kinsoku/>
              <w:overflowPunct/>
              <w:topLinePunct w:val="0"/>
              <w:bidi w:val="0"/>
              <w:spacing w:line="360" w:lineRule="auto"/>
              <w:jc w:val="center"/>
              <w:rPr>
                <w:rFonts w:ascii="Times New Roman" w:hAnsi="Times New Roman"/>
                <w:color w:val="000000"/>
                <w:sz w:val="21"/>
                <w:szCs w:val="21"/>
              </w:rPr>
            </w:pPr>
          </w:p>
        </w:tc>
        <w:tc>
          <w:tcPr>
            <w:tcW w:w="1134" w:type="dxa"/>
            <w:tcBorders>
              <w:top w:val="single" w:color="auto" w:sz="4" w:space="0"/>
              <w:left w:val="single" w:color="auto" w:sz="4" w:space="0"/>
              <w:bottom w:val="single" w:color="auto" w:sz="4" w:space="0"/>
              <w:right w:val="single" w:color="auto" w:sz="4" w:space="0"/>
            </w:tcBorders>
            <w:vAlign w:val="center"/>
          </w:tcPr>
          <w:p w14:paraId="3429F5EE">
            <w:pPr>
              <w:pStyle w:val="32"/>
              <w:pageBreakBefore w:val="0"/>
              <w:kinsoku/>
              <w:overflowPunct/>
              <w:topLinePunct w:val="0"/>
              <w:bidi w:val="0"/>
              <w:spacing w:line="360" w:lineRule="auto"/>
              <w:jc w:val="center"/>
              <w:rPr>
                <w:rFonts w:ascii="Times New Roman" w:hAnsi="Times New Roman"/>
                <w:color w:val="000000"/>
                <w:sz w:val="21"/>
                <w:szCs w:val="21"/>
              </w:rPr>
            </w:pPr>
          </w:p>
        </w:tc>
        <w:tc>
          <w:tcPr>
            <w:tcW w:w="1559" w:type="dxa"/>
            <w:tcBorders>
              <w:top w:val="single" w:color="auto" w:sz="4" w:space="0"/>
              <w:left w:val="single" w:color="auto" w:sz="4" w:space="0"/>
              <w:bottom w:val="single" w:color="auto" w:sz="4" w:space="0"/>
              <w:right w:val="single" w:color="auto" w:sz="4" w:space="0"/>
            </w:tcBorders>
            <w:vAlign w:val="center"/>
          </w:tcPr>
          <w:p w14:paraId="08686319">
            <w:pPr>
              <w:pStyle w:val="32"/>
              <w:pageBreakBefore w:val="0"/>
              <w:kinsoku/>
              <w:overflowPunct/>
              <w:topLinePunct w:val="0"/>
              <w:bidi w:val="0"/>
              <w:spacing w:line="360" w:lineRule="auto"/>
              <w:jc w:val="center"/>
              <w:rPr>
                <w:rFonts w:ascii="Times New Roman" w:hAnsi="Times New Roman"/>
                <w:color w:val="000000"/>
                <w:sz w:val="21"/>
                <w:szCs w:val="21"/>
              </w:rPr>
            </w:pPr>
          </w:p>
        </w:tc>
        <w:tc>
          <w:tcPr>
            <w:tcW w:w="1682" w:type="dxa"/>
            <w:tcBorders>
              <w:top w:val="single" w:color="auto" w:sz="4" w:space="0"/>
              <w:left w:val="single" w:color="auto" w:sz="4" w:space="0"/>
              <w:bottom w:val="single" w:color="auto" w:sz="4" w:space="0"/>
              <w:right w:val="single" w:color="auto" w:sz="4" w:space="0"/>
            </w:tcBorders>
            <w:vAlign w:val="center"/>
          </w:tcPr>
          <w:p w14:paraId="314B37FD">
            <w:pPr>
              <w:pStyle w:val="32"/>
              <w:pageBreakBefore w:val="0"/>
              <w:kinsoku/>
              <w:overflowPunct/>
              <w:topLinePunct w:val="0"/>
              <w:bidi w:val="0"/>
              <w:spacing w:line="360" w:lineRule="auto"/>
              <w:jc w:val="center"/>
              <w:rPr>
                <w:rFonts w:ascii="Times New Roman" w:hAnsi="Times New Roman"/>
                <w:color w:val="000000"/>
                <w:sz w:val="21"/>
                <w:szCs w:val="21"/>
              </w:rPr>
            </w:pPr>
          </w:p>
        </w:tc>
        <w:tc>
          <w:tcPr>
            <w:tcW w:w="1260" w:type="dxa"/>
            <w:tcBorders>
              <w:top w:val="single" w:color="auto" w:sz="4" w:space="0"/>
              <w:left w:val="single" w:color="auto" w:sz="4" w:space="0"/>
              <w:bottom w:val="single" w:color="auto" w:sz="4" w:space="0"/>
              <w:right w:val="single" w:color="auto" w:sz="4" w:space="0"/>
            </w:tcBorders>
            <w:vAlign w:val="center"/>
          </w:tcPr>
          <w:p w14:paraId="67489539">
            <w:pPr>
              <w:pStyle w:val="32"/>
              <w:pageBreakBefore w:val="0"/>
              <w:kinsoku/>
              <w:overflowPunct/>
              <w:topLinePunct w:val="0"/>
              <w:bidi w:val="0"/>
              <w:spacing w:line="360" w:lineRule="auto"/>
              <w:jc w:val="center"/>
              <w:rPr>
                <w:rFonts w:ascii="Times New Roman" w:hAnsi="Times New Roman"/>
                <w:color w:val="000000"/>
                <w:sz w:val="21"/>
                <w:szCs w:val="21"/>
              </w:rPr>
            </w:pPr>
          </w:p>
        </w:tc>
      </w:tr>
      <w:tr w14:paraId="6D7AFB2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585" w:type="dxa"/>
            <w:tcBorders>
              <w:top w:val="single" w:color="auto" w:sz="4" w:space="0"/>
              <w:left w:val="single" w:color="auto" w:sz="4" w:space="0"/>
              <w:bottom w:val="single" w:color="auto" w:sz="4" w:space="0"/>
              <w:right w:val="single" w:color="auto" w:sz="4" w:space="0"/>
            </w:tcBorders>
            <w:vAlign w:val="center"/>
          </w:tcPr>
          <w:p w14:paraId="053F6F93">
            <w:pPr>
              <w:pStyle w:val="32"/>
              <w:pageBreakBefore w:val="0"/>
              <w:kinsoku/>
              <w:overflowPunct/>
              <w:topLinePunct w:val="0"/>
              <w:bidi w:val="0"/>
              <w:spacing w:line="360" w:lineRule="auto"/>
              <w:jc w:val="center"/>
              <w:rPr>
                <w:rFonts w:ascii="Times New Roman" w:hAnsi="Times New Roman"/>
                <w:color w:val="000000"/>
                <w:sz w:val="21"/>
                <w:szCs w:val="21"/>
              </w:rPr>
            </w:pPr>
            <w:r>
              <w:rPr>
                <w:rFonts w:ascii="Times New Roman" w:hAnsi="Times New Roman"/>
                <w:color w:val="000000"/>
                <w:sz w:val="21"/>
                <w:szCs w:val="21"/>
              </w:rPr>
              <w:t>3</w:t>
            </w:r>
          </w:p>
        </w:tc>
        <w:tc>
          <w:tcPr>
            <w:tcW w:w="1224" w:type="dxa"/>
            <w:tcBorders>
              <w:top w:val="single" w:color="auto" w:sz="4" w:space="0"/>
              <w:left w:val="single" w:color="auto" w:sz="4" w:space="0"/>
              <w:bottom w:val="single" w:color="auto" w:sz="4" w:space="0"/>
              <w:right w:val="single" w:color="auto" w:sz="4" w:space="0"/>
            </w:tcBorders>
            <w:vAlign w:val="center"/>
          </w:tcPr>
          <w:p w14:paraId="687B7ECA">
            <w:pPr>
              <w:pStyle w:val="32"/>
              <w:pageBreakBefore w:val="0"/>
              <w:kinsoku/>
              <w:overflowPunct/>
              <w:topLinePunct w:val="0"/>
              <w:bidi w:val="0"/>
              <w:spacing w:line="360" w:lineRule="auto"/>
              <w:jc w:val="center"/>
              <w:rPr>
                <w:rFonts w:ascii="Times New Roman" w:hAnsi="Times New Roman"/>
                <w:color w:val="000000"/>
                <w:sz w:val="21"/>
                <w:szCs w:val="21"/>
              </w:rPr>
            </w:pPr>
          </w:p>
        </w:tc>
        <w:tc>
          <w:tcPr>
            <w:tcW w:w="993" w:type="dxa"/>
            <w:tcBorders>
              <w:top w:val="single" w:color="auto" w:sz="4" w:space="0"/>
              <w:left w:val="single" w:color="auto" w:sz="4" w:space="0"/>
              <w:bottom w:val="single" w:color="auto" w:sz="4" w:space="0"/>
              <w:right w:val="single" w:color="auto" w:sz="4" w:space="0"/>
            </w:tcBorders>
            <w:vAlign w:val="center"/>
          </w:tcPr>
          <w:p w14:paraId="472145F1">
            <w:pPr>
              <w:pStyle w:val="32"/>
              <w:pageBreakBefore w:val="0"/>
              <w:kinsoku/>
              <w:overflowPunct/>
              <w:topLinePunct w:val="0"/>
              <w:bidi w:val="0"/>
              <w:spacing w:line="360" w:lineRule="auto"/>
              <w:jc w:val="center"/>
              <w:rPr>
                <w:rFonts w:ascii="Times New Roman" w:hAnsi="Times New Roman"/>
                <w:color w:val="000000"/>
                <w:sz w:val="21"/>
                <w:szCs w:val="21"/>
              </w:rPr>
            </w:pPr>
          </w:p>
        </w:tc>
        <w:tc>
          <w:tcPr>
            <w:tcW w:w="1134" w:type="dxa"/>
            <w:tcBorders>
              <w:top w:val="single" w:color="auto" w:sz="4" w:space="0"/>
              <w:left w:val="single" w:color="auto" w:sz="4" w:space="0"/>
              <w:bottom w:val="single" w:color="auto" w:sz="4" w:space="0"/>
              <w:right w:val="single" w:color="auto" w:sz="4" w:space="0"/>
            </w:tcBorders>
            <w:vAlign w:val="center"/>
          </w:tcPr>
          <w:p w14:paraId="48D932CC">
            <w:pPr>
              <w:pStyle w:val="32"/>
              <w:pageBreakBefore w:val="0"/>
              <w:kinsoku/>
              <w:overflowPunct/>
              <w:topLinePunct w:val="0"/>
              <w:bidi w:val="0"/>
              <w:spacing w:line="360" w:lineRule="auto"/>
              <w:jc w:val="center"/>
              <w:rPr>
                <w:rFonts w:ascii="Times New Roman" w:hAnsi="Times New Roman"/>
                <w:color w:val="000000"/>
                <w:sz w:val="21"/>
                <w:szCs w:val="21"/>
              </w:rPr>
            </w:pPr>
          </w:p>
        </w:tc>
        <w:tc>
          <w:tcPr>
            <w:tcW w:w="1559" w:type="dxa"/>
            <w:tcBorders>
              <w:top w:val="single" w:color="auto" w:sz="4" w:space="0"/>
              <w:left w:val="single" w:color="auto" w:sz="4" w:space="0"/>
              <w:bottom w:val="single" w:color="auto" w:sz="4" w:space="0"/>
              <w:right w:val="single" w:color="auto" w:sz="4" w:space="0"/>
            </w:tcBorders>
            <w:vAlign w:val="center"/>
          </w:tcPr>
          <w:p w14:paraId="6DC189FA">
            <w:pPr>
              <w:pStyle w:val="32"/>
              <w:pageBreakBefore w:val="0"/>
              <w:kinsoku/>
              <w:overflowPunct/>
              <w:topLinePunct w:val="0"/>
              <w:bidi w:val="0"/>
              <w:spacing w:line="360" w:lineRule="auto"/>
              <w:jc w:val="center"/>
              <w:rPr>
                <w:rFonts w:ascii="Times New Roman" w:hAnsi="Times New Roman"/>
                <w:color w:val="000000"/>
                <w:sz w:val="21"/>
                <w:szCs w:val="21"/>
              </w:rPr>
            </w:pPr>
          </w:p>
        </w:tc>
        <w:tc>
          <w:tcPr>
            <w:tcW w:w="1682" w:type="dxa"/>
            <w:tcBorders>
              <w:top w:val="single" w:color="auto" w:sz="4" w:space="0"/>
              <w:left w:val="single" w:color="auto" w:sz="4" w:space="0"/>
              <w:bottom w:val="single" w:color="auto" w:sz="4" w:space="0"/>
              <w:right w:val="single" w:color="auto" w:sz="4" w:space="0"/>
            </w:tcBorders>
            <w:vAlign w:val="center"/>
          </w:tcPr>
          <w:p w14:paraId="46A5C244">
            <w:pPr>
              <w:pStyle w:val="32"/>
              <w:pageBreakBefore w:val="0"/>
              <w:kinsoku/>
              <w:overflowPunct/>
              <w:topLinePunct w:val="0"/>
              <w:bidi w:val="0"/>
              <w:spacing w:line="360" w:lineRule="auto"/>
              <w:jc w:val="center"/>
              <w:rPr>
                <w:rFonts w:ascii="Times New Roman" w:hAnsi="Times New Roman"/>
                <w:color w:val="000000"/>
                <w:sz w:val="21"/>
                <w:szCs w:val="21"/>
              </w:rPr>
            </w:pPr>
          </w:p>
        </w:tc>
        <w:tc>
          <w:tcPr>
            <w:tcW w:w="1260" w:type="dxa"/>
            <w:tcBorders>
              <w:top w:val="single" w:color="auto" w:sz="4" w:space="0"/>
              <w:left w:val="single" w:color="auto" w:sz="4" w:space="0"/>
              <w:bottom w:val="single" w:color="auto" w:sz="4" w:space="0"/>
              <w:right w:val="single" w:color="auto" w:sz="4" w:space="0"/>
            </w:tcBorders>
            <w:vAlign w:val="center"/>
          </w:tcPr>
          <w:p w14:paraId="00686899">
            <w:pPr>
              <w:pStyle w:val="32"/>
              <w:pageBreakBefore w:val="0"/>
              <w:kinsoku/>
              <w:overflowPunct/>
              <w:topLinePunct w:val="0"/>
              <w:bidi w:val="0"/>
              <w:spacing w:line="360" w:lineRule="auto"/>
              <w:jc w:val="center"/>
              <w:rPr>
                <w:rFonts w:ascii="Times New Roman" w:hAnsi="Times New Roman"/>
                <w:color w:val="000000"/>
                <w:sz w:val="21"/>
                <w:szCs w:val="21"/>
              </w:rPr>
            </w:pPr>
          </w:p>
        </w:tc>
      </w:tr>
      <w:tr w14:paraId="5BE0C0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585" w:type="dxa"/>
            <w:tcBorders>
              <w:top w:val="single" w:color="auto" w:sz="4" w:space="0"/>
              <w:left w:val="single" w:color="auto" w:sz="4" w:space="0"/>
              <w:bottom w:val="single" w:color="auto" w:sz="4" w:space="0"/>
              <w:right w:val="single" w:color="auto" w:sz="4" w:space="0"/>
            </w:tcBorders>
            <w:vAlign w:val="center"/>
          </w:tcPr>
          <w:p w14:paraId="2ABB4856">
            <w:pPr>
              <w:pStyle w:val="32"/>
              <w:pageBreakBefore w:val="0"/>
              <w:kinsoku/>
              <w:overflowPunct/>
              <w:topLinePunct w:val="0"/>
              <w:bidi w:val="0"/>
              <w:spacing w:line="360" w:lineRule="auto"/>
              <w:jc w:val="center"/>
              <w:rPr>
                <w:rFonts w:ascii="Times New Roman" w:hAnsi="Times New Roman"/>
                <w:color w:val="000000"/>
                <w:sz w:val="21"/>
                <w:szCs w:val="21"/>
              </w:rPr>
            </w:pPr>
            <w:r>
              <w:rPr>
                <w:rFonts w:ascii="Times New Roman" w:hAnsi="Times New Roman"/>
                <w:color w:val="000000"/>
                <w:sz w:val="21"/>
                <w:szCs w:val="21"/>
              </w:rPr>
              <w:t>4</w:t>
            </w:r>
          </w:p>
        </w:tc>
        <w:tc>
          <w:tcPr>
            <w:tcW w:w="1224" w:type="dxa"/>
            <w:tcBorders>
              <w:top w:val="single" w:color="auto" w:sz="4" w:space="0"/>
              <w:left w:val="single" w:color="auto" w:sz="4" w:space="0"/>
              <w:bottom w:val="single" w:color="auto" w:sz="4" w:space="0"/>
              <w:right w:val="single" w:color="auto" w:sz="4" w:space="0"/>
            </w:tcBorders>
            <w:vAlign w:val="center"/>
          </w:tcPr>
          <w:p w14:paraId="18D10A8C">
            <w:pPr>
              <w:pStyle w:val="32"/>
              <w:pageBreakBefore w:val="0"/>
              <w:kinsoku/>
              <w:overflowPunct/>
              <w:topLinePunct w:val="0"/>
              <w:bidi w:val="0"/>
              <w:spacing w:line="360" w:lineRule="auto"/>
              <w:jc w:val="center"/>
              <w:rPr>
                <w:rFonts w:ascii="Times New Roman" w:hAnsi="Times New Roman"/>
                <w:color w:val="000000"/>
                <w:sz w:val="21"/>
                <w:szCs w:val="21"/>
              </w:rPr>
            </w:pPr>
          </w:p>
        </w:tc>
        <w:tc>
          <w:tcPr>
            <w:tcW w:w="993" w:type="dxa"/>
            <w:tcBorders>
              <w:top w:val="single" w:color="auto" w:sz="4" w:space="0"/>
              <w:left w:val="single" w:color="auto" w:sz="4" w:space="0"/>
              <w:bottom w:val="single" w:color="auto" w:sz="4" w:space="0"/>
              <w:right w:val="single" w:color="auto" w:sz="4" w:space="0"/>
            </w:tcBorders>
            <w:vAlign w:val="center"/>
          </w:tcPr>
          <w:p w14:paraId="6E5E0B3D">
            <w:pPr>
              <w:pStyle w:val="32"/>
              <w:pageBreakBefore w:val="0"/>
              <w:kinsoku/>
              <w:overflowPunct/>
              <w:topLinePunct w:val="0"/>
              <w:bidi w:val="0"/>
              <w:spacing w:line="360" w:lineRule="auto"/>
              <w:jc w:val="center"/>
              <w:rPr>
                <w:rFonts w:ascii="Times New Roman" w:hAnsi="Times New Roman"/>
                <w:color w:val="000000"/>
                <w:sz w:val="21"/>
                <w:szCs w:val="21"/>
              </w:rPr>
            </w:pPr>
          </w:p>
        </w:tc>
        <w:tc>
          <w:tcPr>
            <w:tcW w:w="1134" w:type="dxa"/>
            <w:tcBorders>
              <w:top w:val="single" w:color="auto" w:sz="4" w:space="0"/>
              <w:left w:val="single" w:color="auto" w:sz="4" w:space="0"/>
              <w:bottom w:val="single" w:color="auto" w:sz="4" w:space="0"/>
              <w:right w:val="single" w:color="auto" w:sz="4" w:space="0"/>
            </w:tcBorders>
            <w:vAlign w:val="center"/>
          </w:tcPr>
          <w:p w14:paraId="1C0B2694">
            <w:pPr>
              <w:pStyle w:val="32"/>
              <w:pageBreakBefore w:val="0"/>
              <w:kinsoku/>
              <w:overflowPunct/>
              <w:topLinePunct w:val="0"/>
              <w:bidi w:val="0"/>
              <w:spacing w:line="360" w:lineRule="auto"/>
              <w:jc w:val="center"/>
              <w:rPr>
                <w:rFonts w:ascii="Times New Roman" w:hAnsi="Times New Roman"/>
                <w:color w:val="000000"/>
                <w:sz w:val="21"/>
                <w:szCs w:val="21"/>
              </w:rPr>
            </w:pPr>
          </w:p>
        </w:tc>
        <w:tc>
          <w:tcPr>
            <w:tcW w:w="1559" w:type="dxa"/>
            <w:tcBorders>
              <w:top w:val="single" w:color="auto" w:sz="4" w:space="0"/>
              <w:left w:val="single" w:color="auto" w:sz="4" w:space="0"/>
              <w:bottom w:val="single" w:color="auto" w:sz="4" w:space="0"/>
              <w:right w:val="single" w:color="auto" w:sz="4" w:space="0"/>
            </w:tcBorders>
            <w:vAlign w:val="center"/>
          </w:tcPr>
          <w:p w14:paraId="5D5D194F">
            <w:pPr>
              <w:pStyle w:val="32"/>
              <w:pageBreakBefore w:val="0"/>
              <w:kinsoku/>
              <w:overflowPunct/>
              <w:topLinePunct w:val="0"/>
              <w:bidi w:val="0"/>
              <w:spacing w:line="360" w:lineRule="auto"/>
              <w:jc w:val="center"/>
              <w:rPr>
                <w:rFonts w:ascii="Times New Roman" w:hAnsi="Times New Roman"/>
                <w:color w:val="000000"/>
                <w:sz w:val="21"/>
                <w:szCs w:val="21"/>
              </w:rPr>
            </w:pPr>
          </w:p>
        </w:tc>
        <w:tc>
          <w:tcPr>
            <w:tcW w:w="1682" w:type="dxa"/>
            <w:tcBorders>
              <w:top w:val="single" w:color="auto" w:sz="4" w:space="0"/>
              <w:left w:val="single" w:color="auto" w:sz="4" w:space="0"/>
              <w:bottom w:val="single" w:color="auto" w:sz="4" w:space="0"/>
              <w:right w:val="single" w:color="auto" w:sz="4" w:space="0"/>
            </w:tcBorders>
            <w:vAlign w:val="center"/>
          </w:tcPr>
          <w:p w14:paraId="1734CA6E">
            <w:pPr>
              <w:pStyle w:val="32"/>
              <w:pageBreakBefore w:val="0"/>
              <w:kinsoku/>
              <w:overflowPunct/>
              <w:topLinePunct w:val="0"/>
              <w:bidi w:val="0"/>
              <w:spacing w:line="360" w:lineRule="auto"/>
              <w:jc w:val="center"/>
              <w:rPr>
                <w:rFonts w:ascii="Times New Roman" w:hAnsi="Times New Roman"/>
                <w:color w:val="000000"/>
                <w:sz w:val="21"/>
                <w:szCs w:val="21"/>
              </w:rPr>
            </w:pPr>
          </w:p>
        </w:tc>
        <w:tc>
          <w:tcPr>
            <w:tcW w:w="1260" w:type="dxa"/>
            <w:tcBorders>
              <w:top w:val="single" w:color="auto" w:sz="4" w:space="0"/>
              <w:left w:val="single" w:color="auto" w:sz="4" w:space="0"/>
              <w:bottom w:val="single" w:color="auto" w:sz="4" w:space="0"/>
              <w:right w:val="single" w:color="auto" w:sz="4" w:space="0"/>
            </w:tcBorders>
            <w:vAlign w:val="center"/>
          </w:tcPr>
          <w:p w14:paraId="3F4BAB68">
            <w:pPr>
              <w:pStyle w:val="32"/>
              <w:pageBreakBefore w:val="0"/>
              <w:kinsoku/>
              <w:overflowPunct/>
              <w:topLinePunct w:val="0"/>
              <w:bidi w:val="0"/>
              <w:spacing w:line="360" w:lineRule="auto"/>
              <w:jc w:val="center"/>
              <w:rPr>
                <w:rFonts w:ascii="Times New Roman" w:hAnsi="Times New Roman"/>
                <w:color w:val="000000"/>
                <w:sz w:val="21"/>
                <w:szCs w:val="21"/>
              </w:rPr>
            </w:pPr>
          </w:p>
        </w:tc>
      </w:tr>
      <w:tr w14:paraId="649F08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585" w:type="dxa"/>
            <w:tcBorders>
              <w:top w:val="single" w:color="auto" w:sz="4" w:space="0"/>
              <w:left w:val="single" w:color="auto" w:sz="4" w:space="0"/>
              <w:bottom w:val="single" w:color="auto" w:sz="4" w:space="0"/>
              <w:right w:val="single" w:color="auto" w:sz="4" w:space="0"/>
            </w:tcBorders>
            <w:vAlign w:val="center"/>
          </w:tcPr>
          <w:p w14:paraId="7DE7759D">
            <w:pPr>
              <w:pageBreakBefore w:val="0"/>
              <w:kinsoku/>
              <w:overflowPunct/>
              <w:topLinePunct w:val="0"/>
              <w:bidi w:val="0"/>
              <w:spacing w:line="360" w:lineRule="auto"/>
              <w:jc w:val="center"/>
              <w:rPr>
                <w:rFonts w:ascii="Times New Roman" w:hAnsi="Times New Roman"/>
                <w:color w:val="000000"/>
                <w:szCs w:val="21"/>
              </w:rPr>
            </w:pPr>
            <w:r>
              <w:rPr>
                <w:rFonts w:hint="eastAsia" w:ascii="Times New Roman" w:hAnsi="Times New Roman"/>
                <w:color w:val="000000"/>
                <w:szCs w:val="21"/>
              </w:rPr>
              <w:t>…</w:t>
            </w:r>
          </w:p>
        </w:tc>
        <w:tc>
          <w:tcPr>
            <w:tcW w:w="1224" w:type="dxa"/>
            <w:tcBorders>
              <w:top w:val="single" w:color="auto" w:sz="4" w:space="0"/>
              <w:left w:val="single" w:color="auto" w:sz="4" w:space="0"/>
              <w:bottom w:val="single" w:color="auto" w:sz="4" w:space="0"/>
              <w:right w:val="single" w:color="auto" w:sz="4" w:space="0"/>
            </w:tcBorders>
            <w:vAlign w:val="center"/>
          </w:tcPr>
          <w:p w14:paraId="0EFE0F0B">
            <w:pPr>
              <w:pageBreakBefore w:val="0"/>
              <w:kinsoku/>
              <w:overflowPunct/>
              <w:topLinePunct w:val="0"/>
              <w:bidi w:val="0"/>
              <w:spacing w:line="360" w:lineRule="auto"/>
              <w:jc w:val="center"/>
              <w:rPr>
                <w:rFonts w:ascii="Times New Roman" w:hAnsi="Times New Roman"/>
                <w:color w:val="000000"/>
                <w:szCs w:val="21"/>
              </w:rPr>
            </w:pPr>
          </w:p>
        </w:tc>
        <w:tc>
          <w:tcPr>
            <w:tcW w:w="993" w:type="dxa"/>
            <w:tcBorders>
              <w:top w:val="single" w:color="auto" w:sz="4" w:space="0"/>
              <w:left w:val="single" w:color="auto" w:sz="4" w:space="0"/>
              <w:bottom w:val="single" w:color="auto" w:sz="4" w:space="0"/>
              <w:right w:val="single" w:color="auto" w:sz="4" w:space="0"/>
            </w:tcBorders>
            <w:vAlign w:val="center"/>
          </w:tcPr>
          <w:p w14:paraId="34B0A2BB">
            <w:pPr>
              <w:pageBreakBefore w:val="0"/>
              <w:kinsoku/>
              <w:overflowPunct/>
              <w:topLinePunct w:val="0"/>
              <w:bidi w:val="0"/>
              <w:spacing w:line="360" w:lineRule="auto"/>
              <w:jc w:val="center"/>
              <w:rPr>
                <w:rFonts w:ascii="Times New Roman" w:hAnsi="Times New Roman"/>
                <w:color w:val="00000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14:paraId="12B0E28F">
            <w:pPr>
              <w:pageBreakBefore w:val="0"/>
              <w:kinsoku/>
              <w:overflowPunct/>
              <w:topLinePunct w:val="0"/>
              <w:bidi w:val="0"/>
              <w:spacing w:line="360" w:lineRule="auto"/>
              <w:jc w:val="center"/>
              <w:rPr>
                <w:rFonts w:ascii="Times New Roman" w:hAnsi="Times New Roman"/>
                <w:color w:val="000000"/>
                <w:szCs w:val="21"/>
              </w:rPr>
            </w:pPr>
          </w:p>
        </w:tc>
        <w:tc>
          <w:tcPr>
            <w:tcW w:w="1559" w:type="dxa"/>
            <w:tcBorders>
              <w:top w:val="single" w:color="auto" w:sz="4" w:space="0"/>
              <w:left w:val="single" w:color="auto" w:sz="4" w:space="0"/>
              <w:bottom w:val="single" w:color="auto" w:sz="4" w:space="0"/>
              <w:right w:val="single" w:color="auto" w:sz="4" w:space="0"/>
            </w:tcBorders>
            <w:vAlign w:val="center"/>
          </w:tcPr>
          <w:p w14:paraId="11F4405A">
            <w:pPr>
              <w:pageBreakBefore w:val="0"/>
              <w:kinsoku/>
              <w:overflowPunct/>
              <w:topLinePunct w:val="0"/>
              <w:bidi w:val="0"/>
              <w:spacing w:line="360" w:lineRule="auto"/>
              <w:jc w:val="center"/>
              <w:rPr>
                <w:rFonts w:ascii="Times New Roman" w:hAnsi="Times New Roman"/>
                <w:color w:val="000000"/>
                <w:szCs w:val="21"/>
              </w:rPr>
            </w:pPr>
          </w:p>
        </w:tc>
        <w:tc>
          <w:tcPr>
            <w:tcW w:w="1682" w:type="dxa"/>
            <w:tcBorders>
              <w:top w:val="single" w:color="auto" w:sz="4" w:space="0"/>
              <w:left w:val="single" w:color="auto" w:sz="4" w:space="0"/>
              <w:bottom w:val="single" w:color="auto" w:sz="4" w:space="0"/>
              <w:right w:val="single" w:color="auto" w:sz="4" w:space="0"/>
            </w:tcBorders>
            <w:vAlign w:val="center"/>
          </w:tcPr>
          <w:p w14:paraId="28FA6EB1">
            <w:pPr>
              <w:pageBreakBefore w:val="0"/>
              <w:kinsoku/>
              <w:overflowPunct/>
              <w:topLinePunct w:val="0"/>
              <w:bidi w:val="0"/>
              <w:spacing w:line="360" w:lineRule="auto"/>
              <w:jc w:val="center"/>
              <w:rPr>
                <w:rFonts w:ascii="Times New Roman" w:hAnsi="Times New Roman"/>
                <w:color w:val="000000"/>
                <w:szCs w:val="21"/>
              </w:rPr>
            </w:pPr>
          </w:p>
        </w:tc>
        <w:tc>
          <w:tcPr>
            <w:tcW w:w="1260" w:type="dxa"/>
            <w:tcBorders>
              <w:top w:val="single" w:color="auto" w:sz="4" w:space="0"/>
              <w:left w:val="single" w:color="auto" w:sz="4" w:space="0"/>
              <w:bottom w:val="single" w:color="auto" w:sz="4" w:space="0"/>
              <w:right w:val="single" w:color="auto" w:sz="4" w:space="0"/>
            </w:tcBorders>
            <w:vAlign w:val="center"/>
          </w:tcPr>
          <w:p w14:paraId="7153A920">
            <w:pPr>
              <w:pageBreakBefore w:val="0"/>
              <w:kinsoku/>
              <w:overflowPunct/>
              <w:topLinePunct w:val="0"/>
              <w:bidi w:val="0"/>
              <w:spacing w:line="360" w:lineRule="auto"/>
              <w:jc w:val="center"/>
              <w:rPr>
                <w:rFonts w:ascii="Times New Roman" w:hAnsi="Times New Roman"/>
                <w:color w:val="000000"/>
                <w:szCs w:val="21"/>
              </w:rPr>
            </w:pPr>
          </w:p>
        </w:tc>
      </w:tr>
    </w:tbl>
    <w:p w14:paraId="6E85BF5C">
      <w:pPr>
        <w:pageBreakBefore w:val="0"/>
        <w:kinsoku/>
        <w:overflowPunct/>
        <w:topLinePunct w:val="0"/>
        <w:bidi w:val="0"/>
        <w:spacing w:beforeLines="50" w:line="360" w:lineRule="auto"/>
        <w:rPr>
          <w:rFonts w:ascii="Times New Roman" w:hAnsi="Times New Roman"/>
          <w:color w:val="000000"/>
          <w:szCs w:val="21"/>
          <w:highlight w:val="none"/>
        </w:rPr>
      </w:pPr>
      <w:r>
        <w:rPr>
          <w:rFonts w:hint="eastAsia" w:ascii="Times New Roman" w:hAnsi="Times New Roman"/>
          <w:color w:val="000000"/>
          <w:szCs w:val="21"/>
        </w:rPr>
        <w:t>注：</w:t>
      </w:r>
      <w:r>
        <w:rPr>
          <w:rFonts w:ascii="Times New Roman" w:hAnsi="Times New Roman"/>
          <w:color w:val="000000"/>
          <w:szCs w:val="21"/>
        </w:rPr>
        <w:t>1</w:t>
      </w:r>
      <w:r>
        <w:rPr>
          <w:rFonts w:hint="eastAsia" w:ascii="Times New Roman" w:hAnsi="Times New Roman"/>
          <w:color w:val="000000"/>
          <w:szCs w:val="21"/>
        </w:rPr>
        <w:t>、“项目实施人员”指投标单位完成本项目所配备的人</w:t>
      </w:r>
      <w:r>
        <w:rPr>
          <w:rFonts w:hint="eastAsia" w:ascii="Times New Roman" w:hAnsi="Times New Roman"/>
          <w:color w:val="000000"/>
          <w:szCs w:val="21"/>
          <w:highlight w:val="none"/>
        </w:rPr>
        <w:t>员。</w:t>
      </w:r>
    </w:p>
    <w:p w14:paraId="63B517EB">
      <w:pPr>
        <w:pageBreakBefore w:val="0"/>
        <w:kinsoku/>
        <w:overflowPunct/>
        <w:topLinePunct w:val="0"/>
        <w:bidi w:val="0"/>
        <w:spacing w:line="360" w:lineRule="auto"/>
        <w:ind w:firstLine="420" w:firstLineChars="200"/>
        <w:rPr>
          <w:rFonts w:ascii="Times New Roman" w:hAnsi="Times New Roman"/>
          <w:color w:val="000000"/>
          <w:szCs w:val="21"/>
        </w:rPr>
      </w:pPr>
      <w:r>
        <w:rPr>
          <w:rFonts w:ascii="Times New Roman" w:hAnsi="Times New Roman"/>
          <w:szCs w:val="21"/>
          <w:highlight w:val="none"/>
        </w:rPr>
        <w:t>2</w:t>
      </w:r>
      <w:r>
        <w:rPr>
          <w:rFonts w:hint="eastAsia" w:ascii="Times New Roman" w:hAnsi="Times New Roman"/>
          <w:szCs w:val="21"/>
          <w:highlight w:val="none"/>
        </w:rPr>
        <w:t>、本表后</w:t>
      </w:r>
      <w:r>
        <w:rPr>
          <w:rFonts w:hint="eastAsia"/>
          <w:color w:val="000000"/>
          <w:szCs w:val="21"/>
          <w:highlight w:val="none"/>
        </w:rPr>
        <w:t>需提供项目实施人员的身份证（双面扫描）、</w:t>
      </w:r>
      <w:r>
        <w:rPr>
          <w:rFonts w:hint="eastAsia"/>
          <w:color w:val="000000"/>
          <w:szCs w:val="21"/>
          <w:highlight w:val="none"/>
          <w:lang w:val="en-US" w:eastAsia="zh-CN"/>
        </w:rPr>
        <w:t>职称证书（</w:t>
      </w:r>
      <w:r>
        <w:rPr>
          <w:rFonts w:hint="eastAsia"/>
          <w:b/>
          <w:bCs/>
          <w:color w:val="000000"/>
          <w:szCs w:val="21"/>
          <w:highlight w:val="none"/>
          <w:lang w:val="en-US" w:eastAsia="zh-CN"/>
        </w:rPr>
        <w:t>项目经理必须提供</w:t>
      </w:r>
      <w:r>
        <w:rPr>
          <w:rFonts w:hint="eastAsia"/>
          <w:color w:val="000000"/>
          <w:szCs w:val="21"/>
          <w:highlight w:val="none"/>
          <w:lang w:val="en-US" w:eastAsia="zh-CN"/>
        </w:rPr>
        <w:t>）</w:t>
      </w:r>
      <w:r>
        <w:rPr>
          <w:rFonts w:hint="eastAsia"/>
          <w:color w:val="000000"/>
          <w:szCs w:val="21"/>
          <w:lang w:val="en-US" w:eastAsia="zh-CN"/>
        </w:rPr>
        <w:t>学历</w:t>
      </w:r>
      <w:r>
        <w:rPr>
          <w:rFonts w:hint="eastAsia"/>
          <w:color w:val="000000"/>
          <w:szCs w:val="21"/>
        </w:rPr>
        <w:t>证书最近三个月的社保证明，否则不予认可。以上材料</w:t>
      </w:r>
      <w:r>
        <w:rPr>
          <w:rFonts w:hint="eastAsia"/>
          <w:szCs w:val="21"/>
        </w:rPr>
        <w:t>加盖投标人公章。</w:t>
      </w:r>
    </w:p>
    <w:p w14:paraId="4175A7CF">
      <w:pPr>
        <w:pageBreakBefore w:val="0"/>
        <w:kinsoku/>
        <w:overflowPunct/>
        <w:topLinePunct w:val="0"/>
        <w:bidi w:val="0"/>
        <w:spacing w:line="360" w:lineRule="auto"/>
        <w:ind w:firstLine="420" w:firstLineChars="200"/>
        <w:rPr>
          <w:rFonts w:ascii="Times New Roman" w:hAnsi="Times New Roman"/>
          <w:color w:val="000000"/>
          <w:szCs w:val="21"/>
        </w:rPr>
      </w:pPr>
      <w:r>
        <w:rPr>
          <w:rFonts w:ascii="Times New Roman" w:hAnsi="Times New Roman"/>
          <w:color w:val="000000"/>
          <w:szCs w:val="21"/>
        </w:rPr>
        <w:t>3</w:t>
      </w:r>
      <w:r>
        <w:rPr>
          <w:rFonts w:hint="eastAsia" w:ascii="Times New Roman" w:hAnsi="Times New Roman"/>
          <w:color w:val="000000"/>
          <w:szCs w:val="21"/>
        </w:rPr>
        <w:t>、表格不够可添加。</w:t>
      </w:r>
    </w:p>
    <w:p w14:paraId="2332309B">
      <w:pPr>
        <w:pageBreakBefore w:val="0"/>
        <w:kinsoku/>
        <w:overflowPunct/>
        <w:topLinePunct w:val="0"/>
        <w:bidi w:val="0"/>
        <w:spacing w:line="360" w:lineRule="auto"/>
        <w:ind w:firstLine="420" w:firstLineChars="200"/>
        <w:rPr>
          <w:rFonts w:ascii="Times New Roman" w:hAnsi="Times New Roman"/>
          <w:color w:val="000000"/>
          <w:szCs w:val="21"/>
          <w:shd w:val="clear" w:color="auto" w:fill="FFFFFF"/>
        </w:rPr>
      </w:pPr>
    </w:p>
    <w:p w14:paraId="702BA440">
      <w:pPr>
        <w:pageBreakBefore w:val="0"/>
        <w:kinsoku/>
        <w:overflowPunct/>
        <w:topLinePunct w:val="0"/>
        <w:bidi w:val="0"/>
        <w:spacing w:line="360" w:lineRule="auto"/>
        <w:ind w:firstLine="2100" w:firstLineChars="1000"/>
        <w:rPr>
          <w:rFonts w:ascii="Times New Roman" w:hAnsi="Times New Roman"/>
          <w:color w:val="000000"/>
          <w:szCs w:val="21"/>
        </w:rPr>
      </w:pPr>
      <w:r>
        <w:rPr>
          <w:rFonts w:hint="eastAsia" w:ascii="Times New Roman" w:hAnsi="Times New Roman"/>
          <w:color w:val="000000"/>
          <w:szCs w:val="21"/>
        </w:rPr>
        <w:t>投标人（加盖公章）：</w:t>
      </w:r>
      <w:r>
        <w:rPr>
          <w:rFonts w:ascii="Times New Roman" w:hAnsi="Times New Roman"/>
          <w:color w:val="000000"/>
          <w:szCs w:val="21"/>
          <w:u w:val="single"/>
        </w:rPr>
        <w:t xml:space="preserve">                        </w:t>
      </w:r>
    </w:p>
    <w:p w14:paraId="702EFA20">
      <w:pPr>
        <w:pageBreakBefore w:val="0"/>
        <w:kinsoku/>
        <w:overflowPunct/>
        <w:topLinePunct w:val="0"/>
        <w:bidi w:val="0"/>
        <w:spacing w:line="360" w:lineRule="auto"/>
        <w:ind w:firstLine="2100" w:firstLineChars="1000"/>
        <w:rPr>
          <w:rFonts w:ascii="Times New Roman" w:hAnsi="Times New Roman"/>
          <w:color w:val="000000"/>
          <w:szCs w:val="21"/>
        </w:rPr>
      </w:pPr>
      <w:r>
        <w:rPr>
          <w:rFonts w:hint="eastAsia" w:ascii="Times New Roman" w:hAnsi="Times New Roman"/>
          <w:color w:val="000000"/>
          <w:szCs w:val="21"/>
        </w:rPr>
        <w:t>法定代表人或被授权人签字（或盖章）：</w:t>
      </w:r>
      <w:r>
        <w:rPr>
          <w:rFonts w:ascii="Times New Roman" w:hAnsi="Times New Roman"/>
          <w:color w:val="000000"/>
          <w:szCs w:val="21"/>
          <w:u w:val="single"/>
        </w:rPr>
        <w:t xml:space="preserve">                   </w:t>
      </w:r>
    </w:p>
    <w:p w14:paraId="7AA89B29">
      <w:pPr>
        <w:pageBreakBefore w:val="0"/>
        <w:kinsoku/>
        <w:overflowPunct/>
        <w:topLinePunct w:val="0"/>
        <w:bidi w:val="0"/>
        <w:spacing w:line="360" w:lineRule="auto"/>
        <w:ind w:firstLine="4305" w:firstLineChars="2050"/>
        <w:rPr>
          <w:rFonts w:ascii="Times New Roman" w:hAnsi="Times New Roman"/>
          <w:color w:val="000000"/>
          <w:szCs w:val="21"/>
        </w:rPr>
      </w:pPr>
      <w:r>
        <w:rPr>
          <w:rFonts w:hint="eastAsia" w:ascii="Times New Roman" w:hAnsi="Times New Roman"/>
          <w:color w:val="000000"/>
          <w:szCs w:val="21"/>
        </w:rPr>
        <w:t>日</w:t>
      </w:r>
      <w:r>
        <w:rPr>
          <w:rFonts w:ascii="Times New Roman" w:hAnsi="Times New Roman"/>
          <w:color w:val="000000"/>
          <w:szCs w:val="21"/>
        </w:rPr>
        <w:t xml:space="preserve">    </w:t>
      </w:r>
      <w:r>
        <w:rPr>
          <w:rFonts w:hint="eastAsia" w:ascii="Times New Roman" w:hAnsi="Times New Roman"/>
          <w:color w:val="000000"/>
          <w:szCs w:val="21"/>
        </w:rPr>
        <w:t>期：</w:t>
      </w:r>
      <w:r>
        <w:rPr>
          <w:rFonts w:ascii="Times New Roman" w:hAnsi="Times New Roman"/>
          <w:color w:val="000000"/>
          <w:szCs w:val="21"/>
          <w:u w:val="single"/>
        </w:rPr>
        <w:t xml:space="preserve">     </w:t>
      </w:r>
      <w:r>
        <w:rPr>
          <w:rFonts w:hint="eastAsia" w:ascii="Times New Roman" w:hAnsi="Times New Roman"/>
          <w:color w:val="000000"/>
          <w:szCs w:val="21"/>
        </w:rPr>
        <w:t>年</w:t>
      </w:r>
      <w:r>
        <w:rPr>
          <w:rFonts w:ascii="Times New Roman" w:hAnsi="Times New Roman"/>
          <w:color w:val="000000"/>
          <w:szCs w:val="21"/>
          <w:u w:val="single"/>
        </w:rPr>
        <w:t xml:space="preserve">    </w:t>
      </w:r>
      <w:r>
        <w:rPr>
          <w:rFonts w:hint="eastAsia" w:ascii="Times New Roman" w:hAnsi="Times New Roman"/>
          <w:color w:val="000000"/>
          <w:szCs w:val="21"/>
        </w:rPr>
        <w:t>月</w:t>
      </w:r>
      <w:r>
        <w:rPr>
          <w:rFonts w:ascii="Times New Roman" w:hAnsi="Times New Roman"/>
          <w:color w:val="000000"/>
          <w:szCs w:val="21"/>
          <w:u w:val="single"/>
        </w:rPr>
        <w:t xml:space="preserve">    </w:t>
      </w:r>
      <w:r>
        <w:rPr>
          <w:rFonts w:hint="eastAsia" w:ascii="Times New Roman" w:hAnsi="Times New Roman"/>
          <w:color w:val="000000"/>
          <w:szCs w:val="21"/>
        </w:rPr>
        <w:t>日</w:t>
      </w:r>
    </w:p>
    <w:p w14:paraId="5FC5A5FA">
      <w:pPr>
        <w:pageBreakBefore w:val="0"/>
        <w:kinsoku/>
        <w:overflowPunct/>
        <w:topLinePunct w:val="0"/>
        <w:bidi w:val="0"/>
        <w:snapToGrid w:val="0"/>
        <w:spacing w:line="360" w:lineRule="auto"/>
        <w:ind w:firstLine="420"/>
        <w:rPr>
          <w:rFonts w:ascii="Times New Roman" w:hAnsi="Times New Roman"/>
          <w:color w:val="000000"/>
          <w:szCs w:val="21"/>
        </w:rPr>
      </w:pPr>
    </w:p>
    <w:p w14:paraId="52C77790">
      <w:pPr>
        <w:pStyle w:val="303"/>
        <w:pageBreakBefore w:val="0"/>
        <w:kinsoku/>
        <w:overflowPunct/>
        <w:topLinePunct w:val="0"/>
        <w:bidi w:val="0"/>
        <w:spacing w:line="360" w:lineRule="auto"/>
        <w:ind w:right="480" w:firstLine="420"/>
        <w:rPr>
          <w:rFonts w:ascii="Times New Roman" w:hAnsi="Times New Roman" w:eastAsia="宋体"/>
          <w:color w:val="000000"/>
          <w:sz w:val="21"/>
          <w:szCs w:val="21"/>
        </w:rPr>
      </w:pPr>
    </w:p>
    <w:p w14:paraId="46A114F3">
      <w:pPr>
        <w:pStyle w:val="303"/>
        <w:pageBreakBefore w:val="0"/>
        <w:kinsoku/>
        <w:overflowPunct/>
        <w:topLinePunct w:val="0"/>
        <w:bidi w:val="0"/>
        <w:spacing w:line="360" w:lineRule="auto"/>
        <w:ind w:right="480" w:firstLine="420"/>
        <w:rPr>
          <w:rFonts w:ascii="Times New Roman" w:hAnsi="Times New Roman" w:eastAsia="宋体"/>
          <w:color w:val="000000"/>
          <w:sz w:val="21"/>
          <w:szCs w:val="21"/>
        </w:rPr>
      </w:pPr>
    </w:p>
    <w:p w14:paraId="3CCD6956">
      <w:pPr>
        <w:pStyle w:val="303"/>
        <w:pageBreakBefore w:val="0"/>
        <w:kinsoku/>
        <w:overflowPunct/>
        <w:topLinePunct w:val="0"/>
        <w:bidi w:val="0"/>
        <w:spacing w:line="360" w:lineRule="auto"/>
        <w:ind w:right="480" w:firstLine="420"/>
        <w:rPr>
          <w:rFonts w:ascii="Times New Roman" w:hAnsi="Times New Roman" w:eastAsia="宋体"/>
          <w:color w:val="000000"/>
          <w:sz w:val="21"/>
          <w:szCs w:val="21"/>
        </w:rPr>
      </w:pPr>
    </w:p>
    <w:p w14:paraId="69C480D6">
      <w:pPr>
        <w:pStyle w:val="303"/>
        <w:pageBreakBefore w:val="0"/>
        <w:kinsoku/>
        <w:overflowPunct/>
        <w:topLinePunct w:val="0"/>
        <w:bidi w:val="0"/>
        <w:spacing w:line="360" w:lineRule="auto"/>
        <w:ind w:right="480" w:firstLine="420"/>
        <w:rPr>
          <w:rFonts w:ascii="Times New Roman" w:hAnsi="Times New Roman" w:eastAsia="宋体"/>
          <w:color w:val="000000"/>
          <w:sz w:val="21"/>
          <w:szCs w:val="21"/>
        </w:rPr>
      </w:pPr>
    </w:p>
    <w:p w14:paraId="55FD744C">
      <w:pPr>
        <w:pStyle w:val="303"/>
        <w:pageBreakBefore w:val="0"/>
        <w:kinsoku/>
        <w:overflowPunct/>
        <w:topLinePunct w:val="0"/>
        <w:bidi w:val="0"/>
        <w:spacing w:line="360" w:lineRule="auto"/>
        <w:ind w:right="480" w:firstLine="420"/>
        <w:rPr>
          <w:rFonts w:ascii="Times New Roman" w:hAnsi="Times New Roman" w:eastAsia="宋体"/>
          <w:color w:val="000000"/>
          <w:sz w:val="21"/>
          <w:szCs w:val="21"/>
        </w:rPr>
      </w:pPr>
    </w:p>
    <w:p w14:paraId="2801BB76">
      <w:pPr>
        <w:pStyle w:val="303"/>
        <w:pageBreakBefore w:val="0"/>
        <w:kinsoku/>
        <w:overflowPunct/>
        <w:topLinePunct w:val="0"/>
        <w:bidi w:val="0"/>
        <w:spacing w:line="360" w:lineRule="auto"/>
        <w:ind w:right="480" w:firstLine="420"/>
        <w:rPr>
          <w:rFonts w:ascii="Times New Roman" w:hAnsi="Times New Roman" w:eastAsia="宋体"/>
          <w:color w:val="000000"/>
          <w:sz w:val="21"/>
          <w:szCs w:val="21"/>
        </w:rPr>
      </w:pPr>
    </w:p>
    <w:p w14:paraId="55E04C0A">
      <w:pPr>
        <w:pStyle w:val="303"/>
        <w:pageBreakBefore w:val="0"/>
        <w:kinsoku/>
        <w:overflowPunct/>
        <w:topLinePunct w:val="0"/>
        <w:bidi w:val="0"/>
        <w:spacing w:line="360" w:lineRule="auto"/>
        <w:ind w:right="480" w:firstLine="420"/>
        <w:rPr>
          <w:rFonts w:ascii="Times New Roman" w:hAnsi="Times New Roman" w:eastAsia="宋体"/>
          <w:color w:val="000000"/>
          <w:sz w:val="21"/>
          <w:szCs w:val="21"/>
        </w:rPr>
      </w:pPr>
    </w:p>
    <w:p w14:paraId="21EA410D">
      <w:pPr>
        <w:pStyle w:val="303"/>
        <w:pageBreakBefore w:val="0"/>
        <w:kinsoku/>
        <w:overflowPunct/>
        <w:topLinePunct w:val="0"/>
        <w:bidi w:val="0"/>
        <w:spacing w:line="360" w:lineRule="auto"/>
        <w:ind w:right="480" w:firstLine="420"/>
        <w:rPr>
          <w:rFonts w:ascii="Times New Roman" w:hAnsi="Times New Roman" w:eastAsia="宋体"/>
          <w:color w:val="000000"/>
          <w:sz w:val="21"/>
          <w:szCs w:val="21"/>
        </w:rPr>
      </w:pPr>
    </w:p>
    <w:p w14:paraId="5B28FA9F">
      <w:pPr>
        <w:pStyle w:val="303"/>
        <w:pageBreakBefore w:val="0"/>
        <w:kinsoku/>
        <w:overflowPunct/>
        <w:topLinePunct w:val="0"/>
        <w:bidi w:val="0"/>
        <w:spacing w:line="360" w:lineRule="auto"/>
        <w:ind w:right="480" w:firstLine="420"/>
        <w:rPr>
          <w:rFonts w:ascii="Times New Roman" w:hAnsi="Times New Roman" w:eastAsia="宋体"/>
          <w:color w:val="000000"/>
          <w:sz w:val="21"/>
          <w:szCs w:val="21"/>
        </w:rPr>
      </w:pPr>
    </w:p>
    <w:p w14:paraId="22E7CE47">
      <w:pPr>
        <w:pStyle w:val="303"/>
        <w:pageBreakBefore w:val="0"/>
        <w:kinsoku/>
        <w:overflowPunct/>
        <w:topLinePunct w:val="0"/>
        <w:bidi w:val="0"/>
        <w:spacing w:line="360" w:lineRule="auto"/>
        <w:ind w:right="480" w:firstLine="420"/>
        <w:rPr>
          <w:rFonts w:ascii="Times New Roman" w:hAnsi="Times New Roman" w:eastAsia="宋体"/>
          <w:color w:val="000000"/>
          <w:sz w:val="21"/>
          <w:szCs w:val="21"/>
        </w:rPr>
      </w:pPr>
    </w:p>
    <w:p w14:paraId="10B4CD41">
      <w:pPr>
        <w:pStyle w:val="303"/>
        <w:pageBreakBefore w:val="0"/>
        <w:kinsoku/>
        <w:overflowPunct/>
        <w:topLinePunct w:val="0"/>
        <w:bidi w:val="0"/>
        <w:spacing w:line="360" w:lineRule="auto"/>
        <w:ind w:right="480" w:firstLine="420"/>
        <w:rPr>
          <w:rFonts w:ascii="Times New Roman" w:hAnsi="Times New Roman" w:eastAsia="宋体"/>
          <w:color w:val="000000"/>
          <w:sz w:val="21"/>
          <w:szCs w:val="21"/>
        </w:rPr>
      </w:pPr>
    </w:p>
    <w:p w14:paraId="076093BC">
      <w:pPr>
        <w:pStyle w:val="303"/>
        <w:pageBreakBefore w:val="0"/>
        <w:kinsoku/>
        <w:overflowPunct/>
        <w:topLinePunct w:val="0"/>
        <w:bidi w:val="0"/>
        <w:spacing w:line="360" w:lineRule="auto"/>
        <w:ind w:right="480" w:firstLine="420"/>
        <w:rPr>
          <w:rFonts w:ascii="Times New Roman" w:hAnsi="Times New Roman" w:eastAsia="宋体"/>
          <w:color w:val="000000"/>
          <w:sz w:val="21"/>
          <w:szCs w:val="21"/>
        </w:rPr>
      </w:pPr>
    </w:p>
    <w:p w14:paraId="489F2E7B">
      <w:pPr>
        <w:pStyle w:val="303"/>
        <w:pageBreakBefore w:val="0"/>
        <w:kinsoku/>
        <w:overflowPunct/>
        <w:topLinePunct w:val="0"/>
        <w:bidi w:val="0"/>
        <w:spacing w:line="360" w:lineRule="auto"/>
        <w:ind w:right="480" w:firstLine="420"/>
        <w:rPr>
          <w:rFonts w:ascii="Times New Roman" w:hAnsi="Times New Roman" w:eastAsia="宋体"/>
          <w:color w:val="000000"/>
          <w:sz w:val="21"/>
          <w:szCs w:val="21"/>
        </w:rPr>
      </w:pPr>
    </w:p>
    <w:p w14:paraId="08415E03">
      <w:pPr>
        <w:pStyle w:val="303"/>
        <w:pageBreakBefore w:val="0"/>
        <w:kinsoku/>
        <w:overflowPunct/>
        <w:topLinePunct w:val="0"/>
        <w:bidi w:val="0"/>
        <w:spacing w:line="360" w:lineRule="auto"/>
        <w:ind w:right="480" w:firstLine="420"/>
        <w:rPr>
          <w:rFonts w:ascii="Times New Roman" w:hAnsi="Times New Roman" w:eastAsia="宋体"/>
          <w:color w:val="000000"/>
          <w:sz w:val="21"/>
          <w:szCs w:val="21"/>
        </w:rPr>
      </w:pPr>
    </w:p>
    <w:p w14:paraId="2A490E2A">
      <w:pPr>
        <w:pageBreakBefore w:val="0"/>
        <w:kinsoku/>
        <w:overflowPunct/>
        <w:topLinePunct w:val="0"/>
        <w:bidi w:val="0"/>
        <w:snapToGrid w:val="0"/>
        <w:spacing w:beforeLines="50" w:after="50" w:line="360" w:lineRule="auto"/>
        <w:ind w:firstLine="422"/>
        <w:rPr>
          <w:rFonts w:ascii="Times New Roman" w:hAnsi="Times New Roman"/>
          <w:b/>
          <w:color w:val="000000"/>
          <w:szCs w:val="21"/>
        </w:rPr>
      </w:pPr>
    </w:p>
    <w:p w14:paraId="5A64EDCB">
      <w:pPr>
        <w:pStyle w:val="303"/>
        <w:pageBreakBefore w:val="0"/>
        <w:kinsoku/>
        <w:overflowPunct/>
        <w:topLinePunct w:val="0"/>
        <w:bidi w:val="0"/>
        <w:spacing w:line="360" w:lineRule="auto"/>
        <w:ind w:firstLine="422"/>
        <w:rPr>
          <w:rFonts w:hAnsi="宋体" w:eastAsia="宋体"/>
          <w:b/>
          <w:sz w:val="21"/>
          <w:szCs w:val="21"/>
        </w:rPr>
      </w:pPr>
      <w:r>
        <w:rPr>
          <w:rFonts w:ascii="Times New Roman" w:hAnsi="Times New Roman" w:eastAsia="宋体"/>
          <w:b/>
          <w:color w:val="000000"/>
          <w:sz w:val="21"/>
          <w:szCs w:val="21"/>
        </w:rPr>
        <w:t>1</w:t>
      </w:r>
      <w:r>
        <w:rPr>
          <w:rFonts w:hint="eastAsia" w:ascii="Times New Roman" w:hAnsi="Times New Roman" w:eastAsia="宋体"/>
          <w:b/>
          <w:color w:val="000000"/>
          <w:sz w:val="21"/>
          <w:szCs w:val="21"/>
        </w:rPr>
        <w:t>2、</w:t>
      </w:r>
      <w:r>
        <w:rPr>
          <w:rFonts w:hint="eastAsia" w:hAnsi="宋体" w:eastAsia="宋体"/>
          <w:b/>
          <w:sz w:val="21"/>
          <w:szCs w:val="21"/>
        </w:rPr>
        <w:t>投入设备一览表</w:t>
      </w:r>
    </w:p>
    <w:p w14:paraId="3C24CBF8">
      <w:pPr>
        <w:numPr>
          <w:ilvl w:val="0"/>
          <w:numId w:val="0"/>
        </w:numPr>
        <w:spacing w:line="420" w:lineRule="exact"/>
        <w:ind w:left="420" w:leftChars="0"/>
        <w:jc w:val="left"/>
        <w:rPr>
          <w:rFonts w:hint="default" w:ascii="宋体" w:hAnsi="宋体" w:eastAsia="宋体" w:cs="宋体"/>
          <w:b/>
          <w:sz w:val="21"/>
          <w:szCs w:val="21"/>
          <w:highlight w:val="none"/>
          <w:lang w:val="en-US" w:eastAsia="zh-CN"/>
        </w:rPr>
      </w:pPr>
      <w:r>
        <w:rPr>
          <w:rFonts w:hint="eastAsia" w:ascii="宋体" w:hAnsi="宋体" w:cs="宋体"/>
          <w:b/>
          <w:szCs w:val="21"/>
        </w:rPr>
        <w:t>第一标段</w:t>
      </w:r>
      <w:r>
        <w:rPr>
          <w:rFonts w:hint="eastAsia" w:ascii="宋体" w:hAnsi="宋体" w:cs="宋体"/>
          <w:b/>
          <w:szCs w:val="21"/>
          <w:lang w:eastAsia="zh-CN"/>
        </w:rPr>
        <w:t>：</w:t>
      </w:r>
    </w:p>
    <w:p w14:paraId="792921DF">
      <w:pPr>
        <w:pStyle w:val="23"/>
        <w:adjustRightInd w:val="0"/>
        <w:spacing w:before="120" w:line="360" w:lineRule="auto"/>
        <w:jc w:val="center"/>
        <w:textAlignment w:val="baseline"/>
        <w:rPr>
          <w:rFonts w:hAnsi="宋体"/>
          <w:sz w:val="21"/>
          <w:szCs w:val="21"/>
          <w:highlight w:val="none"/>
        </w:rPr>
      </w:pPr>
      <w:r>
        <w:rPr>
          <w:rFonts w:hint="eastAsia" w:hAnsi="宋体"/>
          <w:b/>
          <w:sz w:val="21"/>
          <w:szCs w:val="21"/>
          <w:highlight w:val="none"/>
        </w:rPr>
        <w:t>投入设备一览表</w:t>
      </w:r>
    </w:p>
    <w:tbl>
      <w:tblPr>
        <w:tblStyle w:val="51"/>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683"/>
        <w:gridCol w:w="1651"/>
        <w:gridCol w:w="1100"/>
        <w:gridCol w:w="1240"/>
        <w:gridCol w:w="773"/>
        <w:gridCol w:w="773"/>
        <w:gridCol w:w="2308"/>
      </w:tblGrid>
      <w:tr w14:paraId="7D3AB4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10" w:hRule="atLeast"/>
          <w:jc w:val="center"/>
        </w:trPr>
        <w:tc>
          <w:tcPr>
            <w:tcW w:w="401" w:type="pct"/>
            <w:tcBorders>
              <w:top w:val="single" w:color="auto" w:sz="6" w:space="0"/>
              <w:left w:val="single" w:color="auto" w:sz="6" w:space="0"/>
              <w:bottom w:val="single" w:color="auto" w:sz="6" w:space="0"/>
              <w:right w:val="single" w:color="auto" w:sz="6" w:space="0"/>
            </w:tcBorders>
            <w:vAlign w:val="center"/>
          </w:tcPr>
          <w:p w14:paraId="6AD981E7">
            <w:pPr>
              <w:jc w:val="center"/>
              <w:rPr>
                <w:kern w:val="0"/>
                <w:sz w:val="18"/>
                <w:szCs w:val="21"/>
                <w:highlight w:val="none"/>
              </w:rPr>
            </w:pPr>
            <w:r>
              <w:rPr>
                <w:rFonts w:hint="eastAsia"/>
                <w:kern w:val="0"/>
                <w:sz w:val="18"/>
                <w:szCs w:val="21"/>
                <w:highlight w:val="none"/>
              </w:rPr>
              <w:t>序号</w:t>
            </w:r>
          </w:p>
        </w:tc>
        <w:tc>
          <w:tcPr>
            <w:tcW w:w="968" w:type="pct"/>
            <w:tcBorders>
              <w:top w:val="single" w:color="auto" w:sz="6" w:space="0"/>
              <w:left w:val="single" w:color="auto" w:sz="6" w:space="0"/>
              <w:bottom w:val="single" w:color="auto" w:sz="6" w:space="0"/>
              <w:right w:val="single" w:color="auto" w:sz="6" w:space="0"/>
            </w:tcBorders>
            <w:vAlign w:val="center"/>
          </w:tcPr>
          <w:p w14:paraId="516AF80F">
            <w:pPr>
              <w:jc w:val="center"/>
              <w:rPr>
                <w:kern w:val="0"/>
                <w:sz w:val="18"/>
                <w:szCs w:val="21"/>
                <w:highlight w:val="none"/>
              </w:rPr>
            </w:pPr>
            <w:r>
              <w:rPr>
                <w:rFonts w:hint="eastAsia"/>
                <w:kern w:val="0"/>
                <w:sz w:val="18"/>
                <w:szCs w:val="21"/>
                <w:highlight w:val="none"/>
              </w:rPr>
              <w:t>名称</w:t>
            </w:r>
          </w:p>
        </w:tc>
        <w:tc>
          <w:tcPr>
            <w:tcW w:w="645" w:type="pct"/>
            <w:tcBorders>
              <w:top w:val="single" w:color="auto" w:sz="6" w:space="0"/>
              <w:left w:val="single" w:color="auto" w:sz="6" w:space="0"/>
              <w:bottom w:val="single" w:color="auto" w:sz="6" w:space="0"/>
              <w:right w:val="single" w:color="auto" w:sz="6" w:space="0"/>
            </w:tcBorders>
            <w:vAlign w:val="center"/>
          </w:tcPr>
          <w:p w14:paraId="0296D5C7">
            <w:pPr>
              <w:jc w:val="center"/>
              <w:rPr>
                <w:kern w:val="0"/>
                <w:sz w:val="18"/>
                <w:szCs w:val="21"/>
                <w:highlight w:val="none"/>
              </w:rPr>
            </w:pPr>
            <w:r>
              <w:rPr>
                <w:rFonts w:hint="eastAsia"/>
                <w:kern w:val="0"/>
                <w:sz w:val="18"/>
                <w:szCs w:val="21"/>
                <w:highlight w:val="none"/>
              </w:rPr>
              <w:t>品牌</w:t>
            </w:r>
          </w:p>
        </w:tc>
        <w:tc>
          <w:tcPr>
            <w:tcW w:w="727" w:type="pct"/>
            <w:tcBorders>
              <w:top w:val="single" w:color="auto" w:sz="6" w:space="0"/>
              <w:left w:val="single" w:color="auto" w:sz="6" w:space="0"/>
              <w:bottom w:val="single" w:color="auto" w:sz="4" w:space="0"/>
              <w:right w:val="single" w:color="auto" w:sz="6" w:space="0"/>
            </w:tcBorders>
            <w:vAlign w:val="center"/>
          </w:tcPr>
          <w:p w14:paraId="00B24736">
            <w:pPr>
              <w:jc w:val="center"/>
              <w:rPr>
                <w:kern w:val="0"/>
                <w:sz w:val="18"/>
                <w:szCs w:val="21"/>
                <w:highlight w:val="none"/>
              </w:rPr>
            </w:pPr>
            <w:r>
              <w:rPr>
                <w:rFonts w:hint="eastAsia"/>
                <w:kern w:val="0"/>
                <w:sz w:val="18"/>
                <w:szCs w:val="21"/>
                <w:highlight w:val="none"/>
              </w:rPr>
              <w:t>型号、规格</w:t>
            </w:r>
          </w:p>
        </w:tc>
        <w:tc>
          <w:tcPr>
            <w:tcW w:w="453" w:type="pct"/>
            <w:tcBorders>
              <w:top w:val="single" w:color="auto" w:sz="6" w:space="0"/>
              <w:left w:val="single" w:color="auto" w:sz="6" w:space="0"/>
              <w:bottom w:val="single" w:color="auto" w:sz="6" w:space="0"/>
              <w:right w:val="single" w:color="auto" w:sz="4" w:space="0"/>
            </w:tcBorders>
            <w:vAlign w:val="center"/>
          </w:tcPr>
          <w:p w14:paraId="02CBEA92">
            <w:pPr>
              <w:jc w:val="center"/>
              <w:rPr>
                <w:kern w:val="0"/>
                <w:sz w:val="18"/>
                <w:szCs w:val="21"/>
                <w:highlight w:val="none"/>
              </w:rPr>
            </w:pPr>
            <w:r>
              <w:rPr>
                <w:rFonts w:hint="eastAsia"/>
                <w:kern w:val="0"/>
                <w:sz w:val="18"/>
                <w:szCs w:val="21"/>
                <w:highlight w:val="none"/>
              </w:rPr>
              <w:t>单位</w:t>
            </w:r>
          </w:p>
        </w:tc>
        <w:tc>
          <w:tcPr>
            <w:tcW w:w="453" w:type="pct"/>
            <w:tcBorders>
              <w:top w:val="single" w:color="auto" w:sz="6" w:space="0"/>
              <w:left w:val="single" w:color="auto" w:sz="4" w:space="0"/>
              <w:bottom w:val="single" w:color="auto" w:sz="6" w:space="0"/>
              <w:right w:val="single" w:color="auto" w:sz="6" w:space="0"/>
            </w:tcBorders>
            <w:vAlign w:val="center"/>
          </w:tcPr>
          <w:p w14:paraId="47D7FA2C">
            <w:pPr>
              <w:jc w:val="center"/>
              <w:rPr>
                <w:kern w:val="0"/>
                <w:sz w:val="18"/>
                <w:szCs w:val="21"/>
                <w:highlight w:val="none"/>
              </w:rPr>
            </w:pPr>
            <w:r>
              <w:rPr>
                <w:rFonts w:hint="eastAsia"/>
                <w:kern w:val="0"/>
                <w:sz w:val="18"/>
                <w:szCs w:val="21"/>
                <w:highlight w:val="none"/>
              </w:rPr>
              <w:t>数量</w:t>
            </w:r>
          </w:p>
        </w:tc>
        <w:tc>
          <w:tcPr>
            <w:tcW w:w="1353" w:type="pct"/>
            <w:tcBorders>
              <w:top w:val="single" w:color="auto" w:sz="6" w:space="0"/>
              <w:left w:val="single" w:color="auto" w:sz="6" w:space="0"/>
              <w:bottom w:val="single" w:color="auto" w:sz="6" w:space="0"/>
              <w:right w:val="single" w:color="auto" w:sz="6" w:space="0"/>
            </w:tcBorders>
            <w:vAlign w:val="center"/>
          </w:tcPr>
          <w:p w14:paraId="20387A0B">
            <w:pPr>
              <w:jc w:val="center"/>
              <w:rPr>
                <w:kern w:val="0"/>
                <w:sz w:val="18"/>
                <w:szCs w:val="21"/>
                <w:highlight w:val="none"/>
              </w:rPr>
            </w:pPr>
            <w:r>
              <w:rPr>
                <w:rFonts w:hint="eastAsia"/>
                <w:kern w:val="0"/>
                <w:sz w:val="18"/>
                <w:szCs w:val="21"/>
                <w:highlight w:val="none"/>
              </w:rPr>
              <w:t>设备性质（自有</w:t>
            </w:r>
            <w:r>
              <w:rPr>
                <w:kern w:val="0"/>
                <w:sz w:val="18"/>
                <w:szCs w:val="21"/>
                <w:highlight w:val="none"/>
              </w:rPr>
              <w:t>/</w:t>
            </w:r>
            <w:r>
              <w:rPr>
                <w:rFonts w:hint="eastAsia"/>
                <w:kern w:val="0"/>
                <w:sz w:val="18"/>
                <w:szCs w:val="21"/>
                <w:highlight w:val="none"/>
              </w:rPr>
              <w:t>租赁）</w:t>
            </w:r>
          </w:p>
        </w:tc>
      </w:tr>
      <w:tr w14:paraId="52FF36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10" w:hRule="atLeast"/>
          <w:jc w:val="center"/>
        </w:trPr>
        <w:tc>
          <w:tcPr>
            <w:tcW w:w="401" w:type="pct"/>
            <w:tcBorders>
              <w:top w:val="single" w:color="auto" w:sz="6" w:space="0"/>
              <w:left w:val="single" w:color="auto" w:sz="6" w:space="0"/>
              <w:bottom w:val="single" w:color="auto" w:sz="6" w:space="0"/>
              <w:right w:val="single" w:color="auto" w:sz="6" w:space="0"/>
            </w:tcBorders>
            <w:vAlign w:val="center"/>
          </w:tcPr>
          <w:p w14:paraId="282B1162">
            <w:pPr>
              <w:jc w:val="center"/>
              <w:rPr>
                <w:kern w:val="0"/>
                <w:sz w:val="18"/>
                <w:szCs w:val="21"/>
                <w:highlight w:val="none"/>
              </w:rPr>
            </w:pPr>
          </w:p>
        </w:tc>
        <w:tc>
          <w:tcPr>
            <w:tcW w:w="968" w:type="pct"/>
            <w:tcBorders>
              <w:top w:val="single" w:color="auto" w:sz="6" w:space="0"/>
              <w:left w:val="single" w:color="auto" w:sz="6" w:space="0"/>
              <w:bottom w:val="single" w:color="auto" w:sz="6" w:space="0"/>
              <w:right w:val="single" w:color="auto" w:sz="6" w:space="0"/>
            </w:tcBorders>
            <w:vAlign w:val="center"/>
          </w:tcPr>
          <w:p w14:paraId="29E3CA69">
            <w:pPr>
              <w:jc w:val="center"/>
              <w:rPr>
                <w:kern w:val="0"/>
                <w:sz w:val="18"/>
                <w:szCs w:val="21"/>
                <w:highlight w:val="none"/>
              </w:rPr>
            </w:pPr>
          </w:p>
        </w:tc>
        <w:tc>
          <w:tcPr>
            <w:tcW w:w="645" w:type="pct"/>
            <w:tcBorders>
              <w:top w:val="single" w:color="auto" w:sz="6" w:space="0"/>
              <w:left w:val="single" w:color="auto" w:sz="6" w:space="0"/>
              <w:bottom w:val="single" w:color="auto" w:sz="6" w:space="0"/>
              <w:right w:val="single" w:color="auto" w:sz="6" w:space="0"/>
            </w:tcBorders>
            <w:vAlign w:val="center"/>
          </w:tcPr>
          <w:p w14:paraId="4A64C6FF">
            <w:pPr>
              <w:jc w:val="center"/>
              <w:rPr>
                <w:kern w:val="0"/>
                <w:sz w:val="18"/>
                <w:szCs w:val="21"/>
                <w:highlight w:val="none"/>
              </w:rPr>
            </w:pPr>
          </w:p>
        </w:tc>
        <w:tc>
          <w:tcPr>
            <w:tcW w:w="727" w:type="pct"/>
            <w:tcBorders>
              <w:top w:val="single" w:color="auto" w:sz="4" w:space="0"/>
              <w:left w:val="single" w:color="auto" w:sz="6" w:space="0"/>
              <w:bottom w:val="single" w:color="auto" w:sz="6" w:space="0"/>
              <w:right w:val="single" w:color="auto" w:sz="6" w:space="0"/>
            </w:tcBorders>
            <w:vAlign w:val="center"/>
          </w:tcPr>
          <w:p w14:paraId="48894C61">
            <w:pPr>
              <w:jc w:val="center"/>
              <w:rPr>
                <w:kern w:val="0"/>
                <w:sz w:val="18"/>
                <w:szCs w:val="21"/>
                <w:highlight w:val="none"/>
              </w:rPr>
            </w:pPr>
          </w:p>
        </w:tc>
        <w:tc>
          <w:tcPr>
            <w:tcW w:w="453" w:type="pct"/>
            <w:tcBorders>
              <w:top w:val="single" w:color="auto" w:sz="6" w:space="0"/>
              <w:left w:val="single" w:color="auto" w:sz="6" w:space="0"/>
              <w:bottom w:val="single" w:color="auto" w:sz="6" w:space="0"/>
              <w:right w:val="single" w:color="auto" w:sz="4" w:space="0"/>
            </w:tcBorders>
            <w:vAlign w:val="center"/>
          </w:tcPr>
          <w:p w14:paraId="10356F89">
            <w:pPr>
              <w:jc w:val="center"/>
              <w:rPr>
                <w:kern w:val="0"/>
                <w:sz w:val="18"/>
                <w:szCs w:val="21"/>
                <w:highlight w:val="none"/>
              </w:rPr>
            </w:pPr>
          </w:p>
        </w:tc>
        <w:tc>
          <w:tcPr>
            <w:tcW w:w="453" w:type="pct"/>
            <w:tcBorders>
              <w:top w:val="single" w:color="auto" w:sz="6" w:space="0"/>
              <w:left w:val="single" w:color="auto" w:sz="4" w:space="0"/>
              <w:bottom w:val="single" w:color="auto" w:sz="6" w:space="0"/>
              <w:right w:val="single" w:color="auto" w:sz="6" w:space="0"/>
            </w:tcBorders>
            <w:vAlign w:val="center"/>
          </w:tcPr>
          <w:p w14:paraId="4390B93F">
            <w:pPr>
              <w:jc w:val="center"/>
              <w:rPr>
                <w:kern w:val="0"/>
                <w:sz w:val="18"/>
                <w:szCs w:val="21"/>
                <w:highlight w:val="none"/>
              </w:rPr>
            </w:pPr>
          </w:p>
        </w:tc>
        <w:tc>
          <w:tcPr>
            <w:tcW w:w="1353" w:type="pct"/>
            <w:tcBorders>
              <w:top w:val="single" w:color="auto" w:sz="6" w:space="0"/>
              <w:left w:val="single" w:color="auto" w:sz="6" w:space="0"/>
              <w:bottom w:val="single" w:color="auto" w:sz="6" w:space="0"/>
              <w:right w:val="single" w:color="auto" w:sz="6" w:space="0"/>
            </w:tcBorders>
            <w:vAlign w:val="center"/>
          </w:tcPr>
          <w:p w14:paraId="6543D70C">
            <w:pPr>
              <w:jc w:val="center"/>
              <w:rPr>
                <w:kern w:val="0"/>
                <w:sz w:val="18"/>
                <w:szCs w:val="21"/>
                <w:highlight w:val="none"/>
              </w:rPr>
            </w:pPr>
          </w:p>
        </w:tc>
      </w:tr>
      <w:tr w14:paraId="05F493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10" w:hRule="atLeast"/>
          <w:jc w:val="center"/>
        </w:trPr>
        <w:tc>
          <w:tcPr>
            <w:tcW w:w="401" w:type="pct"/>
            <w:tcBorders>
              <w:top w:val="single" w:color="auto" w:sz="6" w:space="0"/>
              <w:left w:val="single" w:color="auto" w:sz="6" w:space="0"/>
              <w:bottom w:val="single" w:color="auto" w:sz="6" w:space="0"/>
              <w:right w:val="single" w:color="auto" w:sz="6" w:space="0"/>
            </w:tcBorders>
            <w:vAlign w:val="center"/>
          </w:tcPr>
          <w:p w14:paraId="1A952DB0">
            <w:pPr>
              <w:jc w:val="center"/>
              <w:rPr>
                <w:kern w:val="0"/>
                <w:sz w:val="18"/>
                <w:szCs w:val="21"/>
                <w:highlight w:val="none"/>
              </w:rPr>
            </w:pPr>
          </w:p>
        </w:tc>
        <w:tc>
          <w:tcPr>
            <w:tcW w:w="968" w:type="pct"/>
            <w:tcBorders>
              <w:top w:val="single" w:color="auto" w:sz="6" w:space="0"/>
              <w:left w:val="single" w:color="auto" w:sz="6" w:space="0"/>
              <w:bottom w:val="single" w:color="auto" w:sz="6" w:space="0"/>
              <w:right w:val="single" w:color="auto" w:sz="6" w:space="0"/>
            </w:tcBorders>
            <w:vAlign w:val="center"/>
          </w:tcPr>
          <w:p w14:paraId="05404675">
            <w:pPr>
              <w:jc w:val="center"/>
              <w:rPr>
                <w:kern w:val="0"/>
                <w:sz w:val="18"/>
                <w:szCs w:val="21"/>
                <w:highlight w:val="none"/>
              </w:rPr>
            </w:pPr>
          </w:p>
        </w:tc>
        <w:tc>
          <w:tcPr>
            <w:tcW w:w="645" w:type="pct"/>
            <w:tcBorders>
              <w:top w:val="single" w:color="auto" w:sz="6" w:space="0"/>
              <w:left w:val="single" w:color="auto" w:sz="6" w:space="0"/>
              <w:bottom w:val="single" w:color="auto" w:sz="6" w:space="0"/>
              <w:right w:val="single" w:color="auto" w:sz="6" w:space="0"/>
            </w:tcBorders>
            <w:vAlign w:val="center"/>
          </w:tcPr>
          <w:p w14:paraId="581214A5">
            <w:pPr>
              <w:jc w:val="center"/>
              <w:rPr>
                <w:kern w:val="0"/>
                <w:sz w:val="18"/>
                <w:szCs w:val="21"/>
                <w:highlight w:val="none"/>
              </w:rPr>
            </w:pPr>
          </w:p>
        </w:tc>
        <w:tc>
          <w:tcPr>
            <w:tcW w:w="727" w:type="pct"/>
            <w:tcBorders>
              <w:top w:val="single" w:color="auto" w:sz="6" w:space="0"/>
              <w:left w:val="single" w:color="auto" w:sz="6" w:space="0"/>
              <w:bottom w:val="single" w:color="auto" w:sz="6" w:space="0"/>
              <w:right w:val="single" w:color="auto" w:sz="6" w:space="0"/>
            </w:tcBorders>
            <w:vAlign w:val="center"/>
          </w:tcPr>
          <w:p w14:paraId="42EAE656">
            <w:pPr>
              <w:jc w:val="center"/>
              <w:rPr>
                <w:kern w:val="0"/>
                <w:sz w:val="18"/>
                <w:szCs w:val="21"/>
                <w:highlight w:val="none"/>
              </w:rPr>
            </w:pPr>
          </w:p>
        </w:tc>
        <w:tc>
          <w:tcPr>
            <w:tcW w:w="453" w:type="pct"/>
            <w:tcBorders>
              <w:top w:val="single" w:color="auto" w:sz="6" w:space="0"/>
              <w:left w:val="single" w:color="auto" w:sz="6" w:space="0"/>
              <w:bottom w:val="single" w:color="auto" w:sz="6" w:space="0"/>
              <w:right w:val="single" w:color="auto" w:sz="4" w:space="0"/>
            </w:tcBorders>
            <w:vAlign w:val="center"/>
          </w:tcPr>
          <w:p w14:paraId="32212548">
            <w:pPr>
              <w:jc w:val="center"/>
              <w:rPr>
                <w:kern w:val="0"/>
                <w:sz w:val="18"/>
                <w:szCs w:val="21"/>
                <w:highlight w:val="none"/>
              </w:rPr>
            </w:pPr>
          </w:p>
        </w:tc>
        <w:tc>
          <w:tcPr>
            <w:tcW w:w="453" w:type="pct"/>
            <w:tcBorders>
              <w:top w:val="single" w:color="auto" w:sz="6" w:space="0"/>
              <w:left w:val="single" w:color="auto" w:sz="4" w:space="0"/>
              <w:bottom w:val="single" w:color="auto" w:sz="6" w:space="0"/>
              <w:right w:val="single" w:color="auto" w:sz="6" w:space="0"/>
            </w:tcBorders>
            <w:vAlign w:val="center"/>
          </w:tcPr>
          <w:p w14:paraId="0A4338C8">
            <w:pPr>
              <w:jc w:val="center"/>
              <w:rPr>
                <w:kern w:val="0"/>
                <w:sz w:val="18"/>
                <w:szCs w:val="21"/>
                <w:highlight w:val="none"/>
              </w:rPr>
            </w:pPr>
          </w:p>
        </w:tc>
        <w:tc>
          <w:tcPr>
            <w:tcW w:w="1353" w:type="pct"/>
            <w:tcBorders>
              <w:top w:val="single" w:color="auto" w:sz="6" w:space="0"/>
              <w:left w:val="single" w:color="auto" w:sz="6" w:space="0"/>
              <w:bottom w:val="single" w:color="auto" w:sz="6" w:space="0"/>
              <w:right w:val="single" w:color="auto" w:sz="6" w:space="0"/>
            </w:tcBorders>
            <w:vAlign w:val="center"/>
          </w:tcPr>
          <w:p w14:paraId="1669E6C3">
            <w:pPr>
              <w:jc w:val="center"/>
              <w:rPr>
                <w:kern w:val="0"/>
                <w:sz w:val="18"/>
                <w:szCs w:val="21"/>
                <w:highlight w:val="none"/>
              </w:rPr>
            </w:pPr>
          </w:p>
        </w:tc>
      </w:tr>
      <w:tr w14:paraId="176683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10" w:hRule="atLeast"/>
          <w:jc w:val="center"/>
        </w:trPr>
        <w:tc>
          <w:tcPr>
            <w:tcW w:w="401" w:type="pct"/>
            <w:tcBorders>
              <w:top w:val="single" w:color="auto" w:sz="6" w:space="0"/>
              <w:left w:val="single" w:color="auto" w:sz="6" w:space="0"/>
              <w:bottom w:val="single" w:color="auto" w:sz="6" w:space="0"/>
              <w:right w:val="single" w:color="auto" w:sz="6" w:space="0"/>
            </w:tcBorders>
            <w:vAlign w:val="center"/>
          </w:tcPr>
          <w:p w14:paraId="213D6B0F">
            <w:pPr>
              <w:jc w:val="center"/>
              <w:rPr>
                <w:kern w:val="0"/>
                <w:sz w:val="18"/>
                <w:szCs w:val="21"/>
                <w:highlight w:val="none"/>
              </w:rPr>
            </w:pPr>
          </w:p>
        </w:tc>
        <w:tc>
          <w:tcPr>
            <w:tcW w:w="968" w:type="pct"/>
            <w:tcBorders>
              <w:top w:val="single" w:color="auto" w:sz="6" w:space="0"/>
              <w:left w:val="single" w:color="auto" w:sz="6" w:space="0"/>
              <w:bottom w:val="single" w:color="auto" w:sz="6" w:space="0"/>
              <w:right w:val="single" w:color="auto" w:sz="6" w:space="0"/>
            </w:tcBorders>
            <w:vAlign w:val="center"/>
          </w:tcPr>
          <w:p w14:paraId="457D25E8">
            <w:pPr>
              <w:jc w:val="center"/>
              <w:rPr>
                <w:kern w:val="0"/>
                <w:sz w:val="18"/>
                <w:szCs w:val="21"/>
                <w:highlight w:val="none"/>
              </w:rPr>
            </w:pPr>
          </w:p>
        </w:tc>
        <w:tc>
          <w:tcPr>
            <w:tcW w:w="645" w:type="pct"/>
            <w:tcBorders>
              <w:top w:val="single" w:color="auto" w:sz="6" w:space="0"/>
              <w:left w:val="single" w:color="auto" w:sz="6" w:space="0"/>
              <w:bottom w:val="single" w:color="auto" w:sz="6" w:space="0"/>
              <w:right w:val="single" w:color="auto" w:sz="6" w:space="0"/>
            </w:tcBorders>
            <w:vAlign w:val="center"/>
          </w:tcPr>
          <w:p w14:paraId="4E997A73">
            <w:pPr>
              <w:jc w:val="center"/>
              <w:rPr>
                <w:kern w:val="0"/>
                <w:sz w:val="18"/>
                <w:szCs w:val="21"/>
                <w:highlight w:val="none"/>
              </w:rPr>
            </w:pPr>
          </w:p>
        </w:tc>
        <w:tc>
          <w:tcPr>
            <w:tcW w:w="727" w:type="pct"/>
            <w:tcBorders>
              <w:top w:val="single" w:color="auto" w:sz="6" w:space="0"/>
              <w:left w:val="single" w:color="auto" w:sz="6" w:space="0"/>
              <w:bottom w:val="single" w:color="auto" w:sz="6" w:space="0"/>
              <w:right w:val="single" w:color="auto" w:sz="6" w:space="0"/>
            </w:tcBorders>
            <w:vAlign w:val="center"/>
          </w:tcPr>
          <w:p w14:paraId="0C210389">
            <w:pPr>
              <w:jc w:val="center"/>
              <w:rPr>
                <w:kern w:val="0"/>
                <w:sz w:val="18"/>
                <w:szCs w:val="21"/>
                <w:highlight w:val="none"/>
              </w:rPr>
            </w:pPr>
          </w:p>
        </w:tc>
        <w:tc>
          <w:tcPr>
            <w:tcW w:w="453" w:type="pct"/>
            <w:tcBorders>
              <w:top w:val="single" w:color="auto" w:sz="6" w:space="0"/>
              <w:left w:val="single" w:color="auto" w:sz="6" w:space="0"/>
              <w:bottom w:val="single" w:color="auto" w:sz="6" w:space="0"/>
              <w:right w:val="single" w:color="auto" w:sz="4" w:space="0"/>
            </w:tcBorders>
            <w:vAlign w:val="center"/>
          </w:tcPr>
          <w:p w14:paraId="12A58C98">
            <w:pPr>
              <w:jc w:val="center"/>
              <w:rPr>
                <w:kern w:val="0"/>
                <w:sz w:val="18"/>
                <w:szCs w:val="21"/>
                <w:highlight w:val="none"/>
              </w:rPr>
            </w:pPr>
          </w:p>
        </w:tc>
        <w:tc>
          <w:tcPr>
            <w:tcW w:w="453" w:type="pct"/>
            <w:tcBorders>
              <w:top w:val="single" w:color="auto" w:sz="6" w:space="0"/>
              <w:left w:val="single" w:color="auto" w:sz="4" w:space="0"/>
              <w:bottom w:val="single" w:color="auto" w:sz="6" w:space="0"/>
              <w:right w:val="single" w:color="auto" w:sz="6" w:space="0"/>
            </w:tcBorders>
            <w:vAlign w:val="center"/>
          </w:tcPr>
          <w:p w14:paraId="6FA766B7">
            <w:pPr>
              <w:jc w:val="center"/>
              <w:rPr>
                <w:kern w:val="0"/>
                <w:sz w:val="18"/>
                <w:szCs w:val="21"/>
                <w:highlight w:val="none"/>
              </w:rPr>
            </w:pPr>
          </w:p>
        </w:tc>
        <w:tc>
          <w:tcPr>
            <w:tcW w:w="1353" w:type="pct"/>
            <w:tcBorders>
              <w:top w:val="single" w:color="auto" w:sz="6" w:space="0"/>
              <w:left w:val="single" w:color="auto" w:sz="6" w:space="0"/>
              <w:bottom w:val="single" w:color="auto" w:sz="6" w:space="0"/>
              <w:right w:val="single" w:color="auto" w:sz="6" w:space="0"/>
            </w:tcBorders>
            <w:vAlign w:val="center"/>
          </w:tcPr>
          <w:p w14:paraId="44EC7527">
            <w:pPr>
              <w:jc w:val="center"/>
              <w:rPr>
                <w:kern w:val="0"/>
                <w:sz w:val="18"/>
                <w:szCs w:val="21"/>
                <w:highlight w:val="none"/>
              </w:rPr>
            </w:pPr>
          </w:p>
        </w:tc>
      </w:tr>
    </w:tbl>
    <w:p w14:paraId="08F51F6A">
      <w:pPr>
        <w:snapToGrid w:val="0"/>
        <w:spacing w:before="120" w:beforeLines="50" w:after="50"/>
        <w:rPr>
          <w:rFonts w:ascii="宋体" w:hAnsi="宋体"/>
          <w:b/>
          <w:szCs w:val="21"/>
          <w:highlight w:val="none"/>
        </w:rPr>
      </w:pPr>
      <w:r>
        <w:rPr>
          <w:rFonts w:hint="eastAsia" w:ascii="宋体" w:hAnsi="宋体"/>
          <w:b/>
          <w:szCs w:val="21"/>
          <w:highlight w:val="none"/>
        </w:rPr>
        <w:t>注：①表格行数不够可自行添加。</w:t>
      </w:r>
    </w:p>
    <w:p w14:paraId="3B2CAB3C">
      <w:pPr>
        <w:pageBreakBefore w:val="0"/>
        <w:kinsoku/>
        <w:overflowPunct/>
        <w:topLinePunct w:val="0"/>
        <w:bidi w:val="0"/>
        <w:spacing w:line="360" w:lineRule="auto"/>
        <w:ind w:firstLine="2100" w:firstLineChars="1000"/>
        <w:rPr>
          <w:rFonts w:hint="eastAsia" w:ascii="Times New Roman" w:hAnsi="Times New Roman"/>
          <w:color w:val="000000"/>
          <w:szCs w:val="21"/>
        </w:rPr>
      </w:pPr>
    </w:p>
    <w:p w14:paraId="40B68289">
      <w:pPr>
        <w:pageBreakBefore w:val="0"/>
        <w:kinsoku/>
        <w:overflowPunct/>
        <w:topLinePunct w:val="0"/>
        <w:bidi w:val="0"/>
        <w:spacing w:line="360" w:lineRule="auto"/>
        <w:ind w:firstLine="2100" w:firstLineChars="1000"/>
        <w:rPr>
          <w:rFonts w:hint="eastAsia" w:ascii="Times New Roman" w:hAnsi="Times New Roman"/>
          <w:color w:val="000000"/>
          <w:szCs w:val="21"/>
        </w:rPr>
      </w:pPr>
    </w:p>
    <w:p w14:paraId="626BE9E7">
      <w:pPr>
        <w:pageBreakBefore w:val="0"/>
        <w:kinsoku/>
        <w:overflowPunct/>
        <w:topLinePunct w:val="0"/>
        <w:bidi w:val="0"/>
        <w:spacing w:line="360" w:lineRule="auto"/>
        <w:ind w:firstLine="2100" w:firstLineChars="1000"/>
        <w:rPr>
          <w:rFonts w:hint="eastAsia" w:ascii="Times New Roman" w:hAnsi="Times New Roman"/>
          <w:color w:val="000000"/>
          <w:szCs w:val="21"/>
        </w:rPr>
      </w:pPr>
    </w:p>
    <w:p w14:paraId="2536FF62">
      <w:pPr>
        <w:pageBreakBefore w:val="0"/>
        <w:kinsoku/>
        <w:overflowPunct/>
        <w:topLinePunct w:val="0"/>
        <w:bidi w:val="0"/>
        <w:spacing w:line="360" w:lineRule="auto"/>
        <w:ind w:firstLine="2100" w:firstLineChars="1000"/>
        <w:rPr>
          <w:rFonts w:hint="eastAsia" w:ascii="Times New Roman" w:hAnsi="Times New Roman"/>
          <w:color w:val="000000"/>
          <w:szCs w:val="21"/>
        </w:rPr>
      </w:pPr>
    </w:p>
    <w:p w14:paraId="1DB0A93C">
      <w:pPr>
        <w:pageBreakBefore w:val="0"/>
        <w:kinsoku/>
        <w:overflowPunct/>
        <w:topLinePunct w:val="0"/>
        <w:bidi w:val="0"/>
        <w:spacing w:line="360" w:lineRule="auto"/>
        <w:ind w:firstLine="2100" w:firstLineChars="1000"/>
        <w:rPr>
          <w:rFonts w:hint="eastAsia" w:ascii="Times New Roman" w:hAnsi="Times New Roman"/>
          <w:color w:val="000000"/>
          <w:szCs w:val="21"/>
        </w:rPr>
      </w:pPr>
    </w:p>
    <w:p w14:paraId="400337CE">
      <w:pPr>
        <w:pageBreakBefore w:val="0"/>
        <w:kinsoku/>
        <w:overflowPunct/>
        <w:topLinePunct w:val="0"/>
        <w:bidi w:val="0"/>
        <w:spacing w:line="360" w:lineRule="auto"/>
        <w:ind w:firstLine="2100" w:firstLineChars="1000"/>
        <w:rPr>
          <w:rFonts w:hint="eastAsia" w:ascii="Times New Roman" w:hAnsi="Times New Roman"/>
          <w:color w:val="000000"/>
          <w:szCs w:val="21"/>
        </w:rPr>
      </w:pPr>
    </w:p>
    <w:p w14:paraId="7D2CB4F8">
      <w:pPr>
        <w:pageBreakBefore w:val="0"/>
        <w:kinsoku/>
        <w:overflowPunct/>
        <w:topLinePunct w:val="0"/>
        <w:bidi w:val="0"/>
        <w:spacing w:line="360" w:lineRule="auto"/>
        <w:ind w:firstLine="2100" w:firstLineChars="1000"/>
        <w:rPr>
          <w:rFonts w:ascii="Times New Roman" w:hAnsi="Times New Roman"/>
          <w:color w:val="000000"/>
          <w:szCs w:val="21"/>
        </w:rPr>
      </w:pPr>
      <w:r>
        <w:rPr>
          <w:rFonts w:hint="eastAsia" w:ascii="Times New Roman" w:hAnsi="Times New Roman"/>
          <w:color w:val="000000"/>
          <w:szCs w:val="21"/>
        </w:rPr>
        <w:t>投标人（加盖公章）：</w:t>
      </w:r>
      <w:r>
        <w:rPr>
          <w:rFonts w:ascii="Times New Roman" w:hAnsi="Times New Roman"/>
          <w:color w:val="000000"/>
          <w:szCs w:val="21"/>
          <w:u w:val="single"/>
        </w:rPr>
        <w:t xml:space="preserve">                        </w:t>
      </w:r>
    </w:p>
    <w:p w14:paraId="2F8F8363">
      <w:pPr>
        <w:pageBreakBefore w:val="0"/>
        <w:kinsoku/>
        <w:overflowPunct/>
        <w:topLinePunct w:val="0"/>
        <w:bidi w:val="0"/>
        <w:spacing w:line="360" w:lineRule="auto"/>
        <w:ind w:firstLine="2100" w:firstLineChars="1000"/>
        <w:rPr>
          <w:rFonts w:ascii="Times New Roman" w:hAnsi="Times New Roman"/>
          <w:color w:val="000000"/>
          <w:szCs w:val="21"/>
        </w:rPr>
      </w:pPr>
      <w:r>
        <w:rPr>
          <w:rFonts w:hint="eastAsia" w:ascii="Times New Roman" w:hAnsi="Times New Roman"/>
          <w:color w:val="000000"/>
          <w:szCs w:val="21"/>
        </w:rPr>
        <w:t>法定代表人或被授权人签字（或盖章）：</w:t>
      </w:r>
      <w:r>
        <w:rPr>
          <w:rFonts w:ascii="Times New Roman" w:hAnsi="Times New Roman"/>
          <w:color w:val="000000"/>
          <w:szCs w:val="21"/>
          <w:u w:val="single"/>
        </w:rPr>
        <w:t xml:space="preserve">                   </w:t>
      </w:r>
    </w:p>
    <w:p w14:paraId="576B66EA">
      <w:pPr>
        <w:pageBreakBefore w:val="0"/>
        <w:kinsoku/>
        <w:overflowPunct/>
        <w:topLinePunct w:val="0"/>
        <w:bidi w:val="0"/>
        <w:spacing w:line="360" w:lineRule="auto"/>
        <w:ind w:firstLine="4305" w:firstLineChars="2050"/>
        <w:rPr>
          <w:rFonts w:ascii="Times New Roman" w:hAnsi="Times New Roman"/>
          <w:color w:val="000000"/>
          <w:szCs w:val="21"/>
        </w:rPr>
      </w:pPr>
      <w:r>
        <w:rPr>
          <w:rFonts w:hint="eastAsia" w:ascii="Times New Roman" w:hAnsi="Times New Roman"/>
          <w:color w:val="000000"/>
          <w:szCs w:val="21"/>
        </w:rPr>
        <w:t>日</w:t>
      </w:r>
      <w:r>
        <w:rPr>
          <w:rFonts w:ascii="Times New Roman" w:hAnsi="Times New Roman"/>
          <w:color w:val="000000"/>
          <w:szCs w:val="21"/>
        </w:rPr>
        <w:t xml:space="preserve">    </w:t>
      </w:r>
      <w:r>
        <w:rPr>
          <w:rFonts w:hint="eastAsia" w:ascii="Times New Roman" w:hAnsi="Times New Roman"/>
          <w:color w:val="000000"/>
          <w:szCs w:val="21"/>
        </w:rPr>
        <w:t>期：</w:t>
      </w:r>
      <w:r>
        <w:rPr>
          <w:rFonts w:ascii="Times New Roman" w:hAnsi="Times New Roman"/>
          <w:color w:val="000000"/>
          <w:szCs w:val="21"/>
          <w:u w:val="single"/>
        </w:rPr>
        <w:t xml:space="preserve">     </w:t>
      </w:r>
      <w:r>
        <w:rPr>
          <w:rFonts w:hint="eastAsia" w:ascii="Times New Roman" w:hAnsi="Times New Roman"/>
          <w:color w:val="000000"/>
          <w:szCs w:val="21"/>
        </w:rPr>
        <w:t>年</w:t>
      </w:r>
      <w:r>
        <w:rPr>
          <w:rFonts w:ascii="Times New Roman" w:hAnsi="Times New Roman"/>
          <w:color w:val="000000"/>
          <w:szCs w:val="21"/>
          <w:u w:val="single"/>
        </w:rPr>
        <w:t xml:space="preserve">    </w:t>
      </w:r>
      <w:r>
        <w:rPr>
          <w:rFonts w:hint="eastAsia" w:ascii="Times New Roman" w:hAnsi="Times New Roman"/>
          <w:color w:val="000000"/>
          <w:szCs w:val="21"/>
        </w:rPr>
        <w:t>月</w:t>
      </w:r>
      <w:r>
        <w:rPr>
          <w:rFonts w:ascii="Times New Roman" w:hAnsi="Times New Roman"/>
          <w:color w:val="000000"/>
          <w:szCs w:val="21"/>
          <w:u w:val="single"/>
        </w:rPr>
        <w:t xml:space="preserve">    </w:t>
      </w:r>
      <w:r>
        <w:rPr>
          <w:rFonts w:hint="eastAsia" w:ascii="Times New Roman" w:hAnsi="Times New Roman"/>
          <w:color w:val="000000"/>
          <w:szCs w:val="21"/>
        </w:rPr>
        <w:t>日</w:t>
      </w:r>
    </w:p>
    <w:p w14:paraId="1814FAC4">
      <w:pPr>
        <w:rPr>
          <w:rFonts w:ascii="宋体" w:hAnsi="宋体" w:cs="宋体"/>
          <w:b/>
          <w:szCs w:val="21"/>
        </w:rPr>
      </w:pPr>
      <w:r>
        <w:rPr>
          <w:rFonts w:ascii="宋体" w:hAnsi="宋体" w:cs="宋体"/>
          <w:b/>
          <w:szCs w:val="21"/>
        </w:rPr>
        <w:br w:type="page"/>
      </w:r>
    </w:p>
    <w:p w14:paraId="7B8AB477">
      <w:pPr>
        <w:pageBreakBefore w:val="0"/>
        <w:kinsoku/>
        <w:overflowPunct/>
        <w:topLinePunct w:val="0"/>
        <w:bidi w:val="0"/>
        <w:spacing w:line="360" w:lineRule="auto"/>
        <w:ind w:left="420" w:firstLine="422"/>
        <w:jc w:val="left"/>
        <w:rPr>
          <w:rFonts w:ascii="宋体" w:hAnsi="宋体" w:cs="宋体"/>
          <w:b/>
          <w:szCs w:val="21"/>
        </w:rPr>
      </w:pPr>
    </w:p>
    <w:p w14:paraId="571A41A5">
      <w:pPr>
        <w:numPr>
          <w:ilvl w:val="0"/>
          <w:numId w:val="0"/>
        </w:numPr>
        <w:spacing w:line="420" w:lineRule="exact"/>
        <w:ind w:left="420" w:leftChars="0"/>
        <w:jc w:val="left"/>
        <w:rPr>
          <w:rFonts w:hint="default" w:ascii="宋体" w:hAnsi="宋体" w:eastAsia="宋体" w:cs="宋体"/>
          <w:b/>
          <w:sz w:val="21"/>
          <w:szCs w:val="21"/>
          <w:highlight w:val="none"/>
          <w:lang w:val="en-US" w:eastAsia="zh-CN"/>
        </w:rPr>
      </w:pPr>
      <w:r>
        <w:rPr>
          <w:rFonts w:hint="eastAsia" w:ascii="宋体" w:hAnsi="宋体" w:cs="宋体"/>
          <w:b/>
          <w:szCs w:val="21"/>
        </w:rPr>
        <w:t>第二标段</w:t>
      </w:r>
      <w:r>
        <w:rPr>
          <w:rFonts w:hint="eastAsia" w:ascii="宋体" w:hAnsi="宋体" w:cs="宋体"/>
          <w:b/>
          <w:szCs w:val="21"/>
          <w:lang w:eastAsia="zh-CN"/>
        </w:rPr>
        <w:t>：</w:t>
      </w:r>
    </w:p>
    <w:p w14:paraId="3F3EFDBF">
      <w:pPr>
        <w:ind w:firstLine="141" w:firstLineChars="67"/>
        <w:rPr>
          <w:rFonts w:hint="eastAsia" w:ascii="宋体" w:hAnsi="宋体" w:cs="宋体"/>
          <w:b/>
          <w:szCs w:val="21"/>
        </w:rPr>
      </w:pPr>
    </w:p>
    <w:p w14:paraId="2DC9E1A7">
      <w:pPr>
        <w:pStyle w:val="23"/>
        <w:adjustRightInd w:val="0"/>
        <w:spacing w:before="120" w:line="360" w:lineRule="auto"/>
        <w:jc w:val="center"/>
        <w:textAlignment w:val="baseline"/>
        <w:rPr>
          <w:rFonts w:hAnsi="宋体"/>
          <w:sz w:val="21"/>
          <w:szCs w:val="21"/>
          <w:highlight w:val="none"/>
        </w:rPr>
      </w:pPr>
      <w:r>
        <w:rPr>
          <w:rFonts w:hint="eastAsia" w:hAnsi="宋体"/>
          <w:b/>
          <w:sz w:val="21"/>
          <w:szCs w:val="21"/>
          <w:highlight w:val="none"/>
        </w:rPr>
        <w:t>投入设备一览表</w:t>
      </w:r>
    </w:p>
    <w:tbl>
      <w:tblPr>
        <w:tblStyle w:val="51"/>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683"/>
        <w:gridCol w:w="1651"/>
        <w:gridCol w:w="1100"/>
        <w:gridCol w:w="1240"/>
        <w:gridCol w:w="773"/>
        <w:gridCol w:w="773"/>
        <w:gridCol w:w="2308"/>
      </w:tblGrid>
      <w:tr w14:paraId="1D1B1E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10" w:hRule="atLeast"/>
          <w:jc w:val="center"/>
        </w:trPr>
        <w:tc>
          <w:tcPr>
            <w:tcW w:w="401" w:type="pct"/>
            <w:tcBorders>
              <w:top w:val="single" w:color="auto" w:sz="6" w:space="0"/>
              <w:left w:val="single" w:color="auto" w:sz="6" w:space="0"/>
              <w:bottom w:val="single" w:color="auto" w:sz="6" w:space="0"/>
              <w:right w:val="single" w:color="auto" w:sz="6" w:space="0"/>
            </w:tcBorders>
            <w:vAlign w:val="center"/>
          </w:tcPr>
          <w:p w14:paraId="2A237DD4">
            <w:pPr>
              <w:jc w:val="center"/>
              <w:rPr>
                <w:kern w:val="0"/>
                <w:sz w:val="18"/>
                <w:szCs w:val="21"/>
                <w:highlight w:val="none"/>
              </w:rPr>
            </w:pPr>
            <w:r>
              <w:rPr>
                <w:rFonts w:hint="eastAsia"/>
                <w:kern w:val="0"/>
                <w:sz w:val="18"/>
                <w:szCs w:val="21"/>
                <w:highlight w:val="none"/>
              </w:rPr>
              <w:t>序号</w:t>
            </w:r>
          </w:p>
        </w:tc>
        <w:tc>
          <w:tcPr>
            <w:tcW w:w="968" w:type="pct"/>
            <w:tcBorders>
              <w:top w:val="single" w:color="auto" w:sz="6" w:space="0"/>
              <w:left w:val="single" w:color="auto" w:sz="6" w:space="0"/>
              <w:bottom w:val="single" w:color="auto" w:sz="6" w:space="0"/>
              <w:right w:val="single" w:color="auto" w:sz="6" w:space="0"/>
            </w:tcBorders>
            <w:vAlign w:val="center"/>
          </w:tcPr>
          <w:p w14:paraId="64D6ABFF">
            <w:pPr>
              <w:jc w:val="center"/>
              <w:rPr>
                <w:kern w:val="0"/>
                <w:sz w:val="18"/>
                <w:szCs w:val="21"/>
                <w:highlight w:val="none"/>
              </w:rPr>
            </w:pPr>
            <w:r>
              <w:rPr>
                <w:rFonts w:hint="eastAsia"/>
                <w:kern w:val="0"/>
                <w:sz w:val="18"/>
                <w:szCs w:val="21"/>
                <w:highlight w:val="none"/>
              </w:rPr>
              <w:t>名称</w:t>
            </w:r>
          </w:p>
        </w:tc>
        <w:tc>
          <w:tcPr>
            <w:tcW w:w="645" w:type="pct"/>
            <w:tcBorders>
              <w:top w:val="single" w:color="auto" w:sz="6" w:space="0"/>
              <w:left w:val="single" w:color="auto" w:sz="6" w:space="0"/>
              <w:bottom w:val="single" w:color="auto" w:sz="6" w:space="0"/>
              <w:right w:val="single" w:color="auto" w:sz="6" w:space="0"/>
            </w:tcBorders>
            <w:vAlign w:val="center"/>
          </w:tcPr>
          <w:p w14:paraId="287A6C0B">
            <w:pPr>
              <w:jc w:val="center"/>
              <w:rPr>
                <w:kern w:val="0"/>
                <w:sz w:val="18"/>
                <w:szCs w:val="21"/>
                <w:highlight w:val="none"/>
              </w:rPr>
            </w:pPr>
            <w:r>
              <w:rPr>
                <w:rFonts w:hint="eastAsia"/>
                <w:kern w:val="0"/>
                <w:sz w:val="18"/>
                <w:szCs w:val="21"/>
                <w:highlight w:val="none"/>
              </w:rPr>
              <w:t>品牌</w:t>
            </w:r>
          </w:p>
        </w:tc>
        <w:tc>
          <w:tcPr>
            <w:tcW w:w="727" w:type="pct"/>
            <w:tcBorders>
              <w:top w:val="single" w:color="auto" w:sz="6" w:space="0"/>
              <w:left w:val="single" w:color="auto" w:sz="6" w:space="0"/>
              <w:bottom w:val="single" w:color="auto" w:sz="4" w:space="0"/>
              <w:right w:val="single" w:color="auto" w:sz="6" w:space="0"/>
            </w:tcBorders>
            <w:vAlign w:val="center"/>
          </w:tcPr>
          <w:p w14:paraId="1E69BE73">
            <w:pPr>
              <w:jc w:val="center"/>
              <w:rPr>
                <w:kern w:val="0"/>
                <w:sz w:val="18"/>
                <w:szCs w:val="21"/>
                <w:highlight w:val="none"/>
              </w:rPr>
            </w:pPr>
            <w:r>
              <w:rPr>
                <w:rFonts w:hint="eastAsia"/>
                <w:kern w:val="0"/>
                <w:sz w:val="18"/>
                <w:szCs w:val="21"/>
                <w:highlight w:val="none"/>
              </w:rPr>
              <w:t>型号、规格</w:t>
            </w:r>
          </w:p>
        </w:tc>
        <w:tc>
          <w:tcPr>
            <w:tcW w:w="453" w:type="pct"/>
            <w:tcBorders>
              <w:top w:val="single" w:color="auto" w:sz="6" w:space="0"/>
              <w:left w:val="single" w:color="auto" w:sz="6" w:space="0"/>
              <w:bottom w:val="single" w:color="auto" w:sz="6" w:space="0"/>
              <w:right w:val="single" w:color="auto" w:sz="4" w:space="0"/>
            </w:tcBorders>
            <w:vAlign w:val="center"/>
          </w:tcPr>
          <w:p w14:paraId="41ACD094">
            <w:pPr>
              <w:jc w:val="center"/>
              <w:rPr>
                <w:kern w:val="0"/>
                <w:sz w:val="18"/>
                <w:szCs w:val="21"/>
                <w:highlight w:val="none"/>
              </w:rPr>
            </w:pPr>
            <w:r>
              <w:rPr>
                <w:rFonts w:hint="eastAsia"/>
                <w:kern w:val="0"/>
                <w:sz w:val="18"/>
                <w:szCs w:val="21"/>
                <w:highlight w:val="none"/>
              </w:rPr>
              <w:t>单位</w:t>
            </w:r>
          </w:p>
        </w:tc>
        <w:tc>
          <w:tcPr>
            <w:tcW w:w="453" w:type="pct"/>
            <w:tcBorders>
              <w:top w:val="single" w:color="auto" w:sz="6" w:space="0"/>
              <w:left w:val="single" w:color="auto" w:sz="4" w:space="0"/>
              <w:bottom w:val="single" w:color="auto" w:sz="6" w:space="0"/>
              <w:right w:val="single" w:color="auto" w:sz="6" w:space="0"/>
            </w:tcBorders>
            <w:vAlign w:val="center"/>
          </w:tcPr>
          <w:p w14:paraId="3D3D6FBA">
            <w:pPr>
              <w:jc w:val="center"/>
              <w:rPr>
                <w:kern w:val="0"/>
                <w:sz w:val="18"/>
                <w:szCs w:val="21"/>
                <w:highlight w:val="none"/>
              </w:rPr>
            </w:pPr>
            <w:r>
              <w:rPr>
                <w:rFonts w:hint="eastAsia"/>
                <w:kern w:val="0"/>
                <w:sz w:val="18"/>
                <w:szCs w:val="21"/>
                <w:highlight w:val="none"/>
              </w:rPr>
              <w:t>数量</w:t>
            </w:r>
          </w:p>
        </w:tc>
        <w:tc>
          <w:tcPr>
            <w:tcW w:w="1353" w:type="pct"/>
            <w:tcBorders>
              <w:top w:val="single" w:color="auto" w:sz="6" w:space="0"/>
              <w:left w:val="single" w:color="auto" w:sz="6" w:space="0"/>
              <w:bottom w:val="single" w:color="auto" w:sz="6" w:space="0"/>
              <w:right w:val="single" w:color="auto" w:sz="6" w:space="0"/>
            </w:tcBorders>
            <w:vAlign w:val="center"/>
          </w:tcPr>
          <w:p w14:paraId="41AD09E3">
            <w:pPr>
              <w:jc w:val="center"/>
              <w:rPr>
                <w:kern w:val="0"/>
                <w:sz w:val="18"/>
                <w:szCs w:val="21"/>
                <w:highlight w:val="none"/>
              </w:rPr>
            </w:pPr>
            <w:r>
              <w:rPr>
                <w:rFonts w:hint="eastAsia"/>
                <w:kern w:val="0"/>
                <w:sz w:val="18"/>
                <w:szCs w:val="21"/>
                <w:highlight w:val="none"/>
              </w:rPr>
              <w:t>设备性质（自有</w:t>
            </w:r>
            <w:r>
              <w:rPr>
                <w:kern w:val="0"/>
                <w:sz w:val="18"/>
                <w:szCs w:val="21"/>
                <w:highlight w:val="none"/>
              </w:rPr>
              <w:t>/</w:t>
            </w:r>
            <w:r>
              <w:rPr>
                <w:rFonts w:hint="eastAsia"/>
                <w:kern w:val="0"/>
                <w:sz w:val="18"/>
                <w:szCs w:val="21"/>
                <w:highlight w:val="none"/>
              </w:rPr>
              <w:t>租赁）</w:t>
            </w:r>
          </w:p>
        </w:tc>
      </w:tr>
      <w:tr w14:paraId="032535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10" w:hRule="atLeast"/>
          <w:jc w:val="center"/>
        </w:trPr>
        <w:tc>
          <w:tcPr>
            <w:tcW w:w="401" w:type="pct"/>
            <w:tcBorders>
              <w:top w:val="single" w:color="auto" w:sz="6" w:space="0"/>
              <w:left w:val="single" w:color="auto" w:sz="6" w:space="0"/>
              <w:bottom w:val="single" w:color="auto" w:sz="6" w:space="0"/>
              <w:right w:val="single" w:color="auto" w:sz="6" w:space="0"/>
            </w:tcBorders>
            <w:vAlign w:val="center"/>
          </w:tcPr>
          <w:p w14:paraId="4AF3BF47">
            <w:pPr>
              <w:jc w:val="center"/>
              <w:rPr>
                <w:kern w:val="0"/>
                <w:sz w:val="18"/>
                <w:szCs w:val="21"/>
                <w:highlight w:val="none"/>
              </w:rPr>
            </w:pPr>
          </w:p>
        </w:tc>
        <w:tc>
          <w:tcPr>
            <w:tcW w:w="968" w:type="pct"/>
            <w:tcBorders>
              <w:top w:val="single" w:color="auto" w:sz="6" w:space="0"/>
              <w:left w:val="single" w:color="auto" w:sz="6" w:space="0"/>
              <w:bottom w:val="single" w:color="auto" w:sz="6" w:space="0"/>
              <w:right w:val="single" w:color="auto" w:sz="6" w:space="0"/>
            </w:tcBorders>
            <w:vAlign w:val="center"/>
          </w:tcPr>
          <w:p w14:paraId="092DB6F0">
            <w:pPr>
              <w:jc w:val="center"/>
              <w:rPr>
                <w:kern w:val="0"/>
                <w:sz w:val="18"/>
                <w:szCs w:val="21"/>
                <w:highlight w:val="none"/>
              </w:rPr>
            </w:pPr>
          </w:p>
        </w:tc>
        <w:tc>
          <w:tcPr>
            <w:tcW w:w="645" w:type="pct"/>
            <w:tcBorders>
              <w:top w:val="single" w:color="auto" w:sz="6" w:space="0"/>
              <w:left w:val="single" w:color="auto" w:sz="6" w:space="0"/>
              <w:bottom w:val="single" w:color="auto" w:sz="6" w:space="0"/>
              <w:right w:val="single" w:color="auto" w:sz="6" w:space="0"/>
            </w:tcBorders>
            <w:vAlign w:val="center"/>
          </w:tcPr>
          <w:p w14:paraId="7F675508">
            <w:pPr>
              <w:jc w:val="center"/>
              <w:rPr>
                <w:kern w:val="0"/>
                <w:sz w:val="18"/>
                <w:szCs w:val="21"/>
                <w:highlight w:val="none"/>
              </w:rPr>
            </w:pPr>
          </w:p>
        </w:tc>
        <w:tc>
          <w:tcPr>
            <w:tcW w:w="727" w:type="pct"/>
            <w:tcBorders>
              <w:top w:val="single" w:color="auto" w:sz="4" w:space="0"/>
              <w:left w:val="single" w:color="auto" w:sz="6" w:space="0"/>
              <w:bottom w:val="single" w:color="auto" w:sz="6" w:space="0"/>
              <w:right w:val="single" w:color="auto" w:sz="6" w:space="0"/>
            </w:tcBorders>
            <w:vAlign w:val="center"/>
          </w:tcPr>
          <w:p w14:paraId="6068449C">
            <w:pPr>
              <w:jc w:val="center"/>
              <w:rPr>
                <w:kern w:val="0"/>
                <w:sz w:val="18"/>
                <w:szCs w:val="21"/>
                <w:highlight w:val="none"/>
              </w:rPr>
            </w:pPr>
          </w:p>
        </w:tc>
        <w:tc>
          <w:tcPr>
            <w:tcW w:w="453" w:type="pct"/>
            <w:tcBorders>
              <w:top w:val="single" w:color="auto" w:sz="6" w:space="0"/>
              <w:left w:val="single" w:color="auto" w:sz="6" w:space="0"/>
              <w:bottom w:val="single" w:color="auto" w:sz="6" w:space="0"/>
              <w:right w:val="single" w:color="auto" w:sz="4" w:space="0"/>
            </w:tcBorders>
            <w:vAlign w:val="center"/>
          </w:tcPr>
          <w:p w14:paraId="5F1CF3CB">
            <w:pPr>
              <w:jc w:val="center"/>
              <w:rPr>
                <w:kern w:val="0"/>
                <w:sz w:val="18"/>
                <w:szCs w:val="21"/>
                <w:highlight w:val="none"/>
              </w:rPr>
            </w:pPr>
          </w:p>
        </w:tc>
        <w:tc>
          <w:tcPr>
            <w:tcW w:w="453" w:type="pct"/>
            <w:tcBorders>
              <w:top w:val="single" w:color="auto" w:sz="6" w:space="0"/>
              <w:left w:val="single" w:color="auto" w:sz="4" w:space="0"/>
              <w:bottom w:val="single" w:color="auto" w:sz="6" w:space="0"/>
              <w:right w:val="single" w:color="auto" w:sz="6" w:space="0"/>
            </w:tcBorders>
            <w:vAlign w:val="center"/>
          </w:tcPr>
          <w:p w14:paraId="27AD7D55">
            <w:pPr>
              <w:jc w:val="center"/>
              <w:rPr>
                <w:kern w:val="0"/>
                <w:sz w:val="18"/>
                <w:szCs w:val="21"/>
                <w:highlight w:val="none"/>
              </w:rPr>
            </w:pPr>
          </w:p>
        </w:tc>
        <w:tc>
          <w:tcPr>
            <w:tcW w:w="1353" w:type="pct"/>
            <w:tcBorders>
              <w:top w:val="single" w:color="auto" w:sz="6" w:space="0"/>
              <w:left w:val="single" w:color="auto" w:sz="6" w:space="0"/>
              <w:bottom w:val="single" w:color="auto" w:sz="6" w:space="0"/>
              <w:right w:val="single" w:color="auto" w:sz="6" w:space="0"/>
            </w:tcBorders>
            <w:vAlign w:val="center"/>
          </w:tcPr>
          <w:p w14:paraId="57A006A9">
            <w:pPr>
              <w:jc w:val="center"/>
              <w:rPr>
                <w:kern w:val="0"/>
                <w:sz w:val="18"/>
                <w:szCs w:val="21"/>
                <w:highlight w:val="none"/>
              </w:rPr>
            </w:pPr>
          </w:p>
        </w:tc>
      </w:tr>
      <w:tr w14:paraId="0AB6E9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10" w:hRule="atLeast"/>
          <w:jc w:val="center"/>
        </w:trPr>
        <w:tc>
          <w:tcPr>
            <w:tcW w:w="401" w:type="pct"/>
            <w:tcBorders>
              <w:top w:val="single" w:color="auto" w:sz="6" w:space="0"/>
              <w:left w:val="single" w:color="auto" w:sz="6" w:space="0"/>
              <w:bottom w:val="single" w:color="auto" w:sz="6" w:space="0"/>
              <w:right w:val="single" w:color="auto" w:sz="6" w:space="0"/>
            </w:tcBorders>
            <w:vAlign w:val="center"/>
          </w:tcPr>
          <w:p w14:paraId="33E55470">
            <w:pPr>
              <w:jc w:val="center"/>
              <w:rPr>
                <w:kern w:val="0"/>
                <w:sz w:val="18"/>
                <w:szCs w:val="21"/>
                <w:highlight w:val="none"/>
              </w:rPr>
            </w:pPr>
          </w:p>
        </w:tc>
        <w:tc>
          <w:tcPr>
            <w:tcW w:w="968" w:type="pct"/>
            <w:tcBorders>
              <w:top w:val="single" w:color="auto" w:sz="6" w:space="0"/>
              <w:left w:val="single" w:color="auto" w:sz="6" w:space="0"/>
              <w:bottom w:val="single" w:color="auto" w:sz="6" w:space="0"/>
              <w:right w:val="single" w:color="auto" w:sz="6" w:space="0"/>
            </w:tcBorders>
            <w:vAlign w:val="center"/>
          </w:tcPr>
          <w:p w14:paraId="1A799CDE">
            <w:pPr>
              <w:jc w:val="center"/>
              <w:rPr>
                <w:kern w:val="0"/>
                <w:sz w:val="18"/>
                <w:szCs w:val="21"/>
                <w:highlight w:val="none"/>
              </w:rPr>
            </w:pPr>
          </w:p>
        </w:tc>
        <w:tc>
          <w:tcPr>
            <w:tcW w:w="645" w:type="pct"/>
            <w:tcBorders>
              <w:top w:val="single" w:color="auto" w:sz="6" w:space="0"/>
              <w:left w:val="single" w:color="auto" w:sz="6" w:space="0"/>
              <w:bottom w:val="single" w:color="auto" w:sz="6" w:space="0"/>
              <w:right w:val="single" w:color="auto" w:sz="6" w:space="0"/>
            </w:tcBorders>
            <w:vAlign w:val="center"/>
          </w:tcPr>
          <w:p w14:paraId="4C33B409">
            <w:pPr>
              <w:jc w:val="center"/>
              <w:rPr>
                <w:kern w:val="0"/>
                <w:sz w:val="18"/>
                <w:szCs w:val="21"/>
                <w:highlight w:val="none"/>
              </w:rPr>
            </w:pPr>
          </w:p>
        </w:tc>
        <w:tc>
          <w:tcPr>
            <w:tcW w:w="727" w:type="pct"/>
            <w:tcBorders>
              <w:top w:val="single" w:color="auto" w:sz="6" w:space="0"/>
              <w:left w:val="single" w:color="auto" w:sz="6" w:space="0"/>
              <w:bottom w:val="single" w:color="auto" w:sz="6" w:space="0"/>
              <w:right w:val="single" w:color="auto" w:sz="6" w:space="0"/>
            </w:tcBorders>
            <w:vAlign w:val="center"/>
          </w:tcPr>
          <w:p w14:paraId="0AC2683D">
            <w:pPr>
              <w:jc w:val="center"/>
              <w:rPr>
                <w:kern w:val="0"/>
                <w:sz w:val="18"/>
                <w:szCs w:val="21"/>
                <w:highlight w:val="none"/>
              </w:rPr>
            </w:pPr>
          </w:p>
        </w:tc>
        <w:tc>
          <w:tcPr>
            <w:tcW w:w="453" w:type="pct"/>
            <w:tcBorders>
              <w:top w:val="single" w:color="auto" w:sz="6" w:space="0"/>
              <w:left w:val="single" w:color="auto" w:sz="6" w:space="0"/>
              <w:bottom w:val="single" w:color="auto" w:sz="6" w:space="0"/>
              <w:right w:val="single" w:color="auto" w:sz="4" w:space="0"/>
            </w:tcBorders>
            <w:vAlign w:val="center"/>
          </w:tcPr>
          <w:p w14:paraId="13D7F7D1">
            <w:pPr>
              <w:jc w:val="center"/>
              <w:rPr>
                <w:kern w:val="0"/>
                <w:sz w:val="18"/>
                <w:szCs w:val="21"/>
                <w:highlight w:val="none"/>
              </w:rPr>
            </w:pPr>
          </w:p>
        </w:tc>
        <w:tc>
          <w:tcPr>
            <w:tcW w:w="453" w:type="pct"/>
            <w:tcBorders>
              <w:top w:val="single" w:color="auto" w:sz="6" w:space="0"/>
              <w:left w:val="single" w:color="auto" w:sz="4" w:space="0"/>
              <w:bottom w:val="single" w:color="auto" w:sz="6" w:space="0"/>
              <w:right w:val="single" w:color="auto" w:sz="6" w:space="0"/>
            </w:tcBorders>
            <w:vAlign w:val="center"/>
          </w:tcPr>
          <w:p w14:paraId="128CF2DE">
            <w:pPr>
              <w:jc w:val="center"/>
              <w:rPr>
                <w:kern w:val="0"/>
                <w:sz w:val="18"/>
                <w:szCs w:val="21"/>
                <w:highlight w:val="none"/>
              </w:rPr>
            </w:pPr>
          </w:p>
        </w:tc>
        <w:tc>
          <w:tcPr>
            <w:tcW w:w="1353" w:type="pct"/>
            <w:tcBorders>
              <w:top w:val="single" w:color="auto" w:sz="6" w:space="0"/>
              <w:left w:val="single" w:color="auto" w:sz="6" w:space="0"/>
              <w:bottom w:val="single" w:color="auto" w:sz="6" w:space="0"/>
              <w:right w:val="single" w:color="auto" w:sz="6" w:space="0"/>
            </w:tcBorders>
            <w:vAlign w:val="center"/>
          </w:tcPr>
          <w:p w14:paraId="0BEC8029">
            <w:pPr>
              <w:jc w:val="center"/>
              <w:rPr>
                <w:kern w:val="0"/>
                <w:sz w:val="18"/>
                <w:szCs w:val="21"/>
                <w:highlight w:val="none"/>
              </w:rPr>
            </w:pPr>
          </w:p>
        </w:tc>
      </w:tr>
      <w:tr w14:paraId="565EE3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10" w:hRule="atLeast"/>
          <w:jc w:val="center"/>
        </w:trPr>
        <w:tc>
          <w:tcPr>
            <w:tcW w:w="401" w:type="pct"/>
            <w:tcBorders>
              <w:top w:val="single" w:color="auto" w:sz="6" w:space="0"/>
              <w:left w:val="single" w:color="auto" w:sz="6" w:space="0"/>
              <w:bottom w:val="single" w:color="auto" w:sz="6" w:space="0"/>
              <w:right w:val="single" w:color="auto" w:sz="6" w:space="0"/>
            </w:tcBorders>
            <w:vAlign w:val="center"/>
          </w:tcPr>
          <w:p w14:paraId="2D755D0D">
            <w:pPr>
              <w:jc w:val="center"/>
              <w:rPr>
                <w:kern w:val="0"/>
                <w:sz w:val="18"/>
                <w:szCs w:val="21"/>
                <w:highlight w:val="none"/>
              </w:rPr>
            </w:pPr>
          </w:p>
        </w:tc>
        <w:tc>
          <w:tcPr>
            <w:tcW w:w="968" w:type="pct"/>
            <w:tcBorders>
              <w:top w:val="single" w:color="auto" w:sz="6" w:space="0"/>
              <w:left w:val="single" w:color="auto" w:sz="6" w:space="0"/>
              <w:bottom w:val="single" w:color="auto" w:sz="6" w:space="0"/>
              <w:right w:val="single" w:color="auto" w:sz="6" w:space="0"/>
            </w:tcBorders>
            <w:vAlign w:val="center"/>
          </w:tcPr>
          <w:p w14:paraId="6542A50A">
            <w:pPr>
              <w:jc w:val="center"/>
              <w:rPr>
                <w:kern w:val="0"/>
                <w:sz w:val="18"/>
                <w:szCs w:val="21"/>
                <w:highlight w:val="none"/>
              </w:rPr>
            </w:pPr>
          </w:p>
        </w:tc>
        <w:tc>
          <w:tcPr>
            <w:tcW w:w="645" w:type="pct"/>
            <w:tcBorders>
              <w:top w:val="single" w:color="auto" w:sz="6" w:space="0"/>
              <w:left w:val="single" w:color="auto" w:sz="6" w:space="0"/>
              <w:bottom w:val="single" w:color="auto" w:sz="6" w:space="0"/>
              <w:right w:val="single" w:color="auto" w:sz="6" w:space="0"/>
            </w:tcBorders>
            <w:vAlign w:val="center"/>
          </w:tcPr>
          <w:p w14:paraId="3BBC11C3">
            <w:pPr>
              <w:jc w:val="center"/>
              <w:rPr>
                <w:kern w:val="0"/>
                <w:sz w:val="18"/>
                <w:szCs w:val="21"/>
                <w:highlight w:val="none"/>
              </w:rPr>
            </w:pPr>
          </w:p>
        </w:tc>
        <w:tc>
          <w:tcPr>
            <w:tcW w:w="727" w:type="pct"/>
            <w:tcBorders>
              <w:top w:val="single" w:color="auto" w:sz="6" w:space="0"/>
              <w:left w:val="single" w:color="auto" w:sz="6" w:space="0"/>
              <w:bottom w:val="single" w:color="auto" w:sz="6" w:space="0"/>
              <w:right w:val="single" w:color="auto" w:sz="6" w:space="0"/>
            </w:tcBorders>
            <w:vAlign w:val="center"/>
          </w:tcPr>
          <w:p w14:paraId="677F9E2A">
            <w:pPr>
              <w:jc w:val="center"/>
              <w:rPr>
                <w:kern w:val="0"/>
                <w:sz w:val="18"/>
                <w:szCs w:val="21"/>
                <w:highlight w:val="none"/>
              </w:rPr>
            </w:pPr>
          </w:p>
        </w:tc>
        <w:tc>
          <w:tcPr>
            <w:tcW w:w="453" w:type="pct"/>
            <w:tcBorders>
              <w:top w:val="single" w:color="auto" w:sz="6" w:space="0"/>
              <w:left w:val="single" w:color="auto" w:sz="6" w:space="0"/>
              <w:bottom w:val="single" w:color="auto" w:sz="6" w:space="0"/>
              <w:right w:val="single" w:color="auto" w:sz="4" w:space="0"/>
            </w:tcBorders>
            <w:vAlign w:val="center"/>
          </w:tcPr>
          <w:p w14:paraId="0906CC67">
            <w:pPr>
              <w:jc w:val="center"/>
              <w:rPr>
                <w:kern w:val="0"/>
                <w:sz w:val="18"/>
                <w:szCs w:val="21"/>
                <w:highlight w:val="none"/>
              </w:rPr>
            </w:pPr>
          </w:p>
        </w:tc>
        <w:tc>
          <w:tcPr>
            <w:tcW w:w="453" w:type="pct"/>
            <w:tcBorders>
              <w:top w:val="single" w:color="auto" w:sz="6" w:space="0"/>
              <w:left w:val="single" w:color="auto" w:sz="4" w:space="0"/>
              <w:bottom w:val="single" w:color="auto" w:sz="6" w:space="0"/>
              <w:right w:val="single" w:color="auto" w:sz="6" w:space="0"/>
            </w:tcBorders>
            <w:vAlign w:val="center"/>
          </w:tcPr>
          <w:p w14:paraId="364EEECC">
            <w:pPr>
              <w:jc w:val="center"/>
              <w:rPr>
                <w:kern w:val="0"/>
                <w:sz w:val="18"/>
                <w:szCs w:val="21"/>
                <w:highlight w:val="none"/>
              </w:rPr>
            </w:pPr>
          </w:p>
        </w:tc>
        <w:tc>
          <w:tcPr>
            <w:tcW w:w="1353" w:type="pct"/>
            <w:tcBorders>
              <w:top w:val="single" w:color="auto" w:sz="6" w:space="0"/>
              <w:left w:val="single" w:color="auto" w:sz="6" w:space="0"/>
              <w:bottom w:val="single" w:color="auto" w:sz="6" w:space="0"/>
              <w:right w:val="single" w:color="auto" w:sz="6" w:space="0"/>
            </w:tcBorders>
            <w:vAlign w:val="center"/>
          </w:tcPr>
          <w:p w14:paraId="1917F015">
            <w:pPr>
              <w:jc w:val="center"/>
              <w:rPr>
                <w:kern w:val="0"/>
                <w:sz w:val="18"/>
                <w:szCs w:val="21"/>
                <w:highlight w:val="none"/>
              </w:rPr>
            </w:pPr>
          </w:p>
        </w:tc>
      </w:tr>
    </w:tbl>
    <w:p w14:paraId="5B17C845">
      <w:pPr>
        <w:snapToGrid w:val="0"/>
        <w:spacing w:before="120" w:beforeLines="50" w:after="50"/>
        <w:rPr>
          <w:rFonts w:ascii="宋体" w:hAnsi="宋体"/>
          <w:b/>
          <w:szCs w:val="21"/>
          <w:highlight w:val="none"/>
        </w:rPr>
      </w:pPr>
      <w:r>
        <w:rPr>
          <w:rFonts w:hint="eastAsia" w:ascii="宋体" w:hAnsi="宋体"/>
          <w:b/>
          <w:szCs w:val="21"/>
          <w:highlight w:val="none"/>
        </w:rPr>
        <w:t>注：①表格行数不够可自行添加。</w:t>
      </w:r>
    </w:p>
    <w:p w14:paraId="68F3168E">
      <w:pPr>
        <w:ind w:firstLine="141" w:firstLineChars="67"/>
        <w:rPr>
          <w:rFonts w:hint="eastAsia" w:ascii="宋体" w:hAnsi="宋体" w:cs="宋体"/>
          <w:b/>
          <w:szCs w:val="21"/>
        </w:rPr>
      </w:pPr>
    </w:p>
    <w:p w14:paraId="6D6D6A88">
      <w:pPr>
        <w:ind w:firstLine="141" w:firstLineChars="67"/>
        <w:rPr>
          <w:rFonts w:hint="eastAsia" w:ascii="宋体" w:hAnsi="宋体" w:cs="宋体"/>
          <w:b/>
          <w:szCs w:val="21"/>
        </w:rPr>
      </w:pPr>
    </w:p>
    <w:p w14:paraId="5ED6CCE2">
      <w:pPr>
        <w:ind w:firstLine="141" w:firstLineChars="67"/>
        <w:rPr>
          <w:rFonts w:hint="eastAsia" w:ascii="宋体" w:hAnsi="宋体" w:cs="宋体"/>
          <w:b/>
          <w:szCs w:val="21"/>
        </w:rPr>
      </w:pPr>
    </w:p>
    <w:p w14:paraId="1CCFA8F7">
      <w:pPr>
        <w:ind w:firstLine="141" w:firstLineChars="67"/>
        <w:rPr>
          <w:rFonts w:hint="eastAsia" w:ascii="宋体" w:hAnsi="宋体" w:cs="宋体"/>
          <w:b/>
          <w:szCs w:val="21"/>
        </w:rPr>
      </w:pPr>
    </w:p>
    <w:p w14:paraId="0A4B8EDC">
      <w:pPr>
        <w:ind w:firstLine="141" w:firstLineChars="67"/>
        <w:rPr>
          <w:rFonts w:hint="eastAsia" w:ascii="宋体" w:hAnsi="宋体" w:cs="宋体"/>
          <w:b/>
          <w:szCs w:val="21"/>
        </w:rPr>
      </w:pPr>
    </w:p>
    <w:p w14:paraId="07B8932D">
      <w:pPr>
        <w:ind w:firstLine="141" w:firstLineChars="67"/>
        <w:rPr>
          <w:rFonts w:hint="eastAsia" w:ascii="宋体" w:hAnsi="宋体" w:cs="宋体"/>
          <w:b/>
          <w:szCs w:val="21"/>
        </w:rPr>
      </w:pPr>
    </w:p>
    <w:p w14:paraId="70BB305C">
      <w:pPr>
        <w:ind w:firstLine="141" w:firstLineChars="67"/>
        <w:rPr>
          <w:rFonts w:hint="eastAsia" w:ascii="宋体" w:hAnsi="宋体" w:cs="宋体"/>
          <w:b/>
          <w:szCs w:val="21"/>
        </w:rPr>
      </w:pPr>
    </w:p>
    <w:p w14:paraId="67DB3AA4">
      <w:pPr>
        <w:ind w:firstLine="141" w:firstLineChars="67"/>
        <w:rPr>
          <w:rFonts w:hint="eastAsia" w:ascii="宋体" w:hAnsi="宋体" w:cs="宋体"/>
          <w:b/>
          <w:szCs w:val="21"/>
        </w:rPr>
      </w:pPr>
    </w:p>
    <w:p w14:paraId="6251B04D">
      <w:pPr>
        <w:pageBreakBefore w:val="0"/>
        <w:kinsoku/>
        <w:overflowPunct/>
        <w:topLinePunct w:val="0"/>
        <w:bidi w:val="0"/>
        <w:spacing w:line="360" w:lineRule="auto"/>
        <w:ind w:firstLine="2100" w:firstLineChars="1000"/>
        <w:rPr>
          <w:rFonts w:ascii="Times New Roman" w:hAnsi="Times New Roman"/>
          <w:color w:val="000000"/>
          <w:szCs w:val="21"/>
        </w:rPr>
      </w:pPr>
      <w:r>
        <w:rPr>
          <w:rFonts w:hint="eastAsia" w:ascii="Times New Roman" w:hAnsi="Times New Roman"/>
          <w:color w:val="000000"/>
          <w:szCs w:val="21"/>
        </w:rPr>
        <w:t>投标人（加盖公章）：</w:t>
      </w:r>
      <w:r>
        <w:rPr>
          <w:rFonts w:ascii="Times New Roman" w:hAnsi="Times New Roman"/>
          <w:color w:val="000000"/>
          <w:szCs w:val="21"/>
          <w:u w:val="single"/>
        </w:rPr>
        <w:t xml:space="preserve">                        </w:t>
      </w:r>
    </w:p>
    <w:p w14:paraId="39146ADD">
      <w:pPr>
        <w:pageBreakBefore w:val="0"/>
        <w:kinsoku/>
        <w:overflowPunct/>
        <w:topLinePunct w:val="0"/>
        <w:bidi w:val="0"/>
        <w:spacing w:line="360" w:lineRule="auto"/>
        <w:ind w:firstLine="2100" w:firstLineChars="1000"/>
        <w:rPr>
          <w:rFonts w:ascii="Times New Roman" w:hAnsi="Times New Roman"/>
          <w:color w:val="000000"/>
          <w:szCs w:val="21"/>
        </w:rPr>
      </w:pPr>
      <w:r>
        <w:rPr>
          <w:rFonts w:hint="eastAsia" w:ascii="Times New Roman" w:hAnsi="Times New Roman"/>
          <w:color w:val="000000"/>
          <w:szCs w:val="21"/>
        </w:rPr>
        <w:t>法定代表人或被授权人签字（或盖章）：</w:t>
      </w:r>
      <w:r>
        <w:rPr>
          <w:rFonts w:ascii="Times New Roman" w:hAnsi="Times New Roman"/>
          <w:color w:val="000000"/>
          <w:szCs w:val="21"/>
          <w:u w:val="single"/>
        </w:rPr>
        <w:t xml:space="preserve">                   </w:t>
      </w:r>
    </w:p>
    <w:p w14:paraId="55891B4C">
      <w:pPr>
        <w:pageBreakBefore w:val="0"/>
        <w:kinsoku/>
        <w:overflowPunct/>
        <w:topLinePunct w:val="0"/>
        <w:bidi w:val="0"/>
        <w:spacing w:line="360" w:lineRule="auto"/>
        <w:ind w:firstLine="4305" w:firstLineChars="2050"/>
        <w:rPr>
          <w:rFonts w:ascii="Times New Roman" w:hAnsi="Times New Roman"/>
          <w:color w:val="000000"/>
          <w:szCs w:val="21"/>
        </w:rPr>
      </w:pPr>
      <w:r>
        <w:rPr>
          <w:rFonts w:hint="eastAsia" w:ascii="Times New Roman" w:hAnsi="Times New Roman"/>
          <w:color w:val="000000"/>
          <w:szCs w:val="21"/>
        </w:rPr>
        <w:t>日</w:t>
      </w:r>
      <w:r>
        <w:rPr>
          <w:rFonts w:ascii="Times New Roman" w:hAnsi="Times New Roman"/>
          <w:color w:val="000000"/>
          <w:szCs w:val="21"/>
        </w:rPr>
        <w:t xml:space="preserve">    </w:t>
      </w:r>
      <w:r>
        <w:rPr>
          <w:rFonts w:hint="eastAsia" w:ascii="Times New Roman" w:hAnsi="Times New Roman"/>
          <w:color w:val="000000"/>
          <w:szCs w:val="21"/>
        </w:rPr>
        <w:t>期：</w:t>
      </w:r>
      <w:r>
        <w:rPr>
          <w:rFonts w:ascii="Times New Roman" w:hAnsi="Times New Roman"/>
          <w:color w:val="000000"/>
          <w:szCs w:val="21"/>
          <w:u w:val="single"/>
        </w:rPr>
        <w:t xml:space="preserve">     </w:t>
      </w:r>
      <w:r>
        <w:rPr>
          <w:rFonts w:hint="eastAsia" w:ascii="Times New Roman" w:hAnsi="Times New Roman"/>
          <w:color w:val="000000"/>
          <w:szCs w:val="21"/>
        </w:rPr>
        <w:t>年</w:t>
      </w:r>
      <w:r>
        <w:rPr>
          <w:rFonts w:ascii="Times New Roman" w:hAnsi="Times New Roman"/>
          <w:color w:val="000000"/>
          <w:szCs w:val="21"/>
          <w:u w:val="single"/>
        </w:rPr>
        <w:t xml:space="preserve">    </w:t>
      </w:r>
      <w:r>
        <w:rPr>
          <w:rFonts w:hint="eastAsia" w:ascii="Times New Roman" w:hAnsi="Times New Roman"/>
          <w:color w:val="000000"/>
          <w:szCs w:val="21"/>
        </w:rPr>
        <w:t>月</w:t>
      </w:r>
      <w:r>
        <w:rPr>
          <w:rFonts w:ascii="Times New Roman" w:hAnsi="Times New Roman"/>
          <w:color w:val="000000"/>
          <w:szCs w:val="21"/>
          <w:u w:val="single"/>
        </w:rPr>
        <w:t xml:space="preserve">    </w:t>
      </w:r>
      <w:r>
        <w:rPr>
          <w:rFonts w:hint="eastAsia" w:ascii="Times New Roman" w:hAnsi="Times New Roman"/>
          <w:color w:val="000000"/>
          <w:szCs w:val="21"/>
        </w:rPr>
        <w:t>日</w:t>
      </w:r>
    </w:p>
    <w:p w14:paraId="3A48EC69">
      <w:pPr>
        <w:pStyle w:val="107"/>
        <w:pageBreakBefore w:val="0"/>
        <w:kinsoku/>
        <w:overflowPunct/>
        <w:topLinePunct w:val="0"/>
        <w:bidi w:val="0"/>
        <w:spacing w:after="120" w:line="360" w:lineRule="auto"/>
        <w:ind w:right="480" w:firstLine="402"/>
        <w:rPr>
          <w:rFonts w:ascii="Times New Roman" w:hAnsi="Times New Roman"/>
          <w:b/>
          <w:color w:val="000000"/>
        </w:rPr>
      </w:pPr>
    </w:p>
    <w:p w14:paraId="196000AC">
      <w:pPr>
        <w:rPr>
          <w:rFonts w:ascii="Times New Roman" w:hAnsi="Times New Roman"/>
          <w:b/>
          <w:color w:val="000000"/>
        </w:rPr>
      </w:pPr>
      <w:r>
        <w:rPr>
          <w:rFonts w:ascii="Times New Roman" w:hAnsi="Times New Roman"/>
          <w:b/>
          <w:color w:val="000000"/>
        </w:rPr>
        <w:br w:type="page"/>
      </w:r>
    </w:p>
    <w:p w14:paraId="2FE5E1F0">
      <w:pPr>
        <w:pStyle w:val="107"/>
        <w:pageBreakBefore w:val="0"/>
        <w:kinsoku/>
        <w:overflowPunct/>
        <w:topLinePunct w:val="0"/>
        <w:bidi w:val="0"/>
        <w:spacing w:after="120" w:line="360" w:lineRule="auto"/>
        <w:ind w:right="480" w:firstLine="402"/>
        <w:rPr>
          <w:rFonts w:ascii="Times New Roman" w:hAnsi="Times New Roman"/>
          <w:b/>
          <w:color w:val="000000"/>
        </w:rPr>
      </w:pPr>
    </w:p>
    <w:p w14:paraId="3E8D20BB">
      <w:pPr>
        <w:pStyle w:val="107"/>
        <w:pageBreakBefore w:val="0"/>
        <w:kinsoku/>
        <w:overflowPunct/>
        <w:topLinePunct w:val="0"/>
        <w:bidi w:val="0"/>
        <w:spacing w:after="120" w:line="360" w:lineRule="auto"/>
        <w:ind w:right="480" w:firstLine="402"/>
        <w:rPr>
          <w:rFonts w:ascii="Times New Roman" w:hAnsi="Times New Roman"/>
          <w:b/>
          <w:color w:val="000000"/>
        </w:rPr>
      </w:pPr>
    </w:p>
    <w:p w14:paraId="50E5F76A">
      <w:pPr>
        <w:pageBreakBefore w:val="0"/>
        <w:kinsoku/>
        <w:overflowPunct/>
        <w:topLinePunct w:val="0"/>
        <w:bidi w:val="0"/>
        <w:snapToGrid w:val="0"/>
        <w:spacing w:beforeLines="50" w:after="50" w:line="360" w:lineRule="auto"/>
        <w:ind w:firstLine="422"/>
        <w:rPr>
          <w:rFonts w:ascii="Times New Roman" w:hAnsi="Times New Roman"/>
          <w:b/>
          <w:color w:val="000000"/>
          <w:szCs w:val="21"/>
        </w:rPr>
      </w:pPr>
    </w:p>
    <w:p w14:paraId="2CBAA007">
      <w:pPr>
        <w:pageBreakBefore w:val="0"/>
        <w:kinsoku/>
        <w:overflowPunct/>
        <w:topLinePunct w:val="0"/>
        <w:bidi w:val="0"/>
        <w:snapToGrid w:val="0"/>
        <w:spacing w:beforeLines="50" w:after="50" w:line="360" w:lineRule="auto"/>
        <w:ind w:firstLine="422"/>
        <w:rPr>
          <w:rFonts w:ascii="Times New Roman" w:hAnsi="Times New Roman"/>
          <w:b/>
          <w:color w:val="000000"/>
          <w:szCs w:val="21"/>
        </w:rPr>
      </w:pPr>
      <w:r>
        <w:rPr>
          <w:rFonts w:ascii="Times New Roman" w:hAnsi="Times New Roman"/>
          <w:b/>
          <w:color w:val="000000"/>
          <w:szCs w:val="21"/>
        </w:rPr>
        <w:t>1</w:t>
      </w:r>
      <w:r>
        <w:rPr>
          <w:rFonts w:hint="eastAsia" w:ascii="Times New Roman" w:hAnsi="Times New Roman"/>
          <w:b/>
          <w:color w:val="000000"/>
          <w:szCs w:val="21"/>
        </w:rPr>
        <w:t>3、投标函：</w:t>
      </w:r>
    </w:p>
    <w:p w14:paraId="1546213F">
      <w:pPr>
        <w:pageBreakBefore w:val="0"/>
        <w:kinsoku/>
        <w:overflowPunct/>
        <w:topLinePunct w:val="0"/>
        <w:bidi w:val="0"/>
        <w:snapToGrid w:val="0"/>
        <w:spacing w:beforeLines="50" w:after="50" w:line="360" w:lineRule="auto"/>
        <w:ind w:firstLine="422"/>
        <w:jc w:val="center"/>
        <w:rPr>
          <w:rFonts w:ascii="Times New Roman" w:hAnsi="Times New Roman"/>
          <w:b/>
          <w:color w:val="000000"/>
          <w:szCs w:val="21"/>
        </w:rPr>
      </w:pPr>
      <w:r>
        <w:rPr>
          <w:rFonts w:hint="eastAsia" w:ascii="Times New Roman" w:hAnsi="Times New Roman"/>
          <w:b/>
          <w:color w:val="000000"/>
          <w:szCs w:val="21"/>
        </w:rPr>
        <w:t>投标函</w:t>
      </w:r>
    </w:p>
    <w:p w14:paraId="3EC96DB1">
      <w:pPr>
        <w:pageBreakBefore w:val="0"/>
        <w:kinsoku/>
        <w:overflowPunct/>
        <w:topLinePunct w:val="0"/>
        <w:bidi w:val="0"/>
        <w:snapToGrid w:val="0"/>
        <w:spacing w:line="360" w:lineRule="auto"/>
        <w:rPr>
          <w:rFonts w:ascii="Times New Roman" w:hAnsi="Times New Roman"/>
          <w:color w:val="000000"/>
          <w:szCs w:val="21"/>
        </w:rPr>
      </w:pPr>
      <w:r>
        <w:rPr>
          <w:rFonts w:hint="eastAsia" w:ascii="Times New Roman" w:hAnsi="Times New Roman"/>
          <w:color w:val="000000"/>
          <w:szCs w:val="21"/>
        </w:rPr>
        <w:t>致：</w:t>
      </w:r>
      <w:r>
        <w:rPr>
          <w:rFonts w:hint="eastAsia" w:ascii="Times New Roman" w:hAnsi="Times New Roman"/>
          <w:color w:val="000000"/>
          <w:szCs w:val="21"/>
          <w:u w:val="single"/>
        </w:rPr>
        <w:t>嘉兴市秀洲区公路与运输管理服务中心</w:t>
      </w:r>
    </w:p>
    <w:p w14:paraId="29192092">
      <w:pPr>
        <w:pageBreakBefore w:val="0"/>
        <w:kinsoku/>
        <w:overflowPunct/>
        <w:topLinePunct w:val="0"/>
        <w:bidi w:val="0"/>
        <w:snapToGrid w:val="0"/>
        <w:spacing w:beforeLines="50" w:after="50" w:line="360" w:lineRule="auto"/>
        <w:ind w:firstLine="420" w:firstLineChars="200"/>
        <w:rPr>
          <w:rFonts w:ascii="Times New Roman" w:hAnsi="Times New Roman"/>
          <w:bCs/>
          <w:color w:val="000000"/>
          <w:szCs w:val="21"/>
        </w:rPr>
      </w:pPr>
      <w:r>
        <w:rPr>
          <w:rFonts w:hint="eastAsia" w:ascii="Times New Roman" w:hAnsi="Times New Roman"/>
          <w:color w:val="000000"/>
          <w:szCs w:val="21"/>
        </w:rPr>
        <w:t>根据贵方为</w:t>
      </w:r>
      <w:r>
        <w:rPr>
          <w:rFonts w:hint="eastAsia" w:ascii="Times New Roman" w:hAnsi="Times New Roman"/>
          <w:bCs/>
          <w:color w:val="000000"/>
          <w:szCs w:val="21"/>
        </w:rPr>
        <w:t>项目名称：</w:t>
      </w:r>
      <w:r>
        <w:rPr>
          <w:rFonts w:ascii="Times New Roman" w:hAnsi="Times New Roman"/>
          <w:color w:val="000000"/>
          <w:szCs w:val="21"/>
          <w:u w:val="single"/>
        </w:rPr>
        <w:t xml:space="preserve">           </w:t>
      </w:r>
      <w:r>
        <w:rPr>
          <w:rFonts w:hint="eastAsia" w:ascii="Times New Roman" w:hAnsi="Times New Roman"/>
          <w:color w:val="000000"/>
          <w:szCs w:val="21"/>
        </w:rPr>
        <w:t>的招标公告（项目编号：</w:t>
      </w:r>
      <w:r>
        <w:rPr>
          <w:rFonts w:ascii="Times New Roman" w:hAnsi="Times New Roman"/>
          <w:color w:val="000000"/>
          <w:szCs w:val="21"/>
          <w:u w:val="single"/>
        </w:rPr>
        <w:t xml:space="preserve">            </w:t>
      </w:r>
      <w:r>
        <w:rPr>
          <w:rFonts w:hint="eastAsia" w:ascii="Times New Roman" w:hAnsi="Times New Roman"/>
          <w:color w:val="000000"/>
          <w:szCs w:val="21"/>
        </w:rPr>
        <w:t>），签字代表</w:t>
      </w:r>
      <w:r>
        <w:rPr>
          <w:rFonts w:hint="eastAsia" w:ascii="Times New Roman" w:hAnsi="Times New Roman"/>
          <w:color w:val="000000"/>
          <w:szCs w:val="21"/>
          <w:u w:val="single"/>
        </w:rPr>
        <w:t xml:space="preserve">          </w:t>
      </w:r>
      <w:r>
        <w:rPr>
          <w:rFonts w:hint="eastAsia" w:ascii="Times New Roman" w:hAnsi="Times New Roman"/>
          <w:color w:val="000000"/>
          <w:szCs w:val="21"/>
        </w:rPr>
        <w:t>（全名）经正式授权并代表投标人</w:t>
      </w:r>
      <w:r>
        <w:rPr>
          <w:rFonts w:hint="eastAsia" w:ascii="Times New Roman" w:hAnsi="Times New Roman"/>
          <w:color w:val="000000"/>
          <w:szCs w:val="21"/>
          <w:u w:val="single"/>
        </w:rPr>
        <w:t xml:space="preserve">         </w:t>
      </w:r>
      <w:r>
        <w:rPr>
          <w:rFonts w:hint="eastAsia" w:ascii="Times New Roman" w:hAnsi="Times New Roman"/>
          <w:color w:val="000000"/>
          <w:szCs w:val="21"/>
        </w:rPr>
        <w:t>（投标人名称）提交资格文件、商务技术文件、报价文件各一份。</w:t>
      </w:r>
    </w:p>
    <w:p w14:paraId="4F2230EE">
      <w:pPr>
        <w:pageBreakBefore w:val="0"/>
        <w:kinsoku/>
        <w:overflowPunct/>
        <w:topLinePunct w:val="0"/>
        <w:bidi w:val="0"/>
        <w:snapToGrid w:val="0"/>
        <w:spacing w:line="360" w:lineRule="auto"/>
        <w:ind w:firstLine="420" w:firstLineChars="200"/>
        <w:rPr>
          <w:rFonts w:ascii="Times New Roman" w:hAnsi="Times New Roman"/>
          <w:color w:val="000000"/>
          <w:szCs w:val="21"/>
        </w:rPr>
      </w:pPr>
      <w:r>
        <w:rPr>
          <w:rFonts w:hint="eastAsia" w:ascii="Times New Roman" w:hAnsi="Times New Roman"/>
          <w:color w:val="000000"/>
          <w:szCs w:val="21"/>
        </w:rPr>
        <w:t>据此函，签字代表宣布同意如下：</w:t>
      </w:r>
    </w:p>
    <w:p w14:paraId="3D710383">
      <w:pPr>
        <w:pageBreakBefore w:val="0"/>
        <w:kinsoku/>
        <w:overflowPunct/>
        <w:topLinePunct w:val="0"/>
        <w:bidi w:val="0"/>
        <w:snapToGrid w:val="0"/>
        <w:spacing w:line="360" w:lineRule="auto"/>
        <w:ind w:firstLine="420" w:firstLineChars="200"/>
        <w:rPr>
          <w:rFonts w:ascii="Times New Roman" w:hAnsi="Times New Roman"/>
          <w:color w:val="000000"/>
          <w:szCs w:val="21"/>
        </w:rPr>
      </w:pPr>
      <w:r>
        <w:rPr>
          <w:rFonts w:ascii="Times New Roman" w:hAnsi="Times New Roman"/>
          <w:color w:val="000000"/>
          <w:szCs w:val="21"/>
        </w:rPr>
        <w:t>1.</w:t>
      </w:r>
      <w:r>
        <w:rPr>
          <w:rFonts w:hint="eastAsia" w:ascii="Times New Roman" w:hAnsi="Times New Roman"/>
          <w:color w:val="000000"/>
          <w:szCs w:val="21"/>
        </w:rPr>
        <w:t>投标人已详细审查全部“招标文件”，包括修改文件（如有的话）以及全部参考资料和有关附件，已经了解我方对于招标文件、采购过程、采购结果有依法进行询问、质疑、投诉的权利及相关渠道和要求。</w:t>
      </w:r>
    </w:p>
    <w:p w14:paraId="2834B3AE">
      <w:pPr>
        <w:pageBreakBefore w:val="0"/>
        <w:kinsoku/>
        <w:overflowPunct/>
        <w:topLinePunct w:val="0"/>
        <w:bidi w:val="0"/>
        <w:snapToGrid w:val="0"/>
        <w:spacing w:line="360" w:lineRule="auto"/>
        <w:ind w:firstLine="420" w:firstLineChars="200"/>
        <w:rPr>
          <w:rFonts w:ascii="Times New Roman" w:hAnsi="Times New Roman"/>
          <w:color w:val="000000"/>
          <w:szCs w:val="21"/>
        </w:rPr>
      </w:pPr>
      <w:r>
        <w:rPr>
          <w:rFonts w:ascii="Times New Roman" w:hAnsi="Times New Roman"/>
          <w:color w:val="000000"/>
          <w:szCs w:val="21"/>
        </w:rPr>
        <w:t>2.</w:t>
      </w:r>
      <w:r>
        <w:rPr>
          <w:rFonts w:hint="eastAsia" w:ascii="Times New Roman" w:hAnsi="Times New Roman"/>
          <w:color w:val="000000"/>
          <w:szCs w:val="21"/>
        </w:rPr>
        <w:t>投标人在投标之前已经与贵方进行了充分的沟通，完全理解并接受招标文件的各项规定和要求，对招标文件的合理性、合法性不再有异议。</w:t>
      </w:r>
    </w:p>
    <w:p w14:paraId="22A9EFD6">
      <w:pPr>
        <w:pageBreakBefore w:val="0"/>
        <w:kinsoku/>
        <w:overflowPunct/>
        <w:topLinePunct w:val="0"/>
        <w:bidi w:val="0"/>
        <w:snapToGrid w:val="0"/>
        <w:spacing w:line="360" w:lineRule="auto"/>
        <w:ind w:firstLine="420" w:firstLineChars="200"/>
        <w:rPr>
          <w:rFonts w:ascii="Times New Roman" w:hAnsi="Times New Roman"/>
          <w:color w:val="000000"/>
          <w:szCs w:val="21"/>
        </w:rPr>
      </w:pPr>
      <w:r>
        <w:rPr>
          <w:rFonts w:ascii="Times New Roman" w:hAnsi="Times New Roman"/>
          <w:color w:val="000000"/>
          <w:szCs w:val="21"/>
        </w:rPr>
        <w:t>3.</w:t>
      </w:r>
      <w:r>
        <w:rPr>
          <w:rFonts w:hint="eastAsia" w:ascii="Times New Roman" w:hAnsi="Times New Roman"/>
          <w:color w:val="000000"/>
          <w:szCs w:val="21"/>
        </w:rPr>
        <w:t>本投标有效期自开标日起</w:t>
      </w:r>
      <w:r>
        <w:rPr>
          <w:rFonts w:ascii="Times New Roman" w:hAnsi="Times New Roman"/>
          <w:color w:val="000000"/>
          <w:szCs w:val="21"/>
          <w:u w:val="single"/>
        </w:rPr>
        <w:t xml:space="preserve"> 90 </w:t>
      </w:r>
      <w:r>
        <w:rPr>
          <w:rFonts w:hint="eastAsia" w:ascii="Times New Roman" w:hAnsi="Times New Roman"/>
          <w:color w:val="000000"/>
          <w:szCs w:val="21"/>
        </w:rPr>
        <w:t>天。</w:t>
      </w:r>
    </w:p>
    <w:p w14:paraId="50A77F49">
      <w:pPr>
        <w:pageBreakBefore w:val="0"/>
        <w:kinsoku/>
        <w:overflowPunct/>
        <w:topLinePunct w:val="0"/>
        <w:bidi w:val="0"/>
        <w:snapToGrid w:val="0"/>
        <w:spacing w:line="360" w:lineRule="auto"/>
        <w:ind w:firstLine="420" w:firstLineChars="200"/>
        <w:rPr>
          <w:rFonts w:ascii="Times New Roman" w:hAnsi="Times New Roman"/>
          <w:color w:val="000000"/>
          <w:szCs w:val="21"/>
        </w:rPr>
      </w:pPr>
      <w:r>
        <w:rPr>
          <w:rFonts w:ascii="Times New Roman" w:hAnsi="Times New Roman"/>
          <w:color w:val="000000"/>
          <w:szCs w:val="21"/>
        </w:rPr>
        <w:t>4.</w:t>
      </w:r>
      <w:r>
        <w:rPr>
          <w:rFonts w:hint="eastAsia" w:ascii="Times New Roman" w:hAnsi="Times New Roman"/>
          <w:color w:val="000000"/>
          <w:szCs w:val="21"/>
        </w:rPr>
        <w:t>如中标，本投标文件至本项目合同履行完毕止均保持有效，本投标人将按“招标文件”及政府采购法律、法规的规定履行合同责任和义务。</w:t>
      </w:r>
    </w:p>
    <w:p w14:paraId="1FDD2EDE">
      <w:pPr>
        <w:pageBreakBefore w:val="0"/>
        <w:kinsoku/>
        <w:overflowPunct/>
        <w:topLinePunct w:val="0"/>
        <w:bidi w:val="0"/>
        <w:snapToGrid w:val="0"/>
        <w:spacing w:line="360" w:lineRule="auto"/>
        <w:ind w:firstLine="420" w:firstLineChars="200"/>
        <w:rPr>
          <w:rFonts w:ascii="Times New Roman" w:hAnsi="Times New Roman"/>
          <w:color w:val="000000"/>
          <w:szCs w:val="21"/>
        </w:rPr>
      </w:pPr>
      <w:r>
        <w:rPr>
          <w:rFonts w:ascii="Times New Roman" w:hAnsi="Times New Roman"/>
          <w:color w:val="000000"/>
          <w:szCs w:val="21"/>
        </w:rPr>
        <w:t>5.</w:t>
      </w:r>
      <w:r>
        <w:rPr>
          <w:rFonts w:hint="eastAsia" w:ascii="Times New Roman" w:hAnsi="Times New Roman"/>
          <w:color w:val="000000"/>
          <w:szCs w:val="21"/>
        </w:rPr>
        <w:t>投标人同意按照贵方要求提供与投标有关的一切数据或资料。</w:t>
      </w:r>
    </w:p>
    <w:p w14:paraId="01B699B5">
      <w:pPr>
        <w:pageBreakBefore w:val="0"/>
        <w:kinsoku/>
        <w:overflowPunct/>
        <w:topLinePunct w:val="0"/>
        <w:bidi w:val="0"/>
        <w:snapToGrid w:val="0"/>
        <w:spacing w:line="360" w:lineRule="auto"/>
        <w:ind w:firstLine="420" w:firstLineChars="200"/>
        <w:rPr>
          <w:rFonts w:ascii="Times New Roman" w:hAnsi="Times New Roman"/>
          <w:color w:val="000000"/>
          <w:szCs w:val="21"/>
        </w:rPr>
      </w:pPr>
      <w:r>
        <w:rPr>
          <w:rFonts w:ascii="Times New Roman" w:hAnsi="Times New Roman"/>
          <w:color w:val="000000"/>
          <w:szCs w:val="21"/>
        </w:rPr>
        <w:t>6.</w:t>
      </w:r>
      <w:r>
        <w:rPr>
          <w:rFonts w:hint="eastAsia" w:ascii="Times New Roman" w:hAnsi="Times New Roman"/>
          <w:color w:val="000000"/>
          <w:szCs w:val="21"/>
        </w:rPr>
        <w:t>与本投标有关的一切正式往来信函请寄：</w:t>
      </w:r>
    </w:p>
    <w:p w14:paraId="3E4B7914">
      <w:pPr>
        <w:pageBreakBefore w:val="0"/>
        <w:kinsoku/>
        <w:overflowPunct/>
        <w:topLinePunct w:val="0"/>
        <w:bidi w:val="0"/>
        <w:snapToGrid w:val="0"/>
        <w:spacing w:line="360" w:lineRule="auto"/>
        <w:ind w:firstLine="420"/>
        <w:rPr>
          <w:rFonts w:ascii="Times New Roman" w:hAnsi="Times New Roman"/>
          <w:color w:val="000000"/>
          <w:szCs w:val="21"/>
        </w:rPr>
      </w:pPr>
      <w:r>
        <w:rPr>
          <w:rFonts w:hint="eastAsia" w:ascii="Times New Roman" w:hAnsi="Times New Roman"/>
          <w:color w:val="000000"/>
          <w:szCs w:val="21"/>
        </w:rPr>
        <w:t>地址：</w:t>
      </w:r>
      <w:r>
        <w:rPr>
          <w:rFonts w:hint="eastAsia" w:ascii="Times New Roman" w:hAnsi="Times New Roman"/>
          <w:color w:val="000000"/>
          <w:szCs w:val="21"/>
          <w:u w:val="single"/>
        </w:rPr>
        <w:t xml:space="preserve">                    </w:t>
      </w:r>
      <w:r>
        <w:rPr>
          <w:rFonts w:hint="eastAsia" w:ascii="Times New Roman" w:hAnsi="Times New Roman"/>
          <w:color w:val="000000"/>
          <w:szCs w:val="21"/>
        </w:rPr>
        <w:t xml:space="preserve">   邮编：</w:t>
      </w:r>
      <w:r>
        <w:rPr>
          <w:rFonts w:hint="eastAsia" w:ascii="Times New Roman" w:hAnsi="Times New Roman"/>
          <w:color w:val="000000"/>
          <w:szCs w:val="21"/>
          <w:u w:val="single"/>
        </w:rPr>
        <w:t xml:space="preserve">           </w:t>
      </w:r>
      <w:r>
        <w:rPr>
          <w:rFonts w:ascii="Times New Roman" w:hAnsi="Times New Roman"/>
          <w:color w:val="000000"/>
          <w:szCs w:val="21"/>
        </w:rPr>
        <w:t xml:space="preserve">   </w:t>
      </w:r>
      <w:r>
        <w:rPr>
          <w:rFonts w:hint="eastAsia" w:ascii="Times New Roman" w:hAnsi="Times New Roman"/>
          <w:color w:val="000000"/>
          <w:szCs w:val="21"/>
        </w:rPr>
        <w:t>电话：</w:t>
      </w:r>
      <w:r>
        <w:rPr>
          <w:rFonts w:hint="eastAsia" w:ascii="Times New Roman" w:hAnsi="Times New Roman"/>
          <w:color w:val="000000"/>
          <w:szCs w:val="21"/>
          <w:u w:val="single"/>
        </w:rPr>
        <w:t xml:space="preserve">              </w:t>
      </w:r>
    </w:p>
    <w:p w14:paraId="00900A9C">
      <w:pPr>
        <w:pageBreakBefore w:val="0"/>
        <w:kinsoku/>
        <w:overflowPunct/>
        <w:topLinePunct w:val="0"/>
        <w:bidi w:val="0"/>
        <w:snapToGrid w:val="0"/>
        <w:spacing w:line="360" w:lineRule="auto"/>
        <w:ind w:firstLine="420"/>
        <w:rPr>
          <w:rFonts w:ascii="Times New Roman" w:hAnsi="Times New Roman"/>
          <w:color w:val="000000"/>
          <w:szCs w:val="21"/>
          <w:u w:val="single"/>
        </w:rPr>
      </w:pPr>
      <w:r>
        <w:rPr>
          <w:rFonts w:hint="eastAsia" w:ascii="Times New Roman" w:hAnsi="Times New Roman"/>
          <w:color w:val="000000"/>
          <w:szCs w:val="21"/>
        </w:rPr>
        <w:t>传真：</w:t>
      </w:r>
      <w:r>
        <w:rPr>
          <w:rFonts w:hint="eastAsia" w:ascii="Times New Roman" w:hAnsi="Times New Roman"/>
          <w:color w:val="000000"/>
          <w:szCs w:val="21"/>
          <w:u w:val="single"/>
        </w:rPr>
        <w:t xml:space="preserve">            </w:t>
      </w:r>
      <w:r>
        <w:rPr>
          <w:rFonts w:hint="eastAsia" w:ascii="Times New Roman" w:hAnsi="Times New Roman"/>
          <w:color w:val="000000"/>
          <w:szCs w:val="21"/>
        </w:rPr>
        <w:t xml:space="preserve">   投标人代表姓名：</w:t>
      </w:r>
      <w:r>
        <w:rPr>
          <w:rFonts w:hint="eastAsia" w:ascii="Times New Roman" w:hAnsi="Times New Roman"/>
          <w:color w:val="000000"/>
          <w:szCs w:val="21"/>
          <w:u w:val="single"/>
        </w:rPr>
        <w:t xml:space="preserve">          </w:t>
      </w:r>
      <w:r>
        <w:rPr>
          <w:rFonts w:hint="eastAsia" w:ascii="Times New Roman" w:hAnsi="Times New Roman"/>
          <w:color w:val="000000"/>
          <w:szCs w:val="21"/>
        </w:rPr>
        <w:t xml:space="preserve"> </w:t>
      </w:r>
      <w:r>
        <w:rPr>
          <w:rFonts w:ascii="Times New Roman" w:hAnsi="Times New Roman"/>
          <w:color w:val="000000"/>
          <w:szCs w:val="21"/>
        </w:rPr>
        <w:t xml:space="preserve"> </w:t>
      </w:r>
      <w:r>
        <w:rPr>
          <w:rFonts w:hint="eastAsia" w:ascii="Times New Roman" w:hAnsi="Times New Roman"/>
          <w:color w:val="000000"/>
          <w:szCs w:val="21"/>
        </w:rPr>
        <w:t>职务：</w:t>
      </w:r>
      <w:r>
        <w:rPr>
          <w:rFonts w:hint="eastAsia" w:ascii="Times New Roman" w:hAnsi="Times New Roman"/>
          <w:color w:val="000000"/>
          <w:szCs w:val="21"/>
          <w:u w:val="single"/>
        </w:rPr>
        <w:t xml:space="preserve">              </w:t>
      </w:r>
    </w:p>
    <w:p w14:paraId="03F889D9">
      <w:pPr>
        <w:pageBreakBefore w:val="0"/>
        <w:kinsoku/>
        <w:overflowPunct/>
        <w:topLinePunct w:val="0"/>
        <w:bidi w:val="0"/>
        <w:snapToGrid w:val="0"/>
        <w:spacing w:line="360" w:lineRule="auto"/>
        <w:ind w:firstLine="420"/>
        <w:rPr>
          <w:rFonts w:ascii="Times New Roman" w:hAnsi="Times New Roman"/>
          <w:color w:val="000000"/>
          <w:szCs w:val="21"/>
        </w:rPr>
      </w:pPr>
      <w:r>
        <w:rPr>
          <w:rFonts w:hint="eastAsia" w:ascii="Times New Roman" w:hAnsi="Times New Roman"/>
          <w:color w:val="000000"/>
          <w:szCs w:val="21"/>
        </w:rPr>
        <w:t>投标人名称（公章）：</w:t>
      </w:r>
      <w:r>
        <w:rPr>
          <w:rFonts w:hint="eastAsia" w:ascii="Times New Roman" w:hAnsi="Times New Roman"/>
          <w:color w:val="000000"/>
          <w:szCs w:val="21"/>
          <w:u w:val="single"/>
        </w:rPr>
        <w:t xml:space="preserve">                       </w:t>
      </w:r>
    </w:p>
    <w:p w14:paraId="1878F420">
      <w:pPr>
        <w:pageBreakBefore w:val="0"/>
        <w:kinsoku/>
        <w:overflowPunct/>
        <w:topLinePunct w:val="0"/>
        <w:bidi w:val="0"/>
        <w:snapToGrid w:val="0"/>
        <w:spacing w:line="360" w:lineRule="auto"/>
        <w:ind w:firstLine="420"/>
        <w:rPr>
          <w:rFonts w:ascii="Times New Roman" w:hAnsi="Times New Roman"/>
          <w:color w:val="000000"/>
          <w:szCs w:val="21"/>
        </w:rPr>
      </w:pPr>
      <w:r>
        <w:rPr>
          <w:rFonts w:hint="eastAsia" w:ascii="Times New Roman" w:hAnsi="Times New Roman"/>
          <w:color w:val="000000"/>
          <w:szCs w:val="21"/>
        </w:rPr>
        <w:t>开户银行：</w:t>
      </w:r>
      <w:r>
        <w:rPr>
          <w:rFonts w:ascii="Times New Roman" w:hAnsi="Times New Roman"/>
          <w:color w:val="000000"/>
          <w:szCs w:val="21"/>
          <w:u w:val="single"/>
        </w:rPr>
        <w:t xml:space="preserve">                      </w:t>
      </w:r>
      <w:r>
        <w:rPr>
          <w:rFonts w:ascii="Times New Roman" w:hAnsi="Times New Roman"/>
          <w:color w:val="000000"/>
          <w:szCs w:val="21"/>
        </w:rPr>
        <w:t xml:space="preserve">  </w:t>
      </w:r>
      <w:r>
        <w:rPr>
          <w:rFonts w:hint="eastAsia" w:ascii="Times New Roman" w:hAnsi="Times New Roman"/>
          <w:color w:val="000000"/>
          <w:szCs w:val="21"/>
        </w:rPr>
        <w:t>银行账号：</w:t>
      </w:r>
      <w:r>
        <w:rPr>
          <w:rFonts w:ascii="Times New Roman" w:hAnsi="Times New Roman"/>
          <w:color w:val="000000"/>
          <w:szCs w:val="21"/>
          <w:u w:val="single"/>
        </w:rPr>
        <w:t xml:space="preserve">                  </w:t>
      </w:r>
      <w:r>
        <w:rPr>
          <w:rFonts w:hint="eastAsia" w:ascii="Times New Roman" w:hAnsi="Times New Roman"/>
          <w:color w:val="000000"/>
          <w:szCs w:val="21"/>
          <w:u w:val="single"/>
        </w:rPr>
        <w:t xml:space="preserve">    </w:t>
      </w:r>
      <w:r>
        <w:rPr>
          <w:rFonts w:ascii="Times New Roman" w:hAnsi="Times New Roman"/>
          <w:color w:val="000000"/>
          <w:szCs w:val="21"/>
          <w:u w:val="single"/>
        </w:rPr>
        <w:t xml:space="preserve">  </w:t>
      </w:r>
    </w:p>
    <w:p w14:paraId="69D22507">
      <w:pPr>
        <w:pageBreakBefore w:val="0"/>
        <w:kinsoku/>
        <w:overflowPunct/>
        <w:topLinePunct w:val="0"/>
        <w:bidi w:val="0"/>
        <w:snapToGrid w:val="0"/>
        <w:spacing w:line="360" w:lineRule="auto"/>
        <w:ind w:firstLine="420"/>
        <w:rPr>
          <w:rFonts w:ascii="Times New Roman" w:hAnsi="Times New Roman"/>
          <w:color w:val="000000"/>
          <w:szCs w:val="21"/>
        </w:rPr>
      </w:pPr>
      <w:r>
        <w:rPr>
          <w:rFonts w:hint="eastAsia" w:ascii="Times New Roman" w:hAnsi="Times New Roman"/>
          <w:color w:val="000000"/>
          <w:szCs w:val="21"/>
        </w:rPr>
        <w:t>法定代表人签字（或盖章）：</w:t>
      </w:r>
      <w:r>
        <w:rPr>
          <w:rFonts w:hint="eastAsia" w:ascii="Times New Roman" w:hAnsi="Times New Roman"/>
          <w:color w:val="000000"/>
          <w:szCs w:val="21"/>
          <w:u w:val="single"/>
        </w:rPr>
        <w:t xml:space="preserve">             </w:t>
      </w:r>
      <w:r>
        <w:rPr>
          <w:rFonts w:ascii="Times New Roman" w:hAnsi="Times New Roman"/>
          <w:color w:val="000000"/>
          <w:szCs w:val="21"/>
        </w:rPr>
        <w:t xml:space="preserve">     </w:t>
      </w:r>
      <w:r>
        <w:rPr>
          <w:rFonts w:hint="eastAsia" w:ascii="Times New Roman" w:hAnsi="Times New Roman"/>
          <w:color w:val="000000"/>
          <w:szCs w:val="21"/>
        </w:rPr>
        <w:t>日期：</w:t>
      </w:r>
      <w:r>
        <w:rPr>
          <w:rFonts w:hint="eastAsia" w:ascii="Times New Roman" w:hAnsi="Times New Roman"/>
          <w:color w:val="000000"/>
          <w:szCs w:val="21"/>
          <w:u w:val="single"/>
        </w:rPr>
        <w:t xml:space="preserve">      </w:t>
      </w:r>
      <w:r>
        <w:rPr>
          <w:rFonts w:hint="eastAsia" w:ascii="Times New Roman" w:hAnsi="Times New Roman"/>
          <w:color w:val="000000"/>
          <w:szCs w:val="21"/>
        </w:rPr>
        <w:t>年</w:t>
      </w:r>
      <w:r>
        <w:rPr>
          <w:rFonts w:hint="eastAsia" w:ascii="Times New Roman" w:hAnsi="Times New Roman"/>
          <w:color w:val="000000"/>
          <w:szCs w:val="21"/>
          <w:u w:val="single"/>
        </w:rPr>
        <w:t xml:space="preserve">   </w:t>
      </w:r>
      <w:r>
        <w:rPr>
          <w:rFonts w:hint="eastAsia" w:ascii="Times New Roman" w:hAnsi="Times New Roman"/>
          <w:color w:val="000000"/>
          <w:szCs w:val="21"/>
        </w:rPr>
        <w:t>月</w:t>
      </w:r>
      <w:r>
        <w:rPr>
          <w:rFonts w:hint="eastAsia" w:ascii="Times New Roman" w:hAnsi="Times New Roman"/>
          <w:color w:val="000000"/>
          <w:szCs w:val="21"/>
          <w:u w:val="single"/>
        </w:rPr>
        <w:t xml:space="preserve">   </w:t>
      </w:r>
      <w:r>
        <w:rPr>
          <w:rFonts w:hint="eastAsia" w:ascii="Times New Roman" w:hAnsi="Times New Roman"/>
          <w:color w:val="000000"/>
          <w:szCs w:val="21"/>
        </w:rPr>
        <w:t>日</w:t>
      </w:r>
    </w:p>
    <w:p w14:paraId="5A852F92">
      <w:pPr>
        <w:pageBreakBefore w:val="0"/>
        <w:kinsoku/>
        <w:overflowPunct/>
        <w:topLinePunct w:val="0"/>
        <w:bidi w:val="0"/>
        <w:snapToGrid w:val="0"/>
        <w:spacing w:before="120" w:after="50" w:line="360" w:lineRule="auto"/>
        <w:ind w:firstLine="420"/>
        <w:rPr>
          <w:rFonts w:ascii="Times New Roman" w:hAnsi="Times New Roman"/>
          <w:color w:val="000000"/>
          <w:szCs w:val="21"/>
        </w:rPr>
      </w:pPr>
    </w:p>
    <w:p w14:paraId="78F4A08D">
      <w:pPr>
        <w:pageBreakBefore w:val="0"/>
        <w:kinsoku/>
        <w:overflowPunct/>
        <w:topLinePunct w:val="0"/>
        <w:bidi w:val="0"/>
        <w:snapToGrid w:val="0"/>
        <w:spacing w:before="120" w:after="50" w:line="360" w:lineRule="auto"/>
        <w:ind w:firstLine="420"/>
        <w:rPr>
          <w:rFonts w:ascii="Times New Roman" w:hAnsi="Times New Roman"/>
          <w:color w:val="000000"/>
          <w:szCs w:val="21"/>
        </w:rPr>
      </w:pPr>
    </w:p>
    <w:p w14:paraId="00DDE8AE">
      <w:pPr>
        <w:pageBreakBefore w:val="0"/>
        <w:widowControl/>
        <w:kinsoku/>
        <w:overflowPunct/>
        <w:topLinePunct w:val="0"/>
        <w:bidi w:val="0"/>
        <w:spacing w:line="360" w:lineRule="auto"/>
        <w:ind w:firstLine="420"/>
        <w:jc w:val="left"/>
        <w:rPr>
          <w:rFonts w:ascii="Times New Roman" w:hAnsi="Times New Roman"/>
          <w:color w:val="000000"/>
          <w:szCs w:val="21"/>
        </w:rPr>
        <w:sectPr>
          <w:pgSz w:w="11906" w:h="16838"/>
          <w:pgMar w:top="1440" w:right="1797" w:bottom="1440" w:left="1797" w:header="851" w:footer="851" w:gutter="0"/>
          <w:cols w:space="720" w:num="1"/>
        </w:sectPr>
      </w:pPr>
    </w:p>
    <w:p w14:paraId="2C7D6679">
      <w:pPr>
        <w:pStyle w:val="303"/>
        <w:pageBreakBefore w:val="0"/>
        <w:kinsoku/>
        <w:overflowPunct/>
        <w:topLinePunct w:val="0"/>
        <w:bidi w:val="0"/>
        <w:spacing w:before="156" w:line="360" w:lineRule="auto"/>
        <w:ind w:firstLine="422"/>
        <w:rPr>
          <w:rFonts w:ascii="Times New Roman" w:hAnsi="Times New Roman" w:eastAsia="宋体"/>
          <w:b/>
          <w:color w:val="000000"/>
          <w:sz w:val="21"/>
          <w:szCs w:val="21"/>
        </w:rPr>
      </w:pPr>
      <w:r>
        <w:rPr>
          <w:rFonts w:ascii="Times New Roman" w:hAnsi="Times New Roman" w:eastAsia="宋体"/>
          <w:b/>
          <w:bCs/>
          <w:color w:val="000000"/>
          <w:sz w:val="21"/>
          <w:szCs w:val="21"/>
        </w:rPr>
        <w:t>1</w:t>
      </w:r>
      <w:r>
        <w:rPr>
          <w:rFonts w:hint="eastAsia" w:ascii="Times New Roman" w:hAnsi="Times New Roman" w:eastAsia="宋体"/>
          <w:b/>
          <w:bCs/>
          <w:color w:val="000000"/>
          <w:sz w:val="21"/>
          <w:szCs w:val="21"/>
        </w:rPr>
        <w:t>4、</w:t>
      </w:r>
      <w:r>
        <w:rPr>
          <w:rFonts w:hint="eastAsia" w:ascii="Times New Roman" w:hAnsi="Times New Roman" w:eastAsia="宋体"/>
          <w:b/>
          <w:color w:val="000000"/>
          <w:sz w:val="21"/>
          <w:szCs w:val="21"/>
        </w:rPr>
        <w:t>开标一览表</w:t>
      </w:r>
    </w:p>
    <w:p w14:paraId="2AA49A54">
      <w:pPr>
        <w:pStyle w:val="303"/>
        <w:pageBreakBefore w:val="0"/>
        <w:kinsoku/>
        <w:overflowPunct/>
        <w:topLinePunct w:val="0"/>
        <w:bidi w:val="0"/>
        <w:spacing w:before="156" w:line="360" w:lineRule="auto"/>
        <w:ind w:firstLine="422"/>
        <w:jc w:val="center"/>
        <w:rPr>
          <w:rFonts w:hint="eastAsia" w:hAnsi="宋体" w:eastAsia="宋体"/>
          <w:b/>
          <w:sz w:val="21"/>
          <w:szCs w:val="21"/>
          <w:lang w:eastAsia="zh-CN"/>
        </w:rPr>
      </w:pPr>
      <w:r>
        <w:rPr>
          <w:rFonts w:hint="eastAsia" w:hAnsi="宋体" w:eastAsia="宋体"/>
          <w:b/>
          <w:sz w:val="21"/>
          <w:szCs w:val="21"/>
        </w:rPr>
        <w:t>开标一览表</w:t>
      </w:r>
      <w:r>
        <w:rPr>
          <w:rFonts w:hint="eastAsia" w:hAnsi="宋体" w:eastAsia="宋体"/>
          <w:b/>
          <w:sz w:val="21"/>
          <w:szCs w:val="21"/>
          <w:lang w:eastAsia="zh-CN"/>
        </w:rPr>
        <w:t>（</w:t>
      </w:r>
      <w:r>
        <w:rPr>
          <w:rFonts w:hint="eastAsia" w:hAnsi="宋体" w:eastAsia="宋体"/>
          <w:b/>
          <w:sz w:val="21"/>
          <w:szCs w:val="21"/>
          <w:lang w:val="en-US" w:eastAsia="zh-CN"/>
        </w:rPr>
        <w:t>标项1</w:t>
      </w:r>
      <w:r>
        <w:rPr>
          <w:rFonts w:hint="eastAsia" w:hAnsi="宋体" w:eastAsia="宋体"/>
          <w:b/>
          <w:sz w:val="21"/>
          <w:szCs w:val="21"/>
          <w:lang w:eastAsia="zh-CN"/>
        </w:rPr>
        <w:t>）</w:t>
      </w:r>
    </w:p>
    <w:p w14:paraId="3FB94CC3">
      <w:pPr>
        <w:pageBreakBefore w:val="0"/>
        <w:kinsoku/>
        <w:overflowPunct/>
        <w:topLinePunct w:val="0"/>
        <w:bidi w:val="0"/>
        <w:snapToGrid w:val="0"/>
        <w:spacing w:before="156" w:after="50" w:line="360" w:lineRule="auto"/>
        <w:rPr>
          <w:rFonts w:ascii="宋体" w:hAnsi="宋体"/>
          <w:szCs w:val="21"/>
          <w:u w:val="single"/>
        </w:rPr>
      </w:pPr>
      <w:r>
        <w:rPr>
          <w:rFonts w:hint="eastAsia" w:ascii="宋体" w:hAnsi="宋体"/>
          <w:szCs w:val="21"/>
        </w:rPr>
        <w:t>项目编号：</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p>
    <w:p w14:paraId="18EBB8CA">
      <w:pPr>
        <w:pageBreakBefore w:val="0"/>
        <w:kinsoku/>
        <w:overflowPunct/>
        <w:topLinePunct w:val="0"/>
        <w:bidi w:val="0"/>
        <w:snapToGrid w:val="0"/>
        <w:spacing w:before="156" w:after="80" w:line="360" w:lineRule="auto"/>
        <w:rPr>
          <w:rFonts w:ascii="宋体" w:hAnsi="宋体"/>
          <w:szCs w:val="21"/>
          <w:u w:val="single"/>
        </w:rPr>
      </w:pPr>
      <w:r>
        <w:rPr>
          <w:rFonts w:hint="eastAsia" w:ascii="宋体" w:hAnsi="宋体"/>
          <w:szCs w:val="21"/>
        </w:rPr>
        <w:t>项目名称：</w:t>
      </w:r>
      <w:r>
        <w:rPr>
          <w:rFonts w:hint="eastAsia" w:ascii="宋体" w:hAnsi="宋体"/>
          <w:szCs w:val="21"/>
          <w:u w:val="single"/>
        </w:rPr>
        <w:t xml:space="preserve">                     </w:t>
      </w:r>
      <w:r>
        <w:rPr>
          <w:rFonts w:hint="eastAsia" w:ascii="宋体" w:hAnsi="宋体"/>
          <w:szCs w:val="21"/>
        </w:rPr>
        <w:t xml:space="preserve">                                标段：</w:t>
      </w:r>
      <w:r>
        <w:rPr>
          <w:rFonts w:hint="eastAsia" w:ascii="宋体" w:hAnsi="宋体"/>
          <w:szCs w:val="21"/>
          <w:u w:val="single"/>
        </w:rPr>
        <w:t xml:space="preserve"> </w:t>
      </w:r>
      <w:r>
        <w:rPr>
          <w:rFonts w:hint="eastAsia" w:ascii="宋体" w:hAnsi="宋体"/>
          <w:szCs w:val="21"/>
          <w:u w:val="single"/>
          <w:lang w:val="en-US" w:eastAsia="zh-CN"/>
        </w:rPr>
        <w:t>第一标段</w:t>
      </w:r>
      <w:r>
        <w:rPr>
          <w:rFonts w:hint="eastAsia" w:ascii="宋体" w:hAnsi="宋体"/>
          <w:szCs w:val="21"/>
          <w:u w:val="single"/>
        </w:rPr>
        <w:t xml:space="preserve"> </w:t>
      </w:r>
    </w:p>
    <w:tbl>
      <w:tblPr>
        <w:tblStyle w:val="52"/>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936"/>
        <w:gridCol w:w="2693"/>
        <w:gridCol w:w="1808"/>
      </w:tblGrid>
      <w:tr w14:paraId="65D86D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3936" w:type="dxa"/>
            <w:vAlign w:val="center"/>
          </w:tcPr>
          <w:p w14:paraId="2466E8A4">
            <w:pPr>
              <w:pStyle w:val="50"/>
              <w:pageBreakBefore w:val="0"/>
              <w:kinsoku/>
              <w:overflowPunct/>
              <w:topLinePunct w:val="0"/>
              <w:bidi w:val="0"/>
              <w:spacing w:after="0" w:line="360" w:lineRule="auto"/>
              <w:ind w:left="0" w:leftChars="0" w:firstLine="0" w:firstLineChars="0"/>
              <w:jc w:val="center"/>
              <w:rPr>
                <w:rFonts w:hint="default" w:eastAsiaTheme="minorEastAsia"/>
                <w:szCs w:val="21"/>
                <w:lang w:val="en-US" w:eastAsia="zh-CN"/>
              </w:rPr>
            </w:pPr>
            <w:r>
              <w:rPr>
                <w:rFonts w:hint="eastAsia"/>
                <w:szCs w:val="21"/>
                <w:lang w:val="en-US" w:eastAsia="zh-CN"/>
              </w:rPr>
              <w:t>工程名称</w:t>
            </w:r>
          </w:p>
        </w:tc>
        <w:tc>
          <w:tcPr>
            <w:tcW w:w="2693" w:type="dxa"/>
            <w:vAlign w:val="center"/>
          </w:tcPr>
          <w:p w14:paraId="47CFB1A8">
            <w:pPr>
              <w:pStyle w:val="50"/>
              <w:pageBreakBefore w:val="0"/>
              <w:kinsoku/>
              <w:overflowPunct/>
              <w:topLinePunct w:val="0"/>
              <w:bidi w:val="0"/>
              <w:spacing w:after="0" w:line="360" w:lineRule="auto"/>
              <w:ind w:left="0" w:leftChars="0" w:firstLine="0" w:firstLineChars="0"/>
              <w:jc w:val="center"/>
              <w:rPr>
                <w:rFonts w:hint="eastAsia" w:eastAsiaTheme="minorEastAsia"/>
                <w:szCs w:val="21"/>
                <w:lang w:eastAsia="zh-CN"/>
              </w:rPr>
            </w:pPr>
            <w:r>
              <w:rPr>
                <w:rFonts w:hint="eastAsia"/>
                <w:szCs w:val="21"/>
              </w:rPr>
              <w:t>投标</w:t>
            </w:r>
            <w:r>
              <w:rPr>
                <w:rFonts w:hint="eastAsia"/>
                <w:szCs w:val="21"/>
                <w:lang w:val="en-US" w:eastAsia="zh-CN"/>
              </w:rPr>
              <w:t>报价总价（元）</w:t>
            </w:r>
          </w:p>
        </w:tc>
        <w:tc>
          <w:tcPr>
            <w:tcW w:w="1808" w:type="dxa"/>
            <w:vAlign w:val="center"/>
          </w:tcPr>
          <w:p w14:paraId="55208322">
            <w:pPr>
              <w:pStyle w:val="50"/>
              <w:pageBreakBefore w:val="0"/>
              <w:kinsoku/>
              <w:overflowPunct/>
              <w:topLinePunct w:val="0"/>
              <w:bidi w:val="0"/>
              <w:spacing w:after="0" w:line="360" w:lineRule="auto"/>
              <w:ind w:left="0" w:leftChars="0" w:firstLine="0" w:firstLineChars="0"/>
              <w:jc w:val="center"/>
              <w:rPr>
                <w:szCs w:val="21"/>
              </w:rPr>
            </w:pPr>
            <w:r>
              <w:rPr>
                <w:rFonts w:hint="eastAsia"/>
                <w:szCs w:val="21"/>
              </w:rPr>
              <w:t>备注</w:t>
            </w:r>
          </w:p>
        </w:tc>
      </w:tr>
      <w:tr w14:paraId="00AC4B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85" w:hRule="atLeast"/>
        </w:trPr>
        <w:tc>
          <w:tcPr>
            <w:tcW w:w="3936" w:type="dxa"/>
            <w:vAlign w:val="center"/>
          </w:tcPr>
          <w:p w14:paraId="59F9B3D8">
            <w:pPr>
              <w:pageBreakBefore w:val="0"/>
              <w:widowControl/>
              <w:kinsoku/>
              <w:overflowPunct/>
              <w:topLinePunct w:val="0"/>
              <w:bidi w:val="0"/>
              <w:spacing w:line="360" w:lineRule="auto"/>
              <w:outlineLvl w:val="1"/>
              <w:rPr>
                <w:rFonts w:hint="eastAsia"/>
                <w:szCs w:val="21"/>
              </w:rPr>
            </w:pPr>
            <w:r>
              <w:rPr>
                <w:rFonts w:hint="eastAsia" w:ascii="宋体" w:hAnsi="Courier New" w:eastAsiaTheme="minorEastAsia" w:cstheme="minorBidi"/>
                <w:spacing w:val="-4"/>
                <w:kern w:val="2"/>
                <w:sz w:val="21"/>
                <w:szCs w:val="21"/>
                <w:lang w:val="en-US" w:eastAsia="zh-CN" w:bidi="ar-SA"/>
              </w:rPr>
              <w:t>2026年秀洲区县道及以上公路小修及应急抢险项目</w:t>
            </w:r>
          </w:p>
        </w:tc>
        <w:tc>
          <w:tcPr>
            <w:tcW w:w="2693" w:type="dxa"/>
            <w:vAlign w:val="center"/>
          </w:tcPr>
          <w:p w14:paraId="1113FCF8">
            <w:pPr>
              <w:pStyle w:val="50"/>
              <w:pageBreakBefore w:val="0"/>
              <w:kinsoku/>
              <w:overflowPunct/>
              <w:topLinePunct w:val="0"/>
              <w:bidi w:val="0"/>
              <w:spacing w:after="0" w:line="360" w:lineRule="auto"/>
              <w:ind w:left="0" w:leftChars="0" w:firstLine="0" w:firstLineChars="0"/>
              <w:jc w:val="center"/>
              <w:rPr>
                <w:rFonts w:hint="eastAsia"/>
                <w:szCs w:val="21"/>
              </w:rPr>
            </w:pPr>
          </w:p>
        </w:tc>
        <w:tc>
          <w:tcPr>
            <w:tcW w:w="1808" w:type="dxa"/>
            <w:vAlign w:val="center"/>
          </w:tcPr>
          <w:p w14:paraId="566D9863">
            <w:pPr>
              <w:pStyle w:val="50"/>
              <w:pageBreakBefore w:val="0"/>
              <w:kinsoku/>
              <w:overflowPunct/>
              <w:topLinePunct w:val="0"/>
              <w:bidi w:val="0"/>
              <w:spacing w:after="0" w:line="360" w:lineRule="auto"/>
              <w:ind w:left="0" w:leftChars="0" w:firstLine="0" w:firstLineChars="0"/>
              <w:jc w:val="center"/>
              <w:rPr>
                <w:rFonts w:hint="eastAsia"/>
                <w:szCs w:val="21"/>
              </w:rPr>
            </w:pPr>
          </w:p>
        </w:tc>
      </w:tr>
    </w:tbl>
    <w:p w14:paraId="7463E2CE">
      <w:pPr>
        <w:pageBreakBefore w:val="0"/>
        <w:kinsoku/>
        <w:overflowPunct/>
        <w:topLinePunct w:val="0"/>
        <w:autoSpaceDE w:val="0"/>
        <w:autoSpaceDN w:val="0"/>
        <w:bidi w:val="0"/>
        <w:adjustRightInd w:val="0"/>
        <w:spacing w:before="120" w:line="360" w:lineRule="auto"/>
        <w:jc w:val="left"/>
        <w:rPr>
          <w:rFonts w:hint="eastAsia" w:ascii="宋体" w:hAnsi="宋体" w:cs="宋体"/>
          <w:kern w:val="0"/>
          <w:szCs w:val="21"/>
        </w:rPr>
      </w:pPr>
      <w:r>
        <w:rPr>
          <w:rFonts w:hint="eastAsia" w:ascii="宋体" w:hAnsi="宋体" w:cs="宋体"/>
          <w:kern w:val="0"/>
          <w:szCs w:val="21"/>
        </w:rPr>
        <w:t>注： 1、报价一经涂改，应在涂改处加盖单位公章或者由法定代表人或被授权人签字（或盖章），否则其投标作无效标处理；</w:t>
      </w:r>
    </w:p>
    <w:p w14:paraId="2637A49C">
      <w:pPr>
        <w:pageBreakBefore w:val="0"/>
        <w:kinsoku/>
        <w:overflowPunct/>
        <w:topLinePunct w:val="0"/>
        <w:autoSpaceDE w:val="0"/>
        <w:autoSpaceDN w:val="0"/>
        <w:bidi w:val="0"/>
        <w:adjustRightInd w:val="0"/>
        <w:spacing w:before="120" w:line="360" w:lineRule="auto"/>
        <w:jc w:val="left"/>
        <w:rPr>
          <w:rFonts w:hint="eastAsia" w:ascii="宋体" w:hAnsi="宋体" w:cs="宋体"/>
          <w:kern w:val="0"/>
          <w:szCs w:val="21"/>
          <w:lang w:val="en-US" w:eastAsia="zh-CN"/>
        </w:rPr>
      </w:pPr>
      <w:r>
        <w:rPr>
          <w:rFonts w:hint="eastAsia" w:ascii="宋体" w:hAnsi="宋体" w:cs="宋体"/>
          <w:kern w:val="0"/>
          <w:szCs w:val="21"/>
          <w:lang w:val="en-US" w:eastAsia="zh-CN"/>
        </w:rPr>
        <w:t>2、以上投标报价总价应与各标段的“报价明细表”中的“投标总报价”相一致。</w:t>
      </w:r>
    </w:p>
    <w:p w14:paraId="24BC3079">
      <w:pPr>
        <w:pageBreakBefore w:val="0"/>
        <w:kinsoku/>
        <w:overflowPunct/>
        <w:topLinePunct w:val="0"/>
        <w:autoSpaceDE w:val="0"/>
        <w:autoSpaceDN w:val="0"/>
        <w:bidi w:val="0"/>
        <w:adjustRightInd w:val="0"/>
        <w:spacing w:before="120" w:line="360" w:lineRule="auto"/>
        <w:jc w:val="left"/>
        <w:rPr>
          <w:rFonts w:hint="eastAsia" w:eastAsiaTheme="minorEastAsia"/>
          <w:lang w:val="en-US" w:eastAsia="zh-CN"/>
        </w:rPr>
      </w:pPr>
    </w:p>
    <w:p w14:paraId="43B9FD34">
      <w:pPr>
        <w:pageBreakBefore w:val="0"/>
        <w:kinsoku/>
        <w:overflowPunct/>
        <w:topLinePunct w:val="0"/>
        <w:bidi w:val="0"/>
        <w:spacing w:before="156" w:line="360" w:lineRule="auto"/>
        <w:ind w:firstLine="420" w:firstLineChars="200"/>
        <w:rPr>
          <w:rFonts w:hint="eastAsia" w:ascii="Times New Roman" w:hAnsi="Times New Roman" w:eastAsia="宋体"/>
          <w:color w:val="000000"/>
          <w:szCs w:val="21"/>
          <w:shd w:val="clear" w:color="auto" w:fill="FFFFFF"/>
          <w:lang w:eastAsia="zh-CN"/>
        </w:rPr>
      </w:pPr>
    </w:p>
    <w:p w14:paraId="7079792A">
      <w:pPr>
        <w:pStyle w:val="50"/>
        <w:pageBreakBefore w:val="0"/>
        <w:kinsoku/>
        <w:overflowPunct/>
        <w:topLinePunct w:val="0"/>
        <w:bidi w:val="0"/>
        <w:spacing w:line="360" w:lineRule="auto"/>
        <w:rPr>
          <w:rFonts w:hint="eastAsia"/>
          <w:lang w:eastAsia="zh-CN"/>
        </w:rPr>
      </w:pPr>
    </w:p>
    <w:p w14:paraId="5BD26E72">
      <w:pPr>
        <w:pStyle w:val="50"/>
        <w:pageBreakBefore w:val="0"/>
        <w:kinsoku/>
        <w:overflowPunct/>
        <w:topLinePunct w:val="0"/>
        <w:bidi w:val="0"/>
        <w:spacing w:line="360" w:lineRule="auto"/>
        <w:rPr>
          <w:rFonts w:hint="eastAsia"/>
          <w:lang w:eastAsia="zh-CN"/>
        </w:rPr>
      </w:pPr>
    </w:p>
    <w:p w14:paraId="265BA759">
      <w:pPr>
        <w:pStyle w:val="50"/>
        <w:pageBreakBefore w:val="0"/>
        <w:kinsoku/>
        <w:overflowPunct/>
        <w:topLinePunct w:val="0"/>
        <w:bidi w:val="0"/>
        <w:spacing w:line="360" w:lineRule="auto"/>
        <w:rPr>
          <w:rFonts w:hint="eastAsia"/>
          <w:lang w:eastAsia="zh-CN"/>
        </w:rPr>
      </w:pPr>
    </w:p>
    <w:p w14:paraId="60A7AA44">
      <w:pPr>
        <w:pStyle w:val="50"/>
        <w:pageBreakBefore w:val="0"/>
        <w:kinsoku/>
        <w:overflowPunct/>
        <w:topLinePunct w:val="0"/>
        <w:bidi w:val="0"/>
        <w:spacing w:line="360" w:lineRule="auto"/>
        <w:rPr>
          <w:rFonts w:hint="eastAsia"/>
          <w:lang w:eastAsia="zh-CN"/>
        </w:rPr>
      </w:pPr>
    </w:p>
    <w:p w14:paraId="35357989">
      <w:pPr>
        <w:pStyle w:val="50"/>
        <w:pageBreakBefore w:val="0"/>
        <w:kinsoku/>
        <w:overflowPunct/>
        <w:topLinePunct w:val="0"/>
        <w:bidi w:val="0"/>
        <w:spacing w:line="360" w:lineRule="auto"/>
        <w:rPr>
          <w:rFonts w:hint="eastAsia"/>
          <w:lang w:eastAsia="zh-CN"/>
        </w:rPr>
      </w:pPr>
    </w:p>
    <w:p w14:paraId="2BD9B947">
      <w:pPr>
        <w:pStyle w:val="50"/>
        <w:pageBreakBefore w:val="0"/>
        <w:kinsoku/>
        <w:overflowPunct/>
        <w:topLinePunct w:val="0"/>
        <w:bidi w:val="0"/>
        <w:spacing w:line="360" w:lineRule="auto"/>
        <w:ind w:left="0" w:leftChars="0" w:firstLine="0" w:firstLineChars="0"/>
        <w:rPr>
          <w:rFonts w:hint="eastAsia"/>
          <w:lang w:eastAsia="zh-CN"/>
        </w:rPr>
      </w:pPr>
    </w:p>
    <w:p w14:paraId="44BCF7FB">
      <w:pPr>
        <w:pageBreakBefore w:val="0"/>
        <w:kinsoku/>
        <w:overflowPunct/>
        <w:topLinePunct w:val="0"/>
        <w:bidi w:val="0"/>
        <w:spacing w:before="156" w:line="360" w:lineRule="auto"/>
        <w:ind w:firstLine="420" w:firstLineChars="200"/>
        <w:rPr>
          <w:rFonts w:hint="eastAsia" w:ascii="Times New Roman" w:hAnsi="Times New Roman" w:eastAsia="宋体"/>
          <w:color w:val="000000"/>
          <w:szCs w:val="21"/>
          <w:shd w:val="clear" w:color="auto" w:fill="FFFFFF"/>
          <w:lang w:eastAsia="zh-CN"/>
        </w:rPr>
      </w:pPr>
    </w:p>
    <w:p w14:paraId="138B04B1">
      <w:pPr>
        <w:pageBreakBefore w:val="0"/>
        <w:kinsoku/>
        <w:overflowPunct/>
        <w:topLinePunct w:val="0"/>
        <w:bidi w:val="0"/>
        <w:spacing w:before="156" w:line="360" w:lineRule="auto"/>
        <w:ind w:firstLine="2100" w:firstLineChars="1000"/>
        <w:rPr>
          <w:rFonts w:ascii="Times New Roman" w:hAnsi="Times New Roman"/>
          <w:color w:val="000000"/>
          <w:szCs w:val="21"/>
        </w:rPr>
      </w:pPr>
      <w:r>
        <w:rPr>
          <w:rFonts w:hint="eastAsia" w:ascii="Times New Roman" w:hAnsi="Times New Roman"/>
          <w:color w:val="000000"/>
          <w:szCs w:val="21"/>
        </w:rPr>
        <w:t>投标人（加盖公章）：</w:t>
      </w:r>
      <w:r>
        <w:rPr>
          <w:rFonts w:ascii="Times New Roman" w:hAnsi="Times New Roman"/>
          <w:color w:val="000000"/>
          <w:szCs w:val="21"/>
          <w:u w:val="single"/>
        </w:rPr>
        <w:t xml:space="preserve">                        </w:t>
      </w:r>
    </w:p>
    <w:p w14:paraId="4EC9B94F">
      <w:pPr>
        <w:pageBreakBefore w:val="0"/>
        <w:kinsoku/>
        <w:overflowPunct/>
        <w:topLinePunct w:val="0"/>
        <w:bidi w:val="0"/>
        <w:spacing w:before="156" w:line="360" w:lineRule="auto"/>
        <w:ind w:firstLine="2100" w:firstLineChars="1000"/>
        <w:rPr>
          <w:rFonts w:ascii="Times New Roman" w:hAnsi="Times New Roman"/>
          <w:color w:val="000000"/>
          <w:szCs w:val="21"/>
        </w:rPr>
      </w:pPr>
      <w:r>
        <w:rPr>
          <w:rFonts w:hint="eastAsia" w:ascii="Times New Roman" w:hAnsi="Times New Roman"/>
          <w:color w:val="000000"/>
          <w:szCs w:val="21"/>
        </w:rPr>
        <w:t>法定代表人或被授权人签字（或盖章）：</w:t>
      </w:r>
      <w:r>
        <w:rPr>
          <w:rFonts w:ascii="Times New Roman" w:hAnsi="Times New Roman"/>
          <w:color w:val="000000"/>
          <w:szCs w:val="21"/>
          <w:u w:val="single"/>
        </w:rPr>
        <w:t xml:space="preserve">                    </w:t>
      </w:r>
    </w:p>
    <w:p w14:paraId="009314D0">
      <w:pPr>
        <w:pageBreakBefore w:val="0"/>
        <w:kinsoku/>
        <w:overflowPunct/>
        <w:topLinePunct w:val="0"/>
        <w:bidi w:val="0"/>
        <w:spacing w:before="156" w:line="360" w:lineRule="auto"/>
        <w:ind w:firstLine="4305" w:firstLineChars="2050"/>
        <w:rPr>
          <w:rFonts w:hint="eastAsia" w:ascii="Times New Roman" w:hAnsi="Times New Roman"/>
          <w:color w:val="000000"/>
          <w:szCs w:val="21"/>
        </w:rPr>
      </w:pPr>
      <w:r>
        <w:rPr>
          <w:rFonts w:hint="eastAsia" w:ascii="Times New Roman" w:hAnsi="Times New Roman"/>
          <w:color w:val="000000"/>
          <w:szCs w:val="21"/>
        </w:rPr>
        <w:t>日</w:t>
      </w:r>
      <w:r>
        <w:rPr>
          <w:rFonts w:ascii="Times New Roman" w:hAnsi="Times New Roman"/>
          <w:color w:val="000000"/>
          <w:szCs w:val="21"/>
        </w:rPr>
        <w:t xml:space="preserve">    </w:t>
      </w:r>
      <w:r>
        <w:rPr>
          <w:rFonts w:hint="eastAsia" w:ascii="Times New Roman" w:hAnsi="Times New Roman"/>
          <w:color w:val="000000"/>
          <w:szCs w:val="21"/>
        </w:rPr>
        <w:t>期：</w:t>
      </w:r>
      <w:r>
        <w:rPr>
          <w:rFonts w:ascii="Times New Roman" w:hAnsi="Times New Roman"/>
          <w:color w:val="000000"/>
          <w:szCs w:val="21"/>
          <w:u w:val="single"/>
        </w:rPr>
        <w:t xml:space="preserve">     </w:t>
      </w:r>
      <w:r>
        <w:rPr>
          <w:rFonts w:hint="eastAsia" w:ascii="Times New Roman" w:hAnsi="Times New Roman"/>
          <w:color w:val="000000"/>
          <w:szCs w:val="21"/>
        </w:rPr>
        <w:t>年</w:t>
      </w:r>
      <w:r>
        <w:rPr>
          <w:rFonts w:ascii="Times New Roman" w:hAnsi="Times New Roman"/>
          <w:color w:val="000000"/>
          <w:szCs w:val="21"/>
          <w:u w:val="single"/>
        </w:rPr>
        <w:t xml:space="preserve">    </w:t>
      </w:r>
      <w:r>
        <w:rPr>
          <w:rFonts w:hint="eastAsia" w:ascii="Times New Roman" w:hAnsi="Times New Roman"/>
          <w:color w:val="000000"/>
          <w:szCs w:val="21"/>
        </w:rPr>
        <w:t>月</w:t>
      </w:r>
      <w:r>
        <w:rPr>
          <w:rFonts w:ascii="Times New Roman" w:hAnsi="Times New Roman"/>
          <w:color w:val="000000"/>
          <w:szCs w:val="21"/>
          <w:u w:val="single"/>
        </w:rPr>
        <w:t xml:space="preserve">    </w:t>
      </w:r>
      <w:r>
        <w:rPr>
          <w:rFonts w:hint="eastAsia" w:ascii="Times New Roman" w:hAnsi="Times New Roman"/>
          <w:color w:val="000000"/>
          <w:szCs w:val="21"/>
        </w:rPr>
        <w:t>日</w:t>
      </w:r>
    </w:p>
    <w:p w14:paraId="761C51EE">
      <w:pPr>
        <w:pStyle w:val="303"/>
        <w:pageBreakBefore w:val="0"/>
        <w:kinsoku/>
        <w:overflowPunct/>
        <w:topLinePunct w:val="0"/>
        <w:bidi w:val="0"/>
        <w:spacing w:before="156" w:line="360" w:lineRule="auto"/>
        <w:ind w:firstLine="422"/>
        <w:jc w:val="center"/>
        <w:rPr>
          <w:rFonts w:hint="eastAsia" w:hAnsi="宋体" w:eastAsia="宋体"/>
          <w:b/>
          <w:sz w:val="21"/>
          <w:szCs w:val="21"/>
          <w:lang w:eastAsia="zh-CN"/>
        </w:rPr>
      </w:pPr>
      <w:r>
        <w:rPr>
          <w:rFonts w:hint="eastAsia" w:hAnsi="宋体" w:eastAsia="宋体"/>
          <w:b/>
          <w:sz w:val="21"/>
          <w:szCs w:val="21"/>
        </w:rPr>
        <w:t>开标一览表</w:t>
      </w:r>
      <w:r>
        <w:rPr>
          <w:rFonts w:hint="eastAsia" w:hAnsi="宋体" w:eastAsia="宋体"/>
          <w:b/>
          <w:sz w:val="21"/>
          <w:szCs w:val="21"/>
          <w:lang w:eastAsia="zh-CN"/>
        </w:rPr>
        <w:t>（</w:t>
      </w:r>
      <w:r>
        <w:rPr>
          <w:rFonts w:hint="eastAsia" w:hAnsi="宋体" w:eastAsia="宋体"/>
          <w:b/>
          <w:sz w:val="21"/>
          <w:szCs w:val="21"/>
          <w:lang w:val="en-US" w:eastAsia="zh-CN"/>
        </w:rPr>
        <w:t>标项2</w:t>
      </w:r>
      <w:r>
        <w:rPr>
          <w:rFonts w:hint="eastAsia" w:hAnsi="宋体" w:eastAsia="宋体"/>
          <w:b/>
          <w:sz w:val="21"/>
          <w:szCs w:val="21"/>
          <w:lang w:eastAsia="zh-CN"/>
        </w:rPr>
        <w:t>）</w:t>
      </w:r>
    </w:p>
    <w:p w14:paraId="3C6826BE">
      <w:pPr>
        <w:pageBreakBefore w:val="0"/>
        <w:kinsoku/>
        <w:overflowPunct/>
        <w:topLinePunct w:val="0"/>
        <w:bidi w:val="0"/>
        <w:snapToGrid w:val="0"/>
        <w:spacing w:before="156" w:after="50" w:line="360" w:lineRule="auto"/>
        <w:rPr>
          <w:rFonts w:ascii="宋体" w:hAnsi="宋体"/>
          <w:szCs w:val="21"/>
          <w:u w:val="single"/>
        </w:rPr>
      </w:pPr>
      <w:r>
        <w:rPr>
          <w:rFonts w:hint="eastAsia" w:ascii="宋体" w:hAnsi="宋体"/>
          <w:szCs w:val="21"/>
        </w:rPr>
        <w:t>项目编号：</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p>
    <w:p w14:paraId="5CB90BC6">
      <w:pPr>
        <w:pageBreakBefore w:val="0"/>
        <w:kinsoku/>
        <w:overflowPunct/>
        <w:topLinePunct w:val="0"/>
        <w:bidi w:val="0"/>
        <w:snapToGrid w:val="0"/>
        <w:spacing w:before="156" w:after="80" w:line="360" w:lineRule="auto"/>
        <w:rPr>
          <w:rFonts w:ascii="宋体" w:hAnsi="宋体"/>
          <w:szCs w:val="21"/>
          <w:u w:val="single"/>
        </w:rPr>
      </w:pPr>
      <w:r>
        <w:rPr>
          <w:rFonts w:hint="eastAsia" w:ascii="宋体" w:hAnsi="宋体"/>
          <w:szCs w:val="21"/>
        </w:rPr>
        <w:t>项目名称：</w:t>
      </w:r>
      <w:r>
        <w:rPr>
          <w:rFonts w:hint="eastAsia" w:ascii="宋体" w:hAnsi="宋体"/>
          <w:szCs w:val="21"/>
          <w:u w:val="single"/>
        </w:rPr>
        <w:t xml:space="preserve">                     </w:t>
      </w:r>
      <w:r>
        <w:rPr>
          <w:rFonts w:hint="eastAsia" w:ascii="宋体" w:hAnsi="宋体"/>
          <w:szCs w:val="21"/>
        </w:rPr>
        <w:t xml:space="preserve">                                标段：</w:t>
      </w:r>
      <w:r>
        <w:rPr>
          <w:rFonts w:hint="eastAsia" w:ascii="宋体" w:hAnsi="宋体"/>
          <w:szCs w:val="21"/>
          <w:u w:val="single"/>
        </w:rPr>
        <w:t xml:space="preserve"> </w:t>
      </w:r>
      <w:r>
        <w:rPr>
          <w:rFonts w:hint="eastAsia" w:ascii="宋体" w:hAnsi="宋体"/>
          <w:szCs w:val="21"/>
          <w:u w:val="single"/>
          <w:lang w:val="en-US" w:eastAsia="zh-CN"/>
        </w:rPr>
        <w:t>第二标段</w:t>
      </w:r>
      <w:r>
        <w:rPr>
          <w:rFonts w:hint="eastAsia" w:ascii="宋体" w:hAnsi="宋体"/>
          <w:szCs w:val="21"/>
          <w:u w:val="single"/>
        </w:rPr>
        <w:t xml:space="preserve"> </w:t>
      </w:r>
    </w:p>
    <w:tbl>
      <w:tblPr>
        <w:tblStyle w:val="52"/>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936"/>
        <w:gridCol w:w="2693"/>
        <w:gridCol w:w="1808"/>
      </w:tblGrid>
      <w:tr w14:paraId="3FE037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3936" w:type="dxa"/>
            <w:vAlign w:val="center"/>
          </w:tcPr>
          <w:p w14:paraId="138751A3">
            <w:pPr>
              <w:pStyle w:val="50"/>
              <w:pageBreakBefore w:val="0"/>
              <w:kinsoku/>
              <w:overflowPunct/>
              <w:topLinePunct w:val="0"/>
              <w:bidi w:val="0"/>
              <w:spacing w:after="0" w:line="360" w:lineRule="auto"/>
              <w:ind w:left="0" w:leftChars="0" w:firstLine="0" w:firstLineChars="0"/>
              <w:jc w:val="center"/>
              <w:rPr>
                <w:rFonts w:hint="default" w:eastAsiaTheme="minorEastAsia"/>
                <w:szCs w:val="21"/>
                <w:lang w:val="en-US" w:eastAsia="zh-CN"/>
              </w:rPr>
            </w:pPr>
            <w:r>
              <w:rPr>
                <w:rFonts w:hint="eastAsia"/>
                <w:szCs w:val="21"/>
                <w:lang w:val="en-US" w:eastAsia="zh-CN"/>
              </w:rPr>
              <w:t>工程名称</w:t>
            </w:r>
          </w:p>
        </w:tc>
        <w:tc>
          <w:tcPr>
            <w:tcW w:w="2693" w:type="dxa"/>
            <w:vAlign w:val="center"/>
          </w:tcPr>
          <w:p w14:paraId="07AD9CFB">
            <w:pPr>
              <w:pStyle w:val="50"/>
              <w:pageBreakBefore w:val="0"/>
              <w:kinsoku/>
              <w:overflowPunct/>
              <w:topLinePunct w:val="0"/>
              <w:bidi w:val="0"/>
              <w:spacing w:after="0" w:line="360" w:lineRule="auto"/>
              <w:ind w:left="0" w:leftChars="0" w:firstLine="0" w:firstLineChars="0"/>
              <w:jc w:val="center"/>
              <w:rPr>
                <w:rFonts w:hint="eastAsia" w:eastAsiaTheme="minorEastAsia"/>
                <w:szCs w:val="21"/>
                <w:lang w:eastAsia="zh-CN"/>
              </w:rPr>
            </w:pPr>
            <w:r>
              <w:rPr>
                <w:rFonts w:hint="eastAsia"/>
                <w:szCs w:val="21"/>
              </w:rPr>
              <w:t>投标</w:t>
            </w:r>
            <w:r>
              <w:rPr>
                <w:rFonts w:hint="eastAsia"/>
                <w:szCs w:val="21"/>
                <w:lang w:val="en-US" w:eastAsia="zh-CN"/>
              </w:rPr>
              <w:t>报价总价（元）</w:t>
            </w:r>
          </w:p>
        </w:tc>
        <w:tc>
          <w:tcPr>
            <w:tcW w:w="1808" w:type="dxa"/>
            <w:vAlign w:val="center"/>
          </w:tcPr>
          <w:p w14:paraId="5AA9A1AA">
            <w:pPr>
              <w:pStyle w:val="50"/>
              <w:pageBreakBefore w:val="0"/>
              <w:kinsoku/>
              <w:overflowPunct/>
              <w:topLinePunct w:val="0"/>
              <w:bidi w:val="0"/>
              <w:spacing w:after="0" w:line="360" w:lineRule="auto"/>
              <w:ind w:left="0" w:leftChars="0" w:firstLine="0" w:firstLineChars="0"/>
              <w:jc w:val="center"/>
              <w:rPr>
                <w:szCs w:val="21"/>
              </w:rPr>
            </w:pPr>
            <w:r>
              <w:rPr>
                <w:rFonts w:hint="eastAsia"/>
                <w:szCs w:val="21"/>
              </w:rPr>
              <w:t>备注</w:t>
            </w:r>
          </w:p>
        </w:tc>
      </w:tr>
      <w:tr w14:paraId="664B53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85" w:hRule="atLeast"/>
        </w:trPr>
        <w:tc>
          <w:tcPr>
            <w:tcW w:w="3936" w:type="dxa"/>
            <w:vAlign w:val="center"/>
          </w:tcPr>
          <w:p w14:paraId="093D4C5A">
            <w:pPr>
              <w:pageBreakBefore w:val="0"/>
              <w:widowControl/>
              <w:kinsoku/>
              <w:overflowPunct/>
              <w:topLinePunct w:val="0"/>
              <w:bidi w:val="0"/>
              <w:spacing w:line="360" w:lineRule="auto"/>
              <w:outlineLvl w:val="1"/>
              <w:rPr>
                <w:rFonts w:hint="eastAsia"/>
                <w:szCs w:val="21"/>
              </w:rPr>
            </w:pPr>
            <w:r>
              <w:rPr>
                <w:rFonts w:hint="eastAsia" w:ascii="宋体" w:hAnsi="Courier New" w:eastAsiaTheme="minorEastAsia" w:cstheme="minorBidi"/>
                <w:spacing w:val="-4"/>
                <w:kern w:val="2"/>
                <w:sz w:val="21"/>
                <w:szCs w:val="21"/>
                <w:lang w:val="en-US" w:eastAsia="zh-CN" w:bidi="ar-SA"/>
              </w:rPr>
              <w:t>2026年秀洲区县道及以上公路小修及应急抢险项目</w:t>
            </w:r>
          </w:p>
        </w:tc>
        <w:tc>
          <w:tcPr>
            <w:tcW w:w="2693" w:type="dxa"/>
            <w:vAlign w:val="center"/>
          </w:tcPr>
          <w:p w14:paraId="4F93AF27">
            <w:pPr>
              <w:pStyle w:val="50"/>
              <w:pageBreakBefore w:val="0"/>
              <w:kinsoku/>
              <w:overflowPunct/>
              <w:topLinePunct w:val="0"/>
              <w:bidi w:val="0"/>
              <w:spacing w:after="0" w:line="360" w:lineRule="auto"/>
              <w:ind w:left="0" w:leftChars="0" w:firstLine="0" w:firstLineChars="0"/>
              <w:jc w:val="center"/>
              <w:rPr>
                <w:rFonts w:hint="eastAsia"/>
                <w:szCs w:val="21"/>
              </w:rPr>
            </w:pPr>
          </w:p>
        </w:tc>
        <w:tc>
          <w:tcPr>
            <w:tcW w:w="1808" w:type="dxa"/>
            <w:vAlign w:val="center"/>
          </w:tcPr>
          <w:p w14:paraId="18A7F691">
            <w:pPr>
              <w:pStyle w:val="50"/>
              <w:pageBreakBefore w:val="0"/>
              <w:kinsoku/>
              <w:overflowPunct/>
              <w:topLinePunct w:val="0"/>
              <w:bidi w:val="0"/>
              <w:spacing w:after="0" w:line="360" w:lineRule="auto"/>
              <w:ind w:left="0" w:leftChars="0" w:firstLine="0" w:firstLineChars="0"/>
              <w:jc w:val="center"/>
              <w:rPr>
                <w:rFonts w:hint="eastAsia"/>
                <w:szCs w:val="21"/>
              </w:rPr>
            </w:pPr>
          </w:p>
        </w:tc>
      </w:tr>
    </w:tbl>
    <w:p w14:paraId="3702C598">
      <w:pPr>
        <w:pageBreakBefore w:val="0"/>
        <w:kinsoku/>
        <w:overflowPunct/>
        <w:topLinePunct w:val="0"/>
        <w:autoSpaceDE w:val="0"/>
        <w:autoSpaceDN w:val="0"/>
        <w:bidi w:val="0"/>
        <w:adjustRightInd w:val="0"/>
        <w:spacing w:before="120" w:line="360" w:lineRule="auto"/>
        <w:jc w:val="left"/>
        <w:rPr>
          <w:rFonts w:hint="eastAsia" w:ascii="宋体" w:hAnsi="宋体" w:cs="宋体"/>
          <w:kern w:val="0"/>
          <w:szCs w:val="21"/>
        </w:rPr>
      </w:pPr>
      <w:r>
        <w:rPr>
          <w:rFonts w:hint="eastAsia" w:ascii="宋体" w:hAnsi="宋体" w:cs="宋体"/>
          <w:kern w:val="0"/>
          <w:szCs w:val="21"/>
        </w:rPr>
        <w:t>注： 1、报价一经涂改，应在涂改处加盖单位公章或者由法定代表人或被授权人签字（或盖章），否则其投标作无效标处理；</w:t>
      </w:r>
    </w:p>
    <w:p w14:paraId="3CB53E94">
      <w:pPr>
        <w:pageBreakBefore w:val="0"/>
        <w:numPr>
          <w:ilvl w:val="0"/>
          <w:numId w:val="16"/>
        </w:numPr>
        <w:kinsoku/>
        <w:overflowPunct/>
        <w:topLinePunct w:val="0"/>
        <w:autoSpaceDE w:val="0"/>
        <w:autoSpaceDN w:val="0"/>
        <w:bidi w:val="0"/>
        <w:adjustRightInd w:val="0"/>
        <w:spacing w:before="120" w:line="360" w:lineRule="auto"/>
        <w:ind w:left="0" w:leftChars="0" w:firstLine="420" w:firstLineChars="200"/>
        <w:jc w:val="left"/>
        <w:rPr>
          <w:rFonts w:hint="eastAsia" w:ascii="宋体" w:hAnsi="宋体" w:cs="宋体"/>
          <w:kern w:val="0"/>
          <w:szCs w:val="21"/>
          <w:lang w:val="en-US" w:eastAsia="zh-CN"/>
        </w:rPr>
      </w:pPr>
      <w:r>
        <w:rPr>
          <w:rFonts w:hint="eastAsia" w:ascii="宋体" w:hAnsi="宋体" w:cs="宋体"/>
          <w:kern w:val="0"/>
          <w:szCs w:val="21"/>
          <w:lang w:val="en-US" w:eastAsia="zh-CN"/>
        </w:rPr>
        <w:t>以上投标报价总价应与各标段的“报价明细表”中的“投标总报价”相一致。</w:t>
      </w:r>
    </w:p>
    <w:p w14:paraId="35CC107F">
      <w:pPr>
        <w:pageBreakBefore w:val="0"/>
        <w:kinsoku/>
        <w:overflowPunct/>
        <w:topLinePunct w:val="0"/>
        <w:bidi w:val="0"/>
        <w:spacing w:before="156" w:line="360" w:lineRule="auto"/>
        <w:ind w:firstLine="2100" w:firstLineChars="1000"/>
        <w:rPr>
          <w:rFonts w:hint="eastAsia" w:ascii="Times New Roman" w:hAnsi="Times New Roman"/>
          <w:color w:val="000000"/>
          <w:szCs w:val="21"/>
        </w:rPr>
      </w:pPr>
    </w:p>
    <w:p w14:paraId="607BAAAF">
      <w:pPr>
        <w:pageBreakBefore w:val="0"/>
        <w:kinsoku/>
        <w:overflowPunct/>
        <w:topLinePunct w:val="0"/>
        <w:bidi w:val="0"/>
        <w:spacing w:before="156" w:line="360" w:lineRule="auto"/>
        <w:ind w:firstLine="2100" w:firstLineChars="1000"/>
        <w:rPr>
          <w:rFonts w:hint="eastAsia" w:ascii="Times New Roman" w:hAnsi="Times New Roman"/>
          <w:color w:val="000000"/>
          <w:szCs w:val="21"/>
        </w:rPr>
      </w:pPr>
    </w:p>
    <w:p w14:paraId="64D48568">
      <w:pPr>
        <w:pageBreakBefore w:val="0"/>
        <w:kinsoku/>
        <w:overflowPunct/>
        <w:topLinePunct w:val="0"/>
        <w:bidi w:val="0"/>
        <w:spacing w:before="156" w:line="360" w:lineRule="auto"/>
        <w:ind w:firstLine="2100" w:firstLineChars="1000"/>
        <w:rPr>
          <w:rFonts w:hint="eastAsia" w:ascii="Times New Roman" w:hAnsi="Times New Roman"/>
          <w:color w:val="000000"/>
          <w:szCs w:val="21"/>
        </w:rPr>
      </w:pPr>
    </w:p>
    <w:p w14:paraId="15E5D8C1">
      <w:pPr>
        <w:pageBreakBefore w:val="0"/>
        <w:kinsoku/>
        <w:overflowPunct/>
        <w:topLinePunct w:val="0"/>
        <w:bidi w:val="0"/>
        <w:spacing w:before="156" w:line="360" w:lineRule="auto"/>
        <w:ind w:firstLine="2100" w:firstLineChars="1000"/>
        <w:rPr>
          <w:rFonts w:hint="eastAsia" w:ascii="Times New Roman" w:hAnsi="Times New Roman"/>
          <w:color w:val="000000"/>
          <w:szCs w:val="21"/>
        </w:rPr>
      </w:pPr>
    </w:p>
    <w:p w14:paraId="087623B0">
      <w:pPr>
        <w:pageBreakBefore w:val="0"/>
        <w:kinsoku/>
        <w:overflowPunct/>
        <w:topLinePunct w:val="0"/>
        <w:bidi w:val="0"/>
        <w:spacing w:before="156" w:line="360" w:lineRule="auto"/>
        <w:ind w:firstLine="2100" w:firstLineChars="1000"/>
        <w:rPr>
          <w:rFonts w:hint="eastAsia" w:ascii="Times New Roman" w:hAnsi="Times New Roman"/>
          <w:color w:val="000000"/>
          <w:szCs w:val="21"/>
        </w:rPr>
      </w:pPr>
    </w:p>
    <w:p w14:paraId="59E6AF34">
      <w:pPr>
        <w:pageBreakBefore w:val="0"/>
        <w:kinsoku/>
        <w:overflowPunct/>
        <w:topLinePunct w:val="0"/>
        <w:bidi w:val="0"/>
        <w:spacing w:before="156" w:line="360" w:lineRule="auto"/>
        <w:ind w:firstLine="2100" w:firstLineChars="1000"/>
        <w:rPr>
          <w:rFonts w:hint="eastAsia" w:ascii="Times New Roman" w:hAnsi="Times New Roman"/>
          <w:color w:val="000000"/>
          <w:szCs w:val="21"/>
        </w:rPr>
      </w:pPr>
    </w:p>
    <w:p w14:paraId="2E958C73">
      <w:pPr>
        <w:pageBreakBefore w:val="0"/>
        <w:kinsoku/>
        <w:overflowPunct/>
        <w:topLinePunct w:val="0"/>
        <w:bidi w:val="0"/>
        <w:spacing w:before="156" w:line="360" w:lineRule="auto"/>
        <w:ind w:firstLine="2100" w:firstLineChars="1000"/>
        <w:rPr>
          <w:rFonts w:hint="eastAsia" w:ascii="Times New Roman" w:hAnsi="Times New Roman"/>
          <w:color w:val="000000"/>
          <w:szCs w:val="21"/>
        </w:rPr>
      </w:pPr>
    </w:p>
    <w:p w14:paraId="11785CEA">
      <w:pPr>
        <w:pageBreakBefore w:val="0"/>
        <w:kinsoku/>
        <w:overflowPunct/>
        <w:topLinePunct w:val="0"/>
        <w:bidi w:val="0"/>
        <w:spacing w:before="156" w:line="360" w:lineRule="auto"/>
        <w:ind w:firstLine="2100" w:firstLineChars="1000"/>
        <w:rPr>
          <w:rFonts w:hint="eastAsia" w:ascii="Times New Roman" w:hAnsi="Times New Roman"/>
          <w:color w:val="000000"/>
          <w:szCs w:val="21"/>
        </w:rPr>
      </w:pPr>
    </w:p>
    <w:p w14:paraId="0BDEB2BC">
      <w:pPr>
        <w:pageBreakBefore w:val="0"/>
        <w:kinsoku/>
        <w:overflowPunct/>
        <w:topLinePunct w:val="0"/>
        <w:bidi w:val="0"/>
        <w:spacing w:before="156" w:line="360" w:lineRule="auto"/>
        <w:ind w:firstLine="2100" w:firstLineChars="1000"/>
        <w:rPr>
          <w:rFonts w:hint="eastAsia" w:ascii="Times New Roman" w:hAnsi="Times New Roman"/>
          <w:color w:val="000000"/>
          <w:szCs w:val="21"/>
        </w:rPr>
      </w:pPr>
    </w:p>
    <w:p w14:paraId="0970F7FF">
      <w:pPr>
        <w:pageBreakBefore w:val="0"/>
        <w:kinsoku/>
        <w:overflowPunct/>
        <w:topLinePunct w:val="0"/>
        <w:bidi w:val="0"/>
        <w:spacing w:before="156" w:line="360" w:lineRule="auto"/>
        <w:ind w:firstLine="2100" w:firstLineChars="1000"/>
        <w:rPr>
          <w:rFonts w:ascii="Times New Roman" w:hAnsi="Times New Roman"/>
          <w:color w:val="000000"/>
          <w:szCs w:val="21"/>
        </w:rPr>
      </w:pPr>
      <w:r>
        <w:rPr>
          <w:rFonts w:hint="eastAsia" w:ascii="Times New Roman" w:hAnsi="Times New Roman"/>
          <w:color w:val="000000"/>
          <w:szCs w:val="21"/>
        </w:rPr>
        <w:t>投标人（加盖公章）：</w:t>
      </w:r>
      <w:r>
        <w:rPr>
          <w:rFonts w:ascii="Times New Roman" w:hAnsi="Times New Roman"/>
          <w:color w:val="000000"/>
          <w:szCs w:val="21"/>
          <w:u w:val="single"/>
        </w:rPr>
        <w:t xml:space="preserve">                        </w:t>
      </w:r>
    </w:p>
    <w:p w14:paraId="4EA4DF23">
      <w:pPr>
        <w:pageBreakBefore w:val="0"/>
        <w:kinsoku/>
        <w:overflowPunct/>
        <w:topLinePunct w:val="0"/>
        <w:bidi w:val="0"/>
        <w:spacing w:before="156" w:line="360" w:lineRule="auto"/>
        <w:ind w:firstLine="2100" w:firstLineChars="1000"/>
        <w:rPr>
          <w:rFonts w:ascii="Times New Roman" w:hAnsi="Times New Roman"/>
          <w:color w:val="000000"/>
          <w:szCs w:val="21"/>
        </w:rPr>
      </w:pPr>
      <w:r>
        <w:rPr>
          <w:rFonts w:hint="eastAsia" w:ascii="Times New Roman" w:hAnsi="Times New Roman"/>
          <w:color w:val="000000"/>
          <w:szCs w:val="21"/>
        </w:rPr>
        <w:t>法定代表人或被授权人签字（或盖章）：</w:t>
      </w:r>
      <w:r>
        <w:rPr>
          <w:rFonts w:ascii="Times New Roman" w:hAnsi="Times New Roman"/>
          <w:color w:val="000000"/>
          <w:szCs w:val="21"/>
          <w:u w:val="single"/>
        </w:rPr>
        <w:t xml:space="preserve">                    </w:t>
      </w:r>
    </w:p>
    <w:p w14:paraId="2BC81B0C">
      <w:pPr>
        <w:pageBreakBefore w:val="0"/>
        <w:kinsoku/>
        <w:overflowPunct/>
        <w:topLinePunct w:val="0"/>
        <w:bidi w:val="0"/>
        <w:spacing w:before="156" w:line="360" w:lineRule="auto"/>
        <w:ind w:firstLine="4305" w:firstLineChars="2050"/>
        <w:rPr>
          <w:rFonts w:hint="eastAsia" w:ascii="Times New Roman" w:hAnsi="Times New Roman"/>
          <w:color w:val="000000"/>
          <w:szCs w:val="21"/>
        </w:rPr>
      </w:pPr>
      <w:r>
        <w:rPr>
          <w:rFonts w:hint="eastAsia" w:ascii="Times New Roman" w:hAnsi="Times New Roman"/>
          <w:color w:val="000000"/>
          <w:szCs w:val="21"/>
        </w:rPr>
        <w:t>日</w:t>
      </w:r>
      <w:r>
        <w:rPr>
          <w:rFonts w:ascii="Times New Roman" w:hAnsi="Times New Roman"/>
          <w:color w:val="000000"/>
          <w:szCs w:val="21"/>
        </w:rPr>
        <w:t xml:space="preserve">    </w:t>
      </w:r>
      <w:r>
        <w:rPr>
          <w:rFonts w:hint="eastAsia" w:ascii="Times New Roman" w:hAnsi="Times New Roman"/>
          <w:color w:val="000000"/>
          <w:szCs w:val="21"/>
        </w:rPr>
        <w:t>期：</w:t>
      </w:r>
      <w:r>
        <w:rPr>
          <w:rFonts w:ascii="Times New Roman" w:hAnsi="Times New Roman"/>
          <w:color w:val="000000"/>
          <w:szCs w:val="21"/>
          <w:u w:val="single"/>
        </w:rPr>
        <w:t xml:space="preserve">     </w:t>
      </w:r>
      <w:r>
        <w:rPr>
          <w:rFonts w:hint="eastAsia" w:ascii="Times New Roman" w:hAnsi="Times New Roman"/>
          <w:color w:val="000000"/>
          <w:szCs w:val="21"/>
        </w:rPr>
        <w:t>年</w:t>
      </w:r>
      <w:r>
        <w:rPr>
          <w:rFonts w:ascii="Times New Roman" w:hAnsi="Times New Roman"/>
          <w:color w:val="000000"/>
          <w:szCs w:val="21"/>
          <w:u w:val="single"/>
        </w:rPr>
        <w:t xml:space="preserve">    </w:t>
      </w:r>
      <w:r>
        <w:rPr>
          <w:rFonts w:hint="eastAsia" w:ascii="Times New Roman" w:hAnsi="Times New Roman"/>
          <w:color w:val="000000"/>
          <w:szCs w:val="21"/>
        </w:rPr>
        <w:t>月</w:t>
      </w:r>
      <w:r>
        <w:rPr>
          <w:rFonts w:ascii="Times New Roman" w:hAnsi="Times New Roman"/>
          <w:color w:val="000000"/>
          <w:szCs w:val="21"/>
          <w:u w:val="single"/>
        </w:rPr>
        <w:t xml:space="preserve">    </w:t>
      </w:r>
      <w:r>
        <w:rPr>
          <w:rFonts w:hint="eastAsia" w:ascii="Times New Roman" w:hAnsi="Times New Roman"/>
          <w:color w:val="000000"/>
          <w:szCs w:val="21"/>
        </w:rPr>
        <w:t>日</w:t>
      </w:r>
    </w:p>
    <w:p w14:paraId="4AE7E1CA">
      <w:pPr>
        <w:pStyle w:val="50"/>
        <w:numPr>
          <w:ilvl w:val="0"/>
          <w:numId w:val="0"/>
        </w:numPr>
        <w:ind w:leftChars="200"/>
        <w:rPr>
          <w:rFonts w:hint="eastAsia"/>
          <w:lang w:val="en-US" w:eastAsia="zh-CN"/>
        </w:rPr>
      </w:pPr>
    </w:p>
    <w:p w14:paraId="2743188E">
      <w:pPr>
        <w:rPr>
          <w:rFonts w:ascii="宋体" w:hAnsi="宋体"/>
          <w:b/>
          <w:sz w:val="24"/>
        </w:rPr>
      </w:pPr>
      <w:r>
        <w:rPr>
          <w:rFonts w:ascii="宋体" w:hAnsi="宋体"/>
          <w:b/>
          <w:sz w:val="24"/>
        </w:rPr>
        <w:br w:type="page"/>
      </w:r>
    </w:p>
    <w:p w14:paraId="604ED385">
      <w:pPr>
        <w:snapToGrid w:val="0"/>
        <w:jc w:val="left"/>
        <w:rPr>
          <w:rFonts w:hint="eastAsia" w:ascii="宋体" w:hAnsi="宋体" w:cs="宋体"/>
          <w:b/>
          <w:bCs/>
          <w:sz w:val="24"/>
          <w:szCs w:val="24"/>
          <w:lang w:val="en-US" w:eastAsia="zh-CN"/>
        </w:rPr>
      </w:pPr>
      <w:r>
        <w:rPr>
          <w:rFonts w:ascii="宋体" w:hAnsi="宋体"/>
          <w:b/>
          <w:sz w:val="24"/>
        </w:rPr>
        <w:t>13</w:t>
      </w:r>
      <w:r>
        <w:rPr>
          <w:rFonts w:hint="eastAsia" w:ascii="宋体" w:hAnsi="宋体"/>
          <w:b/>
          <w:sz w:val="24"/>
        </w:rPr>
        <w:t>、投标分项报价表</w:t>
      </w:r>
    </w:p>
    <w:p w14:paraId="75ADDBB2">
      <w:pPr>
        <w:ind w:firstLine="482" w:firstLineChars="200"/>
        <w:rPr>
          <w:rFonts w:hint="eastAsia" w:ascii="宋体" w:hAnsi="宋体" w:cs="宋体"/>
          <w:b/>
          <w:bCs/>
          <w:szCs w:val="21"/>
          <w:lang w:val="en-US" w:eastAsia="zh-CN"/>
        </w:rPr>
      </w:pPr>
      <w:r>
        <w:rPr>
          <w:rFonts w:hint="eastAsia" w:ascii="宋体" w:hAnsi="宋体" w:cs="宋体"/>
          <w:b/>
          <w:bCs/>
          <w:sz w:val="24"/>
          <w:szCs w:val="24"/>
          <w:lang w:val="en-US" w:eastAsia="zh-CN"/>
        </w:rPr>
        <w:t>投标分项报价表（标项1）：</w:t>
      </w:r>
    </w:p>
    <w:p w14:paraId="0676FB8D">
      <w:pPr>
        <w:outlineLvl w:val="0"/>
        <w:rPr>
          <w:rFonts w:hint="eastAsia" w:ascii="宋体" w:hAnsi="宋体"/>
          <w:b/>
          <w:bCs/>
          <w:sz w:val="24"/>
        </w:rPr>
      </w:pPr>
      <w:r>
        <w:rPr>
          <w:rFonts w:hint="eastAsia" w:ascii="宋体" w:hAnsi="宋体"/>
          <w:b/>
          <w:bCs/>
          <w:sz w:val="24"/>
        </w:rPr>
        <w:t>1．工程量清单说明</w:t>
      </w:r>
    </w:p>
    <w:p w14:paraId="390715F3">
      <w:pPr>
        <w:widowControl/>
        <w:numPr>
          <w:ilvl w:val="0"/>
          <w:numId w:val="11"/>
        </w:numPr>
        <w:shd w:val="clear" w:color="FFFFFF" w:fill="FFFFFF"/>
        <w:tabs>
          <w:tab w:val="left" w:pos="360"/>
        </w:tabs>
        <w:spacing w:line="420" w:lineRule="exact"/>
        <w:ind w:firstLine="420" w:firstLineChars="200"/>
        <w:jc w:val="left"/>
        <w:rPr>
          <w:kern w:val="0"/>
          <w:szCs w:val="21"/>
        </w:rPr>
      </w:pPr>
      <w:r>
        <w:rPr>
          <w:rFonts w:eastAsia="黑体"/>
          <w:kern w:val="0"/>
          <w:szCs w:val="21"/>
        </w:rPr>
        <w:t>1.1</w:t>
      </w:r>
      <w:r>
        <w:rPr>
          <w:rFonts w:hint="eastAsia" w:ascii="黑体" w:eastAsia="黑体"/>
          <w:kern w:val="0"/>
          <w:szCs w:val="21"/>
        </w:rPr>
        <w:t xml:space="preserve">  </w:t>
      </w:r>
      <w:r>
        <w:rPr>
          <w:rFonts w:hint="eastAsia" w:ascii="宋体" w:hAnsi="宋体"/>
          <w:kern w:val="0"/>
          <w:szCs w:val="21"/>
        </w:rPr>
        <w:t>本</w:t>
      </w:r>
      <w:r>
        <w:rPr>
          <w:rFonts w:ascii="宋体" w:hAnsi="宋体"/>
          <w:kern w:val="0"/>
          <w:szCs w:val="21"/>
        </w:rPr>
        <w:t>工程量清单</w:t>
      </w:r>
      <w:r>
        <w:rPr>
          <w:rFonts w:hint="eastAsia" w:ascii="宋体" w:hAnsi="宋体"/>
          <w:kern w:val="0"/>
          <w:szCs w:val="21"/>
        </w:rPr>
        <w:t>是根据招标文件中包括的、有合同约束力的图纸以及有关工程量清单的国家标准、地方标准、行业标准、合同条款中约定的工程量计算规则编制；</w:t>
      </w:r>
      <w:r>
        <w:rPr>
          <w:rFonts w:hAnsi="宋体"/>
          <w:kern w:val="0"/>
          <w:szCs w:val="21"/>
        </w:rPr>
        <w:t>依据浙江省《交通养护工程工程量清单计价规范》（</w:t>
      </w:r>
      <w:r>
        <w:rPr>
          <w:kern w:val="0"/>
          <w:szCs w:val="21"/>
        </w:rPr>
        <w:t>DB33/T751-2009</w:t>
      </w:r>
      <w:r>
        <w:rPr>
          <w:rFonts w:hAnsi="宋体"/>
          <w:kern w:val="0"/>
          <w:szCs w:val="21"/>
        </w:rPr>
        <w:t>）</w:t>
      </w:r>
      <w:r>
        <w:rPr>
          <w:rFonts w:hAnsi="宋体"/>
          <w:bCs/>
          <w:kern w:val="0"/>
          <w:szCs w:val="21"/>
        </w:rPr>
        <w:t>第一部分</w:t>
      </w:r>
      <w:r>
        <w:rPr>
          <w:rFonts w:hint="eastAsia"/>
          <w:bCs/>
          <w:kern w:val="0"/>
          <w:szCs w:val="21"/>
        </w:rPr>
        <w:t xml:space="preserve"> “</w:t>
      </w:r>
      <w:r>
        <w:rPr>
          <w:rFonts w:hAnsi="宋体"/>
          <w:bCs/>
          <w:kern w:val="0"/>
          <w:szCs w:val="21"/>
        </w:rPr>
        <w:t>公路小修保养工程工程量清单计价规范</w:t>
      </w:r>
      <w:r>
        <w:rPr>
          <w:rFonts w:hint="eastAsia"/>
          <w:bCs/>
          <w:kern w:val="0"/>
          <w:szCs w:val="21"/>
        </w:rPr>
        <w:t>”</w:t>
      </w:r>
      <w:r>
        <w:rPr>
          <w:rFonts w:hAnsi="宋体"/>
          <w:bCs/>
          <w:kern w:val="0"/>
          <w:szCs w:val="21"/>
        </w:rPr>
        <w:t xml:space="preserve"> 中</w:t>
      </w:r>
      <w:r>
        <w:rPr>
          <w:rFonts w:hint="eastAsia" w:hAnsi="宋体"/>
          <w:bCs/>
          <w:kern w:val="0"/>
          <w:szCs w:val="21"/>
        </w:rPr>
        <w:t>的</w:t>
      </w:r>
      <w:r>
        <w:rPr>
          <w:rFonts w:hAnsi="宋体"/>
          <w:kern w:val="0"/>
          <w:szCs w:val="21"/>
        </w:rPr>
        <w:t>工程量清单计价、工程量清单计价格式和计价要求等进行编制</w:t>
      </w:r>
      <w:r>
        <w:rPr>
          <w:rFonts w:hint="eastAsia" w:hAnsi="宋体"/>
          <w:kern w:val="0"/>
          <w:szCs w:val="21"/>
        </w:rPr>
        <w:t>。</w:t>
      </w:r>
    </w:p>
    <w:p w14:paraId="24165AE8">
      <w:pPr>
        <w:spacing w:line="420" w:lineRule="exact"/>
        <w:ind w:firstLine="420" w:firstLineChars="200"/>
        <w:jc w:val="left"/>
        <w:rPr>
          <w:rFonts w:hint="eastAsia"/>
          <w:szCs w:val="21"/>
        </w:rPr>
      </w:pPr>
      <w:r>
        <w:rPr>
          <w:szCs w:val="21"/>
        </w:rPr>
        <w:t>1.2  本工程量清单应与招标文件中的投标人须知、通用合同条款、</w:t>
      </w:r>
      <w:r>
        <w:rPr>
          <w:rFonts w:hint="eastAsia"/>
          <w:szCs w:val="21"/>
        </w:rPr>
        <w:t>项目</w:t>
      </w:r>
      <w:r>
        <w:rPr>
          <w:szCs w:val="21"/>
        </w:rPr>
        <w:t>专用合同条款、技术规范等一起阅读和理解</w:t>
      </w:r>
      <w:r>
        <w:rPr>
          <w:rFonts w:hint="eastAsia"/>
          <w:szCs w:val="21"/>
        </w:rPr>
        <w:t>。</w:t>
      </w:r>
    </w:p>
    <w:p w14:paraId="7DA05047">
      <w:pPr>
        <w:spacing w:line="420" w:lineRule="exact"/>
        <w:ind w:firstLine="420" w:firstLineChars="200"/>
        <w:rPr>
          <w:rFonts w:hint="eastAsia"/>
          <w:szCs w:val="21"/>
        </w:rPr>
      </w:pPr>
      <w:r>
        <w:rPr>
          <w:szCs w:val="21"/>
        </w:rPr>
        <w:t>1.3  本工程量清单中所列</w:t>
      </w:r>
      <w:r>
        <w:rPr>
          <w:rFonts w:hint="eastAsia"/>
          <w:szCs w:val="21"/>
        </w:rPr>
        <w:t>“一类项目”（指工程量清单第1000章中项目名称）</w:t>
      </w:r>
      <w:r>
        <w:rPr>
          <w:szCs w:val="21"/>
        </w:rPr>
        <w:t>工程量是</w:t>
      </w:r>
      <w:r>
        <w:rPr>
          <w:rFonts w:hint="eastAsia"/>
          <w:szCs w:val="21"/>
        </w:rPr>
        <w:t>根据实际情况确定的工程数量；“二类项目”（指工程量清单第100章</w:t>
      </w:r>
      <w:r>
        <w:rPr>
          <w:szCs w:val="21"/>
        </w:rPr>
        <w:t>~</w:t>
      </w:r>
      <w:r>
        <w:rPr>
          <w:rFonts w:hint="eastAsia"/>
          <w:szCs w:val="21"/>
        </w:rPr>
        <w:t>第700章中子目名称）工程量为暂定的工程数量，是</w:t>
      </w:r>
      <w:r>
        <w:rPr>
          <w:szCs w:val="21"/>
        </w:rPr>
        <w:t>估算的或</w:t>
      </w:r>
      <w:r>
        <w:rPr>
          <w:rFonts w:hint="eastAsia"/>
          <w:szCs w:val="21"/>
        </w:rPr>
        <w:t>是</w:t>
      </w:r>
      <w:r>
        <w:rPr>
          <w:szCs w:val="21"/>
        </w:rPr>
        <w:t>预计的数量，仅作为投标报价的共同基础，不能作为最终结算与支付的依据</w:t>
      </w:r>
      <w:r>
        <w:rPr>
          <w:rFonts w:hint="eastAsia"/>
          <w:szCs w:val="21"/>
        </w:rPr>
        <w:t>，</w:t>
      </w:r>
      <w:r>
        <w:rPr>
          <w:szCs w:val="21"/>
        </w:rPr>
        <w:t>实际支付应按</w:t>
      </w:r>
      <w:r>
        <w:rPr>
          <w:rFonts w:hint="eastAsia"/>
          <w:szCs w:val="21"/>
        </w:rPr>
        <w:t>承包人</w:t>
      </w:r>
      <w:r>
        <w:rPr>
          <w:szCs w:val="21"/>
        </w:rPr>
        <w:t>完成的实际工程量，由承包人按技术规范规定的计量方法，以</w:t>
      </w:r>
      <w:r>
        <w:rPr>
          <w:rFonts w:hint="eastAsia"/>
          <w:szCs w:val="21"/>
        </w:rPr>
        <w:t>发包</w:t>
      </w:r>
      <w:r>
        <w:rPr>
          <w:szCs w:val="21"/>
        </w:rPr>
        <w:t>人认可的尺寸、断面计量，按本工程量清单的单价和总额价计算支付金额；或者根据具体情况，按合同条款第15.4款的规定，由</w:t>
      </w:r>
      <w:r>
        <w:rPr>
          <w:rFonts w:hint="eastAsia"/>
          <w:szCs w:val="21"/>
        </w:rPr>
        <w:t>发包</w:t>
      </w:r>
      <w:r>
        <w:rPr>
          <w:szCs w:val="21"/>
        </w:rPr>
        <w:t>人确定的单价或总额价计算支付额。</w:t>
      </w:r>
    </w:p>
    <w:p w14:paraId="0CBA7F51">
      <w:pPr>
        <w:spacing w:line="420" w:lineRule="exact"/>
        <w:ind w:firstLine="420" w:firstLineChars="200"/>
        <w:rPr>
          <w:rFonts w:hint="eastAsia"/>
          <w:szCs w:val="21"/>
        </w:rPr>
      </w:pPr>
      <w:r>
        <w:rPr>
          <w:rFonts w:hint="eastAsia"/>
          <w:szCs w:val="21"/>
        </w:rPr>
        <w:t xml:space="preserve">1.4  </w:t>
      </w:r>
      <w:r>
        <w:rPr>
          <w:szCs w:val="21"/>
        </w:rPr>
        <w:t>工程量清单</w:t>
      </w:r>
      <w:r>
        <w:rPr>
          <w:rFonts w:hint="eastAsia"/>
          <w:szCs w:val="21"/>
        </w:rPr>
        <w:t>各章是按第七章“技术规范”的相应章次编号的，“技术规范” 中计量与支付条款中的“支付子目”里所标注的“相应计价规范子目”栏的子目编号，即与</w:t>
      </w:r>
      <w:r>
        <w:rPr>
          <w:rFonts w:hAnsi="宋体"/>
          <w:szCs w:val="21"/>
        </w:rPr>
        <w:t>《交通养护工程工程量清单计价规范》</w:t>
      </w:r>
      <w:r>
        <w:rPr>
          <w:rFonts w:hAnsi="宋体"/>
          <w:bCs/>
          <w:szCs w:val="21"/>
        </w:rPr>
        <w:t>第一部分中</w:t>
      </w:r>
      <w:r>
        <w:rPr>
          <w:rFonts w:hint="eastAsia"/>
          <w:bCs/>
          <w:szCs w:val="21"/>
        </w:rPr>
        <w:t>“</w:t>
      </w:r>
      <w:r>
        <w:rPr>
          <w:rFonts w:hAnsi="宋体"/>
          <w:bCs/>
          <w:szCs w:val="21"/>
        </w:rPr>
        <w:t>公路小修保养工程工程量清单计价规范</w:t>
      </w:r>
      <w:r>
        <w:rPr>
          <w:rFonts w:hint="eastAsia"/>
          <w:bCs/>
          <w:szCs w:val="21"/>
        </w:rPr>
        <w:t>”</w:t>
      </w:r>
      <w:r>
        <w:rPr>
          <w:rFonts w:hint="eastAsia"/>
          <w:szCs w:val="21"/>
        </w:rPr>
        <w:t>的相应细目号相衔接。因此，工程量清单中各章工程子目的范围与计量等应与“技术规范”及</w:t>
      </w:r>
      <w:r>
        <w:rPr>
          <w:rFonts w:hint="eastAsia"/>
          <w:bCs/>
          <w:szCs w:val="21"/>
        </w:rPr>
        <w:t>“</w:t>
      </w:r>
      <w:r>
        <w:rPr>
          <w:rFonts w:hAnsi="宋体"/>
          <w:bCs/>
          <w:szCs w:val="21"/>
        </w:rPr>
        <w:t>公路小修保养工程工程量清单计价规范</w:t>
      </w:r>
      <w:r>
        <w:rPr>
          <w:rFonts w:hint="eastAsia"/>
          <w:bCs/>
          <w:szCs w:val="21"/>
        </w:rPr>
        <w:t>”</w:t>
      </w:r>
      <w:r>
        <w:rPr>
          <w:rFonts w:hint="eastAsia"/>
          <w:szCs w:val="21"/>
        </w:rPr>
        <w:t>的相应细目的范围、计量与支付条款结合起来理解或解释。</w:t>
      </w:r>
    </w:p>
    <w:p w14:paraId="2E80007B">
      <w:pPr>
        <w:spacing w:line="420" w:lineRule="exact"/>
        <w:ind w:firstLine="420" w:firstLineChars="200"/>
        <w:rPr>
          <w:rFonts w:hint="eastAsia"/>
          <w:szCs w:val="21"/>
        </w:rPr>
      </w:pPr>
      <w:r>
        <w:rPr>
          <w:rFonts w:hint="eastAsia"/>
          <w:szCs w:val="21"/>
        </w:rPr>
        <w:t>1.5  对养护作业和材料的一般说明或规定，未重复写入工程量清单内，在给工程量</w:t>
      </w:r>
      <w:r>
        <w:rPr>
          <w:szCs w:val="21"/>
        </w:rPr>
        <w:t>清单</w:t>
      </w:r>
      <w:r>
        <w:rPr>
          <w:rFonts w:hint="eastAsia"/>
          <w:szCs w:val="21"/>
        </w:rPr>
        <w:t>各子目标价前，应参阅第七章“技术规范”的有关内容。</w:t>
      </w:r>
    </w:p>
    <w:p w14:paraId="784F1088">
      <w:pPr>
        <w:spacing w:line="420" w:lineRule="exact"/>
        <w:ind w:firstLine="420" w:firstLineChars="200"/>
        <w:rPr>
          <w:rFonts w:hint="eastAsia"/>
          <w:szCs w:val="21"/>
        </w:rPr>
      </w:pPr>
      <w:r>
        <w:rPr>
          <w:rFonts w:hint="eastAsia"/>
          <w:szCs w:val="21"/>
        </w:rPr>
        <w:t xml:space="preserve">1.6  </w:t>
      </w:r>
      <w:r>
        <w:rPr>
          <w:szCs w:val="21"/>
        </w:rPr>
        <w:t>工程量清单</w:t>
      </w:r>
      <w:r>
        <w:rPr>
          <w:rFonts w:hint="eastAsia"/>
          <w:szCs w:val="21"/>
        </w:rPr>
        <w:t>中所列工程量的变动，丝毫不会降低或影响合同条款的效力，也不免除承包人按规定的标准进行施工和修复缺陷的责任。</w:t>
      </w:r>
    </w:p>
    <w:p w14:paraId="01448F9E">
      <w:pPr>
        <w:spacing w:line="420" w:lineRule="exact"/>
        <w:ind w:firstLine="420" w:firstLineChars="200"/>
        <w:rPr>
          <w:rFonts w:hint="eastAsia" w:ascii="宋体" w:hAnsi="宋体"/>
          <w:szCs w:val="21"/>
        </w:rPr>
      </w:pPr>
    </w:p>
    <w:p w14:paraId="2EAC2E83">
      <w:pPr>
        <w:outlineLvl w:val="0"/>
        <w:rPr>
          <w:rFonts w:hint="eastAsia" w:ascii="宋体" w:hAnsi="宋体"/>
          <w:b/>
          <w:bCs/>
          <w:sz w:val="24"/>
        </w:rPr>
      </w:pPr>
      <w:r>
        <w:rPr>
          <w:rFonts w:hint="eastAsia" w:ascii="宋体" w:hAnsi="宋体"/>
          <w:b/>
          <w:bCs/>
          <w:sz w:val="24"/>
        </w:rPr>
        <w:t>2．投标报价说明</w:t>
      </w:r>
    </w:p>
    <w:p w14:paraId="54C74B26">
      <w:pPr>
        <w:spacing w:line="420" w:lineRule="exact"/>
        <w:ind w:firstLine="420" w:firstLineChars="200"/>
        <w:rPr>
          <w:rFonts w:hint="eastAsia" w:ascii="宋体" w:hAnsi="宋体"/>
          <w:szCs w:val="21"/>
        </w:rPr>
      </w:pPr>
      <w:r>
        <w:rPr>
          <w:rFonts w:hint="eastAsia" w:ascii="宋体" w:hAnsi="宋体"/>
          <w:szCs w:val="21"/>
        </w:rPr>
        <w:t>2.1  工程量清单中的每一子目须填入单价或价格，且只允许有一个报价。</w:t>
      </w:r>
    </w:p>
    <w:p w14:paraId="575D7589">
      <w:pPr>
        <w:spacing w:line="420" w:lineRule="exact"/>
        <w:ind w:firstLine="420" w:firstLineChars="200"/>
        <w:rPr>
          <w:rFonts w:hint="eastAsia" w:ascii="宋体" w:hAnsi="宋体"/>
          <w:szCs w:val="21"/>
        </w:rPr>
      </w:pPr>
      <w:r>
        <w:rPr>
          <w:rFonts w:hint="eastAsia" w:ascii="宋体" w:hAnsi="宋体"/>
          <w:szCs w:val="21"/>
        </w:rPr>
        <w:t>2.2  除非合同另有规定，工程量清单中有标价的单价和总额价均已包括了为实施和完成合同工程所需的劳务、材料、机械、质检（自检）、安装、缺陷修复、管理、保险、税费、利润等费用，以及合同明示或暗示的所有责任、义务和一般风险。</w:t>
      </w:r>
    </w:p>
    <w:p w14:paraId="4261F02F">
      <w:pPr>
        <w:spacing w:line="420" w:lineRule="exact"/>
        <w:ind w:firstLine="420" w:firstLineChars="200"/>
        <w:rPr>
          <w:rFonts w:hint="eastAsia" w:ascii="宋体" w:hAnsi="宋体"/>
          <w:szCs w:val="21"/>
        </w:rPr>
      </w:pPr>
      <w:r>
        <w:rPr>
          <w:rFonts w:hint="eastAsia" w:ascii="宋体" w:hAnsi="宋体"/>
          <w:szCs w:val="21"/>
        </w:rPr>
        <w:t>2.3  工程量清单中投标人没有填入单价或价格的子目，其费用视为已分摊在工程量清单中其他相关子目的单价或价格之中。承包人必须按监理人指令完成工程量清单中未填人单价或价格的子目，但不能得到结算与支付。</w:t>
      </w:r>
    </w:p>
    <w:p w14:paraId="5CD0F9DE">
      <w:pPr>
        <w:spacing w:line="420" w:lineRule="exact"/>
        <w:ind w:firstLine="420" w:firstLineChars="200"/>
        <w:rPr>
          <w:rFonts w:hint="eastAsia" w:ascii="宋体" w:hAnsi="宋体"/>
          <w:szCs w:val="21"/>
        </w:rPr>
      </w:pPr>
      <w:r>
        <w:rPr>
          <w:rFonts w:hint="eastAsia" w:ascii="宋体" w:hAnsi="宋体"/>
          <w:szCs w:val="21"/>
        </w:rPr>
        <w:t>2.4  符合合同条款规定的全部费用应认为已被计入有标价的工程量清单所列各子目之中，未列子目不予计量的工作，其费用应视为已分摊在本合同工程的有关子目的单价或总额价之中。</w:t>
      </w:r>
    </w:p>
    <w:p w14:paraId="6EF3F861">
      <w:pPr>
        <w:spacing w:line="420" w:lineRule="exact"/>
        <w:ind w:firstLine="420" w:firstLineChars="200"/>
        <w:rPr>
          <w:rFonts w:hint="eastAsia" w:ascii="宋体" w:hAnsi="宋体"/>
          <w:szCs w:val="21"/>
        </w:rPr>
      </w:pPr>
      <w:r>
        <w:rPr>
          <w:rFonts w:hint="eastAsia" w:ascii="宋体" w:hAnsi="宋体"/>
          <w:szCs w:val="21"/>
        </w:rPr>
        <w:t>2.5  承包人用于本合同工程的各类装备的提供、运输、维护、拆卸、拼装等支付的费用，已包括在工程量清单的单价与总额价之中。</w:t>
      </w:r>
    </w:p>
    <w:p w14:paraId="438297CA">
      <w:pPr>
        <w:spacing w:line="420" w:lineRule="exact"/>
        <w:ind w:firstLine="420" w:firstLineChars="200"/>
        <w:rPr>
          <w:rFonts w:hint="eastAsia" w:ascii="宋体" w:hAnsi="宋体"/>
          <w:szCs w:val="21"/>
        </w:rPr>
      </w:pPr>
      <w:r>
        <w:rPr>
          <w:rFonts w:hint="eastAsia" w:ascii="宋体" w:hAnsi="宋体"/>
          <w:szCs w:val="21"/>
        </w:rPr>
        <w:t>2.6  工程量清单中各项金额均以人民币（元）结算。</w:t>
      </w:r>
    </w:p>
    <w:p w14:paraId="090D8BD8">
      <w:pPr>
        <w:spacing w:line="420" w:lineRule="exact"/>
        <w:ind w:firstLine="420" w:firstLineChars="200"/>
        <w:rPr>
          <w:rFonts w:hint="eastAsia" w:ascii="宋体" w:hAnsi="宋体"/>
          <w:szCs w:val="21"/>
        </w:rPr>
      </w:pPr>
      <w:r>
        <w:rPr>
          <w:rFonts w:hint="eastAsia" w:ascii="宋体" w:hAnsi="宋体"/>
          <w:szCs w:val="21"/>
        </w:rPr>
        <w:t>2.7  暂列金额（不含计日工总额）的数量及拟用子目的说明：</w:t>
      </w:r>
      <w:r>
        <w:rPr>
          <w:rFonts w:hint="eastAsia" w:ascii="宋体" w:hAnsi="宋体"/>
          <w:szCs w:val="21"/>
          <w:u w:val="single"/>
        </w:rPr>
        <w:t xml:space="preserve"> 暂列金额的数量为第100章至</w:t>
      </w:r>
      <w:r>
        <w:rPr>
          <w:rFonts w:hint="eastAsia" w:ascii="宋体" w:hAnsi="宋体"/>
          <w:szCs w:val="21"/>
          <w:u w:val="single"/>
          <w:lang w:val="en-US" w:eastAsia="zh-CN"/>
        </w:rPr>
        <w:t>4</w:t>
      </w:r>
      <w:r>
        <w:rPr>
          <w:rFonts w:hint="eastAsia" w:ascii="宋体" w:hAnsi="宋体"/>
          <w:szCs w:val="21"/>
          <w:u w:val="single"/>
        </w:rPr>
        <w:t>00章工程量清单合计的3</w:t>
      </w:r>
      <w:r>
        <w:rPr>
          <w:rFonts w:hint="eastAsia" w:ascii="宋体" w:hAnsi="宋体"/>
          <w:b/>
          <w:szCs w:val="21"/>
          <w:u w:val="single"/>
        </w:rPr>
        <w:t>％</w:t>
      </w:r>
      <w:r>
        <w:rPr>
          <w:rFonts w:hint="eastAsia" w:ascii="宋体" w:hAnsi="宋体"/>
          <w:szCs w:val="21"/>
          <w:u w:val="single"/>
        </w:rPr>
        <w:t xml:space="preserve">，除合同另有规定外，应由发包人按合同条款第15条的规定，结合工程具体情况，报经发包人批准后指令全部或部分地使用，或者根本不予动用  </w:t>
      </w:r>
      <w:r>
        <w:rPr>
          <w:rFonts w:hint="eastAsia" w:ascii="宋体" w:hAnsi="宋体"/>
          <w:szCs w:val="21"/>
        </w:rPr>
        <w:t>。</w:t>
      </w:r>
    </w:p>
    <w:p w14:paraId="4E352E91">
      <w:pPr>
        <w:spacing w:line="420" w:lineRule="exact"/>
        <w:ind w:firstLine="420" w:firstLineChars="200"/>
        <w:rPr>
          <w:rFonts w:hint="eastAsia" w:ascii="宋体" w:hAnsi="宋体"/>
          <w:szCs w:val="21"/>
          <w:u w:val="single"/>
        </w:rPr>
      </w:pPr>
    </w:p>
    <w:p w14:paraId="347E919D">
      <w:pPr>
        <w:outlineLvl w:val="0"/>
        <w:rPr>
          <w:rFonts w:hint="eastAsia" w:ascii="宋体" w:hAnsi="宋体"/>
          <w:b/>
          <w:bCs/>
          <w:sz w:val="24"/>
        </w:rPr>
      </w:pPr>
      <w:r>
        <w:rPr>
          <w:rFonts w:hint="eastAsia" w:ascii="宋体" w:hAnsi="宋体"/>
          <w:b/>
          <w:bCs/>
          <w:sz w:val="24"/>
        </w:rPr>
        <w:t>3．其他说明</w:t>
      </w:r>
    </w:p>
    <w:p w14:paraId="4B84256E">
      <w:pPr>
        <w:spacing w:line="420" w:lineRule="exact"/>
        <w:ind w:firstLine="420" w:firstLineChars="200"/>
        <w:rPr>
          <w:rFonts w:hint="eastAsia" w:ascii="宋体" w:hAnsi="宋体"/>
          <w:szCs w:val="21"/>
        </w:rPr>
      </w:pPr>
      <w:r>
        <w:rPr>
          <w:rFonts w:hint="eastAsia" w:ascii="宋体" w:hAnsi="宋体"/>
          <w:szCs w:val="21"/>
        </w:rPr>
        <w:t>3.1工程量清单中的任何遗漏，不应免除承包人根据图纸规定完成单项工程的义务。</w:t>
      </w:r>
    </w:p>
    <w:p w14:paraId="6362AE6A">
      <w:pPr>
        <w:spacing w:line="420" w:lineRule="exact"/>
        <w:ind w:firstLine="420" w:firstLineChars="200"/>
        <w:rPr>
          <w:rFonts w:hint="eastAsia" w:ascii="宋体" w:hAnsi="宋体"/>
          <w:szCs w:val="21"/>
        </w:rPr>
      </w:pPr>
      <w:r>
        <w:rPr>
          <w:rFonts w:hint="eastAsia" w:ascii="宋体" w:hAnsi="宋体"/>
          <w:szCs w:val="21"/>
        </w:rPr>
        <w:t>3.2 安全生产费应不低于投标价（不含安全生产费、建筑工程一切险保险费）的2%，交通安全管理费包含在安全生产费内，不单独计列。</w:t>
      </w:r>
    </w:p>
    <w:p w14:paraId="612B864B">
      <w:pPr>
        <w:spacing w:line="420" w:lineRule="exact"/>
        <w:ind w:firstLine="420" w:firstLineChars="200"/>
        <w:rPr>
          <w:rFonts w:hint="default" w:ascii="宋体" w:hAnsi="宋体" w:eastAsia="宋体"/>
          <w:szCs w:val="21"/>
          <w:lang w:val="en-US" w:eastAsia="zh-CN"/>
        </w:rPr>
      </w:pPr>
      <w:r>
        <w:rPr>
          <w:rFonts w:hint="eastAsia" w:ascii="宋体" w:hAnsi="宋体"/>
          <w:szCs w:val="21"/>
        </w:rPr>
        <w:t>3.3工程一切险的投保金额为工程量清单中各章合计金额（不含安全生产费、建筑工程一切险保险费的费用），保险费率暂定为3‰；安全生产责任险</w:t>
      </w:r>
      <w:r>
        <w:rPr>
          <w:rFonts w:hint="eastAsia" w:ascii="宋体" w:hAnsi="宋体"/>
          <w:szCs w:val="21"/>
          <w:lang w:val="en-US" w:eastAsia="zh-CN"/>
        </w:rPr>
        <w:t>计入安全生产费，不单列。</w:t>
      </w:r>
    </w:p>
    <w:p w14:paraId="2E448009">
      <w:pPr>
        <w:spacing w:line="420" w:lineRule="exact"/>
        <w:ind w:firstLine="420" w:firstLineChars="200"/>
        <w:rPr>
          <w:rFonts w:hint="eastAsia" w:ascii="宋体" w:hAnsi="宋体"/>
          <w:szCs w:val="21"/>
        </w:rPr>
      </w:pPr>
      <w:r>
        <w:rPr>
          <w:rFonts w:hint="eastAsia" w:ascii="宋体" w:hAnsi="宋体"/>
          <w:szCs w:val="21"/>
        </w:rPr>
        <w:t>3.4 在签订合同协议书前，招标人对中标人投标文件中的明显不平衡报价，在总价保持不变的前提下，应双方协商调整至双方认可的合理范围。</w:t>
      </w:r>
    </w:p>
    <w:p w14:paraId="4FD5F420">
      <w:pPr>
        <w:spacing w:line="420" w:lineRule="exact"/>
        <w:ind w:firstLine="420" w:firstLineChars="200"/>
        <w:rPr>
          <w:rFonts w:hint="eastAsia" w:ascii="宋体" w:hAnsi="宋体"/>
          <w:szCs w:val="21"/>
        </w:rPr>
      </w:pPr>
      <w:r>
        <w:rPr>
          <w:rFonts w:hint="eastAsia" w:ascii="宋体" w:hAnsi="宋体"/>
          <w:szCs w:val="21"/>
        </w:rPr>
        <w:t>3.5在签订合同协议书前，中标人应向招标人提供交通运输部《公路工程基本建设项目概算预算编制办法》规定的书面及电子版资料各一套。</w:t>
      </w:r>
    </w:p>
    <w:p w14:paraId="56E5BD96">
      <w:pPr>
        <w:spacing w:line="420" w:lineRule="exact"/>
        <w:ind w:firstLine="420" w:firstLineChars="200"/>
        <w:rPr>
          <w:rFonts w:hint="eastAsia" w:ascii="宋体" w:hAnsi="宋体"/>
          <w:szCs w:val="21"/>
        </w:rPr>
      </w:pPr>
      <w:r>
        <w:rPr>
          <w:rFonts w:hint="eastAsia" w:ascii="宋体" w:hAnsi="宋体"/>
          <w:szCs w:val="21"/>
        </w:rPr>
        <w:t>3.6本项目中的</w:t>
      </w:r>
      <w:r>
        <w:rPr>
          <w:rFonts w:ascii="宋体" w:hAnsi="宋体"/>
          <w:szCs w:val="21"/>
        </w:rPr>
        <w:t>大面积小修</w:t>
      </w:r>
      <w:r>
        <w:rPr>
          <w:rFonts w:hint="eastAsia" w:ascii="宋体" w:hAnsi="宋体"/>
          <w:szCs w:val="21"/>
        </w:rPr>
        <w:t>是指</w:t>
      </w:r>
      <w:r>
        <w:rPr>
          <w:rFonts w:ascii="宋体" w:hAnsi="宋体"/>
          <w:szCs w:val="21"/>
        </w:rPr>
        <w:t>单块50平方米以上或单条线路总面积不少于500平方米</w:t>
      </w:r>
      <w:r>
        <w:rPr>
          <w:rFonts w:hint="eastAsia" w:ascii="宋体" w:hAnsi="宋体"/>
          <w:szCs w:val="21"/>
        </w:rPr>
        <w:t>的小修。</w:t>
      </w:r>
    </w:p>
    <w:p w14:paraId="40341B9D">
      <w:pPr>
        <w:spacing w:line="420" w:lineRule="exact"/>
        <w:ind w:firstLine="422" w:firstLineChars="200"/>
        <w:rPr>
          <w:rFonts w:hint="eastAsia" w:ascii="宋体" w:hAnsi="宋体"/>
          <w:b/>
          <w:szCs w:val="21"/>
        </w:rPr>
      </w:pPr>
      <w:r>
        <w:rPr>
          <w:rFonts w:hint="eastAsia" w:ascii="宋体" w:hAnsi="宋体"/>
          <w:b/>
          <w:szCs w:val="21"/>
        </w:rPr>
        <w:t>3.7</w:t>
      </w:r>
      <w:r>
        <w:rPr>
          <w:rFonts w:ascii="宋体" w:hAnsi="宋体"/>
          <w:b/>
          <w:szCs w:val="21"/>
        </w:rPr>
        <w:t>水泥混凝土路面维修</w:t>
      </w:r>
      <w:r>
        <w:rPr>
          <w:rFonts w:hint="eastAsia" w:ascii="宋体" w:hAnsi="宋体"/>
          <w:b/>
          <w:szCs w:val="21"/>
        </w:rPr>
        <w:t>已</w:t>
      </w:r>
      <w:r>
        <w:rPr>
          <w:rFonts w:ascii="宋体" w:hAnsi="宋体"/>
          <w:b/>
          <w:szCs w:val="21"/>
        </w:rPr>
        <w:t>包括施工安全、运行维护，挖、凿破损混凝土，</w:t>
      </w:r>
      <w:r>
        <w:rPr>
          <w:rFonts w:hint="eastAsia" w:ascii="宋体" w:hAnsi="宋体"/>
          <w:b/>
          <w:szCs w:val="21"/>
        </w:rPr>
        <w:t>废料外运，</w:t>
      </w:r>
      <w:r>
        <w:rPr>
          <w:rFonts w:ascii="宋体" w:hAnsi="宋体"/>
          <w:b/>
          <w:szCs w:val="21"/>
        </w:rPr>
        <w:t>周边凿毛、冲洗、配料、拌和、填筑、捣固、养生等相关作业所必须的费用</w:t>
      </w:r>
      <w:r>
        <w:rPr>
          <w:rFonts w:hint="eastAsia" w:ascii="宋体" w:hAnsi="宋体"/>
          <w:b/>
          <w:szCs w:val="21"/>
        </w:rPr>
        <w:t>。</w:t>
      </w:r>
    </w:p>
    <w:p w14:paraId="4729A441">
      <w:pPr>
        <w:spacing w:line="420" w:lineRule="exact"/>
        <w:ind w:firstLine="422" w:firstLineChars="200"/>
        <w:rPr>
          <w:rFonts w:ascii="宋体" w:hAnsi="宋体"/>
          <w:b/>
          <w:szCs w:val="21"/>
        </w:rPr>
      </w:pPr>
      <w:r>
        <w:rPr>
          <w:rFonts w:hint="eastAsia" w:ascii="宋体" w:hAnsi="宋体"/>
          <w:b/>
          <w:szCs w:val="21"/>
        </w:rPr>
        <w:t>3.8沥青路面小修、沥青混凝土路面大面积小修已</w:t>
      </w:r>
      <w:r>
        <w:rPr>
          <w:rFonts w:ascii="宋体" w:hAnsi="宋体"/>
          <w:b/>
          <w:szCs w:val="21"/>
        </w:rPr>
        <w:t>包括施工安全、运行维护，铣刨，废料外运，清扫，</w:t>
      </w:r>
      <w:r>
        <w:rPr>
          <w:rFonts w:hint="eastAsia" w:ascii="宋体" w:hAnsi="宋体"/>
          <w:b/>
          <w:szCs w:val="21"/>
        </w:rPr>
        <w:t>裂</w:t>
      </w:r>
      <w:r>
        <w:rPr>
          <w:rFonts w:ascii="宋体" w:hAnsi="宋体"/>
          <w:b/>
          <w:szCs w:val="21"/>
        </w:rPr>
        <w:t>缝</w:t>
      </w:r>
      <w:r>
        <w:rPr>
          <w:rFonts w:hint="eastAsia" w:ascii="宋体" w:hAnsi="宋体"/>
          <w:b/>
          <w:szCs w:val="21"/>
        </w:rPr>
        <w:t>封闭，沥青切割封边，沥青混合料的制备及其拌和、运输</w:t>
      </w:r>
      <w:r>
        <w:rPr>
          <w:rFonts w:ascii="宋体" w:hAnsi="宋体"/>
          <w:b/>
          <w:szCs w:val="21"/>
        </w:rPr>
        <w:t>，摊铺，碾压，养生，清理现场等相关作业所必须的费用。</w:t>
      </w:r>
    </w:p>
    <w:p w14:paraId="459303A9">
      <w:pPr>
        <w:spacing w:line="420" w:lineRule="exact"/>
        <w:ind w:firstLine="422" w:firstLineChars="200"/>
        <w:rPr>
          <w:rFonts w:hint="eastAsia" w:ascii="宋体" w:hAnsi="宋体"/>
          <w:b/>
          <w:szCs w:val="21"/>
        </w:rPr>
      </w:pPr>
      <w:r>
        <w:rPr>
          <w:rFonts w:hint="eastAsia" w:ascii="宋体" w:hAnsi="宋体"/>
          <w:b/>
          <w:szCs w:val="21"/>
        </w:rPr>
        <w:t>3.9裂缝灌缝，包括</w:t>
      </w:r>
      <w:r>
        <w:rPr>
          <w:rFonts w:ascii="宋体" w:hAnsi="宋体"/>
          <w:b/>
          <w:szCs w:val="21"/>
        </w:rPr>
        <w:t>施工安全、运行维护，清扫裂缝，熬油，运输，喷灯加温，灌缝，撒砂填充，熨平，清理现场等相关作业所必须的费用</w:t>
      </w:r>
      <w:r>
        <w:rPr>
          <w:rFonts w:hint="eastAsia" w:ascii="宋体" w:hAnsi="宋体"/>
          <w:b/>
          <w:szCs w:val="21"/>
        </w:rPr>
        <w:t>。</w:t>
      </w:r>
    </w:p>
    <w:p w14:paraId="6CD0A9FF">
      <w:pPr>
        <w:spacing w:line="420" w:lineRule="exact"/>
        <w:ind w:firstLine="422" w:firstLineChars="200"/>
        <w:rPr>
          <w:rFonts w:hint="eastAsia" w:ascii="宋体" w:hAnsi="宋体"/>
          <w:b/>
          <w:szCs w:val="21"/>
        </w:rPr>
      </w:pPr>
      <w:r>
        <w:rPr>
          <w:rFonts w:hint="eastAsia" w:ascii="宋体" w:hAnsi="宋体"/>
          <w:b/>
          <w:szCs w:val="21"/>
        </w:rPr>
        <w:t>3.10维修用碎石</w:t>
      </w:r>
      <w:r>
        <w:rPr>
          <w:rFonts w:ascii="宋体" w:hAnsi="宋体"/>
          <w:b/>
          <w:szCs w:val="21"/>
        </w:rPr>
        <w:t>包括施工安全、运行维护，</w:t>
      </w:r>
      <w:r>
        <w:rPr>
          <w:rFonts w:hint="eastAsia" w:ascii="宋体" w:hAnsi="宋体"/>
          <w:b/>
          <w:szCs w:val="21"/>
        </w:rPr>
        <w:t>病害部位的开槽、挖除、清底</w:t>
      </w:r>
      <w:r>
        <w:rPr>
          <w:rFonts w:ascii="宋体" w:hAnsi="宋体"/>
          <w:b/>
          <w:szCs w:val="21"/>
        </w:rPr>
        <w:t>，废料外运，配料，铺筑，</w:t>
      </w:r>
      <w:r>
        <w:rPr>
          <w:rFonts w:hint="eastAsia" w:ascii="宋体" w:hAnsi="宋体"/>
          <w:b/>
          <w:szCs w:val="21"/>
        </w:rPr>
        <w:t>摊平、压实</w:t>
      </w:r>
      <w:r>
        <w:rPr>
          <w:rFonts w:ascii="宋体" w:hAnsi="宋体"/>
          <w:b/>
          <w:szCs w:val="21"/>
        </w:rPr>
        <w:t>，清理现场等相关作业所必须的费用。</w:t>
      </w:r>
    </w:p>
    <w:p w14:paraId="2D9E7A88">
      <w:pPr>
        <w:spacing w:line="420" w:lineRule="exact"/>
        <w:ind w:firstLine="422" w:firstLineChars="200"/>
        <w:rPr>
          <w:rFonts w:hint="eastAsia" w:ascii="宋体" w:hAnsi="宋体"/>
          <w:b/>
          <w:szCs w:val="21"/>
        </w:rPr>
      </w:pPr>
      <w:r>
        <w:rPr>
          <w:rFonts w:hint="eastAsia" w:ascii="宋体" w:hAnsi="宋体"/>
          <w:b/>
          <w:szCs w:val="21"/>
        </w:rPr>
        <w:t>3.11基层维修</w:t>
      </w:r>
      <w:r>
        <w:rPr>
          <w:rFonts w:ascii="宋体" w:hAnsi="宋体"/>
          <w:b/>
          <w:szCs w:val="21"/>
        </w:rPr>
        <w:t>包括施工安全、运行维护，</w:t>
      </w:r>
      <w:r>
        <w:rPr>
          <w:rFonts w:hint="eastAsia" w:ascii="宋体" w:hAnsi="宋体"/>
          <w:b/>
          <w:szCs w:val="21"/>
        </w:rPr>
        <w:t>开槽、挖除、清底</w:t>
      </w:r>
      <w:r>
        <w:rPr>
          <w:rFonts w:ascii="宋体" w:hAnsi="宋体"/>
          <w:b/>
          <w:szCs w:val="21"/>
        </w:rPr>
        <w:t>，废料外运，清扫，整平路面，洒水，配料，拌和，铺筑，养生，清理现场等相关作业所必须的费用。</w:t>
      </w:r>
    </w:p>
    <w:p w14:paraId="06E9BC1B">
      <w:pPr>
        <w:spacing w:line="420" w:lineRule="exact"/>
        <w:ind w:firstLine="422" w:firstLineChars="200"/>
        <w:rPr>
          <w:rFonts w:hint="eastAsia" w:ascii="宋体" w:hAnsi="宋体"/>
          <w:b/>
          <w:szCs w:val="21"/>
        </w:rPr>
      </w:pPr>
      <w:r>
        <w:rPr>
          <w:rFonts w:hint="eastAsia" w:ascii="宋体" w:hAnsi="宋体"/>
          <w:b/>
          <w:szCs w:val="21"/>
        </w:rPr>
        <w:t>3.12人行道彩砖维修</w:t>
      </w:r>
      <w:r>
        <w:rPr>
          <w:rFonts w:ascii="宋体" w:hAnsi="宋体"/>
          <w:b/>
          <w:szCs w:val="21"/>
        </w:rPr>
        <w:t>包括施工安全、运行维护，挖</w:t>
      </w:r>
      <w:r>
        <w:rPr>
          <w:rFonts w:hint="eastAsia" w:ascii="宋体" w:hAnsi="宋体"/>
          <w:b/>
          <w:szCs w:val="21"/>
        </w:rPr>
        <w:t>除</w:t>
      </w:r>
      <w:r>
        <w:rPr>
          <w:rFonts w:ascii="宋体" w:hAnsi="宋体"/>
          <w:b/>
          <w:szCs w:val="21"/>
        </w:rPr>
        <w:t>破损</w:t>
      </w:r>
      <w:r>
        <w:rPr>
          <w:rFonts w:hint="eastAsia" w:ascii="宋体" w:hAnsi="宋体"/>
          <w:b/>
          <w:szCs w:val="21"/>
        </w:rPr>
        <w:t>彩砖及基层</w:t>
      </w:r>
      <w:r>
        <w:rPr>
          <w:rFonts w:ascii="宋体" w:hAnsi="宋体"/>
          <w:b/>
          <w:szCs w:val="21"/>
        </w:rPr>
        <w:t>，</w:t>
      </w:r>
      <w:r>
        <w:rPr>
          <w:rFonts w:hint="eastAsia" w:ascii="宋体" w:hAnsi="宋体"/>
          <w:b/>
          <w:szCs w:val="21"/>
        </w:rPr>
        <w:t>废料外运，</w:t>
      </w:r>
      <w:r>
        <w:rPr>
          <w:rFonts w:ascii="宋体" w:hAnsi="宋体"/>
          <w:b/>
          <w:szCs w:val="21"/>
        </w:rPr>
        <w:t>清扫，整平路面，</w:t>
      </w:r>
      <w:r>
        <w:rPr>
          <w:rFonts w:hint="eastAsia" w:ascii="宋体" w:hAnsi="宋体"/>
          <w:b/>
          <w:szCs w:val="21"/>
        </w:rPr>
        <w:t>水泥砂浆</w:t>
      </w:r>
      <w:r>
        <w:rPr>
          <w:rFonts w:ascii="宋体" w:hAnsi="宋体"/>
          <w:b/>
          <w:szCs w:val="21"/>
        </w:rPr>
        <w:t>拌和，</w:t>
      </w:r>
      <w:r>
        <w:rPr>
          <w:rFonts w:hint="eastAsia" w:ascii="宋体" w:hAnsi="宋体"/>
          <w:b/>
          <w:szCs w:val="21"/>
        </w:rPr>
        <w:t>彩砖铺设</w:t>
      </w:r>
      <w:r>
        <w:rPr>
          <w:rFonts w:ascii="宋体" w:hAnsi="宋体"/>
          <w:b/>
          <w:szCs w:val="21"/>
        </w:rPr>
        <w:t>，清理现场等相关作业所必须的费用</w:t>
      </w:r>
      <w:r>
        <w:rPr>
          <w:rFonts w:hint="eastAsia" w:ascii="宋体" w:hAnsi="宋体"/>
          <w:b/>
          <w:szCs w:val="21"/>
        </w:rPr>
        <w:t>。</w:t>
      </w:r>
    </w:p>
    <w:p w14:paraId="1CCF6115">
      <w:pPr>
        <w:spacing w:line="420" w:lineRule="exact"/>
        <w:ind w:firstLine="422" w:firstLineChars="200"/>
        <w:rPr>
          <w:rFonts w:hint="eastAsia" w:ascii="宋体" w:hAnsi="宋体"/>
          <w:b/>
          <w:szCs w:val="21"/>
        </w:rPr>
      </w:pPr>
      <w:r>
        <w:rPr>
          <w:rFonts w:hint="eastAsia" w:ascii="宋体" w:hAnsi="宋体"/>
          <w:b/>
          <w:szCs w:val="21"/>
        </w:rPr>
        <w:t>3.13地聚合物注浆包括施工安全、运行维护，钻孔，场地清理，制备地聚合物浆液，清孔，插拔注浆管，压浆，清洗压浆设备，清理现场等相关作业所必须的费用。</w:t>
      </w:r>
    </w:p>
    <w:p w14:paraId="0FF2C71C">
      <w:pPr>
        <w:spacing w:line="420" w:lineRule="exact"/>
        <w:ind w:firstLine="422" w:firstLineChars="200"/>
        <w:rPr>
          <w:rFonts w:ascii="宋体" w:hAnsi="宋体"/>
          <w:b/>
          <w:szCs w:val="21"/>
        </w:rPr>
      </w:pPr>
      <w:r>
        <w:rPr>
          <w:rFonts w:hint="eastAsia" w:ascii="宋体" w:hAnsi="宋体"/>
          <w:b/>
          <w:szCs w:val="21"/>
        </w:rPr>
        <w:t>3.</w:t>
      </w:r>
      <w:r>
        <w:rPr>
          <w:rFonts w:hint="eastAsia" w:ascii="宋体" w:hAnsi="宋体"/>
          <w:b/>
          <w:szCs w:val="21"/>
          <w:lang w:val="en-US" w:eastAsia="zh-CN"/>
        </w:rPr>
        <w:t>14</w:t>
      </w:r>
      <w:r>
        <w:rPr>
          <w:rFonts w:hint="eastAsia" w:ascii="宋体" w:hAnsi="宋体"/>
          <w:b/>
          <w:szCs w:val="21"/>
        </w:rPr>
        <w:t>冷补沥青混凝土已</w:t>
      </w:r>
      <w:r>
        <w:rPr>
          <w:rFonts w:ascii="宋体" w:hAnsi="宋体"/>
          <w:b/>
          <w:szCs w:val="21"/>
        </w:rPr>
        <w:t>包括施工安全、运行维护，铣刨，废料外运，清扫，洒粘层，</w:t>
      </w:r>
      <w:r>
        <w:rPr>
          <w:rFonts w:hint="eastAsia" w:ascii="宋体" w:hAnsi="宋体"/>
          <w:b/>
          <w:szCs w:val="21"/>
        </w:rPr>
        <w:t>裂</w:t>
      </w:r>
      <w:r>
        <w:rPr>
          <w:rFonts w:ascii="宋体" w:hAnsi="宋体"/>
          <w:b/>
          <w:szCs w:val="21"/>
        </w:rPr>
        <w:t>缝</w:t>
      </w:r>
      <w:r>
        <w:rPr>
          <w:rFonts w:hint="eastAsia" w:ascii="宋体" w:hAnsi="宋体"/>
          <w:b/>
          <w:szCs w:val="21"/>
        </w:rPr>
        <w:t>封闭，沥青切割封边，沥青混合料的制备及其拌和、运输</w:t>
      </w:r>
      <w:r>
        <w:rPr>
          <w:rFonts w:ascii="宋体" w:hAnsi="宋体"/>
          <w:b/>
          <w:szCs w:val="21"/>
        </w:rPr>
        <w:t>，摊铺，碾压，养生，清理现场等相关作业所必须的费用。</w:t>
      </w:r>
    </w:p>
    <w:p w14:paraId="1223035D">
      <w:pPr>
        <w:spacing w:line="420" w:lineRule="exact"/>
        <w:ind w:firstLine="422" w:firstLineChars="200"/>
        <w:rPr>
          <w:rFonts w:hint="eastAsia" w:ascii="宋体" w:hAnsi="宋体"/>
          <w:b/>
          <w:szCs w:val="21"/>
        </w:rPr>
      </w:pPr>
      <w:r>
        <w:rPr>
          <w:rFonts w:hint="eastAsia" w:ascii="宋体" w:hAnsi="宋体"/>
          <w:b/>
          <w:szCs w:val="21"/>
        </w:rPr>
        <w:t>3.1</w:t>
      </w:r>
      <w:r>
        <w:rPr>
          <w:rFonts w:hint="eastAsia" w:ascii="宋体" w:hAnsi="宋体"/>
          <w:b/>
          <w:szCs w:val="21"/>
          <w:lang w:val="en-US" w:eastAsia="zh-CN"/>
        </w:rPr>
        <w:t>5</w:t>
      </w:r>
      <w:r>
        <w:rPr>
          <w:rFonts w:hint="eastAsia" w:ascii="宋体" w:hAnsi="宋体"/>
          <w:b/>
          <w:szCs w:val="21"/>
        </w:rPr>
        <w:t xml:space="preserve"> 针对安全生产责任险，承包人应根据《中华人民共和国安全生产法》（2021 修订版）、《浙江省人民政府办公厅转发省安监局等部门关于在高危行业全面推进安全生产责任保险的通知》（浙政办发〔2017〕146号）、《关于进一步推进我省安全生产责任保险规范化工作的通知》（浙应急法规〔2020〕9号）和《省交通运输厅关于加强公路水运工程疫情防控和安全生产费用保障的指导意见》（浙交〔2022〕116 号）等文件要求办理安全生产责任保险，并包括在价格清单的单价及总额价中，发包人不再另行支付。安全生产责任保险覆盖第三者责任险及人身意外伤害险。其中第三者责任险的投保金额最低为</w:t>
      </w:r>
      <w:r>
        <w:rPr>
          <w:rFonts w:hint="eastAsia" w:ascii="宋体" w:hAnsi="宋体"/>
          <w:b/>
          <w:szCs w:val="21"/>
          <w:lang w:val="en-US" w:eastAsia="zh-CN"/>
        </w:rPr>
        <w:t>5</w:t>
      </w:r>
      <w:r>
        <w:rPr>
          <w:rFonts w:hint="eastAsia" w:ascii="宋体" w:hAnsi="宋体"/>
          <w:b/>
          <w:szCs w:val="21"/>
        </w:rPr>
        <w:t>00万元，保险费率暂定为5‰。</w:t>
      </w:r>
    </w:p>
    <w:p w14:paraId="1A239C55">
      <w:pPr>
        <w:spacing w:line="420" w:lineRule="exact"/>
        <w:ind w:firstLine="422" w:firstLineChars="200"/>
        <w:rPr>
          <w:rFonts w:hint="eastAsia" w:ascii="宋体" w:hAnsi="宋体"/>
          <w:b/>
          <w:szCs w:val="21"/>
        </w:rPr>
      </w:pPr>
      <w:r>
        <w:rPr>
          <w:rFonts w:hint="eastAsia" w:ascii="宋体" w:hAnsi="宋体"/>
          <w:b/>
          <w:szCs w:val="21"/>
        </w:rPr>
        <w:t>3.1</w:t>
      </w:r>
      <w:r>
        <w:rPr>
          <w:rFonts w:hint="eastAsia" w:ascii="宋体" w:hAnsi="宋体"/>
          <w:b/>
          <w:szCs w:val="21"/>
          <w:lang w:val="en-US" w:eastAsia="zh-CN"/>
        </w:rPr>
        <w:t xml:space="preserve">6 </w:t>
      </w:r>
      <w:r>
        <w:rPr>
          <w:rFonts w:hint="eastAsia" w:ascii="宋体" w:hAnsi="宋体"/>
          <w:b/>
          <w:szCs w:val="21"/>
        </w:rPr>
        <w:t>工伤保险由承包人按照《浙江省人力资源和社会保障厅等六部门转发人力资源社会保障部等六部门关于铁路、公路、水运、水利、能源、机场工程建设项目参加工伤保险工作的通知》（浙人社发〔2018〕29号）进行投保，保费视为已经包含在相应工程的报价中，发包人不另行支付。</w:t>
      </w:r>
    </w:p>
    <w:p w14:paraId="03C88B49">
      <w:pPr>
        <w:spacing w:line="420" w:lineRule="exact"/>
        <w:ind w:firstLine="420" w:firstLineChars="200"/>
        <w:rPr>
          <w:rFonts w:hint="eastAsia" w:ascii="宋体" w:hAnsi="宋体"/>
          <w:szCs w:val="21"/>
        </w:rPr>
      </w:pPr>
    </w:p>
    <w:p w14:paraId="49CA60C4">
      <w:pPr>
        <w:spacing w:line="420" w:lineRule="exact"/>
        <w:ind w:firstLine="420" w:firstLineChars="200"/>
        <w:rPr>
          <w:rFonts w:hint="eastAsia" w:ascii="宋体" w:hAnsi="宋体"/>
          <w:szCs w:val="21"/>
        </w:rPr>
      </w:pPr>
    </w:p>
    <w:p w14:paraId="416928A4">
      <w:pPr>
        <w:spacing w:line="420" w:lineRule="exact"/>
        <w:ind w:firstLine="420" w:firstLineChars="200"/>
        <w:rPr>
          <w:rFonts w:hint="eastAsia" w:ascii="宋体" w:hAnsi="宋体"/>
          <w:szCs w:val="21"/>
        </w:rPr>
      </w:pPr>
    </w:p>
    <w:p w14:paraId="39A9FAB6">
      <w:pPr>
        <w:spacing w:line="420" w:lineRule="exact"/>
        <w:ind w:firstLine="420" w:firstLineChars="200"/>
        <w:rPr>
          <w:rFonts w:hint="eastAsia" w:ascii="宋体" w:hAnsi="宋体"/>
          <w:szCs w:val="21"/>
        </w:rPr>
      </w:pPr>
    </w:p>
    <w:p w14:paraId="61D66DF9">
      <w:pPr>
        <w:spacing w:line="420" w:lineRule="exact"/>
        <w:ind w:firstLine="420" w:firstLineChars="200"/>
        <w:rPr>
          <w:rFonts w:hint="eastAsia" w:ascii="宋体" w:hAnsi="宋体"/>
          <w:szCs w:val="21"/>
        </w:rPr>
      </w:pPr>
    </w:p>
    <w:p w14:paraId="2BAAAF2F">
      <w:pPr>
        <w:spacing w:line="360" w:lineRule="auto"/>
        <w:outlineLvl w:val="0"/>
        <w:rPr>
          <w:rFonts w:hint="eastAsia" w:ascii="宋体" w:hAnsi="宋体"/>
          <w:b/>
          <w:bCs/>
          <w:sz w:val="24"/>
        </w:rPr>
      </w:pPr>
      <w:r>
        <w:rPr>
          <w:rFonts w:hint="eastAsia" w:ascii="宋体" w:hAnsi="宋体"/>
          <w:b/>
          <w:bCs/>
          <w:sz w:val="24"/>
        </w:rPr>
        <w:br w:type="page"/>
      </w:r>
    </w:p>
    <w:p w14:paraId="4F6C2D87">
      <w:pPr>
        <w:spacing w:before="240" w:beforeLines="100" w:after="240" w:afterLines="100"/>
        <w:jc w:val="center"/>
        <w:rPr>
          <w:rFonts w:hint="eastAsia" w:ascii="黑体" w:hAnsi="宋体" w:eastAsia="黑体"/>
          <w:sz w:val="30"/>
          <w:szCs w:val="30"/>
        </w:rPr>
      </w:pPr>
      <w:r>
        <w:rPr>
          <w:rFonts w:hint="eastAsia" w:ascii="黑体" w:hAnsi="宋体" w:eastAsia="黑体"/>
          <w:sz w:val="30"/>
          <w:szCs w:val="30"/>
        </w:rPr>
        <w:t>工程量清单</w:t>
      </w:r>
    </w:p>
    <w:p w14:paraId="6CB9DDD6">
      <w:pPr>
        <w:pStyle w:val="50"/>
        <w:ind w:left="0" w:leftChars="0" w:firstLine="0" w:firstLine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标项</w:t>
      </w: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w:t>
      </w:r>
      <w:r>
        <w:rPr>
          <w:rFonts w:hint="eastAsia" w:asciiTheme="minorEastAsia" w:hAnsiTheme="minorEastAsia" w:cstheme="minorEastAsia"/>
          <w:sz w:val="24"/>
          <w:szCs w:val="24"/>
          <w:lang w:eastAsia="zh-CN"/>
        </w:rPr>
        <w:t>2026年秀洲区县道及以上公路小修及应急抢险项目</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第一</w:t>
      </w:r>
      <w:r>
        <w:rPr>
          <w:rFonts w:hint="eastAsia" w:asciiTheme="minorEastAsia" w:hAnsiTheme="minorEastAsia" w:eastAsiaTheme="minorEastAsia" w:cstheme="minorEastAsia"/>
          <w:sz w:val="24"/>
          <w:szCs w:val="24"/>
          <w:lang w:eastAsia="zh-CN"/>
        </w:rPr>
        <w:t>标段）</w:t>
      </w:r>
    </w:p>
    <w:p w14:paraId="579A1D25">
      <w:pPr>
        <w:pStyle w:val="50"/>
        <w:ind w:left="0" w:leftChars="0" w:firstLine="0" w:firstLine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货币单位：人民币元</w:t>
      </w:r>
    </w:p>
    <w:tbl>
      <w:tblPr>
        <w:tblStyle w:val="51"/>
        <w:tblW w:w="9162" w:type="dxa"/>
        <w:tblInd w:w="-7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0" w:type="dxa"/>
        </w:tblCellMar>
      </w:tblPr>
      <w:tblGrid>
        <w:gridCol w:w="822"/>
        <w:gridCol w:w="4533"/>
        <w:gridCol w:w="855"/>
        <w:gridCol w:w="918"/>
        <w:gridCol w:w="973"/>
        <w:gridCol w:w="1061"/>
      </w:tblGrid>
      <w:tr w14:paraId="1D012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9162" w:type="dxa"/>
            <w:gridSpan w:val="6"/>
            <w:tcBorders>
              <w:top w:val="single" w:color="auto" w:sz="12" w:space="0"/>
              <w:left w:val="single" w:color="auto" w:sz="12" w:space="0"/>
              <w:bottom w:val="single" w:color="auto" w:sz="6" w:space="0"/>
              <w:right w:val="single" w:color="auto" w:sz="12" w:space="0"/>
            </w:tcBorders>
            <w:noWrap w:val="0"/>
            <w:vAlign w:val="center"/>
          </w:tcPr>
          <w:p w14:paraId="05E9A59A">
            <w:pPr>
              <w:ind w:firstLine="103" w:firstLineChars="49"/>
              <w:jc w:val="center"/>
              <w:rPr>
                <w:rFonts w:hint="eastAsia" w:ascii="宋体" w:hAnsi="宋体"/>
                <w:b/>
                <w:bCs/>
              </w:rPr>
            </w:pPr>
            <w:r>
              <w:rPr>
                <w:rFonts w:hint="eastAsia" w:ascii="宋体" w:hAnsi="宋体"/>
                <w:b/>
                <w:bCs/>
              </w:rPr>
              <w:t>清单      第100章      总  则</w:t>
            </w:r>
          </w:p>
        </w:tc>
      </w:tr>
      <w:tr w14:paraId="7E351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5D0EC790">
            <w:pPr>
              <w:jc w:val="center"/>
              <w:rPr>
                <w:rFonts w:hint="eastAsia" w:ascii="宋体" w:hAnsi="宋体"/>
                <w:szCs w:val="21"/>
              </w:rPr>
            </w:pPr>
            <w:r>
              <w:rPr>
                <w:rFonts w:hint="eastAsia" w:ascii="宋体" w:hAnsi="宋体"/>
                <w:szCs w:val="21"/>
              </w:rPr>
              <w:t>子目号</w:t>
            </w:r>
          </w:p>
        </w:tc>
        <w:tc>
          <w:tcPr>
            <w:tcW w:w="4533" w:type="dxa"/>
            <w:tcBorders>
              <w:top w:val="single" w:color="auto" w:sz="6" w:space="0"/>
              <w:left w:val="single" w:color="auto" w:sz="6" w:space="0"/>
              <w:bottom w:val="single" w:color="auto" w:sz="6" w:space="0"/>
              <w:right w:val="single" w:color="auto" w:sz="6" w:space="0"/>
            </w:tcBorders>
            <w:noWrap w:val="0"/>
            <w:vAlign w:val="center"/>
          </w:tcPr>
          <w:p w14:paraId="68BE55B7">
            <w:pPr>
              <w:jc w:val="center"/>
              <w:rPr>
                <w:rFonts w:hint="eastAsia" w:ascii="宋体" w:hAnsi="宋体"/>
                <w:szCs w:val="21"/>
              </w:rPr>
            </w:pPr>
            <w:r>
              <w:rPr>
                <w:rFonts w:hint="eastAsia" w:ascii="宋体" w:hAnsi="宋体"/>
                <w:szCs w:val="21"/>
              </w:rPr>
              <w:t>子  目  名  称</w:t>
            </w:r>
          </w:p>
        </w:tc>
        <w:tc>
          <w:tcPr>
            <w:tcW w:w="855" w:type="dxa"/>
            <w:tcBorders>
              <w:top w:val="single" w:color="auto" w:sz="6" w:space="0"/>
              <w:left w:val="single" w:color="auto" w:sz="6" w:space="0"/>
              <w:bottom w:val="single" w:color="auto" w:sz="6" w:space="0"/>
              <w:right w:val="single" w:color="auto" w:sz="6" w:space="0"/>
            </w:tcBorders>
            <w:noWrap w:val="0"/>
            <w:vAlign w:val="center"/>
          </w:tcPr>
          <w:p w14:paraId="46203625">
            <w:pPr>
              <w:jc w:val="center"/>
              <w:rPr>
                <w:rFonts w:hint="eastAsia" w:ascii="宋体" w:hAnsi="宋体"/>
                <w:szCs w:val="21"/>
              </w:rPr>
            </w:pPr>
            <w:r>
              <w:rPr>
                <w:rFonts w:hint="eastAsia" w:ascii="宋体" w:hAnsi="宋体"/>
                <w:szCs w:val="21"/>
              </w:rPr>
              <w:t>单位</w:t>
            </w:r>
          </w:p>
        </w:tc>
        <w:tc>
          <w:tcPr>
            <w:tcW w:w="918" w:type="dxa"/>
            <w:tcBorders>
              <w:top w:val="single" w:color="auto" w:sz="6" w:space="0"/>
              <w:left w:val="single" w:color="auto" w:sz="6" w:space="0"/>
              <w:bottom w:val="single" w:color="auto" w:sz="6" w:space="0"/>
              <w:right w:val="single" w:color="auto" w:sz="6" w:space="0"/>
            </w:tcBorders>
            <w:noWrap w:val="0"/>
            <w:vAlign w:val="center"/>
          </w:tcPr>
          <w:p w14:paraId="1A05B8F9">
            <w:pPr>
              <w:jc w:val="center"/>
              <w:rPr>
                <w:rFonts w:hint="eastAsia" w:ascii="宋体" w:hAnsi="宋体"/>
                <w:szCs w:val="21"/>
              </w:rPr>
            </w:pPr>
            <w:r>
              <w:rPr>
                <w:rFonts w:hint="eastAsia" w:ascii="宋体" w:hAnsi="宋体"/>
                <w:szCs w:val="21"/>
              </w:rPr>
              <w:t>数量</w:t>
            </w:r>
          </w:p>
        </w:tc>
        <w:tc>
          <w:tcPr>
            <w:tcW w:w="973" w:type="dxa"/>
            <w:tcBorders>
              <w:top w:val="single" w:color="auto" w:sz="6" w:space="0"/>
              <w:left w:val="single" w:color="auto" w:sz="6" w:space="0"/>
              <w:bottom w:val="single" w:color="auto" w:sz="6" w:space="0"/>
              <w:right w:val="single" w:color="auto" w:sz="6" w:space="0"/>
            </w:tcBorders>
            <w:noWrap w:val="0"/>
            <w:vAlign w:val="center"/>
          </w:tcPr>
          <w:p w14:paraId="74CDC668">
            <w:pPr>
              <w:jc w:val="center"/>
              <w:rPr>
                <w:rFonts w:hint="eastAsia" w:ascii="宋体" w:hAnsi="宋体"/>
                <w:szCs w:val="21"/>
              </w:rPr>
            </w:pPr>
            <w:r>
              <w:rPr>
                <w:rFonts w:hint="eastAsia" w:ascii="宋体" w:hAnsi="宋体"/>
                <w:szCs w:val="21"/>
              </w:rPr>
              <w:t>单价</w:t>
            </w: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7D819B01">
            <w:pPr>
              <w:jc w:val="center"/>
              <w:rPr>
                <w:rFonts w:hint="eastAsia" w:ascii="宋体" w:hAnsi="宋体"/>
              </w:rPr>
            </w:pPr>
            <w:r>
              <w:rPr>
                <w:rFonts w:hint="eastAsia" w:ascii="宋体" w:hAnsi="宋体"/>
              </w:rPr>
              <w:t>合价</w:t>
            </w:r>
          </w:p>
        </w:tc>
      </w:tr>
      <w:tr w14:paraId="4C1E1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134AF619">
            <w:pPr>
              <w:keepNext w:val="0"/>
              <w:keepLines w:val="0"/>
              <w:widowControl/>
              <w:suppressLineNumbers w:val="0"/>
              <w:jc w:val="center"/>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101</w:t>
            </w:r>
          </w:p>
        </w:tc>
        <w:tc>
          <w:tcPr>
            <w:tcW w:w="4533" w:type="dxa"/>
            <w:tcBorders>
              <w:top w:val="single" w:color="auto" w:sz="6" w:space="0"/>
              <w:left w:val="single" w:color="auto" w:sz="6" w:space="0"/>
              <w:bottom w:val="single" w:color="auto" w:sz="6" w:space="0"/>
              <w:right w:val="single" w:color="auto" w:sz="6" w:space="0"/>
            </w:tcBorders>
            <w:noWrap w:val="0"/>
            <w:vAlign w:val="center"/>
          </w:tcPr>
          <w:p w14:paraId="3037607E">
            <w:pPr>
              <w:keepNext w:val="0"/>
              <w:keepLines w:val="0"/>
              <w:widowControl/>
              <w:suppressLineNumbers w:val="0"/>
              <w:jc w:val="left"/>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通则</w:t>
            </w:r>
          </w:p>
        </w:tc>
        <w:tc>
          <w:tcPr>
            <w:tcW w:w="855" w:type="dxa"/>
            <w:tcBorders>
              <w:top w:val="single" w:color="auto" w:sz="6" w:space="0"/>
              <w:left w:val="single" w:color="auto" w:sz="6" w:space="0"/>
              <w:bottom w:val="single" w:color="auto" w:sz="6" w:space="0"/>
              <w:right w:val="single" w:color="auto" w:sz="6" w:space="0"/>
            </w:tcBorders>
            <w:noWrap w:val="0"/>
            <w:vAlign w:val="center"/>
          </w:tcPr>
          <w:p w14:paraId="020397A7">
            <w:pPr>
              <w:jc w:val="center"/>
              <w:rPr>
                <w:rFonts w:hint="eastAsia" w:ascii="宋体" w:hAnsi="宋体"/>
                <w:sz w:val="21"/>
                <w:szCs w:val="21"/>
              </w:rPr>
            </w:pPr>
          </w:p>
        </w:tc>
        <w:tc>
          <w:tcPr>
            <w:tcW w:w="918" w:type="dxa"/>
            <w:tcBorders>
              <w:top w:val="single" w:color="auto" w:sz="6" w:space="0"/>
              <w:left w:val="single" w:color="auto" w:sz="6" w:space="0"/>
              <w:bottom w:val="single" w:color="auto" w:sz="6" w:space="0"/>
              <w:right w:val="single" w:color="auto" w:sz="6" w:space="0"/>
            </w:tcBorders>
            <w:noWrap w:val="0"/>
            <w:vAlign w:val="center"/>
          </w:tcPr>
          <w:p w14:paraId="7385704D">
            <w:pPr>
              <w:jc w:val="right"/>
              <w:rPr>
                <w:rFonts w:hint="eastAsia" w:ascii="宋体" w:hAnsi="宋体"/>
                <w:sz w:val="21"/>
                <w:szCs w:val="21"/>
              </w:rPr>
            </w:pPr>
          </w:p>
        </w:tc>
        <w:tc>
          <w:tcPr>
            <w:tcW w:w="973" w:type="dxa"/>
            <w:tcBorders>
              <w:top w:val="single" w:color="auto" w:sz="6" w:space="0"/>
              <w:left w:val="single" w:color="auto" w:sz="6" w:space="0"/>
              <w:bottom w:val="single" w:color="auto" w:sz="6" w:space="0"/>
              <w:right w:val="single" w:color="auto" w:sz="6" w:space="0"/>
            </w:tcBorders>
            <w:noWrap w:val="0"/>
            <w:vAlign w:val="center"/>
          </w:tcPr>
          <w:p w14:paraId="66B8CC46">
            <w:pPr>
              <w:jc w:val="center"/>
              <w:rPr>
                <w:rFonts w:ascii="宋体" w:hAnsi="宋体"/>
                <w:szCs w:val="21"/>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79AA4C1A">
            <w:pPr>
              <w:jc w:val="center"/>
              <w:rPr>
                <w:rFonts w:hint="eastAsia" w:ascii="宋体" w:hAnsi="宋体"/>
              </w:rPr>
            </w:pPr>
          </w:p>
        </w:tc>
      </w:tr>
      <w:tr w14:paraId="11934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03B4A125">
            <w:pPr>
              <w:keepNext w:val="0"/>
              <w:keepLines w:val="0"/>
              <w:widowControl/>
              <w:suppressLineNumbers w:val="0"/>
              <w:jc w:val="center"/>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101-1</w:t>
            </w:r>
          </w:p>
        </w:tc>
        <w:tc>
          <w:tcPr>
            <w:tcW w:w="4533" w:type="dxa"/>
            <w:tcBorders>
              <w:top w:val="single" w:color="auto" w:sz="6" w:space="0"/>
              <w:left w:val="single" w:color="auto" w:sz="6" w:space="0"/>
              <w:bottom w:val="single" w:color="auto" w:sz="6" w:space="0"/>
              <w:right w:val="single" w:color="auto" w:sz="6" w:space="0"/>
            </w:tcBorders>
            <w:noWrap w:val="0"/>
            <w:vAlign w:val="center"/>
          </w:tcPr>
          <w:p w14:paraId="25FCE19C">
            <w:pPr>
              <w:keepNext w:val="0"/>
              <w:keepLines w:val="0"/>
              <w:widowControl/>
              <w:suppressLineNumbers w:val="0"/>
              <w:jc w:val="left"/>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保险费</w:t>
            </w:r>
          </w:p>
        </w:tc>
        <w:tc>
          <w:tcPr>
            <w:tcW w:w="855" w:type="dxa"/>
            <w:tcBorders>
              <w:top w:val="single" w:color="auto" w:sz="6" w:space="0"/>
              <w:left w:val="single" w:color="auto" w:sz="6" w:space="0"/>
              <w:bottom w:val="single" w:color="auto" w:sz="6" w:space="0"/>
              <w:right w:val="single" w:color="auto" w:sz="6" w:space="0"/>
            </w:tcBorders>
            <w:noWrap w:val="0"/>
            <w:vAlign w:val="center"/>
          </w:tcPr>
          <w:p w14:paraId="11222A38">
            <w:pPr>
              <w:jc w:val="center"/>
              <w:rPr>
                <w:rFonts w:hint="eastAsia" w:ascii="宋体" w:hAnsi="宋体"/>
                <w:sz w:val="21"/>
                <w:szCs w:val="21"/>
              </w:rPr>
            </w:pPr>
          </w:p>
        </w:tc>
        <w:tc>
          <w:tcPr>
            <w:tcW w:w="918" w:type="dxa"/>
            <w:tcBorders>
              <w:top w:val="single" w:color="auto" w:sz="6" w:space="0"/>
              <w:left w:val="single" w:color="auto" w:sz="6" w:space="0"/>
              <w:bottom w:val="single" w:color="auto" w:sz="6" w:space="0"/>
              <w:right w:val="single" w:color="auto" w:sz="6" w:space="0"/>
            </w:tcBorders>
            <w:noWrap w:val="0"/>
            <w:vAlign w:val="center"/>
          </w:tcPr>
          <w:p w14:paraId="336744D2">
            <w:pPr>
              <w:jc w:val="right"/>
              <w:rPr>
                <w:rFonts w:hint="eastAsia" w:ascii="宋体" w:hAnsi="宋体"/>
                <w:sz w:val="21"/>
                <w:szCs w:val="21"/>
              </w:rPr>
            </w:pPr>
          </w:p>
        </w:tc>
        <w:tc>
          <w:tcPr>
            <w:tcW w:w="973" w:type="dxa"/>
            <w:tcBorders>
              <w:top w:val="single" w:color="auto" w:sz="6" w:space="0"/>
              <w:left w:val="single" w:color="auto" w:sz="6" w:space="0"/>
              <w:bottom w:val="single" w:color="auto" w:sz="6" w:space="0"/>
              <w:right w:val="single" w:color="auto" w:sz="6" w:space="0"/>
            </w:tcBorders>
            <w:noWrap w:val="0"/>
            <w:vAlign w:val="center"/>
          </w:tcPr>
          <w:p w14:paraId="12480061">
            <w:pPr>
              <w:jc w:val="center"/>
              <w:rPr>
                <w:rFonts w:hint="eastAsia" w:ascii="宋体" w:hAnsi="宋体"/>
                <w:szCs w:val="21"/>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71FEE875">
            <w:pPr>
              <w:jc w:val="center"/>
              <w:rPr>
                <w:rFonts w:hint="eastAsia" w:ascii="宋体" w:hAnsi="宋体"/>
              </w:rPr>
            </w:pPr>
          </w:p>
        </w:tc>
      </w:tr>
      <w:tr w14:paraId="2450F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332D1618">
            <w:pPr>
              <w:keepNext w:val="0"/>
              <w:keepLines w:val="0"/>
              <w:widowControl/>
              <w:suppressLineNumbers w:val="0"/>
              <w:jc w:val="center"/>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-a</w:t>
            </w:r>
          </w:p>
        </w:tc>
        <w:tc>
          <w:tcPr>
            <w:tcW w:w="4533" w:type="dxa"/>
            <w:tcBorders>
              <w:top w:val="single" w:color="auto" w:sz="6" w:space="0"/>
              <w:left w:val="single" w:color="auto" w:sz="6" w:space="0"/>
              <w:bottom w:val="single" w:color="auto" w:sz="6" w:space="0"/>
              <w:right w:val="single" w:color="auto" w:sz="6" w:space="0"/>
            </w:tcBorders>
            <w:noWrap w:val="0"/>
            <w:vAlign w:val="center"/>
          </w:tcPr>
          <w:p w14:paraId="301F51E5">
            <w:pPr>
              <w:keepNext w:val="0"/>
              <w:keepLines w:val="0"/>
              <w:widowControl/>
              <w:suppressLineNumbers w:val="0"/>
              <w:jc w:val="left"/>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按合同条款规定，提供建筑工程一切险</w:t>
            </w:r>
          </w:p>
        </w:tc>
        <w:tc>
          <w:tcPr>
            <w:tcW w:w="855" w:type="dxa"/>
            <w:tcBorders>
              <w:top w:val="single" w:color="auto" w:sz="6" w:space="0"/>
              <w:left w:val="single" w:color="auto" w:sz="6" w:space="0"/>
              <w:bottom w:val="single" w:color="auto" w:sz="6" w:space="0"/>
              <w:right w:val="single" w:color="auto" w:sz="6" w:space="0"/>
            </w:tcBorders>
            <w:noWrap w:val="0"/>
            <w:vAlign w:val="center"/>
          </w:tcPr>
          <w:p w14:paraId="1490D3E9">
            <w:pPr>
              <w:keepNext w:val="0"/>
              <w:keepLines w:val="0"/>
              <w:widowControl/>
              <w:suppressLineNumbers w:val="0"/>
              <w:jc w:val="center"/>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总额</w:t>
            </w:r>
          </w:p>
        </w:tc>
        <w:tc>
          <w:tcPr>
            <w:tcW w:w="918" w:type="dxa"/>
            <w:tcBorders>
              <w:top w:val="single" w:color="auto" w:sz="6" w:space="0"/>
              <w:left w:val="single" w:color="auto" w:sz="6" w:space="0"/>
              <w:bottom w:val="single" w:color="auto" w:sz="6" w:space="0"/>
              <w:right w:val="single" w:color="auto" w:sz="6" w:space="0"/>
            </w:tcBorders>
            <w:noWrap w:val="0"/>
            <w:vAlign w:val="center"/>
          </w:tcPr>
          <w:p w14:paraId="2F3A5FCD">
            <w:pPr>
              <w:keepNext w:val="0"/>
              <w:keepLines w:val="0"/>
              <w:widowControl/>
              <w:suppressLineNumbers w:val="0"/>
              <w:jc w:val="right"/>
              <w:textAlignment w:val="center"/>
              <w:rPr>
                <w:rFonts w:hint="eastAsia" w:ascii="宋体" w:hAnsi="宋体"/>
                <w:sz w:val="21"/>
                <w:szCs w:val="21"/>
              </w:rPr>
            </w:pPr>
            <w:r>
              <w:rPr>
                <w:rFonts w:hint="default" w:ascii="Arial Narrow" w:hAnsi="Arial Narrow" w:eastAsia="Arial Narrow" w:cs="Arial Narrow"/>
                <w:i w:val="0"/>
                <w:iCs w:val="0"/>
                <w:color w:val="000000"/>
                <w:kern w:val="0"/>
                <w:sz w:val="21"/>
                <w:szCs w:val="21"/>
                <w:u w:val="none"/>
                <w:lang w:val="en-US" w:eastAsia="zh-CN" w:bidi="ar"/>
              </w:rPr>
              <w:t>1</w:t>
            </w:r>
          </w:p>
        </w:tc>
        <w:tc>
          <w:tcPr>
            <w:tcW w:w="973" w:type="dxa"/>
            <w:tcBorders>
              <w:top w:val="single" w:color="auto" w:sz="6" w:space="0"/>
              <w:left w:val="single" w:color="auto" w:sz="6" w:space="0"/>
              <w:bottom w:val="single" w:color="auto" w:sz="6" w:space="0"/>
              <w:right w:val="single" w:color="auto" w:sz="6" w:space="0"/>
            </w:tcBorders>
            <w:noWrap w:val="0"/>
            <w:vAlign w:val="center"/>
          </w:tcPr>
          <w:p w14:paraId="211550F4">
            <w:pPr>
              <w:jc w:val="center"/>
              <w:rPr>
                <w:rFonts w:hint="eastAsia" w:ascii="宋体" w:hAnsi="宋体"/>
                <w:szCs w:val="21"/>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51C781FA">
            <w:pPr>
              <w:jc w:val="center"/>
              <w:rPr>
                <w:rFonts w:hint="eastAsia" w:ascii="宋体" w:hAnsi="宋体"/>
              </w:rPr>
            </w:pPr>
          </w:p>
        </w:tc>
      </w:tr>
      <w:tr w14:paraId="6AB45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3DE4473F">
            <w:pPr>
              <w:keepNext w:val="0"/>
              <w:keepLines w:val="0"/>
              <w:widowControl/>
              <w:suppressLineNumbers w:val="0"/>
              <w:jc w:val="center"/>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102</w:t>
            </w:r>
          </w:p>
        </w:tc>
        <w:tc>
          <w:tcPr>
            <w:tcW w:w="4533" w:type="dxa"/>
            <w:tcBorders>
              <w:top w:val="single" w:color="auto" w:sz="6" w:space="0"/>
              <w:left w:val="single" w:color="auto" w:sz="6" w:space="0"/>
              <w:bottom w:val="single" w:color="auto" w:sz="6" w:space="0"/>
              <w:right w:val="single" w:color="auto" w:sz="6" w:space="0"/>
            </w:tcBorders>
            <w:noWrap w:val="0"/>
            <w:vAlign w:val="center"/>
          </w:tcPr>
          <w:p w14:paraId="4DBC3DD9">
            <w:pPr>
              <w:keepNext w:val="0"/>
              <w:keepLines w:val="0"/>
              <w:widowControl/>
              <w:suppressLineNumbers w:val="0"/>
              <w:jc w:val="left"/>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工程管理</w:t>
            </w:r>
          </w:p>
        </w:tc>
        <w:tc>
          <w:tcPr>
            <w:tcW w:w="855" w:type="dxa"/>
            <w:tcBorders>
              <w:top w:val="single" w:color="auto" w:sz="6" w:space="0"/>
              <w:left w:val="single" w:color="auto" w:sz="6" w:space="0"/>
              <w:bottom w:val="single" w:color="auto" w:sz="6" w:space="0"/>
              <w:right w:val="single" w:color="auto" w:sz="6" w:space="0"/>
            </w:tcBorders>
            <w:noWrap w:val="0"/>
            <w:vAlign w:val="center"/>
          </w:tcPr>
          <w:p w14:paraId="6949B09A">
            <w:pPr>
              <w:jc w:val="center"/>
              <w:rPr>
                <w:rFonts w:hint="eastAsia" w:ascii="宋体" w:hAnsi="宋体"/>
                <w:sz w:val="21"/>
                <w:szCs w:val="21"/>
              </w:rPr>
            </w:pPr>
          </w:p>
        </w:tc>
        <w:tc>
          <w:tcPr>
            <w:tcW w:w="918" w:type="dxa"/>
            <w:tcBorders>
              <w:top w:val="single" w:color="auto" w:sz="6" w:space="0"/>
              <w:left w:val="single" w:color="auto" w:sz="6" w:space="0"/>
              <w:bottom w:val="single" w:color="auto" w:sz="6" w:space="0"/>
              <w:right w:val="single" w:color="auto" w:sz="6" w:space="0"/>
            </w:tcBorders>
            <w:noWrap w:val="0"/>
            <w:vAlign w:val="center"/>
          </w:tcPr>
          <w:p w14:paraId="65C23558">
            <w:pPr>
              <w:jc w:val="right"/>
              <w:rPr>
                <w:rFonts w:hint="eastAsia" w:ascii="宋体" w:hAnsi="宋体"/>
                <w:sz w:val="21"/>
                <w:szCs w:val="21"/>
              </w:rPr>
            </w:pPr>
          </w:p>
        </w:tc>
        <w:tc>
          <w:tcPr>
            <w:tcW w:w="973" w:type="dxa"/>
            <w:tcBorders>
              <w:top w:val="single" w:color="auto" w:sz="6" w:space="0"/>
              <w:left w:val="single" w:color="auto" w:sz="6" w:space="0"/>
              <w:bottom w:val="single" w:color="auto" w:sz="6" w:space="0"/>
              <w:right w:val="single" w:color="auto" w:sz="6" w:space="0"/>
            </w:tcBorders>
            <w:noWrap w:val="0"/>
            <w:vAlign w:val="center"/>
          </w:tcPr>
          <w:p w14:paraId="63E3EB7C">
            <w:pPr>
              <w:jc w:val="center"/>
              <w:rPr>
                <w:rFonts w:hint="eastAsia" w:ascii="宋体" w:hAnsi="宋体"/>
                <w:szCs w:val="21"/>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5A9CC78D">
            <w:pPr>
              <w:jc w:val="center"/>
              <w:rPr>
                <w:rFonts w:hint="eastAsia" w:ascii="宋体" w:hAnsi="宋体"/>
              </w:rPr>
            </w:pPr>
          </w:p>
        </w:tc>
      </w:tr>
      <w:tr w14:paraId="191FF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2545E4C2">
            <w:pPr>
              <w:keepNext w:val="0"/>
              <w:keepLines w:val="0"/>
              <w:widowControl/>
              <w:suppressLineNumbers w:val="0"/>
              <w:jc w:val="center"/>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102-1</w:t>
            </w:r>
          </w:p>
        </w:tc>
        <w:tc>
          <w:tcPr>
            <w:tcW w:w="4533" w:type="dxa"/>
            <w:tcBorders>
              <w:top w:val="single" w:color="auto" w:sz="6" w:space="0"/>
              <w:left w:val="single" w:color="auto" w:sz="6" w:space="0"/>
              <w:bottom w:val="single" w:color="auto" w:sz="6" w:space="0"/>
              <w:right w:val="single" w:color="auto" w:sz="6" w:space="0"/>
            </w:tcBorders>
            <w:noWrap w:val="0"/>
            <w:vAlign w:val="center"/>
          </w:tcPr>
          <w:p w14:paraId="72E14022">
            <w:pPr>
              <w:keepNext w:val="0"/>
              <w:keepLines w:val="0"/>
              <w:widowControl/>
              <w:suppressLineNumbers w:val="0"/>
              <w:jc w:val="left"/>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档案资料编制费</w:t>
            </w:r>
          </w:p>
        </w:tc>
        <w:tc>
          <w:tcPr>
            <w:tcW w:w="855" w:type="dxa"/>
            <w:tcBorders>
              <w:top w:val="single" w:color="auto" w:sz="6" w:space="0"/>
              <w:left w:val="single" w:color="auto" w:sz="6" w:space="0"/>
              <w:bottom w:val="single" w:color="auto" w:sz="6" w:space="0"/>
              <w:right w:val="single" w:color="auto" w:sz="6" w:space="0"/>
            </w:tcBorders>
            <w:noWrap w:val="0"/>
            <w:vAlign w:val="center"/>
          </w:tcPr>
          <w:p w14:paraId="5D25AF2D">
            <w:pPr>
              <w:keepNext w:val="0"/>
              <w:keepLines w:val="0"/>
              <w:widowControl/>
              <w:suppressLineNumbers w:val="0"/>
              <w:jc w:val="center"/>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总额</w:t>
            </w:r>
          </w:p>
        </w:tc>
        <w:tc>
          <w:tcPr>
            <w:tcW w:w="918" w:type="dxa"/>
            <w:tcBorders>
              <w:top w:val="single" w:color="auto" w:sz="6" w:space="0"/>
              <w:left w:val="single" w:color="auto" w:sz="6" w:space="0"/>
              <w:bottom w:val="single" w:color="auto" w:sz="6" w:space="0"/>
              <w:right w:val="single" w:color="auto" w:sz="6" w:space="0"/>
            </w:tcBorders>
            <w:noWrap w:val="0"/>
            <w:vAlign w:val="center"/>
          </w:tcPr>
          <w:p w14:paraId="7F50607A">
            <w:pPr>
              <w:keepNext w:val="0"/>
              <w:keepLines w:val="0"/>
              <w:widowControl/>
              <w:suppressLineNumbers w:val="0"/>
              <w:jc w:val="right"/>
              <w:textAlignment w:val="center"/>
              <w:rPr>
                <w:rFonts w:hint="eastAsia" w:ascii="宋体" w:hAnsi="宋体"/>
                <w:sz w:val="21"/>
                <w:szCs w:val="21"/>
              </w:rPr>
            </w:pPr>
            <w:r>
              <w:rPr>
                <w:rFonts w:hint="default" w:ascii="Arial Narrow" w:hAnsi="Arial Narrow" w:eastAsia="Arial Narrow" w:cs="Arial Narrow"/>
                <w:i w:val="0"/>
                <w:iCs w:val="0"/>
                <w:color w:val="000000"/>
                <w:kern w:val="0"/>
                <w:sz w:val="21"/>
                <w:szCs w:val="21"/>
                <w:u w:val="none"/>
                <w:lang w:val="en-US" w:eastAsia="zh-CN" w:bidi="ar"/>
              </w:rPr>
              <w:t>1</w:t>
            </w:r>
          </w:p>
        </w:tc>
        <w:tc>
          <w:tcPr>
            <w:tcW w:w="973" w:type="dxa"/>
            <w:tcBorders>
              <w:top w:val="single" w:color="auto" w:sz="6" w:space="0"/>
              <w:left w:val="single" w:color="auto" w:sz="6" w:space="0"/>
              <w:bottom w:val="single" w:color="auto" w:sz="6" w:space="0"/>
              <w:right w:val="single" w:color="auto" w:sz="6" w:space="0"/>
            </w:tcBorders>
            <w:noWrap w:val="0"/>
            <w:vAlign w:val="center"/>
          </w:tcPr>
          <w:p w14:paraId="4258F668">
            <w:pPr>
              <w:jc w:val="center"/>
              <w:rPr>
                <w:rFonts w:hint="eastAsia" w:ascii="宋体" w:hAnsi="宋体"/>
                <w:szCs w:val="21"/>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05730216">
            <w:pPr>
              <w:jc w:val="center"/>
              <w:rPr>
                <w:rFonts w:hint="eastAsia" w:ascii="宋体" w:hAnsi="宋体"/>
              </w:rPr>
            </w:pPr>
          </w:p>
        </w:tc>
      </w:tr>
      <w:tr w14:paraId="479DD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403E9512">
            <w:pPr>
              <w:keepNext w:val="0"/>
              <w:keepLines w:val="0"/>
              <w:widowControl/>
              <w:suppressLineNumbers w:val="0"/>
              <w:jc w:val="center"/>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102-2</w:t>
            </w:r>
          </w:p>
        </w:tc>
        <w:tc>
          <w:tcPr>
            <w:tcW w:w="4533" w:type="dxa"/>
            <w:tcBorders>
              <w:top w:val="single" w:color="auto" w:sz="6" w:space="0"/>
              <w:left w:val="single" w:color="auto" w:sz="6" w:space="0"/>
              <w:bottom w:val="single" w:color="auto" w:sz="6" w:space="0"/>
              <w:right w:val="single" w:color="auto" w:sz="6" w:space="0"/>
            </w:tcBorders>
            <w:noWrap w:val="0"/>
            <w:vAlign w:val="center"/>
          </w:tcPr>
          <w:p w14:paraId="5231485B">
            <w:pPr>
              <w:keepNext w:val="0"/>
              <w:keepLines w:val="0"/>
              <w:widowControl/>
              <w:suppressLineNumbers w:val="0"/>
              <w:jc w:val="left"/>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施工环保费</w:t>
            </w:r>
          </w:p>
        </w:tc>
        <w:tc>
          <w:tcPr>
            <w:tcW w:w="855" w:type="dxa"/>
            <w:tcBorders>
              <w:top w:val="single" w:color="auto" w:sz="6" w:space="0"/>
              <w:left w:val="single" w:color="auto" w:sz="6" w:space="0"/>
              <w:bottom w:val="single" w:color="auto" w:sz="6" w:space="0"/>
              <w:right w:val="single" w:color="auto" w:sz="6" w:space="0"/>
            </w:tcBorders>
            <w:noWrap w:val="0"/>
            <w:vAlign w:val="center"/>
          </w:tcPr>
          <w:p w14:paraId="5B8D9BC7">
            <w:pPr>
              <w:keepNext w:val="0"/>
              <w:keepLines w:val="0"/>
              <w:widowControl/>
              <w:suppressLineNumbers w:val="0"/>
              <w:jc w:val="center"/>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总额</w:t>
            </w:r>
          </w:p>
        </w:tc>
        <w:tc>
          <w:tcPr>
            <w:tcW w:w="918" w:type="dxa"/>
            <w:tcBorders>
              <w:top w:val="single" w:color="auto" w:sz="6" w:space="0"/>
              <w:left w:val="single" w:color="auto" w:sz="6" w:space="0"/>
              <w:bottom w:val="single" w:color="auto" w:sz="6" w:space="0"/>
              <w:right w:val="single" w:color="auto" w:sz="6" w:space="0"/>
            </w:tcBorders>
            <w:noWrap w:val="0"/>
            <w:vAlign w:val="center"/>
          </w:tcPr>
          <w:p w14:paraId="1413500F">
            <w:pPr>
              <w:keepNext w:val="0"/>
              <w:keepLines w:val="0"/>
              <w:widowControl/>
              <w:suppressLineNumbers w:val="0"/>
              <w:jc w:val="right"/>
              <w:textAlignment w:val="center"/>
              <w:rPr>
                <w:rFonts w:hint="eastAsia" w:ascii="宋体" w:hAnsi="宋体"/>
                <w:sz w:val="21"/>
                <w:szCs w:val="21"/>
              </w:rPr>
            </w:pPr>
            <w:r>
              <w:rPr>
                <w:rFonts w:hint="default" w:ascii="Arial Narrow" w:hAnsi="Arial Narrow" w:eastAsia="Arial Narrow" w:cs="Arial Narrow"/>
                <w:i w:val="0"/>
                <w:iCs w:val="0"/>
                <w:color w:val="000000"/>
                <w:kern w:val="0"/>
                <w:sz w:val="21"/>
                <w:szCs w:val="21"/>
                <w:u w:val="none"/>
                <w:lang w:val="en-US" w:eastAsia="zh-CN" w:bidi="ar"/>
              </w:rPr>
              <w:t>1</w:t>
            </w:r>
          </w:p>
        </w:tc>
        <w:tc>
          <w:tcPr>
            <w:tcW w:w="973" w:type="dxa"/>
            <w:tcBorders>
              <w:top w:val="single" w:color="auto" w:sz="6" w:space="0"/>
              <w:left w:val="single" w:color="auto" w:sz="6" w:space="0"/>
              <w:bottom w:val="single" w:color="auto" w:sz="6" w:space="0"/>
              <w:right w:val="single" w:color="auto" w:sz="6" w:space="0"/>
            </w:tcBorders>
            <w:noWrap w:val="0"/>
            <w:vAlign w:val="center"/>
          </w:tcPr>
          <w:p w14:paraId="3968C9BF">
            <w:pPr>
              <w:jc w:val="center"/>
              <w:rPr>
                <w:rFonts w:hint="eastAsia" w:ascii="宋体" w:hAnsi="宋体"/>
                <w:szCs w:val="21"/>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67691F9D">
            <w:pPr>
              <w:jc w:val="center"/>
              <w:rPr>
                <w:rFonts w:hint="eastAsia" w:ascii="宋体" w:hAnsi="宋体"/>
              </w:rPr>
            </w:pPr>
          </w:p>
        </w:tc>
      </w:tr>
      <w:tr w14:paraId="3ECF6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0FF85EB2">
            <w:pPr>
              <w:keepNext w:val="0"/>
              <w:keepLines w:val="0"/>
              <w:widowControl/>
              <w:suppressLineNumbers w:val="0"/>
              <w:jc w:val="center"/>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102-4</w:t>
            </w:r>
          </w:p>
        </w:tc>
        <w:tc>
          <w:tcPr>
            <w:tcW w:w="4533" w:type="dxa"/>
            <w:tcBorders>
              <w:top w:val="single" w:color="auto" w:sz="6" w:space="0"/>
              <w:left w:val="single" w:color="auto" w:sz="6" w:space="0"/>
              <w:bottom w:val="single" w:color="auto" w:sz="6" w:space="0"/>
              <w:right w:val="single" w:color="auto" w:sz="6" w:space="0"/>
            </w:tcBorders>
            <w:noWrap w:val="0"/>
            <w:vAlign w:val="center"/>
          </w:tcPr>
          <w:p w14:paraId="4AB9CB84">
            <w:pPr>
              <w:keepNext w:val="0"/>
              <w:keepLines w:val="0"/>
              <w:widowControl/>
              <w:suppressLineNumbers w:val="0"/>
              <w:jc w:val="left"/>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安全生产费</w:t>
            </w:r>
          </w:p>
        </w:tc>
        <w:tc>
          <w:tcPr>
            <w:tcW w:w="855" w:type="dxa"/>
            <w:tcBorders>
              <w:top w:val="single" w:color="auto" w:sz="6" w:space="0"/>
              <w:left w:val="single" w:color="auto" w:sz="6" w:space="0"/>
              <w:bottom w:val="single" w:color="auto" w:sz="6" w:space="0"/>
              <w:right w:val="single" w:color="auto" w:sz="6" w:space="0"/>
            </w:tcBorders>
            <w:noWrap w:val="0"/>
            <w:vAlign w:val="center"/>
          </w:tcPr>
          <w:p w14:paraId="30EA9710">
            <w:pPr>
              <w:keepNext w:val="0"/>
              <w:keepLines w:val="0"/>
              <w:widowControl/>
              <w:suppressLineNumbers w:val="0"/>
              <w:jc w:val="center"/>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总额</w:t>
            </w:r>
          </w:p>
        </w:tc>
        <w:tc>
          <w:tcPr>
            <w:tcW w:w="918" w:type="dxa"/>
            <w:tcBorders>
              <w:top w:val="single" w:color="auto" w:sz="6" w:space="0"/>
              <w:left w:val="single" w:color="auto" w:sz="6" w:space="0"/>
              <w:bottom w:val="single" w:color="auto" w:sz="6" w:space="0"/>
              <w:right w:val="single" w:color="auto" w:sz="6" w:space="0"/>
            </w:tcBorders>
            <w:noWrap w:val="0"/>
            <w:vAlign w:val="center"/>
          </w:tcPr>
          <w:p w14:paraId="146ABC60">
            <w:pPr>
              <w:keepNext w:val="0"/>
              <w:keepLines w:val="0"/>
              <w:widowControl/>
              <w:suppressLineNumbers w:val="0"/>
              <w:jc w:val="right"/>
              <w:textAlignment w:val="center"/>
              <w:rPr>
                <w:rFonts w:hint="eastAsia" w:ascii="宋体" w:hAnsi="宋体"/>
                <w:sz w:val="21"/>
                <w:szCs w:val="21"/>
              </w:rPr>
            </w:pPr>
            <w:r>
              <w:rPr>
                <w:rFonts w:hint="default" w:ascii="Arial Narrow" w:hAnsi="Arial Narrow" w:eastAsia="Arial Narrow" w:cs="Arial Narrow"/>
                <w:i w:val="0"/>
                <w:iCs w:val="0"/>
                <w:color w:val="000000"/>
                <w:kern w:val="0"/>
                <w:sz w:val="21"/>
                <w:szCs w:val="21"/>
                <w:u w:val="none"/>
                <w:lang w:val="en-US" w:eastAsia="zh-CN" w:bidi="ar"/>
              </w:rPr>
              <w:t>1</w:t>
            </w:r>
          </w:p>
        </w:tc>
        <w:tc>
          <w:tcPr>
            <w:tcW w:w="973" w:type="dxa"/>
            <w:tcBorders>
              <w:top w:val="single" w:color="auto" w:sz="6" w:space="0"/>
              <w:left w:val="single" w:color="auto" w:sz="6" w:space="0"/>
              <w:bottom w:val="single" w:color="auto" w:sz="6" w:space="0"/>
              <w:right w:val="single" w:color="auto" w:sz="6" w:space="0"/>
            </w:tcBorders>
            <w:noWrap w:val="0"/>
            <w:vAlign w:val="center"/>
          </w:tcPr>
          <w:p w14:paraId="5543D5E9">
            <w:pPr>
              <w:jc w:val="center"/>
              <w:rPr>
                <w:rFonts w:hint="eastAsia" w:ascii="宋体" w:hAnsi="宋体"/>
                <w:szCs w:val="21"/>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5D187C9F">
            <w:pPr>
              <w:jc w:val="center"/>
              <w:rPr>
                <w:rFonts w:hint="eastAsia" w:ascii="宋体" w:hAnsi="宋体"/>
              </w:rPr>
            </w:pPr>
          </w:p>
        </w:tc>
      </w:tr>
      <w:tr w14:paraId="1F350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305745E8">
            <w:pPr>
              <w:keepNext w:val="0"/>
              <w:keepLines w:val="0"/>
              <w:widowControl/>
              <w:suppressLineNumbers w:val="0"/>
              <w:jc w:val="center"/>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104</w:t>
            </w:r>
          </w:p>
        </w:tc>
        <w:tc>
          <w:tcPr>
            <w:tcW w:w="4533" w:type="dxa"/>
            <w:tcBorders>
              <w:top w:val="single" w:color="auto" w:sz="6" w:space="0"/>
              <w:left w:val="single" w:color="auto" w:sz="6" w:space="0"/>
              <w:bottom w:val="single" w:color="auto" w:sz="6" w:space="0"/>
              <w:right w:val="single" w:color="auto" w:sz="6" w:space="0"/>
            </w:tcBorders>
            <w:noWrap w:val="0"/>
            <w:vAlign w:val="center"/>
          </w:tcPr>
          <w:p w14:paraId="60B9DB8E">
            <w:pPr>
              <w:keepNext w:val="0"/>
              <w:keepLines w:val="0"/>
              <w:widowControl/>
              <w:suppressLineNumbers w:val="0"/>
              <w:jc w:val="left"/>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承包人驻地建设</w:t>
            </w:r>
          </w:p>
        </w:tc>
        <w:tc>
          <w:tcPr>
            <w:tcW w:w="855" w:type="dxa"/>
            <w:tcBorders>
              <w:top w:val="single" w:color="auto" w:sz="6" w:space="0"/>
              <w:left w:val="single" w:color="auto" w:sz="6" w:space="0"/>
              <w:bottom w:val="single" w:color="auto" w:sz="6" w:space="0"/>
              <w:right w:val="single" w:color="auto" w:sz="6" w:space="0"/>
            </w:tcBorders>
            <w:noWrap w:val="0"/>
            <w:vAlign w:val="center"/>
          </w:tcPr>
          <w:p w14:paraId="5425ED2E">
            <w:pPr>
              <w:jc w:val="center"/>
              <w:rPr>
                <w:rFonts w:hint="eastAsia" w:ascii="宋体" w:hAnsi="宋体"/>
                <w:sz w:val="21"/>
                <w:szCs w:val="21"/>
              </w:rPr>
            </w:pPr>
          </w:p>
        </w:tc>
        <w:tc>
          <w:tcPr>
            <w:tcW w:w="918" w:type="dxa"/>
            <w:tcBorders>
              <w:top w:val="single" w:color="auto" w:sz="6" w:space="0"/>
              <w:left w:val="single" w:color="auto" w:sz="6" w:space="0"/>
              <w:bottom w:val="single" w:color="auto" w:sz="6" w:space="0"/>
              <w:right w:val="single" w:color="auto" w:sz="6" w:space="0"/>
            </w:tcBorders>
            <w:noWrap w:val="0"/>
            <w:vAlign w:val="center"/>
          </w:tcPr>
          <w:p w14:paraId="32FA08D4">
            <w:pPr>
              <w:jc w:val="right"/>
              <w:rPr>
                <w:rFonts w:hint="eastAsia" w:ascii="宋体" w:hAnsi="宋体"/>
                <w:sz w:val="21"/>
                <w:szCs w:val="21"/>
              </w:rPr>
            </w:pPr>
          </w:p>
        </w:tc>
        <w:tc>
          <w:tcPr>
            <w:tcW w:w="973" w:type="dxa"/>
            <w:tcBorders>
              <w:top w:val="single" w:color="auto" w:sz="6" w:space="0"/>
              <w:left w:val="single" w:color="auto" w:sz="6" w:space="0"/>
              <w:bottom w:val="single" w:color="auto" w:sz="6" w:space="0"/>
              <w:right w:val="single" w:color="auto" w:sz="6" w:space="0"/>
            </w:tcBorders>
            <w:noWrap w:val="0"/>
            <w:vAlign w:val="center"/>
          </w:tcPr>
          <w:p w14:paraId="51398451">
            <w:pPr>
              <w:jc w:val="center"/>
              <w:rPr>
                <w:rFonts w:hint="eastAsia" w:ascii="宋体" w:hAnsi="宋体"/>
                <w:szCs w:val="21"/>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28EB8A89">
            <w:pPr>
              <w:jc w:val="center"/>
              <w:rPr>
                <w:rFonts w:hint="eastAsia" w:ascii="宋体" w:hAnsi="宋体"/>
              </w:rPr>
            </w:pPr>
          </w:p>
        </w:tc>
      </w:tr>
      <w:tr w14:paraId="36ED3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47E7DB30">
            <w:pPr>
              <w:keepNext w:val="0"/>
              <w:keepLines w:val="0"/>
              <w:widowControl/>
              <w:suppressLineNumbers w:val="0"/>
              <w:jc w:val="center"/>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104-1</w:t>
            </w:r>
          </w:p>
        </w:tc>
        <w:tc>
          <w:tcPr>
            <w:tcW w:w="4533" w:type="dxa"/>
            <w:tcBorders>
              <w:top w:val="single" w:color="auto" w:sz="6" w:space="0"/>
              <w:left w:val="single" w:color="auto" w:sz="6" w:space="0"/>
              <w:bottom w:val="single" w:color="auto" w:sz="6" w:space="0"/>
              <w:right w:val="single" w:color="auto" w:sz="6" w:space="0"/>
            </w:tcBorders>
            <w:noWrap w:val="0"/>
            <w:vAlign w:val="center"/>
          </w:tcPr>
          <w:p w14:paraId="2738E84C">
            <w:pPr>
              <w:keepNext w:val="0"/>
              <w:keepLines w:val="0"/>
              <w:widowControl/>
              <w:suppressLineNumbers w:val="0"/>
              <w:jc w:val="left"/>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承包人驻地建设</w:t>
            </w:r>
          </w:p>
        </w:tc>
        <w:tc>
          <w:tcPr>
            <w:tcW w:w="855" w:type="dxa"/>
            <w:tcBorders>
              <w:top w:val="single" w:color="auto" w:sz="6" w:space="0"/>
              <w:left w:val="single" w:color="auto" w:sz="6" w:space="0"/>
              <w:bottom w:val="single" w:color="auto" w:sz="6" w:space="0"/>
              <w:right w:val="single" w:color="auto" w:sz="6" w:space="0"/>
            </w:tcBorders>
            <w:noWrap w:val="0"/>
            <w:vAlign w:val="center"/>
          </w:tcPr>
          <w:p w14:paraId="059CB4A7">
            <w:pPr>
              <w:keepNext w:val="0"/>
              <w:keepLines w:val="0"/>
              <w:widowControl/>
              <w:suppressLineNumbers w:val="0"/>
              <w:jc w:val="center"/>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总额</w:t>
            </w:r>
          </w:p>
        </w:tc>
        <w:tc>
          <w:tcPr>
            <w:tcW w:w="918" w:type="dxa"/>
            <w:tcBorders>
              <w:top w:val="single" w:color="auto" w:sz="6" w:space="0"/>
              <w:left w:val="single" w:color="auto" w:sz="6" w:space="0"/>
              <w:bottom w:val="single" w:color="auto" w:sz="6" w:space="0"/>
              <w:right w:val="single" w:color="auto" w:sz="6" w:space="0"/>
            </w:tcBorders>
            <w:noWrap w:val="0"/>
            <w:vAlign w:val="center"/>
          </w:tcPr>
          <w:p w14:paraId="6CC20F32">
            <w:pPr>
              <w:keepNext w:val="0"/>
              <w:keepLines w:val="0"/>
              <w:widowControl/>
              <w:suppressLineNumbers w:val="0"/>
              <w:jc w:val="right"/>
              <w:textAlignment w:val="center"/>
              <w:rPr>
                <w:rFonts w:hint="eastAsia" w:ascii="宋体" w:hAnsi="宋体"/>
                <w:sz w:val="21"/>
                <w:szCs w:val="21"/>
              </w:rPr>
            </w:pPr>
            <w:r>
              <w:rPr>
                <w:rFonts w:hint="default" w:ascii="Arial Narrow" w:hAnsi="Arial Narrow" w:eastAsia="Arial Narrow" w:cs="Arial Narrow"/>
                <w:i w:val="0"/>
                <w:iCs w:val="0"/>
                <w:color w:val="000000"/>
                <w:kern w:val="0"/>
                <w:sz w:val="21"/>
                <w:szCs w:val="21"/>
                <w:u w:val="none"/>
                <w:lang w:val="en-US" w:eastAsia="zh-CN" w:bidi="ar"/>
              </w:rPr>
              <w:t>1</w:t>
            </w:r>
          </w:p>
        </w:tc>
        <w:tc>
          <w:tcPr>
            <w:tcW w:w="973" w:type="dxa"/>
            <w:tcBorders>
              <w:top w:val="single" w:color="auto" w:sz="6" w:space="0"/>
              <w:left w:val="single" w:color="auto" w:sz="6" w:space="0"/>
              <w:bottom w:val="single" w:color="auto" w:sz="6" w:space="0"/>
              <w:right w:val="single" w:color="auto" w:sz="6" w:space="0"/>
            </w:tcBorders>
            <w:noWrap w:val="0"/>
            <w:vAlign w:val="center"/>
          </w:tcPr>
          <w:p w14:paraId="13B85FF5">
            <w:pPr>
              <w:jc w:val="center"/>
              <w:rPr>
                <w:rFonts w:hint="eastAsia" w:ascii="宋体" w:hAnsi="宋体"/>
                <w:szCs w:val="21"/>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28282903">
            <w:pPr>
              <w:jc w:val="center"/>
              <w:rPr>
                <w:rFonts w:hint="eastAsia" w:ascii="宋体" w:hAnsi="宋体"/>
                <w:b/>
              </w:rPr>
            </w:pPr>
          </w:p>
        </w:tc>
      </w:tr>
      <w:tr w14:paraId="6085A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2B4403D5">
            <w:pPr>
              <w:keepNext w:val="0"/>
              <w:keepLines w:val="0"/>
              <w:widowControl/>
              <w:suppressLineNumbers w:val="0"/>
              <w:jc w:val="center"/>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105</w:t>
            </w:r>
          </w:p>
        </w:tc>
        <w:tc>
          <w:tcPr>
            <w:tcW w:w="4533" w:type="dxa"/>
            <w:tcBorders>
              <w:top w:val="single" w:color="auto" w:sz="6" w:space="0"/>
              <w:left w:val="single" w:color="auto" w:sz="6" w:space="0"/>
              <w:bottom w:val="single" w:color="auto" w:sz="6" w:space="0"/>
              <w:right w:val="single" w:color="auto" w:sz="6" w:space="0"/>
            </w:tcBorders>
            <w:noWrap w:val="0"/>
            <w:vAlign w:val="center"/>
          </w:tcPr>
          <w:p w14:paraId="6E7F727A">
            <w:pPr>
              <w:keepNext w:val="0"/>
              <w:keepLines w:val="0"/>
              <w:widowControl/>
              <w:suppressLineNumbers w:val="0"/>
              <w:jc w:val="left"/>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巡查费</w:t>
            </w:r>
          </w:p>
        </w:tc>
        <w:tc>
          <w:tcPr>
            <w:tcW w:w="855" w:type="dxa"/>
            <w:tcBorders>
              <w:top w:val="single" w:color="auto" w:sz="6" w:space="0"/>
              <w:left w:val="single" w:color="auto" w:sz="6" w:space="0"/>
              <w:bottom w:val="single" w:color="auto" w:sz="6" w:space="0"/>
              <w:right w:val="single" w:color="auto" w:sz="6" w:space="0"/>
            </w:tcBorders>
            <w:noWrap w:val="0"/>
            <w:vAlign w:val="center"/>
          </w:tcPr>
          <w:p w14:paraId="69305BB6">
            <w:pPr>
              <w:jc w:val="center"/>
              <w:rPr>
                <w:rFonts w:hint="eastAsia" w:ascii="宋体" w:hAnsi="宋体"/>
                <w:sz w:val="21"/>
                <w:szCs w:val="21"/>
              </w:rPr>
            </w:pPr>
          </w:p>
        </w:tc>
        <w:tc>
          <w:tcPr>
            <w:tcW w:w="918" w:type="dxa"/>
            <w:tcBorders>
              <w:top w:val="single" w:color="auto" w:sz="6" w:space="0"/>
              <w:left w:val="single" w:color="auto" w:sz="6" w:space="0"/>
              <w:bottom w:val="single" w:color="auto" w:sz="6" w:space="0"/>
              <w:right w:val="single" w:color="auto" w:sz="6" w:space="0"/>
            </w:tcBorders>
            <w:noWrap w:val="0"/>
            <w:vAlign w:val="center"/>
          </w:tcPr>
          <w:p w14:paraId="111AD5DD">
            <w:pPr>
              <w:jc w:val="right"/>
              <w:rPr>
                <w:rFonts w:hint="eastAsia" w:ascii="宋体" w:hAnsi="宋体"/>
                <w:sz w:val="21"/>
                <w:szCs w:val="21"/>
              </w:rPr>
            </w:pPr>
          </w:p>
        </w:tc>
        <w:tc>
          <w:tcPr>
            <w:tcW w:w="973" w:type="dxa"/>
            <w:tcBorders>
              <w:top w:val="single" w:color="auto" w:sz="6" w:space="0"/>
              <w:left w:val="single" w:color="auto" w:sz="6" w:space="0"/>
              <w:bottom w:val="single" w:color="auto" w:sz="6" w:space="0"/>
              <w:right w:val="single" w:color="auto" w:sz="6" w:space="0"/>
            </w:tcBorders>
            <w:noWrap w:val="0"/>
            <w:vAlign w:val="center"/>
          </w:tcPr>
          <w:p w14:paraId="1A85407D">
            <w:pPr>
              <w:jc w:val="center"/>
              <w:rPr>
                <w:rFonts w:hint="eastAsia" w:ascii="宋体" w:hAnsi="宋体"/>
                <w:szCs w:val="21"/>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4528B7E0">
            <w:pPr>
              <w:jc w:val="center"/>
              <w:rPr>
                <w:rFonts w:hint="eastAsia" w:ascii="宋体" w:hAnsi="宋体"/>
                <w:b/>
              </w:rPr>
            </w:pPr>
          </w:p>
        </w:tc>
      </w:tr>
      <w:tr w14:paraId="4ABE7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05DD9CB2">
            <w:pPr>
              <w:keepNext w:val="0"/>
              <w:keepLines w:val="0"/>
              <w:widowControl/>
              <w:suppressLineNumbers w:val="0"/>
              <w:jc w:val="center"/>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105-1</w:t>
            </w:r>
          </w:p>
        </w:tc>
        <w:tc>
          <w:tcPr>
            <w:tcW w:w="4533" w:type="dxa"/>
            <w:tcBorders>
              <w:top w:val="single" w:color="auto" w:sz="6" w:space="0"/>
              <w:left w:val="single" w:color="auto" w:sz="6" w:space="0"/>
              <w:bottom w:val="single" w:color="auto" w:sz="6" w:space="0"/>
              <w:right w:val="single" w:color="auto" w:sz="6" w:space="0"/>
            </w:tcBorders>
            <w:noWrap w:val="0"/>
            <w:vAlign w:val="center"/>
          </w:tcPr>
          <w:p w14:paraId="753B663F">
            <w:pPr>
              <w:keepNext w:val="0"/>
              <w:keepLines w:val="0"/>
              <w:widowControl/>
              <w:suppressLineNumbers w:val="0"/>
              <w:jc w:val="left"/>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汽车巡查费（1辆）</w:t>
            </w:r>
          </w:p>
        </w:tc>
        <w:tc>
          <w:tcPr>
            <w:tcW w:w="855" w:type="dxa"/>
            <w:tcBorders>
              <w:top w:val="single" w:color="auto" w:sz="6" w:space="0"/>
              <w:left w:val="single" w:color="auto" w:sz="6" w:space="0"/>
              <w:bottom w:val="single" w:color="auto" w:sz="6" w:space="0"/>
              <w:right w:val="single" w:color="auto" w:sz="6" w:space="0"/>
            </w:tcBorders>
            <w:noWrap w:val="0"/>
            <w:vAlign w:val="center"/>
          </w:tcPr>
          <w:p w14:paraId="56DA015C">
            <w:pPr>
              <w:keepNext w:val="0"/>
              <w:keepLines w:val="0"/>
              <w:widowControl/>
              <w:suppressLineNumbers w:val="0"/>
              <w:jc w:val="center"/>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月</w:t>
            </w:r>
          </w:p>
        </w:tc>
        <w:tc>
          <w:tcPr>
            <w:tcW w:w="918" w:type="dxa"/>
            <w:tcBorders>
              <w:top w:val="single" w:color="auto" w:sz="6" w:space="0"/>
              <w:left w:val="single" w:color="auto" w:sz="6" w:space="0"/>
              <w:bottom w:val="single" w:color="auto" w:sz="6" w:space="0"/>
              <w:right w:val="single" w:color="auto" w:sz="6" w:space="0"/>
            </w:tcBorders>
            <w:noWrap w:val="0"/>
            <w:vAlign w:val="center"/>
          </w:tcPr>
          <w:p w14:paraId="75F6F362">
            <w:pPr>
              <w:keepNext w:val="0"/>
              <w:keepLines w:val="0"/>
              <w:widowControl/>
              <w:suppressLineNumbers w:val="0"/>
              <w:jc w:val="right"/>
              <w:textAlignment w:val="center"/>
              <w:rPr>
                <w:rFonts w:hint="default" w:ascii="宋体" w:hAnsi="宋体"/>
                <w:sz w:val="21"/>
                <w:szCs w:val="21"/>
                <w:lang w:val="en-US"/>
              </w:rPr>
            </w:pPr>
            <w:r>
              <w:rPr>
                <w:rFonts w:hint="default" w:ascii="Arial Narrow" w:hAnsi="Arial Narrow" w:eastAsia="Arial Narrow" w:cs="Arial Narrow"/>
                <w:i w:val="0"/>
                <w:iCs w:val="0"/>
                <w:color w:val="000000"/>
                <w:kern w:val="0"/>
                <w:sz w:val="21"/>
                <w:szCs w:val="21"/>
                <w:u w:val="none"/>
                <w:lang w:val="en-US" w:eastAsia="zh-CN" w:bidi="ar"/>
              </w:rPr>
              <w:t>10</w:t>
            </w:r>
          </w:p>
        </w:tc>
        <w:tc>
          <w:tcPr>
            <w:tcW w:w="973" w:type="dxa"/>
            <w:tcBorders>
              <w:top w:val="single" w:color="auto" w:sz="6" w:space="0"/>
              <w:left w:val="single" w:color="auto" w:sz="6" w:space="0"/>
              <w:bottom w:val="single" w:color="auto" w:sz="6" w:space="0"/>
              <w:right w:val="single" w:color="auto" w:sz="6" w:space="0"/>
            </w:tcBorders>
            <w:noWrap w:val="0"/>
            <w:vAlign w:val="center"/>
          </w:tcPr>
          <w:p w14:paraId="3CF469B6">
            <w:pPr>
              <w:jc w:val="center"/>
              <w:rPr>
                <w:rFonts w:hint="eastAsia" w:ascii="宋体" w:hAnsi="宋体"/>
                <w:szCs w:val="21"/>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5FC2F46F">
            <w:pPr>
              <w:jc w:val="center"/>
              <w:rPr>
                <w:rFonts w:hint="eastAsia" w:ascii="宋体" w:hAnsi="宋体"/>
                <w:b/>
              </w:rPr>
            </w:pPr>
          </w:p>
        </w:tc>
      </w:tr>
      <w:tr w14:paraId="5F4B6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76587628">
            <w:pPr>
              <w:keepNext w:val="0"/>
              <w:keepLines w:val="0"/>
              <w:widowControl/>
              <w:suppressLineNumbers w:val="0"/>
              <w:jc w:val="center"/>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107</w:t>
            </w:r>
          </w:p>
        </w:tc>
        <w:tc>
          <w:tcPr>
            <w:tcW w:w="4533" w:type="dxa"/>
            <w:tcBorders>
              <w:top w:val="single" w:color="auto" w:sz="6" w:space="0"/>
              <w:left w:val="single" w:color="auto" w:sz="6" w:space="0"/>
              <w:bottom w:val="single" w:color="auto" w:sz="6" w:space="0"/>
              <w:right w:val="single" w:color="auto" w:sz="6" w:space="0"/>
            </w:tcBorders>
            <w:noWrap w:val="0"/>
            <w:vAlign w:val="center"/>
          </w:tcPr>
          <w:p w14:paraId="2E935CB1">
            <w:pPr>
              <w:keepNext w:val="0"/>
              <w:keepLines w:val="0"/>
              <w:widowControl/>
              <w:suppressLineNumbers w:val="0"/>
              <w:jc w:val="left"/>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应急抢修</w:t>
            </w:r>
          </w:p>
        </w:tc>
        <w:tc>
          <w:tcPr>
            <w:tcW w:w="855" w:type="dxa"/>
            <w:tcBorders>
              <w:top w:val="single" w:color="auto" w:sz="6" w:space="0"/>
              <w:left w:val="single" w:color="auto" w:sz="6" w:space="0"/>
              <w:bottom w:val="single" w:color="auto" w:sz="6" w:space="0"/>
              <w:right w:val="single" w:color="auto" w:sz="6" w:space="0"/>
            </w:tcBorders>
            <w:noWrap w:val="0"/>
            <w:vAlign w:val="center"/>
          </w:tcPr>
          <w:p w14:paraId="3CF003ED">
            <w:pPr>
              <w:jc w:val="center"/>
              <w:rPr>
                <w:rFonts w:hint="eastAsia" w:ascii="宋体" w:hAnsi="宋体"/>
                <w:sz w:val="21"/>
                <w:szCs w:val="21"/>
              </w:rPr>
            </w:pPr>
          </w:p>
        </w:tc>
        <w:tc>
          <w:tcPr>
            <w:tcW w:w="918" w:type="dxa"/>
            <w:tcBorders>
              <w:top w:val="single" w:color="auto" w:sz="6" w:space="0"/>
              <w:left w:val="single" w:color="auto" w:sz="6" w:space="0"/>
              <w:bottom w:val="single" w:color="auto" w:sz="6" w:space="0"/>
              <w:right w:val="single" w:color="auto" w:sz="6" w:space="0"/>
            </w:tcBorders>
            <w:noWrap w:val="0"/>
            <w:vAlign w:val="center"/>
          </w:tcPr>
          <w:p w14:paraId="7F4BC2A8">
            <w:pPr>
              <w:jc w:val="right"/>
              <w:rPr>
                <w:rFonts w:hint="eastAsia" w:ascii="宋体" w:hAnsi="宋体"/>
                <w:sz w:val="21"/>
                <w:szCs w:val="21"/>
              </w:rPr>
            </w:pPr>
          </w:p>
        </w:tc>
        <w:tc>
          <w:tcPr>
            <w:tcW w:w="973" w:type="dxa"/>
            <w:tcBorders>
              <w:top w:val="single" w:color="auto" w:sz="6" w:space="0"/>
              <w:left w:val="single" w:color="auto" w:sz="6" w:space="0"/>
              <w:bottom w:val="single" w:color="auto" w:sz="6" w:space="0"/>
              <w:right w:val="single" w:color="auto" w:sz="6" w:space="0"/>
            </w:tcBorders>
            <w:noWrap w:val="0"/>
            <w:vAlign w:val="center"/>
          </w:tcPr>
          <w:p w14:paraId="49C89F16">
            <w:pPr>
              <w:jc w:val="center"/>
              <w:rPr>
                <w:rFonts w:hint="eastAsia" w:ascii="宋体" w:hAnsi="宋体"/>
                <w:szCs w:val="21"/>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46A47853">
            <w:pPr>
              <w:jc w:val="center"/>
              <w:rPr>
                <w:rFonts w:hint="eastAsia" w:ascii="宋体" w:hAnsi="宋体"/>
                <w:b/>
              </w:rPr>
            </w:pPr>
          </w:p>
        </w:tc>
      </w:tr>
      <w:tr w14:paraId="71B3D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353D06DC">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107-1</w:t>
            </w:r>
          </w:p>
        </w:tc>
        <w:tc>
          <w:tcPr>
            <w:tcW w:w="4533" w:type="dxa"/>
            <w:tcBorders>
              <w:top w:val="single" w:color="auto" w:sz="6" w:space="0"/>
              <w:left w:val="single" w:color="auto" w:sz="6" w:space="0"/>
              <w:bottom w:val="single" w:color="auto" w:sz="6" w:space="0"/>
              <w:right w:val="single" w:color="auto" w:sz="6" w:space="0"/>
            </w:tcBorders>
            <w:noWrap w:val="0"/>
            <w:vAlign w:val="center"/>
          </w:tcPr>
          <w:p w14:paraId="69E2E7D5">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应急处置人工</w:t>
            </w:r>
          </w:p>
        </w:tc>
        <w:tc>
          <w:tcPr>
            <w:tcW w:w="855" w:type="dxa"/>
            <w:tcBorders>
              <w:top w:val="single" w:color="auto" w:sz="6" w:space="0"/>
              <w:left w:val="single" w:color="auto" w:sz="6" w:space="0"/>
              <w:bottom w:val="single" w:color="auto" w:sz="6" w:space="0"/>
              <w:right w:val="single" w:color="auto" w:sz="6" w:space="0"/>
            </w:tcBorders>
            <w:noWrap w:val="0"/>
            <w:vAlign w:val="center"/>
          </w:tcPr>
          <w:p w14:paraId="16B3D88B">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工日</w:t>
            </w:r>
          </w:p>
        </w:tc>
        <w:tc>
          <w:tcPr>
            <w:tcW w:w="918" w:type="dxa"/>
            <w:tcBorders>
              <w:top w:val="single" w:color="auto" w:sz="6" w:space="0"/>
              <w:left w:val="single" w:color="auto" w:sz="6" w:space="0"/>
              <w:bottom w:val="single" w:color="auto" w:sz="6" w:space="0"/>
              <w:right w:val="single" w:color="auto" w:sz="6" w:space="0"/>
            </w:tcBorders>
            <w:noWrap w:val="0"/>
            <w:vAlign w:val="center"/>
          </w:tcPr>
          <w:p w14:paraId="2046E3B6">
            <w:pPr>
              <w:keepNext w:val="0"/>
              <w:keepLines w:val="0"/>
              <w:widowControl/>
              <w:suppressLineNumbers w:val="0"/>
              <w:jc w:val="right"/>
              <w:textAlignment w:val="center"/>
              <w:rPr>
                <w:rFonts w:hint="eastAsia" w:ascii="宋体" w:hAnsi="宋体" w:cs="宋体"/>
                <w:kern w:val="0"/>
                <w:sz w:val="21"/>
                <w:szCs w:val="21"/>
              </w:rPr>
            </w:pPr>
            <w:r>
              <w:rPr>
                <w:rFonts w:hint="default" w:ascii="Arial Narrow" w:hAnsi="Arial Narrow" w:eastAsia="Arial Narrow" w:cs="Arial Narrow"/>
                <w:i w:val="0"/>
                <w:iCs w:val="0"/>
                <w:color w:val="000000"/>
                <w:kern w:val="0"/>
                <w:sz w:val="21"/>
                <w:szCs w:val="21"/>
                <w:u w:val="none"/>
                <w:lang w:val="en-US" w:eastAsia="zh-CN" w:bidi="ar"/>
              </w:rPr>
              <w:t>450</w:t>
            </w:r>
          </w:p>
        </w:tc>
        <w:tc>
          <w:tcPr>
            <w:tcW w:w="973" w:type="dxa"/>
            <w:tcBorders>
              <w:top w:val="single" w:color="auto" w:sz="6" w:space="0"/>
              <w:left w:val="single" w:color="auto" w:sz="6" w:space="0"/>
              <w:bottom w:val="single" w:color="auto" w:sz="6" w:space="0"/>
              <w:right w:val="single" w:color="auto" w:sz="6" w:space="0"/>
            </w:tcBorders>
            <w:noWrap w:val="0"/>
            <w:vAlign w:val="center"/>
          </w:tcPr>
          <w:p w14:paraId="308025E8">
            <w:pPr>
              <w:jc w:val="center"/>
              <w:rPr>
                <w:rFonts w:hint="eastAsia" w:ascii="宋体" w:hAnsi="宋体"/>
                <w:szCs w:val="21"/>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00AEF978">
            <w:pPr>
              <w:jc w:val="center"/>
              <w:rPr>
                <w:rFonts w:hint="eastAsia" w:ascii="宋体" w:hAnsi="宋体"/>
                <w:b/>
              </w:rPr>
            </w:pPr>
          </w:p>
        </w:tc>
      </w:tr>
      <w:tr w14:paraId="6B022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24BC7D88">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107-2</w:t>
            </w:r>
          </w:p>
        </w:tc>
        <w:tc>
          <w:tcPr>
            <w:tcW w:w="4533" w:type="dxa"/>
            <w:tcBorders>
              <w:top w:val="single" w:color="auto" w:sz="6" w:space="0"/>
              <w:left w:val="single" w:color="auto" w:sz="6" w:space="0"/>
              <w:bottom w:val="single" w:color="auto" w:sz="6" w:space="0"/>
              <w:right w:val="single" w:color="auto" w:sz="6" w:space="0"/>
            </w:tcBorders>
            <w:noWrap w:val="0"/>
            <w:vAlign w:val="center"/>
          </w:tcPr>
          <w:p w14:paraId="21241619">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应急保畅及设备的使用费</w:t>
            </w:r>
          </w:p>
        </w:tc>
        <w:tc>
          <w:tcPr>
            <w:tcW w:w="855" w:type="dxa"/>
            <w:tcBorders>
              <w:top w:val="single" w:color="auto" w:sz="6" w:space="0"/>
              <w:left w:val="single" w:color="auto" w:sz="6" w:space="0"/>
              <w:bottom w:val="single" w:color="auto" w:sz="6" w:space="0"/>
              <w:right w:val="single" w:color="auto" w:sz="6" w:space="0"/>
            </w:tcBorders>
            <w:noWrap w:val="0"/>
            <w:vAlign w:val="center"/>
          </w:tcPr>
          <w:p w14:paraId="5FD0DFFA">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月</w:t>
            </w:r>
          </w:p>
        </w:tc>
        <w:tc>
          <w:tcPr>
            <w:tcW w:w="918" w:type="dxa"/>
            <w:tcBorders>
              <w:top w:val="single" w:color="auto" w:sz="6" w:space="0"/>
              <w:left w:val="single" w:color="auto" w:sz="6" w:space="0"/>
              <w:bottom w:val="single" w:color="auto" w:sz="6" w:space="0"/>
              <w:right w:val="single" w:color="auto" w:sz="6" w:space="0"/>
            </w:tcBorders>
            <w:noWrap w:val="0"/>
            <w:vAlign w:val="center"/>
          </w:tcPr>
          <w:p w14:paraId="53EC44D8">
            <w:pPr>
              <w:keepNext w:val="0"/>
              <w:keepLines w:val="0"/>
              <w:widowControl/>
              <w:suppressLineNumbers w:val="0"/>
              <w:jc w:val="right"/>
              <w:textAlignment w:val="center"/>
              <w:rPr>
                <w:rFonts w:hint="default" w:ascii="宋体" w:hAnsi="宋体" w:cs="宋体"/>
                <w:kern w:val="0"/>
                <w:sz w:val="21"/>
                <w:szCs w:val="21"/>
                <w:lang w:val="en-US"/>
              </w:rPr>
            </w:pPr>
            <w:r>
              <w:rPr>
                <w:rFonts w:hint="default" w:ascii="Arial Narrow" w:hAnsi="Arial Narrow" w:eastAsia="Arial Narrow" w:cs="Arial Narrow"/>
                <w:i w:val="0"/>
                <w:iCs w:val="0"/>
                <w:color w:val="000000"/>
                <w:kern w:val="0"/>
                <w:sz w:val="21"/>
                <w:szCs w:val="21"/>
                <w:u w:val="none"/>
                <w:lang w:val="en-US" w:eastAsia="zh-CN" w:bidi="ar"/>
              </w:rPr>
              <w:t>10</w:t>
            </w:r>
          </w:p>
        </w:tc>
        <w:tc>
          <w:tcPr>
            <w:tcW w:w="973" w:type="dxa"/>
            <w:tcBorders>
              <w:top w:val="single" w:color="auto" w:sz="6" w:space="0"/>
              <w:left w:val="single" w:color="auto" w:sz="6" w:space="0"/>
              <w:bottom w:val="single" w:color="auto" w:sz="6" w:space="0"/>
              <w:right w:val="single" w:color="auto" w:sz="6" w:space="0"/>
            </w:tcBorders>
            <w:noWrap w:val="0"/>
            <w:vAlign w:val="center"/>
          </w:tcPr>
          <w:p w14:paraId="4F798706">
            <w:pPr>
              <w:jc w:val="center"/>
              <w:rPr>
                <w:rFonts w:hint="eastAsia" w:ascii="宋体" w:hAnsi="宋体"/>
                <w:szCs w:val="21"/>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5C9BF86C">
            <w:pPr>
              <w:jc w:val="center"/>
              <w:rPr>
                <w:rFonts w:hint="eastAsia" w:ascii="宋体" w:hAnsi="宋体"/>
                <w:b/>
              </w:rPr>
            </w:pPr>
          </w:p>
        </w:tc>
      </w:tr>
      <w:tr w14:paraId="65FED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2B6102C9">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107-3</w:t>
            </w:r>
          </w:p>
        </w:tc>
        <w:tc>
          <w:tcPr>
            <w:tcW w:w="4533" w:type="dxa"/>
            <w:tcBorders>
              <w:top w:val="single" w:color="auto" w:sz="6" w:space="0"/>
              <w:left w:val="single" w:color="auto" w:sz="6" w:space="0"/>
              <w:bottom w:val="single" w:color="auto" w:sz="6" w:space="0"/>
              <w:right w:val="single" w:color="auto" w:sz="6" w:space="0"/>
            </w:tcBorders>
            <w:noWrap w:val="0"/>
            <w:vAlign w:val="center"/>
          </w:tcPr>
          <w:p w14:paraId="0FEA86E1">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应急物资</w:t>
            </w:r>
          </w:p>
        </w:tc>
        <w:tc>
          <w:tcPr>
            <w:tcW w:w="855" w:type="dxa"/>
            <w:tcBorders>
              <w:top w:val="single" w:color="auto" w:sz="6" w:space="0"/>
              <w:left w:val="single" w:color="auto" w:sz="6" w:space="0"/>
              <w:bottom w:val="single" w:color="auto" w:sz="6" w:space="0"/>
              <w:right w:val="single" w:color="auto" w:sz="6" w:space="0"/>
            </w:tcBorders>
            <w:noWrap w:val="0"/>
            <w:vAlign w:val="center"/>
          </w:tcPr>
          <w:p w14:paraId="1EDE012F">
            <w:pPr>
              <w:jc w:val="center"/>
              <w:rPr>
                <w:rFonts w:hint="eastAsia" w:ascii="宋体" w:hAnsi="宋体" w:cs="宋体"/>
                <w:kern w:val="0"/>
                <w:sz w:val="21"/>
                <w:szCs w:val="21"/>
              </w:rPr>
            </w:pPr>
          </w:p>
        </w:tc>
        <w:tc>
          <w:tcPr>
            <w:tcW w:w="918" w:type="dxa"/>
            <w:tcBorders>
              <w:top w:val="single" w:color="auto" w:sz="6" w:space="0"/>
              <w:left w:val="single" w:color="auto" w:sz="6" w:space="0"/>
              <w:bottom w:val="single" w:color="auto" w:sz="6" w:space="0"/>
              <w:right w:val="single" w:color="auto" w:sz="6" w:space="0"/>
            </w:tcBorders>
            <w:noWrap w:val="0"/>
            <w:vAlign w:val="center"/>
          </w:tcPr>
          <w:p w14:paraId="001FE7F7">
            <w:pPr>
              <w:jc w:val="right"/>
              <w:rPr>
                <w:rFonts w:hint="eastAsia" w:ascii="宋体" w:hAnsi="宋体" w:cs="宋体"/>
                <w:kern w:val="0"/>
                <w:sz w:val="21"/>
                <w:szCs w:val="21"/>
              </w:rPr>
            </w:pPr>
          </w:p>
        </w:tc>
        <w:tc>
          <w:tcPr>
            <w:tcW w:w="973" w:type="dxa"/>
            <w:tcBorders>
              <w:top w:val="single" w:color="auto" w:sz="6" w:space="0"/>
              <w:left w:val="single" w:color="auto" w:sz="6" w:space="0"/>
              <w:bottom w:val="single" w:color="auto" w:sz="6" w:space="0"/>
              <w:right w:val="single" w:color="auto" w:sz="6" w:space="0"/>
            </w:tcBorders>
            <w:noWrap w:val="0"/>
            <w:vAlign w:val="center"/>
          </w:tcPr>
          <w:p w14:paraId="64F5DD42">
            <w:pPr>
              <w:jc w:val="center"/>
              <w:rPr>
                <w:rFonts w:hint="eastAsia" w:ascii="宋体" w:hAnsi="宋体"/>
                <w:szCs w:val="21"/>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0FC4FB26">
            <w:pPr>
              <w:jc w:val="center"/>
              <w:rPr>
                <w:rFonts w:hint="eastAsia" w:ascii="宋体" w:hAnsi="宋体"/>
                <w:b/>
              </w:rPr>
            </w:pPr>
          </w:p>
        </w:tc>
      </w:tr>
      <w:tr w14:paraId="4200C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77D1DF8B">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-a</w:t>
            </w:r>
          </w:p>
        </w:tc>
        <w:tc>
          <w:tcPr>
            <w:tcW w:w="4533" w:type="dxa"/>
            <w:tcBorders>
              <w:top w:val="single" w:color="auto" w:sz="6" w:space="0"/>
              <w:left w:val="single" w:color="auto" w:sz="6" w:space="0"/>
              <w:bottom w:val="single" w:color="auto" w:sz="6" w:space="0"/>
              <w:right w:val="single" w:color="auto" w:sz="6" w:space="0"/>
            </w:tcBorders>
            <w:noWrap w:val="0"/>
            <w:vAlign w:val="center"/>
          </w:tcPr>
          <w:p w14:paraId="325A24F8">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融雪剂</w:t>
            </w:r>
          </w:p>
        </w:tc>
        <w:tc>
          <w:tcPr>
            <w:tcW w:w="855" w:type="dxa"/>
            <w:tcBorders>
              <w:top w:val="single" w:color="auto" w:sz="6" w:space="0"/>
              <w:left w:val="single" w:color="auto" w:sz="6" w:space="0"/>
              <w:bottom w:val="single" w:color="auto" w:sz="6" w:space="0"/>
              <w:right w:val="single" w:color="auto" w:sz="6" w:space="0"/>
            </w:tcBorders>
            <w:noWrap w:val="0"/>
            <w:vAlign w:val="center"/>
          </w:tcPr>
          <w:p w14:paraId="4A37CEE8">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吨</w:t>
            </w:r>
          </w:p>
        </w:tc>
        <w:tc>
          <w:tcPr>
            <w:tcW w:w="918" w:type="dxa"/>
            <w:tcBorders>
              <w:top w:val="single" w:color="auto" w:sz="6" w:space="0"/>
              <w:left w:val="single" w:color="auto" w:sz="6" w:space="0"/>
              <w:bottom w:val="single" w:color="auto" w:sz="6" w:space="0"/>
              <w:right w:val="single" w:color="auto" w:sz="6" w:space="0"/>
            </w:tcBorders>
            <w:noWrap w:val="0"/>
            <w:vAlign w:val="center"/>
          </w:tcPr>
          <w:p w14:paraId="3643EE87">
            <w:pPr>
              <w:keepNext w:val="0"/>
              <w:keepLines w:val="0"/>
              <w:widowControl/>
              <w:suppressLineNumbers w:val="0"/>
              <w:jc w:val="right"/>
              <w:textAlignment w:val="center"/>
              <w:rPr>
                <w:rFonts w:hint="eastAsia" w:ascii="宋体" w:hAnsi="宋体" w:cs="宋体"/>
                <w:kern w:val="0"/>
                <w:sz w:val="21"/>
                <w:szCs w:val="21"/>
              </w:rPr>
            </w:pPr>
            <w:r>
              <w:rPr>
                <w:rFonts w:hint="default" w:ascii="Arial Narrow" w:hAnsi="Arial Narrow" w:eastAsia="Arial Narrow" w:cs="Arial Narrow"/>
                <w:i w:val="0"/>
                <w:iCs w:val="0"/>
                <w:color w:val="000000"/>
                <w:kern w:val="0"/>
                <w:sz w:val="21"/>
                <w:szCs w:val="21"/>
                <w:u w:val="none"/>
                <w:lang w:val="en-US" w:eastAsia="zh-CN" w:bidi="ar"/>
              </w:rPr>
              <w:t>25</w:t>
            </w:r>
          </w:p>
        </w:tc>
        <w:tc>
          <w:tcPr>
            <w:tcW w:w="973" w:type="dxa"/>
            <w:tcBorders>
              <w:top w:val="single" w:color="auto" w:sz="6" w:space="0"/>
              <w:left w:val="single" w:color="auto" w:sz="6" w:space="0"/>
              <w:bottom w:val="single" w:color="auto" w:sz="6" w:space="0"/>
              <w:right w:val="single" w:color="auto" w:sz="6" w:space="0"/>
            </w:tcBorders>
            <w:noWrap w:val="0"/>
            <w:vAlign w:val="center"/>
          </w:tcPr>
          <w:p w14:paraId="1CE662E3">
            <w:pPr>
              <w:jc w:val="center"/>
              <w:rPr>
                <w:rFonts w:hint="eastAsia" w:ascii="宋体" w:hAnsi="宋体"/>
                <w:szCs w:val="21"/>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46B74F1C">
            <w:pPr>
              <w:jc w:val="center"/>
              <w:rPr>
                <w:rFonts w:hint="eastAsia" w:ascii="宋体" w:hAnsi="宋体"/>
                <w:b/>
              </w:rPr>
            </w:pPr>
          </w:p>
        </w:tc>
      </w:tr>
      <w:tr w14:paraId="03928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29DAD772">
            <w:pPr>
              <w:keepNext w:val="0"/>
              <w:keepLines w:val="0"/>
              <w:widowControl/>
              <w:suppressLineNumbers w:val="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-b</w:t>
            </w:r>
          </w:p>
        </w:tc>
        <w:tc>
          <w:tcPr>
            <w:tcW w:w="4533" w:type="dxa"/>
            <w:tcBorders>
              <w:top w:val="single" w:color="auto" w:sz="6" w:space="0"/>
              <w:left w:val="single" w:color="auto" w:sz="6" w:space="0"/>
              <w:bottom w:val="single" w:color="auto" w:sz="6" w:space="0"/>
              <w:right w:val="single" w:color="auto" w:sz="6" w:space="0"/>
            </w:tcBorders>
            <w:noWrap w:val="0"/>
            <w:vAlign w:val="center"/>
          </w:tcPr>
          <w:p w14:paraId="4597BDE7">
            <w:pPr>
              <w:keepNext w:val="0"/>
              <w:keepLines w:val="0"/>
              <w:widowControl/>
              <w:suppressLineNumbers w:val="0"/>
              <w:jc w:val="left"/>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草包</w:t>
            </w:r>
          </w:p>
        </w:tc>
        <w:tc>
          <w:tcPr>
            <w:tcW w:w="855" w:type="dxa"/>
            <w:tcBorders>
              <w:top w:val="single" w:color="auto" w:sz="6" w:space="0"/>
              <w:left w:val="single" w:color="auto" w:sz="6" w:space="0"/>
              <w:bottom w:val="single" w:color="auto" w:sz="6" w:space="0"/>
              <w:right w:val="single" w:color="auto" w:sz="6" w:space="0"/>
            </w:tcBorders>
            <w:noWrap w:val="0"/>
            <w:vAlign w:val="center"/>
          </w:tcPr>
          <w:p w14:paraId="6DE6E586">
            <w:pPr>
              <w:keepNext w:val="0"/>
              <w:keepLines w:val="0"/>
              <w:widowControl/>
              <w:suppressLineNumbers w:val="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个</w:t>
            </w:r>
          </w:p>
        </w:tc>
        <w:tc>
          <w:tcPr>
            <w:tcW w:w="918" w:type="dxa"/>
            <w:tcBorders>
              <w:top w:val="single" w:color="auto" w:sz="6" w:space="0"/>
              <w:left w:val="single" w:color="auto" w:sz="6" w:space="0"/>
              <w:bottom w:val="single" w:color="auto" w:sz="6" w:space="0"/>
              <w:right w:val="single" w:color="auto" w:sz="6" w:space="0"/>
            </w:tcBorders>
            <w:noWrap w:val="0"/>
            <w:vAlign w:val="center"/>
          </w:tcPr>
          <w:p w14:paraId="65DE6B4E">
            <w:pPr>
              <w:keepNext w:val="0"/>
              <w:keepLines w:val="0"/>
              <w:widowControl/>
              <w:suppressLineNumbers w:val="0"/>
              <w:jc w:val="right"/>
              <w:textAlignment w:val="center"/>
              <w:rPr>
                <w:rFonts w:hint="eastAsia" w:ascii="宋体" w:hAnsi="宋体"/>
                <w:sz w:val="21"/>
                <w:szCs w:val="21"/>
              </w:rPr>
            </w:pPr>
            <w:r>
              <w:rPr>
                <w:rFonts w:hint="default" w:ascii="Arial Narrow" w:hAnsi="Arial Narrow" w:eastAsia="Arial Narrow" w:cs="Arial Narrow"/>
                <w:i w:val="0"/>
                <w:iCs w:val="0"/>
                <w:color w:val="000000"/>
                <w:kern w:val="0"/>
                <w:sz w:val="21"/>
                <w:szCs w:val="21"/>
                <w:u w:val="none"/>
                <w:lang w:val="en-US" w:eastAsia="zh-CN" w:bidi="ar"/>
              </w:rPr>
              <w:t>1500</w:t>
            </w:r>
          </w:p>
        </w:tc>
        <w:tc>
          <w:tcPr>
            <w:tcW w:w="973" w:type="dxa"/>
            <w:tcBorders>
              <w:top w:val="single" w:color="auto" w:sz="6" w:space="0"/>
              <w:left w:val="single" w:color="auto" w:sz="6" w:space="0"/>
              <w:bottom w:val="single" w:color="auto" w:sz="6" w:space="0"/>
              <w:right w:val="single" w:color="auto" w:sz="6" w:space="0"/>
            </w:tcBorders>
            <w:noWrap w:val="0"/>
            <w:vAlign w:val="center"/>
          </w:tcPr>
          <w:p w14:paraId="32F168E0">
            <w:pPr>
              <w:jc w:val="center"/>
              <w:rPr>
                <w:rFonts w:hint="eastAsia" w:ascii="宋体" w:hAnsi="宋体"/>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16DC0911">
            <w:pPr>
              <w:jc w:val="center"/>
              <w:rPr>
                <w:rFonts w:hint="eastAsia" w:ascii="宋体" w:hAnsi="宋体"/>
              </w:rPr>
            </w:pPr>
          </w:p>
        </w:tc>
      </w:tr>
    </w:tbl>
    <w:p w14:paraId="4F5C8AE3">
      <w:pPr>
        <w:spacing w:before="240" w:beforeLines="100" w:after="240" w:afterLines="100"/>
        <w:jc w:val="center"/>
        <w:rPr>
          <w:rFonts w:hint="eastAsia" w:ascii="黑体" w:hAnsi="宋体" w:eastAsia="黑体"/>
          <w:sz w:val="30"/>
          <w:szCs w:val="30"/>
        </w:rPr>
      </w:pPr>
    </w:p>
    <w:p w14:paraId="6E3B1696">
      <w:pPr>
        <w:spacing w:before="240" w:beforeLines="100" w:after="240" w:afterLines="100"/>
        <w:jc w:val="center"/>
        <w:rPr>
          <w:rFonts w:hint="eastAsia" w:ascii="黑体" w:hAnsi="宋体" w:eastAsia="黑体"/>
          <w:sz w:val="30"/>
          <w:szCs w:val="30"/>
        </w:rPr>
      </w:pPr>
      <w:r>
        <w:rPr>
          <w:rFonts w:hint="eastAsia" w:ascii="黑体" w:hAnsi="宋体" w:eastAsia="黑体"/>
          <w:sz w:val="30"/>
          <w:szCs w:val="30"/>
        </w:rPr>
        <w:t>工程量清单</w:t>
      </w:r>
    </w:p>
    <w:p w14:paraId="75314842">
      <w:pPr>
        <w:pStyle w:val="50"/>
        <w:ind w:left="0" w:leftChars="0" w:firstLine="0" w:firstLine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标项</w:t>
      </w: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w:t>
      </w:r>
      <w:r>
        <w:rPr>
          <w:rFonts w:hint="eastAsia" w:asciiTheme="minorEastAsia" w:hAnsiTheme="minorEastAsia" w:cstheme="minorEastAsia"/>
          <w:sz w:val="24"/>
          <w:szCs w:val="24"/>
          <w:lang w:eastAsia="zh-CN"/>
        </w:rPr>
        <w:t>2026年秀洲区县道及以上公路小修及应急抢险项目</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第一</w:t>
      </w:r>
      <w:r>
        <w:rPr>
          <w:rFonts w:hint="eastAsia" w:asciiTheme="minorEastAsia" w:hAnsiTheme="minorEastAsia" w:eastAsiaTheme="minorEastAsia" w:cstheme="minorEastAsia"/>
          <w:sz w:val="24"/>
          <w:szCs w:val="24"/>
          <w:lang w:eastAsia="zh-CN"/>
        </w:rPr>
        <w:t>标段）</w:t>
      </w:r>
    </w:p>
    <w:p w14:paraId="766F6A8B">
      <w:pPr>
        <w:pStyle w:val="50"/>
        <w:ind w:left="0" w:leftChars="0" w:firstLine="0" w:firstLine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货币单位：人民币元</w:t>
      </w:r>
    </w:p>
    <w:tbl>
      <w:tblPr>
        <w:tblStyle w:val="51"/>
        <w:tblW w:w="0" w:type="auto"/>
        <w:tblInd w:w="-7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0" w:type="dxa"/>
        </w:tblCellMar>
      </w:tblPr>
      <w:tblGrid>
        <w:gridCol w:w="822"/>
        <w:gridCol w:w="4533"/>
        <w:gridCol w:w="855"/>
        <w:gridCol w:w="918"/>
        <w:gridCol w:w="973"/>
        <w:gridCol w:w="1061"/>
      </w:tblGrid>
      <w:tr w14:paraId="3631D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9162" w:type="dxa"/>
            <w:gridSpan w:val="6"/>
            <w:tcBorders>
              <w:top w:val="single" w:color="auto" w:sz="12" w:space="0"/>
              <w:left w:val="single" w:color="auto" w:sz="12" w:space="0"/>
              <w:bottom w:val="single" w:color="auto" w:sz="6" w:space="0"/>
              <w:right w:val="single" w:color="auto" w:sz="12" w:space="0"/>
            </w:tcBorders>
            <w:noWrap w:val="0"/>
            <w:vAlign w:val="center"/>
          </w:tcPr>
          <w:p w14:paraId="5953F108">
            <w:pPr>
              <w:ind w:firstLine="103" w:firstLineChars="49"/>
              <w:jc w:val="center"/>
              <w:rPr>
                <w:rFonts w:hint="eastAsia" w:ascii="宋体" w:hAnsi="宋体"/>
                <w:b/>
                <w:bCs/>
              </w:rPr>
            </w:pPr>
            <w:r>
              <w:rPr>
                <w:rFonts w:hint="eastAsia" w:ascii="宋体" w:hAnsi="宋体"/>
                <w:b/>
                <w:bCs/>
              </w:rPr>
              <w:t>清单      第100章      总  则</w:t>
            </w:r>
          </w:p>
        </w:tc>
      </w:tr>
      <w:tr w14:paraId="43AD3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77388427">
            <w:pPr>
              <w:jc w:val="center"/>
              <w:rPr>
                <w:rFonts w:hint="eastAsia" w:ascii="宋体" w:hAnsi="宋体"/>
                <w:szCs w:val="21"/>
              </w:rPr>
            </w:pPr>
            <w:r>
              <w:rPr>
                <w:rFonts w:hint="eastAsia" w:ascii="宋体" w:hAnsi="宋体"/>
                <w:szCs w:val="21"/>
              </w:rPr>
              <w:t>子目号</w:t>
            </w:r>
          </w:p>
        </w:tc>
        <w:tc>
          <w:tcPr>
            <w:tcW w:w="4533" w:type="dxa"/>
            <w:tcBorders>
              <w:top w:val="single" w:color="auto" w:sz="6" w:space="0"/>
              <w:left w:val="single" w:color="auto" w:sz="6" w:space="0"/>
              <w:bottom w:val="single" w:color="auto" w:sz="6" w:space="0"/>
              <w:right w:val="single" w:color="auto" w:sz="6" w:space="0"/>
            </w:tcBorders>
            <w:noWrap w:val="0"/>
            <w:vAlign w:val="center"/>
          </w:tcPr>
          <w:p w14:paraId="7098E391">
            <w:pPr>
              <w:jc w:val="center"/>
              <w:rPr>
                <w:rFonts w:hint="eastAsia" w:ascii="宋体" w:hAnsi="宋体"/>
                <w:szCs w:val="21"/>
              </w:rPr>
            </w:pPr>
            <w:r>
              <w:rPr>
                <w:rFonts w:hint="eastAsia" w:ascii="宋体" w:hAnsi="宋体"/>
                <w:szCs w:val="21"/>
              </w:rPr>
              <w:t>子  目  名  称</w:t>
            </w:r>
          </w:p>
        </w:tc>
        <w:tc>
          <w:tcPr>
            <w:tcW w:w="855" w:type="dxa"/>
            <w:tcBorders>
              <w:top w:val="single" w:color="auto" w:sz="6" w:space="0"/>
              <w:left w:val="single" w:color="auto" w:sz="6" w:space="0"/>
              <w:bottom w:val="single" w:color="auto" w:sz="6" w:space="0"/>
              <w:right w:val="single" w:color="auto" w:sz="6" w:space="0"/>
            </w:tcBorders>
            <w:noWrap w:val="0"/>
            <w:vAlign w:val="center"/>
          </w:tcPr>
          <w:p w14:paraId="4E9E957E">
            <w:pPr>
              <w:jc w:val="center"/>
              <w:rPr>
                <w:rFonts w:hint="eastAsia" w:ascii="宋体" w:hAnsi="宋体"/>
                <w:szCs w:val="21"/>
              </w:rPr>
            </w:pPr>
            <w:r>
              <w:rPr>
                <w:rFonts w:hint="eastAsia" w:ascii="宋体" w:hAnsi="宋体"/>
                <w:szCs w:val="21"/>
              </w:rPr>
              <w:t>单位</w:t>
            </w:r>
          </w:p>
        </w:tc>
        <w:tc>
          <w:tcPr>
            <w:tcW w:w="918" w:type="dxa"/>
            <w:tcBorders>
              <w:top w:val="single" w:color="auto" w:sz="6" w:space="0"/>
              <w:left w:val="single" w:color="auto" w:sz="6" w:space="0"/>
              <w:bottom w:val="single" w:color="auto" w:sz="6" w:space="0"/>
              <w:right w:val="single" w:color="auto" w:sz="6" w:space="0"/>
            </w:tcBorders>
            <w:noWrap w:val="0"/>
            <w:vAlign w:val="center"/>
          </w:tcPr>
          <w:p w14:paraId="6865B112">
            <w:pPr>
              <w:jc w:val="center"/>
              <w:rPr>
                <w:rFonts w:hint="eastAsia" w:ascii="宋体" w:hAnsi="宋体"/>
                <w:szCs w:val="21"/>
              </w:rPr>
            </w:pPr>
            <w:r>
              <w:rPr>
                <w:rFonts w:hint="eastAsia" w:ascii="宋体" w:hAnsi="宋体"/>
                <w:szCs w:val="21"/>
              </w:rPr>
              <w:t>数量</w:t>
            </w:r>
          </w:p>
        </w:tc>
        <w:tc>
          <w:tcPr>
            <w:tcW w:w="973" w:type="dxa"/>
            <w:tcBorders>
              <w:top w:val="single" w:color="auto" w:sz="6" w:space="0"/>
              <w:left w:val="single" w:color="auto" w:sz="6" w:space="0"/>
              <w:bottom w:val="single" w:color="auto" w:sz="6" w:space="0"/>
              <w:right w:val="single" w:color="auto" w:sz="6" w:space="0"/>
            </w:tcBorders>
            <w:noWrap w:val="0"/>
            <w:vAlign w:val="center"/>
          </w:tcPr>
          <w:p w14:paraId="37647920">
            <w:pPr>
              <w:jc w:val="center"/>
              <w:rPr>
                <w:rFonts w:hint="eastAsia" w:ascii="宋体" w:hAnsi="宋体"/>
                <w:szCs w:val="21"/>
              </w:rPr>
            </w:pPr>
            <w:r>
              <w:rPr>
                <w:rFonts w:hint="eastAsia" w:ascii="宋体" w:hAnsi="宋体"/>
                <w:szCs w:val="21"/>
              </w:rPr>
              <w:t>单价</w:t>
            </w: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3ED29B24">
            <w:pPr>
              <w:jc w:val="center"/>
              <w:rPr>
                <w:rFonts w:hint="eastAsia" w:ascii="宋体" w:hAnsi="宋体"/>
              </w:rPr>
            </w:pPr>
            <w:r>
              <w:rPr>
                <w:rFonts w:hint="eastAsia" w:ascii="宋体" w:hAnsi="宋体"/>
              </w:rPr>
              <w:t>合价</w:t>
            </w:r>
          </w:p>
        </w:tc>
      </w:tr>
      <w:tr w14:paraId="40D8E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45AB665E">
            <w:pPr>
              <w:keepNext w:val="0"/>
              <w:keepLines w:val="0"/>
              <w:widowControl/>
              <w:suppressLineNumbers w:val="0"/>
              <w:jc w:val="center"/>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-c</w:t>
            </w:r>
          </w:p>
        </w:tc>
        <w:tc>
          <w:tcPr>
            <w:tcW w:w="4533" w:type="dxa"/>
            <w:tcBorders>
              <w:top w:val="single" w:color="auto" w:sz="6" w:space="0"/>
              <w:left w:val="single" w:color="auto" w:sz="6" w:space="0"/>
              <w:bottom w:val="single" w:color="auto" w:sz="6" w:space="0"/>
              <w:right w:val="single" w:color="auto" w:sz="6" w:space="0"/>
            </w:tcBorders>
            <w:noWrap w:val="0"/>
            <w:vAlign w:val="center"/>
          </w:tcPr>
          <w:p w14:paraId="6CE2CF88">
            <w:pPr>
              <w:keepNext w:val="0"/>
              <w:keepLines w:val="0"/>
              <w:widowControl/>
              <w:suppressLineNumbers w:val="0"/>
              <w:jc w:val="left"/>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石粉</w:t>
            </w:r>
          </w:p>
        </w:tc>
        <w:tc>
          <w:tcPr>
            <w:tcW w:w="855" w:type="dxa"/>
            <w:tcBorders>
              <w:top w:val="single" w:color="auto" w:sz="6" w:space="0"/>
              <w:left w:val="single" w:color="auto" w:sz="6" w:space="0"/>
              <w:bottom w:val="single" w:color="auto" w:sz="6" w:space="0"/>
              <w:right w:val="single" w:color="auto" w:sz="6" w:space="0"/>
            </w:tcBorders>
            <w:noWrap w:val="0"/>
            <w:vAlign w:val="center"/>
          </w:tcPr>
          <w:p w14:paraId="73C12DAD">
            <w:pPr>
              <w:keepNext w:val="0"/>
              <w:keepLines w:val="0"/>
              <w:widowControl/>
              <w:suppressLineNumbers w:val="0"/>
              <w:jc w:val="center"/>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吨</w:t>
            </w:r>
          </w:p>
        </w:tc>
        <w:tc>
          <w:tcPr>
            <w:tcW w:w="918" w:type="dxa"/>
            <w:tcBorders>
              <w:top w:val="single" w:color="auto" w:sz="6" w:space="0"/>
              <w:left w:val="single" w:color="auto" w:sz="6" w:space="0"/>
              <w:bottom w:val="single" w:color="auto" w:sz="6" w:space="0"/>
              <w:right w:val="single" w:color="auto" w:sz="6" w:space="0"/>
            </w:tcBorders>
            <w:noWrap w:val="0"/>
            <w:vAlign w:val="center"/>
          </w:tcPr>
          <w:p w14:paraId="4E0F3D13">
            <w:pPr>
              <w:keepNext w:val="0"/>
              <w:keepLines w:val="0"/>
              <w:widowControl/>
              <w:suppressLineNumbers w:val="0"/>
              <w:jc w:val="right"/>
              <w:textAlignment w:val="center"/>
              <w:rPr>
                <w:rFonts w:hint="eastAsia" w:ascii="宋体" w:hAnsi="宋体"/>
                <w:sz w:val="21"/>
                <w:szCs w:val="21"/>
              </w:rPr>
            </w:pPr>
            <w:r>
              <w:rPr>
                <w:rFonts w:hint="default" w:ascii="Arial Narrow" w:hAnsi="Arial Narrow" w:eastAsia="Arial Narrow" w:cs="Arial Narrow"/>
                <w:i w:val="0"/>
                <w:iCs w:val="0"/>
                <w:color w:val="000000"/>
                <w:kern w:val="0"/>
                <w:sz w:val="21"/>
                <w:szCs w:val="21"/>
                <w:u w:val="none"/>
                <w:lang w:val="en-US" w:eastAsia="zh-CN" w:bidi="ar"/>
              </w:rPr>
              <w:t>15</w:t>
            </w:r>
          </w:p>
        </w:tc>
        <w:tc>
          <w:tcPr>
            <w:tcW w:w="973" w:type="dxa"/>
            <w:tcBorders>
              <w:top w:val="single" w:color="auto" w:sz="6" w:space="0"/>
              <w:left w:val="single" w:color="auto" w:sz="6" w:space="0"/>
              <w:bottom w:val="single" w:color="auto" w:sz="6" w:space="0"/>
              <w:right w:val="single" w:color="auto" w:sz="6" w:space="0"/>
            </w:tcBorders>
            <w:noWrap w:val="0"/>
            <w:vAlign w:val="center"/>
          </w:tcPr>
          <w:p w14:paraId="241069B8">
            <w:pPr>
              <w:jc w:val="center"/>
              <w:rPr>
                <w:rFonts w:ascii="宋体" w:hAnsi="宋体"/>
                <w:sz w:val="21"/>
                <w:szCs w:val="21"/>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15F9008C">
            <w:pPr>
              <w:jc w:val="center"/>
              <w:rPr>
                <w:rFonts w:hint="eastAsia" w:ascii="宋体" w:hAnsi="宋体"/>
              </w:rPr>
            </w:pPr>
          </w:p>
        </w:tc>
      </w:tr>
      <w:tr w14:paraId="7C6B9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0573A084">
            <w:pPr>
              <w:keepNext w:val="0"/>
              <w:keepLines w:val="0"/>
              <w:widowControl/>
              <w:suppressLineNumbers w:val="0"/>
              <w:jc w:val="center"/>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-d</w:t>
            </w:r>
          </w:p>
        </w:tc>
        <w:tc>
          <w:tcPr>
            <w:tcW w:w="4533" w:type="dxa"/>
            <w:tcBorders>
              <w:top w:val="single" w:color="auto" w:sz="6" w:space="0"/>
              <w:left w:val="single" w:color="auto" w:sz="6" w:space="0"/>
              <w:bottom w:val="single" w:color="auto" w:sz="6" w:space="0"/>
              <w:right w:val="single" w:color="auto" w:sz="6" w:space="0"/>
            </w:tcBorders>
            <w:noWrap w:val="0"/>
            <w:vAlign w:val="center"/>
          </w:tcPr>
          <w:p w14:paraId="6CB4E3FA">
            <w:pPr>
              <w:keepNext w:val="0"/>
              <w:keepLines w:val="0"/>
              <w:widowControl/>
              <w:suppressLineNumbers w:val="0"/>
              <w:jc w:val="left"/>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铁锹</w:t>
            </w:r>
          </w:p>
        </w:tc>
        <w:tc>
          <w:tcPr>
            <w:tcW w:w="855" w:type="dxa"/>
            <w:tcBorders>
              <w:top w:val="single" w:color="auto" w:sz="6" w:space="0"/>
              <w:left w:val="single" w:color="auto" w:sz="6" w:space="0"/>
              <w:bottom w:val="single" w:color="auto" w:sz="6" w:space="0"/>
              <w:right w:val="single" w:color="auto" w:sz="6" w:space="0"/>
            </w:tcBorders>
            <w:noWrap w:val="0"/>
            <w:vAlign w:val="center"/>
          </w:tcPr>
          <w:p w14:paraId="4B91CFCD">
            <w:pPr>
              <w:keepNext w:val="0"/>
              <w:keepLines w:val="0"/>
              <w:widowControl/>
              <w:suppressLineNumbers w:val="0"/>
              <w:jc w:val="center"/>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把</w:t>
            </w:r>
          </w:p>
        </w:tc>
        <w:tc>
          <w:tcPr>
            <w:tcW w:w="918" w:type="dxa"/>
            <w:tcBorders>
              <w:top w:val="single" w:color="auto" w:sz="6" w:space="0"/>
              <w:left w:val="single" w:color="auto" w:sz="6" w:space="0"/>
              <w:bottom w:val="single" w:color="auto" w:sz="6" w:space="0"/>
              <w:right w:val="single" w:color="auto" w:sz="6" w:space="0"/>
            </w:tcBorders>
            <w:noWrap w:val="0"/>
            <w:vAlign w:val="center"/>
          </w:tcPr>
          <w:p w14:paraId="2F6B9FB9">
            <w:pPr>
              <w:keepNext w:val="0"/>
              <w:keepLines w:val="0"/>
              <w:widowControl/>
              <w:suppressLineNumbers w:val="0"/>
              <w:jc w:val="right"/>
              <w:textAlignment w:val="center"/>
              <w:rPr>
                <w:rFonts w:hint="eastAsia" w:ascii="宋体" w:hAnsi="宋体"/>
                <w:sz w:val="21"/>
                <w:szCs w:val="21"/>
              </w:rPr>
            </w:pPr>
            <w:r>
              <w:rPr>
                <w:rFonts w:hint="default" w:ascii="Arial Narrow" w:hAnsi="Arial Narrow" w:eastAsia="Arial Narrow" w:cs="Arial Narrow"/>
                <w:i w:val="0"/>
                <w:iCs w:val="0"/>
                <w:color w:val="000000"/>
                <w:kern w:val="0"/>
                <w:sz w:val="21"/>
                <w:szCs w:val="21"/>
                <w:u w:val="none"/>
                <w:lang w:val="en-US" w:eastAsia="zh-CN" w:bidi="ar"/>
              </w:rPr>
              <w:t>25</w:t>
            </w:r>
          </w:p>
        </w:tc>
        <w:tc>
          <w:tcPr>
            <w:tcW w:w="973" w:type="dxa"/>
            <w:tcBorders>
              <w:top w:val="single" w:color="auto" w:sz="6" w:space="0"/>
              <w:left w:val="single" w:color="auto" w:sz="6" w:space="0"/>
              <w:bottom w:val="single" w:color="auto" w:sz="6" w:space="0"/>
              <w:right w:val="single" w:color="auto" w:sz="6" w:space="0"/>
            </w:tcBorders>
            <w:noWrap w:val="0"/>
            <w:vAlign w:val="center"/>
          </w:tcPr>
          <w:p w14:paraId="24C2CB80">
            <w:pPr>
              <w:jc w:val="center"/>
              <w:rPr>
                <w:rFonts w:hint="eastAsia" w:ascii="宋体" w:hAnsi="宋体"/>
                <w:sz w:val="21"/>
                <w:szCs w:val="21"/>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7427515B">
            <w:pPr>
              <w:jc w:val="center"/>
              <w:rPr>
                <w:rFonts w:hint="eastAsia" w:ascii="宋体" w:hAnsi="宋体"/>
              </w:rPr>
            </w:pPr>
          </w:p>
        </w:tc>
      </w:tr>
      <w:tr w14:paraId="3949D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65725A2D">
            <w:pPr>
              <w:keepNext w:val="0"/>
              <w:keepLines w:val="0"/>
              <w:widowControl/>
              <w:suppressLineNumbers w:val="0"/>
              <w:jc w:val="center"/>
              <w:textAlignment w:val="center"/>
              <w:rPr>
                <w:rFonts w:hint="eastAsia" w:ascii="宋体" w:hAnsi="宋体"/>
                <w:sz w:val="21"/>
                <w:szCs w:val="21"/>
              </w:rPr>
            </w:pPr>
          </w:p>
        </w:tc>
        <w:tc>
          <w:tcPr>
            <w:tcW w:w="4533" w:type="dxa"/>
            <w:tcBorders>
              <w:top w:val="single" w:color="auto" w:sz="6" w:space="0"/>
              <w:left w:val="single" w:color="auto" w:sz="6" w:space="0"/>
              <w:bottom w:val="single" w:color="auto" w:sz="6" w:space="0"/>
              <w:right w:val="single" w:color="auto" w:sz="6" w:space="0"/>
            </w:tcBorders>
            <w:noWrap w:val="0"/>
            <w:vAlign w:val="center"/>
          </w:tcPr>
          <w:p w14:paraId="024C8653">
            <w:pPr>
              <w:keepNext w:val="0"/>
              <w:keepLines w:val="0"/>
              <w:widowControl/>
              <w:suppressLineNumbers w:val="0"/>
              <w:jc w:val="left"/>
              <w:textAlignment w:val="center"/>
              <w:rPr>
                <w:rFonts w:hint="eastAsia" w:ascii="宋体" w:hAnsi="宋体"/>
                <w:sz w:val="21"/>
                <w:szCs w:val="21"/>
              </w:rPr>
            </w:pPr>
          </w:p>
        </w:tc>
        <w:tc>
          <w:tcPr>
            <w:tcW w:w="855" w:type="dxa"/>
            <w:tcBorders>
              <w:top w:val="single" w:color="auto" w:sz="6" w:space="0"/>
              <w:left w:val="single" w:color="auto" w:sz="6" w:space="0"/>
              <w:bottom w:val="single" w:color="auto" w:sz="6" w:space="0"/>
              <w:right w:val="single" w:color="auto" w:sz="6" w:space="0"/>
            </w:tcBorders>
            <w:noWrap w:val="0"/>
            <w:vAlign w:val="center"/>
          </w:tcPr>
          <w:p w14:paraId="584A95C2">
            <w:pPr>
              <w:keepNext w:val="0"/>
              <w:keepLines w:val="0"/>
              <w:widowControl/>
              <w:suppressLineNumbers w:val="0"/>
              <w:jc w:val="center"/>
              <w:textAlignment w:val="center"/>
              <w:rPr>
                <w:rFonts w:hint="eastAsia" w:ascii="宋体" w:hAnsi="宋体"/>
                <w:sz w:val="21"/>
                <w:szCs w:val="21"/>
              </w:rPr>
            </w:pPr>
          </w:p>
        </w:tc>
        <w:tc>
          <w:tcPr>
            <w:tcW w:w="918" w:type="dxa"/>
            <w:tcBorders>
              <w:top w:val="single" w:color="auto" w:sz="6" w:space="0"/>
              <w:left w:val="single" w:color="auto" w:sz="6" w:space="0"/>
              <w:bottom w:val="single" w:color="auto" w:sz="6" w:space="0"/>
              <w:right w:val="single" w:color="auto" w:sz="6" w:space="0"/>
            </w:tcBorders>
            <w:noWrap w:val="0"/>
            <w:vAlign w:val="center"/>
          </w:tcPr>
          <w:p w14:paraId="2FDBE1B8">
            <w:pPr>
              <w:keepNext w:val="0"/>
              <w:keepLines w:val="0"/>
              <w:widowControl/>
              <w:suppressLineNumbers w:val="0"/>
              <w:jc w:val="right"/>
              <w:textAlignment w:val="center"/>
              <w:rPr>
                <w:rFonts w:hint="eastAsia" w:ascii="宋体" w:hAnsi="宋体"/>
                <w:sz w:val="21"/>
                <w:szCs w:val="21"/>
              </w:rPr>
            </w:pPr>
          </w:p>
        </w:tc>
        <w:tc>
          <w:tcPr>
            <w:tcW w:w="973" w:type="dxa"/>
            <w:tcBorders>
              <w:top w:val="single" w:color="auto" w:sz="6" w:space="0"/>
              <w:left w:val="single" w:color="auto" w:sz="6" w:space="0"/>
              <w:bottom w:val="single" w:color="auto" w:sz="6" w:space="0"/>
              <w:right w:val="single" w:color="auto" w:sz="6" w:space="0"/>
            </w:tcBorders>
            <w:noWrap w:val="0"/>
            <w:vAlign w:val="center"/>
          </w:tcPr>
          <w:p w14:paraId="323B947D">
            <w:pPr>
              <w:jc w:val="center"/>
              <w:rPr>
                <w:rFonts w:hint="eastAsia" w:ascii="宋体" w:hAnsi="宋体"/>
                <w:sz w:val="21"/>
                <w:szCs w:val="21"/>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1B0FE186">
            <w:pPr>
              <w:jc w:val="center"/>
              <w:rPr>
                <w:rFonts w:hint="eastAsia" w:ascii="宋体" w:hAnsi="宋体"/>
              </w:rPr>
            </w:pPr>
          </w:p>
        </w:tc>
      </w:tr>
      <w:tr w14:paraId="59630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599707F6">
            <w:pPr>
              <w:keepNext w:val="0"/>
              <w:keepLines w:val="0"/>
              <w:widowControl/>
              <w:suppressLineNumbers w:val="0"/>
              <w:jc w:val="center"/>
              <w:textAlignment w:val="center"/>
              <w:rPr>
                <w:rFonts w:hint="eastAsia" w:ascii="宋体" w:hAnsi="宋体"/>
                <w:szCs w:val="21"/>
              </w:rPr>
            </w:pPr>
          </w:p>
        </w:tc>
        <w:tc>
          <w:tcPr>
            <w:tcW w:w="4533" w:type="dxa"/>
            <w:tcBorders>
              <w:top w:val="single" w:color="auto" w:sz="6" w:space="0"/>
              <w:left w:val="single" w:color="auto" w:sz="6" w:space="0"/>
              <w:bottom w:val="single" w:color="auto" w:sz="6" w:space="0"/>
              <w:right w:val="single" w:color="auto" w:sz="6" w:space="0"/>
            </w:tcBorders>
            <w:noWrap w:val="0"/>
            <w:vAlign w:val="center"/>
          </w:tcPr>
          <w:p w14:paraId="5062AE08">
            <w:pPr>
              <w:keepNext w:val="0"/>
              <w:keepLines w:val="0"/>
              <w:widowControl/>
              <w:suppressLineNumbers w:val="0"/>
              <w:jc w:val="left"/>
              <w:textAlignment w:val="center"/>
              <w:rPr>
                <w:rFonts w:hint="eastAsia" w:ascii="宋体" w:hAnsi="宋体"/>
                <w:szCs w:val="21"/>
              </w:rPr>
            </w:pPr>
          </w:p>
        </w:tc>
        <w:tc>
          <w:tcPr>
            <w:tcW w:w="855" w:type="dxa"/>
            <w:tcBorders>
              <w:top w:val="single" w:color="auto" w:sz="6" w:space="0"/>
              <w:left w:val="single" w:color="auto" w:sz="6" w:space="0"/>
              <w:bottom w:val="single" w:color="auto" w:sz="6" w:space="0"/>
              <w:right w:val="single" w:color="auto" w:sz="6" w:space="0"/>
            </w:tcBorders>
            <w:noWrap w:val="0"/>
            <w:vAlign w:val="center"/>
          </w:tcPr>
          <w:p w14:paraId="66BB3684">
            <w:pPr>
              <w:jc w:val="center"/>
              <w:rPr>
                <w:rFonts w:hint="eastAsia" w:ascii="宋体" w:hAnsi="宋体"/>
                <w:szCs w:val="21"/>
              </w:rPr>
            </w:pPr>
          </w:p>
        </w:tc>
        <w:tc>
          <w:tcPr>
            <w:tcW w:w="918" w:type="dxa"/>
            <w:tcBorders>
              <w:top w:val="single" w:color="auto" w:sz="6" w:space="0"/>
              <w:left w:val="single" w:color="auto" w:sz="6" w:space="0"/>
              <w:bottom w:val="single" w:color="auto" w:sz="6" w:space="0"/>
              <w:right w:val="single" w:color="auto" w:sz="6" w:space="0"/>
            </w:tcBorders>
            <w:noWrap w:val="0"/>
            <w:vAlign w:val="center"/>
          </w:tcPr>
          <w:p w14:paraId="11BDC20D">
            <w:pPr>
              <w:jc w:val="right"/>
              <w:rPr>
                <w:rFonts w:hint="eastAsia" w:ascii="宋体" w:hAnsi="宋体"/>
                <w:szCs w:val="21"/>
              </w:rPr>
            </w:pPr>
          </w:p>
        </w:tc>
        <w:tc>
          <w:tcPr>
            <w:tcW w:w="973" w:type="dxa"/>
            <w:tcBorders>
              <w:top w:val="single" w:color="auto" w:sz="6" w:space="0"/>
              <w:left w:val="single" w:color="auto" w:sz="6" w:space="0"/>
              <w:bottom w:val="single" w:color="auto" w:sz="6" w:space="0"/>
              <w:right w:val="single" w:color="auto" w:sz="6" w:space="0"/>
            </w:tcBorders>
            <w:noWrap w:val="0"/>
            <w:vAlign w:val="center"/>
          </w:tcPr>
          <w:p w14:paraId="5D3F5E91">
            <w:pPr>
              <w:jc w:val="center"/>
              <w:rPr>
                <w:rFonts w:hint="eastAsia" w:ascii="宋体" w:hAnsi="宋体"/>
                <w:szCs w:val="21"/>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1E080170">
            <w:pPr>
              <w:jc w:val="center"/>
              <w:rPr>
                <w:rFonts w:hint="eastAsia" w:ascii="宋体" w:hAnsi="宋体"/>
              </w:rPr>
            </w:pPr>
          </w:p>
        </w:tc>
      </w:tr>
      <w:tr w14:paraId="63408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3B89CCCE">
            <w:pPr>
              <w:keepNext w:val="0"/>
              <w:keepLines w:val="0"/>
              <w:widowControl/>
              <w:suppressLineNumbers w:val="0"/>
              <w:jc w:val="center"/>
              <w:textAlignment w:val="center"/>
              <w:rPr>
                <w:rFonts w:hint="eastAsia" w:ascii="宋体" w:hAnsi="宋体"/>
                <w:szCs w:val="21"/>
              </w:rPr>
            </w:pPr>
          </w:p>
        </w:tc>
        <w:tc>
          <w:tcPr>
            <w:tcW w:w="4533" w:type="dxa"/>
            <w:tcBorders>
              <w:top w:val="single" w:color="auto" w:sz="6" w:space="0"/>
              <w:left w:val="single" w:color="auto" w:sz="6" w:space="0"/>
              <w:bottom w:val="single" w:color="auto" w:sz="6" w:space="0"/>
              <w:right w:val="single" w:color="auto" w:sz="6" w:space="0"/>
            </w:tcBorders>
            <w:noWrap w:val="0"/>
            <w:vAlign w:val="center"/>
          </w:tcPr>
          <w:p w14:paraId="6FAB84D7">
            <w:pPr>
              <w:keepNext w:val="0"/>
              <w:keepLines w:val="0"/>
              <w:widowControl/>
              <w:suppressLineNumbers w:val="0"/>
              <w:jc w:val="left"/>
              <w:textAlignment w:val="center"/>
              <w:rPr>
                <w:rFonts w:hint="eastAsia" w:ascii="宋体" w:hAnsi="宋体"/>
                <w:szCs w:val="21"/>
              </w:rPr>
            </w:pPr>
          </w:p>
        </w:tc>
        <w:tc>
          <w:tcPr>
            <w:tcW w:w="855" w:type="dxa"/>
            <w:tcBorders>
              <w:top w:val="single" w:color="auto" w:sz="6" w:space="0"/>
              <w:left w:val="single" w:color="auto" w:sz="6" w:space="0"/>
              <w:bottom w:val="single" w:color="auto" w:sz="6" w:space="0"/>
              <w:right w:val="single" w:color="auto" w:sz="6" w:space="0"/>
            </w:tcBorders>
            <w:noWrap w:val="0"/>
            <w:vAlign w:val="center"/>
          </w:tcPr>
          <w:p w14:paraId="0489B0DF">
            <w:pPr>
              <w:keepNext w:val="0"/>
              <w:keepLines w:val="0"/>
              <w:widowControl/>
              <w:suppressLineNumbers w:val="0"/>
              <w:jc w:val="center"/>
              <w:textAlignment w:val="center"/>
              <w:rPr>
                <w:rFonts w:hint="eastAsia" w:ascii="宋体" w:hAnsi="宋体"/>
                <w:szCs w:val="21"/>
              </w:rPr>
            </w:pPr>
          </w:p>
        </w:tc>
        <w:tc>
          <w:tcPr>
            <w:tcW w:w="918" w:type="dxa"/>
            <w:tcBorders>
              <w:top w:val="single" w:color="auto" w:sz="6" w:space="0"/>
              <w:left w:val="single" w:color="auto" w:sz="6" w:space="0"/>
              <w:bottom w:val="single" w:color="auto" w:sz="6" w:space="0"/>
              <w:right w:val="single" w:color="auto" w:sz="6" w:space="0"/>
            </w:tcBorders>
            <w:noWrap w:val="0"/>
            <w:vAlign w:val="center"/>
          </w:tcPr>
          <w:p w14:paraId="1D085E07">
            <w:pPr>
              <w:keepNext w:val="0"/>
              <w:keepLines w:val="0"/>
              <w:widowControl/>
              <w:suppressLineNumbers w:val="0"/>
              <w:jc w:val="right"/>
              <w:textAlignment w:val="center"/>
              <w:rPr>
                <w:rFonts w:hint="eastAsia" w:ascii="宋体" w:hAnsi="宋体"/>
                <w:szCs w:val="21"/>
              </w:rPr>
            </w:pPr>
          </w:p>
        </w:tc>
        <w:tc>
          <w:tcPr>
            <w:tcW w:w="973" w:type="dxa"/>
            <w:tcBorders>
              <w:top w:val="single" w:color="auto" w:sz="6" w:space="0"/>
              <w:left w:val="single" w:color="auto" w:sz="6" w:space="0"/>
              <w:bottom w:val="single" w:color="auto" w:sz="6" w:space="0"/>
              <w:right w:val="single" w:color="auto" w:sz="6" w:space="0"/>
            </w:tcBorders>
            <w:noWrap w:val="0"/>
            <w:vAlign w:val="center"/>
          </w:tcPr>
          <w:p w14:paraId="05548061">
            <w:pPr>
              <w:jc w:val="center"/>
              <w:rPr>
                <w:rFonts w:hint="eastAsia" w:ascii="宋体" w:hAnsi="宋体"/>
                <w:szCs w:val="21"/>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0C505385">
            <w:pPr>
              <w:jc w:val="center"/>
              <w:rPr>
                <w:rFonts w:hint="eastAsia" w:ascii="宋体" w:hAnsi="宋体"/>
              </w:rPr>
            </w:pPr>
          </w:p>
        </w:tc>
      </w:tr>
      <w:tr w14:paraId="595E9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3555603A">
            <w:pPr>
              <w:keepNext w:val="0"/>
              <w:keepLines w:val="0"/>
              <w:widowControl/>
              <w:suppressLineNumbers w:val="0"/>
              <w:jc w:val="center"/>
              <w:textAlignment w:val="center"/>
              <w:rPr>
                <w:rFonts w:hint="eastAsia" w:ascii="宋体" w:hAnsi="宋体"/>
                <w:szCs w:val="21"/>
              </w:rPr>
            </w:pPr>
          </w:p>
        </w:tc>
        <w:tc>
          <w:tcPr>
            <w:tcW w:w="4533" w:type="dxa"/>
            <w:tcBorders>
              <w:top w:val="single" w:color="auto" w:sz="6" w:space="0"/>
              <w:left w:val="single" w:color="auto" w:sz="6" w:space="0"/>
              <w:bottom w:val="single" w:color="auto" w:sz="6" w:space="0"/>
              <w:right w:val="single" w:color="auto" w:sz="6" w:space="0"/>
            </w:tcBorders>
            <w:noWrap w:val="0"/>
            <w:vAlign w:val="center"/>
          </w:tcPr>
          <w:p w14:paraId="26CF85D4">
            <w:pPr>
              <w:keepNext w:val="0"/>
              <w:keepLines w:val="0"/>
              <w:widowControl/>
              <w:suppressLineNumbers w:val="0"/>
              <w:jc w:val="left"/>
              <w:textAlignment w:val="center"/>
              <w:rPr>
                <w:rFonts w:hint="eastAsia" w:ascii="宋体" w:hAnsi="宋体"/>
                <w:szCs w:val="21"/>
              </w:rPr>
            </w:pPr>
          </w:p>
        </w:tc>
        <w:tc>
          <w:tcPr>
            <w:tcW w:w="855" w:type="dxa"/>
            <w:tcBorders>
              <w:top w:val="single" w:color="auto" w:sz="6" w:space="0"/>
              <w:left w:val="single" w:color="auto" w:sz="6" w:space="0"/>
              <w:bottom w:val="single" w:color="auto" w:sz="6" w:space="0"/>
              <w:right w:val="single" w:color="auto" w:sz="6" w:space="0"/>
            </w:tcBorders>
            <w:noWrap w:val="0"/>
            <w:vAlign w:val="center"/>
          </w:tcPr>
          <w:p w14:paraId="7A2408AB">
            <w:pPr>
              <w:keepNext w:val="0"/>
              <w:keepLines w:val="0"/>
              <w:widowControl/>
              <w:suppressLineNumbers w:val="0"/>
              <w:jc w:val="center"/>
              <w:textAlignment w:val="center"/>
              <w:rPr>
                <w:rFonts w:hint="eastAsia" w:ascii="宋体" w:hAnsi="宋体"/>
                <w:szCs w:val="21"/>
              </w:rPr>
            </w:pPr>
          </w:p>
        </w:tc>
        <w:tc>
          <w:tcPr>
            <w:tcW w:w="918" w:type="dxa"/>
            <w:tcBorders>
              <w:top w:val="single" w:color="auto" w:sz="6" w:space="0"/>
              <w:left w:val="single" w:color="auto" w:sz="6" w:space="0"/>
              <w:bottom w:val="single" w:color="auto" w:sz="6" w:space="0"/>
              <w:right w:val="single" w:color="auto" w:sz="6" w:space="0"/>
            </w:tcBorders>
            <w:noWrap w:val="0"/>
            <w:vAlign w:val="center"/>
          </w:tcPr>
          <w:p w14:paraId="1B19263F">
            <w:pPr>
              <w:keepNext w:val="0"/>
              <w:keepLines w:val="0"/>
              <w:widowControl/>
              <w:suppressLineNumbers w:val="0"/>
              <w:jc w:val="right"/>
              <w:textAlignment w:val="center"/>
              <w:rPr>
                <w:rFonts w:hint="eastAsia" w:ascii="宋体" w:hAnsi="宋体"/>
                <w:szCs w:val="21"/>
              </w:rPr>
            </w:pPr>
          </w:p>
        </w:tc>
        <w:tc>
          <w:tcPr>
            <w:tcW w:w="973" w:type="dxa"/>
            <w:tcBorders>
              <w:top w:val="single" w:color="auto" w:sz="6" w:space="0"/>
              <w:left w:val="single" w:color="auto" w:sz="6" w:space="0"/>
              <w:bottom w:val="single" w:color="auto" w:sz="6" w:space="0"/>
              <w:right w:val="single" w:color="auto" w:sz="6" w:space="0"/>
            </w:tcBorders>
            <w:noWrap w:val="0"/>
            <w:vAlign w:val="center"/>
          </w:tcPr>
          <w:p w14:paraId="293CB6BB">
            <w:pPr>
              <w:jc w:val="center"/>
              <w:rPr>
                <w:rFonts w:hint="eastAsia" w:ascii="宋体" w:hAnsi="宋体"/>
                <w:szCs w:val="21"/>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6C4A87E0">
            <w:pPr>
              <w:jc w:val="center"/>
              <w:rPr>
                <w:rFonts w:hint="eastAsia" w:ascii="宋体" w:hAnsi="宋体"/>
              </w:rPr>
            </w:pPr>
          </w:p>
        </w:tc>
      </w:tr>
      <w:tr w14:paraId="3AF48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51F21547">
            <w:pPr>
              <w:keepNext w:val="0"/>
              <w:keepLines w:val="0"/>
              <w:widowControl/>
              <w:suppressLineNumbers w:val="0"/>
              <w:jc w:val="center"/>
              <w:textAlignment w:val="center"/>
              <w:rPr>
                <w:rFonts w:hint="eastAsia" w:ascii="宋体" w:hAnsi="宋体"/>
                <w:szCs w:val="21"/>
              </w:rPr>
            </w:pPr>
          </w:p>
        </w:tc>
        <w:tc>
          <w:tcPr>
            <w:tcW w:w="4533" w:type="dxa"/>
            <w:tcBorders>
              <w:top w:val="single" w:color="auto" w:sz="6" w:space="0"/>
              <w:left w:val="single" w:color="auto" w:sz="6" w:space="0"/>
              <w:bottom w:val="single" w:color="auto" w:sz="6" w:space="0"/>
              <w:right w:val="single" w:color="auto" w:sz="6" w:space="0"/>
            </w:tcBorders>
            <w:noWrap w:val="0"/>
            <w:vAlign w:val="center"/>
          </w:tcPr>
          <w:p w14:paraId="099F145D">
            <w:pPr>
              <w:keepNext w:val="0"/>
              <w:keepLines w:val="0"/>
              <w:widowControl/>
              <w:suppressLineNumbers w:val="0"/>
              <w:jc w:val="left"/>
              <w:textAlignment w:val="center"/>
              <w:rPr>
                <w:rFonts w:hint="eastAsia" w:ascii="宋体" w:hAnsi="宋体"/>
                <w:szCs w:val="21"/>
              </w:rPr>
            </w:pPr>
          </w:p>
        </w:tc>
        <w:tc>
          <w:tcPr>
            <w:tcW w:w="855" w:type="dxa"/>
            <w:tcBorders>
              <w:top w:val="single" w:color="auto" w:sz="6" w:space="0"/>
              <w:left w:val="single" w:color="auto" w:sz="6" w:space="0"/>
              <w:bottom w:val="single" w:color="auto" w:sz="6" w:space="0"/>
              <w:right w:val="single" w:color="auto" w:sz="6" w:space="0"/>
            </w:tcBorders>
            <w:noWrap w:val="0"/>
            <w:vAlign w:val="center"/>
          </w:tcPr>
          <w:p w14:paraId="6064AE4B">
            <w:pPr>
              <w:keepNext w:val="0"/>
              <w:keepLines w:val="0"/>
              <w:widowControl/>
              <w:suppressLineNumbers w:val="0"/>
              <w:jc w:val="center"/>
              <w:textAlignment w:val="center"/>
              <w:rPr>
                <w:rFonts w:hint="eastAsia" w:ascii="宋体" w:hAnsi="宋体"/>
                <w:szCs w:val="21"/>
              </w:rPr>
            </w:pPr>
          </w:p>
        </w:tc>
        <w:tc>
          <w:tcPr>
            <w:tcW w:w="918" w:type="dxa"/>
            <w:tcBorders>
              <w:top w:val="single" w:color="auto" w:sz="6" w:space="0"/>
              <w:left w:val="single" w:color="auto" w:sz="6" w:space="0"/>
              <w:bottom w:val="single" w:color="auto" w:sz="6" w:space="0"/>
              <w:right w:val="single" w:color="auto" w:sz="6" w:space="0"/>
            </w:tcBorders>
            <w:noWrap w:val="0"/>
            <w:vAlign w:val="center"/>
          </w:tcPr>
          <w:p w14:paraId="543228F3">
            <w:pPr>
              <w:keepNext w:val="0"/>
              <w:keepLines w:val="0"/>
              <w:widowControl/>
              <w:suppressLineNumbers w:val="0"/>
              <w:jc w:val="right"/>
              <w:textAlignment w:val="center"/>
              <w:rPr>
                <w:rFonts w:hint="eastAsia" w:ascii="宋体" w:hAnsi="宋体"/>
                <w:szCs w:val="21"/>
              </w:rPr>
            </w:pPr>
          </w:p>
        </w:tc>
        <w:tc>
          <w:tcPr>
            <w:tcW w:w="973" w:type="dxa"/>
            <w:tcBorders>
              <w:top w:val="single" w:color="auto" w:sz="6" w:space="0"/>
              <w:left w:val="single" w:color="auto" w:sz="6" w:space="0"/>
              <w:bottom w:val="single" w:color="auto" w:sz="6" w:space="0"/>
              <w:right w:val="single" w:color="auto" w:sz="6" w:space="0"/>
            </w:tcBorders>
            <w:noWrap w:val="0"/>
            <w:vAlign w:val="center"/>
          </w:tcPr>
          <w:p w14:paraId="06705D27">
            <w:pPr>
              <w:jc w:val="center"/>
              <w:rPr>
                <w:rFonts w:hint="eastAsia" w:ascii="宋体" w:hAnsi="宋体"/>
                <w:szCs w:val="21"/>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21D4A785">
            <w:pPr>
              <w:jc w:val="center"/>
              <w:rPr>
                <w:rFonts w:hint="eastAsia" w:ascii="宋体" w:hAnsi="宋体"/>
              </w:rPr>
            </w:pPr>
          </w:p>
        </w:tc>
      </w:tr>
      <w:tr w14:paraId="368E0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16A0D0D8">
            <w:pPr>
              <w:keepNext w:val="0"/>
              <w:keepLines w:val="0"/>
              <w:widowControl/>
              <w:suppressLineNumbers w:val="0"/>
              <w:jc w:val="center"/>
              <w:textAlignment w:val="center"/>
              <w:rPr>
                <w:rFonts w:hint="eastAsia" w:ascii="宋体" w:hAnsi="宋体"/>
                <w:szCs w:val="21"/>
              </w:rPr>
            </w:pPr>
          </w:p>
        </w:tc>
        <w:tc>
          <w:tcPr>
            <w:tcW w:w="4533" w:type="dxa"/>
            <w:tcBorders>
              <w:top w:val="single" w:color="auto" w:sz="6" w:space="0"/>
              <w:left w:val="single" w:color="auto" w:sz="6" w:space="0"/>
              <w:bottom w:val="single" w:color="auto" w:sz="6" w:space="0"/>
              <w:right w:val="single" w:color="auto" w:sz="6" w:space="0"/>
            </w:tcBorders>
            <w:noWrap w:val="0"/>
            <w:vAlign w:val="center"/>
          </w:tcPr>
          <w:p w14:paraId="6BFDAA27">
            <w:pPr>
              <w:keepNext w:val="0"/>
              <w:keepLines w:val="0"/>
              <w:widowControl/>
              <w:suppressLineNumbers w:val="0"/>
              <w:jc w:val="left"/>
              <w:textAlignment w:val="center"/>
              <w:rPr>
                <w:rFonts w:hint="eastAsia" w:ascii="宋体" w:hAnsi="宋体"/>
                <w:szCs w:val="21"/>
              </w:rPr>
            </w:pPr>
          </w:p>
        </w:tc>
        <w:tc>
          <w:tcPr>
            <w:tcW w:w="855" w:type="dxa"/>
            <w:tcBorders>
              <w:top w:val="single" w:color="auto" w:sz="6" w:space="0"/>
              <w:left w:val="single" w:color="auto" w:sz="6" w:space="0"/>
              <w:bottom w:val="single" w:color="auto" w:sz="6" w:space="0"/>
              <w:right w:val="single" w:color="auto" w:sz="6" w:space="0"/>
            </w:tcBorders>
            <w:noWrap w:val="0"/>
            <w:vAlign w:val="center"/>
          </w:tcPr>
          <w:p w14:paraId="621EE351">
            <w:pPr>
              <w:jc w:val="center"/>
              <w:rPr>
                <w:rFonts w:hint="eastAsia" w:ascii="宋体" w:hAnsi="宋体"/>
                <w:szCs w:val="21"/>
              </w:rPr>
            </w:pPr>
          </w:p>
        </w:tc>
        <w:tc>
          <w:tcPr>
            <w:tcW w:w="918" w:type="dxa"/>
            <w:tcBorders>
              <w:top w:val="single" w:color="auto" w:sz="6" w:space="0"/>
              <w:left w:val="single" w:color="auto" w:sz="6" w:space="0"/>
              <w:bottom w:val="single" w:color="auto" w:sz="6" w:space="0"/>
              <w:right w:val="single" w:color="auto" w:sz="6" w:space="0"/>
            </w:tcBorders>
            <w:noWrap w:val="0"/>
            <w:vAlign w:val="center"/>
          </w:tcPr>
          <w:p w14:paraId="498DBF73">
            <w:pPr>
              <w:jc w:val="right"/>
              <w:rPr>
                <w:rFonts w:hint="eastAsia" w:ascii="宋体" w:hAnsi="宋体"/>
                <w:szCs w:val="21"/>
              </w:rPr>
            </w:pPr>
          </w:p>
        </w:tc>
        <w:tc>
          <w:tcPr>
            <w:tcW w:w="973" w:type="dxa"/>
            <w:tcBorders>
              <w:top w:val="single" w:color="auto" w:sz="6" w:space="0"/>
              <w:left w:val="single" w:color="auto" w:sz="6" w:space="0"/>
              <w:bottom w:val="single" w:color="auto" w:sz="6" w:space="0"/>
              <w:right w:val="single" w:color="auto" w:sz="6" w:space="0"/>
            </w:tcBorders>
            <w:noWrap w:val="0"/>
            <w:vAlign w:val="center"/>
          </w:tcPr>
          <w:p w14:paraId="678B0833">
            <w:pPr>
              <w:jc w:val="center"/>
              <w:rPr>
                <w:rFonts w:hint="eastAsia" w:ascii="宋体" w:hAnsi="宋体"/>
                <w:szCs w:val="21"/>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4E6BCEA9">
            <w:pPr>
              <w:jc w:val="center"/>
              <w:rPr>
                <w:rFonts w:hint="eastAsia" w:ascii="宋体" w:hAnsi="宋体"/>
              </w:rPr>
            </w:pPr>
          </w:p>
        </w:tc>
      </w:tr>
      <w:tr w14:paraId="258FD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3B2A5E7F">
            <w:pPr>
              <w:keepNext w:val="0"/>
              <w:keepLines w:val="0"/>
              <w:widowControl/>
              <w:suppressLineNumbers w:val="0"/>
              <w:jc w:val="center"/>
              <w:textAlignment w:val="center"/>
              <w:rPr>
                <w:rFonts w:hint="eastAsia" w:ascii="宋体" w:hAnsi="宋体"/>
                <w:szCs w:val="21"/>
              </w:rPr>
            </w:pPr>
          </w:p>
        </w:tc>
        <w:tc>
          <w:tcPr>
            <w:tcW w:w="4533" w:type="dxa"/>
            <w:tcBorders>
              <w:top w:val="single" w:color="auto" w:sz="6" w:space="0"/>
              <w:left w:val="single" w:color="auto" w:sz="6" w:space="0"/>
              <w:bottom w:val="single" w:color="auto" w:sz="6" w:space="0"/>
              <w:right w:val="single" w:color="auto" w:sz="6" w:space="0"/>
            </w:tcBorders>
            <w:noWrap w:val="0"/>
            <w:vAlign w:val="center"/>
          </w:tcPr>
          <w:p w14:paraId="4868084A">
            <w:pPr>
              <w:keepNext w:val="0"/>
              <w:keepLines w:val="0"/>
              <w:widowControl/>
              <w:suppressLineNumbers w:val="0"/>
              <w:jc w:val="left"/>
              <w:textAlignment w:val="center"/>
              <w:rPr>
                <w:rFonts w:hint="eastAsia" w:ascii="宋体" w:hAnsi="宋体"/>
                <w:szCs w:val="21"/>
              </w:rPr>
            </w:pPr>
          </w:p>
        </w:tc>
        <w:tc>
          <w:tcPr>
            <w:tcW w:w="855" w:type="dxa"/>
            <w:tcBorders>
              <w:top w:val="single" w:color="auto" w:sz="6" w:space="0"/>
              <w:left w:val="single" w:color="auto" w:sz="6" w:space="0"/>
              <w:bottom w:val="single" w:color="auto" w:sz="6" w:space="0"/>
              <w:right w:val="single" w:color="auto" w:sz="6" w:space="0"/>
            </w:tcBorders>
            <w:noWrap w:val="0"/>
            <w:vAlign w:val="center"/>
          </w:tcPr>
          <w:p w14:paraId="4A2A3CE1">
            <w:pPr>
              <w:keepNext w:val="0"/>
              <w:keepLines w:val="0"/>
              <w:widowControl/>
              <w:suppressLineNumbers w:val="0"/>
              <w:jc w:val="center"/>
              <w:textAlignment w:val="center"/>
              <w:rPr>
                <w:rFonts w:hint="eastAsia" w:ascii="宋体" w:hAnsi="宋体"/>
                <w:szCs w:val="21"/>
              </w:rPr>
            </w:pPr>
          </w:p>
        </w:tc>
        <w:tc>
          <w:tcPr>
            <w:tcW w:w="918" w:type="dxa"/>
            <w:tcBorders>
              <w:top w:val="single" w:color="auto" w:sz="6" w:space="0"/>
              <w:left w:val="single" w:color="auto" w:sz="6" w:space="0"/>
              <w:bottom w:val="single" w:color="auto" w:sz="6" w:space="0"/>
              <w:right w:val="single" w:color="auto" w:sz="6" w:space="0"/>
            </w:tcBorders>
            <w:noWrap w:val="0"/>
            <w:vAlign w:val="center"/>
          </w:tcPr>
          <w:p w14:paraId="20E8A20B">
            <w:pPr>
              <w:keepNext w:val="0"/>
              <w:keepLines w:val="0"/>
              <w:widowControl/>
              <w:suppressLineNumbers w:val="0"/>
              <w:jc w:val="right"/>
              <w:textAlignment w:val="center"/>
              <w:rPr>
                <w:rFonts w:hint="eastAsia" w:ascii="宋体" w:hAnsi="宋体"/>
                <w:szCs w:val="21"/>
              </w:rPr>
            </w:pPr>
          </w:p>
        </w:tc>
        <w:tc>
          <w:tcPr>
            <w:tcW w:w="973" w:type="dxa"/>
            <w:tcBorders>
              <w:top w:val="single" w:color="auto" w:sz="6" w:space="0"/>
              <w:left w:val="single" w:color="auto" w:sz="6" w:space="0"/>
              <w:bottom w:val="single" w:color="auto" w:sz="6" w:space="0"/>
              <w:right w:val="single" w:color="auto" w:sz="6" w:space="0"/>
            </w:tcBorders>
            <w:noWrap w:val="0"/>
            <w:vAlign w:val="center"/>
          </w:tcPr>
          <w:p w14:paraId="1AF328B6">
            <w:pPr>
              <w:jc w:val="center"/>
              <w:rPr>
                <w:rFonts w:hint="eastAsia" w:ascii="宋体" w:hAnsi="宋体"/>
                <w:szCs w:val="21"/>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74ACE044">
            <w:pPr>
              <w:jc w:val="center"/>
              <w:rPr>
                <w:rFonts w:hint="eastAsia" w:ascii="宋体" w:hAnsi="宋体"/>
                <w:b/>
              </w:rPr>
            </w:pPr>
          </w:p>
        </w:tc>
      </w:tr>
      <w:tr w14:paraId="0129E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08DDB59A">
            <w:pPr>
              <w:keepNext w:val="0"/>
              <w:keepLines w:val="0"/>
              <w:widowControl/>
              <w:suppressLineNumbers w:val="0"/>
              <w:jc w:val="center"/>
              <w:textAlignment w:val="center"/>
              <w:rPr>
                <w:rFonts w:hint="eastAsia" w:ascii="宋体" w:hAnsi="宋体"/>
                <w:szCs w:val="21"/>
              </w:rPr>
            </w:pPr>
          </w:p>
        </w:tc>
        <w:tc>
          <w:tcPr>
            <w:tcW w:w="4533" w:type="dxa"/>
            <w:tcBorders>
              <w:top w:val="single" w:color="auto" w:sz="6" w:space="0"/>
              <w:left w:val="single" w:color="auto" w:sz="6" w:space="0"/>
              <w:bottom w:val="single" w:color="auto" w:sz="6" w:space="0"/>
              <w:right w:val="single" w:color="auto" w:sz="6" w:space="0"/>
            </w:tcBorders>
            <w:noWrap w:val="0"/>
            <w:vAlign w:val="center"/>
          </w:tcPr>
          <w:p w14:paraId="25BC3366">
            <w:pPr>
              <w:keepNext w:val="0"/>
              <w:keepLines w:val="0"/>
              <w:widowControl/>
              <w:suppressLineNumbers w:val="0"/>
              <w:jc w:val="left"/>
              <w:textAlignment w:val="center"/>
              <w:rPr>
                <w:rFonts w:hint="eastAsia" w:ascii="宋体" w:hAnsi="宋体"/>
                <w:szCs w:val="21"/>
              </w:rPr>
            </w:pPr>
          </w:p>
        </w:tc>
        <w:tc>
          <w:tcPr>
            <w:tcW w:w="855" w:type="dxa"/>
            <w:tcBorders>
              <w:top w:val="single" w:color="auto" w:sz="6" w:space="0"/>
              <w:left w:val="single" w:color="auto" w:sz="6" w:space="0"/>
              <w:bottom w:val="single" w:color="auto" w:sz="6" w:space="0"/>
              <w:right w:val="single" w:color="auto" w:sz="6" w:space="0"/>
            </w:tcBorders>
            <w:noWrap w:val="0"/>
            <w:vAlign w:val="center"/>
          </w:tcPr>
          <w:p w14:paraId="2B9D7876">
            <w:pPr>
              <w:jc w:val="center"/>
              <w:rPr>
                <w:rFonts w:hint="eastAsia" w:ascii="宋体" w:hAnsi="宋体"/>
                <w:szCs w:val="21"/>
              </w:rPr>
            </w:pPr>
          </w:p>
        </w:tc>
        <w:tc>
          <w:tcPr>
            <w:tcW w:w="918" w:type="dxa"/>
            <w:tcBorders>
              <w:top w:val="single" w:color="auto" w:sz="6" w:space="0"/>
              <w:left w:val="single" w:color="auto" w:sz="6" w:space="0"/>
              <w:bottom w:val="single" w:color="auto" w:sz="6" w:space="0"/>
              <w:right w:val="single" w:color="auto" w:sz="6" w:space="0"/>
            </w:tcBorders>
            <w:noWrap w:val="0"/>
            <w:vAlign w:val="center"/>
          </w:tcPr>
          <w:p w14:paraId="79B66564">
            <w:pPr>
              <w:jc w:val="right"/>
              <w:rPr>
                <w:rFonts w:hint="eastAsia" w:ascii="宋体" w:hAnsi="宋体"/>
                <w:szCs w:val="21"/>
              </w:rPr>
            </w:pPr>
          </w:p>
        </w:tc>
        <w:tc>
          <w:tcPr>
            <w:tcW w:w="973" w:type="dxa"/>
            <w:tcBorders>
              <w:top w:val="single" w:color="auto" w:sz="6" w:space="0"/>
              <w:left w:val="single" w:color="auto" w:sz="6" w:space="0"/>
              <w:bottom w:val="single" w:color="auto" w:sz="6" w:space="0"/>
              <w:right w:val="single" w:color="auto" w:sz="6" w:space="0"/>
            </w:tcBorders>
            <w:noWrap w:val="0"/>
            <w:vAlign w:val="center"/>
          </w:tcPr>
          <w:p w14:paraId="61935529">
            <w:pPr>
              <w:jc w:val="center"/>
              <w:rPr>
                <w:rFonts w:hint="eastAsia" w:ascii="宋体" w:hAnsi="宋体"/>
                <w:szCs w:val="21"/>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0ECE3ED2">
            <w:pPr>
              <w:jc w:val="center"/>
              <w:rPr>
                <w:rFonts w:hint="eastAsia" w:ascii="宋体" w:hAnsi="宋体"/>
                <w:b/>
              </w:rPr>
            </w:pPr>
          </w:p>
        </w:tc>
      </w:tr>
      <w:tr w14:paraId="5562C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2E2F43AC">
            <w:pPr>
              <w:keepNext w:val="0"/>
              <w:keepLines w:val="0"/>
              <w:widowControl/>
              <w:suppressLineNumbers w:val="0"/>
              <w:jc w:val="center"/>
              <w:textAlignment w:val="center"/>
              <w:rPr>
                <w:rFonts w:hint="eastAsia" w:ascii="宋体" w:hAnsi="宋体"/>
                <w:szCs w:val="21"/>
              </w:rPr>
            </w:pPr>
          </w:p>
        </w:tc>
        <w:tc>
          <w:tcPr>
            <w:tcW w:w="4533" w:type="dxa"/>
            <w:tcBorders>
              <w:top w:val="single" w:color="auto" w:sz="6" w:space="0"/>
              <w:left w:val="single" w:color="auto" w:sz="6" w:space="0"/>
              <w:bottom w:val="single" w:color="auto" w:sz="6" w:space="0"/>
              <w:right w:val="single" w:color="auto" w:sz="6" w:space="0"/>
            </w:tcBorders>
            <w:noWrap w:val="0"/>
            <w:vAlign w:val="center"/>
          </w:tcPr>
          <w:p w14:paraId="4B37292A">
            <w:pPr>
              <w:keepNext w:val="0"/>
              <w:keepLines w:val="0"/>
              <w:widowControl/>
              <w:suppressLineNumbers w:val="0"/>
              <w:jc w:val="left"/>
              <w:textAlignment w:val="center"/>
              <w:rPr>
                <w:rFonts w:hint="eastAsia" w:ascii="宋体" w:hAnsi="宋体"/>
                <w:szCs w:val="21"/>
              </w:rPr>
            </w:pPr>
          </w:p>
        </w:tc>
        <w:tc>
          <w:tcPr>
            <w:tcW w:w="855" w:type="dxa"/>
            <w:tcBorders>
              <w:top w:val="single" w:color="auto" w:sz="6" w:space="0"/>
              <w:left w:val="single" w:color="auto" w:sz="6" w:space="0"/>
              <w:bottom w:val="single" w:color="auto" w:sz="6" w:space="0"/>
              <w:right w:val="single" w:color="auto" w:sz="6" w:space="0"/>
            </w:tcBorders>
            <w:noWrap w:val="0"/>
            <w:vAlign w:val="center"/>
          </w:tcPr>
          <w:p w14:paraId="0A3B9899">
            <w:pPr>
              <w:keepNext w:val="0"/>
              <w:keepLines w:val="0"/>
              <w:widowControl/>
              <w:suppressLineNumbers w:val="0"/>
              <w:jc w:val="center"/>
              <w:textAlignment w:val="center"/>
              <w:rPr>
                <w:rFonts w:hint="eastAsia" w:ascii="宋体" w:hAnsi="宋体"/>
                <w:szCs w:val="21"/>
              </w:rPr>
            </w:pPr>
          </w:p>
        </w:tc>
        <w:tc>
          <w:tcPr>
            <w:tcW w:w="918" w:type="dxa"/>
            <w:tcBorders>
              <w:top w:val="single" w:color="auto" w:sz="6" w:space="0"/>
              <w:left w:val="single" w:color="auto" w:sz="6" w:space="0"/>
              <w:bottom w:val="single" w:color="auto" w:sz="6" w:space="0"/>
              <w:right w:val="single" w:color="auto" w:sz="6" w:space="0"/>
            </w:tcBorders>
            <w:noWrap w:val="0"/>
            <w:vAlign w:val="center"/>
          </w:tcPr>
          <w:p w14:paraId="26814389">
            <w:pPr>
              <w:keepNext w:val="0"/>
              <w:keepLines w:val="0"/>
              <w:widowControl/>
              <w:suppressLineNumbers w:val="0"/>
              <w:jc w:val="right"/>
              <w:textAlignment w:val="center"/>
              <w:rPr>
                <w:rFonts w:hint="eastAsia" w:ascii="宋体" w:hAnsi="宋体"/>
                <w:szCs w:val="21"/>
              </w:rPr>
            </w:pPr>
          </w:p>
        </w:tc>
        <w:tc>
          <w:tcPr>
            <w:tcW w:w="973" w:type="dxa"/>
            <w:tcBorders>
              <w:top w:val="single" w:color="auto" w:sz="6" w:space="0"/>
              <w:left w:val="single" w:color="auto" w:sz="6" w:space="0"/>
              <w:bottom w:val="single" w:color="auto" w:sz="6" w:space="0"/>
              <w:right w:val="single" w:color="auto" w:sz="6" w:space="0"/>
            </w:tcBorders>
            <w:noWrap w:val="0"/>
            <w:vAlign w:val="center"/>
          </w:tcPr>
          <w:p w14:paraId="32062900">
            <w:pPr>
              <w:jc w:val="center"/>
              <w:rPr>
                <w:rFonts w:hint="eastAsia" w:ascii="宋体" w:hAnsi="宋体"/>
                <w:szCs w:val="21"/>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1BA75E5A">
            <w:pPr>
              <w:jc w:val="center"/>
              <w:rPr>
                <w:rFonts w:hint="eastAsia" w:ascii="宋体" w:hAnsi="宋体"/>
                <w:b/>
              </w:rPr>
            </w:pPr>
          </w:p>
        </w:tc>
      </w:tr>
      <w:tr w14:paraId="7C50D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2772A118">
            <w:pPr>
              <w:keepNext w:val="0"/>
              <w:keepLines w:val="0"/>
              <w:widowControl/>
              <w:suppressLineNumbers w:val="0"/>
              <w:jc w:val="center"/>
              <w:textAlignment w:val="center"/>
              <w:rPr>
                <w:rFonts w:hint="eastAsia" w:ascii="宋体" w:hAnsi="宋体"/>
                <w:szCs w:val="21"/>
              </w:rPr>
            </w:pPr>
          </w:p>
        </w:tc>
        <w:tc>
          <w:tcPr>
            <w:tcW w:w="4533" w:type="dxa"/>
            <w:tcBorders>
              <w:top w:val="single" w:color="auto" w:sz="6" w:space="0"/>
              <w:left w:val="single" w:color="auto" w:sz="6" w:space="0"/>
              <w:bottom w:val="single" w:color="auto" w:sz="6" w:space="0"/>
              <w:right w:val="single" w:color="auto" w:sz="6" w:space="0"/>
            </w:tcBorders>
            <w:noWrap w:val="0"/>
            <w:vAlign w:val="center"/>
          </w:tcPr>
          <w:p w14:paraId="0BFCFC79">
            <w:pPr>
              <w:keepNext w:val="0"/>
              <w:keepLines w:val="0"/>
              <w:widowControl/>
              <w:suppressLineNumbers w:val="0"/>
              <w:jc w:val="left"/>
              <w:textAlignment w:val="center"/>
              <w:rPr>
                <w:rFonts w:hint="eastAsia" w:ascii="宋体" w:hAnsi="宋体"/>
                <w:szCs w:val="21"/>
              </w:rPr>
            </w:pPr>
          </w:p>
        </w:tc>
        <w:tc>
          <w:tcPr>
            <w:tcW w:w="855" w:type="dxa"/>
            <w:tcBorders>
              <w:top w:val="single" w:color="auto" w:sz="6" w:space="0"/>
              <w:left w:val="single" w:color="auto" w:sz="6" w:space="0"/>
              <w:bottom w:val="single" w:color="auto" w:sz="6" w:space="0"/>
              <w:right w:val="single" w:color="auto" w:sz="6" w:space="0"/>
            </w:tcBorders>
            <w:noWrap w:val="0"/>
            <w:vAlign w:val="center"/>
          </w:tcPr>
          <w:p w14:paraId="7DC2E54D">
            <w:pPr>
              <w:jc w:val="center"/>
              <w:rPr>
                <w:rFonts w:hint="eastAsia" w:ascii="宋体" w:hAnsi="宋体"/>
                <w:szCs w:val="21"/>
              </w:rPr>
            </w:pPr>
          </w:p>
        </w:tc>
        <w:tc>
          <w:tcPr>
            <w:tcW w:w="918" w:type="dxa"/>
            <w:tcBorders>
              <w:top w:val="single" w:color="auto" w:sz="6" w:space="0"/>
              <w:left w:val="single" w:color="auto" w:sz="6" w:space="0"/>
              <w:bottom w:val="single" w:color="auto" w:sz="6" w:space="0"/>
              <w:right w:val="single" w:color="auto" w:sz="6" w:space="0"/>
            </w:tcBorders>
            <w:noWrap w:val="0"/>
            <w:vAlign w:val="center"/>
          </w:tcPr>
          <w:p w14:paraId="2C53B187">
            <w:pPr>
              <w:jc w:val="right"/>
              <w:rPr>
                <w:rFonts w:hint="eastAsia" w:ascii="宋体" w:hAnsi="宋体"/>
                <w:szCs w:val="21"/>
              </w:rPr>
            </w:pPr>
          </w:p>
        </w:tc>
        <w:tc>
          <w:tcPr>
            <w:tcW w:w="973" w:type="dxa"/>
            <w:tcBorders>
              <w:top w:val="single" w:color="auto" w:sz="6" w:space="0"/>
              <w:left w:val="single" w:color="auto" w:sz="6" w:space="0"/>
              <w:bottom w:val="single" w:color="auto" w:sz="6" w:space="0"/>
              <w:right w:val="single" w:color="auto" w:sz="6" w:space="0"/>
            </w:tcBorders>
            <w:noWrap w:val="0"/>
            <w:vAlign w:val="center"/>
          </w:tcPr>
          <w:p w14:paraId="4B482E5F">
            <w:pPr>
              <w:jc w:val="center"/>
              <w:rPr>
                <w:rFonts w:hint="eastAsia" w:ascii="宋体" w:hAnsi="宋体"/>
                <w:szCs w:val="21"/>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6889FFAE">
            <w:pPr>
              <w:jc w:val="center"/>
              <w:rPr>
                <w:rFonts w:hint="eastAsia" w:ascii="宋体" w:hAnsi="宋体"/>
                <w:b/>
              </w:rPr>
            </w:pPr>
          </w:p>
        </w:tc>
      </w:tr>
      <w:tr w14:paraId="30026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4F5ABD2F">
            <w:pPr>
              <w:keepNext w:val="0"/>
              <w:keepLines w:val="0"/>
              <w:widowControl/>
              <w:suppressLineNumbers w:val="0"/>
              <w:jc w:val="center"/>
              <w:textAlignment w:val="center"/>
              <w:rPr>
                <w:rFonts w:hint="eastAsia" w:ascii="宋体" w:hAnsi="宋体" w:cs="宋体"/>
                <w:kern w:val="0"/>
                <w:szCs w:val="21"/>
              </w:rPr>
            </w:pPr>
          </w:p>
        </w:tc>
        <w:tc>
          <w:tcPr>
            <w:tcW w:w="4533" w:type="dxa"/>
            <w:tcBorders>
              <w:top w:val="single" w:color="auto" w:sz="6" w:space="0"/>
              <w:left w:val="single" w:color="auto" w:sz="6" w:space="0"/>
              <w:bottom w:val="single" w:color="auto" w:sz="6" w:space="0"/>
              <w:right w:val="single" w:color="auto" w:sz="6" w:space="0"/>
            </w:tcBorders>
            <w:noWrap w:val="0"/>
            <w:vAlign w:val="center"/>
          </w:tcPr>
          <w:p w14:paraId="744FE225">
            <w:pPr>
              <w:keepNext w:val="0"/>
              <w:keepLines w:val="0"/>
              <w:widowControl/>
              <w:suppressLineNumbers w:val="0"/>
              <w:jc w:val="left"/>
              <w:textAlignment w:val="center"/>
              <w:rPr>
                <w:rFonts w:hint="eastAsia" w:ascii="宋体" w:hAnsi="宋体" w:cs="宋体"/>
                <w:kern w:val="0"/>
                <w:szCs w:val="21"/>
              </w:rPr>
            </w:pPr>
          </w:p>
        </w:tc>
        <w:tc>
          <w:tcPr>
            <w:tcW w:w="855" w:type="dxa"/>
            <w:tcBorders>
              <w:top w:val="single" w:color="auto" w:sz="6" w:space="0"/>
              <w:left w:val="single" w:color="auto" w:sz="6" w:space="0"/>
              <w:bottom w:val="single" w:color="auto" w:sz="6" w:space="0"/>
              <w:right w:val="single" w:color="auto" w:sz="6" w:space="0"/>
            </w:tcBorders>
            <w:noWrap w:val="0"/>
            <w:vAlign w:val="center"/>
          </w:tcPr>
          <w:p w14:paraId="02515C92">
            <w:pPr>
              <w:keepNext w:val="0"/>
              <w:keepLines w:val="0"/>
              <w:widowControl/>
              <w:suppressLineNumbers w:val="0"/>
              <w:jc w:val="center"/>
              <w:textAlignment w:val="center"/>
              <w:rPr>
                <w:rFonts w:hint="eastAsia" w:ascii="宋体" w:hAnsi="宋体" w:cs="宋体"/>
                <w:kern w:val="0"/>
                <w:szCs w:val="21"/>
              </w:rPr>
            </w:pPr>
          </w:p>
        </w:tc>
        <w:tc>
          <w:tcPr>
            <w:tcW w:w="918" w:type="dxa"/>
            <w:tcBorders>
              <w:top w:val="single" w:color="auto" w:sz="6" w:space="0"/>
              <w:left w:val="single" w:color="auto" w:sz="6" w:space="0"/>
              <w:bottom w:val="single" w:color="auto" w:sz="6" w:space="0"/>
              <w:right w:val="single" w:color="auto" w:sz="6" w:space="0"/>
            </w:tcBorders>
            <w:noWrap w:val="0"/>
            <w:vAlign w:val="center"/>
          </w:tcPr>
          <w:p w14:paraId="147D737C">
            <w:pPr>
              <w:keepNext w:val="0"/>
              <w:keepLines w:val="0"/>
              <w:widowControl/>
              <w:suppressLineNumbers w:val="0"/>
              <w:jc w:val="right"/>
              <w:textAlignment w:val="center"/>
              <w:rPr>
                <w:rFonts w:hint="eastAsia" w:ascii="宋体" w:hAnsi="宋体" w:cs="宋体"/>
                <w:kern w:val="0"/>
                <w:szCs w:val="21"/>
              </w:rPr>
            </w:pPr>
          </w:p>
        </w:tc>
        <w:tc>
          <w:tcPr>
            <w:tcW w:w="973" w:type="dxa"/>
            <w:tcBorders>
              <w:top w:val="single" w:color="auto" w:sz="6" w:space="0"/>
              <w:left w:val="single" w:color="auto" w:sz="6" w:space="0"/>
              <w:bottom w:val="single" w:color="auto" w:sz="6" w:space="0"/>
              <w:right w:val="single" w:color="auto" w:sz="6" w:space="0"/>
            </w:tcBorders>
            <w:noWrap w:val="0"/>
            <w:vAlign w:val="center"/>
          </w:tcPr>
          <w:p w14:paraId="06352010">
            <w:pPr>
              <w:jc w:val="center"/>
              <w:rPr>
                <w:rFonts w:hint="eastAsia" w:ascii="宋体" w:hAnsi="宋体"/>
                <w:szCs w:val="21"/>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777EEA0C">
            <w:pPr>
              <w:jc w:val="center"/>
              <w:rPr>
                <w:rFonts w:hint="eastAsia" w:ascii="宋体" w:hAnsi="宋体"/>
                <w:b/>
              </w:rPr>
            </w:pPr>
          </w:p>
        </w:tc>
      </w:tr>
      <w:tr w14:paraId="10B55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19E0CDE1">
            <w:pPr>
              <w:keepNext w:val="0"/>
              <w:keepLines w:val="0"/>
              <w:widowControl/>
              <w:suppressLineNumbers w:val="0"/>
              <w:jc w:val="center"/>
              <w:textAlignment w:val="center"/>
              <w:rPr>
                <w:rFonts w:hint="eastAsia" w:ascii="宋体" w:hAnsi="宋体" w:cs="宋体"/>
                <w:kern w:val="0"/>
                <w:szCs w:val="21"/>
              </w:rPr>
            </w:pPr>
          </w:p>
        </w:tc>
        <w:tc>
          <w:tcPr>
            <w:tcW w:w="4533" w:type="dxa"/>
            <w:tcBorders>
              <w:top w:val="single" w:color="auto" w:sz="6" w:space="0"/>
              <w:left w:val="single" w:color="auto" w:sz="6" w:space="0"/>
              <w:bottom w:val="single" w:color="auto" w:sz="6" w:space="0"/>
              <w:right w:val="single" w:color="auto" w:sz="6" w:space="0"/>
            </w:tcBorders>
            <w:noWrap w:val="0"/>
            <w:vAlign w:val="center"/>
          </w:tcPr>
          <w:p w14:paraId="1AD64321">
            <w:pPr>
              <w:keepNext w:val="0"/>
              <w:keepLines w:val="0"/>
              <w:widowControl/>
              <w:suppressLineNumbers w:val="0"/>
              <w:jc w:val="left"/>
              <w:textAlignment w:val="center"/>
              <w:rPr>
                <w:rFonts w:hint="eastAsia" w:ascii="宋体" w:hAnsi="宋体" w:cs="宋体"/>
                <w:kern w:val="0"/>
                <w:szCs w:val="21"/>
              </w:rPr>
            </w:pPr>
          </w:p>
        </w:tc>
        <w:tc>
          <w:tcPr>
            <w:tcW w:w="855" w:type="dxa"/>
            <w:tcBorders>
              <w:top w:val="single" w:color="auto" w:sz="6" w:space="0"/>
              <w:left w:val="single" w:color="auto" w:sz="6" w:space="0"/>
              <w:bottom w:val="single" w:color="auto" w:sz="6" w:space="0"/>
              <w:right w:val="single" w:color="auto" w:sz="6" w:space="0"/>
            </w:tcBorders>
            <w:noWrap w:val="0"/>
            <w:vAlign w:val="center"/>
          </w:tcPr>
          <w:p w14:paraId="62FAADF8">
            <w:pPr>
              <w:keepNext w:val="0"/>
              <w:keepLines w:val="0"/>
              <w:widowControl/>
              <w:suppressLineNumbers w:val="0"/>
              <w:jc w:val="center"/>
              <w:textAlignment w:val="center"/>
              <w:rPr>
                <w:rFonts w:hint="eastAsia" w:ascii="宋体" w:hAnsi="宋体" w:cs="宋体"/>
                <w:kern w:val="0"/>
                <w:szCs w:val="21"/>
              </w:rPr>
            </w:pPr>
          </w:p>
        </w:tc>
        <w:tc>
          <w:tcPr>
            <w:tcW w:w="918" w:type="dxa"/>
            <w:tcBorders>
              <w:top w:val="single" w:color="auto" w:sz="6" w:space="0"/>
              <w:left w:val="single" w:color="auto" w:sz="6" w:space="0"/>
              <w:bottom w:val="single" w:color="auto" w:sz="6" w:space="0"/>
              <w:right w:val="single" w:color="auto" w:sz="6" w:space="0"/>
            </w:tcBorders>
            <w:noWrap w:val="0"/>
            <w:vAlign w:val="center"/>
          </w:tcPr>
          <w:p w14:paraId="33A281FA">
            <w:pPr>
              <w:keepNext w:val="0"/>
              <w:keepLines w:val="0"/>
              <w:widowControl/>
              <w:suppressLineNumbers w:val="0"/>
              <w:jc w:val="right"/>
              <w:textAlignment w:val="center"/>
              <w:rPr>
                <w:rFonts w:hint="eastAsia" w:ascii="宋体" w:hAnsi="宋体" w:cs="宋体"/>
                <w:kern w:val="0"/>
                <w:szCs w:val="21"/>
              </w:rPr>
            </w:pPr>
          </w:p>
        </w:tc>
        <w:tc>
          <w:tcPr>
            <w:tcW w:w="973" w:type="dxa"/>
            <w:tcBorders>
              <w:top w:val="single" w:color="auto" w:sz="6" w:space="0"/>
              <w:left w:val="single" w:color="auto" w:sz="6" w:space="0"/>
              <w:bottom w:val="single" w:color="auto" w:sz="6" w:space="0"/>
              <w:right w:val="single" w:color="auto" w:sz="6" w:space="0"/>
            </w:tcBorders>
            <w:noWrap w:val="0"/>
            <w:vAlign w:val="center"/>
          </w:tcPr>
          <w:p w14:paraId="229D8178">
            <w:pPr>
              <w:jc w:val="center"/>
              <w:rPr>
                <w:rFonts w:hint="eastAsia" w:ascii="宋体" w:hAnsi="宋体"/>
                <w:szCs w:val="21"/>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0A0B4009">
            <w:pPr>
              <w:jc w:val="center"/>
              <w:rPr>
                <w:rFonts w:hint="eastAsia" w:ascii="宋体" w:hAnsi="宋体"/>
                <w:b/>
              </w:rPr>
            </w:pPr>
          </w:p>
        </w:tc>
      </w:tr>
      <w:tr w14:paraId="029A4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1E626905">
            <w:pPr>
              <w:keepNext w:val="0"/>
              <w:keepLines w:val="0"/>
              <w:widowControl/>
              <w:suppressLineNumbers w:val="0"/>
              <w:jc w:val="center"/>
              <w:textAlignment w:val="center"/>
              <w:rPr>
                <w:rFonts w:hint="eastAsia" w:ascii="宋体" w:hAnsi="宋体" w:cs="宋体"/>
                <w:kern w:val="0"/>
                <w:szCs w:val="21"/>
              </w:rPr>
            </w:pPr>
          </w:p>
        </w:tc>
        <w:tc>
          <w:tcPr>
            <w:tcW w:w="4533" w:type="dxa"/>
            <w:tcBorders>
              <w:top w:val="single" w:color="auto" w:sz="6" w:space="0"/>
              <w:left w:val="single" w:color="auto" w:sz="6" w:space="0"/>
              <w:bottom w:val="single" w:color="auto" w:sz="6" w:space="0"/>
              <w:right w:val="single" w:color="auto" w:sz="6" w:space="0"/>
            </w:tcBorders>
            <w:noWrap w:val="0"/>
            <w:vAlign w:val="center"/>
          </w:tcPr>
          <w:p w14:paraId="2F90D43C">
            <w:pPr>
              <w:keepNext w:val="0"/>
              <w:keepLines w:val="0"/>
              <w:widowControl/>
              <w:suppressLineNumbers w:val="0"/>
              <w:jc w:val="left"/>
              <w:textAlignment w:val="center"/>
              <w:rPr>
                <w:rFonts w:hint="eastAsia" w:ascii="宋体" w:hAnsi="宋体" w:cs="宋体"/>
                <w:kern w:val="0"/>
                <w:szCs w:val="21"/>
              </w:rPr>
            </w:pPr>
          </w:p>
        </w:tc>
        <w:tc>
          <w:tcPr>
            <w:tcW w:w="855" w:type="dxa"/>
            <w:tcBorders>
              <w:top w:val="single" w:color="auto" w:sz="6" w:space="0"/>
              <w:left w:val="single" w:color="auto" w:sz="6" w:space="0"/>
              <w:bottom w:val="single" w:color="auto" w:sz="6" w:space="0"/>
              <w:right w:val="single" w:color="auto" w:sz="6" w:space="0"/>
            </w:tcBorders>
            <w:noWrap w:val="0"/>
            <w:vAlign w:val="center"/>
          </w:tcPr>
          <w:p w14:paraId="5A5D84C3">
            <w:pPr>
              <w:jc w:val="center"/>
              <w:rPr>
                <w:rFonts w:hint="eastAsia" w:ascii="宋体" w:hAnsi="宋体" w:cs="宋体"/>
                <w:kern w:val="0"/>
                <w:szCs w:val="21"/>
              </w:rPr>
            </w:pPr>
          </w:p>
        </w:tc>
        <w:tc>
          <w:tcPr>
            <w:tcW w:w="918" w:type="dxa"/>
            <w:tcBorders>
              <w:top w:val="single" w:color="auto" w:sz="6" w:space="0"/>
              <w:left w:val="single" w:color="auto" w:sz="6" w:space="0"/>
              <w:bottom w:val="single" w:color="auto" w:sz="6" w:space="0"/>
              <w:right w:val="single" w:color="auto" w:sz="6" w:space="0"/>
            </w:tcBorders>
            <w:noWrap w:val="0"/>
            <w:vAlign w:val="center"/>
          </w:tcPr>
          <w:p w14:paraId="3AF57A36">
            <w:pPr>
              <w:jc w:val="right"/>
              <w:rPr>
                <w:rFonts w:hint="eastAsia" w:ascii="宋体" w:hAnsi="宋体" w:cs="宋体"/>
                <w:kern w:val="0"/>
                <w:szCs w:val="21"/>
              </w:rPr>
            </w:pPr>
          </w:p>
        </w:tc>
        <w:tc>
          <w:tcPr>
            <w:tcW w:w="973" w:type="dxa"/>
            <w:tcBorders>
              <w:top w:val="single" w:color="auto" w:sz="6" w:space="0"/>
              <w:left w:val="single" w:color="auto" w:sz="6" w:space="0"/>
              <w:bottom w:val="single" w:color="auto" w:sz="6" w:space="0"/>
              <w:right w:val="single" w:color="auto" w:sz="6" w:space="0"/>
            </w:tcBorders>
            <w:noWrap w:val="0"/>
            <w:vAlign w:val="center"/>
          </w:tcPr>
          <w:p w14:paraId="15ED55FD">
            <w:pPr>
              <w:jc w:val="center"/>
              <w:rPr>
                <w:rFonts w:hint="eastAsia" w:ascii="宋体" w:hAnsi="宋体"/>
                <w:szCs w:val="21"/>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4893BE4A">
            <w:pPr>
              <w:jc w:val="center"/>
              <w:rPr>
                <w:rFonts w:hint="eastAsia" w:ascii="宋体" w:hAnsi="宋体"/>
                <w:b/>
              </w:rPr>
            </w:pPr>
          </w:p>
        </w:tc>
      </w:tr>
      <w:tr w14:paraId="77569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6E878F8E">
            <w:pPr>
              <w:keepNext w:val="0"/>
              <w:keepLines w:val="0"/>
              <w:widowControl/>
              <w:suppressLineNumbers w:val="0"/>
              <w:jc w:val="center"/>
              <w:textAlignment w:val="center"/>
              <w:rPr>
                <w:rFonts w:hint="eastAsia" w:ascii="宋体" w:hAnsi="宋体" w:cs="宋体"/>
                <w:kern w:val="0"/>
                <w:szCs w:val="21"/>
              </w:rPr>
            </w:pPr>
          </w:p>
        </w:tc>
        <w:tc>
          <w:tcPr>
            <w:tcW w:w="4533" w:type="dxa"/>
            <w:tcBorders>
              <w:top w:val="single" w:color="auto" w:sz="6" w:space="0"/>
              <w:left w:val="single" w:color="auto" w:sz="6" w:space="0"/>
              <w:bottom w:val="single" w:color="auto" w:sz="6" w:space="0"/>
              <w:right w:val="single" w:color="auto" w:sz="6" w:space="0"/>
            </w:tcBorders>
            <w:noWrap w:val="0"/>
            <w:vAlign w:val="center"/>
          </w:tcPr>
          <w:p w14:paraId="7B935FDD">
            <w:pPr>
              <w:keepNext w:val="0"/>
              <w:keepLines w:val="0"/>
              <w:widowControl/>
              <w:suppressLineNumbers w:val="0"/>
              <w:jc w:val="left"/>
              <w:textAlignment w:val="center"/>
              <w:rPr>
                <w:rFonts w:hint="eastAsia" w:ascii="宋体" w:hAnsi="宋体" w:cs="宋体"/>
                <w:kern w:val="0"/>
                <w:szCs w:val="21"/>
              </w:rPr>
            </w:pPr>
          </w:p>
        </w:tc>
        <w:tc>
          <w:tcPr>
            <w:tcW w:w="855" w:type="dxa"/>
            <w:tcBorders>
              <w:top w:val="single" w:color="auto" w:sz="6" w:space="0"/>
              <w:left w:val="single" w:color="auto" w:sz="6" w:space="0"/>
              <w:bottom w:val="single" w:color="auto" w:sz="6" w:space="0"/>
              <w:right w:val="single" w:color="auto" w:sz="6" w:space="0"/>
            </w:tcBorders>
            <w:noWrap w:val="0"/>
            <w:vAlign w:val="center"/>
          </w:tcPr>
          <w:p w14:paraId="60B06D98">
            <w:pPr>
              <w:keepNext w:val="0"/>
              <w:keepLines w:val="0"/>
              <w:widowControl/>
              <w:suppressLineNumbers w:val="0"/>
              <w:jc w:val="center"/>
              <w:textAlignment w:val="center"/>
              <w:rPr>
                <w:rFonts w:hint="eastAsia" w:ascii="宋体" w:hAnsi="宋体" w:cs="宋体"/>
                <w:kern w:val="0"/>
                <w:szCs w:val="21"/>
              </w:rPr>
            </w:pPr>
          </w:p>
        </w:tc>
        <w:tc>
          <w:tcPr>
            <w:tcW w:w="918" w:type="dxa"/>
            <w:tcBorders>
              <w:top w:val="single" w:color="auto" w:sz="6" w:space="0"/>
              <w:left w:val="single" w:color="auto" w:sz="6" w:space="0"/>
              <w:bottom w:val="single" w:color="auto" w:sz="6" w:space="0"/>
              <w:right w:val="single" w:color="auto" w:sz="6" w:space="0"/>
            </w:tcBorders>
            <w:noWrap w:val="0"/>
            <w:vAlign w:val="center"/>
          </w:tcPr>
          <w:p w14:paraId="1A03BFD5">
            <w:pPr>
              <w:keepNext w:val="0"/>
              <w:keepLines w:val="0"/>
              <w:widowControl/>
              <w:suppressLineNumbers w:val="0"/>
              <w:jc w:val="right"/>
              <w:textAlignment w:val="center"/>
              <w:rPr>
                <w:rFonts w:hint="eastAsia" w:ascii="宋体" w:hAnsi="宋体" w:cs="宋体"/>
                <w:kern w:val="0"/>
                <w:szCs w:val="21"/>
              </w:rPr>
            </w:pPr>
          </w:p>
        </w:tc>
        <w:tc>
          <w:tcPr>
            <w:tcW w:w="973" w:type="dxa"/>
            <w:tcBorders>
              <w:top w:val="single" w:color="auto" w:sz="6" w:space="0"/>
              <w:left w:val="single" w:color="auto" w:sz="6" w:space="0"/>
              <w:bottom w:val="single" w:color="auto" w:sz="6" w:space="0"/>
              <w:right w:val="single" w:color="auto" w:sz="6" w:space="0"/>
            </w:tcBorders>
            <w:noWrap w:val="0"/>
            <w:vAlign w:val="center"/>
          </w:tcPr>
          <w:p w14:paraId="6D2F4E38">
            <w:pPr>
              <w:jc w:val="center"/>
              <w:rPr>
                <w:rFonts w:hint="eastAsia" w:ascii="宋体" w:hAnsi="宋体"/>
                <w:szCs w:val="21"/>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5813138B">
            <w:pPr>
              <w:jc w:val="center"/>
              <w:rPr>
                <w:rFonts w:hint="eastAsia" w:ascii="宋体" w:hAnsi="宋体"/>
                <w:b/>
              </w:rPr>
            </w:pPr>
          </w:p>
        </w:tc>
      </w:tr>
      <w:tr w14:paraId="7C96D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64758993">
            <w:pPr>
              <w:keepNext w:val="0"/>
              <w:keepLines w:val="0"/>
              <w:widowControl/>
              <w:suppressLineNumbers w:val="0"/>
              <w:jc w:val="center"/>
              <w:textAlignment w:val="center"/>
              <w:rPr>
                <w:rFonts w:hint="eastAsia" w:ascii="宋体" w:hAnsi="宋体" w:cs="宋体"/>
                <w:szCs w:val="21"/>
              </w:rPr>
            </w:pPr>
          </w:p>
        </w:tc>
        <w:tc>
          <w:tcPr>
            <w:tcW w:w="4533" w:type="dxa"/>
            <w:tcBorders>
              <w:top w:val="single" w:color="auto" w:sz="6" w:space="0"/>
              <w:left w:val="single" w:color="auto" w:sz="6" w:space="0"/>
              <w:bottom w:val="single" w:color="auto" w:sz="6" w:space="0"/>
              <w:right w:val="single" w:color="auto" w:sz="6" w:space="0"/>
            </w:tcBorders>
            <w:noWrap w:val="0"/>
            <w:vAlign w:val="center"/>
          </w:tcPr>
          <w:p w14:paraId="7DB42A6F">
            <w:pPr>
              <w:keepNext w:val="0"/>
              <w:keepLines w:val="0"/>
              <w:widowControl/>
              <w:suppressLineNumbers w:val="0"/>
              <w:jc w:val="left"/>
              <w:textAlignment w:val="center"/>
              <w:rPr>
                <w:rFonts w:hint="eastAsia" w:ascii="宋体" w:hAnsi="宋体" w:cs="宋体"/>
                <w:szCs w:val="21"/>
              </w:rPr>
            </w:pPr>
          </w:p>
        </w:tc>
        <w:tc>
          <w:tcPr>
            <w:tcW w:w="855" w:type="dxa"/>
            <w:tcBorders>
              <w:top w:val="single" w:color="auto" w:sz="6" w:space="0"/>
              <w:left w:val="single" w:color="auto" w:sz="6" w:space="0"/>
              <w:bottom w:val="single" w:color="auto" w:sz="6" w:space="0"/>
              <w:right w:val="single" w:color="auto" w:sz="6" w:space="0"/>
            </w:tcBorders>
            <w:noWrap w:val="0"/>
            <w:vAlign w:val="center"/>
          </w:tcPr>
          <w:p w14:paraId="0F791C1B">
            <w:pPr>
              <w:keepNext w:val="0"/>
              <w:keepLines w:val="0"/>
              <w:widowControl/>
              <w:suppressLineNumbers w:val="0"/>
              <w:jc w:val="center"/>
              <w:textAlignment w:val="center"/>
              <w:rPr>
                <w:rFonts w:hint="eastAsia" w:ascii="宋体" w:hAnsi="宋体" w:cs="宋体"/>
                <w:szCs w:val="21"/>
              </w:rPr>
            </w:pPr>
          </w:p>
        </w:tc>
        <w:tc>
          <w:tcPr>
            <w:tcW w:w="918" w:type="dxa"/>
            <w:tcBorders>
              <w:top w:val="single" w:color="auto" w:sz="6" w:space="0"/>
              <w:left w:val="single" w:color="auto" w:sz="6" w:space="0"/>
              <w:bottom w:val="single" w:color="auto" w:sz="6" w:space="0"/>
              <w:right w:val="single" w:color="auto" w:sz="6" w:space="0"/>
            </w:tcBorders>
            <w:noWrap w:val="0"/>
            <w:vAlign w:val="center"/>
          </w:tcPr>
          <w:p w14:paraId="25BC779B">
            <w:pPr>
              <w:keepNext w:val="0"/>
              <w:keepLines w:val="0"/>
              <w:widowControl/>
              <w:suppressLineNumbers w:val="0"/>
              <w:jc w:val="right"/>
              <w:textAlignment w:val="center"/>
              <w:rPr>
                <w:rFonts w:hint="eastAsia" w:ascii="宋体" w:hAnsi="宋体"/>
              </w:rPr>
            </w:pPr>
          </w:p>
        </w:tc>
        <w:tc>
          <w:tcPr>
            <w:tcW w:w="973" w:type="dxa"/>
            <w:tcBorders>
              <w:top w:val="single" w:color="auto" w:sz="6" w:space="0"/>
              <w:left w:val="single" w:color="auto" w:sz="6" w:space="0"/>
              <w:bottom w:val="single" w:color="auto" w:sz="6" w:space="0"/>
              <w:right w:val="single" w:color="auto" w:sz="6" w:space="0"/>
            </w:tcBorders>
            <w:noWrap w:val="0"/>
            <w:vAlign w:val="center"/>
          </w:tcPr>
          <w:p w14:paraId="5478D23F">
            <w:pPr>
              <w:jc w:val="center"/>
              <w:rPr>
                <w:rFonts w:hint="eastAsia" w:ascii="宋体" w:hAnsi="宋体"/>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3578A86C">
            <w:pPr>
              <w:jc w:val="center"/>
              <w:rPr>
                <w:rFonts w:hint="eastAsia" w:ascii="宋体" w:hAnsi="宋体"/>
              </w:rPr>
            </w:pPr>
          </w:p>
        </w:tc>
      </w:tr>
      <w:tr w14:paraId="427DF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9162" w:type="dxa"/>
            <w:gridSpan w:val="6"/>
            <w:tcBorders>
              <w:top w:val="single" w:color="auto" w:sz="6" w:space="0"/>
              <w:left w:val="single" w:color="auto" w:sz="12" w:space="0"/>
              <w:bottom w:val="single" w:color="auto" w:sz="12" w:space="0"/>
              <w:right w:val="single" w:color="auto" w:sz="12" w:space="0"/>
            </w:tcBorders>
            <w:noWrap w:val="0"/>
            <w:vAlign w:val="center"/>
          </w:tcPr>
          <w:p w14:paraId="26910BF4">
            <w:pPr>
              <w:ind w:firstLine="1973" w:firstLineChars="936"/>
              <w:rPr>
                <w:rFonts w:hint="eastAsia" w:ascii="宋体" w:hAnsi="宋体"/>
                <w:b/>
                <w:bCs/>
                <w:u w:val="single"/>
              </w:rPr>
            </w:pPr>
            <w:r>
              <w:rPr>
                <w:rFonts w:hint="eastAsia" w:ascii="宋体" w:hAnsi="宋体"/>
                <w:b/>
                <w:bCs/>
              </w:rPr>
              <w:t>清单100章合计   人民币</w:t>
            </w:r>
            <w:r>
              <w:rPr>
                <w:rFonts w:hint="eastAsia" w:ascii="宋体" w:hAnsi="宋体"/>
                <w:b/>
                <w:bCs/>
                <w:u w:val="single"/>
              </w:rPr>
              <w:t xml:space="preserve">           </w:t>
            </w:r>
            <w:r>
              <w:rPr>
                <w:rFonts w:hint="eastAsia" w:ascii="宋体" w:hAnsi="宋体"/>
                <w:b/>
                <w:bCs/>
              </w:rPr>
              <w:t>元</w:t>
            </w:r>
          </w:p>
        </w:tc>
      </w:tr>
    </w:tbl>
    <w:p w14:paraId="11ACEA2F">
      <w:pPr>
        <w:spacing w:before="240" w:beforeLines="100" w:after="240" w:afterLines="100"/>
        <w:jc w:val="center"/>
        <w:rPr>
          <w:rFonts w:hint="eastAsia" w:ascii="黑体" w:hAnsi="宋体" w:eastAsia="黑体"/>
          <w:sz w:val="30"/>
          <w:szCs w:val="30"/>
        </w:rPr>
      </w:pPr>
    </w:p>
    <w:p w14:paraId="69095D83">
      <w:pPr>
        <w:spacing w:before="240" w:beforeLines="100" w:after="240" w:afterLines="100"/>
        <w:jc w:val="center"/>
        <w:rPr>
          <w:rFonts w:hint="eastAsia" w:ascii="黑体" w:hAnsi="宋体" w:eastAsia="黑体"/>
          <w:sz w:val="30"/>
          <w:szCs w:val="30"/>
        </w:rPr>
      </w:pPr>
      <w:r>
        <w:rPr>
          <w:rFonts w:hint="eastAsia" w:ascii="黑体" w:hAnsi="宋体" w:eastAsia="黑体"/>
          <w:sz w:val="30"/>
          <w:szCs w:val="30"/>
        </w:rPr>
        <w:t>工程量清单</w:t>
      </w:r>
    </w:p>
    <w:p w14:paraId="78FF7E3A">
      <w:pPr>
        <w:pStyle w:val="50"/>
        <w:ind w:left="0" w:leftChars="0" w:firstLine="0" w:firstLine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标项</w:t>
      </w: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w:t>
      </w:r>
      <w:r>
        <w:rPr>
          <w:rFonts w:hint="eastAsia" w:asciiTheme="minorEastAsia" w:hAnsiTheme="minorEastAsia" w:cstheme="minorEastAsia"/>
          <w:sz w:val="24"/>
          <w:szCs w:val="24"/>
          <w:lang w:eastAsia="zh-CN"/>
        </w:rPr>
        <w:t>2026年秀洲区县道及以上公路小修及应急抢险项目</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第一</w:t>
      </w:r>
      <w:r>
        <w:rPr>
          <w:rFonts w:hint="eastAsia" w:asciiTheme="minorEastAsia" w:hAnsiTheme="minorEastAsia" w:eastAsiaTheme="minorEastAsia" w:cstheme="minorEastAsia"/>
          <w:sz w:val="24"/>
          <w:szCs w:val="24"/>
          <w:lang w:eastAsia="zh-CN"/>
        </w:rPr>
        <w:t>标段）</w:t>
      </w:r>
    </w:p>
    <w:p w14:paraId="2DF5F6E6">
      <w:pPr>
        <w:pStyle w:val="50"/>
        <w:ind w:left="0" w:leftChars="0" w:firstLine="0" w:firstLineChars="0"/>
        <w:rPr>
          <w:rFonts w:hint="eastAsia" w:ascii="黑体" w:hAnsi="宋体" w:eastAsia="黑体"/>
          <w:sz w:val="30"/>
          <w:szCs w:val="30"/>
        </w:rPr>
      </w:pPr>
      <w:r>
        <w:rPr>
          <w:rFonts w:hint="eastAsia" w:asciiTheme="minorEastAsia" w:hAnsiTheme="minorEastAsia" w:eastAsiaTheme="minorEastAsia" w:cstheme="minorEastAsia"/>
          <w:sz w:val="24"/>
          <w:szCs w:val="24"/>
        </w:rPr>
        <w:t>货币单位：人民币元</w:t>
      </w:r>
    </w:p>
    <w:tbl>
      <w:tblPr>
        <w:tblStyle w:val="51"/>
        <w:tblW w:w="946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40"/>
        <w:gridCol w:w="4572"/>
        <w:gridCol w:w="899"/>
        <w:gridCol w:w="899"/>
        <w:gridCol w:w="1079"/>
        <w:gridCol w:w="1079"/>
      </w:tblGrid>
      <w:tr w14:paraId="7554D9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68" w:type="dxa"/>
            <w:gridSpan w:val="6"/>
            <w:noWrap w:val="0"/>
            <w:vAlign w:val="center"/>
          </w:tcPr>
          <w:p w14:paraId="75F2FEF4">
            <w:pPr>
              <w:ind w:firstLine="103" w:firstLineChars="49"/>
              <w:jc w:val="center"/>
              <w:rPr>
                <w:rFonts w:ascii="宋体" w:hAnsi="宋体"/>
                <w:b/>
                <w:bCs/>
              </w:rPr>
            </w:pPr>
            <w:r>
              <w:rPr>
                <w:rFonts w:hint="eastAsia" w:ascii="宋体" w:hAnsi="宋体"/>
                <w:b/>
                <w:bCs/>
              </w:rPr>
              <w:t>清单      第200章      路  基</w:t>
            </w:r>
          </w:p>
        </w:tc>
      </w:tr>
      <w:tr w14:paraId="63FCDB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1EBA56E4">
            <w:pPr>
              <w:widowControl/>
              <w:jc w:val="left"/>
              <w:rPr>
                <w:rFonts w:ascii="宋体" w:hAnsi="宋体" w:cs="宋体"/>
                <w:kern w:val="0"/>
                <w:szCs w:val="21"/>
              </w:rPr>
            </w:pPr>
            <w:r>
              <w:rPr>
                <w:rFonts w:hint="eastAsia" w:ascii="宋体" w:hAnsi="宋体" w:cs="宋体"/>
                <w:kern w:val="0"/>
                <w:szCs w:val="21"/>
              </w:rPr>
              <w:t>子目号</w:t>
            </w:r>
          </w:p>
        </w:tc>
        <w:tc>
          <w:tcPr>
            <w:tcW w:w="4572" w:type="dxa"/>
            <w:noWrap w:val="0"/>
            <w:vAlign w:val="center"/>
          </w:tcPr>
          <w:p w14:paraId="090ABE4A">
            <w:pPr>
              <w:widowControl/>
              <w:jc w:val="center"/>
              <w:rPr>
                <w:rFonts w:ascii="宋体" w:hAnsi="宋体" w:cs="宋体"/>
                <w:kern w:val="0"/>
                <w:szCs w:val="21"/>
              </w:rPr>
            </w:pPr>
            <w:r>
              <w:rPr>
                <w:rFonts w:hint="eastAsia" w:ascii="宋体" w:hAnsi="宋体" w:cs="宋体"/>
                <w:kern w:val="0"/>
                <w:szCs w:val="21"/>
              </w:rPr>
              <w:t>子  目  名  称</w:t>
            </w:r>
          </w:p>
        </w:tc>
        <w:tc>
          <w:tcPr>
            <w:tcW w:w="899" w:type="dxa"/>
            <w:noWrap w:val="0"/>
            <w:vAlign w:val="center"/>
          </w:tcPr>
          <w:p w14:paraId="15C42E0E">
            <w:pPr>
              <w:widowControl/>
              <w:jc w:val="center"/>
              <w:rPr>
                <w:rFonts w:ascii="宋体" w:hAnsi="宋体" w:cs="宋体"/>
                <w:kern w:val="0"/>
                <w:szCs w:val="21"/>
              </w:rPr>
            </w:pPr>
            <w:r>
              <w:rPr>
                <w:rFonts w:hint="eastAsia" w:ascii="宋体" w:hAnsi="宋体" w:cs="宋体"/>
                <w:kern w:val="0"/>
                <w:szCs w:val="21"/>
              </w:rPr>
              <w:t>单位</w:t>
            </w:r>
          </w:p>
        </w:tc>
        <w:tc>
          <w:tcPr>
            <w:tcW w:w="899" w:type="dxa"/>
            <w:noWrap w:val="0"/>
            <w:vAlign w:val="center"/>
          </w:tcPr>
          <w:p w14:paraId="0E2AE367">
            <w:pPr>
              <w:widowControl/>
              <w:jc w:val="center"/>
              <w:rPr>
                <w:rFonts w:ascii="宋体" w:hAnsi="宋体" w:cs="宋体"/>
                <w:kern w:val="0"/>
                <w:szCs w:val="21"/>
              </w:rPr>
            </w:pPr>
            <w:r>
              <w:rPr>
                <w:rFonts w:hint="eastAsia" w:ascii="宋体" w:hAnsi="宋体" w:cs="宋体"/>
                <w:kern w:val="0"/>
                <w:szCs w:val="21"/>
              </w:rPr>
              <w:t>数量</w:t>
            </w:r>
          </w:p>
        </w:tc>
        <w:tc>
          <w:tcPr>
            <w:tcW w:w="1079" w:type="dxa"/>
            <w:noWrap w:val="0"/>
            <w:vAlign w:val="center"/>
          </w:tcPr>
          <w:p w14:paraId="26C236A4">
            <w:pPr>
              <w:widowControl/>
              <w:jc w:val="center"/>
              <w:rPr>
                <w:rFonts w:ascii="宋体" w:hAnsi="宋体" w:cs="宋体"/>
                <w:kern w:val="0"/>
                <w:szCs w:val="21"/>
              </w:rPr>
            </w:pPr>
            <w:r>
              <w:rPr>
                <w:rFonts w:hint="eastAsia" w:ascii="宋体" w:hAnsi="宋体" w:cs="宋体"/>
                <w:kern w:val="0"/>
                <w:szCs w:val="21"/>
              </w:rPr>
              <w:t>单价</w:t>
            </w:r>
          </w:p>
        </w:tc>
        <w:tc>
          <w:tcPr>
            <w:tcW w:w="1079" w:type="dxa"/>
            <w:noWrap w:val="0"/>
            <w:vAlign w:val="center"/>
          </w:tcPr>
          <w:p w14:paraId="4904251B">
            <w:pPr>
              <w:widowControl/>
              <w:jc w:val="center"/>
              <w:rPr>
                <w:rFonts w:ascii="宋体" w:hAnsi="宋体" w:cs="宋体"/>
                <w:kern w:val="0"/>
                <w:szCs w:val="21"/>
              </w:rPr>
            </w:pPr>
            <w:r>
              <w:rPr>
                <w:rFonts w:hint="eastAsia" w:ascii="宋体" w:hAnsi="宋体" w:cs="宋体"/>
                <w:kern w:val="0"/>
                <w:szCs w:val="21"/>
              </w:rPr>
              <w:t>合价</w:t>
            </w:r>
          </w:p>
        </w:tc>
      </w:tr>
      <w:tr w14:paraId="25CB4D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5775816B">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202</w:t>
            </w:r>
          </w:p>
        </w:tc>
        <w:tc>
          <w:tcPr>
            <w:tcW w:w="4572" w:type="dxa"/>
            <w:noWrap w:val="0"/>
            <w:vAlign w:val="center"/>
          </w:tcPr>
          <w:p w14:paraId="4B02A625">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维修</w:t>
            </w:r>
          </w:p>
        </w:tc>
        <w:tc>
          <w:tcPr>
            <w:tcW w:w="899" w:type="dxa"/>
            <w:noWrap w:val="0"/>
            <w:vAlign w:val="center"/>
          </w:tcPr>
          <w:p w14:paraId="73849500">
            <w:pPr>
              <w:jc w:val="center"/>
              <w:rPr>
                <w:rFonts w:hint="eastAsia" w:ascii="宋体" w:hAnsi="宋体" w:cs="宋体"/>
                <w:kern w:val="0"/>
                <w:sz w:val="21"/>
                <w:szCs w:val="21"/>
              </w:rPr>
            </w:pPr>
          </w:p>
        </w:tc>
        <w:tc>
          <w:tcPr>
            <w:tcW w:w="899" w:type="dxa"/>
            <w:noWrap w:val="0"/>
            <w:vAlign w:val="center"/>
          </w:tcPr>
          <w:p w14:paraId="0D2DA738">
            <w:pPr>
              <w:jc w:val="right"/>
              <w:rPr>
                <w:rFonts w:hint="eastAsia" w:ascii="宋体" w:hAnsi="宋体" w:cs="宋体"/>
                <w:kern w:val="0"/>
                <w:sz w:val="21"/>
                <w:szCs w:val="21"/>
              </w:rPr>
            </w:pPr>
          </w:p>
        </w:tc>
        <w:tc>
          <w:tcPr>
            <w:tcW w:w="1079" w:type="dxa"/>
            <w:noWrap w:val="0"/>
            <w:vAlign w:val="center"/>
          </w:tcPr>
          <w:p w14:paraId="531813F0">
            <w:pPr>
              <w:widowControl/>
              <w:jc w:val="center"/>
              <w:rPr>
                <w:rFonts w:hint="eastAsia" w:ascii="宋体" w:hAnsi="宋体" w:cs="宋体"/>
                <w:kern w:val="0"/>
                <w:szCs w:val="21"/>
              </w:rPr>
            </w:pPr>
          </w:p>
        </w:tc>
        <w:tc>
          <w:tcPr>
            <w:tcW w:w="1079" w:type="dxa"/>
            <w:noWrap w:val="0"/>
            <w:vAlign w:val="center"/>
          </w:tcPr>
          <w:p w14:paraId="4526B64F">
            <w:pPr>
              <w:widowControl/>
              <w:jc w:val="center"/>
              <w:rPr>
                <w:rFonts w:hint="eastAsia" w:ascii="宋体" w:hAnsi="宋体" w:cs="宋体"/>
                <w:kern w:val="0"/>
                <w:szCs w:val="21"/>
              </w:rPr>
            </w:pPr>
          </w:p>
        </w:tc>
      </w:tr>
      <w:tr w14:paraId="03FD10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7B079F76">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202-8</w:t>
            </w:r>
          </w:p>
        </w:tc>
        <w:tc>
          <w:tcPr>
            <w:tcW w:w="4572" w:type="dxa"/>
            <w:noWrap w:val="0"/>
            <w:vAlign w:val="center"/>
          </w:tcPr>
          <w:p w14:paraId="1B1CDA9F">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宕渣</w:t>
            </w:r>
          </w:p>
        </w:tc>
        <w:tc>
          <w:tcPr>
            <w:tcW w:w="899" w:type="dxa"/>
            <w:noWrap w:val="0"/>
            <w:vAlign w:val="center"/>
          </w:tcPr>
          <w:p w14:paraId="262F4855">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m3</w:t>
            </w:r>
          </w:p>
        </w:tc>
        <w:tc>
          <w:tcPr>
            <w:tcW w:w="899" w:type="dxa"/>
            <w:noWrap w:val="0"/>
            <w:vAlign w:val="center"/>
          </w:tcPr>
          <w:p w14:paraId="4B5A573A">
            <w:pPr>
              <w:keepNext w:val="0"/>
              <w:keepLines w:val="0"/>
              <w:widowControl/>
              <w:suppressLineNumbers w:val="0"/>
              <w:jc w:val="right"/>
              <w:textAlignment w:val="center"/>
              <w:rPr>
                <w:rFonts w:ascii="宋体" w:hAnsi="宋体" w:cs="宋体"/>
                <w:kern w:val="0"/>
                <w:sz w:val="21"/>
                <w:szCs w:val="21"/>
              </w:rPr>
            </w:pPr>
            <w:r>
              <w:rPr>
                <w:rFonts w:hint="default" w:ascii="Arial Narrow" w:hAnsi="Arial Narrow" w:eastAsia="Arial Narrow" w:cs="Arial Narrow"/>
                <w:i w:val="0"/>
                <w:iCs w:val="0"/>
                <w:color w:val="000000"/>
                <w:kern w:val="0"/>
                <w:sz w:val="21"/>
                <w:szCs w:val="21"/>
                <w:u w:val="none"/>
                <w:lang w:val="en-US" w:eastAsia="zh-CN" w:bidi="ar"/>
              </w:rPr>
              <w:t>500</w:t>
            </w:r>
          </w:p>
        </w:tc>
        <w:tc>
          <w:tcPr>
            <w:tcW w:w="1079" w:type="dxa"/>
            <w:noWrap w:val="0"/>
            <w:vAlign w:val="center"/>
          </w:tcPr>
          <w:p w14:paraId="68858A2F">
            <w:pPr>
              <w:widowControl/>
              <w:jc w:val="center"/>
              <w:rPr>
                <w:rFonts w:hint="eastAsia" w:ascii="宋体" w:hAnsi="宋体" w:cs="宋体"/>
                <w:kern w:val="0"/>
                <w:szCs w:val="21"/>
              </w:rPr>
            </w:pPr>
          </w:p>
        </w:tc>
        <w:tc>
          <w:tcPr>
            <w:tcW w:w="1079" w:type="dxa"/>
            <w:noWrap w:val="0"/>
            <w:vAlign w:val="center"/>
          </w:tcPr>
          <w:p w14:paraId="0D3D7E1D">
            <w:pPr>
              <w:widowControl/>
              <w:jc w:val="center"/>
              <w:rPr>
                <w:rFonts w:ascii="宋体" w:hAnsi="宋体" w:cs="宋体"/>
                <w:kern w:val="0"/>
                <w:szCs w:val="21"/>
              </w:rPr>
            </w:pPr>
          </w:p>
        </w:tc>
      </w:tr>
      <w:tr w14:paraId="03071C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733B8BCB">
            <w:pPr>
              <w:jc w:val="center"/>
              <w:rPr>
                <w:rFonts w:ascii="宋体" w:hAnsi="宋体" w:cs="Arial"/>
                <w:sz w:val="18"/>
                <w:szCs w:val="18"/>
              </w:rPr>
            </w:pPr>
          </w:p>
        </w:tc>
        <w:tc>
          <w:tcPr>
            <w:tcW w:w="4572" w:type="dxa"/>
            <w:noWrap w:val="0"/>
            <w:vAlign w:val="center"/>
          </w:tcPr>
          <w:p w14:paraId="64454929">
            <w:pPr>
              <w:rPr>
                <w:rFonts w:ascii="宋体" w:hAnsi="宋体" w:cs="Arial"/>
                <w:sz w:val="18"/>
                <w:szCs w:val="18"/>
              </w:rPr>
            </w:pPr>
          </w:p>
        </w:tc>
        <w:tc>
          <w:tcPr>
            <w:tcW w:w="899" w:type="dxa"/>
            <w:noWrap w:val="0"/>
            <w:vAlign w:val="center"/>
          </w:tcPr>
          <w:p w14:paraId="397EB34B">
            <w:pPr>
              <w:jc w:val="center"/>
              <w:rPr>
                <w:rFonts w:ascii="宋体" w:hAnsi="宋体" w:cs="Arial"/>
                <w:sz w:val="18"/>
                <w:szCs w:val="18"/>
              </w:rPr>
            </w:pPr>
          </w:p>
        </w:tc>
        <w:tc>
          <w:tcPr>
            <w:tcW w:w="899" w:type="dxa"/>
            <w:noWrap w:val="0"/>
            <w:vAlign w:val="center"/>
          </w:tcPr>
          <w:p w14:paraId="0BE25667">
            <w:pPr>
              <w:jc w:val="right"/>
              <w:rPr>
                <w:rFonts w:ascii="宋体" w:hAnsi="宋体" w:cs="Arial"/>
                <w:sz w:val="16"/>
                <w:szCs w:val="16"/>
              </w:rPr>
            </w:pPr>
          </w:p>
        </w:tc>
        <w:tc>
          <w:tcPr>
            <w:tcW w:w="1079" w:type="dxa"/>
            <w:noWrap w:val="0"/>
            <w:vAlign w:val="center"/>
          </w:tcPr>
          <w:p w14:paraId="00B57E64">
            <w:pPr>
              <w:widowControl/>
              <w:jc w:val="center"/>
              <w:rPr>
                <w:rFonts w:ascii="宋体" w:hAnsi="宋体" w:cs="宋体"/>
                <w:kern w:val="0"/>
                <w:szCs w:val="21"/>
              </w:rPr>
            </w:pPr>
          </w:p>
        </w:tc>
        <w:tc>
          <w:tcPr>
            <w:tcW w:w="1079" w:type="dxa"/>
            <w:noWrap w:val="0"/>
            <w:vAlign w:val="center"/>
          </w:tcPr>
          <w:p w14:paraId="1ABE2D39">
            <w:pPr>
              <w:widowControl/>
              <w:jc w:val="center"/>
              <w:rPr>
                <w:rFonts w:ascii="宋体" w:hAnsi="宋体" w:cs="宋体"/>
                <w:kern w:val="0"/>
                <w:szCs w:val="21"/>
              </w:rPr>
            </w:pPr>
          </w:p>
        </w:tc>
      </w:tr>
      <w:tr w14:paraId="56050B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62DF0E6A">
            <w:pPr>
              <w:jc w:val="center"/>
              <w:rPr>
                <w:rFonts w:ascii="宋体" w:hAnsi="宋体" w:cs="Arial"/>
                <w:sz w:val="18"/>
                <w:szCs w:val="18"/>
              </w:rPr>
            </w:pPr>
          </w:p>
        </w:tc>
        <w:tc>
          <w:tcPr>
            <w:tcW w:w="4572" w:type="dxa"/>
            <w:noWrap w:val="0"/>
            <w:vAlign w:val="center"/>
          </w:tcPr>
          <w:p w14:paraId="7AD10A8F">
            <w:pPr>
              <w:rPr>
                <w:rFonts w:ascii="宋体" w:hAnsi="宋体" w:cs="Arial"/>
                <w:sz w:val="18"/>
                <w:szCs w:val="18"/>
              </w:rPr>
            </w:pPr>
          </w:p>
        </w:tc>
        <w:tc>
          <w:tcPr>
            <w:tcW w:w="899" w:type="dxa"/>
            <w:noWrap w:val="0"/>
            <w:vAlign w:val="center"/>
          </w:tcPr>
          <w:p w14:paraId="045B6B3C">
            <w:pPr>
              <w:jc w:val="center"/>
              <w:rPr>
                <w:rFonts w:ascii="宋体" w:hAnsi="宋体" w:cs="Arial"/>
                <w:sz w:val="18"/>
                <w:szCs w:val="18"/>
              </w:rPr>
            </w:pPr>
          </w:p>
        </w:tc>
        <w:tc>
          <w:tcPr>
            <w:tcW w:w="899" w:type="dxa"/>
            <w:noWrap w:val="0"/>
            <w:vAlign w:val="center"/>
          </w:tcPr>
          <w:p w14:paraId="55FD39B5">
            <w:pPr>
              <w:jc w:val="right"/>
              <w:rPr>
                <w:rFonts w:ascii="宋体" w:hAnsi="宋体" w:cs="Arial"/>
                <w:sz w:val="16"/>
                <w:szCs w:val="16"/>
              </w:rPr>
            </w:pPr>
          </w:p>
        </w:tc>
        <w:tc>
          <w:tcPr>
            <w:tcW w:w="1079" w:type="dxa"/>
            <w:noWrap w:val="0"/>
            <w:vAlign w:val="center"/>
          </w:tcPr>
          <w:p w14:paraId="729689B5">
            <w:pPr>
              <w:widowControl/>
              <w:jc w:val="center"/>
              <w:rPr>
                <w:rFonts w:ascii="宋体" w:hAnsi="宋体" w:cs="宋体"/>
                <w:kern w:val="0"/>
                <w:szCs w:val="21"/>
              </w:rPr>
            </w:pPr>
          </w:p>
        </w:tc>
        <w:tc>
          <w:tcPr>
            <w:tcW w:w="1079" w:type="dxa"/>
            <w:noWrap w:val="0"/>
            <w:vAlign w:val="center"/>
          </w:tcPr>
          <w:p w14:paraId="02EA1D44">
            <w:pPr>
              <w:widowControl/>
              <w:jc w:val="center"/>
              <w:rPr>
                <w:rFonts w:ascii="宋体" w:hAnsi="宋体" w:cs="宋体"/>
                <w:kern w:val="0"/>
                <w:szCs w:val="21"/>
              </w:rPr>
            </w:pPr>
          </w:p>
        </w:tc>
      </w:tr>
      <w:tr w14:paraId="593C91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008BBB29">
            <w:pPr>
              <w:jc w:val="center"/>
              <w:rPr>
                <w:rFonts w:ascii="宋体" w:hAnsi="宋体" w:cs="Arial"/>
                <w:sz w:val="18"/>
                <w:szCs w:val="18"/>
              </w:rPr>
            </w:pPr>
          </w:p>
        </w:tc>
        <w:tc>
          <w:tcPr>
            <w:tcW w:w="4572" w:type="dxa"/>
            <w:noWrap w:val="0"/>
            <w:vAlign w:val="center"/>
          </w:tcPr>
          <w:p w14:paraId="000F2A7F">
            <w:pPr>
              <w:rPr>
                <w:rFonts w:ascii="宋体" w:hAnsi="宋体" w:cs="Arial"/>
                <w:sz w:val="18"/>
                <w:szCs w:val="18"/>
              </w:rPr>
            </w:pPr>
          </w:p>
        </w:tc>
        <w:tc>
          <w:tcPr>
            <w:tcW w:w="899" w:type="dxa"/>
            <w:noWrap w:val="0"/>
            <w:vAlign w:val="center"/>
          </w:tcPr>
          <w:p w14:paraId="2EF3F742">
            <w:pPr>
              <w:jc w:val="center"/>
              <w:rPr>
                <w:rFonts w:ascii="宋体" w:hAnsi="宋体" w:cs="Arial"/>
                <w:sz w:val="18"/>
                <w:szCs w:val="18"/>
              </w:rPr>
            </w:pPr>
          </w:p>
        </w:tc>
        <w:tc>
          <w:tcPr>
            <w:tcW w:w="899" w:type="dxa"/>
            <w:noWrap w:val="0"/>
            <w:vAlign w:val="center"/>
          </w:tcPr>
          <w:p w14:paraId="62586ED6">
            <w:pPr>
              <w:jc w:val="right"/>
              <w:rPr>
                <w:rFonts w:ascii="宋体" w:hAnsi="宋体" w:cs="Arial"/>
                <w:sz w:val="16"/>
                <w:szCs w:val="16"/>
              </w:rPr>
            </w:pPr>
          </w:p>
        </w:tc>
        <w:tc>
          <w:tcPr>
            <w:tcW w:w="1079" w:type="dxa"/>
            <w:noWrap w:val="0"/>
            <w:vAlign w:val="center"/>
          </w:tcPr>
          <w:p w14:paraId="0CB1DF6C">
            <w:pPr>
              <w:widowControl/>
              <w:jc w:val="center"/>
              <w:rPr>
                <w:rFonts w:ascii="宋体" w:hAnsi="宋体" w:cs="宋体"/>
                <w:kern w:val="0"/>
                <w:szCs w:val="21"/>
              </w:rPr>
            </w:pPr>
          </w:p>
        </w:tc>
        <w:tc>
          <w:tcPr>
            <w:tcW w:w="1079" w:type="dxa"/>
            <w:noWrap w:val="0"/>
            <w:vAlign w:val="center"/>
          </w:tcPr>
          <w:p w14:paraId="537EF1B1">
            <w:pPr>
              <w:widowControl/>
              <w:jc w:val="center"/>
              <w:rPr>
                <w:rFonts w:ascii="宋体" w:hAnsi="宋体" w:cs="宋体"/>
                <w:kern w:val="0"/>
                <w:szCs w:val="21"/>
              </w:rPr>
            </w:pPr>
          </w:p>
        </w:tc>
      </w:tr>
      <w:tr w14:paraId="00CCE6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69F309F6">
            <w:pPr>
              <w:jc w:val="center"/>
              <w:rPr>
                <w:rFonts w:ascii="宋体" w:hAnsi="宋体" w:cs="Arial"/>
                <w:sz w:val="18"/>
                <w:szCs w:val="18"/>
              </w:rPr>
            </w:pPr>
          </w:p>
        </w:tc>
        <w:tc>
          <w:tcPr>
            <w:tcW w:w="4572" w:type="dxa"/>
            <w:noWrap w:val="0"/>
            <w:vAlign w:val="center"/>
          </w:tcPr>
          <w:p w14:paraId="78297637">
            <w:pPr>
              <w:rPr>
                <w:rFonts w:ascii="宋体" w:hAnsi="宋体" w:cs="Arial"/>
                <w:sz w:val="18"/>
                <w:szCs w:val="18"/>
              </w:rPr>
            </w:pPr>
          </w:p>
        </w:tc>
        <w:tc>
          <w:tcPr>
            <w:tcW w:w="899" w:type="dxa"/>
            <w:noWrap w:val="0"/>
            <w:vAlign w:val="center"/>
          </w:tcPr>
          <w:p w14:paraId="41993B43">
            <w:pPr>
              <w:jc w:val="center"/>
              <w:rPr>
                <w:rFonts w:ascii="宋体" w:hAnsi="宋体" w:cs="Arial"/>
                <w:sz w:val="18"/>
                <w:szCs w:val="18"/>
              </w:rPr>
            </w:pPr>
          </w:p>
        </w:tc>
        <w:tc>
          <w:tcPr>
            <w:tcW w:w="899" w:type="dxa"/>
            <w:noWrap w:val="0"/>
            <w:vAlign w:val="center"/>
          </w:tcPr>
          <w:p w14:paraId="035F02D3">
            <w:pPr>
              <w:jc w:val="right"/>
              <w:rPr>
                <w:rFonts w:ascii="宋体" w:hAnsi="宋体" w:cs="Arial"/>
                <w:sz w:val="16"/>
                <w:szCs w:val="16"/>
              </w:rPr>
            </w:pPr>
          </w:p>
        </w:tc>
        <w:tc>
          <w:tcPr>
            <w:tcW w:w="1079" w:type="dxa"/>
            <w:noWrap w:val="0"/>
            <w:vAlign w:val="center"/>
          </w:tcPr>
          <w:p w14:paraId="059B2CBF">
            <w:pPr>
              <w:widowControl/>
              <w:jc w:val="center"/>
              <w:rPr>
                <w:rFonts w:ascii="宋体" w:hAnsi="宋体" w:cs="宋体"/>
                <w:kern w:val="0"/>
                <w:szCs w:val="21"/>
              </w:rPr>
            </w:pPr>
          </w:p>
        </w:tc>
        <w:tc>
          <w:tcPr>
            <w:tcW w:w="1079" w:type="dxa"/>
            <w:noWrap w:val="0"/>
            <w:vAlign w:val="center"/>
          </w:tcPr>
          <w:p w14:paraId="264A72F2">
            <w:pPr>
              <w:widowControl/>
              <w:jc w:val="center"/>
              <w:rPr>
                <w:rFonts w:ascii="宋体" w:hAnsi="宋体" w:cs="宋体"/>
                <w:kern w:val="0"/>
                <w:szCs w:val="21"/>
              </w:rPr>
            </w:pPr>
          </w:p>
        </w:tc>
      </w:tr>
      <w:tr w14:paraId="209617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0A137E76">
            <w:pPr>
              <w:jc w:val="center"/>
              <w:rPr>
                <w:rFonts w:ascii="宋体" w:hAnsi="宋体" w:cs="Arial"/>
                <w:sz w:val="18"/>
                <w:szCs w:val="18"/>
              </w:rPr>
            </w:pPr>
          </w:p>
        </w:tc>
        <w:tc>
          <w:tcPr>
            <w:tcW w:w="4572" w:type="dxa"/>
            <w:noWrap w:val="0"/>
            <w:vAlign w:val="center"/>
          </w:tcPr>
          <w:p w14:paraId="7A2B3315">
            <w:pPr>
              <w:rPr>
                <w:rFonts w:ascii="宋体" w:hAnsi="宋体" w:cs="Arial"/>
                <w:sz w:val="18"/>
                <w:szCs w:val="18"/>
              </w:rPr>
            </w:pPr>
          </w:p>
        </w:tc>
        <w:tc>
          <w:tcPr>
            <w:tcW w:w="899" w:type="dxa"/>
            <w:noWrap w:val="0"/>
            <w:vAlign w:val="center"/>
          </w:tcPr>
          <w:p w14:paraId="509E6E18">
            <w:pPr>
              <w:jc w:val="center"/>
              <w:rPr>
                <w:rFonts w:ascii="宋体" w:hAnsi="宋体" w:cs="Arial"/>
                <w:sz w:val="18"/>
                <w:szCs w:val="18"/>
              </w:rPr>
            </w:pPr>
          </w:p>
        </w:tc>
        <w:tc>
          <w:tcPr>
            <w:tcW w:w="899" w:type="dxa"/>
            <w:noWrap w:val="0"/>
            <w:vAlign w:val="center"/>
          </w:tcPr>
          <w:p w14:paraId="5AFEC50C">
            <w:pPr>
              <w:jc w:val="right"/>
              <w:rPr>
                <w:rFonts w:ascii="宋体" w:hAnsi="宋体" w:cs="Arial"/>
                <w:sz w:val="16"/>
                <w:szCs w:val="16"/>
              </w:rPr>
            </w:pPr>
          </w:p>
        </w:tc>
        <w:tc>
          <w:tcPr>
            <w:tcW w:w="1079" w:type="dxa"/>
            <w:noWrap w:val="0"/>
            <w:vAlign w:val="center"/>
          </w:tcPr>
          <w:p w14:paraId="37750534">
            <w:pPr>
              <w:widowControl/>
              <w:jc w:val="center"/>
              <w:rPr>
                <w:rFonts w:ascii="宋体" w:hAnsi="宋体" w:cs="宋体"/>
                <w:kern w:val="0"/>
                <w:szCs w:val="21"/>
              </w:rPr>
            </w:pPr>
          </w:p>
        </w:tc>
        <w:tc>
          <w:tcPr>
            <w:tcW w:w="1079" w:type="dxa"/>
            <w:noWrap w:val="0"/>
            <w:vAlign w:val="center"/>
          </w:tcPr>
          <w:p w14:paraId="69DCF1AC">
            <w:pPr>
              <w:widowControl/>
              <w:jc w:val="center"/>
              <w:rPr>
                <w:rFonts w:ascii="宋体" w:hAnsi="宋体" w:cs="宋体"/>
                <w:kern w:val="0"/>
                <w:szCs w:val="21"/>
              </w:rPr>
            </w:pPr>
          </w:p>
        </w:tc>
      </w:tr>
      <w:tr w14:paraId="0E0B96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4BF89876">
            <w:pPr>
              <w:jc w:val="center"/>
              <w:rPr>
                <w:rFonts w:ascii="宋体" w:hAnsi="宋体" w:cs="Arial"/>
                <w:sz w:val="18"/>
                <w:szCs w:val="18"/>
              </w:rPr>
            </w:pPr>
          </w:p>
        </w:tc>
        <w:tc>
          <w:tcPr>
            <w:tcW w:w="4572" w:type="dxa"/>
            <w:noWrap w:val="0"/>
            <w:vAlign w:val="center"/>
          </w:tcPr>
          <w:p w14:paraId="3794F158">
            <w:pPr>
              <w:rPr>
                <w:rFonts w:ascii="宋体" w:hAnsi="宋体" w:cs="Arial"/>
                <w:sz w:val="18"/>
                <w:szCs w:val="18"/>
              </w:rPr>
            </w:pPr>
          </w:p>
        </w:tc>
        <w:tc>
          <w:tcPr>
            <w:tcW w:w="899" w:type="dxa"/>
            <w:noWrap w:val="0"/>
            <w:vAlign w:val="center"/>
          </w:tcPr>
          <w:p w14:paraId="7BF842AE">
            <w:pPr>
              <w:jc w:val="center"/>
              <w:rPr>
                <w:rFonts w:ascii="宋体" w:hAnsi="宋体" w:cs="Arial"/>
                <w:sz w:val="18"/>
                <w:szCs w:val="18"/>
              </w:rPr>
            </w:pPr>
          </w:p>
        </w:tc>
        <w:tc>
          <w:tcPr>
            <w:tcW w:w="899" w:type="dxa"/>
            <w:noWrap w:val="0"/>
            <w:vAlign w:val="center"/>
          </w:tcPr>
          <w:p w14:paraId="76D8767D">
            <w:pPr>
              <w:jc w:val="right"/>
              <w:rPr>
                <w:rFonts w:ascii="宋体" w:hAnsi="宋体" w:cs="Arial"/>
                <w:sz w:val="16"/>
                <w:szCs w:val="16"/>
              </w:rPr>
            </w:pPr>
          </w:p>
        </w:tc>
        <w:tc>
          <w:tcPr>
            <w:tcW w:w="1079" w:type="dxa"/>
            <w:noWrap w:val="0"/>
            <w:vAlign w:val="center"/>
          </w:tcPr>
          <w:p w14:paraId="1A923687">
            <w:pPr>
              <w:widowControl/>
              <w:jc w:val="center"/>
              <w:rPr>
                <w:rFonts w:ascii="宋体" w:hAnsi="宋体" w:cs="宋体"/>
                <w:kern w:val="0"/>
                <w:szCs w:val="21"/>
              </w:rPr>
            </w:pPr>
          </w:p>
        </w:tc>
        <w:tc>
          <w:tcPr>
            <w:tcW w:w="1079" w:type="dxa"/>
            <w:noWrap w:val="0"/>
            <w:vAlign w:val="center"/>
          </w:tcPr>
          <w:p w14:paraId="462A14F5">
            <w:pPr>
              <w:widowControl/>
              <w:jc w:val="center"/>
              <w:rPr>
                <w:rFonts w:ascii="宋体" w:hAnsi="宋体" w:cs="宋体"/>
                <w:kern w:val="0"/>
                <w:szCs w:val="21"/>
              </w:rPr>
            </w:pPr>
          </w:p>
        </w:tc>
      </w:tr>
      <w:tr w14:paraId="43B995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0288E1D0">
            <w:pPr>
              <w:jc w:val="center"/>
              <w:rPr>
                <w:rFonts w:ascii="宋体" w:hAnsi="宋体" w:cs="Arial"/>
                <w:sz w:val="18"/>
                <w:szCs w:val="18"/>
              </w:rPr>
            </w:pPr>
          </w:p>
        </w:tc>
        <w:tc>
          <w:tcPr>
            <w:tcW w:w="4572" w:type="dxa"/>
            <w:noWrap w:val="0"/>
            <w:vAlign w:val="center"/>
          </w:tcPr>
          <w:p w14:paraId="53D80464">
            <w:pPr>
              <w:rPr>
                <w:rFonts w:ascii="宋体" w:hAnsi="宋体" w:cs="Arial"/>
                <w:sz w:val="18"/>
                <w:szCs w:val="18"/>
              </w:rPr>
            </w:pPr>
          </w:p>
        </w:tc>
        <w:tc>
          <w:tcPr>
            <w:tcW w:w="899" w:type="dxa"/>
            <w:noWrap w:val="0"/>
            <w:vAlign w:val="center"/>
          </w:tcPr>
          <w:p w14:paraId="3829D3A8">
            <w:pPr>
              <w:jc w:val="center"/>
              <w:rPr>
                <w:rFonts w:ascii="宋体" w:hAnsi="宋体" w:cs="Arial"/>
                <w:sz w:val="18"/>
                <w:szCs w:val="18"/>
              </w:rPr>
            </w:pPr>
          </w:p>
        </w:tc>
        <w:tc>
          <w:tcPr>
            <w:tcW w:w="899" w:type="dxa"/>
            <w:noWrap w:val="0"/>
            <w:vAlign w:val="center"/>
          </w:tcPr>
          <w:p w14:paraId="300F2F60">
            <w:pPr>
              <w:jc w:val="right"/>
              <w:rPr>
                <w:rFonts w:ascii="宋体" w:hAnsi="宋体" w:cs="Arial"/>
                <w:sz w:val="16"/>
                <w:szCs w:val="16"/>
              </w:rPr>
            </w:pPr>
          </w:p>
        </w:tc>
        <w:tc>
          <w:tcPr>
            <w:tcW w:w="1079" w:type="dxa"/>
            <w:noWrap w:val="0"/>
            <w:vAlign w:val="center"/>
          </w:tcPr>
          <w:p w14:paraId="6C2A21A9">
            <w:pPr>
              <w:widowControl/>
              <w:jc w:val="center"/>
              <w:rPr>
                <w:rFonts w:ascii="宋体" w:hAnsi="宋体" w:cs="宋体"/>
                <w:kern w:val="0"/>
                <w:szCs w:val="21"/>
              </w:rPr>
            </w:pPr>
          </w:p>
        </w:tc>
        <w:tc>
          <w:tcPr>
            <w:tcW w:w="1079" w:type="dxa"/>
            <w:noWrap w:val="0"/>
            <w:vAlign w:val="center"/>
          </w:tcPr>
          <w:p w14:paraId="63958989">
            <w:pPr>
              <w:widowControl/>
              <w:jc w:val="center"/>
              <w:rPr>
                <w:rFonts w:ascii="宋体" w:hAnsi="宋体" w:cs="宋体"/>
                <w:kern w:val="0"/>
                <w:szCs w:val="21"/>
              </w:rPr>
            </w:pPr>
          </w:p>
        </w:tc>
      </w:tr>
      <w:tr w14:paraId="5B6CA7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1DE11328">
            <w:pPr>
              <w:jc w:val="center"/>
              <w:rPr>
                <w:rFonts w:ascii="宋体" w:hAnsi="宋体" w:cs="Arial"/>
                <w:sz w:val="18"/>
                <w:szCs w:val="18"/>
              </w:rPr>
            </w:pPr>
          </w:p>
        </w:tc>
        <w:tc>
          <w:tcPr>
            <w:tcW w:w="4572" w:type="dxa"/>
            <w:noWrap w:val="0"/>
            <w:vAlign w:val="center"/>
          </w:tcPr>
          <w:p w14:paraId="5D9A02E3">
            <w:pPr>
              <w:rPr>
                <w:rFonts w:ascii="宋体" w:hAnsi="宋体" w:cs="Arial"/>
                <w:sz w:val="18"/>
                <w:szCs w:val="18"/>
              </w:rPr>
            </w:pPr>
          </w:p>
        </w:tc>
        <w:tc>
          <w:tcPr>
            <w:tcW w:w="899" w:type="dxa"/>
            <w:noWrap w:val="0"/>
            <w:vAlign w:val="center"/>
          </w:tcPr>
          <w:p w14:paraId="36153657">
            <w:pPr>
              <w:jc w:val="center"/>
              <w:rPr>
                <w:rFonts w:ascii="宋体" w:hAnsi="宋体" w:cs="Arial"/>
                <w:sz w:val="18"/>
                <w:szCs w:val="18"/>
              </w:rPr>
            </w:pPr>
          </w:p>
        </w:tc>
        <w:tc>
          <w:tcPr>
            <w:tcW w:w="899" w:type="dxa"/>
            <w:noWrap w:val="0"/>
            <w:vAlign w:val="center"/>
          </w:tcPr>
          <w:p w14:paraId="53C8FD42">
            <w:pPr>
              <w:jc w:val="right"/>
              <w:rPr>
                <w:rFonts w:ascii="宋体" w:hAnsi="宋体" w:cs="Arial"/>
                <w:sz w:val="16"/>
                <w:szCs w:val="16"/>
              </w:rPr>
            </w:pPr>
          </w:p>
        </w:tc>
        <w:tc>
          <w:tcPr>
            <w:tcW w:w="1079" w:type="dxa"/>
            <w:noWrap w:val="0"/>
            <w:vAlign w:val="center"/>
          </w:tcPr>
          <w:p w14:paraId="6ED9119E">
            <w:pPr>
              <w:widowControl/>
              <w:jc w:val="center"/>
              <w:rPr>
                <w:rFonts w:ascii="宋体" w:hAnsi="宋体" w:cs="宋体"/>
                <w:kern w:val="0"/>
                <w:szCs w:val="21"/>
              </w:rPr>
            </w:pPr>
          </w:p>
        </w:tc>
        <w:tc>
          <w:tcPr>
            <w:tcW w:w="1079" w:type="dxa"/>
            <w:noWrap w:val="0"/>
            <w:vAlign w:val="center"/>
          </w:tcPr>
          <w:p w14:paraId="7162BBDC">
            <w:pPr>
              <w:widowControl/>
              <w:jc w:val="center"/>
              <w:rPr>
                <w:rFonts w:ascii="宋体" w:hAnsi="宋体" w:cs="宋体"/>
                <w:kern w:val="0"/>
                <w:szCs w:val="21"/>
              </w:rPr>
            </w:pPr>
          </w:p>
        </w:tc>
      </w:tr>
      <w:tr w14:paraId="1A1191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13899552">
            <w:pPr>
              <w:jc w:val="center"/>
              <w:rPr>
                <w:rFonts w:ascii="宋体" w:hAnsi="宋体" w:cs="Arial"/>
                <w:sz w:val="18"/>
                <w:szCs w:val="18"/>
              </w:rPr>
            </w:pPr>
          </w:p>
        </w:tc>
        <w:tc>
          <w:tcPr>
            <w:tcW w:w="4572" w:type="dxa"/>
            <w:noWrap w:val="0"/>
            <w:vAlign w:val="center"/>
          </w:tcPr>
          <w:p w14:paraId="61357980">
            <w:pPr>
              <w:rPr>
                <w:rFonts w:ascii="宋体" w:hAnsi="宋体" w:cs="Arial"/>
                <w:sz w:val="18"/>
                <w:szCs w:val="18"/>
              </w:rPr>
            </w:pPr>
          </w:p>
        </w:tc>
        <w:tc>
          <w:tcPr>
            <w:tcW w:w="899" w:type="dxa"/>
            <w:noWrap w:val="0"/>
            <w:vAlign w:val="center"/>
          </w:tcPr>
          <w:p w14:paraId="02D4FC02">
            <w:pPr>
              <w:jc w:val="center"/>
              <w:rPr>
                <w:rFonts w:ascii="宋体" w:hAnsi="宋体" w:cs="Arial"/>
                <w:sz w:val="18"/>
                <w:szCs w:val="18"/>
              </w:rPr>
            </w:pPr>
          </w:p>
        </w:tc>
        <w:tc>
          <w:tcPr>
            <w:tcW w:w="899" w:type="dxa"/>
            <w:noWrap w:val="0"/>
            <w:vAlign w:val="center"/>
          </w:tcPr>
          <w:p w14:paraId="7FDBCFC5">
            <w:pPr>
              <w:jc w:val="right"/>
              <w:rPr>
                <w:rFonts w:ascii="宋体" w:hAnsi="宋体" w:cs="Arial"/>
                <w:sz w:val="16"/>
                <w:szCs w:val="16"/>
              </w:rPr>
            </w:pPr>
          </w:p>
        </w:tc>
        <w:tc>
          <w:tcPr>
            <w:tcW w:w="1079" w:type="dxa"/>
            <w:noWrap w:val="0"/>
            <w:vAlign w:val="center"/>
          </w:tcPr>
          <w:p w14:paraId="37017718">
            <w:pPr>
              <w:widowControl/>
              <w:jc w:val="center"/>
              <w:rPr>
                <w:rFonts w:ascii="宋体" w:hAnsi="宋体" w:cs="宋体"/>
                <w:kern w:val="0"/>
                <w:szCs w:val="21"/>
              </w:rPr>
            </w:pPr>
          </w:p>
        </w:tc>
        <w:tc>
          <w:tcPr>
            <w:tcW w:w="1079" w:type="dxa"/>
            <w:noWrap w:val="0"/>
            <w:vAlign w:val="center"/>
          </w:tcPr>
          <w:p w14:paraId="5670F02D">
            <w:pPr>
              <w:widowControl/>
              <w:jc w:val="center"/>
              <w:rPr>
                <w:rFonts w:ascii="宋体" w:hAnsi="宋体" w:cs="宋体"/>
                <w:kern w:val="0"/>
                <w:szCs w:val="21"/>
              </w:rPr>
            </w:pPr>
          </w:p>
        </w:tc>
      </w:tr>
      <w:tr w14:paraId="6E93AD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23F8844B">
            <w:pPr>
              <w:jc w:val="center"/>
              <w:rPr>
                <w:rFonts w:ascii="宋体" w:hAnsi="宋体" w:cs="Arial"/>
                <w:sz w:val="18"/>
                <w:szCs w:val="18"/>
              </w:rPr>
            </w:pPr>
          </w:p>
        </w:tc>
        <w:tc>
          <w:tcPr>
            <w:tcW w:w="4572" w:type="dxa"/>
            <w:noWrap w:val="0"/>
            <w:vAlign w:val="center"/>
          </w:tcPr>
          <w:p w14:paraId="6005A24D">
            <w:pPr>
              <w:rPr>
                <w:rFonts w:ascii="宋体" w:hAnsi="宋体" w:cs="Arial"/>
                <w:sz w:val="18"/>
                <w:szCs w:val="18"/>
              </w:rPr>
            </w:pPr>
          </w:p>
        </w:tc>
        <w:tc>
          <w:tcPr>
            <w:tcW w:w="899" w:type="dxa"/>
            <w:noWrap w:val="0"/>
            <w:vAlign w:val="center"/>
          </w:tcPr>
          <w:p w14:paraId="3C585F35">
            <w:pPr>
              <w:jc w:val="center"/>
              <w:rPr>
                <w:rFonts w:ascii="宋体" w:hAnsi="宋体" w:cs="Arial"/>
                <w:sz w:val="18"/>
                <w:szCs w:val="18"/>
              </w:rPr>
            </w:pPr>
          </w:p>
        </w:tc>
        <w:tc>
          <w:tcPr>
            <w:tcW w:w="899" w:type="dxa"/>
            <w:noWrap w:val="0"/>
            <w:vAlign w:val="center"/>
          </w:tcPr>
          <w:p w14:paraId="3193E1B1">
            <w:pPr>
              <w:jc w:val="right"/>
              <w:rPr>
                <w:rFonts w:ascii="宋体" w:hAnsi="宋体" w:cs="Arial"/>
                <w:sz w:val="16"/>
                <w:szCs w:val="16"/>
              </w:rPr>
            </w:pPr>
          </w:p>
        </w:tc>
        <w:tc>
          <w:tcPr>
            <w:tcW w:w="1079" w:type="dxa"/>
            <w:noWrap w:val="0"/>
            <w:vAlign w:val="center"/>
          </w:tcPr>
          <w:p w14:paraId="65BD7132">
            <w:pPr>
              <w:widowControl/>
              <w:jc w:val="center"/>
              <w:rPr>
                <w:rFonts w:ascii="宋体" w:hAnsi="宋体" w:cs="宋体"/>
                <w:kern w:val="0"/>
                <w:szCs w:val="21"/>
              </w:rPr>
            </w:pPr>
          </w:p>
        </w:tc>
        <w:tc>
          <w:tcPr>
            <w:tcW w:w="1079" w:type="dxa"/>
            <w:noWrap w:val="0"/>
            <w:vAlign w:val="center"/>
          </w:tcPr>
          <w:p w14:paraId="0D2D1D80">
            <w:pPr>
              <w:widowControl/>
              <w:jc w:val="center"/>
              <w:rPr>
                <w:rFonts w:ascii="宋体" w:hAnsi="宋体" w:cs="宋体"/>
                <w:kern w:val="0"/>
                <w:szCs w:val="21"/>
              </w:rPr>
            </w:pPr>
          </w:p>
        </w:tc>
      </w:tr>
      <w:tr w14:paraId="2297AD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530A412C">
            <w:pPr>
              <w:jc w:val="center"/>
              <w:rPr>
                <w:rFonts w:ascii="宋体" w:hAnsi="宋体" w:cs="Arial"/>
                <w:sz w:val="18"/>
                <w:szCs w:val="18"/>
              </w:rPr>
            </w:pPr>
          </w:p>
        </w:tc>
        <w:tc>
          <w:tcPr>
            <w:tcW w:w="4572" w:type="dxa"/>
            <w:noWrap w:val="0"/>
            <w:vAlign w:val="center"/>
          </w:tcPr>
          <w:p w14:paraId="02C79D3B">
            <w:pPr>
              <w:rPr>
                <w:rFonts w:ascii="宋体" w:hAnsi="宋体" w:cs="Arial"/>
                <w:sz w:val="18"/>
                <w:szCs w:val="18"/>
              </w:rPr>
            </w:pPr>
          </w:p>
        </w:tc>
        <w:tc>
          <w:tcPr>
            <w:tcW w:w="899" w:type="dxa"/>
            <w:noWrap w:val="0"/>
            <w:vAlign w:val="center"/>
          </w:tcPr>
          <w:p w14:paraId="02B7F677">
            <w:pPr>
              <w:jc w:val="center"/>
              <w:rPr>
                <w:rFonts w:ascii="宋体" w:hAnsi="宋体" w:cs="Arial"/>
                <w:sz w:val="18"/>
                <w:szCs w:val="18"/>
              </w:rPr>
            </w:pPr>
          </w:p>
        </w:tc>
        <w:tc>
          <w:tcPr>
            <w:tcW w:w="899" w:type="dxa"/>
            <w:noWrap w:val="0"/>
            <w:vAlign w:val="center"/>
          </w:tcPr>
          <w:p w14:paraId="667333FC">
            <w:pPr>
              <w:jc w:val="right"/>
              <w:rPr>
                <w:rFonts w:ascii="宋体" w:hAnsi="宋体" w:cs="Arial"/>
                <w:sz w:val="16"/>
                <w:szCs w:val="16"/>
              </w:rPr>
            </w:pPr>
          </w:p>
        </w:tc>
        <w:tc>
          <w:tcPr>
            <w:tcW w:w="1079" w:type="dxa"/>
            <w:noWrap w:val="0"/>
            <w:vAlign w:val="center"/>
          </w:tcPr>
          <w:p w14:paraId="537B6DA1">
            <w:pPr>
              <w:widowControl/>
              <w:jc w:val="center"/>
              <w:rPr>
                <w:rFonts w:ascii="宋体" w:hAnsi="宋体" w:cs="宋体"/>
                <w:kern w:val="0"/>
                <w:szCs w:val="21"/>
              </w:rPr>
            </w:pPr>
          </w:p>
        </w:tc>
        <w:tc>
          <w:tcPr>
            <w:tcW w:w="1079" w:type="dxa"/>
            <w:noWrap w:val="0"/>
            <w:vAlign w:val="center"/>
          </w:tcPr>
          <w:p w14:paraId="2E203F1F">
            <w:pPr>
              <w:widowControl/>
              <w:jc w:val="center"/>
              <w:rPr>
                <w:rFonts w:ascii="宋体" w:hAnsi="宋体" w:cs="宋体"/>
                <w:kern w:val="0"/>
                <w:szCs w:val="21"/>
              </w:rPr>
            </w:pPr>
          </w:p>
        </w:tc>
      </w:tr>
      <w:tr w14:paraId="1EA20C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1DFBD96A">
            <w:pPr>
              <w:jc w:val="center"/>
              <w:rPr>
                <w:rFonts w:ascii="宋体" w:hAnsi="宋体" w:cs="Arial"/>
                <w:sz w:val="18"/>
                <w:szCs w:val="18"/>
              </w:rPr>
            </w:pPr>
          </w:p>
        </w:tc>
        <w:tc>
          <w:tcPr>
            <w:tcW w:w="4572" w:type="dxa"/>
            <w:noWrap w:val="0"/>
            <w:vAlign w:val="center"/>
          </w:tcPr>
          <w:p w14:paraId="5A774FF0">
            <w:pPr>
              <w:rPr>
                <w:rFonts w:ascii="宋体" w:hAnsi="宋体" w:cs="Arial"/>
                <w:sz w:val="18"/>
                <w:szCs w:val="18"/>
              </w:rPr>
            </w:pPr>
          </w:p>
        </w:tc>
        <w:tc>
          <w:tcPr>
            <w:tcW w:w="899" w:type="dxa"/>
            <w:noWrap w:val="0"/>
            <w:vAlign w:val="center"/>
          </w:tcPr>
          <w:p w14:paraId="2225EA10">
            <w:pPr>
              <w:jc w:val="center"/>
              <w:rPr>
                <w:rFonts w:ascii="宋体" w:hAnsi="宋体" w:cs="Arial"/>
                <w:sz w:val="18"/>
                <w:szCs w:val="18"/>
              </w:rPr>
            </w:pPr>
          </w:p>
        </w:tc>
        <w:tc>
          <w:tcPr>
            <w:tcW w:w="899" w:type="dxa"/>
            <w:noWrap w:val="0"/>
            <w:vAlign w:val="center"/>
          </w:tcPr>
          <w:p w14:paraId="79E46C01">
            <w:pPr>
              <w:jc w:val="right"/>
              <w:rPr>
                <w:rFonts w:ascii="宋体" w:hAnsi="宋体" w:cs="Arial"/>
                <w:sz w:val="16"/>
                <w:szCs w:val="16"/>
              </w:rPr>
            </w:pPr>
          </w:p>
        </w:tc>
        <w:tc>
          <w:tcPr>
            <w:tcW w:w="1079" w:type="dxa"/>
            <w:noWrap w:val="0"/>
            <w:vAlign w:val="center"/>
          </w:tcPr>
          <w:p w14:paraId="59478F7F">
            <w:pPr>
              <w:widowControl/>
              <w:jc w:val="center"/>
              <w:rPr>
                <w:rFonts w:ascii="宋体" w:hAnsi="宋体" w:cs="宋体"/>
                <w:kern w:val="0"/>
                <w:szCs w:val="21"/>
              </w:rPr>
            </w:pPr>
          </w:p>
        </w:tc>
        <w:tc>
          <w:tcPr>
            <w:tcW w:w="1079" w:type="dxa"/>
            <w:noWrap w:val="0"/>
            <w:vAlign w:val="center"/>
          </w:tcPr>
          <w:p w14:paraId="3E52CA27">
            <w:pPr>
              <w:widowControl/>
              <w:jc w:val="center"/>
              <w:rPr>
                <w:rFonts w:ascii="宋体" w:hAnsi="宋体" w:cs="宋体"/>
                <w:kern w:val="0"/>
                <w:szCs w:val="21"/>
              </w:rPr>
            </w:pPr>
          </w:p>
        </w:tc>
      </w:tr>
      <w:tr w14:paraId="3B4FA2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48B432F8">
            <w:pPr>
              <w:jc w:val="center"/>
              <w:rPr>
                <w:rFonts w:ascii="宋体" w:hAnsi="宋体" w:cs="Arial"/>
                <w:sz w:val="18"/>
                <w:szCs w:val="18"/>
              </w:rPr>
            </w:pPr>
          </w:p>
        </w:tc>
        <w:tc>
          <w:tcPr>
            <w:tcW w:w="4572" w:type="dxa"/>
            <w:noWrap w:val="0"/>
            <w:vAlign w:val="center"/>
          </w:tcPr>
          <w:p w14:paraId="5C14BF0F">
            <w:pPr>
              <w:rPr>
                <w:rFonts w:ascii="宋体" w:hAnsi="宋体" w:cs="Arial"/>
                <w:sz w:val="18"/>
                <w:szCs w:val="18"/>
              </w:rPr>
            </w:pPr>
          </w:p>
        </w:tc>
        <w:tc>
          <w:tcPr>
            <w:tcW w:w="899" w:type="dxa"/>
            <w:noWrap w:val="0"/>
            <w:vAlign w:val="center"/>
          </w:tcPr>
          <w:p w14:paraId="4B4907C4">
            <w:pPr>
              <w:jc w:val="center"/>
              <w:rPr>
                <w:rFonts w:ascii="宋体" w:hAnsi="宋体" w:cs="Arial"/>
                <w:sz w:val="18"/>
                <w:szCs w:val="18"/>
              </w:rPr>
            </w:pPr>
          </w:p>
        </w:tc>
        <w:tc>
          <w:tcPr>
            <w:tcW w:w="899" w:type="dxa"/>
            <w:noWrap w:val="0"/>
            <w:vAlign w:val="center"/>
          </w:tcPr>
          <w:p w14:paraId="0B0F17A8">
            <w:pPr>
              <w:jc w:val="right"/>
              <w:rPr>
                <w:rFonts w:ascii="宋体" w:hAnsi="宋体" w:cs="Arial"/>
                <w:sz w:val="16"/>
                <w:szCs w:val="16"/>
              </w:rPr>
            </w:pPr>
          </w:p>
        </w:tc>
        <w:tc>
          <w:tcPr>
            <w:tcW w:w="1079" w:type="dxa"/>
            <w:noWrap w:val="0"/>
            <w:vAlign w:val="center"/>
          </w:tcPr>
          <w:p w14:paraId="5D4F2A54">
            <w:pPr>
              <w:widowControl/>
              <w:jc w:val="center"/>
              <w:rPr>
                <w:rFonts w:ascii="宋体" w:hAnsi="宋体" w:cs="宋体"/>
                <w:kern w:val="0"/>
                <w:szCs w:val="21"/>
              </w:rPr>
            </w:pPr>
          </w:p>
        </w:tc>
        <w:tc>
          <w:tcPr>
            <w:tcW w:w="1079" w:type="dxa"/>
            <w:noWrap w:val="0"/>
            <w:vAlign w:val="center"/>
          </w:tcPr>
          <w:p w14:paraId="768DD5AC">
            <w:pPr>
              <w:widowControl/>
              <w:jc w:val="center"/>
              <w:rPr>
                <w:rFonts w:ascii="宋体" w:hAnsi="宋体" w:cs="宋体"/>
                <w:kern w:val="0"/>
                <w:szCs w:val="21"/>
              </w:rPr>
            </w:pPr>
          </w:p>
        </w:tc>
      </w:tr>
      <w:tr w14:paraId="2B49FD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68" w:type="dxa"/>
            <w:gridSpan w:val="6"/>
            <w:noWrap w:val="0"/>
            <w:vAlign w:val="center"/>
          </w:tcPr>
          <w:p w14:paraId="4200D97B">
            <w:pPr>
              <w:widowControl/>
              <w:jc w:val="center"/>
              <w:rPr>
                <w:rFonts w:ascii="宋体" w:hAnsi="宋体" w:cs="宋体"/>
                <w:b/>
                <w:kern w:val="0"/>
                <w:szCs w:val="21"/>
              </w:rPr>
            </w:pPr>
            <w:r>
              <w:rPr>
                <w:rFonts w:hint="eastAsia" w:ascii="宋体" w:hAnsi="宋体" w:cs="宋体"/>
                <w:b/>
                <w:kern w:val="0"/>
                <w:szCs w:val="21"/>
              </w:rPr>
              <w:t>清单200章合计   人民币</w:t>
            </w:r>
            <w:r>
              <w:rPr>
                <w:rFonts w:hint="eastAsia" w:ascii="宋体" w:hAnsi="宋体" w:cs="宋体"/>
                <w:b/>
                <w:kern w:val="0"/>
                <w:szCs w:val="21"/>
                <w:u w:val="single"/>
              </w:rPr>
              <w:t xml:space="preserve">       </w:t>
            </w:r>
            <w:r>
              <w:rPr>
                <w:rFonts w:hint="eastAsia" w:ascii="宋体" w:hAnsi="宋体" w:cs="宋体"/>
                <w:b/>
                <w:kern w:val="0"/>
                <w:szCs w:val="21"/>
              </w:rPr>
              <w:t>元</w:t>
            </w:r>
          </w:p>
        </w:tc>
      </w:tr>
    </w:tbl>
    <w:p w14:paraId="4ED419BA">
      <w:pPr>
        <w:spacing w:before="240" w:beforeLines="100" w:after="240" w:afterLines="100"/>
        <w:jc w:val="center"/>
        <w:rPr>
          <w:rFonts w:hint="eastAsia" w:ascii="黑体" w:hAnsi="宋体" w:eastAsia="黑体"/>
          <w:sz w:val="30"/>
          <w:szCs w:val="30"/>
        </w:rPr>
      </w:pPr>
    </w:p>
    <w:p w14:paraId="6773B6E2">
      <w:pPr>
        <w:spacing w:before="240" w:beforeLines="100" w:after="240" w:afterLines="100"/>
        <w:jc w:val="center"/>
        <w:rPr>
          <w:rFonts w:hint="eastAsia" w:ascii="黑体" w:hAnsi="宋体" w:eastAsia="黑体"/>
          <w:sz w:val="30"/>
          <w:szCs w:val="30"/>
        </w:rPr>
      </w:pPr>
      <w:r>
        <w:rPr>
          <w:rFonts w:ascii="黑体" w:hAnsi="宋体" w:eastAsia="黑体"/>
          <w:sz w:val="30"/>
          <w:szCs w:val="30"/>
        </w:rPr>
        <w:br w:type="page"/>
      </w:r>
      <w:r>
        <w:rPr>
          <w:rFonts w:hint="eastAsia" w:ascii="黑体" w:hAnsi="宋体" w:eastAsia="黑体"/>
          <w:sz w:val="30"/>
          <w:szCs w:val="30"/>
        </w:rPr>
        <w:t>工程量清单</w:t>
      </w:r>
    </w:p>
    <w:p w14:paraId="43CAD348">
      <w:pPr>
        <w:pStyle w:val="50"/>
        <w:ind w:left="0" w:leftChars="0" w:firstLine="0" w:firstLine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标项</w:t>
      </w: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w:t>
      </w:r>
      <w:r>
        <w:rPr>
          <w:rFonts w:hint="eastAsia" w:asciiTheme="minorEastAsia" w:hAnsiTheme="minorEastAsia" w:cstheme="minorEastAsia"/>
          <w:sz w:val="24"/>
          <w:szCs w:val="24"/>
          <w:lang w:eastAsia="zh-CN"/>
        </w:rPr>
        <w:t>2026年秀洲区县道及以上公路小修及应急抢险项目</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第一</w:t>
      </w:r>
      <w:r>
        <w:rPr>
          <w:rFonts w:hint="eastAsia" w:asciiTheme="minorEastAsia" w:hAnsiTheme="minorEastAsia" w:eastAsiaTheme="minorEastAsia" w:cstheme="minorEastAsia"/>
          <w:sz w:val="24"/>
          <w:szCs w:val="24"/>
          <w:lang w:eastAsia="zh-CN"/>
        </w:rPr>
        <w:t>标段）</w:t>
      </w:r>
    </w:p>
    <w:p w14:paraId="11DC32E8">
      <w:pPr>
        <w:pStyle w:val="50"/>
        <w:ind w:left="0" w:leftChars="0" w:firstLine="0" w:firstLineChars="0"/>
        <w:rPr>
          <w:rFonts w:hint="eastAsia"/>
        </w:rPr>
      </w:pPr>
      <w:r>
        <w:rPr>
          <w:rFonts w:hint="eastAsia" w:asciiTheme="minorEastAsia" w:hAnsiTheme="minorEastAsia" w:eastAsiaTheme="minorEastAsia" w:cstheme="minorEastAsia"/>
          <w:sz w:val="24"/>
          <w:szCs w:val="24"/>
        </w:rPr>
        <w:t>货币单位：人民币元</w:t>
      </w:r>
      <w:r>
        <w:tab/>
      </w:r>
    </w:p>
    <w:tbl>
      <w:tblPr>
        <w:tblStyle w:val="51"/>
        <w:tblW w:w="946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40"/>
        <w:gridCol w:w="4572"/>
        <w:gridCol w:w="899"/>
        <w:gridCol w:w="899"/>
        <w:gridCol w:w="1079"/>
        <w:gridCol w:w="1079"/>
      </w:tblGrid>
      <w:tr w14:paraId="2F6C91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68" w:type="dxa"/>
            <w:gridSpan w:val="6"/>
            <w:noWrap w:val="0"/>
            <w:vAlign w:val="center"/>
          </w:tcPr>
          <w:p w14:paraId="512439F6">
            <w:pPr>
              <w:ind w:firstLine="103" w:firstLineChars="49"/>
              <w:jc w:val="center"/>
              <w:rPr>
                <w:rFonts w:ascii="宋体" w:hAnsi="宋体"/>
                <w:b/>
                <w:bCs/>
              </w:rPr>
            </w:pPr>
            <w:r>
              <w:rPr>
                <w:rFonts w:hint="eastAsia" w:ascii="宋体" w:hAnsi="宋体"/>
                <w:b/>
                <w:bCs/>
              </w:rPr>
              <w:t>清单      第300章      路  面</w:t>
            </w:r>
          </w:p>
        </w:tc>
      </w:tr>
      <w:tr w14:paraId="513D7D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7CEF6938">
            <w:pPr>
              <w:widowControl/>
              <w:jc w:val="left"/>
              <w:rPr>
                <w:rFonts w:ascii="宋体" w:hAnsi="宋体" w:cs="宋体"/>
                <w:kern w:val="0"/>
                <w:szCs w:val="21"/>
              </w:rPr>
            </w:pPr>
            <w:r>
              <w:rPr>
                <w:rFonts w:hint="eastAsia" w:ascii="宋体" w:hAnsi="宋体" w:cs="宋体"/>
                <w:kern w:val="0"/>
                <w:szCs w:val="21"/>
              </w:rPr>
              <w:t>子目号</w:t>
            </w:r>
          </w:p>
        </w:tc>
        <w:tc>
          <w:tcPr>
            <w:tcW w:w="4572" w:type="dxa"/>
            <w:noWrap w:val="0"/>
            <w:vAlign w:val="center"/>
          </w:tcPr>
          <w:p w14:paraId="517DDEB7">
            <w:pPr>
              <w:widowControl/>
              <w:jc w:val="center"/>
              <w:rPr>
                <w:rFonts w:ascii="宋体" w:hAnsi="宋体" w:cs="宋体"/>
                <w:kern w:val="0"/>
                <w:szCs w:val="21"/>
              </w:rPr>
            </w:pPr>
            <w:r>
              <w:rPr>
                <w:rFonts w:hint="eastAsia" w:ascii="宋体" w:hAnsi="宋体" w:cs="宋体"/>
                <w:kern w:val="0"/>
                <w:szCs w:val="21"/>
              </w:rPr>
              <w:t>子  目  名  称</w:t>
            </w:r>
          </w:p>
        </w:tc>
        <w:tc>
          <w:tcPr>
            <w:tcW w:w="899" w:type="dxa"/>
            <w:noWrap w:val="0"/>
            <w:vAlign w:val="center"/>
          </w:tcPr>
          <w:p w14:paraId="04E6D668">
            <w:pPr>
              <w:widowControl/>
              <w:jc w:val="center"/>
              <w:rPr>
                <w:rFonts w:ascii="宋体" w:hAnsi="宋体" w:cs="宋体"/>
                <w:kern w:val="0"/>
                <w:szCs w:val="21"/>
              </w:rPr>
            </w:pPr>
            <w:r>
              <w:rPr>
                <w:rFonts w:hint="eastAsia" w:ascii="宋体" w:hAnsi="宋体" w:cs="宋体"/>
                <w:kern w:val="0"/>
                <w:szCs w:val="21"/>
              </w:rPr>
              <w:t>单位</w:t>
            </w:r>
          </w:p>
        </w:tc>
        <w:tc>
          <w:tcPr>
            <w:tcW w:w="899" w:type="dxa"/>
            <w:noWrap w:val="0"/>
            <w:vAlign w:val="center"/>
          </w:tcPr>
          <w:p w14:paraId="792FD1FE">
            <w:pPr>
              <w:widowControl/>
              <w:jc w:val="center"/>
              <w:rPr>
                <w:rFonts w:ascii="宋体" w:hAnsi="宋体" w:cs="宋体"/>
                <w:kern w:val="0"/>
                <w:szCs w:val="21"/>
              </w:rPr>
            </w:pPr>
            <w:r>
              <w:rPr>
                <w:rFonts w:hint="eastAsia" w:ascii="宋体" w:hAnsi="宋体" w:cs="宋体"/>
                <w:kern w:val="0"/>
                <w:szCs w:val="21"/>
              </w:rPr>
              <w:t>数量</w:t>
            </w:r>
          </w:p>
        </w:tc>
        <w:tc>
          <w:tcPr>
            <w:tcW w:w="1079" w:type="dxa"/>
            <w:noWrap w:val="0"/>
            <w:vAlign w:val="center"/>
          </w:tcPr>
          <w:p w14:paraId="04CB3874">
            <w:pPr>
              <w:widowControl/>
              <w:jc w:val="center"/>
              <w:rPr>
                <w:rFonts w:ascii="宋体" w:hAnsi="宋体" w:cs="宋体"/>
                <w:kern w:val="0"/>
                <w:szCs w:val="21"/>
              </w:rPr>
            </w:pPr>
            <w:r>
              <w:rPr>
                <w:rFonts w:hint="eastAsia" w:ascii="宋体" w:hAnsi="宋体" w:cs="宋体"/>
                <w:kern w:val="0"/>
                <w:szCs w:val="21"/>
              </w:rPr>
              <w:t>单价</w:t>
            </w:r>
          </w:p>
        </w:tc>
        <w:tc>
          <w:tcPr>
            <w:tcW w:w="1079" w:type="dxa"/>
            <w:noWrap w:val="0"/>
            <w:vAlign w:val="center"/>
          </w:tcPr>
          <w:p w14:paraId="22686A5A">
            <w:pPr>
              <w:widowControl/>
              <w:jc w:val="center"/>
              <w:rPr>
                <w:rFonts w:ascii="宋体" w:hAnsi="宋体" w:cs="宋体"/>
                <w:kern w:val="0"/>
                <w:szCs w:val="21"/>
              </w:rPr>
            </w:pPr>
            <w:r>
              <w:rPr>
                <w:rFonts w:hint="eastAsia" w:ascii="宋体" w:hAnsi="宋体" w:cs="宋体"/>
                <w:kern w:val="0"/>
                <w:szCs w:val="21"/>
              </w:rPr>
              <w:t>合价</w:t>
            </w:r>
          </w:p>
        </w:tc>
      </w:tr>
      <w:tr w14:paraId="3944C8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698A0ED4">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302</w:t>
            </w:r>
          </w:p>
        </w:tc>
        <w:tc>
          <w:tcPr>
            <w:tcW w:w="4572" w:type="dxa"/>
            <w:noWrap w:val="0"/>
            <w:vAlign w:val="center"/>
          </w:tcPr>
          <w:p w14:paraId="08BA8B7D">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维修</w:t>
            </w:r>
          </w:p>
        </w:tc>
        <w:tc>
          <w:tcPr>
            <w:tcW w:w="899" w:type="dxa"/>
            <w:noWrap w:val="0"/>
            <w:vAlign w:val="center"/>
          </w:tcPr>
          <w:p w14:paraId="7DFD2DE4">
            <w:pPr>
              <w:jc w:val="center"/>
              <w:rPr>
                <w:rFonts w:hint="eastAsia" w:ascii="宋体" w:hAnsi="宋体" w:cs="宋体"/>
                <w:kern w:val="0"/>
                <w:sz w:val="21"/>
                <w:szCs w:val="21"/>
              </w:rPr>
            </w:pPr>
          </w:p>
        </w:tc>
        <w:tc>
          <w:tcPr>
            <w:tcW w:w="899" w:type="dxa"/>
            <w:noWrap w:val="0"/>
            <w:vAlign w:val="center"/>
          </w:tcPr>
          <w:p w14:paraId="69C60C90">
            <w:pPr>
              <w:jc w:val="right"/>
              <w:rPr>
                <w:rFonts w:hint="eastAsia" w:ascii="宋体" w:hAnsi="宋体" w:cs="宋体"/>
                <w:kern w:val="0"/>
                <w:sz w:val="21"/>
                <w:szCs w:val="21"/>
              </w:rPr>
            </w:pPr>
          </w:p>
        </w:tc>
        <w:tc>
          <w:tcPr>
            <w:tcW w:w="1079" w:type="dxa"/>
            <w:noWrap w:val="0"/>
            <w:vAlign w:val="center"/>
          </w:tcPr>
          <w:p w14:paraId="7DEDC6CE">
            <w:pPr>
              <w:widowControl/>
              <w:jc w:val="center"/>
              <w:rPr>
                <w:rFonts w:hint="eastAsia" w:ascii="宋体" w:hAnsi="宋体" w:cs="宋体"/>
                <w:kern w:val="0"/>
                <w:szCs w:val="21"/>
              </w:rPr>
            </w:pPr>
          </w:p>
        </w:tc>
        <w:tc>
          <w:tcPr>
            <w:tcW w:w="1079" w:type="dxa"/>
            <w:noWrap w:val="0"/>
            <w:vAlign w:val="center"/>
          </w:tcPr>
          <w:p w14:paraId="4D9999BD">
            <w:pPr>
              <w:widowControl/>
              <w:jc w:val="center"/>
              <w:rPr>
                <w:rFonts w:hint="eastAsia" w:ascii="宋体" w:hAnsi="宋体" w:cs="宋体"/>
                <w:kern w:val="0"/>
                <w:szCs w:val="21"/>
              </w:rPr>
            </w:pPr>
          </w:p>
        </w:tc>
      </w:tr>
      <w:tr w14:paraId="1F810B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30252D27">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302-1</w:t>
            </w:r>
          </w:p>
        </w:tc>
        <w:tc>
          <w:tcPr>
            <w:tcW w:w="4572" w:type="dxa"/>
            <w:noWrap w:val="0"/>
            <w:vAlign w:val="center"/>
          </w:tcPr>
          <w:p w14:paraId="411D55B6">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破板修复</w:t>
            </w:r>
          </w:p>
        </w:tc>
        <w:tc>
          <w:tcPr>
            <w:tcW w:w="899" w:type="dxa"/>
            <w:noWrap w:val="0"/>
            <w:vAlign w:val="center"/>
          </w:tcPr>
          <w:p w14:paraId="7ACAC7ED">
            <w:pPr>
              <w:jc w:val="center"/>
              <w:rPr>
                <w:rFonts w:hint="eastAsia" w:ascii="宋体" w:hAnsi="宋体" w:cs="宋体"/>
                <w:kern w:val="0"/>
                <w:sz w:val="21"/>
                <w:szCs w:val="21"/>
              </w:rPr>
            </w:pPr>
          </w:p>
        </w:tc>
        <w:tc>
          <w:tcPr>
            <w:tcW w:w="899" w:type="dxa"/>
            <w:noWrap w:val="0"/>
            <w:vAlign w:val="center"/>
          </w:tcPr>
          <w:p w14:paraId="1688315A">
            <w:pPr>
              <w:jc w:val="right"/>
              <w:rPr>
                <w:rFonts w:hint="eastAsia" w:ascii="宋体" w:hAnsi="宋体" w:cs="宋体"/>
                <w:kern w:val="0"/>
                <w:sz w:val="21"/>
                <w:szCs w:val="21"/>
              </w:rPr>
            </w:pPr>
          </w:p>
        </w:tc>
        <w:tc>
          <w:tcPr>
            <w:tcW w:w="1079" w:type="dxa"/>
            <w:noWrap w:val="0"/>
            <w:vAlign w:val="center"/>
          </w:tcPr>
          <w:p w14:paraId="797D4B5D">
            <w:pPr>
              <w:widowControl/>
              <w:jc w:val="center"/>
              <w:rPr>
                <w:rFonts w:hint="eastAsia" w:ascii="宋体" w:hAnsi="宋体" w:cs="宋体"/>
                <w:kern w:val="0"/>
                <w:szCs w:val="21"/>
              </w:rPr>
            </w:pPr>
          </w:p>
        </w:tc>
        <w:tc>
          <w:tcPr>
            <w:tcW w:w="1079" w:type="dxa"/>
            <w:noWrap w:val="0"/>
            <w:vAlign w:val="center"/>
          </w:tcPr>
          <w:p w14:paraId="637107B0">
            <w:pPr>
              <w:widowControl/>
              <w:jc w:val="center"/>
              <w:rPr>
                <w:rFonts w:hint="eastAsia" w:ascii="宋体" w:hAnsi="宋体" w:cs="宋体"/>
                <w:kern w:val="0"/>
                <w:szCs w:val="21"/>
              </w:rPr>
            </w:pPr>
          </w:p>
        </w:tc>
      </w:tr>
      <w:tr w14:paraId="1774AC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38002EFA">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-a</w:t>
            </w:r>
          </w:p>
        </w:tc>
        <w:tc>
          <w:tcPr>
            <w:tcW w:w="4572" w:type="dxa"/>
            <w:noWrap w:val="0"/>
            <w:vAlign w:val="center"/>
          </w:tcPr>
          <w:p w14:paraId="518B6A9E">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C40混凝土修复</w:t>
            </w:r>
          </w:p>
        </w:tc>
        <w:tc>
          <w:tcPr>
            <w:tcW w:w="899" w:type="dxa"/>
            <w:noWrap w:val="0"/>
            <w:vAlign w:val="center"/>
          </w:tcPr>
          <w:p w14:paraId="20676423">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m3</w:t>
            </w:r>
          </w:p>
        </w:tc>
        <w:tc>
          <w:tcPr>
            <w:tcW w:w="899" w:type="dxa"/>
            <w:noWrap w:val="0"/>
            <w:vAlign w:val="center"/>
          </w:tcPr>
          <w:p w14:paraId="721DC639">
            <w:pPr>
              <w:keepNext w:val="0"/>
              <w:keepLines w:val="0"/>
              <w:widowControl/>
              <w:suppressLineNumbers w:val="0"/>
              <w:jc w:val="right"/>
              <w:textAlignment w:val="center"/>
              <w:rPr>
                <w:rFonts w:hint="eastAsia" w:ascii="宋体" w:hAnsi="宋体" w:cs="宋体"/>
                <w:kern w:val="0"/>
                <w:sz w:val="21"/>
                <w:szCs w:val="21"/>
              </w:rPr>
            </w:pPr>
            <w:r>
              <w:rPr>
                <w:rFonts w:hint="default" w:ascii="Arial Narrow" w:hAnsi="Arial Narrow" w:eastAsia="Arial Narrow" w:cs="Arial Narrow"/>
                <w:i w:val="0"/>
                <w:iCs w:val="0"/>
                <w:color w:val="000000"/>
                <w:kern w:val="0"/>
                <w:sz w:val="21"/>
                <w:szCs w:val="21"/>
                <w:u w:val="none"/>
                <w:lang w:val="en-US" w:eastAsia="zh-CN" w:bidi="ar"/>
              </w:rPr>
              <w:t>100</w:t>
            </w:r>
          </w:p>
        </w:tc>
        <w:tc>
          <w:tcPr>
            <w:tcW w:w="1079" w:type="dxa"/>
            <w:noWrap w:val="0"/>
            <w:vAlign w:val="center"/>
          </w:tcPr>
          <w:p w14:paraId="26B95272">
            <w:pPr>
              <w:widowControl/>
              <w:jc w:val="center"/>
              <w:rPr>
                <w:rFonts w:hint="eastAsia" w:ascii="宋体" w:hAnsi="宋体" w:cs="宋体"/>
                <w:kern w:val="0"/>
                <w:szCs w:val="21"/>
              </w:rPr>
            </w:pPr>
          </w:p>
        </w:tc>
        <w:tc>
          <w:tcPr>
            <w:tcW w:w="1079" w:type="dxa"/>
            <w:noWrap w:val="0"/>
            <w:vAlign w:val="center"/>
          </w:tcPr>
          <w:p w14:paraId="27D3C018">
            <w:pPr>
              <w:widowControl/>
              <w:jc w:val="center"/>
              <w:rPr>
                <w:rFonts w:hint="eastAsia" w:ascii="宋体" w:hAnsi="宋体" w:cs="宋体"/>
                <w:kern w:val="0"/>
                <w:szCs w:val="21"/>
              </w:rPr>
            </w:pPr>
          </w:p>
        </w:tc>
      </w:tr>
      <w:tr w14:paraId="309AF5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63FB62D9">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-b</w:t>
            </w:r>
          </w:p>
        </w:tc>
        <w:tc>
          <w:tcPr>
            <w:tcW w:w="4572" w:type="dxa"/>
            <w:noWrap w:val="0"/>
            <w:vAlign w:val="center"/>
          </w:tcPr>
          <w:p w14:paraId="793AE6C0">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沥青混凝土路面局部小修（AC-13C)</w:t>
            </w:r>
          </w:p>
        </w:tc>
        <w:tc>
          <w:tcPr>
            <w:tcW w:w="899" w:type="dxa"/>
            <w:noWrap w:val="0"/>
            <w:vAlign w:val="center"/>
          </w:tcPr>
          <w:p w14:paraId="39E66AF0">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m3</w:t>
            </w:r>
          </w:p>
        </w:tc>
        <w:tc>
          <w:tcPr>
            <w:tcW w:w="899" w:type="dxa"/>
            <w:noWrap w:val="0"/>
            <w:vAlign w:val="center"/>
          </w:tcPr>
          <w:p w14:paraId="6DAC02EF">
            <w:pPr>
              <w:keepNext w:val="0"/>
              <w:keepLines w:val="0"/>
              <w:widowControl/>
              <w:suppressLineNumbers w:val="0"/>
              <w:jc w:val="right"/>
              <w:textAlignment w:val="center"/>
              <w:rPr>
                <w:rFonts w:hint="eastAsia" w:ascii="宋体" w:hAnsi="宋体" w:cs="宋体"/>
                <w:kern w:val="0"/>
                <w:sz w:val="21"/>
                <w:szCs w:val="21"/>
              </w:rPr>
            </w:pPr>
            <w:r>
              <w:rPr>
                <w:rFonts w:hint="default" w:ascii="Arial Narrow" w:hAnsi="Arial Narrow" w:eastAsia="Arial Narrow" w:cs="Arial Narrow"/>
                <w:i w:val="0"/>
                <w:iCs w:val="0"/>
                <w:color w:val="000000"/>
                <w:kern w:val="0"/>
                <w:sz w:val="21"/>
                <w:szCs w:val="21"/>
                <w:u w:val="none"/>
                <w:lang w:val="en-US" w:eastAsia="zh-CN" w:bidi="ar"/>
              </w:rPr>
              <w:t>420</w:t>
            </w:r>
          </w:p>
        </w:tc>
        <w:tc>
          <w:tcPr>
            <w:tcW w:w="1079" w:type="dxa"/>
            <w:noWrap w:val="0"/>
            <w:vAlign w:val="center"/>
          </w:tcPr>
          <w:p w14:paraId="3C6376E7">
            <w:pPr>
              <w:widowControl/>
              <w:jc w:val="center"/>
              <w:rPr>
                <w:rFonts w:hint="eastAsia" w:ascii="宋体" w:hAnsi="宋体" w:cs="宋体"/>
                <w:kern w:val="0"/>
                <w:szCs w:val="21"/>
              </w:rPr>
            </w:pPr>
          </w:p>
        </w:tc>
        <w:tc>
          <w:tcPr>
            <w:tcW w:w="1079" w:type="dxa"/>
            <w:noWrap w:val="0"/>
            <w:vAlign w:val="center"/>
          </w:tcPr>
          <w:p w14:paraId="609EF3BB">
            <w:pPr>
              <w:widowControl/>
              <w:jc w:val="center"/>
              <w:rPr>
                <w:rFonts w:hint="eastAsia" w:ascii="宋体" w:hAnsi="宋体" w:cs="宋体"/>
                <w:kern w:val="0"/>
                <w:szCs w:val="21"/>
              </w:rPr>
            </w:pPr>
          </w:p>
        </w:tc>
      </w:tr>
      <w:tr w14:paraId="240B9E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14CAA3BD">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-c</w:t>
            </w:r>
          </w:p>
        </w:tc>
        <w:tc>
          <w:tcPr>
            <w:tcW w:w="4572" w:type="dxa"/>
            <w:noWrap w:val="0"/>
            <w:vAlign w:val="center"/>
          </w:tcPr>
          <w:p w14:paraId="6492712E">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沥青混凝土路面大面积小修</w:t>
            </w:r>
          </w:p>
        </w:tc>
        <w:tc>
          <w:tcPr>
            <w:tcW w:w="899" w:type="dxa"/>
            <w:noWrap w:val="0"/>
            <w:vAlign w:val="center"/>
          </w:tcPr>
          <w:p w14:paraId="018C28AA">
            <w:pPr>
              <w:jc w:val="center"/>
              <w:rPr>
                <w:rFonts w:hint="eastAsia" w:ascii="宋体" w:hAnsi="宋体" w:cs="宋体"/>
                <w:kern w:val="0"/>
                <w:sz w:val="21"/>
                <w:szCs w:val="21"/>
              </w:rPr>
            </w:pPr>
          </w:p>
        </w:tc>
        <w:tc>
          <w:tcPr>
            <w:tcW w:w="899" w:type="dxa"/>
            <w:noWrap w:val="0"/>
            <w:vAlign w:val="center"/>
          </w:tcPr>
          <w:p w14:paraId="1842DEF2">
            <w:pPr>
              <w:jc w:val="right"/>
              <w:rPr>
                <w:rFonts w:hint="eastAsia" w:ascii="宋体" w:hAnsi="宋体" w:cs="宋体"/>
                <w:kern w:val="0"/>
                <w:sz w:val="21"/>
                <w:szCs w:val="21"/>
              </w:rPr>
            </w:pPr>
          </w:p>
        </w:tc>
        <w:tc>
          <w:tcPr>
            <w:tcW w:w="1079" w:type="dxa"/>
            <w:noWrap w:val="0"/>
            <w:vAlign w:val="center"/>
          </w:tcPr>
          <w:p w14:paraId="39131CE4">
            <w:pPr>
              <w:widowControl/>
              <w:jc w:val="center"/>
              <w:rPr>
                <w:rFonts w:hint="eastAsia" w:ascii="宋体" w:hAnsi="宋体" w:cs="宋体"/>
                <w:kern w:val="0"/>
                <w:szCs w:val="21"/>
              </w:rPr>
            </w:pPr>
          </w:p>
        </w:tc>
        <w:tc>
          <w:tcPr>
            <w:tcW w:w="1079" w:type="dxa"/>
            <w:noWrap w:val="0"/>
            <w:vAlign w:val="center"/>
          </w:tcPr>
          <w:p w14:paraId="0C2CAA2C">
            <w:pPr>
              <w:widowControl/>
              <w:jc w:val="center"/>
              <w:rPr>
                <w:rFonts w:hint="eastAsia" w:ascii="宋体" w:hAnsi="宋体" w:cs="宋体"/>
                <w:kern w:val="0"/>
                <w:szCs w:val="21"/>
              </w:rPr>
            </w:pPr>
          </w:p>
        </w:tc>
      </w:tr>
      <w:tr w14:paraId="6AD443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0C42D1B6">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-c1</w:t>
            </w:r>
          </w:p>
        </w:tc>
        <w:tc>
          <w:tcPr>
            <w:tcW w:w="4572" w:type="dxa"/>
            <w:noWrap w:val="0"/>
            <w:vAlign w:val="center"/>
          </w:tcPr>
          <w:p w14:paraId="01E49816">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普通热拌沥青混凝土（AC-13C)</w:t>
            </w:r>
          </w:p>
        </w:tc>
        <w:tc>
          <w:tcPr>
            <w:tcW w:w="899" w:type="dxa"/>
            <w:noWrap w:val="0"/>
            <w:vAlign w:val="center"/>
          </w:tcPr>
          <w:p w14:paraId="112D4A8D">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m3</w:t>
            </w:r>
          </w:p>
        </w:tc>
        <w:tc>
          <w:tcPr>
            <w:tcW w:w="899" w:type="dxa"/>
            <w:noWrap w:val="0"/>
            <w:vAlign w:val="center"/>
          </w:tcPr>
          <w:p w14:paraId="504ECDF4">
            <w:pPr>
              <w:keepNext w:val="0"/>
              <w:keepLines w:val="0"/>
              <w:widowControl/>
              <w:suppressLineNumbers w:val="0"/>
              <w:jc w:val="right"/>
              <w:textAlignment w:val="center"/>
              <w:rPr>
                <w:rFonts w:hint="eastAsia" w:ascii="宋体" w:hAnsi="宋体" w:cs="宋体"/>
                <w:kern w:val="0"/>
                <w:sz w:val="21"/>
                <w:szCs w:val="21"/>
              </w:rPr>
            </w:pPr>
            <w:r>
              <w:rPr>
                <w:rFonts w:hint="default" w:ascii="Arial Narrow" w:hAnsi="Arial Narrow" w:eastAsia="Arial Narrow" w:cs="Arial Narrow"/>
                <w:i w:val="0"/>
                <w:iCs w:val="0"/>
                <w:color w:val="000000"/>
                <w:kern w:val="0"/>
                <w:sz w:val="21"/>
                <w:szCs w:val="21"/>
                <w:u w:val="none"/>
                <w:lang w:val="en-US" w:eastAsia="zh-CN" w:bidi="ar"/>
              </w:rPr>
              <w:t>780</w:t>
            </w:r>
          </w:p>
        </w:tc>
        <w:tc>
          <w:tcPr>
            <w:tcW w:w="1079" w:type="dxa"/>
            <w:noWrap w:val="0"/>
            <w:vAlign w:val="center"/>
          </w:tcPr>
          <w:p w14:paraId="38C14950">
            <w:pPr>
              <w:widowControl/>
              <w:jc w:val="center"/>
              <w:rPr>
                <w:rFonts w:hint="eastAsia" w:ascii="宋体" w:hAnsi="宋体" w:cs="宋体"/>
                <w:kern w:val="0"/>
                <w:szCs w:val="21"/>
              </w:rPr>
            </w:pPr>
          </w:p>
        </w:tc>
        <w:tc>
          <w:tcPr>
            <w:tcW w:w="1079" w:type="dxa"/>
            <w:noWrap w:val="0"/>
            <w:vAlign w:val="center"/>
          </w:tcPr>
          <w:p w14:paraId="28005E98">
            <w:pPr>
              <w:widowControl/>
              <w:jc w:val="center"/>
              <w:rPr>
                <w:rFonts w:hint="eastAsia" w:ascii="宋体" w:hAnsi="宋体" w:cs="宋体"/>
                <w:kern w:val="0"/>
                <w:szCs w:val="21"/>
              </w:rPr>
            </w:pPr>
          </w:p>
        </w:tc>
      </w:tr>
      <w:tr w14:paraId="031A19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49744A86">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-c2</w:t>
            </w:r>
          </w:p>
        </w:tc>
        <w:tc>
          <w:tcPr>
            <w:tcW w:w="4572" w:type="dxa"/>
            <w:noWrap w:val="0"/>
            <w:vAlign w:val="center"/>
          </w:tcPr>
          <w:p w14:paraId="67DEEE26">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普通热拌沥青混凝土(AC-20C)</w:t>
            </w:r>
          </w:p>
        </w:tc>
        <w:tc>
          <w:tcPr>
            <w:tcW w:w="899" w:type="dxa"/>
            <w:noWrap w:val="0"/>
            <w:vAlign w:val="center"/>
          </w:tcPr>
          <w:p w14:paraId="1BC28FED">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m3</w:t>
            </w:r>
          </w:p>
        </w:tc>
        <w:tc>
          <w:tcPr>
            <w:tcW w:w="899" w:type="dxa"/>
            <w:noWrap w:val="0"/>
            <w:vAlign w:val="center"/>
          </w:tcPr>
          <w:p w14:paraId="3DEA8E39">
            <w:pPr>
              <w:keepNext w:val="0"/>
              <w:keepLines w:val="0"/>
              <w:widowControl/>
              <w:suppressLineNumbers w:val="0"/>
              <w:jc w:val="right"/>
              <w:textAlignment w:val="center"/>
              <w:rPr>
                <w:rFonts w:hint="eastAsia" w:ascii="宋体" w:hAnsi="宋体" w:cs="宋体"/>
                <w:kern w:val="0"/>
                <w:sz w:val="21"/>
                <w:szCs w:val="21"/>
              </w:rPr>
            </w:pPr>
            <w:r>
              <w:rPr>
                <w:rFonts w:hint="default" w:ascii="Arial Narrow" w:hAnsi="Arial Narrow" w:eastAsia="Arial Narrow" w:cs="Arial Narrow"/>
                <w:i w:val="0"/>
                <w:iCs w:val="0"/>
                <w:color w:val="000000"/>
                <w:kern w:val="0"/>
                <w:sz w:val="21"/>
                <w:szCs w:val="21"/>
                <w:u w:val="none"/>
                <w:lang w:val="en-US" w:eastAsia="zh-CN" w:bidi="ar"/>
              </w:rPr>
              <w:t>450</w:t>
            </w:r>
          </w:p>
        </w:tc>
        <w:tc>
          <w:tcPr>
            <w:tcW w:w="1079" w:type="dxa"/>
            <w:noWrap w:val="0"/>
            <w:vAlign w:val="center"/>
          </w:tcPr>
          <w:p w14:paraId="499059DA">
            <w:pPr>
              <w:widowControl/>
              <w:jc w:val="center"/>
              <w:rPr>
                <w:rFonts w:hint="eastAsia" w:ascii="宋体" w:hAnsi="宋体" w:cs="宋体"/>
                <w:kern w:val="0"/>
                <w:szCs w:val="21"/>
              </w:rPr>
            </w:pPr>
          </w:p>
        </w:tc>
        <w:tc>
          <w:tcPr>
            <w:tcW w:w="1079" w:type="dxa"/>
            <w:noWrap w:val="0"/>
            <w:vAlign w:val="center"/>
          </w:tcPr>
          <w:p w14:paraId="6FB0D3A5">
            <w:pPr>
              <w:widowControl/>
              <w:jc w:val="center"/>
              <w:rPr>
                <w:rFonts w:hint="eastAsia" w:ascii="宋体" w:hAnsi="宋体" w:cs="宋体"/>
                <w:kern w:val="0"/>
                <w:szCs w:val="21"/>
              </w:rPr>
            </w:pPr>
          </w:p>
        </w:tc>
      </w:tr>
      <w:tr w14:paraId="1526DC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16559FA7">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-c3</w:t>
            </w:r>
          </w:p>
        </w:tc>
        <w:tc>
          <w:tcPr>
            <w:tcW w:w="4572" w:type="dxa"/>
            <w:noWrap w:val="0"/>
            <w:vAlign w:val="center"/>
          </w:tcPr>
          <w:p w14:paraId="57A31035">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普通热拌沥青混凝土(ATB-25)</w:t>
            </w:r>
          </w:p>
        </w:tc>
        <w:tc>
          <w:tcPr>
            <w:tcW w:w="899" w:type="dxa"/>
            <w:noWrap w:val="0"/>
            <w:vAlign w:val="center"/>
          </w:tcPr>
          <w:p w14:paraId="0D6A3E44">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m3</w:t>
            </w:r>
          </w:p>
        </w:tc>
        <w:tc>
          <w:tcPr>
            <w:tcW w:w="899" w:type="dxa"/>
            <w:noWrap w:val="0"/>
            <w:vAlign w:val="center"/>
          </w:tcPr>
          <w:p w14:paraId="493DC1D0">
            <w:pPr>
              <w:keepNext w:val="0"/>
              <w:keepLines w:val="0"/>
              <w:widowControl/>
              <w:suppressLineNumbers w:val="0"/>
              <w:jc w:val="right"/>
              <w:textAlignment w:val="center"/>
              <w:rPr>
                <w:rFonts w:hint="eastAsia" w:ascii="宋体" w:hAnsi="宋体" w:cs="宋体"/>
                <w:kern w:val="0"/>
                <w:sz w:val="21"/>
                <w:szCs w:val="21"/>
              </w:rPr>
            </w:pPr>
            <w:r>
              <w:rPr>
                <w:rFonts w:hint="default" w:ascii="Arial Narrow" w:hAnsi="Arial Narrow" w:eastAsia="Arial Narrow" w:cs="Arial Narrow"/>
                <w:i w:val="0"/>
                <w:iCs w:val="0"/>
                <w:color w:val="000000"/>
                <w:kern w:val="0"/>
                <w:sz w:val="21"/>
                <w:szCs w:val="21"/>
                <w:u w:val="none"/>
                <w:lang w:val="en-US" w:eastAsia="zh-CN" w:bidi="ar"/>
              </w:rPr>
              <w:t>220</w:t>
            </w:r>
          </w:p>
        </w:tc>
        <w:tc>
          <w:tcPr>
            <w:tcW w:w="1079" w:type="dxa"/>
            <w:noWrap w:val="0"/>
            <w:vAlign w:val="center"/>
          </w:tcPr>
          <w:p w14:paraId="46530744">
            <w:pPr>
              <w:widowControl/>
              <w:jc w:val="center"/>
              <w:rPr>
                <w:rFonts w:hint="eastAsia" w:ascii="宋体" w:hAnsi="宋体" w:cs="宋体"/>
                <w:kern w:val="0"/>
                <w:szCs w:val="21"/>
              </w:rPr>
            </w:pPr>
          </w:p>
        </w:tc>
        <w:tc>
          <w:tcPr>
            <w:tcW w:w="1079" w:type="dxa"/>
            <w:noWrap w:val="0"/>
            <w:vAlign w:val="center"/>
          </w:tcPr>
          <w:p w14:paraId="0D86D3F8">
            <w:pPr>
              <w:widowControl/>
              <w:jc w:val="center"/>
              <w:rPr>
                <w:rFonts w:hint="eastAsia" w:ascii="宋体" w:hAnsi="宋体" w:cs="宋体"/>
                <w:kern w:val="0"/>
                <w:szCs w:val="21"/>
              </w:rPr>
            </w:pPr>
          </w:p>
        </w:tc>
      </w:tr>
      <w:tr w14:paraId="4EB392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6B35A9AE">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-c4</w:t>
            </w:r>
          </w:p>
        </w:tc>
        <w:tc>
          <w:tcPr>
            <w:tcW w:w="4572" w:type="dxa"/>
            <w:noWrap w:val="0"/>
            <w:vAlign w:val="center"/>
          </w:tcPr>
          <w:p w14:paraId="1C726D46">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改性沥青混凝土(AC-13C SBS)</w:t>
            </w:r>
          </w:p>
        </w:tc>
        <w:tc>
          <w:tcPr>
            <w:tcW w:w="899" w:type="dxa"/>
            <w:noWrap w:val="0"/>
            <w:vAlign w:val="center"/>
          </w:tcPr>
          <w:p w14:paraId="468F9938">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m3</w:t>
            </w:r>
          </w:p>
        </w:tc>
        <w:tc>
          <w:tcPr>
            <w:tcW w:w="899" w:type="dxa"/>
            <w:noWrap w:val="0"/>
            <w:vAlign w:val="center"/>
          </w:tcPr>
          <w:p w14:paraId="4BD61D74">
            <w:pPr>
              <w:keepNext w:val="0"/>
              <w:keepLines w:val="0"/>
              <w:widowControl/>
              <w:suppressLineNumbers w:val="0"/>
              <w:jc w:val="right"/>
              <w:textAlignment w:val="center"/>
              <w:rPr>
                <w:rFonts w:hint="eastAsia" w:ascii="宋体" w:hAnsi="宋体" w:cs="宋体"/>
                <w:kern w:val="0"/>
                <w:sz w:val="21"/>
                <w:szCs w:val="21"/>
              </w:rPr>
            </w:pPr>
            <w:r>
              <w:rPr>
                <w:rFonts w:hint="default" w:ascii="Arial Narrow" w:hAnsi="Arial Narrow" w:eastAsia="Arial Narrow" w:cs="Arial Narrow"/>
                <w:i w:val="0"/>
                <w:iCs w:val="0"/>
                <w:color w:val="000000"/>
                <w:kern w:val="0"/>
                <w:sz w:val="21"/>
                <w:szCs w:val="21"/>
                <w:u w:val="none"/>
                <w:lang w:val="en-US" w:eastAsia="zh-CN" w:bidi="ar"/>
              </w:rPr>
              <w:t>220</w:t>
            </w:r>
          </w:p>
        </w:tc>
        <w:tc>
          <w:tcPr>
            <w:tcW w:w="1079" w:type="dxa"/>
            <w:noWrap w:val="0"/>
            <w:vAlign w:val="center"/>
          </w:tcPr>
          <w:p w14:paraId="17E54303">
            <w:pPr>
              <w:widowControl/>
              <w:jc w:val="center"/>
              <w:rPr>
                <w:rFonts w:hint="eastAsia" w:ascii="宋体" w:hAnsi="宋体" w:cs="宋体"/>
                <w:kern w:val="0"/>
                <w:szCs w:val="21"/>
              </w:rPr>
            </w:pPr>
          </w:p>
        </w:tc>
        <w:tc>
          <w:tcPr>
            <w:tcW w:w="1079" w:type="dxa"/>
            <w:noWrap w:val="0"/>
            <w:vAlign w:val="center"/>
          </w:tcPr>
          <w:p w14:paraId="3FF70032">
            <w:pPr>
              <w:widowControl/>
              <w:jc w:val="center"/>
              <w:rPr>
                <w:rFonts w:hint="eastAsia" w:ascii="宋体" w:hAnsi="宋体" w:cs="宋体"/>
                <w:kern w:val="0"/>
                <w:szCs w:val="21"/>
              </w:rPr>
            </w:pPr>
          </w:p>
        </w:tc>
      </w:tr>
      <w:tr w14:paraId="011346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3FEAE465">
            <w:pPr>
              <w:keepNext w:val="0"/>
              <w:keepLines w:val="0"/>
              <w:widowControl/>
              <w:suppressLineNumbers w:val="0"/>
              <w:jc w:val="center"/>
              <w:textAlignment w:val="center"/>
              <w:rPr>
                <w:rFonts w:hint="eastAsia" w:ascii="宋体" w:hAnsi="宋体" w:eastAsia="宋体" w:cs="宋体"/>
                <w:kern w:val="0"/>
                <w:sz w:val="21"/>
                <w:szCs w:val="21"/>
                <w:lang w:eastAsia="zh-CN"/>
              </w:rPr>
            </w:pPr>
            <w:r>
              <w:rPr>
                <w:rFonts w:hint="eastAsia" w:ascii="宋体" w:hAnsi="宋体" w:eastAsia="宋体" w:cs="宋体"/>
                <w:i w:val="0"/>
                <w:iCs w:val="0"/>
                <w:color w:val="000000"/>
                <w:kern w:val="0"/>
                <w:sz w:val="21"/>
                <w:szCs w:val="21"/>
                <w:u w:val="none"/>
                <w:lang w:val="en-US" w:eastAsia="zh-CN" w:bidi="ar"/>
              </w:rPr>
              <w:t>-c5</w:t>
            </w:r>
          </w:p>
        </w:tc>
        <w:tc>
          <w:tcPr>
            <w:tcW w:w="4572" w:type="dxa"/>
            <w:noWrap w:val="0"/>
            <w:vAlign w:val="center"/>
          </w:tcPr>
          <w:p w14:paraId="348F8CC9">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改性沥青混凝土(SMA-13）</w:t>
            </w:r>
          </w:p>
        </w:tc>
        <w:tc>
          <w:tcPr>
            <w:tcW w:w="899" w:type="dxa"/>
            <w:noWrap w:val="0"/>
            <w:vAlign w:val="center"/>
          </w:tcPr>
          <w:p w14:paraId="7E3368AC">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m3</w:t>
            </w:r>
          </w:p>
        </w:tc>
        <w:tc>
          <w:tcPr>
            <w:tcW w:w="899" w:type="dxa"/>
            <w:noWrap w:val="0"/>
            <w:vAlign w:val="center"/>
          </w:tcPr>
          <w:p w14:paraId="082E05AA">
            <w:pPr>
              <w:keepNext w:val="0"/>
              <w:keepLines w:val="0"/>
              <w:widowControl/>
              <w:suppressLineNumbers w:val="0"/>
              <w:jc w:val="right"/>
              <w:textAlignment w:val="center"/>
              <w:rPr>
                <w:rFonts w:hint="eastAsia" w:ascii="宋体" w:hAnsi="宋体" w:cs="宋体"/>
                <w:kern w:val="0"/>
                <w:sz w:val="21"/>
                <w:szCs w:val="21"/>
              </w:rPr>
            </w:pPr>
            <w:r>
              <w:rPr>
                <w:rFonts w:hint="default" w:ascii="Arial Narrow" w:hAnsi="Arial Narrow" w:eastAsia="Arial Narrow" w:cs="Arial Narrow"/>
                <w:i w:val="0"/>
                <w:iCs w:val="0"/>
                <w:color w:val="000000"/>
                <w:kern w:val="0"/>
                <w:sz w:val="21"/>
                <w:szCs w:val="21"/>
                <w:u w:val="none"/>
                <w:lang w:val="en-US" w:eastAsia="zh-CN" w:bidi="ar"/>
              </w:rPr>
              <w:t>100</w:t>
            </w:r>
          </w:p>
        </w:tc>
        <w:tc>
          <w:tcPr>
            <w:tcW w:w="1079" w:type="dxa"/>
            <w:noWrap w:val="0"/>
            <w:vAlign w:val="center"/>
          </w:tcPr>
          <w:p w14:paraId="0CAE4A46">
            <w:pPr>
              <w:widowControl/>
              <w:jc w:val="center"/>
              <w:rPr>
                <w:rFonts w:hint="eastAsia" w:ascii="宋体" w:hAnsi="宋体" w:cs="宋体"/>
                <w:kern w:val="0"/>
                <w:szCs w:val="21"/>
              </w:rPr>
            </w:pPr>
          </w:p>
        </w:tc>
        <w:tc>
          <w:tcPr>
            <w:tcW w:w="1079" w:type="dxa"/>
            <w:noWrap w:val="0"/>
            <w:vAlign w:val="center"/>
          </w:tcPr>
          <w:p w14:paraId="7BFB660A">
            <w:pPr>
              <w:widowControl/>
              <w:jc w:val="center"/>
              <w:rPr>
                <w:rFonts w:hint="eastAsia" w:ascii="宋体" w:hAnsi="宋体" w:cs="宋体"/>
                <w:kern w:val="0"/>
                <w:szCs w:val="21"/>
              </w:rPr>
            </w:pPr>
          </w:p>
        </w:tc>
      </w:tr>
      <w:tr w14:paraId="0326F9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078F700E">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-d</w:t>
            </w:r>
          </w:p>
        </w:tc>
        <w:tc>
          <w:tcPr>
            <w:tcW w:w="4572" w:type="dxa"/>
            <w:noWrap w:val="0"/>
            <w:vAlign w:val="center"/>
          </w:tcPr>
          <w:p w14:paraId="19F4373D">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乳化沥青粘层</w:t>
            </w:r>
          </w:p>
        </w:tc>
        <w:tc>
          <w:tcPr>
            <w:tcW w:w="899" w:type="dxa"/>
            <w:noWrap w:val="0"/>
            <w:vAlign w:val="center"/>
          </w:tcPr>
          <w:p w14:paraId="516801E5">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m2</w:t>
            </w:r>
          </w:p>
        </w:tc>
        <w:tc>
          <w:tcPr>
            <w:tcW w:w="899" w:type="dxa"/>
            <w:noWrap w:val="0"/>
            <w:vAlign w:val="center"/>
          </w:tcPr>
          <w:p w14:paraId="38DFE153">
            <w:pPr>
              <w:keepNext w:val="0"/>
              <w:keepLines w:val="0"/>
              <w:widowControl/>
              <w:suppressLineNumbers w:val="0"/>
              <w:jc w:val="right"/>
              <w:textAlignment w:val="center"/>
              <w:rPr>
                <w:rFonts w:hint="eastAsia" w:ascii="宋体" w:hAnsi="宋体" w:cs="宋体"/>
                <w:kern w:val="0"/>
                <w:sz w:val="21"/>
                <w:szCs w:val="21"/>
              </w:rPr>
            </w:pPr>
            <w:r>
              <w:rPr>
                <w:rFonts w:hint="default" w:ascii="Arial Narrow" w:hAnsi="Arial Narrow" w:eastAsia="Arial Narrow" w:cs="Arial Narrow"/>
                <w:i w:val="0"/>
                <w:iCs w:val="0"/>
                <w:color w:val="000000"/>
                <w:kern w:val="0"/>
                <w:sz w:val="21"/>
                <w:szCs w:val="21"/>
                <w:u w:val="none"/>
                <w:lang w:val="en-US" w:eastAsia="zh-CN" w:bidi="ar"/>
              </w:rPr>
              <w:t>17500</w:t>
            </w:r>
          </w:p>
        </w:tc>
        <w:tc>
          <w:tcPr>
            <w:tcW w:w="1079" w:type="dxa"/>
            <w:noWrap w:val="0"/>
            <w:vAlign w:val="center"/>
          </w:tcPr>
          <w:p w14:paraId="5871DFDD">
            <w:pPr>
              <w:widowControl/>
              <w:jc w:val="center"/>
              <w:rPr>
                <w:rFonts w:hint="eastAsia" w:ascii="宋体" w:hAnsi="宋体" w:cs="宋体"/>
                <w:kern w:val="0"/>
                <w:szCs w:val="21"/>
              </w:rPr>
            </w:pPr>
          </w:p>
        </w:tc>
        <w:tc>
          <w:tcPr>
            <w:tcW w:w="1079" w:type="dxa"/>
            <w:noWrap w:val="0"/>
            <w:vAlign w:val="center"/>
          </w:tcPr>
          <w:p w14:paraId="0445463E">
            <w:pPr>
              <w:widowControl/>
              <w:jc w:val="center"/>
              <w:rPr>
                <w:rFonts w:hint="eastAsia" w:ascii="宋体" w:hAnsi="宋体" w:cs="宋体"/>
                <w:kern w:val="0"/>
                <w:szCs w:val="21"/>
              </w:rPr>
            </w:pPr>
          </w:p>
        </w:tc>
      </w:tr>
      <w:tr w14:paraId="42419A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12D64C66">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-e</w:t>
            </w:r>
          </w:p>
        </w:tc>
        <w:tc>
          <w:tcPr>
            <w:tcW w:w="4572" w:type="dxa"/>
            <w:noWrap w:val="0"/>
            <w:vAlign w:val="center"/>
          </w:tcPr>
          <w:p w14:paraId="6C54EBF0">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冷补沥青混凝土</w:t>
            </w:r>
          </w:p>
        </w:tc>
        <w:tc>
          <w:tcPr>
            <w:tcW w:w="899" w:type="dxa"/>
            <w:noWrap w:val="0"/>
            <w:vAlign w:val="center"/>
          </w:tcPr>
          <w:p w14:paraId="21E988CE">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m3</w:t>
            </w:r>
          </w:p>
        </w:tc>
        <w:tc>
          <w:tcPr>
            <w:tcW w:w="899" w:type="dxa"/>
            <w:noWrap w:val="0"/>
            <w:vAlign w:val="center"/>
          </w:tcPr>
          <w:p w14:paraId="4D35E4DE">
            <w:pPr>
              <w:keepNext w:val="0"/>
              <w:keepLines w:val="0"/>
              <w:widowControl/>
              <w:suppressLineNumbers w:val="0"/>
              <w:jc w:val="right"/>
              <w:textAlignment w:val="center"/>
              <w:rPr>
                <w:rFonts w:hint="eastAsia" w:ascii="宋体" w:hAnsi="宋体" w:cs="宋体"/>
                <w:kern w:val="0"/>
                <w:sz w:val="21"/>
                <w:szCs w:val="21"/>
              </w:rPr>
            </w:pPr>
            <w:r>
              <w:rPr>
                <w:rFonts w:hint="default" w:ascii="Arial Narrow" w:hAnsi="Arial Narrow" w:eastAsia="Arial Narrow" w:cs="Arial Narrow"/>
                <w:i w:val="0"/>
                <w:iCs w:val="0"/>
                <w:color w:val="000000"/>
                <w:kern w:val="0"/>
                <w:sz w:val="21"/>
                <w:szCs w:val="21"/>
                <w:u w:val="none"/>
                <w:lang w:val="en-US" w:eastAsia="zh-CN" w:bidi="ar"/>
              </w:rPr>
              <w:t>180</w:t>
            </w:r>
          </w:p>
        </w:tc>
        <w:tc>
          <w:tcPr>
            <w:tcW w:w="1079" w:type="dxa"/>
            <w:noWrap w:val="0"/>
            <w:vAlign w:val="center"/>
          </w:tcPr>
          <w:p w14:paraId="122202A0">
            <w:pPr>
              <w:widowControl/>
              <w:jc w:val="center"/>
              <w:rPr>
                <w:rFonts w:hint="eastAsia" w:ascii="宋体" w:hAnsi="宋体" w:cs="宋体"/>
                <w:kern w:val="0"/>
                <w:szCs w:val="21"/>
              </w:rPr>
            </w:pPr>
          </w:p>
        </w:tc>
        <w:tc>
          <w:tcPr>
            <w:tcW w:w="1079" w:type="dxa"/>
            <w:noWrap w:val="0"/>
            <w:vAlign w:val="center"/>
          </w:tcPr>
          <w:p w14:paraId="63B569F4">
            <w:pPr>
              <w:widowControl/>
              <w:jc w:val="center"/>
              <w:rPr>
                <w:rFonts w:hint="eastAsia" w:ascii="宋体" w:hAnsi="宋体" w:cs="宋体"/>
                <w:kern w:val="0"/>
                <w:szCs w:val="21"/>
              </w:rPr>
            </w:pPr>
          </w:p>
        </w:tc>
      </w:tr>
      <w:tr w14:paraId="196A8E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11E07493">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-f</w:t>
            </w:r>
          </w:p>
        </w:tc>
        <w:tc>
          <w:tcPr>
            <w:tcW w:w="4572" w:type="dxa"/>
            <w:noWrap w:val="0"/>
            <w:vAlign w:val="center"/>
          </w:tcPr>
          <w:p w14:paraId="2338BD6A">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灌入式沥青砼（SBS）</w:t>
            </w:r>
          </w:p>
        </w:tc>
        <w:tc>
          <w:tcPr>
            <w:tcW w:w="899" w:type="dxa"/>
            <w:noWrap w:val="0"/>
            <w:vAlign w:val="center"/>
          </w:tcPr>
          <w:p w14:paraId="274A7410">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m3</w:t>
            </w:r>
          </w:p>
        </w:tc>
        <w:tc>
          <w:tcPr>
            <w:tcW w:w="899" w:type="dxa"/>
            <w:noWrap w:val="0"/>
            <w:vAlign w:val="center"/>
          </w:tcPr>
          <w:p w14:paraId="16A331A0">
            <w:pPr>
              <w:keepNext w:val="0"/>
              <w:keepLines w:val="0"/>
              <w:widowControl/>
              <w:suppressLineNumbers w:val="0"/>
              <w:jc w:val="right"/>
              <w:textAlignment w:val="center"/>
              <w:rPr>
                <w:rFonts w:hint="eastAsia" w:ascii="宋体" w:hAnsi="宋体" w:cs="宋体"/>
                <w:kern w:val="0"/>
                <w:sz w:val="21"/>
                <w:szCs w:val="21"/>
              </w:rPr>
            </w:pPr>
            <w:r>
              <w:rPr>
                <w:rFonts w:hint="default" w:ascii="Arial Narrow" w:hAnsi="Arial Narrow" w:eastAsia="Arial Narrow" w:cs="Arial Narrow"/>
                <w:i w:val="0"/>
                <w:iCs w:val="0"/>
                <w:color w:val="000000"/>
                <w:kern w:val="0"/>
                <w:sz w:val="21"/>
                <w:szCs w:val="21"/>
                <w:u w:val="none"/>
                <w:lang w:val="en-US" w:eastAsia="zh-CN" w:bidi="ar"/>
              </w:rPr>
              <w:t>50</w:t>
            </w:r>
          </w:p>
        </w:tc>
        <w:tc>
          <w:tcPr>
            <w:tcW w:w="1079" w:type="dxa"/>
            <w:noWrap w:val="0"/>
            <w:vAlign w:val="center"/>
          </w:tcPr>
          <w:p w14:paraId="3891EA89">
            <w:pPr>
              <w:widowControl/>
              <w:jc w:val="center"/>
              <w:rPr>
                <w:rFonts w:hint="eastAsia" w:ascii="宋体" w:hAnsi="宋体" w:cs="宋体"/>
                <w:kern w:val="0"/>
                <w:szCs w:val="21"/>
              </w:rPr>
            </w:pPr>
          </w:p>
        </w:tc>
        <w:tc>
          <w:tcPr>
            <w:tcW w:w="1079" w:type="dxa"/>
            <w:noWrap w:val="0"/>
            <w:vAlign w:val="center"/>
          </w:tcPr>
          <w:p w14:paraId="0267259F">
            <w:pPr>
              <w:widowControl/>
              <w:jc w:val="center"/>
              <w:rPr>
                <w:rFonts w:hint="eastAsia" w:ascii="宋体" w:hAnsi="宋体" w:cs="宋体"/>
                <w:kern w:val="0"/>
                <w:szCs w:val="21"/>
              </w:rPr>
            </w:pPr>
          </w:p>
        </w:tc>
      </w:tr>
      <w:tr w14:paraId="48E825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02C4F9B2">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-g</w:t>
            </w:r>
          </w:p>
        </w:tc>
        <w:tc>
          <w:tcPr>
            <w:tcW w:w="4572" w:type="dxa"/>
            <w:noWrap w:val="0"/>
            <w:vAlign w:val="center"/>
          </w:tcPr>
          <w:p w14:paraId="3B3DDE74">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1cm渗固磨耗层</w:t>
            </w:r>
          </w:p>
        </w:tc>
        <w:tc>
          <w:tcPr>
            <w:tcW w:w="899" w:type="dxa"/>
            <w:noWrap w:val="0"/>
            <w:vAlign w:val="center"/>
          </w:tcPr>
          <w:p w14:paraId="77C70DD0">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m2</w:t>
            </w:r>
          </w:p>
        </w:tc>
        <w:tc>
          <w:tcPr>
            <w:tcW w:w="899" w:type="dxa"/>
            <w:noWrap w:val="0"/>
            <w:vAlign w:val="center"/>
          </w:tcPr>
          <w:p w14:paraId="6BF4B5EE">
            <w:pPr>
              <w:keepNext w:val="0"/>
              <w:keepLines w:val="0"/>
              <w:widowControl/>
              <w:suppressLineNumbers w:val="0"/>
              <w:jc w:val="right"/>
              <w:textAlignment w:val="center"/>
              <w:rPr>
                <w:rFonts w:hint="eastAsia" w:ascii="宋体" w:hAnsi="宋体" w:cs="宋体"/>
                <w:kern w:val="0"/>
                <w:sz w:val="21"/>
                <w:szCs w:val="21"/>
              </w:rPr>
            </w:pPr>
            <w:r>
              <w:rPr>
                <w:rFonts w:hint="default" w:ascii="Arial Narrow" w:hAnsi="Arial Narrow" w:eastAsia="Arial Narrow" w:cs="Arial Narrow"/>
                <w:i w:val="0"/>
                <w:iCs w:val="0"/>
                <w:color w:val="000000"/>
                <w:kern w:val="0"/>
                <w:sz w:val="21"/>
                <w:szCs w:val="21"/>
                <w:u w:val="none"/>
                <w:lang w:val="en-US" w:eastAsia="zh-CN" w:bidi="ar"/>
              </w:rPr>
              <w:t>300</w:t>
            </w:r>
          </w:p>
        </w:tc>
        <w:tc>
          <w:tcPr>
            <w:tcW w:w="1079" w:type="dxa"/>
            <w:noWrap w:val="0"/>
            <w:vAlign w:val="center"/>
          </w:tcPr>
          <w:p w14:paraId="7829FC39">
            <w:pPr>
              <w:widowControl/>
              <w:jc w:val="center"/>
              <w:rPr>
                <w:rFonts w:hint="eastAsia" w:ascii="宋体" w:hAnsi="宋体" w:cs="宋体"/>
                <w:kern w:val="0"/>
                <w:szCs w:val="21"/>
              </w:rPr>
            </w:pPr>
          </w:p>
        </w:tc>
        <w:tc>
          <w:tcPr>
            <w:tcW w:w="1079" w:type="dxa"/>
            <w:noWrap w:val="0"/>
            <w:vAlign w:val="center"/>
          </w:tcPr>
          <w:p w14:paraId="2B5AD01F">
            <w:pPr>
              <w:widowControl/>
              <w:jc w:val="center"/>
              <w:rPr>
                <w:rFonts w:hint="eastAsia" w:ascii="宋体" w:hAnsi="宋体" w:cs="宋体"/>
                <w:kern w:val="0"/>
                <w:szCs w:val="21"/>
              </w:rPr>
            </w:pPr>
          </w:p>
        </w:tc>
      </w:tr>
      <w:tr w14:paraId="0B42BE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0F2DE61E">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-h</w:t>
            </w:r>
          </w:p>
        </w:tc>
        <w:tc>
          <w:tcPr>
            <w:tcW w:w="4572" w:type="dxa"/>
            <w:noWrap w:val="0"/>
            <w:vAlign w:val="center"/>
          </w:tcPr>
          <w:p w14:paraId="5C8190BC">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1.5cm超薄沥青磨耗层</w:t>
            </w:r>
          </w:p>
        </w:tc>
        <w:tc>
          <w:tcPr>
            <w:tcW w:w="899" w:type="dxa"/>
            <w:noWrap w:val="0"/>
            <w:vAlign w:val="center"/>
          </w:tcPr>
          <w:p w14:paraId="63F4C05A">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m2</w:t>
            </w:r>
          </w:p>
        </w:tc>
        <w:tc>
          <w:tcPr>
            <w:tcW w:w="899" w:type="dxa"/>
            <w:noWrap w:val="0"/>
            <w:vAlign w:val="center"/>
          </w:tcPr>
          <w:p w14:paraId="7F423262">
            <w:pPr>
              <w:keepNext w:val="0"/>
              <w:keepLines w:val="0"/>
              <w:widowControl/>
              <w:suppressLineNumbers w:val="0"/>
              <w:jc w:val="right"/>
              <w:textAlignment w:val="center"/>
              <w:rPr>
                <w:rFonts w:hint="eastAsia" w:ascii="宋体" w:hAnsi="宋体" w:cs="宋体"/>
                <w:kern w:val="0"/>
                <w:sz w:val="21"/>
                <w:szCs w:val="21"/>
              </w:rPr>
            </w:pPr>
            <w:r>
              <w:rPr>
                <w:rFonts w:hint="default" w:ascii="Arial Narrow" w:hAnsi="Arial Narrow" w:eastAsia="Arial Narrow" w:cs="Arial Narrow"/>
                <w:i w:val="0"/>
                <w:iCs w:val="0"/>
                <w:color w:val="000000"/>
                <w:kern w:val="0"/>
                <w:sz w:val="21"/>
                <w:szCs w:val="21"/>
                <w:u w:val="none"/>
                <w:lang w:val="en-US" w:eastAsia="zh-CN" w:bidi="ar"/>
              </w:rPr>
              <w:t>300</w:t>
            </w:r>
          </w:p>
        </w:tc>
        <w:tc>
          <w:tcPr>
            <w:tcW w:w="1079" w:type="dxa"/>
            <w:noWrap w:val="0"/>
            <w:vAlign w:val="center"/>
          </w:tcPr>
          <w:p w14:paraId="0F9010F2">
            <w:pPr>
              <w:widowControl/>
              <w:jc w:val="center"/>
              <w:rPr>
                <w:rFonts w:hint="eastAsia" w:ascii="宋体" w:hAnsi="宋体" w:cs="宋体"/>
                <w:kern w:val="0"/>
                <w:szCs w:val="21"/>
              </w:rPr>
            </w:pPr>
          </w:p>
        </w:tc>
        <w:tc>
          <w:tcPr>
            <w:tcW w:w="1079" w:type="dxa"/>
            <w:noWrap w:val="0"/>
            <w:vAlign w:val="center"/>
          </w:tcPr>
          <w:p w14:paraId="6CB4C3B0">
            <w:pPr>
              <w:widowControl/>
              <w:jc w:val="center"/>
              <w:rPr>
                <w:rFonts w:hint="eastAsia" w:ascii="宋体" w:hAnsi="宋体" w:cs="宋体"/>
                <w:kern w:val="0"/>
                <w:szCs w:val="21"/>
              </w:rPr>
            </w:pPr>
          </w:p>
        </w:tc>
      </w:tr>
      <w:tr w14:paraId="62E86F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7289657B">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302-2</w:t>
            </w:r>
          </w:p>
        </w:tc>
        <w:tc>
          <w:tcPr>
            <w:tcW w:w="4572" w:type="dxa"/>
            <w:noWrap w:val="0"/>
            <w:vAlign w:val="center"/>
          </w:tcPr>
          <w:p w14:paraId="6CC824EC">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地聚合物注浆</w:t>
            </w:r>
          </w:p>
        </w:tc>
        <w:tc>
          <w:tcPr>
            <w:tcW w:w="899" w:type="dxa"/>
            <w:noWrap w:val="0"/>
            <w:vAlign w:val="center"/>
          </w:tcPr>
          <w:p w14:paraId="66BE31E0">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m2</w:t>
            </w:r>
          </w:p>
        </w:tc>
        <w:tc>
          <w:tcPr>
            <w:tcW w:w="899" w:type="dxa"/>
            <w:noWrap w:val="0"/>
            <w:vAlign w:val="center"/>
          </w:tcPr>
          <w:p w14:paraId="20585A7A">
            <w:pPr>
              <w:keepNext w:val="0"/>
              <w:keepLines w:val="0"/>
              <w:widowControl/>
              <w:suppressLineNumbers w:val="0"/>
              <w:jc w:val="right"/>
              <w:textAlignment w:val="center"/>
              <w:rPr>
                <w:rFonts w:hint="eastAsia" w:ascii="宋体" w:hAnsi="宋体" w:cs="宋体"/>
                <w:kern w:val="0"/>
                <w:sz w:val="21"/>
                <w:szCs w:val="21"/>
              </w:rPr>
            </w:pPr>
            <w:r>
              <w:rPr>
                <w:rFonts w:hint="default" w:ascii="Arial Narrow" w:hAnsi="Arial Narrow" w:eastAsia="Arial Narrow" w:cs="Arial Narrow"/>
                <w:i w:val="0"/>
                <w:iCs w:val="0"/>
                <w:color w:val="000000"/>
                <w:kern w:val="0"/>
                <w:sz w:val="21"/>
                <w:szCs w:val="21"/>
                <w:u w:val="none"/>
                <w:lang w:val="en-US" w:eastAsia="zh-CN" w:bidi="ar"/>
              </w:rPr>
              <w:t>500</w:t>
            </w:r>
          </w:p>
        </w:tc>
        <w:tc>
          <w:tcPr>
            <w:tcW w:w="1079" w:type="dxa"/>
            <w:noWrap w:val="0"/>
            <w:vAlign w:val="center"/>
          </w:tcPr>
          <w:p w14:paraId="774460C5">
            <w:pPr>
              <w:widowControl/>
              <w:jc w:val="center"/>
              <w:rPr>
                <w:rFonts w:hint="eastAsia" w:ascii="宋体" w:hAnsi="宋体" w:cs="宋体"/>
                <w:kern w:val="0"/>
                <w:szCs w:val="21"/>
              </w:rPr>
            </w:pPr>
          </w:p>
        </w:tc>
        <w:tc>
          <w:tcPr>
            <w:tcW w:w="1079" w:type="dxa"/>
            <w:noWrap w:val="0"/>
            <w:vAlign w:val="center"/>
          </w:tcPr>
          <w:p w14:paraId="2BDD7326">
            <w:pPr>
              <w:widowControl/>
              <w:jc w:val="center"/>
              <w:rPr>
                <w:rFonts w:hint="eastAsia" w:ascii="宋体" w:hAnsi="宋体" w:cs="宋体"/>
                <w:kern w:val="0"/>
                <w:szCs w:val="21"/>
              </w:rPr>
            </w:pPr>
          </w:p>
        </w:tc>
      </w:tr>
      <w:tr w14:paraId="0215BE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76357098">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303</w:t>
            </w:r>
          </w:p>
        </w:tc>
        <w:tc>
          <w:tcPr>
            <w:tcW w:w="4572" w:type="dxa"/>
            <w:noWrap w:val="0"/>
            <w:vAlign w:val="center"/>
          </w:tcPr>
          <w:p w14:paraId="5F59A432">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沥青混凝土路面维修</w:t>
            </w:r>
          </w:p>
        </w:tc>
        <w:tc>
          <w:tcPr>
            <w:tcW w:w="899" w:type="dxa"/>
            <w:noWrap w:val="0"/>
            <w:vAlign w:val="center"/>
          </w:tcPr>
          <w:p w14:paraId="7FE811ED">
            <w:pPr>
              <w:jc w:val="center"/>
              <w:rPr>
                <w:rFonts w:hint="eastAsia" w:ascii="宋体" w:hAnsi="宋体" w:cs="宋体"/>
                <w:kern w:val="0"/>
                <w:sz w:val="21"/>
                <w:szCs w:val="21"/>
              </w:rPr>
            </w:pPr>
          </w:p>
        </w:tc>
        <w:tc>
          <w:tcPr>
            <w:tcW w:w="899" w:type="dxa"/>
            <w:noWrap w:val="0"/>
            <w:vAlign w:val="center"/>
          </w:tcPr>
          <w:p w14:paraId="0593C584">
            <w:pPr>
              <w:jc w:val="right"/>
              <w:rPr>
                <w:rFonts w:hint="eastAsia" w:ascii="宋体" w:hAnsi="宋体" w:cs="宋体"/>
                <w:kern w:val="0"/>
                <w:sz w:val="21"/>
                <w:szCs w:val="21"/>
              </w:rPr>
            </w:pPr>
          </w:p>
        </w:tc>
        <w:tc>
          <w:tcPr>
            <w:tcW w:w="1079" w:type="dxa"/>
            <w:noWrap w:val="0"/>
            <w:vAlign w:val="center"/>
          </w:tcPr>
          <w:p w14:paraId="60B34AD2">
            <w:pPr>
              <w:widowControl/>
              <w:jc w:val="center"/>
              <w:rPr>
                <w:rFonts w:hint="eastAsia" w:ascii="宋体" w:hAnsi="宋体" w:cs="宋体"/>
                <w:kern w:val="0"/>
                <w:szCs w:val="21"/>
              </w:rPr>
            </w:pPr>
          </w:p>
        </w:tc>
        <w:tc>
          <w:tcPr>
            <w:tcW w:w="1079" w:type="dxa"/>
            <w:noWrap w:val="0"/>
            <w:vAlign w:val="center"/>
          </w:tcPr>
          <w:p w14:paraId="4C08DD57">
            <w:pPr>
              <w:widowControl/>
              <w:jc w:val="center"/>
              <w:rPr>
                <w:rFonts w:hint="eastAsia" w:ascii="宋体" w:hAnsi="宋体" w:cs="宋体"/>
                <w:kern w:val="0"/>
                <w:szCs w:val="21"/>
              </w:rPr>
            </w:pPr>
          </w:p>
        </w:tc>
      </w:tr>
      <w:tr w14:paraId="5AE57A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2E57D0A6">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303-1</w:t>
            </w:r>
          </w:p>
        </w:tc>
        <w:tc>
          <w:tcPr>
            <w:tcW w:w="4572" w:type="dxa"/>
            <w:noWrap w:val="0"/>
            <w:vAlign w:val="center"/>
          </w:tcPr>
          <w:p w14:paraId="13F75057">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纵横向裂缝维修</w:t>
            </w:r>
          </w:p>
        </w:tc>
        <w:tc>
          <w:tcPr>
            <w:tcW w:w="899" w:type="dxa"/>
            <w:noWrap w:val="0"/>
            <w:vAlign w:val="center"/>
          </w:tcPr>
          <w:p w14:paraId="5FCD7066">
            <w:pPr>
              <w:jc w:val="center"/>
              <w:rPr>
                <w:rFonts w:hint="eastAsia" w:ascii="宋体" w:hAnsi="宋体" w:cs="宋体"/>
                <w:kern w:val="0"/>
                <w:sz w:val="21"/>
                <w:szCs w:val="21"/>
              </w:rPr>
            </w:pPr>
          </w:p>
        </w:tc>
        <w:tc>
          <w:tcPr>
            <w:tcW w:w="899" w:type="dxa"/>
            <w:noWrap w:val="0"/>
            <w:vAlign w:val="center"/>
          </w:tcPr>
          <w:p w14:paraId="526DD583">
            <w:pPr>
              <w:jc w:val="right"/>
              <w:rPr>
                <w:rFonts w:hint="eastAsia" w:ascii="宋体" w:hAnsi="宋体" w:cs="宋体"/>
                <w:kern w:val="0"/>
                <w:sz w:val="21"/>
                <w:szCs w:val="21"/>
              </w:rPr>
            </w:pPr>
          </w:p>
        </w:tc>
        <w:tc>
          <w:tcPr>
            <w:tcW w:w="1079" w:type="dxa"/>
            <w:noWrap w:val="0"/>
            <w:vAlign w:val="center"/>
          </w:tcPr>
          <w:p w14:paraId="656A347B">
            <w:pPr>
              <w:widowControl/>
              <w:jc w:val="center"/>
              <w:rPr>
                <w:rFonts w:hint="eastAsia" w:ascii="宋体" w:hAnsi="宋体" w:cs="宋体"/>
                <w:kern w:val="0"/>
                <w:szCs w:val="21"/>
              </w:rPr>
            </w:pPr>
          </w:p>
        </w:tc>
        <w:tc>
          <w:tcPr>
            <w:tcW w:w="1079" w:type="dxa"/>
            <w:noWrap w:val="0"/>
            <w:vAlign w:val="center"/>
          </w:tcPr>
          <w:p w14:paraId="0FCEC37B">
            <w:pPr>
              <w:widowControl/>
              <w:jc w:val="center"/>
              <w:rPr>
                <w:rFonts w:hint="eastAsia" w:ascii="宋体" w:hAnsi="宋体" w:cs="宋体"/>
                <w:kern w:val="0"/>
                <w:szCs w:val="21"/>
              </w:rPr>
            </w:pPr>
          </w:p>
        </w:tc>
      </w:tr>
      <w:tr w14:paraId="7D0C3A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7459454C">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-a</w:t>
            </w:r>
          </w:p>
        </w:tc>
        <w:tc>
          <w:tcPr>
            <w:tcW w:w="4572" w:type="dxa"/>
            <w:noWrap w:val="0"/>
            <w:vAlign w:val="center"/>
          </w:tcPr>
          <w:p w14:paraId="0C9049FC">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裂缝灌缝</w:t>
            </w:r>
          </w:p>
        </w:tc>
        <w:tc>
          <w:tcPr>
            <w:tcW w:w="899" w:type="dxa"/>
            <w:noWrap w:val="0"/>
            <w:vAlign w:val="center"/>
          </w:tcPr>
          <w:p w14:paraId="4E7F712F">
            <w:pPr>
              <w:jc w:val="center"/>
              <w:rPr>
                <w:rFonts w:hint="eastAsia" w:ascii="宋体" w:hAnsi="宋体" w:cs="宋体"/>
                <w:kern w:val="0"/>
                <w:sz w:val="21"/>
                <w:szCs w:val="21"/>
              </w:rPr>
            </w:pPr>
          </w:p>
        </w:tc>
        <w:tc>
          <w:tcPr>
            <w:tcW w:w="899" w:type="dxa"/>
            <w:noWrap w:val="0"/>
            <w:vAlign w:val="center"/>
          </w:tcPr>
          <w:p w14:paraId="2C03673C">
            <w:pPr>
              <w:jc w:val="right"/>
              <w:rPr>
                <w:rFonts w:hint="eastAsia" w:ascii="宋体" w:hAnsi="宋体" w:cs="宋体"/>
                <w:kern w:val="0"/>
                <w:sz w:val="21"/>
                <w:szCs w:val="21"/>
              </w:rPr>
            </w:pPr>
          </w:p>
        </w:tc>
        <w:tc>
          <w:tcPr>
            <w:tcW w:w="1079" w:type="dxa"/>
            <w:noWrap w:val="0"/>
            <w:vAlign w:val="center"/>
          </w:tcPr>
          <w:p w14:paraId="41CC9F43">
            <w:pPr>
              <w:widowControl/>
              <w:jc w:val="center"/>
              <w:rPr>
                <w:rFonts w:hint="eastAsia" w:ascii="宋体" w:hAnsi="宋体" w:cs="宋体"/>
                <w:kern w:val="0"/>
                <w:szCs w:val="21"/>
              </w:rPr>
            </w:pPr>
          </w:p>
        </w:tc>
        <w:tc>
          <w:tcPr>
            <w:tcW w:w="1079" w:type="dxa"/>
            <w:noWrap w:val="0"/>
            <w:vAlign w:val="center"/>
          </w:tcPr>
          <w:p w14:paraId="5597B2B3">
            <w:pPr>
              <w:widowControl/>
              <w:jc w:val="center"/>
              <w:rPr>
                <w:rFonts w:hint="eastAsia" w:ascii="宋体" w:hAnsi="宋体" w:cs="宋体"/>
                <w:kern w:val="0"/>
                <w:szCs w:val="21"/>
              </w:rPr>
            </w:pPr>
          </w:p>
        </w:tc>
      </w:tr>
    </w:tbl>
    <w:p w14:paraId="20A77FD1">
      <w:pPr>
        <w:spacing w:before="240" w:beforeLines="100" w:after="240" w:afterLines="100"/>
        <w:jc w:val="center"/>
        <w:rPr>
          <w:rFonts w:hint="eastAsia" w:ascii="黑体" w:hAnsi="宋体" w:eastAsia="黑体"/>
          <w:sz w:val="30"/>
          <w:szCs w:val="30"/>
        </w:rPr>
      </w:pPr>
      <w:r>
        <w:rPr>
          <w:rFonts w:hint="eastAsia" w:ascii="黑体" w:hAnsi="宋体" w:eastAsia="黑体"/>
          <w:sz w:val="30"/>
          <w:szCs w:val="30"/>
        </w:rPr>
        <w:t>工程量清单</w:t>
      </w:r>
    </w:p>
    <w:p w14:paraId="283343DB">
      <w:pPr>
        <w:pStyle w:val="50"/>
        <w:ind w:left="0" w:leftChars="0" w:firstLine="0" w:firstLine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标项</w:t>
      </w: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w:t>
      </w:r>
      <w:r>
        <w:rPr>
          <w:rFonts w:hint="eastAsia" w:asciiTheme="minorEastAsia" w:hAnsiTheme="minorEastAsia" w:cstheme="minorEastAsia"/>
          <w:sz w:val="24"/>
          <w:szCs w:val="24"/>
          <w:lang w:eastAsia="zh-CN"/>
        </w:rPr>
        <w:t>2026年秀洲区县道及以上公路小修及应急抢险项目</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第一</w:t>
      </w:r>
      <w:r>
        <w:rPr>
          <w:rFonts w:hint="eastAsia" w:asciiTheme="minorEastAsia" w:hAnsiTheme="minorEastAsia" w:eastAsiaTheme="minorEastAsia" w:cstheme="minorEastAsia"/>
          <w:sz w:val="24"/>
          <w:szCs w:val="24"/>
          <w:lang w:eastAsia="zh-CN"/>
        </w:rPr>
        <w:t>标段）</w:t>
      </w:r>
    </w:p>
    <w:p w14:paraId="14CF8646">
      <w:pPr>
        <w:pStyle w:val="50"/>
        <w:ind w:left="0" w:leftChars="0" w:firstLine="0" w:firstLineChars="0"/>
        <w:rPr>
          <w:rFonts w:hint="eastAsia" w:ascii="黑体" w:hAnsi="宋体" w:eastAsia="黑体"/>
          <w:sz w:val="30"/>
          <w:szCs w:val="30"/>
        </w:rPr>
      </w:pPr>
      <w:r>
        <w:rPr>
          <w:rFonts w:hint="eastAsia" w:asciiTheme="minorEastAsia" w:hAnsiTheme="minorEastAsia" w:eastAsiaTheme="minorEastAsia" w:cstheme="minorEastAsia"/>
          <w:sz w:val="24"/>
          <w:szCs w:val="24"/>
        </w:rPr>
        <w:t>货币单位：人民币元</w:t>
      </w:r>
    </w:p>
    <w:tbl>
      <w:tblPr>
        <w:tblStyle w:val="51"/>
        <w:tblW w:w="946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40"/>
        <w:gridCol w:w="4572"/>
        <w:gridCol w:w="899"/>
        <w:gridCol w:w="899"/>
        <w:gridCol w:w="1079"/>
        <w:gridCol w:w="1079"/>
      </w:tblGrid>
      <w:tr w14:paraId="489F5A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68" w:type="dxa"/>
            <w:gridSpan w:val="6"/>
            <w:noWrap w:val="0"/>
            <w:vAlign w:val="center"/>
          </w:tcPr>
          <w:p w14:paraId="6D6756FC">
            <w:pPr>
              <w:tabs>
                <w:tab w:val="left" w:pos="3885"/>
              </w:tabs>
              <w:rPr>
                <w:rFonts w:ascii="宋体" w:hAnsi="宋体"/>
                <w:b/>
                <w:bCs/>
              </w:rPr>
            </w:pPr>
            <w:r>
              <w:tab/>
            </w:r>
            <w:r>
              <w:rPr>
                <w:rFonts w:hint="eastAsia" w:ascii="宋体" w:hAnsi="宋体"/>
                <w:b/>
                <w:bCs/>
              </w:rPr>
              <w:t>清单      第300章      路  面</w:t>
            </w:r>
          </w:p>
        </w:tc>
      </w:tr>
      <w:tr w14:paraId="2FE327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525E9811">
            <w:pPr>
              <w:widowControl/>
              <w:jc w:val="left"/>
              <w:rPr>
                <w:rFonts w:ascii="宋体" w:hAnsi="宋体" w:cs="宋体"/>
                <w:kern w:val="0"/>
                <w:szCs w:val="21"/>
              </w:rPr>
            </w:pPr>
            <w:r>
              <w:rPr>
                <w:rFonts w:hint="eastAsia" w:ascii="宋体" w:hAnsi="宋体" w:cs="宋体"/>
                <w:kern w:val="0"/>
                <w:szCs w:val="21"/>
              </w:rPr>
              <w:t>子目号</w:t>
            </w:r>
          </w:p>
        </w:tc>
        <w:tc>
          <w:tcPr>
            <w:tcW w:w="4572" w:type="dxa"/>
            <w:noWrap w:val="0"/>
            <w:vAlign w:val="center"/>
          </w:tcPr>
          <w:p w14:paraId="4ACE8414">
            <w:pPr>
              <w:widowControl/>
              <w:jc w:val="center"/>
              <w:rPr>
                <w:rFonts w:ascii="宋体" w:hAnsi="宋体" w:cs="宋体"/>
                <w:kern w:val="0"/>
                <w:szCs w:val="21"/>
              </w:rPr>
            </w:pPr>
            <w:r>
              <w:rPr>
                <w:rFonts w:hint="eastAsia" w:ascii="宋体" w:hAnsi="宋体" w:cs="宋体"/>
                <w:kern w:val="0"/>
                <w:szCs w:val="21"/>
              </w:rPr>
              <w:t>子  目  名  称</w:t>
            </w:r>
          </w:p>
        </w:tc>
        <w:tc>
          <w:tcPr>
            <w:tcW w:w="899" w:type="dxa"/>
            <w:noWrap w:val="0"/>
            <w:vAlign w:val="center"/>
          </w:tcPr>
          <w:p w14:paraId="1BC6A407">
            <w:pPr>
              <w:widowControl/>
              <w:jc w:val="center"/>
              <w:rPr>
                <w:rFonts w:ascii="宋体" w:hAnsi="宋体" w:cs="宋体"/>
                <w:kern w:val="0"/>
                <w:szCs w:val="21"/>
              </w:rPr>
            </w:pPr>
            <w:r>
              <w:rPr>
                <w:rFonts w:hint="eastAsia" w:ascii="宋体" w:hAnsi="宋体" w:cs="宋体"/>
                <w:kern w:val="0"/>
                <w:szCs w:val="21"/>
              </w:rPr>
              <w:t>单位</w:t>
            </w:r>
          </w:p>
        </w:tc>
        <w:tc>
          <w:tcPr>
            <w:tcW w:w="899" w:type="dxa"/>
            <w:noWrap w:val="0"/>
            <w:vAlign w:val="center"/>
          </w:tcPr>
          <w:p w14:paraId="48B7943D">
            <w:pPr>
              <w:widowControl/>
              <w:jc w:val="center"/>
              <w:rPr>
                <w:rFonts w:ascii="宋体" w:hAnsi="宋体" w:cs="宋体"/>
                <w:kern w:val="0"/>
                <w:szCs w:val="21"/>
              </w:rPr>
            </w:pPr>
            <w:r>
              <w:rPr>
                <w:rFonts w:hint="eastAsia" w:ascii="宋体" w:hAnsi="宋体" w:cs="宋体"/>
                <w:kern w:val="0"/>
                <w:szCs w:val="21"/>
              </w:rPr>
              <w:t>数量</w:t>
            </w:r>
          </w:p>
        </w:tc>
        <w:tc>
          <w:tcPr>
            <w:tcW w:w="1079" w:type="dxa"/>
            <w:noWrap w:val="0"/>
            <w:vAlign w:val="center"/>
          </w:tcPr>
          <w:p w14:paraId="20BFC3AC">
            <w:pPr>
              <w:widowControl/>
              <w:jc w:val="center"/>
              <w:rPr>
                <w:rFonts w:ascii="宋体" w:hAnsi="宋体" w:cs="宋体"/>
                <w:kern w:val="0"/>
                <w:szCs w:val="21"/>
              </w:rPr>
            </w:pPr>
            <w:r>
              <w:rPr>
                <w:rFonts w:hint="eastAsia" w:ascii="宋体" w:hAnsi="宋体" w:cs="宋体"/>
                <w:kern w:val="0"/>
                <w:szCs w:val="21"/>
              </w:rPr>
              <w:t>单价</w:t>
            </w:r>
          </w:p>
        </w:tc>
        <w:tc>
          <w:tcPr>
            <w:tcW w:w="1079" w:type="dxa"/>
            <w:noWrap w:val="0"/>
            <w:vAlign w:val="center"/>
          </w:tcPr>
          <w:p w14:paraId="0288BE52">
            <w:pPr>
              <w:widowControl/>
              <w:jc w:val="center"/>
              <w:rPr>
                <w:rFonts w:ascii="宋体" w:hAnsi="宋体" w:cs="宋体"/>
                <w:kern w:val="0"/>
                <w:szCs w:val="21"/>
              </w:rPr>
            </w:pPr>
            <w:r>
              <w:rPr>
                <w:rFonts w:hint="eastAsia" w:ascii="宋体" w:hAnsi="宋体" w:cs="宋体"/>
                <w:kern w:val="0"/>
                <w:szCs w:val="21"/>
              </w:rPr>
              <w:t>合价</w:t>
            </w:r>
          </w:p>
        </w:tc>
      </w:tr>
      <w:tr w14:paraId="4EDFB0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34D2EEB6">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-1</w:t>
            </w:r>
          </w:p>
        </w:tc>
        <w:tc>
          <w:tcPr>
            <w:tcW w:w="4572" w:type="dxa"/>
            <w:noWrap w:val="0"/>
            <w:vAlign w:val="center"/>
          </w:tcPr>
          <w:p w14:paraId="5A5F57D6">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沥青路面灌缝(四新技术)</w:t>
            </w:r>
          </w:p>
        </w:tc>
        <w:tc>
          <w:tcPr>
            <w:tcW w:w="899" w:type="dxa"/>
            <w:noWrap w:val="0"/>
            <w:vAlign w:val="center"/>
          </w:tcPr>
          <w:p w14:paraId="4D4D025A">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m</w:t>
            </w:r>
          </w:p>
        </w:tc>
        <w:tc>
          <w:tcPr>
            <w:tcW w:w="899" w:type="dxa"/>
            <w:noWrap w:val="0"/>
            <w:vAlign w:val="center"/>
          </w:tcPr>
          <w:p w14:paraId="094253AF">
            <w:pPr>
              <w:keepNext w:val="0"/>
              <w:keepLines w:val="0"/>
              <w:widowControl/>
              <w:suppressLineNumbers w:val="0"/>
              <w:jc w:val="right"/>
              <w:textAlignment w:val="center"/>
              <w:rPr>
                <w:rFonts w:hint="eastAsia" w:ascii="宋体" w:hAnsi="宋体" w:cs="宋体"/>
                <w:kern w:val="0"/>
                <w:sz w:val="21"/>
                <w:szCs w:val="21"/>
              </w:rPr>
            </w:pPr>
            <w:r>
              <w:rPr>
                <w:rFonts w:hint="default" w:ascii="Arial Narrow" w:hAnsi="Arial Narrow" w:eastAsia="Arial Narrow" w:cs="Arial Narrow"/>
                <w:i w:val="0"/>
                <w:iCs w:val="0"/>
                <w:color w:val="000000"/>
                <w:kern w:val="0"/>
                <w:sz w:val="21"/>
                <w:szCs w:val="21"/>
                <w:u w:val="none"/>
                <w:lang w:val="en-US" w:eastAsia="zh-CN" w:bidi="ar"/>
              </w:rPr>
              <w:t>8500</w:t>
            </w:r>
          </w:p>
        </w:tc>
        <w:tc>
          <w:tcPr>
            <w:tcW w:w="1079" w:type="dxa"/>
            <w:noWrap w:val="0"/>
            <w:vAlign w:val="center"/>
          </w:tcPr>
          <w:p w14:paraId="14D557E9">
            <w:pPr>
              <w:widowControl/>
              <w:jc w:val="center"/>
              <w:rPr>
                <w:rFonts w:hint="eastAsia" w:ascii="宋体" w:hAnsi="宋体" w:cs="宋体"/>
                <w:kern w:val="0"/>
                <w:szCs w:val="21"/>
              </w:rPr>
            </w:pPr>
          </w:p>
        </w:tc>
        <w:tc>
          <w:tcPr>
            <w:tcW w:w="1079" w:type="dxa"/>
            <w:noWrap w:val="0"/>
            <w:vAlign w:val="center"/>
          </w:tcPr>
          <w:p w14:paraId="2814A5B5">
            <w:pPr>
              <w:widowControl/>
              <w:jc w:val="center"/>
              <w:rPr>
                <w:rFonts w:hint="eastAsia" w:ascii="宋体" w:hAnsi="宋体" w:cs="宋体"/>
                <w:kern w:val="0"/>
                <w:szCs w:val="21"/>
              </w:rPr>
            </w:pPr>
          </w:p>
        </w:tc>
      </w:tr>
      <w:tr w14:paraId="4CC9A0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008D73BF">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-2</w:t>
            </w:r>
          </w:p>
        </w:tc>
        <w:tc>
          <w:tcPr>
            <w:tcW w:w="4572" w:type="dxa"/>
            <w:noWrap w:val="0"/>
            <w:vAlign w:val="center"/>
          </w:tcPr>
          <w:p w14:paraId="33E01ECA">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沥青路面裂缝灌缝（普通灌缝）</w:t>
            </w:r>
          </w:p>
        </w:tc>
        <w:tc>
          <w:tcPr>
            <w:tcW w:w="899" w:type="dxa"/>
            <w:noWrap w:val="0"/>
            <w:vAlign w:val="center"/>
          </w:tcPr>
          <w:p w14:paraId="0D0F1210">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m</w:t>
            </w:r>
          </w:p>
        </w:tc>
        <w:tc>
          <w:tcPr>
            <w:tcW w:w="899" w:type="dxa"/>
            <w:noWrap w:val="0"/>
            <w:vAlign w:val="center"/>
          </w:tcPr>
          <w:p w14:paraId="7EB93D9C">
            <w:pPr>
              <w:keepNext w:val="0"/>
              <w:keepLines w:val="0"/>
              <w:widowControl/>
              <w:suppressLineNumbers w:val="0"/>
              <w:jc w:val="right"/>
              <w:textAlignment w:val="center"/>
              <w:rPr>
                <w:rFonts w:hint="eastAsia" w:ascii="宋体" w:hAnsi="宋体" w:cs="宋体"/>
                <w:kern w:val="0"/>
                <w:sz w:val="21"/>
                <w:szCs w:val="21"/>
              </w:rPr>
            </w:pPr>
            <w:r>
              <w:rPr>
                <w:rFonts w:hint="default" w:ascii="Arial Narrow" w:hAnsi="Arial Narrow" w:eastAsia="Arial Narrow" w:cs="Arial Narrow"/>
                <w:i w:val="0"/>
                <w:iCs w:val="0"/>
                <w:color w:val="000000"/>
                <w:kern w:val="0"/>
                <w:sz w:val="21"/>
                <w:szCs w:val="21"/>
                <w:u w:val="none"/>
                <w:lang w:val="en-US" w:eastAsia="zh-CN" w:bidi="ar"/>
              </w:rPr>
              <w:t>13500</w:t>
            </w:r>
          </w:p>
        </w:tc>
        <w:tc>
          <w:tcPr>
            <w:tcW w:w="1079" w:type="dxa"/>
            <w:noWrap w:val="0"/>
            <w:vAlign w:val="center"/>
          </w:tcPr>
          <w:p w14:paraId="2A97ADA4">
            <w:pPr>
              <w:widowControl/>
              <w:jc w:val="center"/>
              <w:rPr>
                <w:rFonts w:hint="eastAsia" w:ascii="宋体" w:hAnsi="宋体" w:cs="宋体"/>
                <w:kern w:val="0"/>
                <w:szCs w:val="21"/>
              </w:rPr>
            </w:pPr>
          </w:p>
        </w:tc>
        <w:tc>
          <w:tcPr>
            <w:tcW w:w="1079" w:type="dxa"/>
            <w:noWrap w:val="0"/>
            <w:vAlign w:val="center"/>
          </w:tcPr>
          <w:p w14:paraId="3A5A3346">
            <w:pPr>
              <w:widowControl/>
              <w:jc w:val="center"/>
              <w:rPr>
                <w:rFonts w:hint="eastAsia" w:ascii="宋体" w:hAnsi="宋体" w:cs="宋体"/>
                <w:kern w:val="0"/>
                <w:szCs w:val="21"/>
              </w:rPr>
            </w:pPr>
          </w:p>
        </w:tc>
      </w:tr>
      <w:tr w14:paraId="28A192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6E9B0A6B">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304</w:t>
            </w:r>
          </w:p>
        </w:tc>
        <w:tc>
          <w:tcPr>
            <w:tcW w:w="4572" w:type="dxa"/>
            <w:noWrap w:val="0"/>
            <w:vAlign w:val="center"/>
          </w:tcPr>
          <w:p w14:paraId="79C87228">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结构物接顺及其它路面维修</w:t>
            </w:r>
          </w:p>
        </w:tc>
        <w:tc>
          <w:tcPr>
            <w:tcW w:w="899" w:type="dxa"/>
            <w:noWrap w:val="0"/>
            <w:vAlign w:val="center"/>
          </w:tcPr>
          <w:p w14:paraId="6200A659">
            <w:pPr>
              <w:jc w:val="center"/>
              <w:rPr>
                <w:rFonts w:hint="eastAsia" w:ascii="宋体" w:hAnsi="宋体" w:cs="宋体"/>
                <w:kern w:val="0"/>
                <w:sz w:val="21"/>
                <w:szCs w:val="21"/>
              </w:rPr>
            </w:pPr>
          </w:p>
        </w:tc>
        <w:tc>
          <w:tcPr>
            <w:tcW w:w="899" w:type="dxa"/>
            <w:noWrap w:val="0"/>
            <w:vAlign w:val="center"/>
          </w:tcPr>
          <w:p w14:paraId="0C5A44E3">
            <w:pPr>
              <w:jc w:val="right"/>
              <w:rPr>
                <w:rFonts w:hint="eastAsia" w:ascii="宋体" w:hAnsi="宋体" w:cs="宋体"/>
                <w:kern w:val="0"/>
                <w:sz w:val="21"/>
                <w:szCs w:val="21"/>
              </w:rPr>
            </w:pPr>
          </w:p>
        </w:tc>
        <w:tc>
          <w:tcPr>
            <w:tcW w:w="1079" w:type="dxa"/>
            <w:noWrap w:val="0"/>
            <w:vAlign w:val="center"/>
          </w:tcPr>
          <w:p w14:paraId="3B3EF698">
            <w:pPr>
              <w:widowControl/>
              <w:jc w:val="center"/>
              <w:rPr>
                <w:rFonts w:hint="eastAsia" w:ascii="宋体" w:hAnsi="宋体" w:cs="宋体"/>
                <w:kern w:val="0"/>
                <w:szCs w:val="21"/>
              </w:rPr>
            </w:pPr>
          </w:p>
        </w:tc>
        <w:tc>
          <w:tcPr>
            <w:tcW w:w="1079" w:type="dxa"/>
            <w:noWrap w:val="0"/>
            <w:vAlign w:val="center"/>
          </w:tcPr>
          <w:p w14:paraId="1F7737CF">
            <w:pPr>
              <w:widowControl/>
              <w:jc w:val="center"/>
              <w:rPr>
                <w:rFonts w:hint="eastAsia" w:ascii="宋体" w:hAnsi="宋体" w:cs="宋体"/>
                <w:kern w:val="0"/>
                <w:szCs w:val="21"/>
              </w:rPr>
            </w:pPr>
          </w:p>
        </w:tc>
      </w:tr>
      <w:tr w14:paraId="494F40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56C0AE60">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304-1</w:t>
            </w:r>
          </w:p>
        </w:tc>
        <w:tc>
          <w:tcPr>
            <w:tcW w:w="4572" w:type="dxa"/>
            <w:noWrap w:val="0"/>
            <w:vAlign w:val="center"/>
          </w:tcPr>
          <w:p w14:paraId="39298250">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碎石</w:t>
            </w:r>
          </w:p>
        </w:tc>
        <w:tc>
          <w:tcPr>
            <w:tcW w:w="899" w:type="dxa"/>
            <w:noWrap w:val="0"/>
            <w:vAlign w:val="center"/>
          </w:tcPr>
          <w:p w14:paraId="7F35C3F9">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m3</w:t>
            </w:r>
          </w:p>
        </w:tc>
        <w:tc>
          <w:tcPr>
            <w:tcW w:w="899" w:type="dxa"/>
            <w:noWrap w:val="0"/>
            <w:vAlign w:val="center"/>
          </w:tcPr>
          <w:p w14:paraId="479E0051">
            <w:pPr>
              <w:keepNext w:val="0"/>
              <w:keepLines w:val="0"/>
              <w:widowControl/>
              <w:suppressLineNumbers w:val="0"/>
              <w:jc w:val="right"/>
              <w:textAlignment w:val="center"/>
              <w:rPr>
                <w:rFonts w:hint="eastAsia" w:ascii="宋体" w:hAnsi="宋体" w:cs="宋体"/>
                <w:kern w:val="0"/>
                <w:sz w:val="21"/>
                <w:szCs w:val="21"/>
              </w:rPr>
            </w:pPr>
            <w:r>
              <w:rPr>
                <w:rFonts w:hint="default" w:ascii="Arial Narrow" w:hAnsi="Arial Narrow" w:eastAsia="Arial Narrow" w:cs="Arial Narrow"/>
                <w:i w:val="0"/>
                <w:iCs w:val="0"/>
                <w:color w:val="000000"/>
                <w:kern w:val="0"/>
                <w:sz w:val="21"/>
                <w:szCs w:val="21"/>
                <w:u w:val="none"/>
                <w:lang w:val="en-US" w:eastAsia="zh-CN" w:bidi="ar"/>
              </w:rPr>
              <w:t>150</w:t>
            </w:r>
          </w:p>
        </w:tc>
        <w:tc>
          <w:tcPr>
            <w:tcW w:w="1079" w:type="dxa"/>
            <w:noWrap w:val="0"/>
            <w:vAlign w:val="center"/>
          </w:tcPr>
          <w:p w14:paraId="038367C7">
            <w:pPr>
              <w:widowControl/>
              <w:jc w:val="center"/>
              <w:rPr>
                <w:rFonts w:hint="eastAsia" w:ascii="宋体" w:hAnsi="宋体" w:cs="宋体"/>
                <w:kern w:val="0"/>
                <w:szCs w:val="21"/>
              </w:rPr>
            </w:pPr>
          </w:p>
        </w:tc>
        <w:tc>
          <w:tcPr>
            <w:tcW w:w="1079" w:type="dxa"/>
            <w:noWrap w:val="0"/>
            <w:vAlign w:val="center"/>
          </w:tcPr>
          <w:p w14:paraId="50A70FFD">
            <w:pPr>
              <w:widowControl/>
              <w:jc w:val="center"/>
              <w:rPr>
                <w:rFonts w:hint="eastAsia" w:ascii="宋体" w:hAnsi="宋体" w:cs="宋体"/>
                <w:kern w:val="0"/>
                <w:szCs w:val="21"/>
              </w:rPr>
            </w:pPr>
          </w:p>
        </w:tc>
      </w:tr>
      <w:tr w14:paraId="49F550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0E60545C">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304-3</w:t>
            </w:r>
          </w:p>
        </w:tc>
        <w:tc>
          <w:tcPr>
            <w:tcW w:w="4572" w:type="dxa"/>
            <w:noWrap w:val="0"/>
            <w:vAlign w:val="center"/>
          </w:tcPr>
          <w:p w14:paraId="1DEB67CD">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基层维修</w:t>
            </w:r>
          </w:p>
        </w:tc>
        <w:tc>
          <w:tcPr>
            <w:tcW w:w="899" w:type="dxa"/>
            <w:noWrap w:val="0"/>
            <w:vAlign w:val="center"/>
          </w:tcPr>
          <w:p w14:paraId="06BB4263">
            <w:pPr>
              <w:jc w:val="center"/>
              <w:rPr>
                <w:rFonts w:hint="eastAsia" w:ascii="宋体" w:hAnsi="宋体" w:cs="宋体"/>
                <w:kern w:val="0"/>
                <w:sz w:val="21"/>
                <w:szCs w:val="21"/>
              </w:rPr>
            </w:pPr>
          </w:p>
        </w:tc>
        <w:tc>
          <w:tcPr>
            <w:tcW w:w="899" w:type="dxa"/>
            <w:noWrap w:val="0"/>
            <w:vAlign w:val="center"/>
          </w:tcPr>
          <w:p w14:paraId="719C4E23">
            <w:pPr>
              <w:jc w:val="right"/>
              <w:rPr>
                <w:rFonts w:hint="eastAsia" w:ascii="宋体" w:hAnsi="宋体" w:cs="宋体"/>
                <w:kern w:val="0"/>
                <w:sz w:val="21"/>
                <w:szCs w:val="21"/>
              </w:rPr>
            </w:pPr>
          </w:p>
        </w:tc>
        <w:tc>
          <w:tcPr>
            <w:tcW w:w="1079" w:type="dxa"/>
            <w:noWrap w:val="0"/>
            <w:vAlign w:val="center"/>
          </w:tcPr>
          <w:p w14:paraId="731AD7E0">
            <w:pPr>
              <w:widowControl/>
              <w:jc w:val="center"/>
              <w:rPr>
                <w:rFonts w:hint="eastAsia" w:ascii="宋体" w:hAnsi="宋体" w:cs="宋体"/>
                <w:kern w:val="0"/>
                <w:szCs w:val="21"/>
              </w:rPr>
            </w:pPr>
          </w:p>
        </w:tc>
        <w:tc>
          <w:tcPr>
            <w:tcW w:w="1079" w:type="dxa"/>
            <w:noWrap w:val="0"/>
            <w:vAlign w:val="center"/>
          </w:tcPr>
          <w:p w14:paraId="041D6EDC">
            <w:pPr>
              <w:widowControl/>
              <w:jc w:val="center"/>
              <w:rPr>
                <w:rFonts w:hint="eastAsia" w:ascii="宋体" w:hAnsi="宋体" w:cs="宋体"/>
                <w:kern w:val="0"/>
                <w:szCs w:val="21"/>
              </w:rPr>
            </w:pPr>
          </w:p>
        </w:tc>
      </w:tr>
      <w:tr w14:paraId="43C754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481E1644">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-a</w:t>
            </w:r>
          </w:p>
        </w:tc>
        <w:tc>
          <w:tcPr>
            <w:tcW w:w="4572" w:type="dxa"/>
            <w:noWrap w:val="0"/>
            <w:vAlign w:val="center"/>
          </w:tcPr>
          <w:p w14:paraId="69F72095">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5%水泥稳定碎石基层</w:t>
            </w:r>
          </w:p>
        </w:tc>
        <w:tc>
          <w:tcPr>
            <w:tcW w:w="899" w:type="dxa"/>
            <w:noWrap w:val="0"/>
            <w:vAlign w:val="center"/>
          </w:tcPr>
          <w:p w14:paraId="15A2A5E2">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m3</w:t>
            </w:r>
          </w:p>
        </w:tc>
        <w:tc>
          <w:tcPr>
            <w:tcW w:w="899" w:type="dxa"/>
            <w:noWrap w:val="0"/>
            <w:vAlign w:val="center"/>
          </w:tcPr>
          <w:p w14:paraId="5C6EDE9F">
            <w:pPr>
              <w:keepNext w:val="0"/>
              <w:keepLines w:val="0"/>
              <w:widowControl/>
              <w:suppressLineNumbers w:val="0"/>
              <w:jc w:val="right"/>
              <w:textAlignment w:val="center"/>
              <w:rPr>
                <w:rFonts w:hint="eastAsia" w:ascii="宋体" w:hAnsi="宋体" w:cs="宋体"/>
                <w:kern w:val="0"/>
                <w:sz w:val="21"/>
                <w:szCs w:val="21"/>
              </w:rPr>
            </w:pPr>
            <w:r>
              <w:rPr>
                <w:rFonts w:hint="default" w:ascii="Arial Narrow" w:hAnsi="Arial Narrow" w:eastAsia="Arial Narrow" w:cs="Arial Narrow"/>
                <w:i w:val="0"/>
                <w:iCs w:val="0"/>
                <w:color w:val="000000"/>
                <w:kern w:val="0"/>
                <w:sz w:val="21"/>
                <w:szCs w:val="21"/>
                <w:u w:val="none"/>
                <w:lang w:val="en-US" w:eastAsia="zh-CN" w:bidi="ar"/>
              </w:rPr>
              <w:t>150</w:t>
            </w:r>
          </w:p>
        </w:tc>
        <w:tc>
          <w:tcPr>
            <w:tcW w:w="1079" w:type="dxa"/>
            <w:noWrap w:val="0"/>
            <w:vAlign w:val="center"/>
          </w:tcPr>
          <w:p w14:paraId="01064B48">
            <w:pPr>
              <w:widowControl/>
              <w:jc w:val="center"/>
              <w:rPr>
                <w:rFonts w:hint="eastAsia" w:ascii="宋体" w:hAnsi="宋体" w:cs="宋体"/>
                <w:kern w:val="0"/>
                <w:szCs w:val="21"/>
              </w:rPr>
            </w:pPr>
          </w:p>
        </w:tc>
        <w:tc>
          <w:tcPr>
            <w:tcW w:w="1079" w:type="dxa"/>
            <w:noWrap w:val="0"/>
            <w:vAlign w:val="center"/>
          </w:tcPr>
          <w:p w14:paraId="647C08E1">
            <w:pPr>
              <w:widowControl/>
              <w:jc w:val="center"/>
              <w:rPr>
                <w:rFonts w:hint="eastAsia" w:ascii="宋体" w:hAnsi="宋体" w:cs="宋体"/>
                <w:kern w:val="0"/>
                <w:szCs w:val="21"/>
              </w:rPr>
            </w:pPr>
          </w:p>
        </w:tc>
      </w:tr>
      <w:tr w14:paraId="6D7796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54F98D47">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-b</w:t>
            </w:r>
          </w:p>
        </w:tc>
        <w:tc>
          <w:tcPr>
            <w:tcW w:w="4572" w:type="dxa"/>
            <w:noWrap w:val="0"/>
            <w:vAlign w:val="center"/>
          </w:tcPr>
          <w:p w14:paraId="519B44DC">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C15素混凝土基层</w:t>
            </w:r>
          </w:p>
        </w:tc>
        <w:tc>
          <w:tcPr>
            <w:tcW w:w="899" w:type="dxa"/>
            <w:noWrap w:val="0"/>
            <w:vAlign w:val="center"/>
          </w:tcPr>
          <w:p w14:paraId="2564CE1E">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m3</w:t>
            </w:r>
          </w:p>
        </w:tc>
        <w:tc>
          <w:tcPr>
            <w:tcW w:w="899" w:type="dxa"/>
            <w:noWrap w:val="0"/>
            <w:vAlign w:val="center"/>
          </w:tcPr>
          <w:p w14:paraId="054EE7F4">
            <w:pPr>
              <w:keepNext w:val="0"/>
              <w:keepLines w:val="0"/>
              <w:widowControl/>
              <w:suppressLineNumbers w:val="0"/>
              <w:jc w:val="right"/>
              <w:textAlignment w:val="center"/>
              <w:rPr>
                <w:rFonts w:hint="eastAsia" w:ascii="宋体" w:hAnsi="宋体" w:cs="宋体"/>
                <w:kern w:val="0"/>
                <w:sz w:val="21"/>
                <w:szCs w:val="21"/>
              </w:rPr>
            </w:pPr>
            <w:r>
              <w:rPr>
                <w:rFonts w:hint="default" w:ascii="Arial Narrow" w:hAnsi="Arial Narrow" w:eastAsia="Arial Narrow" w:cs="Arial Narrow"/>
                <w:i w:val="0"/>
                <w:iCs w:val="0"/>
                <w:color w:val="000000"/>
                <w:kern w:val="0"/>
                <w:sz w:val="21"/>
                <w:szCs w:val="21"/>
                <w:u w:val="none"/>
                <w:lang w:val="en-US" w:eastAsia="zh-CN" w:bidi="ar"/>
              </w:rPr>
              <w:t>100</w:t>
            </w:r>
          </w:p>
        </w:tc>
        <w:tc>
          <w:tcPr>
            <w:tcW w:w="1079" w:type="dxa"/>
            <w:noWrap w:val="0"/>
            <w:vAlign w:val="center"/>
          </w:tcPr>
          <w:p w14:paraId="7C57BFA7">
            <w:pPr>
              <w:widowControl/>
              <w:jc w:val="center"/>
              <w:rPr>
                <w:rFonts w:ascii="宋体" w:hAnsi="宋体" w:cs="宋体"/>
                <w:kern w:val="0"/>
                <w:szCs w:val="21"/>
              </w:rPr>
            </w:pPr>
          </w:p>
        </w:tc>
        <w:tc>
          <w:tcPr>
            <w:tcW w:w="1079" w:type="dxa"/>
            <w:noWrap w:val="0"/>
            <w:vAlign w:val="center"/>
          </w:tcPr>
          <w:p w14:paraId="7C2AF7C8">
            <w:pPr>
              <w:widowControl/>
              <w:jc w:val="center"/>
              <w:rPr>
                <w:rFonts w:ascii="宋体" w:hAnsi="宋体" w:cs="宋体"/>
                <w:kern w:val="0"/>
                <w:szCs w:val="21"/>
              </w:rPr>
            </w:pPr>
          </w:p>
        </w:tc>
      </w:tr>
      <w:tr w14:paraId="3E3846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7CA26746">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304-5</w:t>
            </w:r>
          </w:p>
        </w:tc>
        <w:tc>
          <w:tcPr>
            <w:tcW w:w="4572" w:type="dxa"/>
            <w:noWrap w:val="0"/>
            <w:vAlign w:val="center"/>
          </w:tcPr>
          <w:p w14:paraId="656BDE3E">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其他路面维修</w:t>
            </w:r>
          </w:p>
        </w:tc>
        <w:tc>
          <w:tcPr>
            <w:tcW w:w="899" w:type="dxa"/>
            <w:noWrap w:val="0"/>
            <w:vAlign w:val="center"/>
          </w:tcPr>
          <w:p w14:paraId="273E089E">
            <w:pPr>
              <w:jc w:val="center"/>
              <w:rPr>
                <w:rFonts w:hint="eastAsia" w:ascii="宋体" w:hAnsi="宋体" w:cs="宋体"/>
                <w:kern w:val="0"/>
                <w:sz w:val="21"/>
                <w:szCs w:val="21"/>
              </w:rPr>
            </w:pPr>
          </w:p>
        </w:tc>
        <w:tc>
          <w:tcPr>
            <w:tcW w:w="899" w:type="dxa"/>
            <w:noWrap w:val="0"/>
            <w:vAlign w:val="center"/>
          </w:tcPr>
          <w:p w14:paraId="75C55A3D">
            <w:pPr>
              <w:jc w:val="right"/>
              <w:rPr>
                <w:rFonts w:hint="eastAsia" w:ascii="宋体" w:hAnsi="宋体" w:cs="宋体"/>
                <w:kern w:val="0"/>
                <w:sz w:val="21"/>
                <w:szCs w:val="21"/>
              </w:rPr>
            </w:pPr>
          </w:p>
        </w:tc>
        <w:tc>
          <w:tcPr>
            <w:tcW w:w="1079" w:type="dxa"/>
            <w:noWrap w:val="0"/>
            <w:vAlign w:val="center"/>
          </w:tcPr>
          <w:p w14:paraId="1B8EE44F">
            <w:pPr>
              <w:widowControl/>
              <w:jc w:val="center"/>
              <w:rPr>
                <w:rFonts w:ascii="宋体" w:hAnsi="宋体" w:cs="宋体"/>
                <w:kern w:val="0"/>
                <w:szCs w:val="21"/>
              </w:rPr>
            </w:pPr>
          </w:p>
        </w:tc>
        <w:tc>
          <w:tcPr>
            <w:tcW w:w="1079" w:type="dxa"/>
            <w:noWrap w:val="0"/>
            <w:vAlign w:val="center"/>
          </w:tcPr>
          <w:p w14:paraId="29094901">
            <w:pPr>
              <w:widowControl/>
              <w:jc w:val="center"/>
              <w:rPr>
                <w:rFonts w:ascii="宋体" w:hAnsi="宋体" w:cs="宋体"/>
                <w:kern w:val="0"/>
                <w:szCs w:val="21"/>
              </w:rPr>
            </w:pPr>
          </w:p>
        </w:tc>
      </w:tr>
      <w:tr w14:paraId="169E94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4A1C10C7">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-a</w:t>
            </w:r>
          </w:p>
        </w:tc>
        <w:tc>
          <w:tcPr>
            <w:tcW w:w="4572" w:type="dxa"/>
            <w:noWrap w:val="0"/>
            <w:vAlign w:val="center"/>
          </w:tcPr>
          <w:p w14:paraId="55580672">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人行道彩砖维修</w:t>
            </w:r>
          </w:p>
        </w:tc>
        <w:tc>
          <w:tcPr>
            <w:tcW w:w="899" w:type="dxa"/>
            <w:noWrap w:val="0"/>
            <w:vAlign w:val="center"/>
          </w:tcPr>
          <w:p w14:paraId="40D97791">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m2</w:t>
            </w:r>
          </w:p>
        </w:tc>
        <w:tc>
          <w:tcPr>
            <w:tcW w:w="899" w:type="dxa"/>
            <w:noWrap w:val="0"/>
            <w:vAlign w:val="center"/>
          </w:tcPr>
          <w:p w14:paraId="5C83E79E">
            <w:pPr>
              <w:keepNext w:val="0"/>
              <w:keepLines w:val="0"/>
              <w:widowControl/>
              <w:suppressLineNumbers w:val="0"/>
              <w:jc w:val="right"/>
              <w:textAlignment w:val="center"/>
              <w:rPr>
                <w:rFonts w:hint="eastAsia" w:ascii="宋体" w:hAnsi="宋体" w:cs="宋体"/>
                <w:kern w:val="0"/>
                <w:sz w:val="21"/>
                <w:szCs w:val="21"/>
              </w:rPr>
            </w:pPr>
            <w:r>
              <w:rPr>
                <w:rFonts w:hint="default" w:ascii="Arial Narrow" w:hAnsi="Arial Narrow" w:eastAsia="Arial Narrow" w:cs="Arial Narrow"/>
                <w:i w:val="0"/>
                <w:iCs w:val="0"/>
                <w:color w:val="000000"/>
                <w:kern w:val="0"/>
                <w:sz w:val="21"/>
                <w:szCs w:val="21"/>
                <w:u w:val="none"/>
                <w:lang w:val="en-US" w:eastAsia="zh-CN" w:bidi="ar"/>
              </w:rPr>
              <w:t>500</w:t>
            </w:r>
          </w:p>
        </w:tc>
        <w:tc>
          <w:tcPr>
            <w:tcW w:w="1079" w:type="dxa"/>
            <w:noWrap w:val="0"/>
            <w:vAlign w:val="center"/>
          </w:tcPr>
          <w:p w14:paraId="39F82904">
            <w:pPr>
              <w:widowControl/>
              <w:jc w:val="center"/>
              <w:rPr>
                <w:rFonts w:ascii="宋体" w:hAnsi="宋体" w:cs="宋体"/>
                <w:kern w:val="0"/>
                <w:szCs w:val="21"/>
              </w:rPr>
            </w:pPr>
          </w:p>
        </w:tc>
        <w:tc>
          <w:tcPr>
            <w:tcW w:w="1079" w:type="dxa"/>
            <w:noWrap w:val="0"/>
            <w:vAlign w:val="center"/>
          </w:tcPr>
          <w:p w14:paraId="76ACE538">
            <w:pPr>
              <w:widowControl/>
              <w:jc w:val="center"/>
              <w:rPr>
                <w:rFonts w:ascii="宋体" w:hAnsi="宋体" w:cs="宋体"/>
                <w:kern w:val="0"/>
                <w:szCs w:val="21"/>
              </w:rPr>
            </w:pPr>
          </w:p>
        </w:tc>
      </w:tr>
      <w:tr w14:paraId="76A690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2EB26E87">
            <w:pPr>
              <w:keepNext w:val="0"/>
              <w:keepLines w:val="0"/>
              <w:widowControl/>
              <w:suppressLineNumbers w:val="0"/>
              <w:jc w:val="center"/>
              <w:textAlignment w:val="center"/>
              <w:rPr>
                <w:rFonts w:hint="eastAsia" w:ascii="宋体" w:hAnsi="宋体" w:cs="宋体"/>
                <w:kern w:val="0"/>
                <w:sz w:val="21"/>
                <w:szCs w:val="21"/>
              </w:rPr>
            </w:pPr>
          </w:p>
        </w:tc>
        <w:tc>
          <w:tcPr>
            <w:tcW w:w="4572" w:type="dxa"/>
            <w:noWrap w:val="0"/>
            <w:vAlign w:val="center"/>
          </w:tcPr>
          <w:p w14:paraId="6F59A00A">
            <w:pPr>
              <w:keepNext w:val="0"/>
              <w:keepLines w:val="0"/>
              <w:widowControl/>
              <w:suppressLineNumbers w:val="0"/>
              <w:jc w:val="left"/>
              <w:textAlignment w:val="center"/>
              <w:rPr>
                <w:rFonts w:hint="eastAsia" w:ascii="宋体" w:hAnsi="宋体" w:cs="宋体"/>
                <w:kern w:val="0"/>
                <w:sz w:val="21"/>
                <w:szCs w:val="21"/>
              </w:rPr>
            </w:pPr>
          </w:p>
        </w:tc>
        <w:tc>
          <w:tcPr>
            <w:tcW w:w="899" w:type="dxa"/>
            <w:noWrap w:val="0"/>
            <w:vAlign w:val="center"/>
          </w:tcPr>
          <w:p w14:paraId="67BDC47A">
            <w:pPr>
              <w:keepNext w:val="0"/>
              <w:keepLines w:val="0"/>
              <w:widowControl/>
              <w:suppressLineNumbers w:val="0"/>
              <w:jc w:val="center"/>
              <w:textAlignment w:val="center"/>
              <w:rPr>
                <w:rFonts w:hint="eastAsia" w:ascii="宋体" w:hAnsi="宋体" w:cs="宋体"/>
                <w:kern w:val="0"/>
                <w:sz w:val="21"/>
                <w:szCs w:val="21"/>
              </w:rPr>
            </w:pPr>
          </w:p>
        </w:tc>
        <w:tc>
          <w:tcPr>
            <w:tcW w:w="899" w:type="dxa"/>
            <w:noWrap w:val="0"/>
            <w:vAlign w:val="center"/>
          </w:tcPr>
          <w:p w14:paraId="19C70D24">
            <w:pPr>
              <w:keepNext w:val="0"/>
              <w:keepLines w:val="0"/>
              <w:widowControl/>
              <w:suppressLineNumbers w:val="0"/>
              <w:jc w:val="right"/>
              <w:textAlignment w:val="center"/>
              <w:rPr>
                <w:rFonts w:hint="eastAsia" w:ascii="宋体" w:hAnsi="宋体" w:cs="宋体"/>
                <w:kern w:val="0"/>
                <w:sz w:val="21"/>
                <w:szCs w:val="21"/>
              </w:rPr>
            </w:pPr>
          </w:p>
        </w:tc>
        <w:tc>
          <w:tcPr>
            <w:tcW w:w="1079" w:type="dxa"/>
            <w:noWrap w:val="0"/>
            <w:vAlign w:val="center"/>
          </w:tcPr>
          <w:p w14:paraId="2E894F29">
            <w:pPr>
              <w:widowControl/>
              <w:jc w:val="center"/>
              <w:rPr>
                <w:rFonts w:ascii="宋体" w:hAnsi="宋体" w:cs="宋体"/>
                <w:kern w:val="0"/>
                <w:szCs w:val="21"/>
              </w:rPr>
            </w:pPr>
          </w:p>
        </w:tc>
        <w:tc>
          <w:tcPr>
            <w:tcW w:w="1079" w:type="dxa"/>
            <w:noWrap w:val="0"/>
            <w:vAlign w:val="center"/>
          </w:tcPr>
          <w:p w14:paraId="60FEB5B2">
            <w:pPr>
              <w:widowControl/>
              <w:jc w:val="center"/>
              <w:rPr>
                <w:rFonts w:ascii="宋体" w:hAnsi="宋体" w:cs="宋体"/>
                <w:kern w:val="0"/>
                <w:szCs w:val="21"/>
              </w:rPr>
            </w:pPr>
          </w:p>
        </w:tc>
      </w:tr>
      <w:tr w14:paraId="1FB455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4C268956">
            <w:pPr>
              <w:keepNext w:val="0"/>
              <w:keepLines w:val="0"/>
              <w:widowControl/>
              <w:suppressLineNumbers w:val="0"/>
              <w:jc w:val="center"/>
              <w:textAlignment w:val="center"/>
              <w:rPr>
                <w:rFonts w:hint="eastAsia" w:ascii="宋体" w:hAnsi="宋体" w:cs="宋体"/>
                <w:kern w:val="0"/>
                <w:sz w:val="21"/>
                <w:szCs w:val="21"/>
              </w:rPr>
            </w:pPr>
          </w:p>
        </w:tc>
        <w:tc>
          <w:tcPr>
            <w:tcW w:w="4572" w:type="dxa"/>
            <w:noWrap w:val="0"/>
            <w:vAlign w:val="center"/>
          </w:tcPr>
          <w:p w14:paraId="611F7EFF">
            <w:pPr>
              <w:keepNext w:val="0"/>
              <w:keepLines w:val="0"/>
              <w:widowControl/>
              <w:suppressLineNumbers w:val="0"/>
              <w:jc w:val="left"/>
              <w:textAlignment w:val="center"/>
              <w:rPr>
                <w:rFonts w:hint="eastAsia" w:ascii="宋体" w:hAnsi="宋体" w:cs="宋体"/>
                <w:kern w:val="0"/>
                <w:sz w:val="21"/>
                <w:szCs w:val="21"/>
              </w:rPr>
            </w:pPr>
          </w:p>
        </w:tc>
        <w:tc>
          <w:tcPr>
            <w:tcW w:w="899" w:type="dxa"/>
            <w:noWrap w:val="0"/>
            <w:vAlign w:val="center"/>
          </w:tcPr>
          <w:p w14:paraId="3CD7CA16">
            <w:pPr>
              <w:keepNext w:val="0"/>
              <w:keepLines w:val="0"/>
              <w:widowControl/>
              <w:suppressLineNumbers w:val="0"/>
              <w:jc w:val="center"/>
              <w:textAlignment w:val="center"/>
              <w:rPr>
                <w:rFonts w:hint="eastAsia" w:ascii="宋体" w:hAnsi="宋体" w:cs="宋体"/>
                <w:kern w:val="0"/>
                <w:sz w:val="21"/>
                <w:szCs w:val="21"/>
              </w:rPr>
            </w:pPr>
          </w:p>
        </w:tc>
        <w:tc>
          <w:tcPr>
            <w:tcW w:w="899" w:type="dxa"/>
            <w:noWrap w:val="0"/>
            <w:vAlign w:val="center"/>
          </w:tcPr>
          <w:p w14:paraId="687FC866">
            <w:pPr>
              <w:keepNext w:val="0"/>
              <w:keepLines w:val="0"/>
              <w:widowControl/>
              <w:suppressLineNumbers w:val="0"/>
              <w:jc w:val="right"/>
              <w:textAlignment w:val="center"/>
              <w:rPr>
                <w:rFonts w:hint="eastAsia" w:ascii="宋体" w:hAnsi="宋体" w:cs="宋体"/>
                <w:kern w:val="0"/>
                <w:sz w:val="21"/>
                <w:szCs w:val="21"/>
              </w:rPr>
            </w:pPr>
          </w:p>
        </w:tc>
        <w:tc>
          <w:tcPr>
            <w:tcW w:w="1079" w:type="dxa"/>
            <w:noWrap w:val="0"/>
            <w:vAlign w:val="center"/>
          </w:tcPr>
          <w:p w14:paraId="4B85F583">
            <w:pPr>
              <w:widowControl/>
              <w:jc w:val="center"/>
              <w:rPr>
                <w:rFonts w:ascii="宋体" w:hAnsi="宋体" w:cs="宋体"/>
                <w:kern w:val="0"/>
                <w:szCs w:val="21"/>
              </w:rPr>
            </w:pPr>
          </w:p>
        </w:tc>
        <w:tc>
          <w:tcPr>
            <w:tcW w:w="1079" w:type="dxa"/>
            <w:noWrap w:val="0"/>
            <w:vAlign w:val="center"/>
          </w:tcPr>
          <w:p w14:paraId="219D39F5">
            <w:pPr>
              <w:widowControl/>
              <w:jc w:val="center"/>
              <w:rPr>
                <w:rFonts w:ascii="宋体" w:hAnsi="宋体" w:cs="宋体"/>
                <w:kern w:val="0"/>
                <w:szCs w:val="21"/>
              </w:rPr>
            </w:pPr>
          </w:p>
        </w:tc>
      </w:tr>
      <w:tr w14:paraId="25FA97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7283F44C">
            <w:pPr>
              <w:widowControl/>
              <w:jc w:val="center"/>
              <w:textAlignment w:val="center"/>
              <w:rPr>
                <w:rFonts w:hint="eastAsia" w:ascii="宋体" w:hAnsi="宋体" w:cs="宋体"/>
                <w:kern w:val="0"/>
                <w:szCs w:val="21"/>
              </w:rPr>
            </w:pPr>
          </w:p>
        </w:tc>
        <w:tc>
          <w:tcPr>
            <w:tcW w:w="4572" w:type="dxa"/>
            <w:noWrap w:val="0"/>
            <w:vAlign w:val="center"/>
          </w:tcPr>
          <w:p w14:paraId="0D04C9F7">
            <w:pPr>
              <w:widowControl/>
              <w:jc w:val="left"/>
              <w:textAlignment w:val="center"/>
              <w:rPr>
                <w:rFonts w:hint="eastAsia" w:ascii="宋体" w:hAnsi="宋体" w:cs="宋体"/>
                <w:kern w:val="0"/>
                <w:szCs w:val="21"/>
              </w:rPr>
            </w:pPr>
          </w:p>
        </w:tc>
        <w:tc>
          <w:tcPr>
            <w:tcW w:w="899" w:type="dxa"/>
            <w:noWrap w:val="0"/>
            <w:vAlign w:val="center"/>
          </w:tcPr>
          <w:p w14:paraId="63DE31AE">
            <w:pPr>
              <w:jc w:val="center"/>
              <w:rPr>
                <w:rFonts w:hint="eastAsia" w:ascii="宋体" w:hAnsi="宋体" w:cs="宋体"/>
                <w:kern w:val="0"/>
                <w:szCs w:val="21"/>
              </w:rPr>
            </w:pPr>
          </w:p>
        </w:tc>
        <w:tc>
          <w:tcPr>
            <w:tcW w:w="899" w:type="dxa"/>
            <w:noWrap w:val="0"/>
            <w:vAlign w:val="center"/>
          </w:tcPr>
          <w:p w14:paraId="30D0F119">
            <w:pPr>
              <w:jc w:val="right"/>
              <w:rPr>
                <w:rFonts w:hint="eastAsia" w:ascii="宋体" w:hAnsi="宋体" w:cs="宋体"/>
                <w:kern w:val="0"/>
                <w:szCs w:val="21"/>
              </w:rPr>
            </w:pPr>
          </w:p>
        </w:tc>
        <w:tc>
          <w:tcPr>
            <w:tcW w:w="1079" w:type="dxa"/>
            <w:noWrap w:val="0"/>
            <w:vAlign w:val="center"/>
          </w:tcPr>
          <w:p w14:paraId="71000560">
            <w:pPr>
              <w:widowControl/>
              <w:jc w:val="center"/>
              <w:rPr>
                <w:rFonts w:ascii="宋体" w:hAnsi="宋体" w:cs="宋体"/>
                <w:kern w:val="0"/>
                <w:szCs w:val="21"/>
              </w:rPr>
            </w:pPr>
          </w:p>
        </w:tc>
        <w:tc>
          <w:tcPr>
            <w:tcW w:w="1079" w:type="dxa"/>
            <w:noWrap w:val="0"/>
            <w:vAlign w:val="center"/>
          </w:tcPr>
          <w:p w14:paraId="14461260">
            <w:pPr>
              <w:widowControl/>
              <w:jc w:val="center"/>
              <w:rPr>
                <w:rFonts w:ascii="宋体" w:hAnsi="宋体" w:cs="宋体"/>
                <w:kern w:val="0"/>
                <w:szCs w:val="21"/>
              </w:rPr>
            </w:pPr>
          </w:p>
        </w:tc>
      </w:tr>
      <w:tr w14:paraId="7473CF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5F5E15E2">
            <w:pPr>
              <w:widowControl/>
              <w:jc w:val="center"/>
              <w:textAlignment w:val="center"/>
              <w:rPr>
                <w:rFonts w:hint="eastAsia" w:ascii="宋体" w:hAnsi="宋体" w:cs="宋体"/>
                <w:kern w:val="0"/>
                <w:szCs w:val="21"/>
              </w:rPr>
            </w:pPr>
          </w:p>
        </w:tc>
        <w:tc>
          <w:tcPr>
            <w:tcW w:w="4572" w:type="dxa"/>
            <w:noWrap w:val="0"/>
            <w:vAlign w:val="center"/>
          </w:tcPr>
          <w:p w14:paraId="5F162435">
            <w:pPr>
              <w:widowControl/>
              <w:jc w:val="left"/>
              <w:textAlignment w:val="center"/>
              <w:rPr>
                <w:rFonts w:hint="eastAsia" w:ascii="宋体" w:hAnsi="宋体" w:cs="宋体"/>
                <w:kern w:val="0"/>
                <w:szCs w:val="21"/>
              </w:rPr>
            </w:pPr>
          </w:p>
        </w:tc>
        <w:tc>
          <w:tcPr>
            <w:tcW w:w="899" w:type="dxa"/>
            <w:noWrap w:val="0"/>
            <w:vAlign w:val="center"/>
          </w:tcPr>
          <w:p w14:paraId="338595D1">
            <w:pPr>
              <w:jc w:val="center"/>
              <w:rPr>
                <w:rFonts w:hint="eastAsia" w:ascii="宋体" w:hAnsi="宋体" w:cs="宋体"/>
                <w:kern w:val="0"/>
                <w:szCs w:val="21"/>
              </w:rPr>
            </w:pPr>
          </w:p>
        </w:tc>
        <w:tc>
          <w:tcPr>
            <w:tcW w:w="899" w:type="dxa"/>
            <w:noWrap w:val="0"/>
            <w:vAlign w:val="center"/>
          </w:tcPr>
          <w:p w14:paraId="76C5D819">
            <w:pPr>
              <w:jc w:val="right"/>
              <w:rPr>
                <w:rFonts w:hint="eastAsia" w:ascii="宋体" w:hAnsi="宋体" w:cs="宋体"/>
                <w:kern w:val="0"/>
                <w:szCs w:val="21"/>
              </w:rPr>
            </w:pPr>
          </w:p>
        </w:tc>
        <w:tc>
          <w:tcPr>
            <w:tcW w:w="1079" w:type="dxa"/>
            <w:noWrap w:val="0"/>
            <w:vAlign w:val="center"/>
          </w:tcPr>
          <w:p w14:paraId="79C3701B">
            <w:pPr>
              <w:widowControl/>
              <w:jc w:val="center"/>
              <w:rPr>
                <w:rFonts w:ascii="宋体" w:hAnsi="宋体" w:cs="宋体"/>
                <w:kern w:val="0"/>
                <w:szCs w:val="21"/>
              </w:rPr>
            </w:pPr>
          </w:p>
        </w:tc>
        <w:tc>
          <w:tcPr>
            <w:tcW w:w="1079" w:type="dxa"/>
            <w:noWrap w:val="0"/>
            <w:vAlign w:val="center"/>
          </w:tcPr>
          <w:p w14:paraId="2EA74724">
            <w:pPr>
              <w:widowControl/>
              <w:jc w:val="center"/>
              <w:rPr>
                <w:rFonts w:ascii="宋体" w:hAnsi="宋体" w:cs="宋体"/>
                <w:kern w:val="0"/>
                <w:szCs w:val="21"/>
              </w:rPr>
            </w:pPr>
          </w:p>
        </w:tc>
      </w:tr>
      <w:tr w14:paraId="1CD192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490EA14F">
            <w:pPr>
              <w:widowControl/>
              <w:jc w:val="center"/>
              <w:textAlignment w:val="center"/>
              <w:rPr>
                <w:rFonts w:hint="eastAsia" w:ascii="宋体" w:hAnsi="宋体" w:cs="宋体"/>
                <w:kern w:val="0"/>
                <w:szCs w:val="21"/>
              </w:rPr>
            </w:pPr>
          </w:p>
        </w:tc>
        <w:tc>
          <w:tcPr>
            <w:tcW w:w="4572" w:type="dxa"/>
            <w:noWrap w:val="0"/>
            <w:vAlign w:val="center"/>
          </w:tcPr>
          <w:p w14:paraId="1DE23FDD">
            <w:pPr>
              <w:widowControl/>
              <w:jc w:val="left"/>
              <w:textAlignment w:val="center"/>
              <w:rPr>
                <w:rFonts w:hint="eastAsia" w:ascii="宋体" w:hAnsi="宋体" w:cs="宋体"/>
                <w:kern w:val="0"/>
                <w:szCs w:val="21"/>
              </w:rPr>
            </w:pPr>
          </w:p>
        </w:tc>
        <w:tc>
          <w:tcPr>
            <w:tcW w:w="899" w:type="dxa"/>
            <w:noWrap w:val="0"/>
            <w:vAlign w:val="center"/>
          </w:tcPr>
          <w:p w14:paraId="7C7A5151">
            <w:pPr>
              <w:widowControl/>
              <w:jc w:val="center"/>
              <w:textAlignment w:val="center"/>
              <w:rPr>
                <w:rFonts w:hint="eastAsia" w:ascii="宋体" w:hAnsi="宋体" w:cs="宋体"/>
                <w:kern w:val="0"/>
                <w:szCs w:val="21"/>
              </w:rPr>
            </w:pPr>
          </w:p>
        </w:tc>
        <w:tc>
          <w:tcPr>
            <w:tcW w:w="899" w:type="dxa"/>
            <w:noWrap w:val="0"/>
            <w:vAlign w:val="center"/>
          </w:tcPr>
          <w:p w14:paraId="3B603991">
            <w:pPr>
              <w:widowControl/>
              <w:jc w:val="right"/>
              <w:textAlignment w:val="center"/>
              <w:rPr>
                <w:rFonts w:hint="eastAsia" w:ascii="宋体" w:hAnsi="宋体" w:cs="宋体"/>
                <w:kern w:val="0"/>
                <w:szCs w:val="21"/>
              </w:rPr>
            </w:pPr>
          </w:p>
        </w:tc>
        <w:tc>
          <w:tcPr>
            <w:tcW w:w="1079" w:type="dxa"/>
            <w:noWrap w:val="0"/>
            <w:vAlign w:val="center"/>
          </w:tcPr>
          <w:p w14:paraId="04A2D582">
            <w:pPr>
              <w:widowControl/>
              <w:jc w:val="center"/>
              <w:rPr>
                <w:rFonts w:ascii="宋体" w:hAnsi="宋体" w:cs="宋体"/>
                <w:kern w:val="0"/>
                <w:szCs w:val="21"/>
              </w:rPr>
            </w:pPr>
          </w:p>
        </w:tc>
        <w:tc>
          <w:tcPr>
            <w:tcW w:w="1079" w:type="dxa"/>
            <w:noWrap w:val="0"/>
            <w:vAlign w:val="center"/>
          </w:tcPr>
          <w:p w14:paraId="53E7BCE3">
            <w:pPr>
              <w:widowControl/>
              <w:jc w:val="center"/>
              <w:rPr>
                <w:rFonts w:ascii="宋体" w:hAnsi="宋体" w:cs="宋体"/>
                <w:kern w:val="0"/>
                <w:szCs w:val="21"/>
              </w:rPr>
            </w:pPr>
          </w:p>
        </w:tc>
      </w:tr>
      <w:tr w14:paraId="576F73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3FE969E5">
            <w:pPr>
              <w:widowControl/>
              <w:jc w:val="center"/>
              <w:textAlignment w:val="center"/>
              <w:rPr>
                <w:rFonts w:hint="eastAsia" w:ascii="宋体" w:hAnsi="宋体" w:cs="宋体"/>
                <w:kern w:val="0"/>
                <w:szCs w:val="21"/>
              </w:rPr>
            </w:pPr>
          </w:p>
        </w:tc>
        <w:tc>
          <w:tcPr>
            <w:tcW w:w="4572" w:type="dxa"/>
            <w:noWrap w:val="0"/>
            <w:vAlign w:val="center"/>
          </w:tcPr>
          <w:p w14:paraId="32A58F70">
            <w:pPr>
              <w:widowControl/>
              <w:jc w:val="left"/>
              <w:textAlignment w:val="center"/>
              <w:rPr>
                <w:rFonts w:hint="eastAsia" w:ascii="宋体" w:hAnsi="宋体" w:cs="宋体"/>
                <w:kern w:val="0"/>
                <w:szCs w:val="21"/>
              </w:rPr>
            </w:pPr>
          </w:p>
        </w:tc>
        <w:tc>
          <w:tcPr>
            <w:tcW w:w="899" w:type="dxa"/>
            <w:noWrap w:val="0"/>
            <w:vAlign w:val="center"/>
          </w:tcPr>
          <w:p w14:paraId="4F717B76">
            <w:pPr>
              <w:jc w:val="center"/>
              <w:rPr>
                <w:rFonts w:hint="eastAsia" w:ascii="宋体" w:hAnsi="宋体" w:cs="宋体"/>
                <w:kern w:val="0"/>
                <w:szCs w:val="21"/>
              </w:rPr>
            </w:pPr>
          </w:p>
        </w:tc>
        <w:tc>
          <w:tcPr>
            <w:tcW w:w="899" w:type="dxa"/>
            <w:noWrap w:val="0"/>
            <w:vAlign w:val="center"/>
          </w:tcPr>
          <w:p w14:paraId="6AF055C9">
            <w:pPr>
              <w:jc w:val="right"/>
              <w:rPr>
                <w:rFonts w:hint="eastAsia" w:ascii="宋体" w:hAnsi="宋体" w:cs="宋体"/>
                <w:kern w:val="0"/>
                <w:szCs w:val="21"/>
              </w:rPr>
            </w:pPr>
          </w:p>
        </w:tc>
        <w:tc>
          <w:tcPr>
            <w:tcW w:w="1079" w:type="dxa"/>
            <w:noWrap w:val="0"/>
            <w:vAlign w:val="center"/>
          </w:tcPr>
          <w:p w14:paraId="4E6E10EB">
            <w:pPr>
              <w:widowControl/>
              <w:jc w:val="center"/>
              <w:rPr>
                <w:rFonts w:ascii="宋体" w:hAnsi="宋体" w:cs="宋体"/>
                <w:kern w:val="0"/>
                <w:szCs w:val="21"/>
              </w:rPr>
            </w:pPr>
          </w:p>
        </w:tc>
        <w:tc>
          <w:tcPr>
            <w:tcW w:w="1079" w:type="dxa"/>
            <w:noWrap w:val="0"/>
            <w:vAlign w:val="center"/>
          </w:tcPr>
          <w:p w14:paraId="7A6C65AB">
            <w:pPr>
              <w:widowControl/>
              <w:jc w:val="center"/>
              <w:rPr>
                <w:rFonts w:ascii="宋体" w:hAnsi="宋体" w:cs="宋体"/>
                <w:kern w:val="0"/>
                <w:szCs w:val="21"/>
              </w:rPr>
            </w:pPr>
          </w:p>
        </w:tc>
      </w:tr>
      <w:tr w14:paraId="162B46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32DD17D0">
            <w:pPr>
              <w:widowControl/>
              <w:jc w:val="center"/>
              <w:textAlignment w:val="center"/>
              <w:rPr>
                <w:rFonts w:hint="eastAsia" w:ascii="宋体" w:hAnsi="宋体" w:cs="宋体"/>
                <w:kern w:val="0"/>
                <w:szCs w:val="21"/>
              </w:rPr>
            </w:pPr>
          </w:p>
        </w:tc>
        <w:tc>
          <w:tcPr>
            <w:tcW w:w="4572" w:type="dxa"/>
            <w:noWrap w:val="0"/>
            <w:vAlign w:val="center"/>
          </w:tcPr>
          <w:p w14:paraId="763CF789">
            <w:pPr>
              <w:widowControl/>
              <w:jc w:val="left"/>
              <w:textAlignment w:val="center"/>
              <w:rPr>
                <w:rFonts w:hint="eastAsia" w:ascii="宋体" w:hAnsi="宋体" w:cs="宋体"/>
                <w:kern w:val="0"/>
                <w:szCs w:val="21"/>
              </w:rPr>
            </w:pPr>
          </w:p>
        </w:tc>
        <w:tc>
          <w:tcPr>
            <w:tcW w:w="899" w:type="dxa"/>
            <w:noWrap w:val="0"/>
            <w:vAlign w:val="center"/>
          </w:tcPr>
          <w:p w14:paraId="143EC866">
            <w:pPr>
              <w:widowControl/>
              <w:jc w:val="center"/>
              <w:textAlignment w:val="center"/>
              <w:rPr>
                <w:rFonts w:hint="eastAsia" w:ascii="宋体" w:hAnsi="宋体" w:cs="宋体"/>
                <w:kern w:val="0"/>
                <w:szCs w:val="21"/>
              </w:rPr>
            </w:pPr>
          </w:p>
        </w:tc>
        <w:tc>
          <w:tcPr>
            <w:tcW w:w="899" w:type="dxa"/>
            <w:noWrap w:val="0"/>
            <w:vAlign w:val="center"/>
          </w:tcPr>
          <w:p w14:paraId="7A142C4B">
            <w:pPr>
              <w:widowControl/>
              <w:jc w:val="right"/>
              <w:textAlignment w:val="center"/>
              <w:rPr>
                <w:rFonts w:hint="eastAsia" w:ascii="宋体" w:hAnsi="宋体" w:cs="宋体"/>
                <w:kern w:val="0"/>
                <w:szCs w:val="21"/>
              </w:rPr>
            </w:pPr>
          </w:p>
        </w:tc>
        <w:tc>
          <w:tcPr>
            <w:tcW w:w="1079" w:type="dxa"/>
            <w:noWrap w:val="0"/>
            <w:vAlign w:val="center"/>
          </w:tcPr>
          <w:p w14:paraId="41C815F8">
            <w:pPr>
              <w:widowControl/>
              <w:jc w:val="center"/>
              <w:rPr>
                <w:rFonts w:ascii="宋体" w:hAnsi="宋体" w:cs="宋体"/>
                <w:kern w:val="0"/>
                <w:szCs w:val="21"/>
              </w:rPr>
            </w:pPr>
          </w:p>
        </w:tc>
        <w:tc>
          <w:tcPr>
            <w:tcW w:w="1079" w:type="dxa"/>
            <w:noWrap w:val="0"/>
            <w:vAlign w:val="center"/>
          </w:tcPr>
          <w:p w14:paraId="3BF548AE">
            <w:pPr>
              <w:widowControl/>
              <w:jc w:val="center"/>
              <w:rPr>
                <w:rFonts w:ascii="宋体" w:hAnsi="宋体" w:cs="宋体"/>
                <w:kern w:val="0"/>
                <w:szCs w:val="21"/>
              </w:rPr>
            </w:pPr>
          </w:p>
        </w:tc>
      </w:tr>
      <w:tr w14:paraId="15BC95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21F5B7F2">
            <w:pPr>
              <w:widowControl/>
              <w:jc w:val="center"/>
              <w:textAlignment w:val="center"/>
              <w:rPr>
                <w:rFonts w:hint="eastAsia" w:ascii="宋体" w:hAnsi="宋体" w:cs="宋体"/>
                <w:kern w:val="0"/>
                <w:szCs w:val="21"/>
              </w:rPr>
            </w:pPr>
          </w:p>
        </w:tc>
        <w:tc>
          <w:tcPr>
            <w:tcW w:w="4572" w:type="dxa"/>
            <w:noWrap w:val="0"/>
            <w:vAlign w:val="center"/>
          </w:tcPr>
          <w:p w14:paraId="068CF2FA">
            <w:pPr>
              <w:widowControl/>
              <w:jc w:val="left"/>
              <w:textAlignment w:val="center"/>
              <w:rPr>
                <w:rFonts w:hint="eastAsia" w:ascii="宋体" w:hAnsi="宋体" w:cs="宋体"/>
                <w:kern w:val="0"/>
                <w:szCs w:val="21"/>
              </w:rPr>
            </w:pPr>
          </w:p>
        </w:tc>
        <w:tc>
          <w:tcPr>
            <w:tcW w:w="899" w:type="dxa"/>
            <w:noWrap w:val="0"/>
            <w:vAlign w:val="center"/>
          </w:tcPr>
          <w:p w14:paraId="44CAEDE2">
            <w:pPr>
              <w:jc w:val="center"/>
              <w:rPr>
                <w:rFonts w:hint="eastAsia" w:ascii="宋体" w:hAnsi="宋体" w:cs="宋体"/>
                <w:kern w:val="0"/>
                <w:szCs w:val="21"/>
              </w:rPr>
            </w:pPr>
          </w:p>
        </w:tc>
        <w:tc>
          <w:tcPr>
            <w:tcW w:w="899" w:type="dxa"/>
            <w:noWrap w:val="0"/>
            <w:vAlign w:val="center"/>
          </w:tcPr>
          <w:p w14:paraId="51061BB2">
            <w:pPr>
              <w:jc w:val="right"/>
              <w:rPr>
                <w:rFonts w:hint="eastAsia" w:ascii="宋体" w:hAnsi="宋体" w:cs="宋体"/>
                <w:kern w:val="0"/>
                <w:szCs w:val="21"/>
              </w:rPr>
            </w:pPr>
          </w:p>
        </w:tc>
        <w:tc>
          <w:tcPr>
            <w:tcW w:w="1079" w:type="dxa"/>
            <w:noWrap w:val="0"/>
            <w:vAlign w:val="center"/>
          </w:tcPr>
          <w:p w14:paraId="3764E329">
            <w:pPr>
              <w:widowControl/>
              <w:jc w:val="center"/>
              <w:rPr>
                <w:rFonts w:ascii="宋体" w:hAnsi="宋体" w:cs="宋体"/>
                <w:kern w:val="0"/>
                <w:szCs w:val="21"/>
              </w:rPr>
            </w:pPr>
          </w:p>
        </w:tc>
        <w:tc>
          <w:tcPr>
            <w:tcW w:w="1079" w:type="dxa"/>
            <w:noWrap w:val="0"/>
            <w:vAlign w:val="center"/>
          </w:tcPr>
          <w:p w14:paraId="426F112B">
            <w:pPr>
              <w:widowControl/>
              <w:jc w:val="center"/>
              <w:rPr>
                <w:rFonts w:ascii="宋体" w:hAnsi="宋体" w:cs="宋体"/>
                <w:kern w:val="0"/>
                <w:szCs w:val="21"/>
              </w:rPr>
            </w:pPr>
          </w:p>
        </w:tc>
      </w:tr>
      <w:tr w14:paraId="476C8B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552C89E9">
            <w:pPr>
              <w:widowControl/>
              <w:jc w:val="center"/>
              <w:textAlignment w:val="center"/>
              <w:rPr>
                <w:rFonts w:hint="eastAsia" w:ascii="宋体" w:hAnsi="宋体" w:cs="宋体"/>
                <w:kern w:val="0"/>
                <w:szCs w:val="21"/>
              </w:rPr>
            </w:pPr>
          </w:p>
        </w:tc>
        <w:tc>
          <w:tcPr>
            <w:tcW w:w="4572" w:type="dxa"/>
            <w:noWrap w:val="0"/>
            <w:vAlign w:val="center"/>
          </w:tcPr>
          <w:p w14:paraId="6FAEDAA6">
            <w:pPr>
              <w:widowControl/>
              <w:jc w:val="left"/>
              <w:textAlignment w:val="center"/>
              <w:rPr>
                <w:rFonts w:hint="eastAsia" w:ascii="宋体" w:hAnsi="宋体" w:cs="宋体"/>
                <w:kern w:val="0"/>
                <w:szCs w:val="21"/>
              </w:rPr>
            </w:pPr>
          </w:p>
        </w:tc>
        <w:tc>
          <w:tcPr>
            <w:tcW w:w="899" w:type="dxa"/>
            <w:noWrap w:val="0"/>
            <w:vAlign w:val="center"/>
          </w:tcPr>
          <w:p w14:paraId="00631336">
            <w:pPr>
              <w:widowControl/>
              <w:jc w:val="center"/>
              <w:textAlignment w:val="center"/>
              <w:rPr>
                <w:rFonts w:hint="eastAsia" w:ascii="宋体" w:hAnsi="宋体" w:cs="宋体"/>
                <w:kern w:val="0"/>
                <w:szCs w:val="21"/>
              </w:rPr>
            </w:pPr>
          </w:p>
        </w:tc>
        <w:tc>
          <w:tcPr>
            <w:tcW w:w="899" w:type="dxa"/>
            <w:noWrap w:val="0"/>
            <w:vAlign w:val="center"/>
          </w:tcPr>
          <w:p w14:paraId="63142186">
            <w:pPr>
              <w:widowControl/>
              <w:jc w:val="right"/>
              <w:textAlignment w:val="center"/>
              <w:rPr>
                <w:rFonts w:hint="eastAsia" w:ascii="宋体" w:hAnsi="宋体" w:cs="宋体"/>
                <w:kern w:val="0"/>
                <w:szCs w:val="21"/>
              </w:rPr>
            </w:pPr>
          </w:p>
        </w:tc>
        <w:tc>
          <w:tcPr>
            <w:tcW w:w="1079" w:type="dxa"/>
            <w:noWrap w:val="0"/>
            <w:vAlign w:val="center"/>
          </w:tcPr>
          <w:p w14:paraId="073FBD9B">
            <w:pPr>
              <w:widowControl/>
              <w:jc w:val="center"/>
              <w:rPr>
                <w:rFonts w:ascii="宋体" w:hAnsi="宋体" w:cs="宋体"/>
                <w:kern w:val="0"/>
                <w:szCs w:val="21"/>
              </w:rPr>
            </w:pPr>
          </w:p>
        </w:tc>
        <w:tc>
          <w:tcPr>
            <w:tcW w:w="1079" w:type="dxa"/>
            <w:noWrap w:val="0"/>
            <w:vAlign w:val="center"/>
          </w:tcPr>
          <w:p w14:paraId="7274F44F">
            <w:pPr>
              <w:widowControl/>
              <w:jc w:val="center"/>
              <w:rPr>
                <w:rFonts w:ascii="宋体" w:hAnsi="宋体" w:cs="宋体"/>
                <w:kern w:val="0"/>
                <w:szCs w:val="21"/>
              </w:rPr>
            </w:pPr>
          </w:p>
        </w:tc>
      </w:tr>
      <w:tr w14:paraId="67C9E3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68" w:type="dxa"/>
            <w:gridSpan w:val="6"/>
            <w:noWrap w:val="0"/>
            <w:vAlign w:val="center"/>
          </w:tcPr>
          <w:p w14:paraId="41629791">
            <w:pPr>
              <w:widowControl/>
              <w:jc w:val="center"/>
              <w:rPr>
                <w:rFonts w:ascii="宋体" w:hAnsi="宋体" w:cs="宋体"/>
                <w:b/>
                <w:kern w:val="0"/>
                <w:szCs w:val="21"/>
              </w:rPr>
            </w:pPr>
            <w:r>
              <w:rPr>
                <w:rFonts w:hint="eastAsia" w:ascii="宋体" w:hAnsi="宋体" w:cs="宋体"/>
                <w:b/>
                <w:kern w:val="0"/>
                <w:szCs w:val="21"/>
              </w:rPr>
              <w:t>清单300章合计   人民币</w:t>
            </w:r>
            <w:r>
              <w:rPr>
                <w:rFonts w:hint="eastAsia" w:ascii="宋体" w:hAnsi="宋体" w:cs="宋体"/>
                <w:b/>
                <w:kern w:val="0"/>
                <w:szCs w:val="21"/>
                <w:u w:val="single"/>
              </w:rPr>
              <w:t xml:space="preserve">       </w:t>
            </w:r>
            <w:r>
              <w:rPr>
                <w:rFonts w:hint="eastAsia" w:ascii="宋体" w:hAnsi="宋体" w:cs="宋体"/>
                <w:b/>
                <w:kern w:val="0"/>
                <w:szCs w:val="21"/>
              </w:rPr>
              <w:t>元</w:t>
            </w:r>
          </w:p>
        </w:tc>
      </w:tr>
    </w:tbl>
    <w:p w14:paraId="0DF18BE2">
      <w:pPr>
        <w:spacing w:before="240" w:beforeLines="100" w:after="240" w:afterLines="100"/>
        <w:jc w:val="center"/>
        <w:rPr>
          <w:rFonts w:hint="eastAsia" w:ascii="黑体" w:hAnsi="宋体" w:eastAsia="黑体"/>
          <w:sz w:val="30"/>
          <w:szCs w:val="30"/>
        </w:rPr>
      </w:pPr>
      <w:r>
        <w:rPr>
          <w:rFonts w:hint="eastAsia" w:ascii="黑体" w:hAnsi="宋体" w:eastAsia="黑体"/>
          <w:sz w:val="30"/>
          <w:szCs w:val="30"/>
        </w:rPr>
        <w:t>工程量清单</w:t>
      </w:r>
    </w:p>
    <w:p w14:paraId="787AD280">
      <w:pPr>
        <w:pStyle w:val="50"/>
        <w:ind w:left="0" w:leftChars="0" w:firstLine="0" w:firstLine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标项</w:t>
      </w: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w:t>
      </w:r>
      <w:r>
        <w:rPr>
          <w:rFonts w:hint="eastAsia" w:asciiTheme="minorEastAsia" w:hAnsiTheme="minorEastAsia" w:cstheme="minorEastAsia"/>
          <w:sz w:val="24"/>
          <w:szCs w:val="24"/>
          <w:lang w:eastAsia="zh-CN"/>
        </w:rPr>
        <w:t>2026年秀洲区县道及以上公路小修及应急抢险项目</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第一</w:t>
      </w:r>
      <w:r>
        <w:rPr>
          <w:rFonts w:hint="eastAsia" w:asciiTheme="minorEastAsia" w:hAnsiTheme="minorEastAsia" w:eastAsiaTheme="minorEastAsia" w:cstheme="minorEastAsia"/>
          <w:sz w:val="24"/>
          <w:szCs w:val="24"/>
          <w:lang w:eastAsia="zh-CN"/>
        </w:rPr>
        <w:t>标段）</w:t>
      </w:r>
    </w:p>
    <w:p w14:paraId="40CE9D27">
      <w:pPr>
        <w:pStyle w:val="50"/>
        <w:ind w:left="0" w:leftChars="0" w:firstLine="0" w:firstLineChars="0"/>
        <w:rPr>
          <w:rFonts w:hint="eastAsia" w:ascii="黑体" w:hAnsi="宋体" w:eastAsia="黑体"/>
          <w:sz w:val="30"/>
          <w:szCs w:val="30"/>
        </w:rPr>
      </w:pPr>
      <w:r>
        <w:rPr>
          <w:rFonts w:hint="eastAsia" w:asciiTheme="minorEastAsia" w:hAnsiTheme="minorEastAsia" w:eastAsiaTheme="minorEastAsia" w:cstheme="minorEastAsia"/>
          <w:sz w:val="24"/>
          <w:szCs w:val="24"/>
        </w:rPr>
        <w:t>货币单位：人民币元</w:t>
      </w:r>
    </w:p>
    <w:p w14:paraId="656C372E">
      <w:pPr>
        <w:tabs>
          <w:tab w:val="left" w:pos="3885"/>
        </w:tabs>
        <w:rPr>
          <w:rFonts w:hint="eastAsia"/>
        </w:rPr>
      </w:pPr>
      <w:r>
        <w:tab/>
      </w:r>
    </w:p>
    <w:tbl>
      <w:tblPr>
        <w:tblStyle w:val="51"/>
        <w:tblW w:w="946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40"/>
        <w:gridCol w:w="4572"/>
        <w:gridCol w:w="899"/>
        <w:gridCol w:w="899"/>
        <w:gridCol w:w="1079"/>
        <w:gridCol w:w="1079"/>
      </w:tblGrid>
      <w:tr w14:paraId="16F244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68" w:type="dxa"/>
            <w:gridSpan w:val="6"/>
            <w:noWrap w:val="0"/>
            <w:vAlign w:val="center"/>
          </w:tcPr>
          <w:p w14:paraId="6AB3BBB8">
            <w:pPr>
              <w:ind w:firstLine="103" w:firstLineChars="49"/>
              <w:jc w:val="center"/>
              <w:rPr>
                <w:rFonts w:ascii="宋体" w:hAnsi="宋体"/>
                <w:b/>
                <w:bCs/>
              </w:rPr>
            </w:pPr>
            <w:r>
              <w:rPr>
                <w:rFonts w:hint="eastAsia" w:ascii="宋体" w:hAnsi="宋体"/>
                <w:b/>
                <w:bCs/>
              </w:rPr>
              <w:t>清单      第</w:t>
            </w:r>
            <w:r>
              <w:rPr>
                <w:rFonts w:hint="eastAsia" w:ascii="宋体" w:hAnsi="宋体"/>
                <w:b/>
                <w:bCs/>
                <w:lang w:val="en-US" w:eastAsia="zh-CN"/>
              </w:rPr>
              <w:t>4</w:t>
            </w:r>
            <w:r>
              <w:rPr>
                <w:rFonts w:hint="eastAsia" w:ascii="宋体" w:hAnsi="宋体"/>
                <w:b/>
                <w:bCs/>
              </w:rPr>
              <w:t>00章      桥梁与涵洞</w:t>
            </w:r>
          </w:p>
        </w:tc>
      </w:tr>
      <w:tr w14:paraId="3F3E8D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2B60C703">
            <w:pPr>
              <w:widowControl/>
              <w:jc w:val="left"/>
              <w:rPr>
                <w:rFonts w:ascii="宋体" w:hAnsi="宋体" w:cs="宋体"/>
                <w:kern w:val="0"/>
                <w:szCs w:val="21"/>
              </w:rPr>
            </w:pPr>
            <w:r>
              <w:rPr>
                <w:rFonts w:hint="eastAsia" w:ascii="宋体" w:hAnsi="宋体" w:cs="宋体"/>
                <w:kern w:val="0"/>
                <w:szCs w:val="21"/>
              </w:rPr>
              <w:t>子目号</w:t>
            </w:r>
          </w:p>
        </w:tc>
        <w:tc>
          <w:tcPr>
            <w:tcW w:w="4572" w:type="dxa"/>
            <w:noWrap w:val="0"/>
            <w:vAlign w:val="center"/>
          </w:tcPr>
          <w:p w14:paraId="6490AAD8">
            <w:pPr>
              <w:widowControl/>
              <w:jc w:val="center"/>
              <w:rPr>
                <w:rFonts w:ascii="宋体" w:hAnsi="宋体" w:cs="宋体"/>
                <w:kern w:val="0"/>
                <w:szCs w:val="21"/>
              </w:rPr>
            </w:pPr>
            <w:r>
              <w:rPr>
                <w:rFonts w:hint="eastAsia" w:ascii="宋体" w:hAnsi="宋体" w:cs="宋体"/>
                <w:kern w:val="0"/>
                <w:szCs w:val="21"/>
              </w:rPr>
              <w:t>子  目  名  称</w:t>
            </w:r>
          </w:p>
        </w:tc>
        <w:tc>
          <w:tcPr>
            <w:tcW w:w="899" w:type="dxa"/>
            <w:noWrap w:val="0"/>
            <w:vAlign w:val="center"/>
          </w:tcPr>
          <w:p w14:paraId="37923091">
            <w:pPr>
              <w:widowControl/>
              <w:jc w:val="center"/>
              <w:rPr>
                <w:rFonts w:ascii="宋体" w:hAnsi="宋体" w:cs="宋体"/>
                <w:kern w:val="0"/>
                <w:szCs w:val="21"/>
              </w:rPr>
            </w:pPr>
            <w:r>
              <w:rPr>
                <w:rFonts w:hint="eastAsia" w:ascii="宋体" w:hAnsi="宋体" w:cs="宋体"/>
                <w:kern w:val="0"/>
                <w:szCs w:val="21"/>
              </w:rPr>
              <w:t>单位</w:t>
            </w:r>
          </w:p>
        </w:tc>
        <w:tc>
          <w:tcPr>
            <w:tcW w:w="899" w:type="dxa"/>
            <w:noWrap w:val="0"/>
            <w:vAlign w:val="center"/>
          </w:tcPr>
          <w:p w14:paraId="1EB2DCB0">
            <w:pPr>
              <w:widowControl/>
              <w:jc w:val="center"/>
              <w:rPr>
                <w:rFonts w:ascii="宋体" w:hAnsi="宋体" w:cs="宋体"/>
                <w:kern w:val="0"/>
                <w:szCs w:val="21"/>
              </w:rPr>
            </w:pPr>
            <w:r>
              <w:rPr>
                <w:rFonts w:hint="eastAsia" w:ascii="宋体" w:hAnsi="宋体" w:cs="宋体"/>
                <w:kern w:val="0"/>
                <w:szCs w:val="21"/>
              </w:rPr>
              <w:t>数量</w:t>
            </w:r>
          </w:p>
        </w:tc>
        <w:tc>
          <w:tcPr>
            <w:tcW w:w="1079" w:type="dxa"/>
            <w:noWrap w:val="0"/>
            <w:vAlign w:val="center"/>
          </w:tcPr>
          <w:p w14:paraId="3A4E7B53">
            <w:pPr>
              <w:widowControl/>
              <w:jc w:val="center"/>
              <w:rPr>
                <w:rFonts w:ascii="宋体" w:hAnsi="宋体" w:cs="宋体"/>
                <w:kern w:val="0"/>
                <w:szCs w:val="21"/>
              </w:rPr>
            </w:pPr>
            <w:r>
              <w:rPr>
                <w:rFonts w:hint="eastAsia" w:ascii="宋体" w:hAnsi="宋体" w:cs="宋体"/>
                <w:kern w:val="0"/>
                <w:szCs w:val="21"/>
              </w:rPr>
              <w:t>单价</w:t>
            </w:r>
          </w:p>
        </w:tc>
        <w:tc>
          <w:tcPr>
            <w:tcW w:w="1079" w:type="dxa"/>
            <w:noWrap w:val="0"/>
            <w:vAlign w:val="center"/>
          </w:tcPr>
          <w:p w14:paraId="2D2FD9D6">
            <w:pPr>
              <w:widowControl/>
              <w:jc w:val="center"/>
              <w:rPr>
                <w:rFonts w:ascii="宋体" w:hAnsi="宋体" w:cs="宋体"/>
                <w:kern w:val="0"/>
                <w:szCs w:val="21"/>
              </w:rPr>
            </w:pPr>
            <w:r>
              <w:rPr>
                <w:rFonts w:hint="eastAsia" w:ascii="宋体" w:hAnsi="宋体" w:cs="宋体"/>
                <w:kern w:val="0"/>
                <w:szCs w:val="21"/>
              </w:rPr>
              <w:t>合价</w:t>
            </w:r>
          </w:p>
        </w:tc>
      </w:tr>
      <w:tr w14:paraId="285AB1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024D756F">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404</w:t>
            </w:r>
          </w:p>
        </w:tc>
        <w:tc>
          <w:tcPr>
            <w:tcW w:w="4572" w:type="dxa"/>
            <w:noWrap w:val="0"/>
            <w:vAlign w:val="center"/>
          </w:tcPr>
          <w:p w14:paraId="30C00652">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涵洞</w:t>
            </w:r>
          </w:p>
        </w:tc>
        <w:tc>
          <w:tcPr>
            <w:tcW w:w="899" w:type="dxa"/>
            <w:noWrap w:val="0"/>
            <w:vAlign w:val="center"/>
          </w:tcPr>
          <w:p w14:paraId="5834A766">
            <w:pPr>
              <w:jc w:val="center"/>
              <w:rPr>
                <w:rFonts w:hint="eastAsia" w:ascii="宋体" w:hAnsi="宋体" w:cs="宋体"/>
                <w:kern w:val="0"/>
                <w:sz w:val="21"/>
                <w:szCs w:val="21"/>
              </w:rPr>
            </w:pPr>
          </w:p>
        </w:tc>
        <w:tc>
          <w:tcPr>
            <w:tcW w:w="899" w:type="dxa"/>
            <w:noWrap w:val="0"/>
            <w:vAlign w:val="center"/>
          </w:tcPr>
          <w:p w14:paraId="497A5CB6">
            <w:pPr>
              <w:jc w:val="right"/>
              <w:rPr>
                <w:rFonts w:hint="eastAsia" w:ascii="宋体" w:hAnsi="宋体" w:cs="宋体"/>
                <w:kern w:val="0"/>
                <w:sz w:val="21"/>
                <w:szCs w:val="21"/>
              </w:rPr>
            </w:pPr>
          </w:p>
        </w:tc>
        <w:tc>
          <w:tcPr>
            <w:tcW w:w="1079" w:type="dxa"/>
            <w:noWrap w:val="0"/>
            <w:vAlign w:val="center"/>
          </w:tcPr>
          <w:p w14:paraId="63687D2A">
            <w:pPr>
              <w:widowControl/>
              <w:jc w:val="center"/>
              <w:rPr>
                <w:rFonts w:hint="eastAsia" w:ascii="宋体" w:hAnsi="宋体" w:cs="宋体"/>
                <w:kern w:val="0"/>
                <w:szCs w:val="21"/>
              </w:rPr>
            </w:pPr>
          </w:p>
        </w:tc>
        <w:tc>
          <w:tcPr>
            <w:tcW w:w="1079" w:type="dxa"/>
            <w:noWrap w:val="0"/>
            <w:vAlign w:val="center"/>
          </w:tcPr>
          <w:p w14:paraId="72BB7676">
            <w:pPr>
              <w:widowControl/>
              <w:jc w:val="center"/>
              <w:rPr>
                <w:rFonts w:hint="eastAsia" w:ascii="宋体" w:hAnsi="宋体" w:cs="宋体"/>
                <w:kern w:val="0"/>
                <w:szCs w:val="21"/>
              </w:rPr>
            </w:pPr>
          </w:p>
        </w:tc>
      </w:tr>
      <w:tr w14:paraId="00EA74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2BDFA0CB">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404-1</w:t>
            </w:r>
          </w:p>
        </w:tc>
        <w:tc>
          <w:tcPr>
            <w:tcW w:w="4572" w:type="dxa"/>
            <w:noWrap w:val="0"/>
            <w:vAlign w:val="center"/>
          </w:tcPr>
          <w:p w14:paraId="6001FDBD">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圆管涵维修</w:t>
            </w:r>
          </w:p>
        </w:tc>
        <w:tc>
          <w:tcPr>
            <w:tcW w:w="899" w:type="dxa"/>
            <w:noWrap w:val="0"/>
            <w:vAlign w:val="center"/>
          </w:tcPr>
          <w:p w14:paraId="5D6FCF2B">
            <w:pPr>
              <w:jc w:val="center"/>
              <w:rPr>
                <w:rFonts w:hint="eastAsia" w:ascii="宋体" w:hAnsi="宋体" w:cs="宋体"/>
                <w:kern w:val="0"/>
                <w:sz w:val="21"/>
                <w:szCs w:val="21"/>
              </w:rPr>
            </w:pPr>
          </w:p>
        </w:tc>
        <w:tc>
          <w:tcPr>
            <w:tcW w:w="899" w:type="dxa"/>
            <w:noWrap w:val="0"/>
            <w:vAlign w:val="center"/>
          </w:tcPr>
          <w:p w14:paraId="50934AC5">
            <w:pPr>
              <w:jc w:val="right"/>
              <w:rPr>
                <w:rFonts w:hint="eastAsia" w:ascii="宋体" w:hAnsi="宋体" w:cs="宋体"/>
                <w:kern w:val="0"/>
                <w:sz w:val="21"/>
                <w:szCs w:val="21"/>
              </w:rPr>
            </w:pPr>
          </w:p>
        </w:tc>
        <w:tc>
          <w:tcPr>
            <w:tcW w:w="1079" w:type="dxa"/>
            <w:noWrap w:val="0"/>
            <w:vAlign w:val="center"/>
          </w:tcPr>
          <w:p w14:paraId="0749A6AB">
            <w:pPr>
              <w:widowControl/>
              <w:jc w:val="center"/>
              <w:rPr>
                <w:rFonts w:hint="eastAsia" w:ascii="宋体" w:hAnsi="宋体" w:cs="宋体"/>
                <w:kern w:val="0"/>
                <w:szCs w:val="21"/>
              </w:rPr>
            </w:pPr>
          </w:p>
        </w:tc>
        <w:tc>
          <w:tcPr>
            <w:tcW w:w="1079" w:type="dxa"/>
            <w:noWrap w:val="0"/>
            <w:vAlign w:val="center"/>
          </w:tcPr>
          <w:p w14:paraId="7D5B8C24">
            <w:pPr>
              <w:widowControl/>
              <w:jc w:val="center"/>
              <w:rPr>
                <w:rFonts w:hint="eastAsia" w:ascii="宋体" w:hAnsi="宋体" w:cs="宋体"/>
                <w:kern w:val="0"/>
                <w:szCs w:val="21"/>
              </w:rPr>
            </w:pPr>
          </w:p>
        </w:tc>
      </w:tr>
      <w:tr w14:paraId="263712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31CADC90">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-a</w:t>
            </w:r>
          </w:p>
        </w:tc>
        <w:tc>
          <w:tcPr>
            <w:tcW w:w="4572" w:type="dxa"/>
            <w:noWrap w:val="0"/>
            <w:vAlign w:val="center"/>
          </w:tcPr>
          <w:p w14:paraId="56C19056">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φ600mm圆管涵</w:t>
            </w:r>
          </w:p>
        </w:tc>
        <w:tc>
          <w:tcPr>
            <w:tcW w:w="899" w:type="dxa"/>
            <w:noWrap w:val="0"/>
            <w:vAlign w:val="center"/>
          </w:tcPr>
          <w:p w14:paraId="22BD1951">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m</w:t>
            </w:r>
          </w:p>
        </w:tc>
        <w:tc>
          <w:tcPr>
            <w:tcW w:w="899" w:type="dxa"/>
            <w:noWrap w:val="0"/>
            <w:vAlign w:val="center"/>
          </w:tcPr>
          <w:p w14:paraId="66712D7D">
            <w:pPr>
              <w:keepNext w:val="0"/>
              <w:keepLines w:val="0"/>
              <w:widowControl/>
              <w:suppressLineNumbers w:val="0"/>
              <w:jc w:val="right"/>
              <w:textAlignment w:val="center"/>
              <w:rPr>
                <w:rFonts w:hint="eastAsia" w:ascii="宋体" w:hAnsi="宋体" w:cs="宋体"/>
                <w:kern w:val="0"/>
                <w:sz w:val="21"/>
                <w:szCs w:val="21"/>
              </w:rPr>
            </w:pPr>
            <w:r>
              <w:rPr>
                <w:rFonts w:hint="default" w:ascii="Arial Narrow" w:hAnsi="Arial Narrow" w:eastAsia="Arial Narrow" w:cs="Arial Narrow"/>
                <w:i w:val="0"/>
                <w:iCs w:val="0"/>
                <w:color w:val="000000"/>
                <w:kern w:val="0"/>
                <w:sz w:val="21"/>
                <w:szCs w:val="21"/>
                <w:u w:val="none"/>
                <w:lang w:val="en-US" w:eastAsia="zh-CN" w:bidi="ar"/>
              </w:rPr>
              <w:t>20</w:t>
            </w:r>
          </w:p>
        </w:tc>
        <w:tc>
          <w:tcPr>
            <w:tcW w:w="1079" w:type="dxa"/>
            <w:noWrap w:val="0"/>
            <w:vAlign w:val="center"/>
          </w:tcPr>
          <w:p w14:paraId="692797C0">
            <w:pPr>
              <w:widowControl/>
              <w:jc w:val="center"/>
              <w:rPr>
                <w:rFonts w:hint="eastAsia" w:ascii="宋体" w:hAnsi="宋体" w:cs="宋体"/>
                <w:kern w:val="0"/>
                <w:szCs w:val="21"/>
              </w:rPr>
            </w:pPr>
          </w:p>
        </w:tc>
        <w:tc>
          <w:tcPr>
            <w:tcW w:w="1079" w:type="dxa"/>
            <w:noWrap w:val="0"/>
            <w:vAlign w:val="center"/>
          </w:tcPr>
          <w:p w14:paraId="39A3BDA2">
            <w:pPr>
              <w:widowControl/>
              <w:jc w:val="center"/>
              <w:rPr>
                <w:rFonts w:hint="eastAsia" w:ascii="宋体" w:hAnsi="宋体" w:cs="宋体"/>
                <w:kern w:val="0"/>
                <w:szCs w:val="21"/>
              </w:rPr>
            </w:pPr>
          </w:p>
        </w:tc>
      </w:tr>
      <w:tr w14:paraId="147EA4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47D13B14">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-b</w:t>
            </w:r>
          </w:p>
        </w:tc>
        <w:tc>
          <w:tcPr>
            <w:tcW w:w="4572" w:type="dxa"/>
            <w:noWrap w:val="0"/>
            <w:vAlign w:val="center"/>
          </w:tcPr>
          <w:p w14:paraId="178BE633">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φ1000mm圆管涵</w:t>
            </w:r>
          </w:p>
        </w:tc>
        <w:tc>
          <w:tcPr>
            <w:tcW w:w="899" w:type="dxa"/>
            <w:noWrap w:val="0"/>
            <w:vAlign w:val="center"/>
          </w:tcPr>
          <w:p w14:paraId="351EDB4E">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m</w:t>
            </w:r>
          </w:p>
        </w:tc>
        <w:tc>
          <w:tcPr>
            <w:tcW w:w="899" w:type="dxa"/>
            <w:noWrap w:val="0"/>
            <w:vAlign w:val="center"/>
          </w:tcPr>
          <w:p w14:paraId="4CD4FF46">
            <w:pPr>
              <w:keepNext w:val="0"/>
              <w:keepLines w:val="0"/>
              <w:widowControl/>
              <w:suppressLineNumbers w:val="0"/>
              <w:jc w:val="right"/>
              <w:textAlignment w:val="center"/>
              <w:rPr>
                <w:rFonts w:hint="eastAsia" w:ascii="宋体" w:hAnsi="宋体" w:cs="宋体"/>
                <w:kern w:val="0"/>
                <w:sz w:val="21"/>
                <w:szCs w:val="21"/>
              </w:rPr>
            </w:pPr>
            <w:r>
              <w:rPr>
                <w:rFonts w:hint="default" w:ascii="Arial Narrow" w:hAnsi="Arial Narrow" w:eastAsia="Arial Narrow" w:cs="Arial Narrow"/>
                <w:i w:val="0"/>
                <w:iCs w:val="0"/>
                <w:color w:val="000000"/>
                <w:kern w:val="0"/>
                <w:sz w:val="21"/>
                <w:szCs w:val="21"/>
                <w:u w:val="none"/>
                <w:lang w:val="en-US" w:eastAsia="zh-CN" w:bidi="ar"/>
              </w:rPr>
              <w:t>20</w:t>
            </w:r>
          </w:p>
        </w:tc>
        <w:tc>
          <w:tcPr>
            <w:tcW w:w="1079" w:type="dxa"/>
            <w:noWrap w:val="0"/>
            <w:vAlign w:val="center"/>
          </w:tcPr>
          <w:p w14:paraId="5AFB98EA">
            <w:pPr>
              <w:widowControl/>
              <w:jc w:val="center"/>
              <w:rPr>
                <w:rFonts w:hint="eastAsia" w:ascii="宋体" w:hAnsi="宋体" w:cs="宋体"/>
                <w:kern w:val="0"/>
                <w:szCs w:val="21"/>
              </w:rPr>
            </w:pPr>
          </w:p>
        </w:tc>
        <w:tc>
          <w:tcPr>
            <w:tcW w:w="1079" w:type="dxa"/>
            <w:noWrap w:val="0"/>
            <w:vAlign w:val="center"/>
          </w:tcPr>
          <w:p w14:paraId="718A9886">
            <w:pPr>
              <w:widowControl/>
              <w:jc w:val="center"/>
              <w:rPr>
                <w:rFonts w:hint="eastAsia" w:ascii="宋体" w:hAnsi="宋体" w:cs="宋体"/>
                <w:kern w:val="0"/>
                <w:szCs w:val="21"/>
              </w:rPr>
            </w:pPr>
          </w:p>
        </w:tc>
      </w:tr>
      <w:tr w14:paraId="49E1FD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50B5F33A">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-c</w:t>
            </w:r>
          </w:p>
        </w:tc>
        <w:tc>
          <w:tcPr>
            <w:tcW w:w="4572" w:type="dxa"/>
            <w:noWrap w:val="0"/>
            <w:vAlign w:val="center"/>
          </w:tcPr>
          <w:p w14:paraId="22B1F708">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φ1200mm圆管涵</w:t>
            </w:r>
          </w:p>
        </w:tc>
        <w:tc>
          <w:tcPr>
            <w:tcW w:w="899" w:type="dxa"/>
            <w:noWrap w:val="0"/>
            <w:vAlign w:val="center"/>
          </w:tcPr>
          <w:p w14:paraId="44130E68">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m</w:t>
            </w:r>
          </w:p>
        </w:tc>
        <w:tc>
          <w:tcPr>
            <w:tcW w:w="899" w:type="dxa"/>
            <w:noWrap w:val="0"/>
            <w:vAlign w:val="center"/>
          </w:tcPr>
          <w:p w14:paraId="735E9F7B">
            <w:pPr>
              <w:keepNext w:val="0"/>
              <w:keepLines w:val="0"/>
              <w:widowControl/>
              <w:suppressLineNumbers w:val="0"/>
              <w:jc w:val="right"/>
              <w:textAlignment w:val="center"/>
              <w:rPr>
                <w:rFonts w:hint="eastAsia" w:ascii="宋体" w:hAnsi="宋体" w:cs="宋体"/>
                <w:kern w:val="0"/>
                <w:sz w:val="21"/>
                <w:szCs w:val="21"/>
              </w:rPr>
            </w:pPr>
            <w:r>
              <w:rPr>
                <w:rFonts w:hint="default" w:ascii="Arial Narrow" w:hAnsi="Arial Narrow" w:eastAsia="Arial Narrow" w:cs="Arial Narrow"/>
                <w:i w:val="0"/>
                <w:iCs w:val="0"/>
                <w:color w:val="000000"/>
                <w:kern w:val="0"/>
                <w:sz w:val="21"/>
                <w:szCs w:val="21"/>
                <w:u w:val="none"/>
                <w:lang w:val="en-US" w:eastAsia="zh-CN" w:bidi="ar"/>
              </w:rPr>
              <w:t>20</w:t>
            </w:r>
          </w:p>
        </w:tc>
        <w:tc>
          <w:tcPr>
            <w:tcW w:w="1079" w:type="dxa"/>
            <w:noWrap w:val="0"/>
            <w:vAlign w:val="center"/>
          </w:tcPr>
          <w:p w14:paraId="53CD7A80">
            <w:pPr>
              <w:widowControl/>
              <w:jc w:val="center"/>
              <w:rPr>
                <w:rFonts w:hint="eastAsia" w:ascii="宋体" w:hAnsi="宋体" w:cs="宋体"/>
                <w:kern w:val="0"/>
                <w:szCs w:val="21"/>
              </w:rPr>
            </w:pPr>
          </w:p>
        </w:tc>
        <w:tc>
          <w:tcPr>
            <w:tcW w:w="1079" w:type="dxa"/>
            <w:noWrap w:val="0"/>
            <w:vAlign w:val="center"/>
          </w:tcPr>
          <w:p w14:paraId="5BB3E054">
            <w:pPr>
              <w:widowControl/>
              <w:jc w:val="center"/>
              <w:rPr>
                <w:rFonts w:hint="eastAsia" w:ascii="宋体" w:hAnsi="宋体" w:cs="宋体"/>
                <w:kern w:val="0"/>
                <w:szCs w:val="21"/>
              </w:rPr>
            </w:pPr>
          </w:p>
        </w:tc>
      </w:tr>
      <w:tr w14:paraId="4F7147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73006D2C">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404-5</w:t>
            </w:r>
          </w:p>
        </w:tc>
        <w:tc>
          <w:tcPr>
            <w:tcW w:w="4572" w:type="dxa"/>
            <w:noWrap w:val="0"/>
            <w:vAlign w:val="center"/>
          </w:tcPr>
          <w:p w14:paraId="02F04161">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窨井新建或维修</w:t>
            </w:r>
          </w:p>
        </w:tc>
        <w:tc>
          <w:tcPr>
            <w:tcW w:w="899" w:type="dxa"/>
            <w:noWrap w:val="0"/>
            <w:vAlign w:val="center"/>
          </w:tcPr>
          <w:p w14:paraId="1D20AAB1">
            <w:pPr>
              <w:jc w:val="center"/>
              <w:rPr>
                <w:rFonts w:hint="eastAsia" w:ascii="宋体" w:hAnsi="宋体" w:cs="宋体"/>
                <w:kern w:val="0"/>
                <w:sz w:val="21"/>
                <w:szCs w:val="21"/>
              </w:rPr>
            </w:pPr>
          </w:p>
        </w:tc>
        <w:tc>
          <w:tcPr>
            <w:tcW w:w="899" w:type="dxa"/>
            <w:noWrap w:val="0"/>
            <w:vAlign w:val="center"/>
          </w:tcPr>
          <w:p w14:paraId="3059EB67">
            <w:pPr>
              <w:jc w:val="right"/>
              <w:rPr>
                <w:rFonts w:hint="eastAsia" w:ascii="宋体" w:hAnsi="宋体" w:cs="宋体"/>
                <w:kern w:val="0"/>
                <w:sz w:val="21"/>
                <w:szCs w:val="21"/>
              </w:rPr>
            </w:pPr>
          </w:p>
        </w:tc>
        <w:tc>
          <w:tcPr>
            <w:tcW w:w="1079" w:type="dxa"/>
            <w:noWrap w:val="0"/>
            <w:vAlign w:val="center"/>
          </w:tcPr>
          <w:p w14:paraId="4E8A0067">
            <w:pPr>
              <w:widowControl/>
              <w:jc w:val="center"/>
              <w:rPr>
                <w:rFonts w:hint="eastAsia" w:ascii="宋体" w:hAnsi="宋体" w:cs="宋体"/>
                <w:kern w:val="0"/>
                <w:szCs w:val="21"/>
              </w:rPr>
            </w:pPr>
          </w:p>
        </w:tc>
        <w:tc>
          <w:tcPr>
            <w:tcW w:w="1079" w:type="dxa"/>
            <w:noWrap w:val="0"/>
            <w:vAlign w:val="center"/>
          </w:tcPr>
          <w:p w14:paraId="7636FA82">
            <w:pPr>
              <w:widowControl/>
              <w:jc w:val="center"/>
              <w:rPr>
                <w:rFonts w:hint="eastAsia" w:ascii="宋体" w:hAnsi="宋体" w:cs="宋体"/>
                <w:kern w:val="0"/>
                <w:szCs w:val="21"/>
              </w:rPr>
            </w:pPr>
          </w:p>
        </w:tc>
      </w:tr>
      <w:tr w14:paraId="4C951D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7DCC96BB">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-a</w:t>
            </w:r>
          </w:p>
        </w:tc>
        <w:tc>
          <w:tcPr>
            <w:tcW w:w="4572" w:type="dxa"/>
            <w:noWrap w:val="0"/>
            <w:vAlign w:val="center"/>
          </w:tcPr>
          <w:p w14:paraId="12319790">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检查井井盖更换(铸铁雨水井盖)</w:t>
            </w:r>
          </w:p>
        </w:tc>
        <w:tc>
          <w:tcPr>
            <w:tcW w:w="899" w:type="dxa"/>
            <w:noWrap w:val="0"/>
            <w:vAlign w:val="center"/>
          </w:tcPr>
          <w:p w14:paraId="45098D5E">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座</w:t>
            </w:r>
          </w:p>
        </w:tc>
        <w:tc>
          <w:tcPr>
            <w:tcW w:w="899" w:type="dxa"/>
            <w:noWrap w:val="0"/>
            <w:vAlign w:val="center"/>
          </w:tcPr>
          <w:p w14:paraId="47A28C66">
            <w:pPr>
              <w:keepNext w:val="0"/>
              <w:keepLines w:val="0"/>
              <w:widowControl/>
              <w:suppressLineNumbers w:val="0"/>
              <w:jc w:val="right"/>
              <w:textAlignment w:val="center"/>
              <w:rPr>
                <w:rFonts w:hint="eastAsia" w:ascii="宋体" w:hAnsi="宋体" w:cs="宋体"/>
                <w:kern w:val="0"/>
                <w:sz w:val="21"/>
                <w:szCs w:val="21"/>
              </w:rPr>
            </w:pPr>
            <w:r>
              <w:rPr>
                <w:rFonts w:hint="default" w:ascii="Arial Narrow" w:hAnsi="Arial Narrow" w:eastAsia="Arial Narrow" w:cs="Arial Narrow"/>
                <w:i w:val="0"/>
                <w:iCs w:val="0"/>
                <w:color w:val="000000"/>
                <w:kern w:val="0"/>
                <w:sz w:val="21"/>
                <w:szCs w:val="21"/>
                <w:u w:val="none"/>
                <w:lang w:val="en-US" w:eastAsia="zh-CN" w:bidi="ar"/>
              </w:rPr>
              <w:t>10</w:t>
            </w:r>
          </w:p>
        </w:tc>
        <w:tc>
          <w:tcPr>
            <w:tcW w:w="1079" w:type="dxa"/>
            <w:noWrap w:val="0"/>
            <w:vAlign w:val="center"/>
          </w:tcPr>
          <w:p w14:paraId="21401D53">
            <w:pPr>
              <w:widowControl/>
              <w:jc w:val="center"/>
              <w:rPr>
                <w:rFonts w:ascii="宋体" w:hAnsi="宋体" w:cs="宋体"/>
                <w:kern w:val="0"/>
                <w:szCs w:val="21"/>
              </w:rPr>
            </w:pPr>
          </w:p>
        </w:tc>
        <w:tc>
          <w:tcPr>
            <w:tcW w:w="1079" w:type="dxa"/>
            <w:noWrap w:val="0"/>
            <w:vAlign w:val="center"/>
          </w:tcPr>
          <w:p w14:paraId="58CED9F5">
            <w:pPr>
              <w:widowControl/>
              <w:jc w:val="center"/>
              <w:rPr>
                <w:rFonts w:ascii="宋体" w:hAnsi="宋体" w:cs="宋体"/>
                <w:kern w:val="0"/>
                <w:szCs w:val="21"/>
              </w:rPr>
            </w:pPr>
          </w:p>
        </w:tc>
      </w:tr>
      <w:tr w14:paraId="4144F9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6DF97165">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-b</w:t>
            </w:r>
          </w:p>
        </w:tc>
        <w:tc>
          <w:tcPr>
            <w:tcW w:w="4572" w:type="dxa"/>
            <w:noWrap w:val="0"/>
            <w:vAlign w:val="center"/>
          </w:tcPr>
          <w:p w14:paraId="6F4B17F1">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检查井井盖更换(树脂)</w:t>
            </w:r>
          </w:p>
        </w:tc>
        <w:tc>
          <w:tcPr>
            <w:tcW w:w="899" w:type="dxa"/>
            <w:noWrap w:val="0"/>
            <w:vAlign w:val="center"/>
          </w:tcPr>
          <w:p w14:paraId="2B4F3D7A">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座</w:t>
            </w:r>
          </w:p>
        </w:tc>
        <w:tc>
          <w:tcPr>
            <w:tcW w:w="899" w:type="dxa"/>
            <w:noWrap w:val="0"/>
            <w:vAlign w:val="center"/>
          </w:tcPr>
          <w:p w14:paraId="55F3C360">
            <w:pPr>
              <w:keepNext w:val="0"/>
              <w:keepLines w:val="0"/>
              <w:widowControl/>
              <w:suppressLineNumbers w:val="0"/>
              <w:jc w:val="right"/>
              <w:textAlignment w:val="center"/>
              <w:rPr>
                <w:rFonts w:hint="eastAsia" w:ascii="宋体" w:hAnsi="宋体" w:cs="宋体"/>
                <w:kern w:val="0"/>
                <w:sz w:val="21"/>
                <w:szCs w:val="21"/>
              </w:rPr>
            </w:pPr>
            <w:r>
              <w:rPr>
                <w:rFonts w:hint="default" w:ascii="Arial Narrow" w:hAnsi="Arial Narrow" w:eastAsia="Arial Narrow" w:cs="Arial Narrow"/>
                <w:i w:val="0"/>
                <w:iCs w:val="0"/>
                <w:color w:val="000000"/>
                <w:kern w:val="0"/>
                <w:sz w:val="21"/>
                <w:szCs w:val="21"/>
                <w:u w:val="none"/>
                <w:lang w:val="en-US" w:eastAsia="zh-CN" w:bidi="ar"/>
              </w:rPr>
              <w:t>10</w:t>
            </w:r>
          </w:p>
        </w:tc>
        <w:tc>
          <w:tcPr>
            <w:tcW w:w="1079" w:type="dxa"/>
            <w:noWrap w:val="0"/>
            <w:vAlign w:val="center"/>
          </w:tcPr>
          <w:p w14:paraId="6C13B286">
            <w:pPr>
              <w:widowControl/>
              <w:jc w:val="center"/>
              <w:rPr>
                <w:rFonts w:ascii="宋体" w:hAnsi="宋体" w:cs="宋体"/>
                <w:kern w:val="0"/>
                <w:szCs w:val="21"/>
              </w:rPr>
            </w:pPr>
          </w:p>
        </w:tc>
        <w:tc>
          <w:tcPr>
            <w:tcW w:w="1079" w:type="dxa"/>
            <w:noWrap w:val="0"/>
            <w:vAlign w:val="center"/>
          </w:tcPr>
          <w:p w14:paraId="4D1FAD3A">
            <w:pPr>
              <w:widowControl/>
              <w:jc w:val="center"/>
              <w:rPr>
                <w:rFonts w:ascii="宋体" w:hAnsi="宋体" w:cs="宋体"/>
                <w:kern w:val="0"/>
                <w:szCs w:val="21"/>
              </w:rPr>
            </w:pPr>
          </w:p>
        </w:tc>
      </w:tr>
      <w:tr w14:paraId="5C795C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5238F3A5">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-c</w:t>
            </w:r>
          </w:p>
        </w:tc>
        <w:tc>
          <w:tcPr>
            <w:tcW w:w="4572" w:type="dxa"/>
            <w:noWrap w:val="0"/>
            <w:vAlign w:val="center"/>
          </w:tcPr>
          <w:p w14:paraId="1EE1ADCB">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检查井井座维修更换</w:t>
            </w:r>
          </w:p>
        </w:tc>
        <w:tc>
          <w:tcPr>
            <w:tcW w:w="899" w:type="dxa"/>
            <w:noWrap w:val="0"/>
            <w:vAlign w:val="center"/>
          </w:tcPr>
          <w:p w14:paraId="01CED3B5">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座</w:t>
            </w:r>
          </w:p>
        </w:tc>
        <w:tc>
          <w:tcPr>
            <w:tcW w:w="899" w:type="dxa"/>
            <w:noWrap w:val="0"/>
            <w:vAlign w:val="center"/>
          </w:tcPr>
          <w:p w14:paraId="7D899198">
            <w:pPr>
              <w:keepNext w:val="0"/>
              <w:keepLines w:val="0"/>
              <w:widowControl/>
              <w:suppressLineNumbers w:val="0"/>
              <w:jc w:val="right"/>
              <w:textAlignment w:val="center"/>
              <w:rPr>
                <w:rFonts w:hint="eastAsia" w:ascii="宋体" w:hAnsi="宋体" w:cs="宋体"/>
                <w:kern w:val="0"/>
                <w:sz w:val="21"/>
                <w:szCs w:val="21"/>
              </w:rPr>
            </w:pPr>
            <w:r>
              <w:rPr>
                <w:rFonts w:hint="default" w:ascii="Arial Narrow" w:hAnsi="Arial Narrow" w:eastAsia="Arial Narrow" w:cs="Arial Narrow"/>
                <w:i w:val="0"/>
                <w:iCs w:val="0"/>
                <w:color w:val="000000"/>
                <w:kern w:val="0"/>
                <w:sz w:val="21"/>
                <w:szCs w:val="21"/>
                <w:u w:val="none"/>
                <w:lang w:val="en-US" w:eastAsia="zh-CN" w:bidi="ar"/>
              </w:rPr>
              <w:t>10</w:t>
            </w:r>
          </w:p>
        </w:tc>
        <w:tc>
          <w:tcPr>
            <w:tcW w:w="1079" w:type="dxa"/>
            <w:noWrap w:val="0"/>
            <w:vAlign w:val="center"/>
          </w:tcPr>
          <w:p w14:paraId="2D1B3E75">
            <w:pPr>
              <w:widowControl/>
              <w:jc w:val="center"/>
              <w:rPr>
                <w:rFonts w:ascii="宋体" w:hAnsi="宋体" w:cs="宋体"/>
                <w:kern w:val="0"/>
                <w:szCs w:val="21"/>
              </w:rPr>
            </w:pPr>
          </w:p>
        </w:tc>
        <w:tc>
          <w:tcPr>
            <w:tcW w:w="1079" w:type="dxa"/>
            <w:noWrap w:val="0"/>
            <w:vAlign w:val="center"/>
          </w:tcPr>
          <w:p w14:paraId="38F03618">
            <w:pPr>
              <w:widowControl/>
              <w:jc w:val="center"/>
              <w:rPr>
                <w:rFonts w:ascii="宋体" w:hAnsi="宋体" w:cs="宋体"/>
                <w:kern w:val="0"/>
                <w:szCs w:val="21"/>
              </w:rPr>
            </w:pPr>
          </w:p>
        </w:tc>
      </w:tr>
      <w:tr w14:paraId="16F6DC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2D147294">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-d</w:t>
            </w:r>
          </w:p>
        </w:tc>
        <w:tc>
          <w:tcPr>
            <w:tcW w:w="4572" w:type="dxa"/>
            <w:noWrap w:val="0"/>
            <w:vAlign w:val="center"/>
          </w:tcPr>
          <w:p w14:paraId="717AC2AA">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新建检查井(铸铁雨水井盖)</w:t>
            </w:r>
          </w:p>
        </w:tc>
        <w:tc>
          <w:tcPr>
            <w:tcW w:w="899" w:type="dxa"/>
            <w:noWrap w:val="0"/>
            <w:vAlign w:val="center"/>
          </w:tcPr>
          <w:p w14:paraId="4536D604">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座</w:t>
            </w:r>
          </w:p>
        </w:tc>
        <w:tc>
          <w:tcPr>
            <w:tcW w:w="899" w:type="dxa"/>
            <w:noWrap w:val="0"/>
            <w:vAlign w:val="center"/>
          </w:tcPr>
          <w:p w14:paraId="20F696D7">
            <w:pPr>
              <w:keepNext w:val="0"/>
              <w:keepLines w:val="0"/>
              <w:widowControl/>
              <w:suppressLineNumbers w:val="0"/>
              <w:jc w:val="right"/>
              <w:textAlignment w:val="center"/>
              <w:rPr>
                <w:rFonts w:hint="eastAsia" w:ascii="宋体" w:hAnsi="宋体" w:cs="宋体"/>
                <w:kern w:val="0"/>
                <w:sz w:val="21"/>
                <w:szCs w:val="21"/>
              </w:rPr>
            </w:pPr>
            <w:r>
              <w:rPr>
                <w:rFonts w:hint="default" w:ascii="Arial Narrow" w:hAnsi="Arial Narrow" w:eastAsia="Arial Narrow" w:cs="Arial Narrow"/>
                <w:i w:val="0"/>
                <w:iCs w:val="0"/>
                <w:color w:val="000000"/>
                <w:kern w:val="0"/>
                <w:sz w:val="21"/>
                <w:szCs w:val="21"/>
                <w:u w:val="none"/>
                <w:lang w:val="en-US" w:eastAsia="zh-CN" w:bidi="ar"/>
              </w:rPr>
              <w:t>10</w:t>
            </w:r>
          </w:p>
        </w:tc>
        <w:tc>
          <w:tcPr>
            <w:tcW w:w="1079" w:type="dxa"/>
            <w:noWrap w:val="0"/>
            <w:vAlign w:val="center"/>
          </w:tcPr>
          <w:p w14:paraId="31A9B9D2">
            <w:pPr>
              <w:widowControl/>
              <w:jc w:val="center"/>
              <w:rPr>
                <w:rFonts w:ascii="宋体" w:hAnsi="宋体" w:cs="宋体"/>
                <w:kern w:val="0"/>
                <w:szCs w:val="21"/>
              </w:rPr>
            </w:pPr>
          </w:p>
        </w:tc>
        <w:tc>
          <w:tcPr>
            <w:tcW w:w="1079" w:type="dxa"/>
            <w:noWrap w:val="0"/>
            <w:vAlign w:val="center"/>
          </w:tcPr>
          <w:p w14:paraId="7356F36E">
            <w:pPr>
              <w:widowControl/>
              <w:jc w:val="center"/>
              <w:rPr>
                <w:rFonts w:ascii="宋体" w:hAnsi="宋体" w:cs="宋体"/>
                <w:kern w:val="0"/>
                <w:szCs w:val="21"/>
              </w:rPr>
            </w:pPr>
          </w:p>
        </w:tc>
      </w:tr>
      <w:tr w14:paraId="5B34BA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6C0111F0">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-e</w:t>
            </w:r>
          </w:p>
        </w:tc>
        <w:tc>
          <w:tcPr>
            <w:tcW w:w="4572" w:type="dxa"/>
            <w:noWrap w:val="0"/>
            <w:vAlign w:val="center"/>
          </w:tcPr>
          <w:p w14:paraId="5F684A0E">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新建检查井(树脂)</w:t>
            </w:r>
          </w:p>
        </w:tc>
        <w:tc>
          <w:tcPr>
            <w:tcW w:w="899" w:type="dxa"/>
            <w:noWrap w:val="0"/>
            <w:vAlign w:val="center"/>
          </w:tcPr>
          <w:p w14:paraId="5A43D1D8">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座</w:t>
            </w:r>
          </w:p>
        </w:tc>
        <w:tc>
          <w:tcPr>
            <w:tcW w:w="899" w:type="dxa"/>
            <w:noWrap w:val="0"/>
            <w:vAlign w:val="center"/>
          </w:tcPr>
          <w:p w14:paraId="04C62868">
            <w:pPr>
              <w:keepNext w:val="0"/>
              <w:keepLines w:val="0"/>
              <w:widowControl/>
              <w:suppressLineNumbers w:val="0"/>
              <w:jc w:val="right"/>
              <w:textAlignment w:val="center"/>
              <w:rPr>
                <w:rFonts w:hint="eastAsia" w:ascii="宋体" w:hAnsi="宋体" w:cs="宋体"/>
                <w:kern w:val="0"/>
                <w:sz w:val="21"/>
                <w:szCs w:val="21"/>
              </w:rPr>
            </w:pPr>
            <w:r>
              <w:rPr>
                <w:rFonts w:hint="default" w:ascii="Arial Narrow" w:hAnsi="Arial Narrow" w:eastAsia="Arial Narrow" w:cs="Arial Narrow"/>
                <w:i w:val="0"/>
                <w:iCs w:val="0"/>
                <w:color w:val="000000"/>
                <w:kern w:val="0"/>
                <w:sz w:val="21"/>
                <w:szCs w:val="21"/>
                <w:u w:val="none"/>
                <w:lang w:val="en-US" w:eastAsia="zh-CN" w:bidi="ar"/>
              </w:rPr>
              <w:t>10</w:t>
            </w:r>
          </w:p>
        </w:tc>
        <w:tc>
          <w:tcPr>
            <w:tcW w:w="1079" w:type="dxa"/>
            <w:noWrap w:val="0"/>
            <w:vAlign w:val="center"/>
          </w:tcPr>
          <w:p w14:paraId="5757C88A">
            <w:pPr>
              <w:widowControl/>
              <w:jc w:val="center"/>
              <w:rPr>
                <w:rFonts w:ascii="宋体" w:hAnsi="宋体" w:cs="宋体"/>
                <w:kern w:val="0"/>
                <w:szCs w:val="21"/>
              </w:rPr>
            </w:pPr>
          </w:p>
        </w:tc>
        <w:tc>
          <w:tcPr>
            <w:tcW w:w="1079" w:type="dxa"/>
            <w:noWrap w:val="0"/>
            <w:vAlign w:val="center"/>
          </w:tcPr>
          <w:p w14:paraId="4D92FA59">
            <w:pPr>
              <w:widowControl/>
              <w:jc w:val="center"/>
              <w:rPr>
                <w:rFonts w:ascii="宋体" w:hAnsi="宋体" w:cs="宋体"/>
                <w:kern w:val="0"/>
                <w:szCs w:val="21"/>
              </w:rPr>
            </w:pPr>
          </w:p>
        </w:tc>
      </w:tr>
      <w:tr w14:paraId="0A25D9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57FC8AF4">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-f</w:t>
            </w:r>
          </w:p>
        </w:tc>
        <w:tc>
          <w:tcPr>
            <w:tcW w:w="4572" w:type="dxa"/>
            <w:noWrap w:val="0"/>
            <w:vAlign w:val="center"/>
          </w:tcPr>
          <w:p w14:paraId="7A2A074E">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管涵窨井</w:t>
            </w:r>
          </w:p>
        </w:tc>
        <w:tc>
          <w:tcPr>
            <w:tcW w:w="899" w:type="dxa"/>
            <w:noWrap w:val="0"/>
            <w:vAlign w:val="center"/>
          </w:tcPr>
          <w:p w14:paraId="573F7A5D">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座</w:t>
            </w:r>
          </w:p>
        </w:tc>
        <w:tc>
          <w:tcPr>
            <w:tcW w:w="899" w:type="dxa"/>
            <w:noWrap w:val="0"/>
            <w:vAlign w:val="center"/>
          </w:tcPr>
          <w:p w14:paraId="37D15AD2">
            <w:pPr>
              <w:keepNext w:val="0"/>
              <w:keepLines w:val="0"/>
              <w:widowControl/>
              <w:suppressLineNumbers w:val="0"/>
              <w:jc w:val="right"/>
              <w:textAlignment w:val="center"/>
              <w:rPr>
                <w:rFonts w:hint="eastAsia" w:ascii="宋体" w:hAnsi="宋体" w:cs="宋体"/>
                <w:kern w:val="0"/>
                <w:sz w:val="21"/>
                <w:szCs w:val="21"/>
              </w:rPr>
            </w:pPr>
            <w:r>
              <w:rPr>
                <w:rFonts w:hint="default" w:ascii="Arial Narrow" w:hAnsi="Arial Narrow" w:eastAsia="Arial Narrow" w:cs="Arial Narrow"/>
                <w:i w:val="0"/>
                <w:iCs w:val="0"/>
                <w:color w:val="000000"/>
                <w:kern w:val="0"/>
                <w:sz w:val="21"/>
                <w:szCs w:val="21"/>
                <w:u w:val="none"/>
                <w:lang w:val="en-US" w:eastAsia="zh-CN" w:bidi="ar"/>
              </w:rPr>
              <w:t>10</w:t>
            </w:r>
          </w:p>
        </w:tc>
        <w:tc>
          <w:tcPr>
            <w:tcW w:w="1079" w:type="dxa"/>
            <w:noWrap w:val="0"/>
            <w:vAlign w:val="center"/>
          </w:tcPr>
          <w:p w14:paraId="5CDA05D0">
            <w:pPr>
              <w:widowControl/>
              <w:jc w:val="center"/>
              <w:rPr>
                <w:rFonts w:ascii="宋体" w:hAnsi="宋体" w:cs="宋体"/>
                <w:kern w:val="0"/>
                <w:szCs w:val="21"/>
              </w:rPr>
            </w:pPr>
          </w:p>
        </w:tc>
        <w:tc>
          <w:tcPr>
            <w:tcW w:w="1079" w:type="dxa"/>
            <w:noWrap w:val="0"/>
            <w:vAlign w:val="center"/>
          </w:tcPr>
          <w:p w14:paraId="13E4CB1F">
            <w:pPr>
              <w:widowControl/>
              <w:jc w:val="center"/>
              <w:rPr>
                <w:rFonts w:ascii="宋体" w:hAnsi="宋体" w:cs="宋体"/>
                <w:kern w:val="0"/>
                <w:szCs w:val="21"/>
              </w:rPr>
            </w:pPr>
          </w:p>
        </w:tc>
      </w:tr>
      <w:tr w14:paraId="4B3C85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3711A740">
            <w:pPr>
              <w:widowControl/>
              <w:jc w:val="center"/>
              <w:textAlignment w:val="center"/>
              <w:rPr>
                <w:rFonts w:hint="eastAsia" w:ascii="宋体" w:hAnsi="宋体" w:cs="宋体"/>
                <w:kern w:val="0"/>
                <w:szCs w:val="21"/>
              </w:rPr>
            </w:pPr>
          </w:p>
        </w:tc>
        <w:tc>
          <w:tcPr>
            <w:tcW w:w="4572" w:type="dxa"/>
            <w:noWrap w:val="0"/>
            <w:vAlign w:val="center"/>
          </w:tcPr>
          <w:p w14:paraId="0072249B">
            <w:pPr>
              <w:widowControl/>
              <w:jc w:val="left"/>
              <w:textAlignment w:val="center"/>
              <w:rPr>
                <w:rFonts w:hint="eastAsia" w:ascii="宋体" w:hAnsi="宋体" w:cs="宋体"/>
                <w:kern w:val="0"/>
                <w:szCs w:val="21"/>
              </w:rPr>
            </w:pPr>
          </w:p>
        </w:tc>
        <w:tc>
          <w:tcPr>
            <w:tcW w:w="899" w:type="dxa"/>
            <w:noWrap w:val="0"/>
            <w:vAlign w:val="center"/>
          </w:tcPr>
          <w:p w14:paraId="43325AA7">
            <w:pPr>
              <w:jc w:val="center"/>
              <w:rPr>
                <w:rFonts w:hint="eastAsia" w:ascii="宋体" w:hAnsi="宋体" w:cs="宋体"/>
                <w:kern w:val="0"/>
                <w:szCs w:val="21"/>
              </w:rPr>
            </w:pPr>
          </w:p>
        </w:tc>
        <w:tc>
          <w:tcPr>
            <w:tcW w:w="899" w:type="dxa"/>
            <w:noWrap w:val="0"/>
            <w:vAlign w:val="center"/>
          </w:tcPr>
          <w:p w14:paraId="33FEC1E7">
            <w:pPr>
              <w:jc w:val="right"/>
              <w:rPr>
                <w:rFonts w:hint="eastAsia" w:ascii="宋体" w:hAnsi="宋体" w:cs="宋体"/>
                <w:kern w:val="0"/>
                <w:szCs w:val="21"/>
              </w:rPr>
            </w:pPr>
          </w:p>
        </w:tc>
        <w:tc>
          <w:tcPr>
            <w:tcW w:w="1079" w:type="dxa"/>
            <w:noWrap w:val="0"/>
            <w:vAlign w:val="center"/>
          </w:tcPr>
          <w:p w14:paraId="33268795">
            <w:pPr>
              <w:widowControl/>
              <w:jc w:val="center"/>
              <w:rPr>
                <w:rFonts w:ascii="宋体" w:hAnsi="宋体" w:cs="宋体"/>
                <w:kern w:val="0"/>
                <w:szCs w:val="21"/>
              </w:rPr>
            </w:pPr>
          </w:p>
        </w:tc>
        <w:tc>
          <w:tcPr>
            <w:tcW w:w="1079" w:type="dxa"/>
            <w:noWrap w:val="0"/>
            <w:vAlign w:val="center"/>
          </w:tcPr>
          <w:p w14:paraId="4B69E7F9">
            <w:pPr>
              <w:widowControl/>
              <w:jc w:val="center"/>
              <w:rPr>
                <w:rFonts w:ascii="宋体" w:hAnsi="宋体" w:cs="宋体"/>
                <w:kern w:val="0"/>
                <w:szCs w:val="21"/>
              </w:rPr>
            </w:pPr>
          </w:p>
        </w:tc>
      </w:tr>
      <w:tr w14:paraId="46E165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4E48F06F">
            <w:pPr>
              <w:widowControl/>
              <w:jc w:val="center"/>
              <w:textAlignment w:val="center"/>
              <w:rPr>
                <w:rFonts w:hint="eastAsia" w:ascii="宋体" w:hAnsi="宋体" w:cs="宋体"/>
                <w:kern w:val="0"/>
                <w:szCs w:val="21"/>
              </w:rPr>
            </w:pPr>
          </w:p>
        </w:tc>
        <w:tc>
          <w:tcPr>
            <w:tcW w:w="4572" w:type="dxa"/>
            <w:noWrap w:val="0"/>
            <w:vAlign w:val="center"/>
          </w:tcPr>
          <w:p w14:paraId="559D4B7E">
            <w:pPr>
              <w:widowControl/>
              <w:jc w:val="left"/>
              <w:textAlignment w:val="center"/>
              <w:rPr>
                <w:rFonts w:hint="eastAsia" w:ascii="宋体" w:hAnsi="宋体" w:cs="宋体"/>
                <w:kern w:val="0"/>
                <w:szCs w:val="21"/>
              </w:rPr>
            </w:pPr>
          </w:p>
        </w:tc>
        <w:tc>
          <w:tcPr>
            <w:tcW w:w="899" w:type="dxa"/>
            <w:noWrap w:val="0"/>
            <w:vAlign w:val="center"/>
          </w:tcPr>
          <w:p w14:paraId="51B4A1D0">
            <w:pPr>
              <w:widowControl/>
              <w:jc w:val="center"/>
              <w:textAlignment w:val="center"/>
              <w:rPr>
                <w:rFonts w:hint="eastAsia" w:ascii="宋体" w:hAnsi="宋体" w:cs="宋体"/>
                <w:kern w:val="0"/>
                <w:szCs w:val="21"/>
              </w:rPr>
            </w:pPr>
          </w:p>
        </w:tc>
        <w:tc>
          <w:tcPr>
            <w:tcW w:w="899" w:type="dxa"/>
            <w:noWrap w:val="0"/>
            <w:vAlign w:val="center"/>
          </w:tcPr>
          <w:p w14:paraId="362F2B1B">
            <w:pPr>
              <w:widowControl/>
              <w:jc w:val="right"/>
              <w:textAlignment w:val="center"/>
              <w:rPr>
                <w:rFonts w:hint="eastAsia" w:ascii="宋体" w:hAnsi="宋体" w:cs="宋体"/>
                <w:kern w:val="0"/>
                <w:szCs w:val="21"/>
              </w:rPr>
            </w:pPr>
          </w:p>
        </w:tc>
        <w:tc>
          <w:tcPr>
            <w:tcW w:w="1079" w:type="dxa"/>
            <w:noWrap w:val="0"/>
            <w:vAlign w:val="center"/>
          </w:tcPr>
          <w:p w14:paraId="01BF1E62">
            <w:pPr>
              <w:widowControl/>
              <w:jc w:val="center"/>
              <w:rPr>
                <w:rFonts w:ascii="宋体" w:hAnsi="宋体" w:cs="宋体"/>
                <w:kern w:val="0"/>
                <w:szCs w:val="21"/>
              </w:rPr>
            </w:pPr>
          </w:p>
        </w:tc>
        <w:tc>
          <w:tcPr>
            <w:tcW w:w="1079" w:type="dxa"/>
            <w:noWrap w:val="0"/>
            <w:vAlign w:val="center"/>
          </w:tcPr>
          <w:p w14:paraId="4FB554C7">
            <w:pPr>
              <w:widowControl/>
              <w:jc w:val="center"/>
              <w:rPr>
                <w:rFonts w:ascii="宋体" w:hAnsi="宋体" w:cs="宋体"/>
                <w:kern w:val="0"/>
                <w:szCs w:val="21"/>
              </w:rPr>
            </w:pPr>
          </w:p>
        </w:tc>
      </w:tr>
      <w:tr w14:paraId="11558C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22FEF322">
            <w:pPr>
              <w:widowControl/>
              <w:jc w:val="center"/>
              <w:textAlignment w:val="center"/>
              <w:rPr>
                <w:rFonts w:hint="eastAsia" w:ascii="宋体" w:hAnsi="宋体" w:cs="宋体"/>
                <w:kern w:val="0"/>
                <w:szCs w:val="21"/>
              </w:rPr>
            </w:pPr>
          </w:p>
        </w:tc>
        <w:tc>
          <w:tcPr>
            <w:tcW w:w="4572" w:type="dxa"/>
            <w:noWrap w:val="0"/>
            <w:vAlign w:val="center"/>
          </w:tcPr>
          <w:p w14:paraId="5090332E">
            <w:pPr>
              <w:widowControl/>
              <w:jc w:val="left"/>
              <w:textAlignment w:val="center"/>
              <w:rPr>
                <w:rFonts w:hint="eastAsia" w:ascii="宋体" w:hAnsi="宋体" w:cs="宋体"/>
                <w:kern w:val="0"/>
                <w:szCs w:val="21"/>
              </w:rPr>
            </w:pPr>
          </w:p>
        </w:tc>
        <w:tc>
          <w:tcPr>
            <w:tcW w:w="899" w:type="dxa"/>
            <w:noWrap w:val="0"/>
            <w:vAlign w:val="center"/>
          </w:tcPr>
          <w:p w14:paraId="5CB65E96">
            <w:pPr>
              <w:jc w:val="center"/>
              <w:rPr>
                <w:rFonts w:hint="eastAsia" w:ascii="宋体" w:hAnsi="宋体" w:cs="宋体"/>
                <w:kern w:val="0"/>
                <w:szCs w:val="21"/>
              </w:rPr>
            </w:pPr>
          </w:p>
        </w:tc>
        <w:tc>
          <w:tcPr>
            <w:tcW w:w="899" w:type="dxa"/>
            <w:noWrap w:val="0"/>
            <w:vAlign w:val="center"/>
          </w:tcPr>
          <w:p w14:paraId="3B8311AF">
            <w:pPr>
              <w:jc w:val="right"/>
              <w:rPr>
                <w:rFonts w:hint="eastAsia" w:ascii="宋体" w:hAnsi="宋体" w:cs="宋体"/>
                <w:kern w:val="0"/>
                <w:szCs w:val="21"/>
              </w:rPr>
            </w:pPr>
          </w:p>
        </w:tc>
        <w:tc>
          <w:tcPr>
            <w:tcW w:w="1079" w:type="dxa"/>
            <w:noWrap w:val="0"/>
            <w:vAlign w:val="center"/>
          </w:tcPr>
          <w:p w14:paraId="23028D96">
            <w:pPr>
              <w:widowControl/>
              <w:jc w:val="center"/>
              <w:rPr>
                <w:rFonts w:ascii="宋体" w:hAnsi="宋体" w:cs="宋体"/>
                <w:kern w:val="0"/>
                <w:szCs w:val="21"/>
              </w:rPr>
            </w:pPr>
          </w:p>
        </w:tc>
        <w:tc>
          <w:tcPr>
            <w:tcW w:w="1079" w:type="dxa"/>
            <w:noWrap w:val="0"/>
            <w:vAlign w:val="center"/>
          </w:tcPr>
          <w:p w14:paraId="35CB889B">
            <w:pPr>
              <w:widowControl/>
              <w:jc w:val="center"/>
              <w:rPr>
                <w:rFonts w:ascii="宋体" w:hAnsi="宋体" w:cs="宋体"/>
                <w:kern w:val="0"/>
                <w:szCs w:val="21"/>
              </w:rPr>
            </w:pPr>
          </w:p>
        </w:tc>
      </w:tr>
      <w:tr w14:paraId="03BEE8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34C50500">
            <w:pPr>
              <w:widowControl/>
              <w:jc w:val="center"/>
              <w:textAlignment w:val="center"/>
              <w:rPr>
                <w:rFonts w:hint="eastAsia" w:ascii="宋体" w:hAnsi="宋体" w:cs="宋体"/>
                <w:kern w:val="0"/>
                <w:szCs w:val="21"/>
              </w:rPr>
            </w:pPr>
          </w:p>
        </w:tc>
        <w:tc>
          <w:tcPr>
            <w:tcW w:w="4572" w:type="dxa"/>
            <w:noWrap w:val="0"/>
            <w:vAlign w:val="center"/>
          </w:tcPr>
          <w:p w14:paraId="7665D6EB">
            <w:pPr>
              <w:widowControl/>
              <w:jc w:val="left"/>
              <w:textAlignment w:val="center"/>
              <w:rPr>
                <w:rFonts w:hint="eastAsia" w:ascii="宋体" w:hAnsi="宋体" w:cs="宋体"/>
                <w:kern w:val="0"/>
                <w:szCs w:val="21"/>
              </w:rPr>
            </w:pPr>
          </w:p>
        </w:tc>
        <w:tc>
          <w:tcPr>
            <w:tcW w:w="899" w:type="dxa"/>
            <w:noWrap w:val="0"/>
            <w:vAlign w:val="center"/>
          </w:tcPr>
          <w:p w14:paraId="45256688">
            <w:pPr>
              <w:widowControl/>
              <w:jc w:val="center"/>
              <w:textAlignment w:val="center"/>
              <w:rPr>
                <w:rFonts w:hint="eastAsia" w:ascii="宋体" w:hAnsi="宋体" w:cs="宋体"/>
                <w:kern w:val="0"/>
                <w:szCs w:val="21"/>
              </w:rPr>
            </w:pPr>
          </w:p>
        </w:tc>
        <w:tc>
          <w:tcPr>
            <w:tcW w:w="899" w:type="dxa"/>
            <w:noWrap w:val="0"/>
            <w:vAlign w:val="center"/>
          </w:tcPr>
          <w:p w14:paraId="6C467C88">
            <w:pPr>
              <w:widowControl/>
              <w:jc w:val="right"/>
              <w:textAlignment w:val="center"/>
              <w:rPr>
                <w:rFonts w:hint="eastAsia" w:ascii="宋体" w:hAnsi="宋体" w:cs="宋体"/>
                <w:kern w:val="0"/>
                <w:szCs w:val="21"/>
              </w:rPr>
            </w:pPr>
          </w:p>
        </w:tc>
        <w:tc>
          <w:tcPr>
            <w:tcW w:w="1079" w:type="dxa"/>
            <w:noWrap w:val="0"/>
            <w:vAlign w:val="center"/>
          </w:tcPr>
          <w:p w14:paraId="744BCB21">
            <w:pPr>
              <w:widowControl/>
              <w:jc w:val="center"/>
              <w:rPr>
                <w:rFonts w:ascii="宋体" w:hAnsi="宋体" w:cs="宋体"/>
                <w:kern w:val="0"/>
                <w:szCs w:val="21"/>
              </w:rPr>
            </w:pPr>
          </w:p>
        </w:tc>
        <w:tc>
          <w:tcPr>
            <w:tcW w:w="1079" w:type="dxa"/>
            <w:noWrap w:val="0"/>
            <w:vAlign w:val="center"/>
          </w:tcPr>
          <w:p w14:paraId="2BE53393">
            <w:pPr>
              <w:widowControl/>
              <w:jc w:val="center"/>
              <w:rPr>
                <w:rFonts w:ascii="宋体" w:hAnsi="宋体" w:cs="宋体"/>
                <w:kern w:val="0"/>
                <w:szCs w:val="21"/>
              </w:rPr>
            </w:pPr>
          </w:p>
        </w:tc>
      </w:tr>
      <w:tr w14:paraId="055561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456373B9">
            <w:pPr>
              <w:widowControl/>
              <w:jc w:val="center"/>
              <w:textAlignment w:val="center"/>
              <w:rPr>
                <w:rFonts w:hint="eastAsia" w:ascii="宋体" w:hAnsi="宋体" w:cs="宋体"/>
                <w:kern w:val="0"/>
                <w:szCs w:val="21"/>
              </w:rPr>
            </w:pPr>
          </w:p>
        </w:tc>
        <w:tc>
          <w:tcPr>
            <w:tcW w:w="4572" w:type="dxa"/>
            <w:noWrap w:val="0"/>
            <w:vAlign w:val="center"/>
          </w:tcPr>
          <w:p w14:paraId="02639515">
            <w:pPr>
              <w:widowControl/>
              <w:jc w:val="left"/>
              <w:textAlignment w:val="center"/>
              <w:rPr>
                <w:rFonts w:hint="eastAsia" w:ascii="宋体" w:hAnsi="宋体" w:cs="宋体"/>
                <w:kern w:val="0"/>
                <w:szCs w:val="21"/>
              </w:rPr>
            </w:pPr>
          </w:p>
        </w:tc>
        <w:tc>
          <w:tcPr>
            <w:tcW w:w="899" w:type="dxa"/>
            <w:noWrap w:val="0"/>
            <w:vAlign w:val="center"/>
          </w:tcPr>
          <w:p w14:paraId="396C69F4">
            <w:pPr>
              <w:jc w:val="center"/>
              <w:rPr>
                <w:rFonts w:hint="eastAsia" w:ascii="宋体" w:hAnsi="宋体" w:cs="宋体"/>
                <w:kern w:val="0"/>
                <w:szCs w:val="21"/>
              </w:rPr>
            </w:pPr>
          </w:p>
        </w:tc>
        <w:tc>
          <w:tcPr>
            <w:tcW w:w="899" w:type="dxa"/>
            <w:noWrap w:val="0"/>
            <w:vAlign w:val="center"/>
          </w:tcPr>
          <w:p w14:paraId="20017888">
            <w:pPr>
              <w:jc w:val="right"/>
              <w:rPr>
                <w:rFonts w:hint="eastAsia" w:ascii="宋体" w:hAnsi="宋体" w:cs="宋体"/>
                <w:kern w:val="0"/>
                <w:szCs w:val="21"/>
              </w:rPr>
            </w:pPr>
          </w:p>
        </w:tc>
        <w:tc>
          <w:tcPr>
            <w:tcW w:w="1079" w:type="dxa"/>
            <w:noWrap w:val="0"/>
            <w:vAlign w:val="center"/>
          </w:tcPr>
          <w:p w14:paraId="74EAA932">
            <w:pPr>
              <w:widowControl/>
              <w:jc w:val="center"/>
              <w:rPr>
                <w:rFonts w:ascii="宋体" w:hAnsi="宋体" w:cs="宋体"/>
                <w:kern w:val="0"/>
                <w:szCs w:val="21"/>
              </w:rPr>
            </w:pPr>
          </w:p>
        </w:tc>
        <w:tc>
          <w:tcPr>
            <w:tcW w:w="1079" w:type="dxa"/>
            <w:noWrap w:val="0"/>
            <w:vAlign w:val="center"/>
          </w:tcPr>
          <w:p w14:paraId="37C44965">
            <w:pPr>
              <w:widowControl/>
              <w:jc w:val="center"/>
              <w:rPr>
                <w:rFonts w:ascii="宋体" w:hAnsi="宋体" w:cs="宋体"/>
                <w:kern w:val="0"/>
                <w:szCs w:val="21"/>
              </w:rPr>
            </w:pPr>
          </w:p>
        </w:tc>
      </w:tr>
      <w:tr w14:paraId="19A956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4B36C03D">
            <w:pPr>
              <w:widowControl/>
              <w:jc w:val="center"/>
              <w:textAlignment w:val="center"/>
              <w:rPr>
                <w:rFonts w:hint="eastAsia" w:ascii="宋体" w:hAnsi="宋体" w:cs="宋体"/>
                <w:kern w:val="0"/>
                <w:szCs w:val="21"/>
              </w:rPr>
            </w:pPr>
          </w:p>
        </w:tc>
        <w:tc>
          <w:tcPr>
            <w:tcW w:w="4572" w:type="dxa"/>
            <w:noWrap w:val="0"/>
            <w:vAlign w:val="center"/>
          </w:tcPr>
          <w:p w14:paraId="082EC2D3">
            <w:pPr>
              <w:widowControl/>
              <w:jc w:val="left"/>
              <w:textAlignment w:val="center"/>
              <w:rPr>
                <w:rFonts w:hint="eastAsia" w:ascii="宋体" w:hAnsi="宋体" w:cs="宋体"/>
                <w:kern w:val="0"/>
                <w:szCs w:val="21"/>
              </w:rPr>
            </w:pPr>
          </w:p>
        </w:tc>
        <w:tc>
          <w:tcPr>
            <w:tcW w:w="899" w:type="dxa"/>
            <w:noWrap w:val="0"/>
            <w:vAlign w:val="center"/>
          </w:tcPr>
          <w:p w14:paraId="62259A71">
            <w:pPr>
              <w:widowControl/>
              <w:jc w:val="center"/>
              <w:textAlignment w:val="center"/>
              <w:rPr>
                <w:rFonts w:hint="eastAsia" w:ascii="宋体" w:hAnsi="宋体" w:cs="宋体"/>
                <w:kern w:val="0"/>
                <w:szCs w:val="21"/>
              </w:rPr>
            </w:pPr>
          </w:p>
        </w:tc>
        <w:tc>
          <w:tcPr>
            <w:tcW w:w="899" w:type="dxa"/>
            <w:noWrap w:val="0"/>
            <w:vAlign w:val="center"/>
          </w:tcPr>
          <w:p w14:paraId="715810AA">
            <w:pPr>
              <w:widowControl/>
              <w:jc w:val="right"/>
              <w:textAlignment w:val="center"/>
              <w:rPr>
                <w:rFonts w:hint="eastAsia" w:ascii="宋体" w:hAnsi="宋体" w:cs="宋体"/>
                <w:kern w:val="0"/>
                <w:szCs w:val="21"/>
              </w:rPr>
            </w:pPr>
          </w:p>
        </w:tc>
        <w:tc>
          <w:tcPr>
            <w:tcW w:w="1079" w:type="dxa"/>
            <w:noWrap w:val="0"/>
            <w:vAlign w:val="center"/>
          </w:tcPr>
          <w:p w14:paraId="2626587A">
            <w:pPr>
              <w:widowControl/>
              <w:jc w:val="center"/>
              <w:rPr>
                <w:rFonts w:ascii="宋体" w:hAnsi="宋体" w:cs="宋体"/>
                <w:kern w:val="0"/>
                <w:szCs w:val="21"/>
              </w:rPr>
            </w:pPr>
          </w:p>
        </w:tc>
        <w:tc>
          <w:tcPr>
            <w:tcW w:w="1079" w:type="dxa"/>
            <w:noWrap w:val="0"/>
            <w:vAlign w:val="center"/>
          </w:tcPr>
          <w:p w14:paraId="23D4DC88">
            <w:pPr>
              <w:widowControl/>
              <w:jc w:val="center"/>
              <w:rPr>
                <w:rFonts w:ascii="宋体" w:hAnsi="宋体" w:cs="宋体"/>
                <w:kern w:val="0"/>
                <w:szCs w:val="21"/>
              </w:rPr>
            </w:pPr>
          </w:p>
        </w:tc>
      </w:tr>
      <w:tr w14:paraId="4765DA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68" w:type="dxa"/>
            <w:gridSpan w:val="6"/>
            <w:noWrap w:val="0"/>
            <w:vAlign w:val="center"/>
          </w:tcPr>
          <w:p w14:paraId="2D586450">
            <w:pPr>
              <w:widowControl/>
              <w:jc w:val="center"/>
              <w:rPr>
                <w:rFonts w:ascii="宋体" w:hAnsi="宋体" w:cs="宋体"/>
                <w:b/>
                <w:kern w:val="0"/>
                <w:szCs w:val="21"/>
              </w:rPr>
            </w:pPr>
            <w:r>
              <w:rPr>
                <w:rFonts w:hint="eastAsia" w:ascii="宋体" w:hAnsi="宋体" w:cs="宋体"/>
                <w:b/>
                <w:kern w:val="0"/>
                <w:szCs w:val="21"/>
              </w:rPr>
              <w:t>清单</w:t>
            </w:r>
            <w:r>
              <w:rPr>
                <w:rFonts w:hint="eastAsia" w:ascii="宋体" w:hAnsi="宋体" w:cs="宋体"/>
                <w:b/>
                <w:kern w:val="0"/>
                <w:szCs w:val="21"/>
                <w:lang w:val="en-US" w:eastAsia="zh-CN"/>
              </w:rPr>
              <w:t>4</w:t>
            </w:r>
            <w:r>
              <w:rPr>
                <w:rFonts w:hint="eastAsia" w:ascii="宋体" w:hAnsi="宋体" w:cs="宋体"/>
                <w:b/>
                <w:kern w:val="0"/>
                <w:szCs w:val="21"/>
              </w:rPr>
              <w:t>00章合计   人民币</w:t>
            </w:r>
            <w:r>
              <w:rPr>
                <w:rFonts w:hint="eastAsia" w:ascii="宋体" w:hAnsi="宋体" w:cs="宋体"/>
                <w:b/>
                <w:kern w:val="0"/>
                <w:szCs w:val="21"/>
                <w:u w:val="single"/>
              </w:rPr>
              <w:t xml:space="preserve">       </w:t>
            </w:r>
            <w:r>
              <w:rPr>
                <w:rFonts w:hint="eastAsia" w:ascii="宋体" w:hAnsi="宋体" w:cs="宋体"/>
                <w:b/>
                <w:kern w:val="0"/>
                <w:szCs w:val="21"/>
              </w:rPr>
              <w:t>元</w:t>
            </w:r>
          </w:p>
        </w:tc>
      </w:tr>
    </w:tbl>
    <w:p w14:paraId="31800532">
      <w:pPr>
        <w:pStyle w:val="50"/>
        <w:ind w:left="0" w:leftChars="0" w:firstLine="0" w:firstLine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标项</w:t>
      </w: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w:t>
      </w:r>
      <w:r>
        <w:rPr>
          <w:rFonts w:hint="eastAsia" w:asciiTheme="minorEastAsia" w:hAnsiTheme="minorEastAsia" w:cstheme="minorEastAsia"/>
          <w:sz w:val="24"/>
          <w:szCs w:val="24"/>
          <w:lang w:eastAsia="zh-CN"/>
        </w:rPr>
        <w:t>2026年秀洲区县道及以上公路小修及应急抢险项目</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第一</w:t>
      </w:r>
      <w:r>
        <w:rPr>
          <w:rFonts w:hint="eastAsia" w:asciiTheme="minorEastAsia" w:hAnsiTheme="minorEastAsia" w:eastAsiaTheme="minorEastAsia" w:cstheme="minorEastAsia"/>
          <w:sz w:val="24"/>
          <w:szCs w:val="24"/>
          <w:lang w:eastAsia="zh-CN"/>
        </w:rPr>
        <w:t>标段）</w:t>
      </w:r>
    </w:p>
    <w:p w14:paraId="0D08D3E4">
      <w:pPr>
        <w:pStyle w:val="50"/>
        <w:ind w:left="0" w:leftChars="0" w:firstLine="0" w:firstLineChars="0"/>
        <w:rPr>
          <w:rFonts w:hint="eastAsia"/>
        </w:rPr>
      </w:pPr>
      <w:r>
        <w:rPr>
          <w:rFonts w:hint="eastAsia" w:asciiTheme="minorEastAsia" w:hAnsiTheme="minorEastAsia" w:eastAsiaTheme="minorEastAsia" w:cstheme="minorEastAsia"/>
          <w:sz w:val="24"/>
          <w:szCs w:val="24"/>
        </w:rPr>
        <w:t>货币单位：人民币元</w:t>
      </w:r>
    </w:p>
    <w:tbl>
      <w:tblPr>
        <w:tblStyle w:val="51"/>
        <w:tblW w:w="922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0" w:type="dxa"/>
        </w:tblCellMar>
      </w:tblPr>
      <w:tblGrid>
        <w:gridCol w:w="1270"/>
        <w:gridCol w:w="1449"/>
        <w:gridCol w:w="4554"/>
        <w:gridCol w:w="1955"/>
      </w:tblGrid>
      <w:tr w14:paraId="297B7E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0" w:type="dxa"/>
          </w:tblCellMar>
        </w:tblPrEx>
        <w:trPr>
          <w:trHeight w:val="794" w:hRule="atLeast"/>
        </w:trPr>
        <w:tc>
          <w:tcPr>
            <w:tcW w:w="1270" w:type="dxa"/>
            <w:noWrap w:val="0"/>
            <w:vAlign w:val="center"/>
          </w:tcPr>
          <w:p w14:paraId="56A8D278">
            <w:pPr>
              <w:jc w:val="center"/>
              <w:rPr>
                <w:rFonts w:hint="eastAsia" w:ascii="宋体" w:hAnsi="宋体"/>
                <w:szCs w:val="21"/>
              </w:rPr>
            </w:pPr>
            <w:r>
              <w:rPr>
                <w:rFonts w:hint="eastAsia" w:ascii="宋体" w:hAnsi="宋体"/>
                <w:szCs w:val="21"/>
              </w:rPr>
              <w:t>序号</w:t>
            </w:r>
          </w:p>
        </w:tc>
        <w:tc>
          <w:tcPr>
            <w:tcW w:w="1449" w:type="dxa"/>
            <w:noWrap w:val="0"/>
            <w:vAlign w:val="center"/>
          </w:tcPr>
          <w:p w14:paraId="7B054C73">
            <w:pPr>
              <w:jc w:val="center"/>
              <w:rPr>
                <w:rFonts w:hint="eastAsia" w:ascii="宋体" w:hAnsi="宋体"/>
                <w:szCs w:val="21"/>
              </w:rPr>
            </w:pPr>
            <w:r>
              <w:rPr>
                <w:rFonts w:hint="eastAsia" w:ascii="宋体" w:hAnsi="宋体"/>
                <w:szCs w:val="21"/>
              </w:rPr>
              <w:t>章次</w:t>
            </w:r>
          </w:p>
        </w:tc>
        <w:tc>
          <w:tcPr>
            <w:tcW w:w="4554" w:type="dxa"/>
            <w:noWrap w:val="0"/>
            <w:vAlign w:val="center"/>
          </w:tcPr>
          <w:p w14:paraId="57733B0D">
            <w:pPr>
              <w:jc w:val="center"/>
              <w:rPr>
                <w:rFonts w:hint="eastAsia" w:ascii="宋体" w:hAnsi="宋体"/>
                <w:szCs w:val="21"/>
              </w:rPr>
            </w:pPr>
            <w:r>
              <w:rPr>
                <w:rFonts w:hint="eastAsia" w:ascii="宋体" w:hAnsi="宋体"/>
                <w:szCs w:val="21"/>
              </w:rPr>
              <w:t>科目名称</w:t>
            </w:r>
          </w:p>
        </w:tc>
        <w:tc>
          <w:tcPr>
            <w:tcW w:w="1955" w:type="dxa"/>
            <w:noWrap w:val="0"/>
            <w:vAlign w:val="center"/>
          </w:tcPr>
          <w:p w14:paraId="424404A5">
            <w:pPr>
              <w:jc w:val="center"/>
              <w:rPr>
                <w:rFonts w:hint="eastAsia" w:ascii="宋体" w:hAnsi="宋体"/>
                <w:szCs w:val="21"/>
              </w:rPr>
            </w:pPr>
            <w:r>
              <w:rPr>
                <w:rFonts w:hint="eastAsia" w:ascii="宋体" w:hAnsi="宋体"/>
                <w:szCs w:val="21"/>
              </w:rPr>
              <w:t>金额（元）</w:t>
            </w:r>
          </w:p>
        </w:tc>
      </w:tr>
      <w:tr w14:paraId="7F7D40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0" w:type="dxa"/>
          </w:tblCellMar>
        </w:tblPrEx>
        <w:trPr>
          <w:trHeight w:val="794" w:hRule="atLeast"/>
        </w:trPr>
        <w:tc>
          <w:tcPr>
            <w:tcW w:w="1270" w:type="dxa"/>
            <w:noWrap w:val="0"/>
            <w:vAlign w:val="center"/>
          </w:tcPr>
          <w:p w14:paraId="683C277F">
            <w:pPr>
              <w:widowControl/>
              <w:jc w:val="center"/>
              <w:textAlignment w:val="center"/>
              <w:rPr>
                <w:rFonts w:ascii="宋体" w:hAnsi="宋体" w:cs="宋体"/>
                <w:kern w:val="0"/>
                <w:szCs w:val="21"/>
              </w:rPr>
            </w:pPr>
            <w:r>
              <w:rPr>
                <w:rFonts w:hint="eastAsia" w:ascii="宋体" w:hAnsi="宋体" w:cs="宋体"/>
                <w:color w:val="000000"/>
                <w:kern w:val="0"/>
                <w:szCs w:val="21"/>
                <w:lang w:bidi="ar"/>
              </w:rPr>
              <w:t>1</w:t>
            </w:r>
          </w:p>
        </w:tc>
        <w:tc>
          <w:tcPr>
            <w:tcW w:w="1449" w:type="dxa"/>
            <w:noWrap w:val="0"/>
            <w:vAlign w:val="center"/>
          </w:tcPr>
          <w:p w14:paraId="67714E62">
            <w:pPr>
              <w:widowControl/>
              <w:jc w:val="center"/>
              <w:textAlignment w:val="center"/>
              <w:rPr>
                <w:rFonts w:ascii="宋体" w:hAnsi="宋体" w:cs="宋体"/>
                <w:kern w:val="0"/>
                <w:szCs w:val="21"/>
              </w:rPr>
            </w:pPr>
            <w:r>
              <w:rPr>
                <w:rFonts w:hint="eastAsia" w:ascii="宋体" w:hAnsi="宋体" w:cs="宋体"/>
                <w:color w:val="000000"/>
                <w:kern w:val="0"/>
                <w:szCs w:val="21"/>
                <w:lang w:bidi="ar"/>
              </w:rPr>
              <w:t>100</w:t>
            </w:r>
          </w:p>
        </w:tc>
        <w:tc>
          <w:tcPr>
            <w:tcW w:w="4554" w:type="dxa"/>
            <w:noWrap w:val="0"/>
            <w:vAlign w:val="center"/>
          </w:tcPr>
          <w:p w14:paraId="6F8B271A">
            <w:pPr>
              <w:widowControl/>
              <w:jc w:val="center"/>
              <w:textAlignment w:val="center"/>
              <w:rPr>
                <w:rFonts w:ascii="宋体" w:hAnsi="宋体" w:cs="宋体"/>
                <w:kern w:val="0"/>
                <w:szCs w:val="21"/>
              </w:rPr>
            </w:pPr>
            <w:r>
              <w:rPr>
                <w:rFonts w:hint="eastAsia" w:ascii="宋体" w:hAnsi="宋体" w:cs="宋体"/>
                <w:color w:val="000000"/>
                <w:kern w:val="0"/>
                <w:szCs w:val="21"/>
                <w:lang w:bidi="ar"/>
              </w:rPr>
              <w:t>清单第100章总则</w:t>
            </w:r>
          </w:p>
        </w:tc>
        <w:tc>
          <w:tcPr>
            <w:tcW w:w="1955" w:type="dxa"/>
            <w:noWrap w:val="0"/>
            <w:vAlign w:val="center"/>
          </w:tcPr>
          <w:p w14:paraId="7A422987">
            <w:pPr>
              <w:jc w:val="center"/>
              <w:rPr>
                <w:rFonts w:hint="eastAsia" w:ascii="宋体" w:hAnsi="宋体"/>
                <w:szCs w:val="21"/>
              </w:rPr>
            </w:pPr>
          </w:p>
        </w:tc>
      </w:tr>
      <w:tr w14:paraId="4BA06A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0" w:type="dxa"/>
          </w:tblCellMar>
        </w:tblPrEx>
        <w:trPr>
          <w:trHeight w:val="794" w:hRule="atLeast"/>
        </w:trPr>
        <w:tc>
          <w:tcPr>
            <w:tcW w:w="1270" w:type="dxa"/>
            <w:noWrap w:val="0"/>
            <w:vAlign w:val="center"/>
          </w:tcPr>
          <w:p w14:paraId="1996EE3D">
            <w:pPr>
              <w:widowControl/>
              <w:jc w:val="center"/>
              <w:textAlignment w:val="center"/>
              <w:rPr>
                <w:rFonts w:hint="eastAsia" w:ascii="宋体" w:hAnsi="宋体" w:cs="宋体"/>
                <w:kern w:val="0"/>
                <w:szCs w:val="21"/>
              </w:rPr>
            </w:pPr>
            <w:r>
              <w:rPr>
                <w:rFonts w:hint="eastAsia" w:ascii="宋体" w:hAnsi="宋体" w:cs="宋体"/>
                <w:color w:val="000000"/>
                <w:kern w:val="0"/>
                <w:szCs w:val="21"/>
                <w:lang w:bidi="ar"/>
              </w:rPr>
              <w:t>2</w:t>
            </w:r>
          </w:p>
        </w:tc>
        <w:tc>
          <w:tcPr>
            <w:tcW w:w="1449" w:type="dxa"/>
            <w:noWrap w:val="0"/>
            <w:vAlign w:val="center"/>
          </w:tcPr>
          <w:p w14:paraId="183C1785">
            <w:pPr>
              <w:widowControl/>
              <w:jc w:val="center"/>
              <w:textAlignment w:val="center"/>
              <w:rPr>
                <w:rFonts w:hint="eastAsia" w:ascii="宋体" w:hAnsi="宋体" w:cs="宋体"/>
                <w:kern w:val="0"/>
                <w:szCs w:val="21"/>
              </w:rPr>
            </w:pPr>
            <w:r>
              <w:rPr>
                <w:rFonts w:hint="eastAsia" w:ascii="宋体" w:hAnsi="宋体" w:cs="宋体"/>
                <w:color w:val="000000"/>
                <w:kern w:val="0"/>
                <w:szCs w:val="21"/>
                <w:lang w:bidi="ar"/>
              </w:rPr>
              <w:t>200</w:t>
            </w:r>
          </w:p>
        </w:tc>
        <w:tc>
          <w:tcPr>
            <w:tcW w:w="4554" w:type="dxa"/>
            <w:noWrap w:val="0"/>
            <w:vAlign w:val="center"/>
          </w:tcPr>
          <w:p w14:paraId="59043457">
            <w:pPr>
              <w:widowControl/>
              <w:jc w:val="center"/>
              <w:textAlignment w:val="center"/>
              <w:rPr>
                <w:rFonts w:hint="eastAsia" w:ascii="宋体" w:hAnsi="宋体" w:cs="宋体"/>
                <w:kern w:val="0"/>
                <w:szCs w:val="21"/>
              </w:rPr>
            </w:pPr>
            <w:r>
              <w:rPr>
                <w:rFonts w:hint="eastAsia" w:ascii="宋体" w:hAnsi="宋体" w:cs="宋体"/>
                <w:color w:val="000000"/>
                <w:kern w:val="0"/>
                <w:szCs w:val="21"/>
                <w:lang w:bidi="ar"/>
              </w:rPr>
              <w:t>清单第200章路基</w:t>
            </w:r>
          </w:p>
        </w:tc>
        <w:tc>
          <w:tcPr>
            <w:tcW w:w="1955" w:type="dxa"/>
            <w:noWrap w:val="0"/>
            <w:vAlign w:val="center"/>
          </w:tcPr>
          <w:p w14:paraId="206E567F">
            <w:pPr>
              <w:jc w:val="center"/>
              <w:rPr>
                <w:rFonts w:hint="eastAsia" w:ascii="宋体" w:hAnsi="宋体"/>
                <w:szCs w:val="21"/>
              </w:rPr>
            </w:pPr>
          </w:p>
        </w:tc>
      </w:tr>
      <w:tr w14:paraId="5D5652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0" w:type="dxa"/>
          </w:tblCellMar>
        </w:tblPrEx>
        <w:trPr>
          <w:trHeight w:val="794" w:hRule="atLeast"/>
        </w:trPr>
        <w:tc>
          <w:tcPr>
            <w:tcW w:w="1270" w:type="dxa"/>
            <w:noWrap w:val="0"/>
            <w:vAlign w:val="center"/>
          </w:tcPr>
          <w:p w14:paraId="67D3F8C1">
            <w:pPr>
              <w:widowControl/>
              <w:jc w:val="center"/>
              <w:textAlignment w:val="center"/>
              <w:rPr>
                <w:rFonts w:hint="eastAsia" w:ascii="宋体" w:hAnsi="宋体" w:cs="宋体"/>
                <w:kern w:val="0"/>
                <w:szCs w:val="21"/>
              </w:rPr>
            </w:pPr>
            <w:r>
              <w:rPr>
                <w:rFonts w:hint="eastAsia" w:ascii="宋体" w:hAnsi="宋体" w:cs="宋体"/>
                <w:color w:val="000000"/>
                <w:kern w:val="0"/>
                <w:szCs w:val="21"/>
                <w:lang w:bidi="ar"/>
              </w:rPr>
              <w:t>3</w:t>
            </w:r>
          </w:p>
        </w:tc>
        <w:tc>
          <w:tcPr>
            <w:tcW w:w="1449" w:type="dxa"/>
            <w:noWrap w:val="0"/>
            <w:vAlign w:val="center"/>
          </w:tcPr>
          <w:p w14:paraId="3FB80DA5">
            <w:pPr>
              <w:widowControl/>
              <w:jc w:val="center"/>
              <w:textAlignment w:val="center"/>
              <w:rPr>
                <w:rFonts w:ascii="宋体" w:hAnsi="宋体" w:cs="宋体"/>
                <w:kern w:val="0"/>
                <w:szCs w:val="21"/>
              </w:rPr>
            </w:pPr>
            <w:r>
              <w:rPr>
                <w:rFonts w:hint="eastAsia" w:ascii="宋体" w:hAnsi="宋体" w:cs="宋体"/>
                <w:color w:val="000000"/>
                <w:kern w:val="0"/>
                <w:szCs w:val="21"/>
                <w:lang w:bidi="ar"/>
              </w:rPr>
              <w:t>300</w:t>
            </w:r>
          </w:p>
        </w:tc>
        <w:tc>
          <w:tcPr>
            <w:tcW w:w="4554" w:type="dxa"/>
            <w:noWrap w:val="0"/>
            <w:vAlign w:val="center"/>
          </w:tcPr>
          <w:p w14:paraId="2D04BC37">
            <w:pPr>
              <w:widowControl/>
              <w:jc w:val="center"/>
              <w:textAlignment w:val="center"/>
              <w:rPr>
                <w:rFonts w:ascii="宋体" w:hAnsi="宋体" w:cs="宋体"/>
                <w:kern w:val="0"/>
                <w:szCs w:val="21"/>
              </w:rPr>
            </w:pPr>
            <w:r>
              <w:rPr>
                <w:rFonts w:hint="eastAsia" w:ascii="宋体" w:hAnsi="宋体" w:cs="宋体"/>
                <w:color w:val="000000"/>
                <w:kern w:val="0"/>
                <w:szCs w:val="21"/>
                <w:lang w:bidi="ar"/>
              </w:rPr>
              <w:t>清单第300章路面</w:t>
            </w:r>
          </w:p>
        </w:tc>
        <w:tc>
          <w:tcPr>
            <w:tcW w:w="1955" w:type="dxa"/>
            <w:noWrap w:val="0"/>
            <w:vAlign w:val="center"/>
          </w:tcPr>
          <w:p w14:paraId="6C86D387">
            <w:pPr>
              <w:jc w:val="center"/>
              <w:rPr>
                <w:rFonts w:hint="eastAsia" w:ascii="宋体" w:hAnsi="宋体"/>
                <w:szCs w:val="21"/>
              </w:rPr>
            </w:pPr>
          </w:p>
        </w:tc>
      </w:tr>
      <w:tr w14:paraId="2D0EA5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0" w:type="dxa"/>
          </w:tblCellMar>
        </w:tblPrEx>
        <w:trPr>
          <w:trHeight w:val="794" w:hRule="atLeast"/>
        </w:trPr>
        <w:tc>
          <w:tcPr>
            <w:tcW w:w="1270" w:type="dxa"/>
            <w:noWrap w:val="0"/>
            <w:vAlign w:val="center"/>
          </w:tcPr>
          <w:p w14:paraId="36A44A31">
            <w:pPr>
              <w:widowControl/>
              <w:jc w:val="center"/>
              <w:textAlignment w:val="center"/>
              <w:rPr>
                <w:rFonts w:hint="eastAsia" w:ascii="宋体" w:hAnsi="宋体" w:eastAsia="宋体" w:cs="宋体"/>
                <w:color w:val="000000"/>
                <w:kern w:val="0"/>
                <w:szCs w:val="21"/>
                <w:lang w:val="en-US" w:eastAsia="zh-CN" w:bidi="ar"/>
              </w:rPr>
            </w:pPr>
            <w:r>
              <w:rPr>
                <w:rFonts w:hint="eastAsia" w:ascii="宋体" w:hAnsi="宋体" w:cs="宋体"/>
                <w:color w:val="000000"/>
                <w:kern w:val="0"/>
                <w:szCs w:val="21"/>
                <w:lang w:val="en-US" w:eastAsia="zh-CN" w:bidi="ar"/>
              </w:rPr>
              <w:t>4</w:t>
            </w:r>
          </w:p>
        </w:tc>
        <w:tc>
          <w:tcPr>
            <w:tcW w:w="1449" w:type="dxa"/>
            <w:noWrap w:val="0"/>
            <w:vAlign w:val="center"/>
          </w:tcPr>
          <w:p w14:paraId="4069875F">
            <w:pPr>
              <w:widowControl/>
              <w:jc w:val="center"/>
              <w:textAlignment w:val="center"/>
              <w:rPr>
                <w:rFonts w:hint="default" w:ascii="宋体" w:hAnsi="宋体" w:eastAsia="宋体" w:cs="宋体"/>
                <w:color w:val="000000"/>
                <w:kern w:val="0"/>
                <w:szCs w:val="21"/>
                <w:lang w:val="en-US" w:eastAsia="zh-CN" w:bidi="ar"/>
              </w:rPr>
            </w:pPr>
            <w:r>
              <w:rPr>
                <w:rFonts w:hint="eastAsia" w:ascii="宋体" w:hAnsi="宋体" w:cs="宋体"/>
                <w:color w:val="000000"/>
                <w:kern w:val="0"/>
                <w:szCs w:val="21"/>
                <w:lang w:val="en-US" w:eastAsia="zh-CN" w:bidi="ar"/>
              </w:rPr>
              <w:t>400</w:t>
            </w:r>
          </w:p>
        </w:tc>
        <w:tc>
          <w:tcPr>
            <w:tcW w:w="4554" w:type="dxa"/>
            <w:noWrap w:val="0"/>
            <w:vAlign w:val="center"/>
          </w:tcPr>
          <w:p w14:paraId="50E92588">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清单第</w:t>
            </w:r>
            <w:r>
              <w:rPr>
                <w:rFonts w:hint="eastAsia" w:ascii="宋体" w:hAnsi="宋体" w:cs="宋体"/>
                <w:color w:val="000000"/>
                <w:kern w:val="0"/>
                <w:szCs w:val="21"/>
                <w:lang w:val="en-US" w:eastAsia="zh-CN" w:bidi="ar"/>
              </w:rPr>
              <w:t>4</w:t>
            </w:r>
            <w:r>
              <w:rPr>
                <w:rFonts w:hint="eastAsia" w:ascii="宋体" w:hAnsi="宋体" w:cs="宋体"/>
                <w:color w:val="000000"/>
                <w:kern w:val="0"/>
                <w:szCs w:val="21"/>
                <w:lang w:bidi="ar"/>
              </w:rPr>
              <w:t>00章桥梁与涵洞</w:t>
            </w:r>
          </w:p>
        </w:tc>
        <w:tc>
          <w:tcPr>
            <w:tcW w:w="1955" w:type="dxa"/>
            <w:noWrap w:val="0"/>
            <w:vAlign w:val="center"/>
          </w:tcPr>
          <w:p w14:paraId="5232205F">
            <w:pPr>
              <w:jc w:val="center"/>
              <w:rPr>
                <w:rFonts w:hint="eastAsia" w:ascii="宋体" w:hAnsi="宋体"/>
                <w:szCs w:val="21"/>
              </w:rPr>
            </w:pPr>
          </w:p>
        </w:tc>
      </w:tr>
      <w:tr w14:paraId="3F4346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0" w:type="dxa"/>
          </w:tblCellMar>
        </w:tblPrEx>
        <w:trPr>
          <w:trHeight w:val="794" w:hRule="atLeast"/>
        </w:trPr>
        <w:tc>
          <w:tcPr>
            <w:tcW w:w="1270" w:type="dxa"/>
            <w:noWrap w:val="0"/>
            <w:vAlign w:val="center"/>
          </w:tcPr>
          <w:p w14:paraId="46C1C522">
            <w:pPr>
              <w:widowControl/>
              <w:jc w:val="center"/>
              <w:textAlignment w:val="center"/>
              <w:rPr>
                <w:rFonts w:hint="eastAsia" w:ascii="宋体" w:hAnsi="宋体" w:eastAsia="宋体"/>
                <w:lang w:eastAsia="zh-CN"/>
              </w:rPr>
            </w:pPr>
            <w:r>
              <w:rPr>
                <w:rFonts w:hint="eastAsia" w:ascii="宋体" w:hAnsi="宋体" w:cs="宋体"/>
                <w:color w:val="000000"/>
                <w:kern w:val="0"/>
                <w:szCs w:val="21"/>
                <w:lang w:val="en-US" w:eastAsia="zh-CN" w:bidi="ar"/>
              </w:rPr>
              <w:t>5</w:t>
            </w:r>
          </w:p>
        </w:tc>
        <w:tc>
          <w:tcPr>
            <w:tcW w:w="6003" w:type="dxa"/>
            <w:gridSpan w:val="2"/>
            <w:noWrap w:val="0"/>
            <w:vAlign w:val="center"/>
          </w:tcPr>
          <w:p w14:paraId="6DA5AC2E">
            <w:pPr>
              <w:widowControl/>
              <w:jc w:val="center"/>
              <w:textAlignment w:val="center"/>
              <w:rPr>
                <w:rFonts w:hint="eastAsia" w:ascii="宋体" w:hAnsi="宋体"/>
              </w:rPr>
            </w:pPr>
            <w:r>
              <w:rPr>
                <w:rFonts w:hint="eastAsia" w:ascii="宋体" w:hAnsi="宋体" w:cs="宋体"/>
                <w:color w:val="000000"/>
                <w:kern w:val="0"/>
                <w:szCs w:val="21"/>
                <w:lang w:bidi="ar"/>
              </w:rPr>
              <w:t>第100章至第</w:t>
            </w:r>
            <w:r>
              <w:rPr>
                <w:rFonts w:hint="eastAsia" w:ascii="宋体" w:hAnsi="宋体" w:cs="宋体"/>
                <w:color w:val="000000"/>
                <w:kern w:val="0"/>
                <w:szCs w:val="21"/>
                <w:lang w:val="en-US" w:eastAsia="zh-CN" w:bidi="ar"/>
              </w:rPr>
              <w:t>4</w:t>
            </w:r>
            <w:r>
              <w:rPr>
                <w:rFonts w:hint="eastAsia" w:ascii="宋体" w:hAnsi="宋体" w:cs="宋体"/>
                <w:color w:val="000000"/>
                <w:kern w:val="0"/>
                <w:szCs w:val="21"/>
                <w:lang w:bidi="ar"/>
              </w:rPr>
              <w:t>00章合计</w:t>
            </w:r>
          </w:p>
        </w:tc>
        <w:tc>
          <w:tcPr>
            <w:tcW w:w="1955" w:type="dxa"/>
            <w:noWrap w:val="0"/>
            <w:vAlign w:val="top"/>
          </w:tcPr>
          <w:p w14:paraId="7DDFDF59">
            <w:pPr>
              <w:jc w:val="center"/>
              <w:rPr>
                <w:rFonts w:hint="eastAsia" w:ascii="宋体" w:hAnsi="宋体"/>
                <w:szCs w:val="21"/>
              </w:rPr>
            </w:pPr>
          </w:p>
        </w:tc>
      </w:tr>
      <w:tr w14:paraId="4C6834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0" w:type="dxa"/>
          </w:tblCellMar>
        </w:tblPrEx>
        <w:trPr>
          <w:trHeight w:val="794" w:hRule="atLeast"/>
        </w:trPr>
        <w:tc>
          <w:tcPr>
            <w:tcW w:w="1270" w:type="dxa"/>
            <w:noWrap w:val="0"/>
            <w:vAlign w:val="center"/>
          </w:tcPr>
          <w:p w14:paraId="0BE36DE6">
            <w:pPr>
              <w:widowControl/>
              <w:jc w:val="center"/>
              <w:textAlignment w:val="center"/>
              <w:rPr>
                <w:rFonts w:hint="eastAsia" w:ascii="宋体" w:hAnsi="宋体" w:eastAsia="宋体"/>
                <w:lang w:eastAsia="zh-CN"/>
              </w:rPr>
            </w:pPr>
            <w:r>
              <w:rPr>
                <w:rFonts w:hint="eastAsia" w:ascii="宋体" w:hAnsi="宋体" w:cs="宋体"/>
                <w:color w:val="000000"/>
                <w:kern w:val="0"/>
                <w:szCs w:val="21"/>
                <w:lang w:val="en-US" w:eastAsia="zh-CN" w:bidi="ar"/>
              </w:rPr>
              <w:t>6</w:t>
            </w:r>
          </w:p>
        </w:tc>
        <w:tc>
          <w:tcPr>
            <w:tcW w:w="6003" w:type="dxa"/>
            <w:gridSpan w:val="2"/>
            <w:noWrap w:val="0"/>
            <w:vAlign w:val="center"/>
          </w:tcPr>
          <w:p w14:paraId="7161F431">
            <w:pPr>
              <w:widowControl/>
              <w:jc w:val="center"/>
              <w:textAlignment w:val="center"/>
              <w:rPr>
                <w:rFonts w:ascii="宋体" w:hAnsi="宋体"/>
              </w:rPr>
            </w:pPr>
            <w:r>
              <w:rPr>
                <w:rFonts w:hint="eastAsia" w:ascii="宋体" w:hAnsi="宋体" w:cs="宋体"/>
                <w:color w:val="000000"/>
                <w:kern w:val="0"/>
                <w:szCs w:val="21"/>
                <w:lang w:bidi="ar"/>
              </w:rPr>
              <w:t>已包含在清单合计中的材料、工程设备、专业工程暂估价合计</w:t>
            </w:r>
          </w:p>
        </w:tc>
        <w:tc>
          <w:tcPr>
            <w:tcW w:w="1955" w:type="dxa"/>
            <w:noWrap w:val="0"/>
            <w:vAlign w:val="top"/>
          </w:tcPr>
          <w:p w14:paraId="4AB5FA01">
            <w:pPr>
              <w:jc w:val="center"/>
              <w:rPr>
                <w:rFonts w:hint="eastAsia" w:ascii="宋体" w:hAnsi="宋体"/>
                <w:szCs w:val="21"/>
              </w:rPr>
            </w:pPr>
          </w:p>
        </w:tc>
      </w:tr>
      <w:tr w14:paraId="030EC8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0" w:type="dxa"/>
          </w:tblCellMar>
        </w:tblPrEx>
        <w:trPr>
          <w:trHeight w:val="794" w:hRule="atLeast"/>
        </w:trPr>
        <w:tc>
          <w:tcPr>
            <w:tcW w:w="1270" w:type="dxa"/>
            <w:noWrap w:val="0"/>
            <w:vAlign w:val="center"/>
          </w:tcPr>
          <w:p w14:paraId="47C46F94">
            <w:pPr>
              <w:widowControl/>
              <w:jc w:val="center"/>
              <w:textAlignment w:val="center"/>
              <w:rPr>
                <w:rFonts w:hint="eastAsia" w:ascii="宋体" w:hAnsi="宋体" w:eastAsia="宋体"/>
                <w:lang w:eastAsia="zh-CN"/>
              </w:rPr>
            </w:pPr>
            <w:r>
              <w:rPr>
                <w:rFonts w:hint="eastAsia" w:ascii="宋体" w:hAnsi="宋体" w:cs="宋体"/>
                <w:color w:val="000000"/>
                <w:kern w:val="0"/>
                <w:szCs w:val="21"/>
                <w:lang w:val="en-US" w:eastAsia="zh-CN" w:bidi="ar"/>
              </w:rPr>
              <w:t>7</w:t>
            </w:r>
          </w:p>
        </w:tc>
        <w:tc>
          <w:tcPr>
            <w:tcW w:w="6003" w:type="dxa"/>
            <w:gridSpan w:val="2"/>
            <w:noWrap w:val="0"/>
            <w:vAlign w:val="center"/>
          </w:tcPr>
          <w:p w14:paraId="0EED2217">
            <w:pPr>
              <w:widowControl/>
              <w:jc w:val="center"/>
              <w:textAlignment w:val="center"/>
              <w:rPr>
                <w:rFonts w:hint="eastAsia" w:ascii="宋体" w:hAnsi="宋体"/>
              </w:rPr>
            </w:pPr>
            <w:r>
              <w:rPr>
                <w:rFonts w:hint="eastAsia" w:ascii="宋体" w:hAnsi="宋体" w:cs="宋体"/>
                <w:color w:val="000000"/>
                <w:kern w:val="0"/>
                <w:szCs w:val="21"/>
                <w:lang w:bidi="ar"/>
              </w:rPr>
              <w:t>清单合计减去材料、工程设备、专业工程暂估价合计</w:t>
            </w:r>
          </w:p>
        </w:tc>
        <w:tc>
          <w:tcPr>
            <w:tcW w:w="1955" w:type="dxa"/>
            <w:noWrap w:val="0"/>
            <w:vAlign w:val="top"/>
          </w:tcPr>
          <w:p w14:paraId="1BFE41D2">
            <w:pPr>
              <w:jc w:val="center"/>
              <w:rPr>
                <w:rFonts w:hint="eastAsia" w:ascii="宋体" w:hAnsi="宋体"/>
                <w:szCs w:val="21"/>
              </w:rPr>
            </w:pPr>
          </w:p>
        </w:tc>
      </w:tr>
      <w:tr w14:paraId="02C9CC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0" w:type="dxa"/>
          </w:tblCellMar>
        </w:tblPrEx>
        <w:trPr>
          <w:trHeight w:val="794" w:hRule="atLeast"/>
        </w:trPr>
        <w:tc>
          <w:tcPr>
            <w:tcW w:w="1270" w:type="dxa"/>
            <w:noWrap w:val="0"/>
            <w:vAlign w:val="center"/>
          </w:tcPr>
          <w:p w14:paraId="2166957F">
            <w:pPr>
              <w:widowControl/>
              <w:jc w:val="center"/>
              <w:textAlignment w:val="center"/>
              <w:rPr>
                <w:rFonts w:hint="eastAsia" w:ascii="宋体" w:hAnsi="宋体" w:eastAsia="宋体"/>
                <w:lang w:eastAsia="zh-CN"/>
              </w:rPr>
            </w:pPr>
            <w:r>
              <w:rPr>
                <w:rFonts w:hint="eastAsia" w:ascii="宋体" w:hAnsi="宋体" w:cs="宋体"/>
                <w:color w:val="000000"/>
                <w:kern w:val="0"/>
                <w:szCs w:val="21"/>
                <w:lang w:val="en-US" w:eastAsia="zh-CN" w:bidi="ar"/>
              </w:rPr>
              <w:t>8</w:t>
            </w:r>
          </w:p>
        </w:tc>
        <w:tc>
          <w:tcPr>
            <w:tcW w:w="6003" w:type="dxa"/>
            <w:gridSpan w:val="2"/>
            <w:noWrap w:val="0"/>
            <w:vAlign w:val="center"/>
          </w:tcPr>
          <w:p w14:paraId="366F61C3">
            <w:pPr>
              <w:widowControl/>
              <w:jc w:val="center"/>
              <w:textAlignment w:val="center"/>
              <w:rPr>
                <w:rFonts w:hint="eastAsia" w:ascii="宋体" w:hAnsi="宋体"/>
              </w:rPr>
            </w:pPr>
            <w:r>
              <w:rPr>
                <w:rFonts w:hint="eastAsia" w:ascii="宋体" w:hAnsi="宋体" w:cs="宋体"/>
                <w:color w:val="000000"/>
                <w:kern w:val="0"/>
                <w:szCs w:val="21"/>
                <w:lang w:bidi="ar"/>
              </w:rPr>
              <w:t>计日工合计</w:t>
            </w:r>
          </w:p>
        </w:tc>
        <w:tc>
          <w:tcPr>
            <w:tcW w:w="1955" w:type="dxa"/>
            <w:noWrap w:val="0"/>
            <w:vAlign w:val="top"/>
          </w:tcPr>
          <w:p w14:paraId="6DB94D10">
            <w:pPr>
              <w:jc w:val="center"/>
              <w:rPr>
                <w:rFonts w:hint="eastAsia" w:ascii="宋体" w:hAnsi="宋体"/>
                <w:szCs w:val="21"/>
              </w:rPr>
            </w:pPr>
          </w:p>
        </w:tc>
      </w:tr>
      <w:tr w14:paraId="5F557A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0" w:type="dxa"/>
          </w:tblCellMar>
        </w:tblPrEx>
        <w:trPr>
          <w:trHeight w:val="794" w:hRule="atLeast"/>
        </w:trPr>
        <w:tc>
          <w:tcPr>
            <w:tcW w:w="1270" w:type="dxa"/>
            <w:noWrap w:val="0"/>
            <w:vAlign w:val="center"/>
          </w:tcPr>
          <w:p w14:paraId="35FB8830">
            <w:pPr>
              <w:widowControl/>
              <w:jc w:val="center"/>
              <w:textAlignment w:val="center"/>
              <w:rPr>
                <w:rFonts w:hint="eastAsia" w:ascii="宋体" w:hAnsi="宋体" w:eastAsia="宋体"/>
                <w:lang w:eastAsia="zh-CN"/>
              </w:rPr>
            </w:pPr>
            <w:r>
              <w:rPr>
                <w:rFonts w:hint="eastAsia" w:ascii="宋体" w:hAnsi="宋体" w:cs="宋体"/>
                <w:color w:val="000000"/>
                <w:kern w:val="0"/>
                <w:szCs w:val="21"/>
                <w:lang w:val="en-US" w:eastAsia="zh-CN" w:bidi="ar"/>
              </w:rPr>
              <w:t>9</w:t>
            </w:r>
          </w:p>
        </w:tc>
        <w:tc>
          <w:tcPr>
            <w:tcW w:w="6003" w:type="dxa"/>
            <w:gridSpan w:val="2"/>
            <w:noWrap w:val="0"/>
            <w:vAlign w:val="center"/>
          </w:tcPr>
          <w:p w14:paraId="480A55FC">
            <w:pPr>
              <w:widowControl/>
              <w:jc w:val="center"/>
              <w:textAlignment w:val="center"/>
              <w:rPr>
                <w:rFonts w:hint="eastAsia" w:ascii="宋体" w:hAnsi="宋体"/>
              </w:rPr>
            </w:pPr>
            <w:r>
              <w:rPr>
                <w:rFonts w:hint="eastAsia" w:ascii="宋体" w:hAnsi="宋体" w:cs="宋体"/>
                <w:color w:val="000000"/>
                <w:kern w:val="0"/>
                <w:szCs w:val="21"/>
                <w:lang w:bidi="ar"/>
              </w:rPr>
              <w:t>暂列金额（不含计日工总额）</w:t>
            </w:r>
          </w:p>
        </w:tc>
        <w:tc>
          <w:tcPr>
            <w:tcW w:w="1955" w:type="dxa"/>
            <w:noWrap w:val="0"/>
            <w:vAlign w:val="top"/>
          </w:tcPr>
          <w:p w14:paraId="1D35B0C1">
            <w:pPr>
              <w:jc w:val="center"/>
              <w:rPr>
                <w:rFonts w:hint="eastAsia" w:ascii="宋体" w:hAnsi="宋体"/>
                <w:szCs w:val="21"/>
              </w:rPr>
            </w:pPr>
          </w:p>
        </w:tc>
      </w:tr>
      <w:tr w14:paraId="05D259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0" w:type="dxa"/>
          </w:tblCellMar>
        </w:tblPrEx>
        <w:trPr>
          <w:trHeight w:val="794" w:hRule="atLeast"/>
        </w:trPr>
        <w:tc>
          <w:tcPr>
            <w:tcW w:w="1270" w:type="dxa"/>
            <w:noWrap w:val="0"/>
            <w:vAlign w:val="center"/>
          </w:tcPr>
          <w:p w14:paraId="60B09214">
            <w:pPr>
              <w:widowControl/>
              <w:jc w:val="center"/>
              <w:textAlignment w:val="center"/>
              <w:rPr>
                <w:rFonts w:hint="default" w:ascii="宋体" w:hAnsi="宋体" w:eastAsia="宋体"/>
                <w:lang w:val="en-US" w:eastAsia="zh-CN"/>
              </w:rPr>
            </w:pPr>
            <w:r>
              <w:rPr>
                <w:rFonts w:hint="eastAsia" w:ascii="宋体" w:hAnsi="宋体" w:cs="宋体"/>
                <w:color w:val="000000"/>
                <w:kern w:val="0"/>
                <w:szCs w:val="21"/>
                <w:lang w:val="en-US" w:eastAsia="zh-CN" w:bidi="ar"/>
              </w:rPr>
              <w:t>10</w:t>
            </w:r>
          </w:p>
        </w:tc>
        <w:tc>
          <w:tcPr>
            <w:tcW w:w="6003" w:type="dxa"/>
            <w:gridSpan w:val="2"/>
            <w:noWrap w:val="0"/>
            <w:vAlign w:val="center"/>
          </w:tcPr>
          <w:p w14:paraId="1C152AD2">
            <w:pPr>
              <w:widowControl/>
              <w:jc w:val="center"/>
              <w:textAlignment w:val="center"/>
              <w:rPr>
                <w:rFonts w:hint="eastAsia" w:ascii="宋体" w:hAnsi="宋体"/>
              </w:rPr>
            </w:pPr>
            <w:r>
              <w:rPr>
                <w:rFonts w:hint="eastAsia" w:ascii="宋体" w:hAnsi="宋体" w:cs="宋体"/>
                <w:color w:val="000000"/>
                <w:kern w:val="0"/>
                <w:szCs w:val="21"/>
                <w:lang w:bidi="ar"/>
              </w:rPr>
              <w:t>投标</w:t>
            </w:r>
            <w:r>
              <w:rPr>
                <w:rFonts w:hint="eastAsia" w:ascii="宋体" w:hAnsi="宋体" w:cs="宋体"/>
                <w:color w:val="000000"/>
                <w:kern w:val="0"/>
                <w:szCs w:val="21"/>
                <w:lang w:val="en-US" w:eastAsia="zh-CN" w:bidi="ar"/>
              </w:rPr>
              <w:t>总</w:t>
            </w:r>
            <w:r>
              <w:rPr>
                <w:rFonts w:hint="eastAsia" w:ascii="宋体" w:hAnsi="宋体" w:cs="宋体"/>
                <w:color w:val="000000"/>
                <w:kern w:val="0"/>
                <w:szCs w:val="21"/>
                <w:lang w:bidi="ar"/>
              </w:rPr>
              <w:t>报价</w:t>
            </w:r>
          </w:p>
        </w:tc>
        <w:tc>
          <w:tcPr>
            <w:tcW w:w="1955" w:type="dxa"/>
            <w:noWrap w:val="0"/>
            <w:vAlign w:val="top"/>
          </w:tcPr>
          <w:p w14:paraId="40047B65">
            <w:pPr>
              <w:jc w:val="center"/>
              <w:rPr>
                <w:rFonts w:hint="eastAsia" w:ascii="宋体" w:hAnsi="宋体"/>
                <w:szCs w:val="21"/>
              </w:rPr>
            </w:pPr>
          </w:p>
        </w:tc>
      </w:tr>
    </w:tbl>
    <w:p w14:paraId="7F0B07D8">
      <w:pPr>
        <w:spacing w:line="340" w:lineRule="exact"/>
        <w:rPr>
          <w:rFonts w:hint="eastAsia"/>
          <w:sz w:val="24"/>
          <w:szCs w:val="21"/>
        </w:rPr>
      </w:pPr>
    </w:p>
    <w:p w14:paraId="46D1E713">
      <w:pPr>
        <w:pStyle w:val="21"/>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注：1.请仔细填写单价、总价、投标总报价；具体路线明细详见招标需求 。</w:t>
      </w:r>
    </w:p>
    <w:p w14:paraId="07516A67">
      <w:pPr>
        <w:spacing w:line="340" w:lineRule="exact"/>
        <w:rPr>
          <w:rFonts w:hint="eastAsia"/>
          <w:sz w:val="24"/>
          <w:szCs w:val="21"/>
        </w:rPr>
      </w:pPr>
      <w:r>
        <w:rPr>
          <w:rFonts w:hint="eastAsia" w:ascii="微软雅黑" w:hAnsi="微软雅黑" w:eastAsia="微软雅黑" w:cs="微软雅黑"/>
          <w:sz w:val="21"/>
          <w:szCs w:val="21"/>
          <w:lang w:val="en-US" w:eastAsia="zh-CN"/>
        </w:rPr>
        <w:t>2.本工程报价采用全费用单价，包括项目实施所需的一切材料、人工、标准附件、备品备件、专用工具、包装、运输、装卸、保险、货到就位以及安装、调试、培训、保修、利润、税金等完成合同所需的一切本身和不可或缺的所有工作开支、政策性文件规定及合同包含的所有风险、责任等各项全部费用并承担一切风险责任。</w:t>
      </w:r>
    </w:p>
    <w:p w14:paraId="20D12CE5">
      <w:pPr>
        <w:keepNext w:val="0"/>
        <w:keepLines w:val="0"/>
        <w:pageBreakBefore w:val="0"/>
        <w:kinsoku/>
        <w:wordWrap/>
        <w:overflowPunct/>
        <w:topLinePunct w:val="0"/>
        <w:autoSpaceDE w:val="0"/>
        <w:autoSpaceDN w:val="0"/>
        <w:bidi w:val="0"/>
        <w:adjustRightInd w:val="0"/>
        <w:spacing w:line="360" w:lineRule="auto"/>
        <w:jc w:val="left"/>
        <w:rPr>
          <w:rStyle w:val="59"/>
          <w:rFonts w:hint="eastAsia" w:asciiTheme="minorEastAsia" w:hAnsiTheme="minorEastAsia" w:eastAsiaTheme="minorEastAsia" w:cstheme="minorEastAsia"/>
          <w:kern w:val="0"/>
          <w:sz w:val="24"/>
          <w:szCs w:val="24"/>
          <w:highlight w:val="yellow"/>
        </w:rPr>
      </w:pPr>
      <w:r>
        <w:rPr>
          <w:rFonts w:hint="eastAsia" w:ascii="黑体" w:hAnsi="华文楷体" w:eastAsia="黑体"/>
          <w:sz w:val="44"/>
        </w:rPr>
        <w:br w:type="page"/>
      </w:r>
      <w:r>
        <w:rPr>
          <w:rFonts w:hint="eastAsia" w:ascii="宋体" w:hAnsi="宋体" w:cs="宋体"/>
          <w:b/>
          <w:bCs/>
          <w:sz w:val="24"/>
          <w:szCs w:val="24"/>
          <w:lang w:val="en-US" w:eastAsia="zh-CN"/>
        </w:rPr>
        <w:t>投标分项报价表（标项2）：</w:t>
      </w:r>
    </w:p>
    <w:p w14:paraId="16538749">
      <w:pPr>
        <w:outlineLvl w:val="0"/>
        <w:rPr>
          <w:rFonts w:hint="eastAsia" w:ascii="宋体" w:hAnsi="宋体"/>
          <w:b/>
          <w:bCs/>
          <w:sz w:val="24"/>
        </w:rPr>
      </w:pPr>
      <w:r>
        <w:rPr>
          <w:rFonts w:hint="eastAsia" w:ascii="宋体" w:hAnsi="宋体"/>
          <w:b/>
          <w:bCs/>
          <w:sz w:val="24"/>
        </w:rPr>
        <w:t>1．工程量清单说明</w:t>
      </w:r>
    </w:p>
    <w:p w14:paraId="05885C11">
      <w:pPr>
        <w:widowControl/>
        <w:numPr>
          <w:ilvl w:val="0"/>
          <w:numId w:val="11"/>
        </w:numPr>
        <w:shd w:val="clear" w:color="FFFFFF" w:fill="FFFFFF"/>
        <w:tabs>
          <w:tab w:val="left" w:pos="360"/>
        </w:tabs>
        <w:spacing w:line="420" w:lineRule="exact"/>
        <w:ind w:firstLine="420" w:firstLineChars="200"/>
        <w:jc w:val="left"/>
        <w:rPr>
          <w:kern w:val="0"/>
          <w:szCs w:val="21"/>
        </w:rPr>
      </w:pPr>
      <w:r>
        <w:rPr>
          <w:rFonts w:eastAsia="黑体"/>
          <w:kern w:val="0"/>
          <w:szCs w:val="21"/>
        </w:rPr>
        <w:t>1.1</w:t>
      </w:r>
      <w:r>
        <w:rPr>
          <w:rFonts w:hint="eastAsia" w:ascii="黑体" w:eastAsia="黑体"/>
          <w:kern w:val="0"/>
          <w:szCs w:val="21"/>
        </w:rPr>
        <w:t xml:space="preserve">  </w:t>
      </w:r>
      <w:r>
        <w:rPr>
          <w:rFonts w:hint="eastAsia" w:ascii="宋体" w:hAnsi="宋体"/>
          <w:kern w:val="0"/>
          <w:szCs w:val="21"/>
        </w:rPr>
        <w:t>本</w:t>
      </w:r>
      <w:r>
        <w:rPr>
          <w:rFonts w:ascii="宋体" w:hAnsi="宋体"/>
          <w:kern w:val="0"/>
          <w:szCs w:val="21"/>
        </w:rPr>
        <w:t>工程量清单</w:t>
      </w:r>
      <w:r>
        <w:rPr>
          <w:rFonts w:hint="eastAsia" w:ascii="宋体" w:hAnsi="宋体"/>
          <w:kern w:val="0"/>
          <w:szCs w:val="21"/>
        </w:rPr>
        <w:t>是根据招标文件中包括的、有合同约束力的图纸以及有关工程量清单的国家标准、地方标准、行业标准、合同条款中约定的工程量计算规则编制；</w:t>
      </w:r>
      <w:r>
        <w:rPr>
          <w:rFonts w:hAnsi="宋体"/>
          <w:kern w:val="0"/>
          <w:szCs w:val="21"/>
        </w:rPr>
        <w:t>依据浙江省《交通养护工程工程量清单计价规范》（</w:t>
      </w:r>
      <w:r>
        <w:rPr>
          <w:kern w:val="0"/>
          <w:szCs w:val="21"/>
        </w:rPr>
        <w:t>DB33/T751-2009</w:t>
      </w:r>
      <w:r>
        <w:rPr>
          <w:rFonts w:hAnsi="宋体"/>
          <w:kern w:val="0"/>
          <w:szCs w:val="21"/>
        </w:rPr>
        <w:t>）</w:t>
      </w:r>
      <w:r>
        <w:rPr>
          <w:rFonts w:hAnsi="宋体"/>
          <w:bCs/>
          <w:kern w:val="0"/>
          <w:szCs w:val="21"/>
        </w:rPr>
        <w:t>第一部分</w:t>
      </w:r>
      <w:r>
        <w:rPr>
          <w:rFonts w:hint="eastAsia"/>
          <w:bCs/>
          <w:kern w:val="0"/>
          <w:szCs w:val="21"/>
        </w:rPr>
        <w:t xml:space="preserve"> “</w:t>
      </w:r>
      <w:r>
        <w:rPr>
          <w:rFonts w:hAnsi="宋体"/>
          <w:bCs/>
          <w:kern w:val="0"/>
          <w:szCs w:val="21"/>
        </w:rPr>
        <w:t>公路小修保养工程工程量清单计价规范</w:t>
      </w:r>
      <w:r>
        <w:rPr>
          <w:rFonts w:hint="eastAsia"/>
          <w:bCs/>
          <w:kern w:val="0"/>
          <w:szCs w:val="21"/>
        </w:rPr>
        <w:t>”</w:t>
      </w:r>
      <w:r>
        <w:rPr>
          <w:rFonts w:hAnsi="宋体"/>
          <w:bCs/>
          <w:kern w:val="0"/>
          <w:szCs w:val="21"/>
        </w:rPr>
        <w:t xml:space="preserve"> 中</w:t>
      </w:r>
      <w:r>
        <w:rPr>
          <w:rFonts w:hint="eastAsia" w:hAnsi="宋体"/>
          <w:bCs/>
          <w:kern w:val="0"/>
          <w:szCs w:val="21"/>
        </w:rPr>
        <w:t>的</w:t>
      </w:r>
      <w:r>
        <w:rPr>
          <w:rFonts w:hAnsi="宋体"/>
          <w:kern w:val="0"/>
          <w:szCs w:val="21"/>
        </w:rPr>
        <w:t>工程量清单计价、工程量清单计价格式和计价要求等进行编制</w:t>
      </w:r>
      <w:r>
        <w:rPr>
          <w:rFonts w:hint="eastAsia" w:hAnsi="宋体"/>
          <w:kern w:val="0"/>
          <w:szCs w:val="21"/>
        </w:rPr>
        <w:t>。</w:t>
      </w:r>
    </w:p>
    <w:p w14:paraId="30D11292">
      <w:pPr>
        <w:spacing w:line="420" w:lineRule="exact"/>
        <w:ind w:firstLine="420" w:firstLineChars="200"/>
        <w:jc w:val="left"/>
        <w:rPr>
          <w:rFonts w:hint="eastAsia"/>
          <w:szCs w:val="21"/>
        </w:rPr>
      </w:pPr>
      <w:r>
        <w:rPr>
          <w:szCs w:val="21"/>
        </w:rPr>
        <w:t>1.2  本工程量清单应与招标文件中的投标人须知、通用合同条款、</w:t>
      </w:r>
      <w:r>
        <w:rPr>
          <w:rFonts w:hint="eastAsia"/>
          <w:szCs w:val="21"/>
        </w:rPr>
        <w:t>项目</w:t>
      </w:r>
      <w:r>
        <w:rPr>
          <w:szCs w:val="21"/>
        </w:rPr>
        <w:t>专用合同条款、技术规范等一起阅读和理解</w:t>
      </w:r>
      <w:r>
        <w:rPr>
          <w:rFonts w:hint="eastAsia"/>
          <w:szCs w:val="21"/>
        </w:rPr>
        <w:t>。</w:t>
      </w:r>
    </w:p>
    <w:p w14:paraId="519703E9">
      <w:pPr>
        <w:spacing w:line="420" w:lineRule="exact"/>
        <w:ind w:firstLine="420" w:firstLineChars="200"/>
        <w:rPr>
          <w:rFonts w:hint="eastAsia"/>
          <w:szCs w:val="21"/>
        </w:rPr>
      </w:pPr>
      <w:r>
        <w:rPr>
          <w:szCs w:val="21"/>
        </w:rPr>
        <w:t>1.3  本工程量清单中所列</w:t>
      </w:r>
      <w:r>
        <w:rPr>
          <w:rFonts w:hint="eastAsia"/>
          <w:szCs w:val="21"/>
        </w:rPr>
        <w:t>“一类项目”（指工程量清单第1000章中项目名称）</w:t>
      </w:r>
      <w:r>
        <w:rPr>
          <w:szCs w:val="21"/>
        </w:rPr>
        <w:t>工程量是</w:t>
      </w:r>
      <w:r>
        <w:rPr>
          <w:rFonts w:hint="eastAsia"/>
          <w:szCs w:val="21"/>
        </w:rPr>
        <w:t>根据实际情况确定的工程数量；“二类项目”（指工程量清单第100章</w:t>
      </w:r>
      <w:r>
        <w:rPr>
          <w:szCs w:val="21"/>
        </w:rPr>
        <w:t>~</w:t>
      </w:r>
      <w:r>
        <w:rPr>
          <w:rFonts w:hint="eastAsia"/>
          <w:szCs w:val="21"/>
        </w:rPr>
        <w:t>第700章中子目名称）工程量为暂定的工程数量，是</w:t>
      </w:r>
      <w:r>
        <w:rPr>
          <w:szCs w:val="21"/>
        </w:rPr>
        <w:t>估算的或</w:t>
      </w:r>
      <w:r>
        <w:rPr>
          <w:rFonts w:hint="eastAsia"/>
          <w:szCs w:val="21"/>
        </w:rPr>
        <w:t>是</w:t>
      </w:r>
      <w:r>
        <w:rPr>
          <w:szCs w:val="21"/>
        </w:rPr>
        <w:t>预计的数量，仅作为投标报价的共同基础，不能作为最终结算与支付的依据</w:t>
      </w:r>
      <w:r>
        <w:rPr>
          <w:rFonts w:hint="eastAsia"/>
          <w:szCs w:val="21"/>
        </w:rPr>
        <w:t>，</w:t>
      </w:r>
      <w:r>
        <w:rPr>
          <w:szCs w:val="21"/>
        </w:rPr>
        <w:t>实际支付应按</w:t>
      </w:r>
      <w:r>
        <w:rPr>
          <w:rFonts w:hint="eastAsia"/>
          <w:szCs w:val="21"/>
        </w:rPr>
        <w:t>承包人</w:t>
      </w:r>
      <w:r>
        <w:rPr>
          <w:szCs w:val="21"/>
        </w:rPr>
        <w:t>完成的实际工程量，由承包人按技术规范规定的计量方法，以</w:t>
      </w:r>
      <w:r>
        <w:rPr>
          <w:rFonts w:hint="eastAsia"/>
          <w:szCs w:val="21"/>
        </w:rPr>
        <w:t>发包</w:t>
      </w:r>
      <w:r>
        <w:rPr>
          <w:szCs w:val="21"/>
        </w:rPr>
        <w:t>人认可的尺寸、断面计量，按本工程量清单的单价和总额价计算支付金额；或者根据具体情况，按合同条款第15.4款的规定，由</w:t>
      </w:r>
      <w:r>
        <w:rPr>
          <w:rFonts w:hint="eastAsia"/>
          <w:szCs w:val="21"/>
        </w:rPr>
        <w:t>发包</w:t>
      </w:r>
      <w:r>
        <w:rPr>
          <w:szCs w:val="21"/>
        </w:rPr>
        <w:t>人确定的单价或总额价计算支付额。</w:t>
      </w:r>
    </w:p>
    <w:p w14:paraId="728D5EE6">
      <w:pPr>
        <w:spacing w:line="420" w:lineRule="exact"/>
        <w:ind w:firstLine="420" w:firstLineChars="200"/>
        <w:rPr>
          <w:rFonts w:hint="eastAsia"/>
          <w:szCs w:val="21"/>
        </w:rPr>
      </w:pPr>
      <w:r>
        <w:rPr>
          <w:rFonts w:hint="eastAsia"/>
          <w:szCs w:val="21"/>
        </w:rPr>
        <w:t xml:space="preserve">1.4  </w:t>
      </w:r>
      <w:r>
        <w:rPr>
          <w:szCs w:val="21"/>
        </w:rPr>
        <w:t>工程量清单</w:t>
      </w:r>
      <w:r>
        <w:rPr>
          <w:rFonts w:hint="eastAsia"/>
          <w:szCs w:val="21"/>
        </w:rPr>
        <w:t>各章是按第七章“技术规范”的相应章次编号的，“技术规范” 中计量与支付条款中的“支付子目”里所标注的“相应计价规范子目”栏的子目编号，即与</w:t>
      </w:r>
      <w:r>
        <w:rPr>
          <w:rFonts w:hAnsi="宋体"/>
          <w:szCs w:val="21"/>
        </w:rPr>
        <w:t>《交通养护工程工程量清单计价规范》</w:t>
      </w:r>
      <w:r>
        <w:rPr>
          <w:rFonts w:hAnsi="宋体"/>
          <w:bCs/>
          <w:szCs w:val="21"/>
        </w:rPr>
        <w:t>第一部分中</w:t>
      </w:r>
      <w:r>
        <w:rPr>
          <w:rFonts w:hint="eastAsia"/>
          <w:bCs/>
          <w:szCs w:val="21"/>
        </w:rPr>
        <w:t>“</w:t>
      </w:r>
      <w:r>
        <w:rPr>
          <w:rFonts w:hAnsi="宋体"/>
          <w:bCs/>
          <w:szCs w:val="21"/>
        </w:rPr>
        <w:t>公路小修保养工程工程量清单计价规范</w:t>
      </w:r>
      <w:r>
        <w:rPr>
          <w:rFonts w:hint="eastAsia"/>
          <w:bCs/>
          <w:szCs w:val="21"/>
        </w:rPr>
        <w:t>”</w:t>
      </w:r>
      <w:r>
        <w:rPr>
          <w:rFonts w:hint="eastAsia"/>
          <w:szCs w:val="21"/>
        </w:rPr>
        <w:t>的相应细目号相衔接。因此，工程量清单中各章工程子目的范围与计量等应与“技术规范”及</w:t>
      </w:r>
      <w:r>
        <w:rPr>
          <w:rFonts w:hint="eastAsia"/>
          <w:bCs/>
          <w:szCs w:val="21"/>
        </w:rPr>
        <w:t>“</w:t>
      </w:r>
      <w:r>
        <w:rPr>
          <w:rFonts w:hAnsi="宋体"/>
          <w:bCs/>
          <w:szCs w:val="21"/>
        </w:rPr>
        <w:t>公路小修保养工程工程量清单计价规范</w:t>
      </w:r>
      <w:r>
        <w:rPr>
          <w:rFonts w:hint="eastAsia"/>
          <w:bCs/>
          <w:szCs w:val="21"/>
        </w:rPr>
        <w:t>”</w:t>
      </w:r>
      <w:r>
        <w:rPr>
          <w:rFonts w:hint="eastAsia"/>
          <w:szCs w:val="21"/>
        </w:rPr>
        <w:t>的相应细目的范围、计量与支付条款结合起来理解或解释。</w:t>
      </w:r>
    </w:p>
    <w:p w14:paraId="7FD073C8">
      <w:pPr>
        <w:spacing w:line="420" w:lineRule="exact"/>
        <w:ind w:firstLine="420" w:firstLineChars="200"/>
        <w:rPr>
          <w:rFonts w:hint="eastAsia"/>
          <w:szCs w:val="21"/>
        </w:rPr>
      </w:pPr>
      <w:r>
        <w:rPr>
          <w:rFonts w:hint="eastAsia"/>
          <w:szCs w:val="21"/>
        </w:rPr>
        <w:t>1.5  对养护作业和材料的一般说明或规定，未重复写入工程量清单内，在给工程量</w:t>
      </w:r>
      <w:r>
        <w:rPr>
          <w:szCs w:val="21"/>
        </w:rPr>
        <w:t>清单</w:t>
      </w:r>
      <w:r>
        <w:rPr>
          <w:rFonts w:hint="eastAsia"/>
          <w:szCs w:val="21"/>
        </w:rPr>
        <w:t>各子目标价前，应参阅第七章“技术规范”的有关内容。</w:t>
      </w:r>
    </w:p>
    <w:p w14:paraId="3114B6D4">
      <w:pPr>
        <w:spacing w:line="420" w:lineRule="exact"/>
        <w:ind w:firstLine="420" w:firstLineChars="200"/>
        <w:rPr>
          <w:rFonts w:hint="eastAsia"/>
          <w:szCs w:val="21"/>
        </w:rPr>
      </w:pPr>
      <w:r>
        <w:rPr>
          <w:rFonts w:hint="eastAsia"/>
          <w:szCs w:val="21"/>
        </w:rPr>
        <w:t xml:space="preserve">1.6  </w:t>
      </w:r>
      <w:r>
        <w:rPr>
          <w:szCs w:val="21"/>
        </w:rPr>
        <w:t>工程量清单</w:t>
      </w:r>
      <w:r>
        <w:rPr>
          <w:rFonts w:hint="eastAsia"/>
          <w:szCs w:val="21"/>
        </w:rPr>
        <w:t>中所列工程量的变动，丝毫不会降低或影响合同条款的效力，也不免除承包人按规定的标准进行施工和修复缺陷的责任。</w:t>
      </w:r>
    </w:p>
    <w:p w14:paraId="14B72C49">
      <w:pPr>
        <w:spacing w:line="420" w:lineRule="exact"/>
        <w:ind w:firstLine="420" w:firstLineChars="200"/>
        <w:rPr>
          <w:rFonts w:hint="eastAsia" w:ascii="宋体" w:hAnsi="宋体"/>
          <w:szCs w:val="21"/>
        </w:rPr>
      </w:pPr>
    </w:p>
    <w:p w14:paraId="75389A1C">
      <w:pPr>
        <w:outlineLvl w:val="0"/>
        <w:rPr>
          <w:rFonts w:hint="eastAsia" w:ascii="宋体" w:hAnsi="宋体"/>
          <w:b/>
          <w:bCs/>
          <w:sz w:val="24"/>
        </w:rPr>
      </w:pPr>
      <w:r>
        <w:rPr>
          <w:rFonts w:hint="eastAsia" w:ascii="宋体" w:hAnsi="宋体"/>
          <w:b/>
          <w:bCs/>
          <w:sz w:val="24"/>
        </w:rPr>
        <w:t>2．投标报价说明</w:t>
      </w:r>
    </w:p>
    <w:p w14:paraId="76562E3C">
      <w:pPr>
        <w:spacing w:line="420" w:lineRule="exact"/>
        <w:ind w:firstLine="420" w:firstLineChars="200"/>
        <w:rPr>
          <w:rFonts w:hint="eastAsia" w:ascii="宋体" w:hAnsi="宋体"/>
          <w:szCs w:val="21"/>
        </w:rPr>
      </w:pPr>
      <w:r>
        <w:rPr>
          <w:rFonts w:hint="eastAsia" w:ascii="宋体" w:hAnsi="宋体"/>
          <w:szCs w:val="21"/>
        </w:rPr>
        <w:t>2.1  工程量清单中的每一子目须填入单价或价格，且只允许有一个报价。</w:t>
      </w:r>
    </w:p>
    <w:p w14:paraId="436AB136">
      <w:pPr>
        <w:spacing w:line="420" w:lineRule="exact"/>
        <w:ind w:firstLine="420" w:firstLineChars="200"/>
        <w:rPr>
          <w:rFonts w:hint="eastAsia" w:ascii="宋体" w:hAnsi="宋体"/>
          <w:szCs w:val="21"/>
        </w:rPr>
      </w:pPr>
      <w:r>
        <w:rPr>
          <w:rFonts w:hint="eastAsia" w:ascii="宋体" w:hAnsi="宋体"/>
          <w:szCs w:val="21"/>
        </w:rPr>
        <w:t>2.2  除非合同另有规定，工程量清单中有标价的单价和总额价均已包括了为实施和完成合同工程所需的劳务、材料、机械、质检（自检）、安装、缺陷修复、管理、保险、税费、利润等费用，以及合同明示或暗示的所有责任、义务和一般风险。</w:t>
      </w:r>
    </w:p>
    <w:p w14:paraId="576C5E4B">
      <w:pPr>
        <w:spacing w:line="420" w:lineRule="exact"/>
        <w:ind w:firstLine="420" w:firstLineChars="200"/>
        <w:rPr>
          <w:rFonts w:hint="eastAsia" w:ascii="宋体" w:hAnsi="宋体"/>
          <w:szCs w:val="21"/>
        </w:rPr>
      </w:pPr>
      <w:r>
        <w:rPr>
          <w:rFonts w:hint="eastAsia" w:ascii="宋体" w:hAnsi="宋体"/>
          <w:szCs w:val="21"/>
        </w:rPr>
        <w:t>2.3  工程量清单中投标人没有填入单价或价格的子目，其费用视为已分摊在工程量清单中其他相关子目的单价或价格之中。承包人必须按监理人指令完成工程量清单中未填人单价或价格的子目，但不能得到结算与支付。</w:t>
      </w:r>
    </w:p>
    <w:p w14:paraId="0120A4A7">
      <w:pPr>
        <w:spacing w:line="420" w:lineRule="exact"/>
        <w:ind w:firstLine="420" w:firstLineChars="200"/>
        <w:rPr>
          <w:rFonts w:hint="eastAsia" w:ascii="宋体" w:hAnsi="宋体"/>
          <w:szCs w:val="21"/>
        </w:rPr>
      </w:pPr>
      <w:r>
        <w:rPr>
          <w:rFonts w:hint="eastAsia" w:ascii="宋体" w:hAnsi="宋体"/>
          <w:szCs w:val="21"/>
        </w:rPr>
        <w:t>2.4  符合合同条款规定的全部费用应认为已被计入有标价的工程量清单所列各子目之中，未列子目不予计量的工作，其费用应视为已分摊在本合同工程的有关子目的单价或总额价之中。</w:t>
      </w:r>
    </w:p>
    <w:p w14:paraId="39455973">
      <w:pPr>
        <w:spacing w:line="420" w:lineRule="exact"/>
        <w:ind w:firstLine="420" w:firstLineChars="200"/>
        <w:rPr>
          <w:rFonts w:hint="eastAsia" w:ascii="宋体" w:hAnsi="宋体"/>
          <w:szCs w:val="21"/>
        </w:rPr>
      </w:pPr>
      <w:r>
        <w:rPr>
          <w:rFonts w:hint="eastAsia" w:ascii="宋体" w:hAnsi="宋体"/>
          <w:szCs w:val="21"/>
        </w:rPr>
        <w:t>2.5  承包人用于本合同工程的各类装备的提供、运输、维护、拆卸、拼装等支付的费用，已包括在工程量清单的单价与总额价之中。</w:t>
      </w:r>
    </w:p>
    <w:p w14:paraId="558B18F5">
      <w:pPr>
        <w:spacing w:line="420" w:lineRule="exact"/>
        <w:ind w:firstLine="420" w:firstLineChars="200"/>
        <w:rPr>
          <w:rFonts w:hint="eastAsia" w:ascii="宋体" w:hAnsi="宋体"/>
          <w:szCs w:val="21"/>
        </w:rPr>
      </w:pPr>
      <w:r>
        <w:rPr>
          <w:rFonts w:hint="eastAsia" w:ascii="宋体" w:hAnsi="宋体"/>
          <w:szCs w:val="21"/>
        </w:rPr>
        <w:t>2.6  工程量清单中各项金额均以人民币（元）结算。</w:t>
      </w:r>
    </w:p>
    <w:p w14:paraId="2F445186">
      <w:pPr>
        <w:spacing w:line="420" w:lineRule="exact"/>
        <w:ind w:firstLine="420" w:firstLineChars="200"/>
        <w:rPr>
          <w:rFonts w:hint="eastAsia" w:ascii="宋体" w:hAnsi="宋体"/>
          <w:szCs w:val="21"/>
        </w:rPr>
      </w:pPr>
      <w:r>
        <w:rPr>
          <w:rFonts w:hint="eastAsia" w:ascii="宋体" w:hAnsi="宋体"/>
          <w:szCs w:val="21"/>
        </w:rPr>
        <w:t>2.7  暂列金额（不含计日工总额）的数量及拟用子目的说明：</w:t>
      </w:r>
      <w:r>
        <w:rPr>
          <w:rFonts w:hint="eastAsia" w:ascii="宋体" w:hAnsi="宋体"/>
          <w:szCs w:val="21"/>
          <w:u w:val="single"/>
        </w:rPr>
        <w:t xml:space="preserve"> 暂列金额的数量为第100章至</w:t>
      </w:r>
      <w:r>
        <w:rPr>
          <w:rFonts w:hint="eastAsia" w:ascii="宋体" w:hAnsi="宋体"/>
          <w:szCs w:val="21"/>
          <w:u w:val="single"/>
          <w:lang w:val="en-US" w:eastAsia="zh-CN"/>
        </w:rPr>
        <w:t>4</w:t>
      </w:r>
      <w:r>
        <w:rPr>
          <w:rFonts w:hint="eastAsia" w:ascii="宋体" w:hAnsi="宋体"/>
          <w:szCs w:val="21"/>
          <w:u w:val="single"/>
        </w:rPr>
        <w:t>00章工程量清单合计的3</w:t>
      </w:r>
      <w:r>
        <w:rPr>
          <w:rFonts w:hint="eastAsia" w:ascii="宋体" w:hAnsi="宋体"/>
          <w:b/>
          <w:szCs w:val="21"/>
          <w:u w:val="single"/>
        </w:rPr>
        <w:t>％</w:t>
      </w:r>
      <w:r>
        <w:rPr>
          <w:rFonts w:hint="eastAsia" w:ascii="宋体" w:hAnsi="宋体"/>
          <w:szCs w:val="21"/>
          <w:u w:val="single"/>
        </w:rPr>
        <w:t xml:space="preserve">，除合同另有规定外，应由发包人按合同条款第15条的规定，结合工程具体情况，报经发包人批准后指令全部或部分地使用，或者根本不予动用  </w:t>
      </w:r>
      <w:r>
        <w:rPr>
          <w:rFonts w:hint="eastAsia" w:ascii="宋体" w:hAnsi="宋体"/>
          <w:szCs w:val="21"/>
        </w:rPr>
        <w:t>。</w:t>
      </w:r>
    </w:p>
    <w:p w14:paraId="6F0328B3">
      <w:pPr>
        <w:spacing w:line="420" w:lineRule="exact"/>
        <w:ind w:firstLine="420" w:firstLineChars="200"/>
        <w:rPr>
          <w:rFonts w:hint="eastAsia" w:ascii="宋体" w:hAnsi="宋体"/>
          <w:szCs w:val="21"/>
          <w:u w:val="single"/>
        </w:rPr>
      </w:pPr>
    </w:p>
    <w:p w14:paraId="68452EAF">
      <w:pPr>
        <w:outlineLvl w:val="0"/>
        <w:rPr>
          <w:rFonts w:hint="eastAsia" w:ascii="宋体" w:hAnsi="宋体"/>
          <w:b/>
          <w:bCs/>
          <w:sz w:val="24"/>
        </w:rPr>
      </w:pPr>
      <w:r>
        <w:rPr>
          <w:rFonts w:hint="eastAsia" w:ascii="宋体" w:hAnsi="宋体"/>
          <w:b/>
          <w:bCs/>
          <w:sz w:val="24"/>
        </w:rPr>
        <w:t>3．其他说明</w:t>
      </w:r>
    </w:p>
    <w:p w14:paraId="0C976EF4">
      <w:pPr>
        <w:spacing w:line="420" w:lineRule="exact"/>
        <w:ind w:firstLine="420" w:firstLineChars="200"/>
        <w:rPr>
          <w:rFonts w:hint="eastAsia" w:ascii="宋体" w:hAnsi="宋体"/>
          <w:szCs w:val="21"/>
        </w:rPr>
      </w:pPr>
      <w:r>
        <w:rPr>
          <w:rFonts w:hint="eastAsia" w:ascii="宋体" w:hAnsi="宋体"/>
          <w:szCs w:val="21"/>
        </w:rPr>
        <w:t>3.1工程量清单中的任何遗漏，不应免除承包人根据图纸规定完成单项工程的义务。</w:t>
      </w:r>
    </w:p>
    <w:p w14:paraId="1A99FECB">
      <w:pPr>
        <w:spacing w:line="420" w:lineRule="exact"/>
        <w:ind w:firstLine="420" w:firstLineChars="200"/>
        <w:rPr>
          <w:rFonts w:hint="eastAsia" w:ascii="宋体" w:hAnsi="宋体"/>
          <w:szCs w:val="21"/>
        </w:rPr>
      </w:pPr>
      <w:r>
        <w:rPr>
          <w:rFonts w:hint="eastAsia" w:ascii="宋体" w:hAnsi="宋体"/>
          <w:szCs w:val="21"/>
        </w:rPr>
        <w:t>3.2 安全生产费应不低于投标价（不含安全生产费、建筑工程一切险保险费）的2%，交通安全管理费包含在安全生产费内，不单独计列。</w:t>
      </w:r>
    </w:p>
    <w:p w14:paraId="1A2E87A5">
      <w:pPr>
        <w:spacing w:line="420" w:lineRule="exact"/>
        <w:ind w:firstLine="420" w:firstLineChars="200"/>
        <w:rPr>
          <w:rFonts w:hint="default" w:ascii="宋体" w:hAnsi="宋体" w:eastAsia="宋体"/>
          <w:szCs w:val="21"/>
          <w:lang w:val="en-US" w:eastAsia="zh-CN"/>
        </w:rPr>
      </w:pPr>
      <w:r>
        <w:rPr>
          <w:rFonts w:hint="eastAsia" w:ascii="宋体" w:hAnsi="宋体"/>
          <w:szCs w:val="21"/>
        </w:rPr>
        <w:t>3.3工程一切险的投保金额为工程量清单中各章合计金额（不含安全生产费、建筑工程一切险保险费的费用），保险费率暂定为3‰；安全生产责任险</w:t>
      </w:r>
      <w:r>
        <w:rPr>
          <w:rFonts w:hint="eastAsia" w:ascii="宋体" w:hAnsi="宋体"/>
          <w:szCs w:val="21"/>
          <w:lang w:val="en-US" w:eastAsia="zh-CN"/>
        </w:rPr>
        <w:t>计入安全生产费，不单列。</w:t>
      </w:r>
    </w:p>
    <w:p w14:paraId="3B9814D9">
      <w:pPr>
        <w:spacing w:line="420" w:lineRule="exact"/>
        <w:ind w:firstLine="420" w:firstLineChars="200"/>
        <w:rPr>
          <w:rFonts w:hint="eastAsia" w:ascii="宋体" w:hAnsi="宋体"/>
          <w:szCs w:val="21"/>
        </w:rPr>
      </w:pPr>
      <w:r>
        <w:rPr>
          <w:rFonts w:hint="eastAsia" w:ascii="宋体" w:hAnsi="宋体"/>
          <w:szCs w:val="21"/>
        </w:rPr>
        <w:t>3.4 在签订合同协议书前，招标人对中标人投标文件中的明显不平衡报价，在总价保持不变的前提下，应双方协商调整至双方认可的合理范围。</w:t>
      </w:r>
    </w:p>
    <w:p w14:paraId="7279CB7B">
      <w:pPr>
        <w:spacing w:line="420" w:lineRule="exact"/>
        <w:ind w:firstLine="420" w:firstLineChars="200"/>
        <w:rPr>
          <w:rFonts w:hint="eastAsia" w:ascii="宋体" w:hAnsi="宋体"/>
          <w:szCs w:val="21"/>
        </w:rPr>
      </w:pPr>
      <w:r>
        <w:rPr>
          <w:rFonts w:hint="eastAsia" w:ascii="宋体" w:hAnsi="宋体"/>
          <w:szCs w:val="21"/>
        </w:rPr>
        <w:t>3.5在签订合同协议书前，中标人应向招标人提供交通运输部《公路工程基本建设项目概算预算编制办法》规定的书面及电子版资料各一套。</w:t>
      </w:r>
    </w:p>
    <w:p w14:paraId="07E26F0F">
      <w:pPr>
        <w:spacing w:line="420" w:lineRule="exact"/>
        <w:ind w:firstLine="420" w:firstLineChars="200"/>
        <w:rPr>
          <w:rFonts w:hint="eastAsia" w:ascii="宋体" w:hAnsi="宋体"/>
          <w:szCs w:val="21"/>
        </w:rPr>
      </w:pPr>
      <w:r>
        <w:rPr>
          <w:rFonts w:hint="eastAsia" w:ascii="宋体" w:hAnsi="宋体"/>
          <w:szCs w:val="21"/>
        </w:rPr>
        <w:t>3.6本项目中的</w:t>
      </w:r>
      <w:r>
        <w:rPr>
          <w:rFonts w:ascii="宋体" w:hAnsi="宋体"/>
          <w:szCs w:val="21"/>
        </w:rPr>
        <w:t>大面积小修</w:t>
      </w:r>
      <w:r>
        <w:rPr>
          <w:rFonts w:hint="eastAsia" w:ascii="宋体" w:hAnsi="宋体"/>
          <w:szCs w:val="21"/>
        </w:rPr>
        <w:t>是指</w:t>
      </w:r>
      <w:r>
        <w:rPr>
          <w:rFonts w:ascii="宋体" w:hAnsi="宋体"/>
          <w:szCs w:val="21"/>
        </w:rPr>
        <w:t>单块50平方米以上或单条线路总面积不少于500平方米</w:t>
      </w:r>
      <w:r>
        <w:rPr>
          <w:rFonts w:hint="eastAsia" w:ascii="宋体" w:hAnsi="宋体"/>
          <w:szCs w:val="21"/>
        </w:rPr>
        <w:t>的小修。</w:t>
      </w:r>
    </w:p>
    <w:p w14:paraId="559BA1DE">
      <w:pPr>
        <w:spacing w:line="420" w:lineRule="exact"/>
        <w:ind w:firstLine="422" w:firstLineChars="200"/>
        <w:rPr>
          <w:rFonts w:hint="eastAsia" w:ascii="宋体" w:hAnsi="宋体"/>
          <w:b/>
          <w:szCs w:val="21"/>
        </w:rPr>
      </w:pPr>
      <w:r>
        <w:rPr>
          <w:rFonts w:hint="eastAsia" w:ascii="宋体" w:hAnsi="宋体"/>
          <w:b/>
          <w:szCs w:val="21"/>
        </w:rPr>
        <w:t>3.7</w:t>
      </w:r>
      <w:r>
        <w:rPr>
          <w:rFonts w:ascii="宋体" w:hAnsi="宋体"/>
          <w:b/>
          <w:szCs w:val="21"/>
        </w:rPr>
        <w:t>水泥混凝土路面维修</w:t>
      </w:r>
      <w:r>
        <w:rPr>
          <w:rFonts w:hint="eastAsia" w:ascii="宋体" w:hAnsi="宋体"/>
          <w:b/>
          <w:szCs w:val="21"/>
        </w:rPr>
        <w:t>已</w:t>
      </w:r>
      <w:r>
        <w:rPr>
          <w:rFonts w:ascii="宋体" w:hAnsi="宋体"/>
          <w:b/>
          <w:szCs w:val="21"/>
        </w:rPr>
        <w:t>包括施工安全、运行维护，挖、凿破损混凝土，</w:t>
      </w:r>
      <w:r>
        <w:rPr>
          <w:rFonts w:hint="eastAsia" w:ascii="宋体" w:hAnsi="宋体"/>
          <w:b/>
          <w:szCs w:val="21"/>
        </w:rPr>
        <w:t>废料外运，</w:t>
      </w:r>
      <w:r>
        <w:rPr>
          <w:rFonts w:ascii="宋体" w:hAnsi="宋体"/>
          <w:b/>
          <w:szCs w:val="21"/>
        </w:rPr>
        <w:t>周边凿毛、冲洗、配料、拌和、填筑、捣固、养生等相关作业所必须的费用</w:t>
      </w:r>
      <w:r>
        <w:rPr>
          <w:rFonts w:hint="eastAsia" w:ascii="宋体" w:hAnsi="宋体"/>
          <w:b/>
          <w:szCs w:val="21"/>
        </w:rPr>
        <w:t>。</w:t>
      </w:r>
    </w:p>
    <w:p w14:paraId="05FB7117">
      <w:pPr>
        <w:spacing w:line="420" w:lineRule="exact"/>
        <w:ind w:firstLine="422" w:firstLineChars="200"/>
        <w:rPr>
          <w:rFonts w:ascii="宋体" w:hAnsi="宋体"/>
          <w:b/>
          <w:szCs w:val="21"/>
        </w:rPr>
      </w:pPr>
      <w:r>
        <w:rPr>
          <w:rFonts w:hint="eastAsia" w:ascii="宋体" w:hAnsi="宋体"/>
          <w:b/>
          <w:szCs w:val="21"/>
        </w:rPr>
        <w:t>3.8沥青路面小修、沥青混凝土路面大面积小修已</w:t>
      </w:r>
      <w:r>
        <w:rPr>
          <w:rFonts w:ascii="宋体" w:hAnsi="宋体"/>
          <w:b/>
          <w:szCs w:val="21"/>
        </w:rPr>
        <w:t>包括施工安全、运行维护，铣刨，废料外运，清扫，</w:t>
      </w:r>
      <w:r>
        <w:rPr>
          <w:rFonts w:hint="eastAsia" w:ascii="宋体" w:hAnsi="宋体"/>
          <w:b/>
          <w:szCs w:val="21"/>
        </w:rPr>
        <w:t>裂</w:t>
      </w:r>
      <w:r>
        <w:rPr>
          <w:rFonts w:ascii="宋体" w:hAnsi="宋体"/>
          <w:b/>
          <w:szCs w:val="21"/>
        </w:rPr>
        <w:t>缝</w:t>
      </w:r>
      <w:r>
        <w:rPr>
          <w:rFonts w:hint="eastAsia" w:ascii="宋体" w:hAnsi="宋体"/>
          <w:b/>
          <w:szCs w:val="21"/>
        </w:rPr>
        <w:t>封闭，沥青切割封边，沥青混合料的制备及其拌和、运输</w:t>
      </w:r>
      <w:r>
        <w:rPr>
          <w:rFonts w:ascii="宋体" w:hAnsi="宋体"/>
          <w:b/>
          <w:szCs w:val="21"/>
        </w:rPr>
        <w:t>，摊铺，碾压，养生，清理现场等相关作业所必须的费用。</w:t>
      </w:r>
    </w:p>
    <w:p w14:paraId="5305B0FD">
      <w:pPr>
        <w:spacing w:line="420" w:lineRule="exact"/>
        <w:ind w:firstLine="422" w:firstLineChars="200"/>
        <w:rPr>
          <w:rFonts w:hint="eastAsia" w:ascii="宋体" w:hAnsi="宋体"/>
          <w:b/>
          <w:szCs w:val="21"/>
        </w:rPr>
      </w:pPr>
      <w:r>
        <w:rPr>
          <w:rFonts w:hint="eastAsia" w:ascii="宋体" w:hAnsi="宋体"/>
          <w:b/>
          <w:szCs w:val="21"/>
        </w:rPr>
        <w:t>3.9裂缝灌缝，包括</w:t>
      </w:r>
      <w:r>
        <w:rPr>
          <w:rFonts w:ascii="宋体" w:hAnsi="宋体"/>
          <w:b/>
          <w:szCs w:val="21"/>
        </w:rPr>
        <w:t>施工安全、运行维护，清扫裂缝，熬油，运输，喷灯加温，灌缝，撒砂填充，熨平，清理现场等相关作业所必须的费用</w:t>
      </w:r>
      <w:r>
        <w:rPr>
          <w:rFonts w:hint="eastAsia" w:ascii="宋体" w:hAnsi="宋体"/>
          <w:b/>
          <w:szCs w:val="21"/>
        </w:rPr>
        <w:t>。</w:t>
      </w:r>
    </w:p>
    <w:p w14:paraId="23A03E52">
      <w:pPr>
        <w:spacing w:line="420" w:lineRule="exact"/>
        <w:ind w:firstLine="422" w:firstLineChars="200"/>
        <w:rPr>
          <w:rFonts w:hint="eastAsia" w:ascii="宋体" w:hAnsi="宋体"/>
          <w:b/>
          <w:szCs w:val="21"/>
        </w:rPr>
      </w:pPr>
      <w:r>
        <w:rPr>
          <w:rFonts w:hint="eastAsia" w:ascii="宋体" w:hAnsi="宋体"/>
          <w:b/>
          <w:szCs w:val="21"/>
        </w:rPr>
        <w:t>3.10维修用碎石</w:t>
      </w:r>
      <w:r>
        <w:rPr>
          <w:rFonts w:ascii="宋体" w:hAnsi="宋体"/>
          <w:b/>
          <w:szCs w:val="21"/>
        </w:rPr>
        <w:t>包括施工安全、运行维护，</w:t>
      </w:r>
      <w:r>
        <w:rPr>
          <w:rFonts w:hint="eastAsia" w:ascii="宋体" w:hAnsi="宋体"/>
          <w:b/>
          <w:szCs w:val="21"/>
        </w:rPr>
        <w:t>病害部位的开槽、挖除、清底</w:t>
      </w:r>
      <w:r>
        <w:rPr>
          <w:rFonts w:ascii="宋体" w:hAnsi="宋体"/>
          <w:b/>
          <w:szCs w:val="21"/>
        </w:rPr>
        <w:t>，废料外运，配料，铺筑，</w:t>
      </w:r>
      <w:r>
        <w:rPr>
          <w:rFonts w:hint="eastAsia" w:ascii="宋体" w:hAnsi="宋体"/>
          <w:b/>
          <w:szCs w:val="21"/>
        </w:rPr>
        <w:t>摊平、压实</w:t>
      </w:r>
      <w:r>
        <w:rPr>
          <w:rFonts w:ascii="宋体" w:hAnsi="宋体"/>
          <w:b/>
          <w:szCs w:val="21"/>
        </w:rPr>
        <w:t>，清理现场等相关作业所必须的费用。</w:t>
      </w:r>
    </w:p>
    <w:p w14:paraId="122A201D">
      <w:pPr>
        <w:spacing w:line="420" w:lineRule="exact"/>
        <w:ind w:firstLine="422" w:firstLineChars="200"/>
        <w:rPr>
          <w:rFonts w:hint="eastAsia" w:ascii="宋体" w:hAnsi="宋体"/>
          <w:b/>
          <w:szCs w:val="21"/>
        </w:rPr>
      </w:pPr>
      <w:r>
        <w:rPr>
          <w:rFonts w:hint="eastAsia" w:ascii="宋体" w:hAnsi="宋体"/>
          <w:b/>
          <w:szCs w:val="21"/>
        </w:rPr>
        <w:t>3.11基层维修</w:t>
      </w:r>
      <w:r>
        <w:rPr>
          <w:rFonts w:ascii="宋体" w:hAnsi="宋体"/>
          <w:b/>
          <w:szCs w:val="21"/>
        </w:rPr>
        <w:t>包括施工安全、运行维护，</w:t>
      </w:r>
      <w:r>
        <w:rPr>
          <w:rFonts w:hint="eastAsia" w:ascii="宋体" w:hAnsi="宋体"/>
          <w:b/>
          <w:szCs w:val="21"/>
        </w:rPr>
        <w:t>开槽、挖除、清底</w:t>
      </w:r>
      <w:r>
        <w:rPr>
          <w:rFonts w:ascii="宋体" w:hAnsi="宋体"/>
          <w:b/>
          <w:szCs w:val="21"/>
        </w:rPr>
        <w:t>，废料外运，清扫，整平路面，洒水，配料，拌和，铺筑，养生，清理现场等相关作业所必须的费用。</w:t>
      </w:r>
    </w:p>
    <w:p w14:paraId="276477E8">
      <w:pPr>
        <w:spacing w:line="420" w:lineRule="exact"/>
        <w:ind w:firstLine="422" w:firstLineChars="200"/>
        <w:rPr>
          <w:rFonts w:hint="eastAsia" w:ascii="宋体" w:hAnsi="宋体"/>
          <w:b/>
          <w:szCs w:val="21"/>
        </w:rPr>
      </w:pPr>
      <w:r>
        <w:rPr>
          <w:rFonts w:hint="eastAsia" w:ascii="宋体" w:hAnsi="宋体"/>
          <w:b/>
          <w:szCs w:val="21"/>
        </w:rPr>
        <w:t>3.12人行道彩砖维修</w:t>
      </w:r>
      <w:r>
        <w:rPr>
          <w:rFonts w:ascii="宋体" w:hAnsi="宋体"/>
          <w:b/>
          <w:szCs w:val="21"/>
        </w:rPr>
        <w:t>包括施工安全、运行维护，挖</w:t>
      </w:r>
      <w:r>
        <w:rPr>
          <w:rFonts w:hint="eastAsia" w:ascii="宋体" w:hAnsi="宋体"/>
          <w:b/>
          <w:szCs w:val="21"/>
        </w:rPr>
        <w:t>除</w:t>
      </w:r>
      <w:r>
        <w:rPr>
          <w:rFonts w:ascii="宋体" w:hAnsi="宋体"/>
          <w:b/>
          <w:szCs w:val="21"/>
        </w:rPr>
        <w:t>破损</w:t>
      </w:r>
      <w:r>
        <w:rPr>
          <w:rFonts w:hint="eastAsia" w:ascii="宋体" w:hAnsi="宋体"/>
          <w:b/>
          <w:szCs w:val="21"/>
        </w:rPr>
        <w:t>彩砖及基层</w:t>
      </w:r>
      <w:r>
        <w:rPr>
          <w:rFonts w:ascii="宋体" w:hAnsi="宋体"/>
          <w:b/>
          <w:szCs w:val="21"/>
        </w:rPr>
        <w:t>，</w:t>
      </w:r>
      <w:r>
        <w:rPr>
          <w:rFonts w:hint="eastAsia" w:ascii="宋体" w:hAnsi="宋体"/>
          <w:b/>
          <w:szCs w:val="21"/>
        </w:rPr>
        <w:t>废料外运，</w:t>
      </w:r>
      <w:r>
        <w:rPr>
          <w:rFonts w:ascii="宋体" w:hAnsi="宋体"/>
          <w:b/>
          <w:szCs w:val="21"/>
        </w:rPr>
        <w:t>清扫，整平路面，</w:t>
      </w:r>
      <w:r>
        <w:rPr>
          <w:rFonts w:hint="eastAsia" w:ascii="宋体" w:hAnsi="宋体"/>
          <w:b/>
          <w:szCs w:val="21"/>
        </w:rPr>
        <w:t>水泥砂浆</w:t>
      </w:r>
      <w:r>
        <w:rPr>
          <w:rFonts w:ascii="宋体" w:hAnsi="宋体"/>
          <w:b/>
          <w:szCs w:val="21"/>
        </w:rPr>
        <w:t>拌和，</w:t>
      </w:r>
      <w:r>
        <w:rPr>
          <w:rFonts w:hint="eastAsia" w:ascii="宋体" w:hAnsi="宋体"/>
          <w:b/>
          <w:szCs w:val="21"/>
        </w:rPr>
        <w:t>彩砖铺设</w:t>
      </w:r>
      <w:r>
        <w:rPr>
          <w:rFonts w:ascii="宋体" w:hAnsi="宋体"/>
          <w:b/>
          <w:szCs w:val="21"/>
        </w:rPr>
        <w:t>，清理现场等相关作业所必须的费用</w:t>
      </w:r>
      <w:r>
        <w:rPr>
          <w:rFonts w:hint="eastAsia" w:ascii="宋体" w:hAnsi="宋体"/>
          <w:b/>
          <w:szCs w:val="21"/>
        </w:rPr>
        <w:t>。</w:t>
      </w:r>
    </w:p>
    <w:p w14:paraId="636CE3A0">
      <w:pPr>
        <w:spacing w:line="420" w:lineRule="exact"/>
        <w:ind w:firstLine="422" w:firstLineChars="200"/>
        <w:rPr>
          <w:rFonts w:hint="eastAsia" w:ascii="宋体" w:hAnsi="宋体"/>
          <w:b/>
          <w:szCs w:val="21"/>
        </w:rPr>
      </w:pPr>
      <w:r>
        <w:rPr>
          <w:rFonts w:hint="eastAsia" w:ascii="宋体" w:hAnsi="宋体"/>
          <w:b/>
          <w:szCs w:val="21"/>
        </w:rPr>
        <w:t>3.13地聚合物注浆包括施工安全、运行维护，钻孔，场地清理，制备地聚合物浆液，清孔，插拔注浆管，压浆，清洗压浆设备，清理现场等相关作业所必须的费用。</w:t>
      </w:r>
    </w:p>
    <w:p w14:paraId="55EC3914">
      <w:pPr>
        <w:spacing w:line="420" w:lineRule="exact"/>
        <w:ind w:firstLine="422" w:firstLineChars="200"/>
        <w:rPr>
          <w:rFonts w:ascii="宋体" w:hAnsi="宋体"/>
          <w:b/>
          <w:szCs w:val="21"/>
        </w:rPr>
      </w:pPr>
      <w:r>
        <w:rPr>
          <w:rFonts w:hint="eastAsia" w:ascii="宋体" w:hAnsi="宋体"/>
          <w:b/>
          <w:szCs w:val="21"/>
        </w:rPr>
        <w:t>3.</w:t>
      </w:r>
      <w:r>
        <w:rPr>
          <w:rFonts w:hint="eastAsia" w:ascii="宋体" w:hAnsi="宋体"/>
          <w:b/>
          <w:szCs w:val="21"/>
          <w:lang w:val="en-US" w:eastAsia="zh-CN"/>
        </w:rPr>
        <w:t>14</w:t>
      </w:r>
      <w:r>
        <w:rPr>
          <w:rFonts w:hint="eastAsia" w:ascii="宋体" w:hAnsi="宋体"/>
          <w:b/>
          <w:szCs w:val="21"/>
        </w:rPr>
        <w:t>冷补沥青混凝土已</w:t>
      </w:r>
      <w:r>
        <w:rPr>
          <w:rFonts w:ascii="宋体" w:hAnsi="宋体"/>
          <w:b/>
          <w:szCs w:val="21"/>
        </w:rPr>
        <w:t>包括施工安全、运行维护，铣刨，废料外运，清扫，洒粘层，</w:t>
      </w:r>
      <w:r>
        <w:rPr>
          <w:rFonts w:hint="eastAsia" w:ascii="宋体" w:hAnsi="宋体"/>
          <w:b/>
          <w:szCs w:val="21"/>
        </w:rPr>
        <w:t>裂</w:t>
      </w:r>
      <w:r>
        <w:rPr>
          <w:rFonts w:ascii="宋体" w:hAnsi="宋体"/>
          <w:b/>
          <w:szCs w:val="21"/>
        </w:rPr>
        <w:t>缝</w:t>
      </w:r>
      <w:r>
        <w:rPr>
          <w:rFonts w:hint="eastAsia" w:ascii="宋体" w:hAnsi="宋体"/>
          <w:b/>
          <w:szCs w:val="21"/>
        </w:rPr>
        <w:t>封闭，沥青切割封边，沥青混合料的制备及其拌和、运输</w:t>
      </w:r>
      <w:r>
        <w:rPr>
          <w:rFonts w:ascii="宋体" w:hAnsi="宋体"/>
          <w:b/>
          <w:szCs w:val="21"/>
        </w:rPr>
        <w:t>，摊铺，碾压，养生，清理现场等相关作业所必须的费用。</w:t>
      </w:r>
    </w:p>
    <w:p w14:paraId="76C0B569">
      <w:pPr>
        <w:spacing w:line="420" w:lineRule="exact"/>
        <w:ind w:firstLine="422" w:firstLineChars="200"/>
        <w:rPr>
          <w:rFonts w:hint="eastAsia" w:ascii="宋体" w:hAnsi="宋体"/>
          <w:b/>
          <w:szCs w:val="21"/>
        </w:rPr>
      </w:pPr>
      <w:r>
        <w:rPr>
          <w:rFonts w:hint="eastAsia" w:ascii="宋体" w:hAnsi="宋体"/>
          <w:b/>
          <w:szCs w:val="21"/>
        </w:rPr>
        <w:t>3.1</w:t>
      </w:r>
      <w:r>
        <w:rPr>
          <w:rFonts w:hint="eastAsia" w:ascii="宋体" w:hAnsi="宋体"/>
          <w:b/>
          <w:szCs w:val="21"/>
          <w:lang w:val="en-US" w:eastAsia="zh-CN"/>
        </w:rPr>
        <w:t>5</w:t>
      </w:r>
      <w:r>
        <w:rPr>
          <w:rFonts w:hint="eastAsia" w:ascii="宋体" w:hAnsi="宋体"/>
          <w:b/>
          <w:szCs w:val="21"/>
        </w:rPr>
        <w:t xml:space="preserve"> 针对安全生产责任险，承包人应根据《中华人民共和国安全生产法》（2021 修订版）、《浙江省人民政府办公厅转发省安监局等部门关于在高危行业全面推进安全生产责任保险的通知》（浙政办发〔2017〕146号）、《关于进一步推进我省安全生产责任保险规范化工作的通知》（浙应急法规〔2020〕9号）和《省交通运输厅关于加强公路水运工程疫情防控和安全生产费用保障的指导意见》（浙交〔2022〕116 号）等文件要求办理安全生产责任保险，并包括在价格清单的单价及总额价中，发包人不再另行支付。安全生产责任保险覆盖第三者责任险及人身意外伤害险。其中第三者责任险的投保金额最低为</w:t>
      </w:r>
      <w:r>
        <w:rPr>
          <w:rFonts w:hint="eastAsia" w:ascii="宋体" w:hAnsi="宋体"/>
          <w:b/>
          <w:szCs w:val="21"/>
          <w:lang w:val="en-US" w:eastAsia="zh-CN"/>
        </w:rPr>
        <w:t>5</w:t>
      </w:r>
      <w:r>
        <w:rPr>
          <w:rFonts w:hint="eastAsia" w:ascii="宋体" w:hAnsi="宋体"/>
          <w:b/>
          <w:szCs w:val="21"/>
        </w:rPr>
        <w:t>00万元，保险费率暂定为5‰。</w:t>
      </w:r>
    </w:p>
    <w:p w14:paraId="2C093A06">
      <w:pPr>
        <w:spacing w:line="420" w:lineRule="exact"/>
        <w:ind w:firstLine="422" w:firstLineChars="200"/>
        <w:rPr>
          <w:rFonts w:hint="eastAsia" w:ascii="宋体" w:hAnsi="宋体"/>
          <w:b/>
          <w:szCs w:val="21"/>
        </w:rPr>
      </w:pPr>
      <w:r>
        <w:rPr>
          <w:rFonts w:hint="eastAsia" w:ascii="宋体" w:hAnsi="宋体"/>
          <w:b/>
          <w:szCs w:val="21"/>
        </w:rPr>
        <w:t>3.1</w:t>
      </w:r>
      <w:r>
        <w:rPr>
          <w:rFonts w:hint="eastAsia" w:ascii="宋体" w:hAnsi="宋体"/>
          <w:b/>
          <w:szCs w:val="21"/>
          <w:lang w:val="en-US" w:eastAsia="zh-CN"/>
        </w:rPr>
        <w:t xml:space="preserve">6 </w:t>
      </w:r>
      <w:r>
        <w:rPr>
          <w:rFonts w:hint="eastAsia" w:ascii="宋体" w:hAnsi="宋体"/>
          <w:b/>
          <w:szCs w:val="21"/>
        </w:rPr>
        <w:t>工伤保险由承包人按照《浙江省人力资源和社会保障厅等六部门转发人力资源社会保障部等六部门关于铁路、公路、水运、水利、能源、机场工程建设项目参加工伤保险工作的通知》（浙人社发〔2018〕29号）进行投保，保费视为已经包含在相应工程的报价中，发包人不另行支付。</w:t>
      </w:r>
    </w:p>
    <w:p w14:paraId="47526E04">
      <w:pPr>
        <w:spacing w:line="420" w:lineRule="exact"/>
        <w:ind w:firstLine="420" w:firstLineChars="200"/>
        <w:rPr>
          <w:rFonts w:hint="eastAsia" w:ascii="宋体" w:hAnsi="宋体"/>
          <w:szCs w:val="21"/>
        </w:rPr>
      </w:pPr>
    </w:p>
    <w:p w14:paraId="4A86462B">
      <w:pPr>
        <w:spacing w:line="420" w:lineRule="exact"/>
        <w:ind w:firstLine="420" w:firstLineChars="200"/>
        <w:rPr>
          <w:rFonts w:hint="eastAsia" w:ascii="宋体" w:hAnsi="宋体"/>
          <w:szCs w:val="21"/>
        </w:rPr>
      </w:pPr>
    </w:p>
    <w:p w14:paraId="754633B5">
      <w:pPr>
        <w:spacing w:line="420" w:lineRule="exact"/>
        <w:ind w:firstLine="420" w:firstLineChars="200"/>
        <w:rPr>
          <w:rFonts w:hint="eastAsia" w:ascii="宋体" w:hAnsi="宋体"/>
          <w:szCs w:val="21"/>
        </w:rPr>
      </w:pPr>
    </w:p>
    <w:p w14:paraId="4EE28DC4">
      <w:pPr>
        <w:spacing w:line="420" w:lineRule="exact"/>
        <w:ind w:firstLine="420" w:firstLineChars="200"/>
        <w:rPr>
          <w:rFonts w:hint="eastAsia" w:ascii="宋体" w:hAnsi="宋体"/>
          <w:szCs w:val="21"/>
        </w:rPr>
      </w:pPr>
    </w:p>
    <w:p w14:paraId="4759C804">
      <w:pPr>
        <w:spacing w:line="420" w:lineRule="exact"/>
        <w:ind w:firstLine="420" w:firstLineChars="200"/>
        <w:rPr>
          <w:rFonts w:hint="eastAsia" w:ascii="宋体" w:hAnsi="宋体"/>
          <w:szCs w:val="21"/>
        </w:rPr>
      </w:pPr>
    </w:p>
    <w:p w14:paraId="1D795004">
      <w:pPr>
        <w:spacing w:line="360" w:lineRule="auto"/>
        <w:outlineLvl w:val="0"/>
        <w:rPr>
          <w:rFonts w:hint="eastAsia" w:ascii="宋体" w:hAnsi="宋体"/>
          <w:b/>
          <w:bCs/>
          <w:sz w:val="24"/>
        </w:rPr>
      </w:pPr>
      <w:r>
        <w:rPr>
          <w:rFonts w:hint="eastAsia" w:ascii="宋体" w:hAnsi="宋体"/>
          <w:b/>
          <w:bCs/>
          <w:sz w:val="24"/>
        </w:rPr>
        <w:br w:type="page"/>
      </w:r>
    </w:p>
    <w:p w14:paraId="139C3951">
      <w:pPr>
        <w:spacing w:before="240" w:beforeLines="100" w:after="240" w:afterLines="100"/>
        <w:jc w:val="center"/>
        <w:rPr>
          <w:rFonts w:hint="eastAsia" w:ascii="黑体" w:hAnsi="宋体" w:eastAsia="黑体"/>
          <w:sz w:val="30"/>
          <w:szCs w:val="30"/>
        </w:rPr>
      </w:pPr>
      <w:r>
        <w:rPr>
          <w:rFonts w:hint="eastAsia" w:ascii="黑体" w:hAnsi="宋体" w:eastAsia="黑体"/>
          <w:sz w:val="30"/>
          <w:szCs w:val="30"/>
        </w:rPr>
        <w:t>工程量清单</w:t>
      </w:r>
    </w:p>
    <w:p w14:paraId="02F800FA">
      <w:pPr>
        <w:pStyle w:val="50"/>
        <w:ind w:left="0" w:leftChars="0" w:firstLine="0" w:firstLine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标项</w:t>
      </w:r>
      <w:r>
        <w:rPr>
          <w:rFonts w:hint="eastAsia" w:asciiTheme="minorEastAsia" w:hAnsiTheme="minorEastAsia" w:cstheme="minorEastAsia"/>
          <w:sz w:val="24"/>
          <w:szCs w:val="24"/>
          <w:lang w:val="en-US" w:eastAsia="zh-CN"/>
        </w:rPr>
        <w:t>2</w:t>
      </w:r>
      <w:r>
        <w:rPr>
          <w:rFonts w:hint="eastAsia" w:asciiTheme="minorEastAsia" w:hAnsiTheme="minorEastAsia" w:eastAsiaTheme="minorEastAsia" w:cstheme="minorEastAsia"/>
          <w:sz w:val="24"/>
          <w:szCs w:val="24"/>
        </w:rPr>
        <w:t>：</w:t>
      </w:r>
      <w:r>
        <w:rPr>
          <w:rFonts w:hint="eastAsia" w:asciiTheme="minorEastAsia" w:hAnsiTheme="minorEastAsia" w:cstheme="minorEastAsia"/>
          <w:sz w:val="24"/>
          <w:szCs w:val="24"/>
          <w:lang w:eastAsia="zh-CN"/>
        </w:rPr>
        <w:t>2026年秀洲区县道及以上公路小修及应急抢险项目</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第</w:t>
      </w:r>
      <w:r>
        <w:rPr>
          <w:rFonts w:hint="eastAsia" w:asciiTheme="minorEastAsia" w:hAnsiTheme="minorEastAsia" w:cstheme="minorEastAsia"/>
          <w:sz w:val="24"/>
          <w:szCs w:val="24"/>
          <w:lang w:val="en-US" w:eastAsia="zh-CN"/>
        </w:rPr>
        <w:t>二</w:t>
      </w:r>
      <w:r>
        <w:rPr>
          <w:rFonts w:hint="eastAsia" w:asciiTheme="minorEastAsia" w:hAnsiTheme="minorEastAsia" w:eastAsiaTheme="minorEastAsia" w:cstheme="minorEastAsia"/>
          <w:sz w:val="24"/>
          <w:szCs w:val="24"/>
          <w:lang w:eastAsia="zh-CN"/>
        </w:rPr>
        <w:t>标段）</w:t>
      </w:r>
    </w:p>
    <w:p w14:paraId="568AC668">
      <w:pPr>
        <w:pStyle w:val="50"/>
        <w:ind w:left="0" w:leftChars="0" w:firstLine="0" w:firstLineChars="0"/>
        <w:rPr>
          <w:rFonts w:hint="eastAsia"/>
        </w:rPr>
      </w:pPr>
      <w:r>
        <w:rPr>
          <w:rFonts w:hint="eastAsia" w:asciiTheme="minorEastAsia" w:hAnsiTheme="minorEastAsia" w:eastAsiaTheme="minorEastAsia" w:cstheme="minorEastAsia"/>
          <w:sz w:val="24"/>
          <w:szCs w:val="24"/>
        </w:rPr>
        <w:t>货币单位：人民币元</w:t>
      </w:r>
    </w:p>
    <w:tbl>
      <w:tblPr>
        <w:tblStyle w:val="51"/>
        <w:tblW w:w="9162" w:type="dxa"/>
        <w:tblInd w:w="-7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0" w:type="dxa"/>
        </w:tblCellMar>
      </w:tblPr>
      <w:tblGrid>
        <w:gridCol w:w="822"/>
        <w:gridCol w:w="4533"/>
        <w:gridCol w:w="855"/>
        <w:gridCol w:w="918"/>
        <w:gridCol w:w="973"/>
        <w:gridCol w:w="1061"/>
      </w:tblGrid>
      <w:tr w14:paraId="3907F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9162" w:type="dxa"/>
            <w:gridSpan w:val="6"/>
            <w:tcBorders>
              <w:top w:val="single" w:color="auto" w:sz="12" w:space="0"/>
              <w:left w:val="single" w:color="auto" w:sz="12" w:space="0"/>
              <w:bottom w:val="single" w:color="auto" w:sz="6" w:space="0"/>
              <w:right w:val="single" w:color="auto" w:sz="12" w:space="0"/>
            </w:tcBorders>
            <w:noWrap w:val="0"/>
            <w:vAlign w:val="center"/>
          </w:tcPr>
          <w:p w14:paraId="51214B46">
            <w:pPr>
              <w:ind w:firstLine="103" w:firstLineChars="49"/>
              <w:jc w:val="center"/>
              <w:rPr>
                <w:rFonts w:hint="eastAsia" w:ascii="宋体" w:hAnsi="宋体"/>
                <w:b/>
                <w:bCs/>
              </w:rPr>
            </w:pPr>
            <w:r>
              <w:rPr>
                <w:rFonts w:hint="eastAsia" w:ascii="宋体" w:hAnsi="宋体"/>
                <w:b/>
                <w:bCs/>
              </w:rPr>
              <w:t>清单      第100章      总  则</w:t>
            </w:r>
          </w:p>
        </w:tc>
      </w:tr>
      <w:tr w14:paraId="08F99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4D49FEDA">
            <w:pPr>
              <w:jc w:val="center"/>
              <w:rPr>
                <w:rFonts w:hint="eastAsia" w:ascii="宋体" w:hAnsi="宋体"/>
                <w:szCs w:val="21"/>
              </w:rPr>
            </w:pPr>
            <w:r>
              <w:rPr>
                <w:rFonts w:hint="eastAsia" w:ascii="宋体" w:hAnsi="宋体"/>
                <w:szCs w:val="21"/>
              </w:rPr>
              <w:t>子目号</w:t>
            </w:r>
          </w:p>
        </w:tc>
        <w:tc>
          <w:tcPr>
            <w:tcW w:w="4533" w:type="dxa"/>
            <w:tcBorders>
              <w:top w:val="single" w:color="auto" w:sz="6" w:space="0"/>
              <w:left w:val="single" w:color="auto" w:sz="6" w:space="0"/>
              <w:bottom w:val="single" w:color="auto" w:sz="6" w:space="0"/>
              <w:right w:val="single" w:color="auto" w:sz="6" w:space="0"/>
            </w:tcBorders>
            <w:noWrap w:val="0"/>
            <w:vAlign w:val="center"/>
          </w:tcPr>
          <w:p w14:paraId="0D2D17E3">
            <w:pPr>
              <w:jc w:val="center"/>
              <w:rPr>
                <w:rFonts w:hint="eastAsia" w:ascii="宋体" w:hAnsi="宋体"/>
                <w:szCs w:val="21"/>
              </w:rPr>
            </w:pPr>
            <w:r>
              <w:rPr>
                <w:rFonts w:hint="eastAsia" w:ascii="宋体" w:hAnsi="宋体"/>
                <w:szCs w:val="21"/>
              </w:rPr>
              <w:t>子  目  名  称</w:t>
            </w:r>
          </w:p>
        </w:tc>
        <w:tc>
          <w:tcPr>
            <w:tcW w:w="855" w:type="dxa"/>
            <w:tcBorders>
              <w:top w:val="single" w:color="auto" w:sz="6" w:space="0"/>
              <w:left w:val="single" w:color="auto" w:sz="6" w:space="0"/>
              <w:bottom w:val="single" w:color="auto" w:sz="6" w:space="0"/>
              <w:right w:val="single" w:color="auto" w:sz="6" w:space="0"/>
            </w:tcBorders>
            <w:noWrap w:val="0"/>
            <w:vAlign w:val="center"/>
          </w:tcPr>
          <w:p w14:paraId="7303A2E5">
            <w:pPr>
              <w:jc w:val="center"/>
              <w:rPr>
                <w:rFonts w:hint="eastAsia" w:ascii="宋体" w:hAnsi="宋体"/>
                <w:szCs w:val="21"/>
              </w:rPr>
            </w:pPr>
            <w:r>
              <w:rPr>
                <w:rFonts w:hint="eastAsia" w:ascii="宋体" w:hAnsi="宋体"/>
                <w:szCs w:val="21"/>
              </w:rPr>
              <w:t>单位</w:t>
            </w:r>
          </w:p>
        </w:tc>
        <w:tc>
          <w:tcPr>
            <w:tcW w:w="918" w:type="dxa"/>
            <w:tcBorders>
              <w:top w:val="single" w:color="auto" w:sz="6" w:space="0"/>
              <w:left w:val="single" w:color="auto" w:sz="6" w:space="0"/>
              <w:bottom w:val="single" w:color="auto" w:sz="6" w:space="0"/>
              <w:right w:val="single" w:color="auto" w:sz="6" w:space="0"/>
            </w:tcBorders>
            <w:noWrap w:val="0"/>
            <w:vAlign w:val="center"/>
          </w:tcPr>
          <w:p w14:paraId="6B2D97C3">
            <w:pPr>
              <w:jc w:val="center"/>
              <w:rPr>
                <w:rFonts w:hint="eastAsia" w:ascii="宋体" w:hAnsi="宋体"/>
                <w:szCs w:val="21"/>
              </w:rPr>
            </w:pPr>
            <w:r>
              <w:rPr>
                <w:rFonts w:hint="eastAsia" w:ascii="宋体" w:hAnsi="宋体"/>
                <w:szCs w:val="21"/>
              </w:rPr>
              <w:t>数量</w:t>
            </w:r>
          </w:p>
        </w:tc>
        <w:tc>
          <w:tcPr>
            <w:tcW w:w="973" w:type="dxa"/>
            <w:tcBorders>
              <w:top w:val="single" w:color="auto" w:sz="6" w:space="0"/>
              <w:left w:val="single" w:color="auto" w:sz="6" w:space="0"/>
              <w:bottom w:val="single" w:color="auto" w:sz="6" w:space="0"/>
              <w:right w:val="single" w:color="auto" w:sz="6" w:space="0"/>
            </w:tcBorders>
            <w:noWrap w:val="0"/>
            <w:vAlign w:val="center"/>
          </w:tcPr>
          <w:p w14:paraId="5B2B07F7">
            <w:pPr>
              <w:jc w:val="center"/>
              <w:rPr>
                <w:rFonts w:hint="eastAsia" w:ascii="宋体" w:hAnsi="宋体"/>
                <w:szCs w:val="21"/>
              </w:rPr>
            </w:pPr>
            <w:r>
              <w:rPr>
                <w:rFonts w:hint="eastAsia" w:ascii="宋体" w:hAnsi="宋体"/>
                <w:szCs w:val="21"/>
              </w:rPr>
              <w:t>单价</w:t>
            </w: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794D6E69">
            <w:pPr>
              <w:jc w:val="center"/>
              <w:rPr>
                <w:rFonts w:hint="eastAsia" w:ascii="宋体" w:hAnsi="宋体"/>
              </w:rPr>
            </w:pPr>
            <w:r>
              <w:rPr>
                <w:rFonts w:hint="eastAsia" w:ascii="宋体" w:hAnsi="宋体"/>
              </w:rPr>
              <w:t>合价</w:t>
            </w:r>
          </w:p>
        </w:tc>
      </w:tr>
      <w:tr w14:paraId="77C29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376B473F">
            <w:pPr>
              <w:keepNext w:val="0"/>
              <w:keepLines w:val="0"/>
              <w:widowControl/>
              <w:suppressLineNumbers w:val="0"/>
              <w:jc w:val="center"/>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101</w:t>
            </w:r>
          </w:p>
        </w:tc>
        <w:tc>
          <w:tcPr>
            <w:tcW w:w="4533" w:type="dxa"/>
            <w:tcBorders>
              <w:top w:val="single" w:color="auto" w:sz="6" w:space="0"/>
              <w:left w:val="single" w:color="auto" w:sz="6" w:space="0"/>
              <w:bottom w:val="single" w:color="auto" w:sz="6" w:space="0"/>
              <w:right w:val="single" w:color="auto" w:sz="6" w:space="0"/>
            </w:tcBorders>
            <w:noWrap w:val="0"/>
            <w:vAlign w:val="center"/>
          </w:tcPr>
          <w:p w14:paraId="1115A9F7">
            <w:pPr>
              <w:keepNext w:val="0"/>
              <w:keepLines w:val="0"/>
              <w:widowControl/>
              <w:suppressLineNumbers w:val="0"/>
              <w:jc w:val="left"/>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通则</w:t>
            </w:r>
          </w:p>
        </w:tc>
        <w:tc>
          <w:tcPr>
            <w:tcW w:w="855" w:type="dxa"/>
            <w:tcBorders>
              <w:top w:val="single" w:color="auto" w:sz="6" w:space="0"/>
              <w:left w:val="single" w:color="auto" w:sz="6" w:space="0"/>
              <w:bottom w:val="single" w:color="auto" w:sz="6" w:space="0"/>
              <w:right w:val="single" w:color="auto" w:sz="6" w:space="0"/>
            </w:tcBorders>
            <w:noWrap w:val="0"/>
            <w:vAlign w:val="center"/>
          </w:tcPr>
          <w:p w14:paraId="5589435E">
            <w:pPr>
              <w:jc w:val="center"/>
              <w:rPr>
                <w:rFonts w:hint="eastAsia" w:ascii="宋体" w:hAnsi="宋体"/>
                <w:sz w:val="21"/>
                <w:szCs w:val="21"/>
              </w:rPr>
            </w:pPr>
          </w:p>
        </w:tc>
        <w:tc>
          <w:tcPr>
            <w:tcW w:w="918" w:type="dxa"/>
            <w:tcBorders>
              <w:top w:val="single" w:color="auto" w:sz="6" w:space="0"/>
              <w:left w:val="single" w:color="auto" w:sz="6" w:space="0"/>
              <w:bottom w:val="single" w:color="auto" w:sz="6" w:space="0"/>
              <w:right w:val="single" w:color="auto" w:sz="6" w:space="0"/>
            </w:tcBorders>
            <w:noWrap w:val="0"/>
            <w:vAlign w:val="center"/>
          </w:tcPr>
          <w:p w14:paraId="040A25D3">
            <w:pPr>
              <w:jc w:val="right"/>
              <w:rPr>
                <w:rFonts w:hint="eastAsia" w:ascii="宋体" w:hAnsi="宋体"/>
                <w:sz w:val="21"/>
                <w:szCs w:val="21"/>
              </w:rPr>
            </w:pPr>
          </w:p>
        </w:tc>
        <w:tc>
          <w:tcPr>
            <w:tcW w:w="973" w:type="dxa"/>
            <w:tcBorders>
              <w:top w:val="single" w:color="auto" w:sz="6" w:space="0"/>
              <w:left w:val="single" w:color="auto" w:sz="6" w:space="0"/>
              <w:bottom w:val="single" w:color="auto" w:sz="6" w:space="0"/>
              <w:right w:val="single" w:color="auto" w:sz="6" w:space="0"/>
            </w:tcBorders>
            <w:noWrap w:val="0"/>
            <w:vAlign w:val="center"/>
          </w:tcPr>
          <w:p w14:paraId="40E3E9FB">
            <w:pPr>
              <w:jc w:val="center"/>
              <w:rPr>
                <w:rFonts w:ascii="宋体" w:hAnsi="宋体"/>
                <w:szCs w:val="21"/>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55217D6C">
            <w:pPr>
              <w:jc w:val="center"/>
              <w:rPr>
                <w:rFonts w:hint="eastAsia" w:ascii="宋体" w:hAnsi="宋体"/>
              </w:rPr>
            </w:pPr>
          </w:p>
        </w:tc>
      </w:tr>
      <w:tr w14:paraId="0CE2B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39DB72B7">
            <w:pPr>
              <w:keepNext w:val="0"/>
              <w:keepLines w:val="0"/>
              <w:widowControl/>
              <w:suppressLineNumbers w:val="0"/>
              <w:jc w:val="center"/>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101-1</w:t>
            </w:r>
          </w:p>
        </w:tc>
        <w:tc>
          <w:tcPr>
            <w:tcW w:w="4533" w:type="dxa"/>
            <w:tcBorders>
              <w:top w:val="single" w:color="auto" w:sz="6" w:space="0"/>
              <w:left w:val="single" w:color="auto" w:sz="6" w:space="0"/>
              <w:bottom w:val="single" w:color="auto" w:sz="6" w:space="0"/>
              <w:right w:val="single" w:color="auto" w:sz="6" w:space="0"/>
            </w:tcBorders>
            <w:noWrap w:val="0"/>
            <w:vAlign w:val="center"/>
          </w:tcPr>
          <w:p w14:paraId="2C248640">
            <w:pPr>
              <w:keepNext w:val="0"/>
              <w:keepLines w:val="0"/>
              <w:widowControl/>
              <w:suppressLineNumbers w:val="0"/>
              <w:jc w:val="left"/>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保险费</w:t>
            </w:r>
          </w:p>
        </w:tc>
        <w:tc>
          <w:tcPr>
            <w:tcW w:w="855" w:type="dxa"/>
            <w:tcBorders>
              <w:top w:val="single" w:color="auto" w:sz="6" w:space="0"/>
              <w:left w:val="single" w:color="auto" w:sz="6" w:space="0"/>
              <w:bottom w:val="single" w:color="auto" w:sz="6" w:space="0"/>
              <w:right w:val="single" w:color="auto" w:sz="6" w:space="0"/>
            </w:tcBorders>
            <w:noWrap w:val="0"/>
            <w:vAlign w:val="center"/>
          </w:tcPr>
          <w:p w14:paraId="0A60605A">
            <w:pPr>
              <w:jc w:val="center"/>
              <w:rPr>
                <w:rFonts w:hint="eastAsia" w:ascii="宋体" w:hAnsi="宋体"/>
                <w:sz w:val="21"/>
                <w:szCs w:val="21"/>
              </w:rPr>
            </w:pPr>
          </w:p>
        </w:tc>
        <w:tc>
          <w:tcPr>
            <w:tcW w:w="918" w:type="dxa"/>
            <w:tcBorders>
              <w:top w:val="single" w:color="auto" w:sz="6" w:space="0"/>
              <w:left w:val="single" w:color="auto" w:sz="6" w:space="0"/>
              <w:bottom w:val="single" w:color="auto" w:sz="6" w:space="0"/>
              <w:right w:val="single" w:color="auto" w:sz="6" w:space="0"/>
            </w:tcBorders>
            <w:noWrap w:val="0"/>
            <w:vAlign w:val="center"/>
          </w:tcPr>
          <w:p w14:paraId="26772859">
            <w:pPr>
              <w:jc w:val="right"/>
              <w:rPr>
                <w:rFonts w:hint="eastAsia" w:ascii="宋体" w:hAnsi="宋体"/>
                <w:sz w:val="21"/>
                <w:szCs w:val="21"/>
              </w:rPr>
            </w:pPr>
          </w:p>
        </w:tc>
        <w:tc>
          <w:tcPr>
            <w:tcW w:w="973" w:type="dxa"/>
            <w:tcBorders>
              <w:top w:val="single" w:color="auto" w:sz="6" w:space="0"/>
              <w:left w:val="single" w:color="auto" w:sz="6" w:space="0"/>
              <w:bottom w:val="single" w:color="auto" w:sz="6" w:space="0"/>
              <w:right w:val="single" w:color="auto" w:sz="6" w:space="0"/>
            </w:tcBorders>
            <w:noWrap w:val="0"/>
            <w:vAlign w:val="center"/>
          </w:tcPr>
          <w:p w14:paraId="67B084DF">
            <w:pPr>
              <w:jc w:val="center"/>
              <w:rPr>
                <w:rFonts w:hint="eastAsia" w:ascii="宋体" w:hAnsi="宋体"/>
                <w:szCs w:val="21"/>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74BFC230">
            <w:pPr>
              <w:jc w:val="center"/>
              <w:rPr>
                <w:rFonts w:hint="eastAsia" w:ascii="宋体" w:hAnsi="宋体"/>
              </w:rPr>
            </w:pPr>
          </w:p>
        </w:tc>
      </w:tr>
      <w:tr w14:paraId="48454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3711BDC1">
            <w:pPr>
              <w:keepNext w:val="0"/>
              <w:keepLines w:val="0"/>
              <w:widowControl/>
              <w:suppressLineNumbers w:val="0"/>
              <w:jc w:val="center"/>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-a</w:t>
            </w:r>
          </w:p>
        </w:tc>
        <w:tc>
          <w:tcPr>
            <w:tcW w:w="4533" w:type="dxa"/>
            <w:tcBorders>
              <w:top w:val="single" w:color="auto" w:sz="6" w:space="0"/>
              <w:left w:val="single" w:color="auto" w:sz="6" w:space="0"/>
              <w:bottom w:val="single" w:color="auto" w:sz="6" w:space="0"/>
              <w:right w:val="single" w:color="auto" w:sz="6" w:space="0"/>
            </w:tcBorders>
            <w:noWrap w:val="0"/>
            <w:vAlign w:val="center"/>
          </w:tcPr>
          <w:p w14:paraId="6A74A4E7">
            <w:pPr>
              <w:keepNext w:val="0"/>
              <w:keepLines w:val="0"/>
              <w:widowControl/>
              <w:suppressLineNumbers w:val="0"/>
              <w:jc w:val="left"/>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按合同条款规定，提供建筑工程一切险</w:t>
            </w:r>
          </w:p>
        </w:tc>
        <w:tc>
          <w:tcPr>
            <w:tcW w:w="855" w:type="dxa"/>
            <w:tcBorders>
              <w:top w:val="single" w:color="auto" w:sz="6" w:space="0"/>
              <w:left w:val="single" w:color="auto" w:sz="6" w:space="0"/>
              <w:bottom w:val="single" w:color="auto" w:sz="6" w:space="0"/>
              <w:right w:val="single" w:color="auto" w:sz="6" w:space="0"/>
            </w:tcBorders>
            <w:noWrap w:val="0"/>
            <w:vAlign w:val="center"/>
          </w:tcPr>
          <w:p w14:paraId="521B9D21">
            <w:pPr>
              <w:keepNext w:val="0"/>
              <w:keepLines w:val="0"/>
              <w:widowControl/>
              <w:suppressLineNumbers w:val="0"/>
              <w:jc w:val="center"/>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总额</w:t>
            </w:r>
          </w:p>
        </w:tc>
        <w:tc>
          <w:tcPr>
            <w:tcW w:w="918" w:type="dxa"/>
            <w:tcBorders>
              <w:top w:val="single" w:color="auto" w:sz="6" w:space="0"/>
              <w:left w:val="single" w:color="auto" w:sz="6" w:space="0"/>
              <w:bottom w:val="single" w:color="auto" w:sz="6" w:space="0"/>
              <w:right w:val="single" w:color="auto" w:sz="6" w:space="0"/>
            </w:tcBorders>
            <w:noWrap w:val="0"/>
            <w:vAlign w:val="center"/>
          </w:tcPr>
          <w:p w14:paraId="3C98D5D5">
            <w:pPr>
              <w:keepNext w:val="0"/>
              <w:keepLines w:val="0"/>
              <w:widowControl/>
              <w:suppressLineNumbers w:val="0"/>
              <w:jc w:val="right"/>
              <w:textAlignment w:val="center"/>
              <w:rPr>
                <w:rFonts w:hint="eastAsia" w:ascii="宋体" w:hAnsi="宋体"/>
                <w:sz w:val="21"/>
                <w:szCs w:val="21"/>
              </w:rPr>
            </w:pPr>
            <w:r>
              <w:rPr>
                <w:rFonts w:hint="default" w:ascii="Arial Narrow" w:hAnsi="Arial Narrow" w:eastAsia="Arial Narrow" w:cs="Arial Narrow"/>
                <w:i w:val="0"/>
                <w:iCs w:val="0"/>
                <w:color w:val="000000"/>
                <w:kern w:val="0"/>
                <w:sz w:val="21"/>
                <w:szCs w:val="21"/>
                <w:u w:val="none"/>
                <w:lang w:val="en-US" w:eastAsia="zh-CN" w:bidi="ar"/>
              </w:rPr>
              <w:t>1</w:t>
            </w:r>
          </w:p>
        </w:tc>
        <w:tc>
          <w:tcPr>
            <w:tcW w:w="973" w:type="dxa"/>
            <w:tcBorders>
              <w:top w:val="single" w:color="auto" w:sz="6" w:space="0"/>
              <w:left w:val="single" w:color="auto" w:sz="6" w:space="0"/>
              <w:bottom w:val="single" w:color="auto" w:sz="6" w:space="0"/>
              <w:right w:val="single" w:color="auto" w:sz="6" w:space="0"/>
            </w:tcBorders>
            <w:noWrap w:val="0"/>
            <w:vAlign w:val="center"/>
          </w:tcPr>
          <w:p w14:paraId="56E92AF1">
            <w:pPr>
              <w:jc w:val="center"/>
              <w:rPr>
                <w:rFonts w:hint="eastAsia" w:ascii="宋体" w:hAnsi="宋体"/>
                <w:szCs w:val="21"/>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360BB5FB">
            <w:pPr>
              <w:jc w:val="center"/>
              <w:rPr>
                <w:rFonts w:hint="eastAsia" w:ascii="宋体" w:hAnsi="宋体"/>
              </w:rPr>
            </w:pPr>
          </w:p>
        </w:tc>
      </w:tr>
      <w:tr w14:paraId="17D21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1FAE2A03">
            <w:pPr>
              <w:keepNext w:val="0"/>
              <w:keepLines w:val="0"/>
              <w:widowControl/>
              <w:suppressLineNumbers w:val="0"/>
              <w:jc w:val="center"/>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102</w:t>
            </w:r>
          </w:p>
        </w:tc>
        <w:tc>
          <w:tcPr>
            <w:tcW w:w="4533" w:type="dxa"/>
            <w:tcBorders>
              <w:top w:val="single" w:color="auto" w:sz="6" w:space="0"/>
              <w:left w:val="single" w:color="auto" w:sz="6" w:space="0"/>
              <w:bottom w:val="single" w:color="auto" w:sz="6" w:space="0"/>
              <w:right w:val="single" w:color="auto" w:sz="6" w:space="0"/>
            </w:tcBorders>
            <w:noWrap w:val="0"/>
            <w:vAlign w:val="center"/>
          </w:tcPr>
          <w:p w14:paraId="38AFAD09">
            <w:pPr>
              <w:keepNext w:val="0"/>
              <w:keepLines w:val="0"/>
              <w:widowControl/>
              <w:suppressLineNumbers w:val="0"/>
              <w:jc w:val="left"/>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工程管理</w:t>
            </w:r>
          </w:p>
        </w:tc>
        <w:tc>
          <w:tcPr>
            <w:tcW w:w="855" w:type="dxa"/>
            <w:tcBorders>
              <w:top w:val="single" w:color="auto" w:sz="6" w:space="0"/>
              <w:left w:val="single" w:color="auto" w:sz="6" w:space="0"/>
              <w:bottom w:val="single" w:color="auto" w:sz="6" w:space="0"/>
              <w:right w:val="single" w:color="auto" w:sz="6" w:space="0"/>
            </w:tcBorders>
            <w:noWrap w:val="0"/>
            <w:vAlign w:val="center"/>
          </w:tcPr>
          <w:p w14:paraId="23B97364">
            <w:pPr>
              <w:jc w:val="center"/>
              <w:rPr>
                <w:rFonts w:hint="eastAsia" w:ascii="宋体" w:hAnsi="宋体"/>
                <w:sz w:val="21"/>
                <w:szCs w:val="21"/>
              </w:rPr>
            </w:pPr>
          </w:p>
        </w:tc>
        <w:tc>
          <w:tcPr>
            <w:tcW w:w="918" w:type="dxa"/>
            <w:tcBorders>
              <w:top w:val="single" w:color="auto" w:sz="6" w:space="0"/>
              <w:left w:val="single" w:color="auto" w:sz="6" w:space="0"/>
              <w:bottom w:val="single" w:color="auto" w:sz="6" w:space="0"/>
              <w:right w:val="single" w:color="auto" w:sz="6" w:space="0"/>
            </w:tcBorders>
            <w:noWrap w:val="0"/>
            <w:vAlign w:val="center"/>
          </w:tcPr>
          <w:p w14:paraId="39671FF2">
            <w:pPr>
              <w:jc w:val="right"/>
              <w:rPr>
                <w:rFonts w:hint="eastAsia" w:ascii="宋体" w:hAnsi="宋体"/>
                <w:sz w:val="21"/>
                <w:szCs w:val="21"/>
              </w:rPr>
            </w:pPr>
          </w:p>
        </w:tc>
        <w:tc>
          <w:tcPr>
            <w:tcW w:w="973" w:type="dxa"/>
            <w:tcBorders>
              <w:top w:val="single" w:color="auto" w:sz="6" w:space="0"/>
              <w:left w:val="single" w:color="auto" w:sz="6" w:space="0"/>
              <w:bottom w:val="single" w:color="auto" w:sz="6" w:space="0"/>
              <w:right w:val="single" w:color="auto" w:sz="6" w:space="0"/>
            </w:tcBorders>
            <w:noWrap w:val="0"/>
            <w:vAlign w:val="center"/>
          </w:tcPr>
          <w:p w14:paraId="6F3053E5">
            <w:pPr>
              <w:jc w:val="center"/>
              <w:rPr>
                <w:rFonts w:hint="eastAsia" w:ascii="宋体" w:hAnsi="宋体"/>
                <w:szCs w:val="21"/>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0265127F">
            <w:pPr>
              <w:jc w:val="center"/>
              <w:rPr>
                <w:rFonts w:hint="eastAsia" w:ascii="宋体" w:hAnsi="宋体"/>
              </w:rPr>
            </w:pPr>
          </w:p>
        </w:tc>
      </w:tr>
      <w:tr w14:paraId="52DB5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3E1B4D13">
            <w:pPr>
              <w:keepNext w:val="0"/>
              <w:keepLines w:val="0"/>
              <w:widowControl/>
              <w:suppressLineNumbers w:val="0"/>
              <w:jc w:val="center"/>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102-1</w:t>
            </w:r>
          </w:p>
        </w:tc>
        <w:tc>
          <w:tcPr>
            <w:tcW w:w="4533" w:type="dxa"/>
            <w:tcBorders>
              <w:top w:val="single" w:color="auto" w:sz="6" w:space="0"/>
              <w:left w:val="single" w:color="auto" w:sz="6" w:space="0"/>
              <w:bottom w:val="single" w:color="auto" w:sz="6" w:space="0"/>
              <w:right w:val="single" w:color="auto" w:sz="6" w:space="0"/>
            </w:tcBorders>
            <w:noWrap w:val="0"/>
            <w:vAlign w:val="center"/>
          </w:tcPr>
          <w:p w14:paraId="2E9C0AC5">
            <w:pPr>
              <w:keepNext w:val="0"/>
              <w:keepLines w:val="0"/>
              <w:widowControl/>
              <w:suppressLineNumbers w:val="0"/>
              <w:jc w:val="left"/>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档案资料编制费</w:t>
            </w:r>
          </w:p>
        </w:tc>
        <w:tc>
          <w:tcPr>
            <w:tcW w:w="855" w:type="dxa"/>
            <w:tcBorders>
              <w:top w:val="single" w:color="auto" w:sz="6" w:space="0"/>
              <w:left w:val="single" w:color="auto" w:sz="6" w:space="0"/>
              <w:bottom w:val="single" w:color="auto" w:sz="6" w:space="0"/>
              <w:right w:val="single" w:color="auto" w:sz="6" w:space="0"/>
            </w:tcBorders>
            <w:noWrap w:val="0"/>
            <w:vAlign w:val="center"/>
          </w:tcPr>
          <w:p w14:paraId="7516E9A9">
            <w:pPr>
              <w:keepNext w:val="0"/>
              <w:keepLines w:val="0"/>
              <w:widowControl/>
              <w:suppressLineNumbers w:val="0"/>
              <w:jc w:val="center"/>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总额</w:t>
            </w:r>
          </w:p>
        </w:tc>
        <w:tc>
          <w:tcPr>
            <w:tcW w:w="918" w:type="dxa"/>
            <w:tcBorders>
              <w:top w:val="single" w:color="auto" w:sz="6" w:space="0"/>
              <w:left w:val="single" w:color="auto" w:sz="6" w:space="0"/>
              <w:bottom w:val="single" w:color="auto" w:sz="6" w:space="0"/>
              <w:right w:val="single" w:color="auto" w:sz="6" w:space="0"/>
            </w:tcBorders>
            <w:noWrap w:val="0"/>
            <w:vAlign w:val="center"/>
          </w:tcPr>
          <w:p w14:paraId="0AD5B64C">
            <w:pPr>
              <w:keepNext w:val="0"/>
              <w:keepLines w:val="0"/>
              <w:widowControl/>
              <w:suppressLineNumbers w:val="0"/>
              <w:jc w:val="right"/>
              <w:textAlignment w:val="center"/>
              <w:rPr>
                <w:rFonts w:hint="eastAsia" w:ascii="宋体" w:hAnsi="宋体"/>
                <w:sz w:val="21"/>
                <w:szCs w:val="21"/>
              </w:rPr>
            </w:pPr>
            <w:r>
              <w:rPr>
                <w:rFonts w:hint="default" w:ascii="Arial Narrow" w:hAnsi="Arial Narrow" w:eastAsia="Arial Narrow" w:cs="Arial Narrow"/>
                <w:i w:val="0"/>
                <w:iCs w:val="0"/>
                <w:color w:val="000000"/>
                <w:kern w:val="0"/>
                <w:sz w:val="21"/>
                <w:szCs w:val="21"/>
                <w:u w:val="none"/>
                <w:lang w:val="en-US" w:eastAsia="zh-CN" w:bidi="ar"/>
              </w:rPr>
              <w:t>1</w:t>
            </w:r>
          </w:p>
        </w:tc>
        <w:tc>
          <w:tcPr>
            <w:tcW w:w="973" w:type="dxa"/>
            <w:tcBorders>
              <w:top w:val="single" w:color="auto" w:sz="6" w:space="0"/>
              <w:left w:val="single" w:color="auto" w:sz="6" w:space="0"/>
              <w:bottom w:val="single" w:color="auto" w:sz="6" w:space="0"/>
              <w:right w:val="single" w:color="auto" w:sz="6" w:space="0"/>
            </w:tcBorders>
            <w:noWrap w:val="0"/>
            <w:vAlign w:val="center"/>
          </w:tcPr>
          <w:p w14:paraId="0396DC78">
            <w:pPr>
              <w:jc w:val="center"/>
              <w:rPr>
                <w:rFonts w:hint="eastAsia" w:ascii="宋体" w:hAnsi="宋体"/>
                <w:szCs w:val="21"/>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078527B4">
            <w:pPr>
              <w:jc w:val="center"/>
              <w:rPr>
                <w:rFonts w:hint="eastAsia" w:ascii="宋体" w:hAnsi="宋体"/>
              </w:rPr>
            </w:pPr>
          </w:p>
        </w:tc>
      </w:tr>
      <w:tr w14:paraId="3BDB7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365105F7">
            <w:pPr>
              <w:keepNext w:val="0"/>
              <w:keepLines w:val="0"/>
              <w:widowControl/>
              <w:suppressLineNumbers w:val="0"/>
              <w:jc w:val="center"/>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102-2</w:t>
            </w:r>
          </w:p>
        </w:tc>
        <w:tc>
          <w:tcPr>
            <w:tcW w:w="4533" w:type="dxa"/>
            <w:tcBorders>
              <w:top w:val="single" w:color="auto" w:sz="6" w:space="0"/>
              <w:left w:val="single" w:color="auto" w:sz="6" w:space="0"/>
              <w:bottom w:val="single" w:color="auto" w:sz="6" w:space="0"/>
              <w:right w:val="single" w:color="auto" w:sz="6" w:space="0"/>
            </w:tcBorders>
            <w:noWrap w:val="0"/>
            <w:vAlign w:val="center"/>
          </w:tcPr>
          <w:p w14:paraId="0CC9E971">
            <w:pPr>
              <w:keepNext w:val="0"/>
              <w:keepLines w:val="0"/>
              <w:widowControl/>
              <w:suppressLineNumbers w:val="0"/>
              <w:jc w:val="left"/>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施工环保费</w:t>
            </w:r>
          </w:p>
        </w:tc>
        <w:tc>
          <w:tcPr>
            <w:tcW w:w="855" w:type="dxa"/>
            <w:tcBorders>
              <w:top w:val="single" w:color="auto" w:sz="6" w:space="0"/>
              <w:left w:val="single" w:color="auto" w:sz="6" w:space="0"/>
              <w:bottom w:val="single" w:color="auto" w:sz="6" w:space="0"/>
              <w:right w:val="single" w:color="auto" w:sz="6" w:space="0"/>
            </w:tcBorders>
            <w:noWrap w:val="0"/>
            <w:vAlign w:val="center"/>
          </w:tcPr>
          <w:p w14:paraId="6CFDF45E">
            <w:pPr>
              <w:keepNext w:val="0"/>
              <w:keepLines w:val="0"/>
              <w:widowControl/>
              <w:suppressLineNumbers w:val="0"/>
              <w:jc w:val="center"/>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总额</w:t>
            </w:r>
          </w:p>
        </w:tc>
        <w:tc>
          <w:tcPr>
            <w:tcW w:w="918" w:type="dxa"/>
            <w:tcBorders>
              <w:top w:val="single" w:color="auto" w:sz="6" w:space="0"/>
              <w:left w:val="single" w:color="auto" w:sz="6" w:space="0"/>
              <w:bottom w:val="single" w:color="auto" w:sz="6" w:space="0"/>
              <w:right w:val="single" w:color="auto" w:sz="6" w:space="0"/>
            </w:tcBorders>
            <w:noWrap w:val="0"/>
            <w:vAlign w:val="center"/>
          </w:tcPr>
          <w:p w14:paraId="73C852C4">
            <w:pPr>
              <w:keepNext w:val="0"/>
              <w:keepLines w:val="0"/>
              <w:widowControl/>
              <w:suppressLineNumbers w:val="0"/>
              <w:jc w:val="right"/>
              <w:textAlignment w:val="center"/>
              <w:rPr>
                <w:rFonts w:hint="eastAsia" w:ascii="宋体" w:hAnsi="宋体"/>
                <w:sz w:val="21"/>
                <w:szCs w:val="21"/>
              </w:rPr>
            </w:pPr>
            <w:r>
              <w:rPr>
                <w:rFonts w:hint="default" w:ascii="Arial Narrow" w:hAnsi="Arial Narrow" w:eastAsia="Arial Narrow" w:cs="Arial Narrow"/>
                <w:i w:val="0"/>
                <w:iCs w:val="0"/>
                <w:color w:val="000000"/>
                <w:kern w:val="0"/>
                <w:sz w:val="21"/>
                <w:szCs w:val="21"/>
                <w:u w:val="none"/>
                <w:lang w:val="en-US" w:eastAsia="zh-CN" w:bidi="ar"/>
              </w:rPr>
              <w:t>1</w:t>
            </w:r>
          </w:p>
        </w:tc>
        <w:tc>
          <w:tcPr>
            <w:tcW w:w="973" w:type="dxa"/>
            <w:tcBorders>
              <w:top w:val="single" w:color="auto" w:sz="6" w:space="0"/>
              <w:left w:val="single" w:color="auto" w:sz="6" w:space="0"/>
              <w:bottom w:val="single" w:color="auto" w:sz="6" w:space="0"/>
              <w:right w:val="single" w:color="auto" w:sz="6" w:space="0"/>
            </w:tcBorders>
            <w:noWrap w:val="0"/>
            <w:vAlign w:val="center"/>
          </w:tcPr>
          <w:p w14:paraId="77375327">
            <w:pPr>
              <w:jc w:val="center"/>
              <w:rPr>
                <w:rFonts w:hint="eastAsia" w:ascii="宋体" w:hAnsi="宋体"/>
                <w:szCs w:val="21"/>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2B08959F">
            <w:pPr>
              <w:jc w:val="center"/>
              <w:rPr>
                <w:rFonts w:hint="eastAsia" w:ascii="宋体" w:hAnsi="宋体"/>
              </w:rPr>
            </w:pPr>
          </w:p>
        </w:tc>
      </w:tr>
      <w:tr w14:paraId="6FC23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7E60AA3C">
            <w:pPr>
              <w:keepNext w:val="0"/>
              <w:keepLines w:val="0"/>
              <w:widowControl/>
              <w:suppressLineNumbers w:val="0"/>
              <w:jc w:val="center"/>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102-4</w:t>
            </w:r>
          </w:p>
        </w:tc>
        <w:tc>
          <w:tcPr>
            <w:tcW w:w="4533" w:type="dxa"/>
            <w:tcBorders>
              <w:top w:val="single" w:color="auto" w:sz="6" w:space="0"/>
              <w:left w:val="single" w:color="auto" w:sz="6" w:space="0"/>
              <w:bottom w:val="single" w:color="auto" w:sz="6" w:space="0"/>
              <w:right w:val="single" w:color="auto" w:sz="6" w:space="0"/>
            </w:tcBorders>
            <w:noWrap w:val="0"/>
            <w:vAlign w:val="center"/>
          </w:tcPr>
          <w:p w14:paraId="2D5234A0">
            <w:pPr>
              <w:keepNext w:val="0"/>
              <w:keepLines w:val="0"/>
              <w:widowControl/>
              <w:suppressLineNumbers w:val="0"/>
              <w:jc w:val="left"/>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安全生产费</w:t>
            </w:r>
          </w:p>
        </w:tc>
        <w:tc>
          <w:tcPr>
            <w:tcW w:w="855" w:type="dxa"/>
            <w:tcBorders>
              <w:top w:val="single" w:color="auto" w:sz="6" w:space="0"/>
              <w:left w:val="single" w:color="auto" w:sz="6" w:space="0"/>
              <w:bottom w:val="single" w:color="auto" w:sz="6" w:space="0"/>
              <w:right w:val="single" w:color="auto" w:sz="6" w:space="0"/>
            </w:tcBorders>
            <w:noWrap w:val="0"/>
            <w:vAlign w:val="center"/>
          </w:tcPr>
          <w:p w14:paraId="6032FA67">
            <w:pPr>
              <w:keepNext w:val="0"/>
              <w:keepLines w:val="0"/>
              <w:widowControl/>
              <w:suppressLineNumbers w:val="0"/>
              <w:jc w:val="center"/>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总额</w:t>
            </w:r>
          </w:p>
        </w:tc>
        <w:tc>
          <w:tcPr>
            <w:tcW w:w="918" w:type="dxa"/>
            <w:tcBorders>
              <w:top w:val="single" w:color="auto" w:sz="6" w:space="0"/>
              <w:left w:val="single" w:color="auto" w:sz="6" w:space="0"/>
              <w:bottom w:val="single" w:color="auto" w:sz="6" w:space="0"/>
              <w:right w:val="single" w:color="auto" w:sz="6" w:space="0"/>
            </w:tcBorders>
            <w:noWrap w:val="0"/>
            <w:vAlign w:val="center"/>
          </w:tcPr>
          <w:p w14:paraId="160B365D">
            <w:pPr>
              <w:keepNext w:val="0"/>
              <w:keepLines w:val="0"/>
              <w:widowControl/>
              <w:suppressLineNumbers w:val="0"/>
              <w:jc w:val="right"/>
              <w:textAlignment w:val="center"/>
              <w:rPr>
                <w:rFonts w:hint="eastAsia" w:ascii="宋体" w:hAnsi="宋体"/>
                <w:sz w:val="21"/>
                <w:szCs w:val="21"/>
              </w:rPr>
            </w:pPr>
            <w:r>
              <w:rPr>
                <w:rFonts w:hint="default" w:ascii="Arial Narrow" w:hAnsi="Arial Narrow" w:eastAsia="Arial Narrow" w:cs="Arial Narrow"/>
                <w:i w:val="0"/>
                <w:iCs w:val="0"/>
                <w:color w:val="000000"/>
                <w:kern w:val="0"/>
                <w:sz w:val="21"/>
                <w:szCs w:val="21"/>
                <w:u w:val="none"/>
                <w:lang w:val="en-US" w:eastAsia="zh-CN" w:bidi="ar"/>
              </w:rPr>
              <w:t>1</w:t>
            </w:r>
          </w:p>
        </w:tc>
        <w:tc>
          <w:tcPr>
            <w:tcW w:w="973" w:type="dxa"/>
            <w:tcBorders>
              <w:top w:val="single" w:color="auto" w:sz="6" w:space="0"/>
              <w:left w:val="single" w:color="auto" w:sz="6" w:space="0"/>
              <w:bottom w:val="single" w:color="auto" w:sz="6" w:space="0"/>
              <w:right w:val="single" w:color="auto" w:sz="6" w:space="0"/>
            </w:tcBorders>
            <w:noWrap w:val="0"/>
            <w:vAlign w:val="center"/>
          </w:tcPr>
          <w:p w14:paraId="46D9ADC8">
            <w:pPr>
              <w:jc w:val="center"/>
              <w:rPr>
                <w:rFonts w:hint="eastAsia" w:ascii="宋体" w:hAnsi="宋体"/>
                <w:szCs w:val="21"/>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758FAC21">
            <w:pPr>
              <w:jc w:val="center"/>
              <w:rPr>
                <w:rFonts w:hint="eastAsia" w:ascii="宋体" w:hAnsi="宋体"/>
              </w:rPr>
            </w:pPr>
          </w:p>
        </w:tc>
      </w:tr>
      <w:tr w14:paraId="613F9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44B4936B">
            <w:pPr>
              <w:keepNext w:val="0"/>
              <w:keepLines w:val="0"/>
              <w:widowControl/>
              <w:suppressLineNumbers w:val="0"/>
              <w:jc w:val="center"/>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104</w:t>
            </w:r>
          </w:p>
        </w:tc>
        <w:tc>
          <w:tcPr>
            <w:tcW w:w="4533" w:type="dxa"/>
            <w:tcBorders>
              <w:top w:val="single" w:color="auto" w:sz="6" w:space="0"/>
              <w:left w:val="single" w:color="auto" w:sz="6" w:space="0"/>
              <w:bottom w:val="single" w:color="auto" w:sz="6" w:space="0"/>
              <w:right w:val="single" w:color="auto" w:sz="6" w:space="0"/>
            </w:tcBorders>
            <w:noWrap w:val="0"/>
            <w:vAlign w:val="center"/>
          </w:tcPr>
          <w:p w14:paraId="73655188">
            <w:pPr>
              <w:keepNext w:val="0"/>
              <w:keepLines w:val="0"/>
              <w:widowControl/>
              <w:suppressLineNumbers w:val="0"/>
              <w:jc w:val="left"/>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承包人驻地建设</w:t>
            </w:r>
          </w:p>
        </w:tc>
        <w:tc>
          <w:tcPr>
            <w:tcW w:w="855" w:type="dxa"/>
            <w:tcBorders>
              <w:top w:val="single" w:color="auto" w:sz="6" w:space="0"/>
              <w:left w:val="single" w:color="auto" w:sz="6" w:space="0"/>
              <w:bottom w:val="single" w:color="auto" w:sz="6" w:space="0"/>
              <w:right w:val="single" w:color="auto" w:sz="6" w:space="0"/>
            </w:tcBorders>
            <w:noWrap w:val="0"/>
            <w:vAlign w:val="center"/>
          </w:tcPr>
          <w:p w14:paraId="56180E13">
            <w:pPr>
              <w:jc w:val="center"/>
              <w:rPr>
                <w:rFonts w:hint="eastAsia" w:ascii="宋体" w:hAnsi="宋体"/>
                <w:sz w:val="21"/>
                <w:szCs w:val="21"/>
              </w:rPr>
            </w:pPr>
          </w:p>
        </w:tc>
        <w:tc>
          <w:tcPr>
            <w:tcW w:w="918" w:type="dxa"/>
            <w:tcBorders>
              <w:top w:val="single" w:color="auto" w:sz="6" w:space="0"/>
              <w:left w:val="single" w:color="auto" w:sz="6" w:space="0"/>
              <w:bottom w:val="single" w:color="auto" w:sz="6" w:space="0"/>
              <w:right w:val="single" w:color="auto" w:sz="6" w:space="0"/>
            </w:tcBorders>
            <w:noWrap w:val="0"/>
            <w:vAlign w:val="center"/>
          </w:tcPr>
          <w:p w14:paraId="588E0AB7">
            <w:pPr>
              <w:jc w:val="right"/>
              <w:rPr>
                <w:rFonts w:hint="eastAsia" w:ascii="宋体" w:hAnsi="宋体"/>
                <w:sz w:val="21"/>
                <w:szCs w:val="21"/>
              </w:rPr>
            </w:pPr>
          </w:p>
        </w:tc>
        <w:tc>
          <w:tcPr>
            <w:tcW w:w="973" w:type="dxa"/>
            <w:tcBorders>
              <w:top w:val="single" w:color="auto" w:sz="6" w:space="0"/>
              <w:left w:val="single" w:color="auto" w:sz="6" w:space="0"/>
              <w:bottom w:val="single" w:color="auto" w:sz="6" w:space="0"/>
              <w:right w:val="single" w:color="auto" w:sz="6" w:space="0"/>
            </w:tcBorders>
            <w:noWrap w:val="0"/>
            <w:vAlign w:val="center"/>
          </w:tcPr>
          <w:p w14:paraId="71CC1326">
            <w:pPr>
              <w:jc w:val="center"/>
              <w:rPr>
                <w:rFonts w:hint="eastAsia" w:ascii="宋体" w:hAnsi="宋体"/>
                <w:szCs w:val="21"/>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6AF6702F">
            <w:pPr>
              <w:jc w:val="center"/>
              <w:rPr>
                <w:rFonts w:hint="eastAsia" w:ascii="宋体" w:hAnsi="宋体"/>
              </w:rPr>
            </w:pPr>
          </w:p>
        </w:tc>
      </w:tr>
      <w:tr w14:paraId="66184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6E110D38">
            <w:pPr>
              <w:keepNext w:val="0"/>
              <w:keepLines w:val="0"/>
              <w:widowControl/>
              <w:suppressLineNumbers w:val="0"/>
              <w:jc w:val="center"/>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104-1</w:t>
            </w:r>
          </w:p>
        </w:tc>
        <w:tc>
          <w:tcPr>
            <w:tcW w:w="4533" w:type="dxa"/>
            <w:tcBorders>
              <w:top w:val="single" w:color="auto" w:sz="6" w:space="0"/>
              <w:left w:val="single" w:color="auto" w:sz="6" w:space="0"/>
              <w:bottom w:val="single" w:color="auto" w:sz="6" w:space="0"/>
              <w:right w:val="single" w:color="auto" w:sz="6" w:space="0"/>
            </w:tcBorders>
            <w:noWrap w:val="0"/>
            <w:vAlign w:val="center"/>
          </w:tcPr>
          <w:p w14:paraId="3FBD6030">
            <w:pPr>
              <w:keepNext w:val="0"/>
              <w:keepLines w:val="0"/>
              <w:widowControl/>
              <w:suppressLineNumbers w:val="0"/>
              <w:jc w:val="left"/>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承包人驻地建设</w:t>
            </w:r>
          </w:p>
        </w:tc>
        <w:tc>
          <w:tcPr>
            <w:tcW w:w="855" w:type="dxa"/>
            <w:tcBorders>
              <w:top w:val="single" w:color="auto" w:sz="6" w:space="0"/>
              <w:left w:val="single" w:color="auto" w:sz="6" w:space="0"/>
              <w:bottom w:val="single" w:color="auto" w:sz="6" w:space="0"/>
              <w:right w:val="single" w:color="auto" w:sz="6" w:space="0"/>
            </w:tcBorders>
            <w:noWrap w:val="0"/>
            <w:vAlign w:val="center"/>
          </w:tcPr>
          <w:p w14:paraId="1D87D2AE">
            <w:pPr>
              <w:keepNext w:val="0"/>
              <w:keepLines w:val="0"/>
              <w:widowControl/>
              <w:suppressLineNumbers w:val="0"/>
              <w:jc w:val="center"/>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总额</w:t>
            </w:r>
          </w:p>
        </w:tc>
        <w:tc>
          <w:tcPr>
            <w:tcW w:w="918" w:type="dxa"/>
            <w:tcBorders>
              <w:top w:val="single" w:color="auto" w:sz="6" w:space="0"/>
              <w:left w:val="single" w:color="auto" w:sz="6" w:space="0"/>
              <w:bottom w:val="single" w:color="auto" w:sz="6" w:space="0"/>
              <w:right w:val="single" w:color="auto" w:sz="6" w:space="0"/>
            </w:tcBorders>
            <w:noWrap w:val="0"/>
            <w:vAlign w:val="center"/>
          </w:tcPr>
          <w:p w14:paraId="4D3178AF">
            <w:pPr>
              <w:keepNext w:val="0"/>
              <w:keepLines w:val="0"/>
              <w:widowControl/>
              <w:suppressLineNumbers w:val="0"/>
              <w:jc w:val="right"/>
              <w:textAlignment w:val="center"/>
              <w:rPr>
                <w:rFonts w:hint="eastAsia" w:ascii="宋体" w:hAnsi="宋体"/>
                <w:sz w:val="21"/>
                <w:szCs w:val="21"/>
              </w:rPr>
            </w:pPr>
            <w:r>
              <w:rPr>
                <w:rFonts w:hint="default" w:ascii="Arial Narrow" w:hAnsi="Arial Narrow" w:eastAsia="Arial Narrow" w:cs="Arial Narrow"/>
                <w:i w:val="0"/>
                <w:iCs w:val="0"/>
                <w:color w:val="000000"/>
                <w:kern w:val="0"/>
                <w:sz w:val="21"/>
                <w:szCs w:val="21"/>
                <w:u w:val="none"/>
                <w:lang w:val="en-US" w:eastAsia="zh-CN" w:bidi="ar"/>
              </w:rPr>
              <w:t>1</w:t>
            </w:r>
          </w:p>
        </w:tc>
        <w:tc>
          <w:tcPr>
            <w:tcW w:w="973" w:type="dxa"/>
            <w:tcBorders>
              <w:top w:val="single" w:color="auto" w:sz="6" w:space="0"/>
              <w:left w:val="single" w:color="auto" w:sz="6" w:space="0"/>
              <w:bottom w:val="single" w:color="auto" w:sz="6" w:space="0"/>
              <w:right w:val="single" w:color="auto" w:sz="6" w:space="0"/>
            </w:tcBorders>
            <w:noWrap w:val="0"/>
            <w:vAlign w:val="center"/>
          </w:tcPr>
          <w:p w14:paraId="45827DDC">
            <w:pPr>
              <w:jc w:val="center"/>
              <w:rPr>
                <w:rFonts w:hint="eastAsia" w:ascii="宋体" w:hAnsi="宋体"/>
                <w:szCs w:val="21"/>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70BAD579">
            <w:pPr>
              <w:jc w:val="center"/>
              <w:rPr>
                <w:rFonts w:hint="eastAsia" w:ascii="宋体" w:hAnsi="宋体"/>
                <w:b/>
              </w:rPr>
            </w:pPr>
          </w:p>
        </w:tc>
      </w:tr>
      <w:tr w14:paraId="2C2C2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79D9D7E8">
            <w:pPr>
              <w:keepNext w:val="0"/>
              <w:keepLines w:val="0"/>
              <w:widowControl/>
              <w:suppressLineNumbers w:val="0"/>
              <w:jc w:val="center"/>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105</w:t>
            </w:r>
          </w:p>
        </w:tc>
        <w:tc>
          <w:tcPr>
            <w:tcW w:w="4533" w:type="dxa"/>
            <w:tcBorders>
              <w:top w:val="single" w:color="auto" w:sz="6" w:space="0"/>
              <w:left w:val="single" w:color="auto" w:sz="6" w:space="0"/>
              <w:bottom w:val="single" w:color="auto" w:sz="6" w:space="0"/>
              <w:right w:val="single" w:color="auto" w:sz="6" w:space="0"/>
            </w:tcBorders>
            <w:noWrap w:val="0"/>
            <w:vAlign w:val="center"/>
          </w:tcPr>
          <w:p w14:paraId="5A5C1EEB">
            <w:pPr>
              <w:keepNext w:val="0"/>
              <w:keepLines w:val="0"/>
              <w:widowControl/>
              <w:suppressLineNumbers w:val="0"/>
              <w:jc w:val="left"/>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巡查费</w:t>
            </w:r>
          </w:p>
        </w:tc>
        <w:tc>
          <w:tcPr>
            <w:tcW w:w="855" w:type="dxa"/>
            <w:tcBorders>
              <w:top w:val="single" w:color="auto" w:sz="6" w:space="0"/>
              <w:left w:val="single" w:color="auto" w:sz="6" w:space="0"/>
              <w:bottom w:val="single" w:color="auto" w:sz="6" w:space="0"/>
              <w:right w:val="single" w:color="auto" w:sz="6" w:space="0"/>
            </w:tcBorders>
            <w:noWrap w:val="0"/>
            <w:vAlign w:val="center"/>
          </w:tcPr>
          <w:p w14:paraId="55CCB0A9">
            <w:pPr>
              <w:jc w:val="center"/>
              <w:rPr>
                <w:rFonts w:hint="eastAsia" w:ascii="宋体" w:hAnsi="宋体"/>
                <w:sz w:val="21"/>
                <w:szCs w:val="21"/>
              </w:rPr>
            </w:pPr>
          </w:p>
        </w:tc>
        <w:tc>
          <w:tcPr>
            <w:tcW w:w="918" w:type="dxa"/>
            <w:tcBorders>
              <w:top w:val="single" w:color="auto" w:sz="6" w:space="0"/>
              <w:left w:val="single" w:color="auto" w:sz="6" w:space="0"/>
              <w:bottom w:val="single" w:color="auto" w:sz="6" w:space="0"/>
              <w:right w:val="single" w:color="auto" w:sz="6" w:space="0"/>
            </w:tcBorders>
            <w:noWrap w:val="0"/>
            <w:vAlign w:val="center"/>
          </w:tcPr>
          <w:p w14:paraId="0549EDDB">
            <w:pPr>
              <w:jc w:val="right"/>
              <w:rPr>
                <w:rFonts w:hint="eastAsia" w:ascii="宋体" w:hAnsi="宋体"/>
                <w:sz w:val="21"/>
                <w:szCs w:val="21"/>
              </w:rPr>
            </w:pPr>
          </w:p>
        </w:tc>
        <w:tc>
          <w:tcPr>
            <w:tcW w:w="973" w:type="dxa"/>
            <w:tcBorders>
              <w:top w:val="single" w:color="auto" w:sz="6" w:space="0"/>
              <w:left w:val="single" w:color="auto" w:sz="6" w:space="0"/>
              <w:bottom w:val="single" w:color="auto" w:sz="6" w:space="0"/>
              <w:right w:val="single" w:color="auto" w:sz="6" w:space="0"/>
            </w:tcBorders>
            <w:noWrap w:val="0"/>
            <w:vAlign w:val="center"/>
          </w:tcPr>
          <w:p w14:paraId="4211A1BA">
            <w:pPr>
              <w:jc w:val="center"/>
              <w:rPr>
                <w:rFonts w:hint="eastAsia" w:ascii="宋体" w:hAnsi="宋体"/>
                <w:szCs w:val="21"/>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61BA7592">
            <w:pPr>
              <w:jc w:val="center"/>
              <w:rPr>
                <w:rFonts w:hint="eastAsia" w:ascii="宋体" w:hAnsi="宋体"/>
                <w:b/>
              </w:rPr>
            </w:pPr>
          </w:p>
        </w:tc>
      </w:tr>
      <w:tr w14:paraId="28F8C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3F08CADF">
            <w:pPr>
              <w:keepNext w:val="0"/>
              <w:keepLines w:val="0"/>
              <w:widowControl/>
              <w:suppressLineNumbers w:val="0"/>
              <w:jc w:val="center"/>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105-1</w:t>
            </w:r>
          </w:p>
        </w:tc>
        <w:tc>
          <w:tcPr>
            <w:tcW w:w="4533" w:type="dxa"/>
            <w:tcBorders>
              <w:top w:val="single" w:color="auto" w:sz="6" w:space="0"/>
              <w:left w:val="single" w:color="auto" w:sz="6" w:space="0"/>
              <w:bottom w:val="single" w:color="auto" w:sz="6" w:space="0"/>
              <w:right w:val="single" w:color="auto" w:sz="6" w:space="0"/>
            </w:tcBorders>
            <w:noWrap w:val="0"/>
            <w:vAlign w:val="center"/>
          </w:tcPr>
          <w:p w14:paraId="58533B57">
            <w:pPr>
              <w:keepNext w:val="0"/>
              <w:keepLines w:val="0"/>
              <w:widowControl/>
              <w:suppressLineNumbers w:val="0"/>
              <w:jc w:val="left"/>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汽车巡查费（1辆）</w:t>
            </w:r>
          </w:p>
        </w:tc>
        <w:tc>
          <w:tcPr>
            <w:tcW w:w="855" w:type="dxa"/>
            <w:tcBorders>
              <w:top w:val="single" w:color="auto" w:sz="6" w:space="0"/>
              <w:left w:val="single" w:color="auto" w:sz="6" w:space="0"/>
              <w:bottom w:val="single" w:color="auto" w:sz="6" w:space="0"/>
              <w:right w:val="single" w:color="auto" w:sz="6" w:space="0"/>
            </w:tcBorders>
            <w:noWrap w:val="0"/>
            <w:vAlign w:val="center"/>
          </w:tcPr>
          <w:p w14:paraId="74DBF1E5">
            <w:pPr>
              <w:keepNext w:val="0"/>
              <w:keepLines w:val="0"/>
              <w:widowControl/>
              <w:suppressLineNumbers w:val="0"/>
              <w:jc w:val="center"/>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月</w:t>
            </w:r>
          </w:p>
        </w:tc>
        <w:tc>
          <w:tcPr>
            <w:tcW w:w="918" w:type="dxa"/>
            <w:tcBorders>
              <w:top w:val="single" w:color="auto" w:sz="6" w:space="0"/>
              <w:left w:val="single" w:color="auto" w:sz="6" w:space="0"/>
              <w:bottom w:val="single" w:color="auto" w:sz="6" w:space="0"/>
              <w:right w:val="single" w:color="auto" w:sz="6" w:space="0"/>
            </w:tcBorders>
            <w:noWrap w:val="0"/>
            <w:vAlign w:val="center"/>
          </w:tcPr>
          <w:p w14:paraId="20F7D101">
            <w:pPr>
              <w:keepNext w:val="0"/>
              <w:keepLines w:val="0"/>
              <w:widowControl/>
              <w:suppressLineNumbers w:val="0"/>
              <w:jc w:val="right"/>
              <w:textAlignment w:val="center"/>
              <w:rPr>
                <w:rFonts w:hint="default" w:ascii="宋体" w:hAnsi="宋体"/>
                <w:sz w:val="21"/>
                <w:szCs w:val="21"/>
                <w:lang w:val="en-US"/>
              </w:rPr>
            </w:pPr>
            <w:r>
              <w:rPr>
                <w:rFonts w:hint="default" w:ascii="Arial Narrow" w:hAnsi="Arial Narrow" w:eastAsia="Arial Narrow" w:cs="Arial Narrow"/>
                <w:i w:val="0"/>
                <w:iCs w:val="0"/>
                <w:color w:val="000000"/>
                <w:kern w:val="0"/>
                <w:sz w:val="21"/>
                <w:szCs w:val="21"/>
                <w:u w:val="none"/>
                <w:lang w:val="en-US" w:eastAsia="zh-CN" w:bidi="ar"/>
              </w:rPr>
              <w:t>10</w:t>
            </w:r>
          </w:p>
        </w:tc>
        <w:tc>
          <w:tcPr>
            <w:tcW w:w="973" w:type="dxa"/>
            <w:tcBorders>
              <w:top w:val="single" w:color="auto" w:sz="6" w:space="0"/>
              <w:left w:val="single" w:color="auto" w:sz="6" w:space="0"/>
              <w:bottom w:val="single" w:color="auto" w:sz="6" w:space="0"/>
              <w:right w:val="single" w:color="auto" w:sz="6" w:space="0"/>
            </w:tcBorders>
            <w:noWrap w:val="0"/>
            <w:vAlign w:val="center"/>
          </w:tcPr>
          <w:p w14:paraId="4A29354C">
            <w:pPr>
              <w:jc w:val="center"/>
              <w:rPr>
                <w:rFonts w:hint="eastAsia" w:ascii="宋体" w:hAnsi="宋体"/>
                <w:szCs w:val="21"/>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3076A43D">
            <w:pPr>
              <w:jc w:val="center"/>
              <w:rPr>
                <w:rFonts w:hint="eastAsia" w:ascii="宋体" w:hAnsi="宋体"/>
                <w:b/>
              </w:rPr>
            </w:pPr>
          </w:p>
        </w:tc>
      </w:tr>
      <w:tr w14:paraId="5DF62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668822E2">
            <w:pPr>
              <w:keepNext w:val="0"/>
              <w:keepLines w:val="0"/>
              <w:widowControl/>
              <w:suppressLineNumbers w:val="0"/>
              <w:jc w:val="center"/>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107</w:t>
            </w:r>
          </w:p>
        </w:tc>
        <w:tc>
          <w:tcPr>
            <w:tcW w:w="4533" w:type="dxa"/>
            <w:tcBorders>
              <w:top w:val="single" w:color="auto" w:sz="6" w:space="0"/>
              <w:left w:val="single" w:color="auto" w:sz="6" w:space="0"/>
              <w:bottom w:val="single" w:color="auto" w:sz="6" w:space="0"/>
              <w:right w:val="single" w:color="auto" w:sz="6" w:space="0"/>
            </w:tcBorders>
            <w:noWrap w:val="0"/>
            <w:vAlign w:val="center"/>
          </w:tcPr>
          <w:p w14:paraId="502002DE">
            <w:pPr>
              <w:keepNext w:val="0"/>
              <w:keepLines w:val="0"/>
              <w:widowControl/>
              <w:suppressLineNumbers w:val="0"/>
              <w:jc w:val="left"/>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应急抢修</w:t>
            </w:r>
          </w:p>
        </w:tc>
        <w:tc>
          <w:tcPr>
            <w:tcW w:w="855" w:type="dxa"/>
            <w:tcBorders>
              <w:top w:val="single" w:color="auto" w:sz="6" w:space="0"/>
              <w:left w:val="single" w:color="auto" w:sz="6" w:space="0"/>
              <w:bottom w:val="single" w:color="auto" w:sz="6" w:space="0"/>
              <w:right w:val="single" w:color="auto" w:sz="6" w:space="0"/>
            </w:tcBorders>
            <w:noWrap w:val="0"/>
            <w:vAlign w:val="center"/>
          </w:tcPr>
          <w:p w14:paraId="2A58926E">
            <w:pPr>
              <w:jc w:val="center"/>
              <w:rPr>
                <w:rFonts w:hint="eastAsia" w:ascii="宋体" w:hAnsi="宋体"/>
                <w:sz w:val="21"/>
                <w:szCs w:val="21"/>
              </w:rPr>
            </w:pPr>
          </w:p>
        </w:tc>
        <w:tc>
          <w:tcPr>
            <w:tcW w:w="918" w:type="dxa"/>
            <w:tcBorders>
              <w:top w:val="single" w:color="auto" w:sz="6" w:space="0"/>
              <w:left w:val="single" w:color="auto" w:sz="6" w:space="0"/>
              <w:bottom w:val="single" w:color="auto" w:sz="6" w:space="0"/>
              <w:right w:val="single" w:color="auto" w:sz="6" w:space="0"/>
            </w:tcBorders>
            <w:noWrap w:val="0"/>
            <w:vAlign w:val="center"/>
          </w:tcPr>
          <w:p w14:paraId="6A9F9B15">
            <w:pPr>
              <w:jc w:val="right"/>
              <w:rPr>
                <w:rFonts w:hint="eastAsia" w:ascii="宋体" w:hAnsi="宋体"/>
                <w:sz w:val="21"/>
                <w:szCs w:val="21"/>
              </w:rPr>
            </w:pPr>
          </w:p>
        </w:tc>
        <w:tc>
          <w:tcPr>
            <w:tcW w:w="973" w:type="dxa"/>
            <w:tcBorders>
              <w:top w:val="single" w:color="auto" w:sz="6" w:space="0"/>
              <w:left w:val="single" w:color="auto" w:sz="6" w:space="0"/>
              <w:bottom w:val="single" w:color="auto" w:sz="6" w:space="0"/>
              <w:right w:val="single" w:color="auto" w:sz="6" w:space="0"/>
            </w:tcBorders>
            <w:noWrap w:val="0"/>
            <w:vAlign w:val="center"/>
          </w:tcPr>
          <w:p w14:paraId="72A1476A">
            <w:pPr>
              <w:jc w:val="center"/>
              <w:rPr>
                <w:rFonts w:hint="eastAsia" w:ascii="宋体" w:hAnsi="宋体"/>
                <w:szCs w:val="21"/>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5C9C836D">
            <w:pPr>
              <w:jc w:val="center"/>
              <w:rPr>
                <w:rFonts w:hint="eastAsia" w:ascii="宋体" w:hAnsi="宋体"/>
                <w:b/>
              </w:rPr>
            </w:pPr>
          </w:p>
        </w:tc>
      </w:tr>
      <w:tr w14:paraId="1AED9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77455897">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107-1</w:t>
            </w:r>
          </w:p>
        </w:tc>
        <w:tc>
          <w:tcPr>
            <w:tcW w:w="4533" w:type="dxa"/>
            <w:tcBorders>
              <w:top w:val="single" w:color="auto" w:sz="6" w:space="0"/>
              <w:left w:val="single" w:color="auto" w:sz="6" w:space="0"/>
              <w:bottom w:val="single" w:color="auto" w:sz="6" w:space="0"/>
              <w:right w:val="single" w:color="auto" w:sz="6" w:space="0"/>
            </w:tcBorders>
            <w:noWrap w:val="0"/>
            <w:vAlign w:val="center"/>
          </w:tcPr>
          <w:p w14:paraId="415DFB1B">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应急处置人工</w:t>
            </w:r>
          </w:p>
        </w:tc>
        <w:tc>
          <w:tcPr>
            <w:tcW w:w="855" w:type="dxa"/>
            <w:tcBorders>
              <w:top w:val="single" w:color="auto" w:sz="6" w:space="0"/>
              <w:left w:val="single" w:color="auto" w:sz="6" w:space="0"/>
              <w:bottom w:val="single" w:color="auto" w:sz="6" w:space="0"/>
              <w:right w:val="single" w:color="auto" w:sz="6" w:space="0"/>
            </w:tcBorders>
            <w:noWrap w:val="0"/>
            <w:vAlign w:val="center"/>
          </w:tcPr>
          <w:p w14:paraId="65373E78">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工日</w:t>
            </w:r>
          </w:p>
        </w:tc>
        <w:tc>
          <w:tcPr>
            <w:tcW w:w="918" w:type="dxa"/>
            <w:tcBorders>
              <w:top w:val="single" w:color="auto" w:sz="6" w:space="0"/>
              <w:left w:val="single" w:color="auto" w:sz="6" w:space="0"/>
              <w:bottom w:val="single" w:color="auto" w:sz="6" w:space="0"/>
              <w:right w:val="single" w:color="auto" w:sz="6" w:space="0"/>
            </w:tcBorders>
            <w:noWrap w:val="0"/>
            <w:vAlign w:val="center"/>
          </w:tcPr>
          <w:p w14:paraId="7EB579C8">
            <w:pPr>
              <w:keepNext w:val="0"/>
              <w:keepLines w:val="0"/>
              <w:widowControl/>
              <w:suppressLineNumbers w:val="0"/>
              <w:jc w:val="right"/>
              <w:textAlignment w:val="center"/>
              <w:rPr>
                <w:rFonts w:hint="eastAsia" w:ascii="宋体" w:hAnsi="宋体" w:cs="宋体"/>
                <w:kern w:val="0"/>
                <w:sz w:val="21"/>
                <w:szCs w:val="21"/>
              </w:rPr>
            </w:pPr>
            <w:r>
              <w:rPr>
                <w:rFonts w:hint="default" w:ascii="Arial Narrow" w:hAnsi="Arial Narrow" w:eastAsia="Arial Narrow" w:cs="Arial Narrow"/>
                <w:i w:val="0"/>
                <w:iCs w:val="0"/>
                <w:color w:val="000000"/>
                <w:kern w:val="0"/>
                <w:sz w:val="21"/>
                <w:szCs w:val="21"/>
                <w:u w:val="none"/>
                <w:lang w:val="en-US" w:eastAsia="zh-CN" w:bidi="ar"/>
              </w:rPr>
              <w:t>400</w:t>
            </w:r>
          </w:p>
        </w:tc>
        <w:tc>
          <w:tcPr>
            <w:tcW w:w="973" w:type="dxa"/>
            <w:tcBorders>
              <w:top w:val="single" w:color="auto" w:sz="6" w:space="0"/>
              <w:left w:val="single" w:color="auto" w:sz="6" w:space="0"/>
              <w:bottom w:val="single" w:color="auto" w:sz="6" w:space="0"/>
              <w:right w:val="single" w:color="auto" w:sz="6" w:space="0"/>
            </w:tcBorders>
            <w:noWrap w:val="0"/>
            <w:vAlign w:val="center"/>
          </w:tcPr>
          <w:p w14:paraId="4A8E5131">
            <w:pPr>
              <w:jc w:val="center"/>
              <w:rPr>
                <w:rFonts w:hint="eastAsia" w:ascii="宋体" w:hAnsi="宋体"/>
                <w:szCs w:val="21"/>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295430F4">
            <w:pPr>
              <w:jc w:val="center"/>
              <w:rPr>
                <w:rFonts w:hint="eastAsia" w:ascii="宋体" w:hAnsi="宋体"/>
                <w:b/>
              </w:rPr>
            </w:pPr>
          </w:p>
        </w:tc>
      </w:tr>
      <w:tr w14:paraId="651CE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49678416">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107-2</w:t>
            </w:r>
          </w:p>
        </w:tc>
        <w:tc>
          <w:tcPr>
            <w:tcW w:w="4533" w:type="dxa"/>
            <w:tcBorders>
              <w:top w:val="single" w:color="auto" w:sz="6" w:space="0"/>
              <w:left w:val="single" w:color="auto" w:sz="6" w:space="0"/>
              <w:bottom w:val="single" w:color="auto" w:sz="6" w:space="0"/>
              <w:right w:val="single" w:color="auto" w:sz="6" w:space="0"/>
            </w:tcBorders>
            <w:noWrap w:val="0"/>
            <w:vAlign w:val="center"/>
          </w:tcPr>
          <w:p w14:paraId="46AC96F7">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应急保畅及设备的使用费</w:t>
            </w:r>
          </w:p>
        </w:tc>
        <w:tc>
          <w:tcPr>
            <w:tcW w:w="855" w:type="dxa"/>
            <w:tcBorders>
              <w:top w:val="single" w:color="auto" w:sz="6" w:space="0"/>
              <w:left w:val="single" w:color="auto" w:sz="6" w:space="0"/>
              <w:bottom w:val="single" w:color="auto" w:sz="6" w:space="0"/>
              <w:right w:val="single" w:color="auto" w:sz="6" w:space="0"/>
            </w:tcBorders>
            <w:noWrap w:val="0"/>
            <w:vAlign w:val="center"/>
          </w:tcPr>
          <w:p w14:paraId="3B320908">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月</w:t>
            </w:r>
          </w:p>
        </w:tc>
        <w:tc>
          <w:tcPr>
            <w:tcW w:w="918" w:type="dxa"/>
            <w:tcBorders>
              <w:top w:val="single" w:color="auto" w:sz="6" w:space="0"/>
              <w:left w:val="single" w:color="auto" w:sz="6" w:space="0"/>
              <w:bottom w:val="single" w:color="auto" w:sz="6" w:space="0"/>
              <w:right w:val="single" w:color="auto" w:sz="6" w:space="0"/>
            </w:tcBorders>
            <w:noWrap w:val="0"/>
            <w:vAlign w:val="center"/>
          </w:tcPr>
          <w:p w14:paraId="04D113BA">
            <w:pPr>
              <w:keepNext w:val="0"/>
              <w:keepLines w:val="0"/>
              <w:widowControl/>
              <w:suppressLineNumbers w:val="0"/>
              <w:jc w:val="right"/>
              <w:textAlignment w:val="center"/>
              <w:rPr>
                <w:rFonts w:hint="default" w:ascii="宋体" w:hAnsi="宋体" w:cs="宋体"/>
                <w:kern w:val="0"/>
                <w:sz w:val="21"/>
                <w:szCs w:val="21"/>
                <w:lang w:val="en-US"/>
              </w:rPr>
            </w:pPr>
            <w:r>
              <w:rPr>
                <w:rFonts w:hint="default" w:ascii="Arial Narrow" w:hAnsi="Arial Narrow" w:eastAsia="Arial Narrow" w:cs="Arial Narrow"/>
                <w:i w:val="0"/>
                <w:iCs w:val="0"/>
                <w:color w:val="000000"/>
                <w:kern w:val="0"/>
                <w:sz w:val="21"/>
                <w:szCs w:val="21"/>
                <w:u w:val="none"/>
                <w:lang w:val="en-US" w:eastAsia="zh-CN" w:bidi="ar"/>
              </w:rPr>
              <w:t>10</w:t>
            </w:r>
          </w:p>
        </w:tc>
        <w:tc>
          <w:tcPr>
            <w:tcW w:w="973" w:type="dxa"/>
            <w:tcBorders>
              <w:top w:val="single" w:color="auto" w:sz="6" w:space="0"/>
              <w:left w:val="single" w:color="auto" w:sz="6" w:space="0"/>
              <w:bottom w:val="single" w:color="auto" w:sz="6" w:space="0"/>
              <w:right w:val="single" w:color="auto" w:sz="6" w:space="0"/>
            </w:tcBorders>
            <w:noWrap w:val="0"/>
            <w:vAlign w:val="center"/>
          </w:tcPr>
          <w:p w14:paraId="1638C2A3">
            <w:pPr>
              <w:jc w:val="center"/>
              <w:rPr>
                <w:rFonts w:hint="eastAsia" w:ascii="宋体" w:hAnsi="宋体"/>
                <w:szCs w:val="21"/>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5544E6C8">
            <w:pPr>
              <w:jc w:val="center"/>
              <w:rPr>
                <w:rFonts w:hint="eastAsia" w:ascii="宋体" w:hAnsi="宋体"/>
                <w:b/>
              </w:rPr>
            </w:pPr>
          </w:p>
        </w:tc>
      </w:tr>
      <w:tr w14:paraId="2F9AC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0AA1BBE1">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107-3</w:t>
            </w:r>
          </w:p>
        </w:tc>
        <w:tc>
          <w:tcPr>
            <w:tcW w:w="4533" w:type="dxa"/>
            <w:tcBorders>
              <w:top w:val="single" w:color="auto" w:sz="6" w:space="0"/>
              <w:left w:val="single" w:color="auto" w:sz="6" w:space="0"/>
              <w:bottom w:val="single" w:color="auto" w:sz="6" w:space="0"/>
              <w:right w:val="single" w:color="auto" w:sz="6" w:space="0"/>
            </w:tcBorders>
            <w:noWrap w:val="0"/>
            <w:vAlign w:val="center"/>
          </w:tcPr>
          <w:p w14:paraId="15692B3E">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应急物资</w:t>
            </w:r>
          </w:p>
        </w:tc>
        <w:tc>
          <w:tcPr>
            <w:tcW w:w="855" w:type="dxa"/>
            <w:tcBorders>
              <w:top w:val="single" w:color="auto" w:sz="6" w:space="0"/>
              <w:left w:val="single" w:color="auto" w:sz="6" w:space="0"/>
              <w:bottom w:val="single" w:color="auto" w:sz="6" w:space="0"/>
              <w:right w:val="single" w:color="auto" w:sz="6" w:space="0"/>
            </w:tcBorders>
            <w:noWrap w:val="0"/>
            <w:vAlign w:val="center"/>
          </w:tcPr>
          <w:p w14:paraId="57154CB7">
            <w:pPr>
              <w:jc w:val="center"/>
              <w:rPr>
                <w:rFonts w:hint="eastAsia" w:ascii="宋体" w:hAnsi="宋体" w:cs="宋体"/>
                <w:kern w:val="0"/>
                <w:sz w:val="21"/>
                <w:szCs w:val="21"/>
              </w:rPr>
            </w:pPr>
          </w:p>
        </w:tc>
        <w:tc>
          <w:tcPr>
            <w:tcW w:w="918" w:type="dxa"/>
            <w:tcBorders>
              <w:top w:val="single" w:color="auto" w:sz="6" w:space="0"/>
              <w:left w:val="single" w:color="auto" w:sz="6" w:space="0"/>
              <w:bottom w:val="single" w:color="auto" w:sz="6" w:space="0"/>
              <w:right w:val="single" w:color="auto" w:sz="6" w:space="0"/>
            </w:tcBorders>
            <w:noWrap w:val="0"/>
            <w:vAlign w:val="center"/>
          </w:tcPr>
          <w:p w14:paraId="29E1630D">
            <w:pPr>
              <w:jc w:val="right"/>
              <w:rPr>
                <w:rFonts w:hint="eastAsia" w:ascii="宋体" w:hAnsi="宋体" w:cs="宋体"/>
                <w:kern w:val="0"/>
                <w:sz w:val="21"/>
                <w:szCs w:val="21"/>
              </w:rPr>
            </w:pPr>
          </w:p>
        </w:tc>
        <w:tc>
          <w:tcPr>
            <w:tcW w:w="973" w:type="dxa"/>
            <w:tcBorders>
              <w:top w:val="single" w:color="auto" w:sz="6" w:space="0"/>
              <w:left w:val="single" w:color="auto" w:sz="6" w:space="0"/>
              <w:bottom w:val="single" w:color="auto" w:sz="6" w:space="0"/>
              <w:right w:val="single" w:color="auto" w:sz="6" w:space="0"/>
            </w:tcBorders>
            <w:noWrap w:val="0"/>
            <w:vAlign w:val="center"/>
          </w:tcPr>
          <w:p w14:paraId="032DE2DE">
            <w:pPr>
              <w:jc w:val="center"/>
              <w:rPr>
                <w:rFonts w:hint="eastAsia" w:ascii="宋体" w:hAnsi="宋体"/>
                <w:szCs w:val="21"/>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5AB0101F">
            <w:pPr>
              <w:jc w:val="center"/>
              <w:rPr>
                <w:rFonts w:hint="eastAsia" w:ascii="宋体" w:hAnsi="宋体"/>
                <w:b/>
              </w:rPr>
            </w:pPr>
          </w:p>
        </w:tc>
      </w:tr>
      <w:tr w14:paraId="6677E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7C7DF89E">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-a</w:t>
            </w:r>
          </w:p>
        </w:tc>
        <w:tc>
          <w:tcPr>
            <w:tcW w:w="4533" w:type="dxa"/>
            <w:tcBorders>
              <w:top w:val="single" w:color="auto" w:sz="6" w:space="0"/>
              <w:left w:val="single" w:color="auto" w:sz="6" w:space="0"/>
              <w:bottom w:val="single" w:color="auto" w:sz="6" w:space="0"/>
              <w:right w:val="single" w:color="auto" w:sz="6" w:space="0"/>
            </w:tcBorders>
            <w:noWrap w:val="0"/>
            <w:vAlign w:val="center"/>
          </w:tcPr>
          <w:p w14:paraId="45C8F26A">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融雪剂</w:t>
            </w:r>
          </w:p>
        </w:tc>
        <w:tc>
          <w:tcPr>
            <w:tcW w:w="855" w:type="dxa"/>
            <w:tcBorders>
              <w:top w:val="single" w:color="auto" w:sz="6" w:space="0"/>
              <w:left w:val="single" w:color="auto" w:sz="6" w:space="0"/>
              <w:bottom w:val="single" w:color="auto" w:sz="6" w:space="0"/>
              <w:right w:val="single" w:color="auto" w:sz="6" w:space="0"/>
            </w:tcBorders>
            <w:noWrap w:val="0"/>
            <w:vAlign w:val="center"/>
          </w:tcPr>
          <w:p w14:paraId="46C3A40F">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吨</w:t>
            </w:r>
          </w:p>
        </w:tc>
        <w:tc>
          <w:tcPr>
            <w:tcW w:w="918" w:type="dxa"/>
            <w:tcBorders>
              <w:top w:val="single" w:color="auto" w:sz="6" w:space="0"/>
              <w:left w:val="single" w:color="auto" w:sz="6" w:space="0"/>
              <w:bottom w:val="single" w:color="auto" w:sz="6" w:space="0"/>
              <w:right w:val="single" w:color="auto" w:sz="6" w:space="0"/>
            </w:tcBorders>
            <w:noWrap w:val="0"/>
            <w:vAlign w:val="center"/>
          </w:tcPr>
          <w:p w14:paraId="0189188F">
            <w:pPr>
              <w:keepNext w:val="0"/>
              <w:keepLines w:val="0"/>
              <w:widowControl/>
              <w:suppressLineNumbers w:val="0"/>
              <w:jc w:val="right"/>
              <w:textAlignment w:val="center"/>
              <w:rPr>
                <w:rFonts w:hint="eastAsia" w:ascii="宋体" w:hAnsi="宋体" w:cs="宋体"/>
                <w:kern w:val="0"/>
                <w:sz w:val="21"/>
                <w:szCs w:val="21"/>
              </w:rPr>
            </w:pPr>
            <w:r>
              <w:rPr>
                <w:rFonts w:hint="default" w:ascii="Arial Narrow" w:hAnsi="Arial Narrow" w:eastAsia="Arial Narrow" w:cs="Arial Narrow"/>
                <w:i w:val="0"/>
                <w:iCs w:val="0"/>
                <w:color w:val="000000"/>
                <w:kern w:val="0"/>
                <w:sz w:val="21"/>
                <w:szCs w:val="21"/>
                <w:u w:val="none"/>
                <w:lang w:val="en-US" w:eastAsia="zh-CN" w:bidi="ar"/>
              </w:rPr>
              <w:t>25</w:t>
            </w:r>
          </w:p>
        </w:tc>
        <w:tc>
          <w:tcPr>
            <w:tcW w:w="973" w:type="dxa"/>
            <w:tcBorders>
              <w:top w:val="single" w:color="auto" w:sz="6" w:space="0"/>
              <w:left w:val="single" w:color="auto" w:sz="6" w:space="0"/>
              <w:bottom w:val="single" w:color="auto" w:sz="6" w:space="0"/>
              <w:right w:val="single" w:color="auto" w:sz="6" w:space="0"/>
            </w:tcBorders>
            <w:noWrap w:val="0"/>
            <w:vAlign w:val="center"/>
          </w:tcPr>
          <w:p w14:paraId="70EDFA61">
            <w:pPr>
              <w:jc w:val="center"/>
              <w:rPr>
                <w:rFonts w:hint="eastAsia" w:ascii="宋体" w:hAnsi="宋体"/>
                <w:szCs w:val="21"/>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4167989B">
            <w:pPr>
              <w:jc w:val="center"/>
              <w:rPr>
                <w:rFonts w:hint="eastAsia" w:ascii="宋体" w:hAnsi="宋体"/>
                <w:b/>
              </w:rPr>
            </w:pPr>
          </w:p>
        </w:tc>
      </w:tr>
      <w:tr w14:paraId="7F857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59DF47CE">
            <w:pPr>
              <w:keepNext w:val="0"/>
              <w:keepLines w:val="0"/>
              <w:widowControl/>
              <w:suppressLineNumbers w:val="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-b</w:t>
            </w:r>
          </w:p>
        </w:tc>
        <w:tc>
          <w:tcPr>
            <w:tcW w:w="4533" w:type="dxa"/>
            <w:tcBorders>
              <w:top w:val="single" w:color="auto" w:sz="6" w:space="0"/>
              <w:left w:val="single" w:color="auto" w:sz="6" w:space="0"/>
              <w:bottom w:val="single" w:color="auto" w:sz="6" w:space="0"/>
              <w:right w:val="single" w:color="auto" w:sz="6" w:space="0"/>
            </w:tcBorders>
            <w:noWrap w:val="0"/>
            <w:vAlign w:val="center"/>
          </w:tcPr>
          <w:p w14:paraId="25857E2B">
            <w:pPr>
              <w:keepNext w:val="0"/>
              <w:keepLines w:val="0"/>
              <w:widowControl/>
              <w:suppressLineNumbers w:val="0"/>
              <w:jc w:val="left"/>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草包</w:t>
            </w:r>
          </w:p>
        </w:tc>
        <w:tc>
          <w:tcPr>
            <w:tcW w:w="855" w:type="dxa"/>
            <w:tcBorders>
              <w:top w:val="single" w:color="auto" w:sz="6" w:space="0"/>
              <w:left w:val="single" w:color="auto" w:sz="6" w:space="0"/>
              <w:bottom w:val="single" w:color="auto" w:sz="6" w:space="0"/>
              <w:right w:val="single" w:color="auto" w:sz="6" w:space="0"/>
            </w:tcBorders>
            <w:noWrap w:val="0"/>
            <w:vAlign w:val="center"/>
          </w:tcPr>
          <w:p w14:paraId="25963309">
            <w:pPr>
              <w:keepNext w:val="0"/>
              <w:keepLines w:val="0"/>
              <w:widowControl/>
              <w:suppressLineNumbers w:val="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个</w:t>
            </w:r>
          </w:p>
        </w:tc>
        <w:tc>
          <w:tcPr>
            <w:tcW w:w="918" w:type="dxa"/>
            <w:tcBorders>
              <w:top w:val="single" w:color="auto" w:sz="6" w:space="0"/>
              <w:left w:val="single" w:color="auto" w:sz="6" w:space="0"/>
              <w:bottom w:val="single" w:color="auto" w:sz="6" w:space="0"/>
              <w:right w:val="single" w:color="auto" w:sz="6" w:space="0"/>
            </w:tcBorders>
            <w:noWrap w:val="0"/>
            <w:vAlign w:val="center"/>
          </w:tcPr>
          <w:p w14:paraId="3D7EE571">
            <w:pPr>
              <w:keepNext w:val="0"/>
              <w:keepLines w:val="0"/>
              <w:widowControl/>
              <w:suppressLineNumbers w:val="0"/>
              <w:jc w:val="right"/>
              <w:textAlignment w:val="center"/>
              <w:rPr>
                <w:rFonts w:hint="eastAsia" w:ascii="宋体" w:hAnsi="宋体"/>
                <w:sz w:val="21"/>
                <w:szCs w:val="21"/>
              </w:rPr>
            </w:pPr>
            <w:r>
              <w:rPr>
                <w:rFonts w:hint="default" w:ascii="Arial Narrow" w:hAnsi="Arial Narrow" w:eastAsia="Arial Narrow" w:cs="Arial Narrow"/>
                <w:i w:val="0"/>
                <w:iCs w:val="0"/>
                <w:color w:val="000000"/>
                <w:kern w:val="0"/>
                <w:sz w:val="21"/>
                <w:szCs w:val="21"/>
                <w:u w:val="none"/>
                <w:lang w:val="en-US" w:eastAsia="zh-CN" w:bidi="ar"/>
              </w:rPr>
              <w:t>1500</w:t>
            </w:r>
          </w:p>
        </w:tc>
        <w:tc>
          <w:tcPr>
            <w:tcW w:w="973" w:type="dxa"/>
            <w:tcBorders>
              <w:top w:val="single" w:color="auto" w:sz="6" w:space="0"/>
              <w:left w:val="single" w:color="auto" w:sz="6" w:space="0"/>
              <w:bottom w:val="single" w:color="auto" w:sz="6" w:space="0"/>
              <w:right w:val="single" w:color="auto" w:sz="6" w:space="0"/>
            </w:tcBorders>
            <w:noWrap w:val="0"/>
            <w:vAlign w:val="center"/>
          </w:tcPr>
          <w:p w14:paraId="5E612BDC">
            <w:pPr>
              <w:jc w:val="center"/>
              <w:rPr>
                <w:rFonts w:hint="eastAsia" w:ascii="宋体" w:hAnsi="宋体"/>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79211B0A">
            <w:pPr>
              <w:jc w:val="center"/>
              <w:rPr>
                <w:rFonts w:hint="eastAsia" w:ascii="宋体" w:hAnsi="宋体"/>
              </w:rPr>
            </w:pPr>
          </w:p>
        </w:tc>
      </w:tr>
    </w:tbl>
    <w:p w14:paraId="5E2122C0">
      <w:pPr>
        <w:spacing w:before="240" w:beforeLines="100" w:after="240" w:afterLines="100"/>
        <w:jc w:val="center"/>
        <w:rPr>
          <w:rFonts w:hint="eastAsia" w:ascii="黑体" w:hAnsi="宋体" w:eastAsia="黑体"/>
          <w:sz w:val="30"/>
          <w:szCs w:val="30"/>
        </w:rPr>
      </w:pPr>
    </w:p>
    <w:p w14:paraId="6509D62B">
      <w:pPr>
        <w:spacing w:before="240" w:beforeLines="100" w:after="240" w:afterLines="100"/>
        <w:jc w:val="center"/>
        <w:rPr>
          <w:rFonts w:hint="eastAsia" w:ascii="黑体" w:hAnsi="宋体" w:eastAsia="黑体"/>
          <w:sz w:val="30"/>
          <w:szCs w:val="30"/>
        </w:rPr>
      </w:pPr>
      <w:r>
        <w:rPr>
          <w:rFonts w:hint="eastAsia" w:ascii="黑体" w:hAnsi="宋体" w:eastAsia="黑体"/>
          <w:sz w:val="30"/>
          <w:szCs w:val="30"/>
        </w:rPr>
        <w:t>工程量清单</w:t>
      </w:r>
    </w:p>
    <w:p w14:paraId="3BE687E3">
      <w:pPr>
        <w:pStyle w:val="50"/>
        <w:ind w:left="0" w:leftChars="0" w:firstLine="0" w:firstLine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标项</w:t>
      </w:r>
      <w:r>
        <w:rPr>
          <w:rFonts w:hint="eastAsia" w:asciiTheme="minorEastAsia" w:hAnsiTheme="minorEastAsia" w:cstheme="minorEastAsia"/>
          <w:sz w:val="24"/>
          <w:szCs w:val="24"/>
          <w:lang w:val="en-US" w:eastAsia="zh-CN"/>
        </w:rPr>
        <w:t>2</w:t>
      </w:r>
      <w:r>
        <w:rPr>
          <w:rFonts w:hint="eastAsia" w:asciiTheme="minorEastAsia" w:hAnsiTheme="minorEastAsia" w:eastAsiaTheme="minorEastAsia" w:cstheme="minorEastAsia"/>
          <w:sz w:val="24"/>
          <w:szCs w:val="24"/>
        </w:rPr>
        <w:t>：</w:t>
      </w:r>
      <w:r>
        <w:rPr>
          <w:rFonts w:hint="eastAsia" w:asciiTheme="minorEastAsia" w:hAnsiTheme="minorEastAsia" w:cstheme="minorEastAsia"/>
          <w:sz w:val="24"/>
          <w:szCs w:val="24"/>
          <w:lang w:eastAsia="zh-CN"/>
        </w:rPr>
        <w:t>2026年秀洲区县道及以上公路小修及应急抢险项目</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第</w:t>
      </w:r>
      <w:r>
        <w:rPr>
          <w:rFonts w:hint="eastAsia" w:asciiTheme="minorEastAsia" w:hAnsiTheme="minorEastAsia" w:cstheme="minorEastAsia"/>
          <w:sz w:val="24"/>
          <w:szCs w:val="24"/>
          <w:lang w:val="en-US" w:eastAsia="zh-CN"/>
        </w:rPr>
        <w:t>二</w:t>
      </w:r>
      <w:r>
        <w:rPr>
          <w:rFonts w:hint="eastAsia" w:asciiTheme="minorEastAsia" w:hAnsiTheme="minorEastAsia" w:eastAsiaTheme="minorEastAsia" w:cstheme="minorEastAsia"/>
          <w:sz w:val="24"/>
          <w:szCs w:val="24"/>
          <w:lang w:eastAsia="zh-CN"/>
        </w:rPr>
        <w:t>标段）</w:t>
      </w:r>
    </w:p>
    <w:p w14:paraId="00B36D7B">
      <w:pPr>
        <w:pStyle w:val="50"/>
        <w:ind w:left="0" w:leftChars="0" w:firstLine="0" w:firstLineChars="0"/>
        <w:rPr>
          <w:rFonts w:hint="eastAsia"/>
        </w:rPr>
      </w:pPr>
      <w:r>
        <w:rPr>
          <w:rFonts w:hint="eastAsia" w:asciiTheme="minorEastAsia" w:hAnsiTheme="minorEastAsia" w:eastAsiaTheme="minorEastAsia" w:cstheme="minorEastAsia"/>
          <w:sz w:val="24"/>
          <w:szCs w:val="24"/>
        </w:rPr>
        <w:t>货币单位：人民币元</w:t>
      </w:r>
      <w:r>
        <w:tab/>
      </w:r>
    </w:p>
    <w:tbl>
      <w:tblPr>
        <w:tblStyle w:val="51"/>
        <w:tblW w:w="0" w:type="auto"/>
        <w:tblInd w:w="-7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0" w:type="dxa"/>
        </w:tblCellMar>
      </w:tblPr>
      <w:tblGrid>
        <w:gridCol w:w="822"/>
        <w:gridCol w:w="4533"/>
        <w:gridCol w:w="855"/>
        <w:gridCol w:w="918"/>
        <w:gridCol w:w="973"/>
        <w:gridCol w:w="1061"/>
      </w:tblGrid>
      <w:tr w14:paraId="08B91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9162" w:type="dxa"/>
            <w:gridSpan w:val="6"/>
            <w:tcBorders>
              <w:top w:val="single" w:color="auto" w:sz="12" w:space="0"/>
              <w:left w:val="single" w:color="auto" w:sz="12" w:space="0"/>
              <w:bottom w:val="single" w:color="auto" w:sz="6" w:space="0"/>
              <w:right w:val="single" w:color="auto" w:sz="12" w:space="0"/>
            </w:tcBorders>
            <w:noWrap w:val="0"/>
            <w:vAlign w:val="center"/>
          </w:tcPr>
          <w:p w14:paraId="43ADE65E">
            <w:pPr>
              <w:ind w:firstLine="103" w:firstLineChars="49"/>
              <w:jc w:val="center"/>
              <w:rPr>
                <w:rFonts w:hint="eastAsia" w:ascii="宋体" w:hAnsi="宋体"/>
                <w:b/>
                <w:bCs/>
              </w:rPr>
            </w:pPr>
            <w:r>
              <w:rPr>
                <w:rFonts w:hint="eastAsia" w:ascii="宋体" w:hAnsi="宋体"/>
                <w:b/>
                <w:bCs/>
              </w:rPr>
              <w:t>清单      第100章      总  则</w:t>
            </w:r>
          </w:p>
        </w:tc>
      </w:tr>
      <w:tr w14:paraId="08839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0B7D114F">
            <w:pPr>
              <w:jc w:val="center"/>
              <w:rPr>
                <w:rFonts w:hint="eastAsia" w:ascii="宋体" w:hAnsi="宋体"/>
                <w:szCs w:val="21"/>
              </w:rPr>
            </w:pPr>
            <w:r>
              <w:rPr>
                <w:rFonts w:hint="eastAsia" w:ascii="宋体" w:hAnsi="宋体"/>
                <w:szCs w:val="21"/>
              </w:rPr>
              <w:t>子目号</w:t>
            </w:r>
          </w:p>
        </w:tc>
        <w:tc>
          <w:tcPr>
            <w:tcW w:w="4533" w:type="dxa"/>
            <w:tcBorders>
              <w:top w:val="single" w:color="auto" w:sz="6" w:space="0"/>
              <w:left w:val="single" w:color="auto" w:sz="6" w:space="0"/>
              <w:bottom w:val="single" w:color="auto" w:sz="6" w:space="0"/>
              <w:right w:val="single" w:color="auto" w:sz="6" w:space="0"/>
            </w:tcBorders>
            <w:noWrap w:val="0"/>
            <w:vAlign w:val="center"/>
          </w:tcPr>
          <w:p w14:paraId="34245FDB">
            <w:pPr>
              <w:jc w:val="center"/>
              <w:rPr>
                <w:rFonts w:hint="eastAsia" w:ascii="宋体" w:hAnsi="宋体"/>
                <w:szCs w:val="21"/>
              </w:rPr>
            </w:pPr>
            <w:r>
              <w:rPr>
                <w:rFonts w:hint="eastAsia" w:ascii="宋体" w:hAnsi="宋体"/>
                <w:szCs w:val="21"/>
              </w:rPr>
              <w:t>子  目  名  称</w:t>
            </w:r>
          </w:p>
        </w:tc>
        <w:tc>
          <w:tcPr>
            <w:tcW w:w="855" w:type="dxa"/>
            <w:tcBorders>
              <w:top w:val="single" w:color="auto" w:sz="6" w:space="0"/>
              <w:left w:val="single" w:color="auto" w:sz="6" w:space="0"/>
              <w:bottom w:val="single" w:color="auto" w:sz="6" w:space="0"/>
              <w:right w:val="single" w:color="auto" w:sz="6" w:space="0"/>
            </w:tcBorders>
            <w:noWrap w:val="0"/>
            <w:vAlign w:val="center"/>
          </w:tcPr>
          <w:p w14:paraId="41940ED2">
            <w:pPr>
              <w:jc w:val="center"/>
              <w:rPr>
                <w:rFonts w:hint="eastAsia" w:ascii="宋体" w:hAnsi="宋体"/>
                <w:szCs w:val="21"/>
              </w:rPr>
            </w:pPr>
            <w:r>
              <w:rPr>
                <w:rFonts w:hint="eastAsia" w:ascii="宋体" w:hAnsi="宋体"/>
                <w:szCs w:val="21"/>
              </w:rPr>
              <w:t>单位</w:t>
            </w:r>
          </w:p>
        </w:tc>
        <w:tc>
          <w:tcPr>
            <w:tcW w:w="918" w:type="dxa"/>
            <w:tcBorders>
              <w:top w:val="single" w:color="auto" w:sz="6" w:space="0"/>
              <w:left w:val="single" w:color="auto" w:sz="6" w:space="0"/>
              <w:bottom w:val="single" w:color="auto" w:sz="6" w:space="0"/>
              <w:right w:val="single" w:color="auto" w:sz="6" w:space="0"/>
            </w:tcBorders>
            <w:noWrap w:val="0"/>
            <w:vAlign w:val="center"/>
          </w:tcPr>
          <w:p w14:paraId="62F4FE00">
            <w:pPr>
              <w:jc w:val="center"/>
              <w:rPr>
                <w:rFonts w:hint="eastAsia" w:ascii="宋体" w:hAnsi="宋体"/>
                <w:szCs w:val="21"/>
              </w:rPr>
            </w:pPr>
            <w:r>
              <w:rPr>
                <w:rFonts w:hint="eastAsia" w:ascii="宋体" w:hAnsi="宋体"/>
                <w:szCs w:val="21"/>
              </w:rPr>
              <w:t>数量</w:t>
            </w:r>
          </w:p>
        </w:tc>
        <w:tc>
          <w:tcPr>
            <w:tcW w:w="973" w:type="dxa"/>
            <w:tcBorders>
              <w:top w:val="single" w:color="auto" w:sz="6" w:space="0"/>
              <w:left w:val="single" w:color="auto" w:sz="6" w:space="0"/>
              <w:bottom w:val="single" w:color="auto" w:sz="6" w:space="0"/>
              <w:right w:val="single" w:color="auto" w:sz="6" w:space="0"/>
            </w:tcBorders>
            <w:noWrap w:val="0"/>
            <w:vAlign w:val="center"/>
          </w:tcPr>
          <w:p w14:paraId="0C26276D">
            <w:pPr>
              <w:jc w:val="center"/>
              <w:rPr>
                <w:rFonts w:hint="eastAsia" w:ascii="宋体" w:hAnsi="宋体"/>
                <w:szCs w:val="21"/>
              </w:rPr>
            </w:pPr>
            <w:r>
              <w:rPr>
                <w:rFonts w:hint="eastAsia" w:ascii="宋体" w:hAnsi="宋体"/>
                <w:szCs w:val="21"/>
              </w:rPr>
              <w:t>单价</w:t>
            </w: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167987CB">
            <w:pPr>
              <w:jc w:val="center"/>
              <w:rPr>
                <w:rFonts w:hint="eastAsia" w:ascii="宋体" w:hAnsi="宋体"/>
              </w:rPr>
            </w:pPr>
            <w:r>
              <w:rPr>
                <w:rFonts w:hint="eastAsia" w:ascii="宋体" w:hAnsi="宋体"/>
              </w:rPr>
              <w:t>合价</w:t>
            </w:r>
          </w:p>
        </w:tc>
      </w:tr>
      <w:tr w14:paraId="71A25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53F69C3E">
            <w:pPr>
              <w:keepNext w:val="0"/>
              <w:keepLines w:val="0"/>
              <w:widowControl/>
              <w:suppressLineNumbers w:val="0"/>
              <w:jc w:val="center"/>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-c</w:t>
            </w:r>
          </w:p>
        </w:tc>
        <w:tc>
          <w:tcPr>
            <w:tcW w:w="4533" w:type="dxa"/>
            <w:tcBorders>
              <w:top w:val="single" w:color="auto" w:sz="6" w:space="0"/>
              <w:left w:val="single" w:color="auto" w:sz="6" w:space="0"/>
              <w:bottom w:val="single" w:color="auto" w:sz="6" w:space="0"/>
              <w:right w:val="single" w:color="auto" w:sz="6" w:space="0"/>
            </w:tcBorders>
            <w:noWrap w:val="0"/>
            <w:vAlign w:val="center"/>
          </w:tcPr>
          <w:p w14:paraId="5813A747">
            <w:pPr>
              <w:keepNext w:val="0"/>
              <w:keepLines w:val="0"/>
              <w:widowControl/>
              <w:suppressLineNumbers w:val="0"/>
              <w:jc w:val="left"/>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石粉</w:t>
            </w:r>
          </w:p>
        </w:tc>
        <w:tc>
          <w:tcPr>
            <w:tcW w:w="855" w:type="dxa"/>
            <w:tcBorders>
              <w:top w:val="single" w:color="auto" w:sz="6" w:space="0"/>
              <w:left w:val="single" w:color="auto" w:sz="6" w:space="0"/>
              <w:bottom w:val="single" w:color="auto" w:sz="6" w:space="0"/>
              <w:right w:val="single" w:color="auto" w:sz="6" w:space="0"/>
            </w:tcBorders>
            <w:noWrap w:val="0"/>
            <w:vAlign w:val="center"/>
          </w:tcPr>
          <w:p w14:paraId="2D13E73D">
            <w:pPr>
              <w:keepNext w:val="0"/>
              <w:keepLines w:val="0"/>
              <w:widowControl/>
              <w:suppressLineNumbers w:val="0"/>
              <w:jc w:val="center"/>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吨</w:t>
            </w:r>
          </w:p>
        </w:tc>
        <w:tc>
          <w:tcPr>
            <w:tcW w:w="918" w:type="dxa"/>
            <w:tcBorders>
              <w:top w:val="single" w:color="auto" w:sz="6" w:space="0"/>
              <w:left w:val="single" w:color="auto" w:sz="6" w:space="0"/>
              <w:bottom w:val="single" w:color="auto" w:sz="6" w:space="0"/>
              <w:right w:val="single" w:color="auto" w:sz="6" w:space="0"/>
            </w:tcBorders>
            <w:noWrap w:val="0"/>
            <w:vAlign w:val="center"/>
          </w:tcPr>
          <w:p w14:paraId="0D859AC1">
            <w:pPr>
              <w:keepNext w:val="0"/>
              <w:keepLines w:val="0"/>
              <w:widowControl/>
              <w:suppressLineNumbers w:val="0"/>
              <w:jc w:val="right"/>
              <w:textAlignment w:val="center"/>
              <w:rPr>
                <w:rFonts w:hint="eastAsia" w:ascii="宋体" w:hAnsi="宋体"/>
                <w:sz w:val="21"/>
                <w:szCs w:val="21"/>
              </w:rPr>
            </w:pPr>
            <w:r>
              <w:rPr>
                <w:rFonts w:hint="default" w:ascii="Arial Narrow" w:hAnsi="Arial Narrow" w:eastAsia="Arial Narrow" w:cs="Arial Narrow"/>
                <w:i w:val="0"/>
                <w:iCs w:val="0"/>
                <w:color w:val="000000"/>
                <w:kern w:val="0"/>
                <w:sz w:val="21"/>
                <w:szCs w:val="21"/>
                <w:u w:val="none"/>
                <w:lang w:val="en-US" w:eastAsia="zh-CN" w:bidi="ar"/>
              </w:rPr>
              <w:t>15</w:t>
            </w:r>
          </w:p>
        </w:tc>
        <w:tc>
          <w:tcPr>
            <w:tcW w:w="973" w:type="dxa"/>
            <w:tcBorders>
              <w:top w:val="single" w:color="auto" w:sz="6" w:space="0"/>
              <w:left w:val="single" w:color="auto" w:sz="6" w:space="0"/>
              <w:bottom w:val="single" w:color="auto" w:sz="6" w:space="0"/>
              <w:right w:val="single" w:color="auto" w:sz="6" w:space="0"/>
            </w:tcBorders>
            <w:noWrap w:val="0"/>
            <w:vAlign w:val="center"/>
          </w:tcPr>
          <w:p w14:paraId="36620913">
            <w:pPr>
              <w:jc w:val="center"/>
              <w:rPr>
                <w:rFonts w:ascii="宋体" w:hAnsi="宋体"/>
                <w:sz w:val="21"/>
                <w:szCs w:val="21"/>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69FC3001">
            <w:pPr>
              <w:jc w:val="center"/>
              <w:rPr>
                <w:rFonts w:hint="eastAsia" w:ascii="宋体" w:hAnsi="宋体"/>
              </w:rPr>
            </w:pPr>
          </w:p>
        </w:tc>
      </w:tr>
      <w:tr w14:paraId="0EFFE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0E740FBA">
            <w:pPr>
              <w:keepNext w:val="0"/>
              <w:keepLines w:val="0"/>
              <w:widowControl/>
              <w:suppressLineNumbers w:val="0"/>
              <w:jc w:val="center"/>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-d</w:t>
            </w:r>
          </w:p>
        </w:tc>
        <w:tc>
          <w:tcPr>
            <w:tcW w:w="4533" w:type="dxa"/>
            <w:tcBorders>
              <w:top w:val="single" w:color="auto" w:sz="6" w:space="0"/>
              <w:left w:val="single" w:color="auto" w:sz="6" w:space="0"/>
              <w:bottom w:val="single" w:color="auto" w:sz="6" w:space="0"/>
              <w:right w:val="single" w:color="auto" w:sz="6" w:space="0"/>
            </w:tcBorders>
            <w:noWrap w:val="0"/>
            <w:vAlign w:val="center"/>
          </w:tcPr>
          <w:p w14:paraId="079B8F0E">
            <w:pPr>
              <w:keepNext w:val="0"/>
              <w:keepLines w:val="0"/>
              <w:widowControl/>
              <w:suppressLineNumbers w:val="0"/>
              <w:jc w:val="left"/>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铁锹</w:t>
            </w:r>
          </w:p>
        </w:tc>
        <w:tc>
          <w:tcPr>
            <w:tcW w:w="855" w:type="dxa"/>
            <w:tcBorders>
              <w:top w:val="single" w:color="auto" w:sz="6" w:space="0"/>
              <w:left w:val="single" w:color="auto" w:sz="6" w:space="0"/>
              <w:bottom w:val="single" w:color="auto" w:sz="6" w:space="0"/>
              <w:right w:val="single" w:color="auto" w:sz="6" w:space="0"/>
            </w:tcBorders>
            <w:noWrap w:val="0"/>
            <w:vAlign w:val="center"/>
          </w:tcPr>
          <w:p w14:paraId="00F4A736">
            <w:pPr>
              <w:keepNext w:val="0"/>
              <w:keepLines w:val="0"/>
              <w:widowControl/>
              <w:suppressLineNumbers w:val="0"/>
              <w:jc w:val="center"/>
              <w:textAlignment w:val="center"/>
              <w:rPr>
                <w:rFonts w:hint="eastAsia" w:ascii="宋体" w:hAnsi="宋体"/>
                <w:sz w:val="21"/>
                <w:szCs w:val="21"/>
              </w:rPr>
            </w:pPr>
            <w:r>
              <w:rPr>
                <w:rFonts w:hint="eastAsia" w:ascii="宋体" w:hAnsi="宋体" w:eastAsia="宋体" w:cs="宋体"/>
                <w:i w:val="0"/>
                <w:iCs w:val="0"/>
                <w:color w:val="000000"/>
                <w:kern w:val="0"/>
                <w:sz w:val="21"/>
                <w:szCs w:val="21"/>
                <w:u w:val="none"/>
                <w:lang w:val="en-US" w:eastAsia="zh-CN" w:bidi="ar"/>
              </w:rPr>
              <w:t>把</w:t>
            </w:r>
          </w:p>
        </w:tc>
        <w:tc>
          <w:tcPr>
            <w:tcW w:w="918" w:type="dxa"/>
            <w:tcBorders>
              <w:top w:val="single" w:color="auto" w:sz="6" w:space="0"/>
              <w:left w:val="single" w:color="auto" w:sz="6" w:space="0"/>
              <w:bottom w:val="single" w:color="auto" w:sz="6" w:space="0"/>
              <w:right w:val="single" w:color="auto" w:sz="6" w:space="0"/>
            </w:tcBorders>
            <w:noWrap w:val="0"/>
            <w:vAlign w:val="center"/>
          </w:tcPr>
          <w:p w14:paraId="03AAFAE2">
            <w:pPr>
              <w:keepNext w:val="0"/>
              <w:keepLines w:val="0"/>
              <w:widowControl/>
              <w:suppressLineNumbers w:val="0"/>
              <w:jc w:val="right"/>
              <w:textAlignment w:val="center"/>
              <w:rPr>
                <w:rFonts w:hint="eastAsia" w:ascii="宋体" w:hAnsi="宋体"/>
                <w:sz w:val="21"/>
                <w:szCs w:val="21"/>
              </w:rPr>
            </w:pPr>
            <w:r>
              <w:rPr>
                <w:rFonts w:hint="default" w:ascii="Arial Narrow" w:hAnsi="Arial Narrow" w:eastAsia="Arial Narrow" w:cs="Arial Narrow"/>
                <w:i w:val="0"/>
                <w:iCs w:val="0"/>
                <w:color w:val="000000"/>
                <w:kern w:val="0"/>
                <w:sz w:val="21"/>
                <w:szCs w:val="21"/>
                <w:u w:val="none"/>
                <w:lang w:val="en-US" w:eastAsia="zh-CN" w:bidi="ar"/>
              </w:rPr>
              <w:t>25</w:t>
            </w:r>
          </w:p>
        </w:tc>
        <w:tc>
          <w:tcPr>
            <w:tcW w:w="973" w:type="dxa"/>
            <w:tcBorders>
              <w:top w:val="single" w:color="auto" w:sz="6" w:space="0"/>
              <w:left w:val="single" w:color="auto" w:sz="6" w:space="0"/>
              <w:bottom w:val="single" w:color="auto" w:sz="6" w:space="0"/>
              <w:right w:val="single" w:color="auto" w:sz="6" w:space="0"/>
            </w:tcBorders>
            <w:noWrap w:val="0"/>
            <w:vAlign w:val="center"/>
          </w:tcPr>
          <w:p w14:paraId="6CE4CC50">
            <w:pPr>
              <w:jc w:val="center"/>
              <w:rPr>
                <w:rFonts w:hint="eastAsia" w:ascii="宋体" w:hAnsi="宋体"/>
                <w:sz w:val="21"/>
                <w:szCs w:val="21"/>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191548B0">
            <w:pPr>
              <w:jc w:val="center"/>
              <w:rPr>
                <w:rFonts w:hint="eastAsia" w:ascii="宋体" w:hAnsi="宋体"/>
              </w:rPr>
            </w:pPr>
          </w:p>
        </w:tc>
      </w:tr>
      <w:tr w14:paraId="5AD8D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05A44D53">
            <w:pPr>
              <w:keepNext w:val="0"/>
              <w:keepLines w:val="0"/>
              <w:widowControl/>
              <w:suppressLineNumbers w:val="0"/>
              <w:jc w:val="center"/>
              <w:textAlignment w:val="center"/>
              <w:rPr>
                <w:rFonts w:hint="eastAsia" w:ascii="宋体" w:hAnsi="宋体"/>
                <w:sz w:val="21"/>
                <w:szCs w:val="21"/>
              </w:rPr>
            </w:pPr>
          </w:p>
        </w:tc>
        <w:tc>
          <w:tcPr>
            <w:tcW w:w="4533" w:type="dxa"/>
            <w:tcBorders>
              <w:top w:val="single" w:color="auto" w:sz="6" w:space="0"/>
              <w:left w:val="single" w:color="auto" w:sz="6" w:space="0"/>
              <w:bottom w:val="single" w:color="auto" w:sz="6" w:space="0"/>
              <w:right w:val="single" w:color="auto" w:sz="6" w:space="0"/>
            </w:tcBorders>
            <w:noWrap w:val="0"/>
            <w:vAlign w:val="center"/>
          </w:tcPr>
          <w:p w14:paraId="1B9D9026">
            <w:pPr>
              <w:keepNext w:val="0"/>
              <w:keepLines w:val="0"/>
              <w:widowControl/>
              <w:suppressLineNumbers w:val="0"/>
              <w:jc w:val="left"/>
              <w:textAlignment w:val="center"/>
              <w:rPr>
                <w:rFonts w:hint="eastAsia" w:ascii="宋体" w:hAnsi="宋体"/>
                <w:sz w:val="21"/>
                <w:szCs w:val="21"/>
              </w:rPr>
            </w:pPr>
          </w:p>
        </w:tc>
        <w:tc>
          <w:tcPr>
            <w:tcW w:w="855" w:type="dxa"/>
            <w:tcBorders>
              <w:top w:val="single" w:color="auto" w:sz="6" w:space="0"/>
              <w:left w:val="single" w:color="auto" w:sz="6" w:space="0"/>
              <w:bottom w:val="single" w:color="auto" w:sz="6" w:space="0"/>
              <w:right w:val="single" w:color="auto" w:sz="6" w:space="0"/>
            </w:tcBorders>
            <w:noWrap w:val="0"/>
            <w:vAlign w:val="center"/>
          </w:tcPr>
          <w:p w14:paraId="5FFE614B">
            <w:pPr>
              <w:keepNext w:val="0"/>
              <w:keepLines w:val="0"/>
              <w:widowControl/>
              <w:suppressLineNumbers w:val="0"/>
              <w:jc w:val="center"/>
              <w:textAlignment w:val="center"/>
              <w:rPr>
                <w:rFonts w:hint="eastAsia" w:ascii="宋体" w:hAnsi="宋体"/>
                <w:sz w:val="21"/>
                <w:szCs w:val="21"/>
              </w:rPr>
            </w:pPr>
          </w:p>
        </w:tc>
        <w:tc>
          <w:tcPr>
            <w:tcW w:w="918" w:type="dxa"/>
            <w:tcBorders>
              <w:top w:val="single" w:color="auto" w:sz="6" w:space="0"/>
              <w:left w:val="single" w:color="auto" w:sz="6" w:space="0"/>
              <w:bottom w:val="single" w:color="auto" w:sz="6" w:space="0"/>
              <w:right w:val="single" w:color="auto" w:sz="6" w:space="0"/>
            </w:tcBorders>
            <w:noWrap w:val="0"/>
            <w:vAlign w:val="center"/>
          </w:tcPr>
          <w:p w14:paraId="7A4A656E">
            <w:pPr>
              <w:keepNext w:val="0"/>
              <w:keepLines w:val="0"/>
              <w:widowControl/>
              <w:suppressLineNumbers w:val="0"/>
              <w:jc w:val="right"/>
              <w:textAlignment w:val="center"/>
              <w:rPr>
                <w:rFonts w:hint="eastAsia" w:ascii="宋体" w:hAnsi="宋体"/>
                <w:sz w:val="21"/>
                <w:szCs w:val="21"/>
              </w:rPr>
            </w:pPr>
          </w:p>
        </w:tc>
        <w:tc>
          <w:tcPr>
            <w:tcW w:w="973" w:type="dxa"/>
            <w:tcBorders>
              <w:top w:val="single" w:color="auto" w:sz="6" w:space="0"/>
              <w:left w:val="single" w:color="auto" w:sz="6" w:space="0"/>
              <w:bottom w:val="single" w:color="auto" w:sz="6" w:space="0"/>
              <w:right w:val="single" w:color="auto" w:sz="6" w:space="0"/>
            </w:tcBorders>
            <w:noWrap w:val="0"/>
            <w:vAlign w:val="center"/>
          </w:tcPr>
          <w:p w14:paraId="73973AA8">
            <w:pPr>
              <w:jc w:val="center"/>
              <w:rPr>
                <w:rFonts w:hint="eastAsia" w:ascii="宋体" w:hAnsi="宋体"/>
                <w:sz w:val="21"/>
                <w:szCs w:val="21"/>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4EE3669C">
            <w:pPr>
              <w:jc w:val="center"/>
              <w:rPr>
                <w:rFonts w:hint="eastAsia" w:ascii="宋体" w:hAnsi="宋体"/>
              </w:rPr>
            </w:pPr>
          </w:p>
        </w:tc>
      </w:tr>
      <w:tr w14:paraId="2712B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2BF10F47">
            <w:pPr>
              <w:keepNext w:val="0"/>
              <w:keepLines w:val="0"/>
              <w:widowControl/>
              <w:suppressLineNumbers w:val="0"/>
              <w:jc w:val="center"/>
              <w:textAlignment w:val="center"/>
              <w:rPr>
                <w:rFonts w:hint="eastAsia" w:ascii="宋体" w:hAnsi="宋体"/>
                <w:szCs w:val="21"/>
              </w:rPr>
            </w:pPr>
          </w:p>
        </w:tc>
        <w:tc>
          <w:tcPr>
            <w:tcW w:w="4533" w:type="dxa"/>
            <w:tcBorders>
              <w:top w:val="single" w:color="auto" w:sz="6" w:space="0"/>
              <w:left w:val="single" w:color="auto" w:sz="6" w:space="0"/>
              <w:bottom w:val="single" w:color="auto" w:sz="6" w:space="0"/>
              <w:right w:val="single" w:color="auto" w:sz="6" w:space="0"/>
            </w:tcBorders>
            <w:noWrap w:val="0"/>
            <w:vAlign w:val="center"/>
          </w:tcPr>
          <w:p w14:paraId="35E1BD1F">
            <w:pPr>
              <w:keepNext w:val="0"/>
              <w:keepLines w:val="0"/>
              <w:widowControl/>
              <w:suppressLineNumbers w:val="0"/>
              <w:jc w:val="left"/>
              <w:textAlignment w:val="center"/>
              <w:rPr>
                <w:rFonts w:hint="eastAsia" w:ascii="宋体" w:hAnsi="宋体"/>
                <w:szCs w:val="21"/>
              </w:rPr>
            </w:pPr>
          </w:p>
        </w:tc>
        <w:tc>
          <w:tcPr>
            <w:tcW w:w="855" w:type="dxa"/>
            <w:tcBorders>
              <w:top w:val="single" w:color="auto" w:sz="6" w:space="0"/>
              <w:left w:val="single" w:color="auto" w:sz="6" w:space="0"/>
              <w:bottom w:val="single" w:color="auto" w:sz="6" w:space="0"/>
              <w:right w:val="single" w:color="auto" w:sz="6" w:space="0"/>
            </w:tcBorders>
            <w:noWrap w:val="0"/>
            <w:vAlign w:val="center"/>
          </w:tcPr>
          <w:p w14:paraId="2BF4B359">
            <w:pPr>
              <w:jc w:val="center"/>
              <w:rPr>
                <w:rFonts w:hint="eastAsia" w:ascii="宋体" w:hAnsi="宋体"/>
                <w:szCs w:val="21"/>
              </w:rPr>
            </w:pPr>
          </w:p>
        </w:tc>
        <w:tc>
          <w:tcPr>
            <w:tcW w:w="918" w:type="dxa"/>
            <w:tcBorders>
              <w:top w:val="single" w:color="auto" w:sz="6" w:space="0"/>
              <w:left w:val="single" w:color="auto" w:sz="6" w:space="0"/>
              <w:bottom w:val="single" w:color="auto" w:sz="6" w:space="0"/>
              <w:right w:val="single" w:color="auto" w:sz="6" w:space="0"/>
            </w:tcBorders>
            <w:noWrap w:val="0"/>
            <w:vAlign w:val="center"/>
          </w:tcPr>
          <w:p w14:paraId="0FCD8D3F">
            <w:pPr>
              <w:jc w:val="right"/>
              <w:rPr>
                <w:rFonts w:hint="eastAsia" w:ascii="宋体" w:hAnsi="宋体"/>
                <w:szCs w:val="21"/>
              </w:rPr>
            </w:pPr>
          </w:p>
        </w:tc>
        <w:tc>
          <w:tcPr>
            <w:tcW w:w="973" w:type="dxa"/>
            <w:tcBorders>
              <w:top w:val="single" w:color="auto" w:sz="6" w:space="0"/>
              <w:left w:val="single" w:color="auto" w:sz="6" w:space="0"/>
              <w:bottom w:val="single" w:color="auto" w:sz="6" w:space="0"/>
              <w:right w:val="single" w:color="auto" w:sz="6" w:space="0"/>
            </w:tcBorders>
            <w:noWrap w:val="0"/>
            <w:vAlign w:val="center"/>
          </w:tcPr>
          <w:p w14:paraId="5FC773D2">
            <w:pPr>
              <w:jc w:val="center"/>
              <w:rPr>
                <w:rFonts w:hint="eastAsia" w:ascii="宋体" w:hAnsi="宋体"/>
                <w:szCs w:val="21"/>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3893C925">
            <w:pPr>
              <w:jc w:val="center"/>
              <w:rPr>
                <w:rFonts w:hint="eastAsia" w:ascii="宋体" w:hAnsi="宋体"/>
              </w:rPr>
            </w:pPr>
          </w:p>
        </w:tc>
      </w:tr>
      <w:tr w14:paraId="7279C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1BFC56A5">
            <w:pPr>
              <w:keepNext w:val="0"/>
              <w:keepLines w:val="0"/>
              <w:widowControl/>
              <w:suppressLineNumbers w:val="0"/>
              <w:jc w:val="center"/>
              <w:textAlignment w:val="center"/>
              <w:rPr>
                <w:rFonts w:hint="eastAsia" w:ascii="宋体" w:hAnsi="宋体"/>
                <w:szCs w:val="21"/>
              </w:rPr>
            </w:pPr>
          </w:p>
        </w:tc>
        <w:tc>
          <w:tcPr>
            <w:tcW w:w="4533" w:type="dxa"/>
            <w:tcBorders>
              <w:top w:val="single" w:color="auto" w:sz="6" w:space="0"/>
              <w:left w:val="single" w:color="auto" w:sz="6" w:space="0"/>
              <w:bottom w:val="single" w:color="auto" w:sz="6" w:space="0"/>
              <w:right w:val="single" w:color="auto" w:sz="6" w:space="0"/>
            </w:tcBorders>
            <w:noWrap w:val="0"/>
            <w:vAlign w:val="center"/>
          </w:tcPr>
          <w:p w14:paraId="77A8B95B">
            <w:pPr>
              <w:keepNext w:val="0"/>
              <w:keepLines w:val="0"/>
              <w:widowControl/>
              <w:suppressLineNumbers w:val="0"/>
              <w:jc w:val="left"/>
              <w:textAlignment w:val="center"/>
              <w:rPr>
                <w:rFonts w:hint="eastAsia" w:ascii="宋体" w:hAnsi="宋体"/>
                <w:szCs w:val="21"/>
              </w:rPr>
            </w:pPr>
          </w:p>
        </w:tc>
        <w:tc>
          <w:tcPr>
            <w:tcW w:w="855" w:type="dxa"/>
            <w:tcBorders>
              <w:top w:val="single" w:color="auto" w:sz="6" w:space="0"/>
              <w:left w:val="single" w:color="auto" w:sz="6" w:space="0"/>
              <w:bottom w:val="single" w:color="auto" w:sz="6" w:space="0"/>
              <w:right w:val="single" w:color="auto" w:sz="6" w:space="0"/>
            </w:tcBorders>
            <w:noWrap w:val="0"/>
            <w:vAlign w:val="center"/>
          </w:tcPr>
          <w:p w14:paraId="4A1EBCB5">
            <w:pPr>
              <w:keepNext w:val="0"/>
              <w:keepLines w:val="0"/>
              <w:widowControl/>
              <w:suppressLineNumbers w:val="0"/>
              <w:jc w:val="center"/>
              <w:textAlignment w:val="center"/>
              <w:rPr>
                <w:rFonts w:hint="eastAsia" w:ascii="宋体" w:hAnsi="宋体"/>
                <w:szCs w:val="21"/>
              </w:rPr>
            </w:pPr>
          </w:p>
        </w:tc>
        <w:tc>
          <w:tcPr>
            <w:tcW w:w="918" w:type="dxa"/>
            <w:tcBorders>
              <w:top w:val="single" w:color="auto" w:sz="6" w:space="0"/>
              <w:left w:val="single" w:color="auto" w:sz="6" w:space="0"/>
              <w:bottom w:val="single" w:color="auto" w:sz="6" w:space="0"/>
              <w:right w:val="single" w:color="auto" w:sz="6" w:space="0"/>
            </w:tcBorders>
            <w:noWrap w:val="0"/>
            <w:vAlign w:val="center"/>
          </w:tcPr>
          <w:p w14:paraId="3E92A7B3">
            <w:pPr>
              <w:keepNext w:val="0"/>
              <w:keepLines w:val="0"/>
              <w:widowControl/>
              <w:suppressLineNumbers w:val="0"/>
              <w:jc w:val="right"/>
              <w:textAlignment w:val="center"/>
              <w:rPr>
                <w:rFonts w:hint="eastAsia" w:ascii="宋体" w:hAnsi="宋体"/>
                <w:szCs w:val="21"/>
              </w:rPr>
            </w:pPr>
          </w:p>
        </w:tc>
        <w:tc>
          <w:tcPr>
            <w:tcW w:w="973" w:type="dxa"/>
            <w:tcBorders>
              <w:top w:val="single" w:color="auto" w:sz="6" w:space="0"/>
              <w:left w:val="single" w:color="auto" w:sz="6" w:space="0"/>
              <w:bottom w:val="single" w:color="auto" w:sz="6" w:space="0"/>
              <w:right w:val="single" w:color="auto" w:sz="6" w:space="0"/>
            </w:tcBorders>
            <w:noWrap w:val="0"/>
            <w:vAlign w:val="center"/>
          </w:tcPr>
          <w:p w14:paraId="371655FC">
            <w:pPr>
              <w:jc w:val="center"/>
              <w:rPr>
                <w:rFonts w:hint="eastAsia" w:ascii="宋体" w:hAnsi="宋体"/>
                <w:szCs w:val="21"/>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772B8903">
            <w:pPr>
              <w:jc w:val="center"/>
              <w:rPr>
                <w:rFonts w:hint="eastAsia" w:ascii="宋体" w:hAnsi="宋体"/>
              </w:rPr>
            </w:pPr>
          </w:p>
        </w:tc>
      </w:tr>
      <w:tr w14:paraId="32D00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6E692FBE">
            <w:pPr>
              <w:keepNext w:val="0"/>
              <w:keepLines w:val="0"/>
              <w:widowControl/>
              <w:suppressLineNumbers w:val="0"/>
              <w:jc w:val="center"/>
              <w:textAlignment w:val="center"/>
              <w:rPr>
                <w:rFonts w:hint="eastAsia" w:ascii="宋体" w:hAnsi="宋体"/>
                <w:szCs w:val="21"/>
              </w:rPr>
            </w:pPr>
          </w:p>
        </w:tc>
        <w:tc>
          <w:tcPr>
            <w:tcW w:w="4533" w:type="dxa"/>
            <w:tcBorders>
              <w:top w:val="single" w:color="auto" w:sz="6" w:space="0"/>
              <w:left w:val="single" w:color="auto" w:sz="6" w:space="0"/>
              <w:bottom w:val="single" w:color="auto" w:sz="6" w:space="0"/>
              <w:right w:val="single" w:color="auto" w:sz="6" w:space="0"/>
            </w:tcBorders>
            <w:noWrap w:val="0"/>
            <w:vAlign w:val="center"/>
          </w:tcPr>
          <w:p w14:paraId="2397C12A">
            <w:pPr>
              <w:keepNext w:val="0"/>
              <w:keepLines w:val="0"/>
              <w:widowControl/>
              <w:suppressLineNumbers w:val="0"/>
              <w:jc w:val="left"/>
              <w:textAlignment w:val="center"/>
              <w:rPr>
                <w:rFonts w:hint="eastAsia" w:ascii="宋体" w:hAnsi="宋体"/>
                <w:szCs w:val="21"/>
              </w:rPr>
            </w:pPr>
          </w:p>
        </w:tc>
        <w:tc>
          <w:tcPr>
            <w:tcW w:w="855" w:type="dxa"/>
            <w:tcBorders>
              <w:top w:val="single" w:color="auto" w:sz="6" w:space="0"/>
              <w:left w:val="single" w:color="auto" w:sz="6" w:space="0"/>
              <w:bottom w:val="single" w:color="auto" w:sz="6" w:space="0"/>
              <w:right w:val="single" w:color="auto" w:sz="6" w:space="0"/>
            </w:tcBorders>
            <w:noWrap w:val="0"/>
            <w:vAlign w:val="center"/>
          </w:tcPr>
          <w:p w14:paraId="3F8E159D">
            <w:pPr>
              <w:keepNext w:val="0"/>
              <w:keepLines w:val="0"/>
              <w:widowControl/>
              <w:suppressLineNumbers w:val="0"/>
              <w:jc w:val="center"/>
              <w:textAlignment w:val="center"/>
              <w:rPr>
                <w:rFonts w:hint="eastAsia" w:ascii="宋体" w:hAnsi="宋体"/>
                <w:szCs w:val="21"/>
              </w:rPr>
            </w:pPr>
          </w:p>
        </w:tc>
        <w:tc>
          <w:tcPr>
            <w:tcW w:w="918" w:type="dxa"/>
            <w:tcBorders>
              <w:top w:val="single" w:color="auto" w:sz="6" w:space="0"/>
              <w:left w:val="single" w:color="auto" w:sz="6" w:space="0"/>
              <w:bottom w:val="single" w:color="auto" w:sz="6" w:space="0"/>
              <w:right w:val="single" w:color="auto" w:sz="6" w:space="0"/>
            </w:tcBorders>
            <w:noWrap w:val="0"/>
            <w:vAlign w:val="center"/>
          </w:tcPr>
          <w:p w14:paraId="27FC209B">
            <w:pPr>
              <w:keepNext w:val="0"/>
              <w:keepLines w:val="0"/>
              <w:widowControl/>
              <w:suppressLineNumbers w:val="0"/>
              <w:jc w:val="right"/>
              <w:textAlignment w:val="center"/>
              <w:rPr>
                <w:rFonts w:hint="eastAsia" w:ascii="宋体" w:hAnsi="宋体"/>
                <w:szCs w:val="21"/>
              </w:rPr>
            </w:pPr>
          </w:p>
        </w:tc>
        <w:tc>
          <w:tcPr>
            <w:tcW w:w="973" w:type="dxa"/>
            <w:tcBorders>
              <w:top w:val="single" w:color="auto" w:sz="6" w:space="0"/>
              <w:left w:val="single" w:color="auto" w:sz="6" w:space="0"/>
              <w:bottom w:val="single" w:color="auto" w:sz="6" w:space="0"/>
              <w:right w:val="single" w:color="auto" w:sz="6" w:space="0"/>
            </w:tcBorders>
            <w:noWrap w:val="0"/>
            <w:vAlign w:val="center"/>
          </w:tcPr>
          <w:p w14:paraId="13BC4AB9">
            <w:pPr>
              <w:jc w:val="center"/>
              <w:rPr>
                <w:rFonts w:hint="eastAsia" w:ascii="宋体" w:hAnsi="宋体"/>
                <w:szCs w:val="21"/>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44191CE9">
            <w:pPr>
              <w:jc w:val="center"/>
              <w:rPr>
                <w:rFonts w:hint="eastAsia" w:ascii="宋体" w:hAnsi="宋体"/>
              </w:rPr>
            </w:pPr>
          </w:p>
        </w:tc>
      </w:tr>
      <w:tr w14:paraId="7F30C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616FEB70">
            <w:pPr>
              <w:keepNext w:val="0"/>
              <w:keepLines w:val="0"/>
              <w:widowControl/>
              <w:suppressLineNumbers w:val="0"/>
              <w:jc w:val="center"/>
              <w:textAlignment w:val="center"/>
              <w:rPr>
                <w:rFonts w:hint="eastAsia" w:ascii="宋体" w:hAnsi="宋体"/>
                <w:szCs w:val="21"/>
              </w:rPr>
            </w:pPr>
          </w:p>
        </w:tc>
        <w:tc>
          <w:tcPr>
            <w:tcW w:w="4533" w:type="dxa"/>
            <w:tcBorders>
              <w:top w:val="single" w:color="auto" w:sz="6" w:space="0"/>
              <w:left w:val="single" w:color="auto" w:sz="6" w:space="0"/>
              <w:bottom w:val="single" w:color="auto" w:sz="6" w:space="0"/>
              <w:right w:val="single" w:color="auto" w:sz="6" w:space="0"/>
            </w:tcBorders>
            <w:noWrap w:val="0"/>
            <w:vAlign w:val="center"/>
          </w:tcPr>
          <w:p w14:paraId="6CEC99DA">
            <w:pPr>
              <w:keepNext w:val="0"/>
              <w:keepLines w:val="0"/>
              <w:widowControl/>
              <w:suppressLineNumbers w:val="0"/>
              <w:jc w:val="left"/>
              <w:textAlignment w:val="center"/>
              <w:rPr>
                <w:rFonts w:hint="eastAsia" w:ascii="宋体" w:hAnsi="宋体"/>
                <w:szCs w:val="21"/>
              </w:rPr>
            </w:pPr>
          </w:p>
        </w:tc>
        <w:tc>
          <w:tcPr>
            <w:tcW w:w="855" w:type="dxa"/>
            <w:tcBorders>
              <w:top w:val="single" w:color="auto" w:sz="6" w:space="0"/>
              <w:left w:val="single" w:color="auto" w:sz="6" w:space="0"/>
              <w:bottom w:val="single" w:color="auto" w:sz="6" w:space="0"/>
              <w:right w:val="single" w:color="auto" w:sz="6" w:space="0"/>
            </w:tcBorders>
            <w:noWrap w:val="0"/>
            <w:vAlign w:val="center"/>
          </w:tcPr>
          <w:p w14:paraId="4CD25542">
            <w:pPr>
              <w:keepNext w:val="0"/>
              <w:keepLines w:val="0"/>
              <w:widowControl/>
              <w:suppressLineNumbers w:val="0"/>
              <w:jc w:val="center"/>
              <w:textAlignment w:val="center"/>
              <w:rPr>
                <w:rFonts w:hint="eastAsia" w:ascii="宋体" w:hAnsi="宋体"/>
                <w:szCs w:val="21"/>
              </w:rPr>
            </w:pPr>
          </w:p>
        </w:tc>
        <w:tc>
          <w:tcPr>
            <w:tcW w:w="918" w:type="dxa"/>
            <w:tcBorders>
              <w:top w:val="single" w:color="auto" w:sz="6" w:space="0"/>
              <w:left w:val="single" w:color="auto" w:sz="6" w:space="0"/>
              <w:bottom w:val="single" w:color="auto" w:sz="6" w:space="0"/>
              <w:right w:val="single" w:color="auto" w:sz="6" w:space="0"/>
            </w:tcBorders>
            <w:noWrap w:val="0"/>
            <w:vAlign w:val="center"/>
          </w:tcPr>
          <w:p w14:paraId="527D48E4">
            <w:pPr>
              <w:keepNext w:val="0"/>
              <w:keepLines w:val="0"/>
              <w:widowControl/>
              <w:suppressLineNumbers w:val="0"/>
              <w:jc w:val="right"/>
              <w:textAlignment w:val="center"/>
              <w:rPr>
                <w:rFonts w:hint="eastAsia" w:ascii="宋体" w:hAnsi="宋体"/>
                <w:szCs w:val="21"/>
              </w:rPr>
            </w:pPr>
          </w:p>
        </w:tc>
        <w:tc>
          <w:tcPr>
            <w:tcW w:w="973" w:type="dxa"/>
            <w:tcBorders>
              <w:top w:val="single" w:color="auto" w:sz="6" w:space="0"/>
              <w:left w:val="single" w:color="auto" w:sz="6" w:space="0"/>
              <w:bottom w:val="single" w:color="auto" w:sz="6" w:space="0"/>
              <w:right w:val="single" w:color="auto" w:sz="6" w:space="0"/>
            </w:tcBorders>
            <w:noWrap w:val="0"/>
            <w:vAlign w:val="center"/>
          </w:tcPr>
          <w:p w14:paraId="2C9C84CA">
            <w:pPr>
              <w:jc w:val="center"/>
              <w:rPr>
                <w:rFonts w:hint="eastAsia" w:ascii="宋体" w:hAnsi="宋体"/>
                <w:szCs w:val="21"/>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65F7479C">
            <w:pPr>
              <w:jc w:val="center"/>
              <w:rPr>
                <w:rFonts w:hint="eastAsia" w:ascii="宋体" w:hAnsi="宋体"/>
              </w:rPr>
            </w:pPr>
          </w:p>
        </w:tc>
      </w:tr>
      <w:tr w14:paraId="63F6E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248F9791">
            <w:pPr>
              <w:keepNext w:val="0"/>
              <w:keepLines w:val="0"/>
              <w:widowControl/>
              <w:suppressLineNumbers w:val="0"/>
              <w:jc w:val="center"/>
              <w:textAlignment w:val="center"/>
              <w:rPr>
                <w:rFonts w:hint="eastAsia" w:ascii="宋体" w:hAnsi="宋体"/>
                <w:szCs w:val="21"/>
              </w:rPr>
            </w:pPr>
          </w:p>
        </w:tc>
        <w:tc>
          <w:tcPr>
            <w:tcW w:w="4533" w:type="dxa"/>
            <w:tcBorders>
              <w:top w:val="single" w:color="auto" w:sz="6" w:space="0"/>
              <w:left w:val="single" w:color="auto" w:sz="6" w:space="0"/>
              <w:bottom w:val="single" w:color="auto" w:sz="6" w:space="0"/>
              <w:right w:val="single" w:color="auto" w:sz="6" w:space="0"/>
            </w:tcBorders>
            <w:noWrap w:val="0"/>
            <w:vAlign w:val="center"/>
          </w:tcPr>
          <w:p w14:paraId="5F440B06">
            <w:pPr>
              <w:keepNext w:val="0"/>
              <w:keepLines w:val="0"/>
              <w:widowControl/>
              <w:suppressLineNumbers w:val="0"/>
              <w:jc w:val="left"/>
              <w:textAlignment w:val="center"/>
              <w:rPr>
                <w:rFonts w:hint="eastAsia" w:ascii="宋体" w:hAnsi="宋体"/>
                <w:szCs w:val="21"/>
              </w:rPr>
            </w:pPr>
          </w:p>
        </w:tc>
        <w:tc>
          <w:tcPr>
            <w:tcW w:w="855" w:type="dxa"/>
            <w:tcBorders>
              <w:top w:val="single" w:color="auto" w:sz="6" w:space="0"/>
              <w:left w:val="single" w:color="auto" w:sz="6" w:space="0"/>
              <w:bottom w:val="single" w:color="auto" w:sz="6" w:space="0"/>
              <w:right w:val="single" w:color="auto" w:sz="6" w:space="0"/>
            </w:tcBorders>
            <w:noWrap w:val="0"/>
            <w:vAlign w:val="center"/>
          </w:tcPr>
          <w:p w14:paraId="572F0E56">
            <w:pPr>
              <w:jc w:val="center"/>
              <w:rPr>
                <w:rFonts w:hint="eastAsia" w:ascii="宋体" w:hAnsi="宋体"/>
                <w:szCs w:val="21"/>
              </w:rPr>
            </w:pPr>
          </w:p>
        </w:tc>
        <w:tc>
          <w:tcPr>
            <w:tcW w:w="918" w:type="dxa"/>
            <w:tcBorders>
              <w:top w:val="single" w:color="auto" w:sz="6" w:space="0"/>
              <w:left w:val="single" w:color="auto" w:sz="6" w:space="0"/>
              <w:bottom w:val="single" w:color="auto" w:sz="6" w:space="0"/>
              <w:right w:val="single" w:color="auto" w:sz="6" w:space="0"/>
            </w:tcBorders>
            <w:noWrap w:val="0"/>
            <w:vAlign w:val="center"/>
          </w:tcPr>
          <w:p w14:paraId="337D9D88">
            <w:pPr>
              <w:jc w:val="right"/>
              <w:rPr>
                <w:rFonts w:hint="eastAsia" w:ascii="宋体" w:hAnsi="宋体"/>
                <w:szCs w:val="21"/>
              </w:rPr>
            </w:pPr>
          </w:p>
        </w:tc>
        <w:tc>
          <w:tcPr>
            <w:tcW w:w="973" w:type="dxa"/>
            <w:tcBorders>
              <w:top w:val="single" w:color="auto" w:sz="6" w:space="0"/>
              <w:left w:val="single" w:color="auto" w:sz="6" w:space="0"/>
              <w:bottom w:val="single" w:color="auto" w:sz="6" w:space="0"/>
              <w:right w:val="single" w:color="auto" w:sz="6" w:space="0"/>
            </w:tcBorders>
            <w:noWrap w:val="0"/>
            <w:vAlign w:val="center"/>
          </w:tcPr>
          <w:p w14:paraId="22764C58">
            <w:pPr>
              <w:jc w:val="center"/>
              <w:rPr>
                <w:rFonts w:hint="eastAsia" w:ascii="宋体" w:hAnsi="宋体"/>
                <w:szCs w:val="21"/>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3B529F47">
            <w:pPr>
              <w:jc w:val="center"/>
              <w:rPr>
                <w:rFonts w:hint="eastAsia" w:ascii="宋体" w:hAnsi="宋体"/>
              </w:rPr>
            </w:pPr>
          </w:p>
        </w:tc>
      </w:tr>
      <w:tr w14:paraId="0D3BA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398C4FF3">
            <w:pPr>
              <w:keepNext w:val="0"/>
              <w:keepLines w:val="0"/>
              <w:widowControl/>
              <w:suppressLineNumbers w:val="0"/>
              <w:jc w:val="center"/>
              <w:textAlignment w:val="center"/>
              <w:rPr>
                <w:rFonts w:hint="eastAsia" w:ascii="宋体" w:hAnsi="宋体"/>
                <w:szCs w:val="21"/>
              </w:rPr>
            </w:pPr>
          </w:p>
        </w:tc>
        <w:tc>
          <w:tcPr>
            <w:tcW w:w="4533" w:type="dxa"/>
            <w:tcBorders>
              <w:top w:val="single" w:color="auto" w:sz="6" w:space="0"/>
              <w:left w:val="single" w:color="auto" w:sz="6" w:space="0"/>
              <w:bottom w:val="single" w:color="auto" w:sz="6" w:space="0"/>
              <w:right w:val="single" w:color="auto" w:sz="6" w:space="0"/>
            </w:tcBorders>
            <w:noWrap w:val="0"/>
            <w:vAlign w:val="center"/>
          </w:tcPr>
          <w:p w14:paraId="4D7CF1BE">
            <w:pPr>
              <w:keepNext w:val="0"/>
              <w:keepLines w:val="0"/>
              <w:widowControl/>
              <w:suppressLineNumbers w:val="0"/>
              <w:jc w:val="left"/>
              <w:textAlignment w:val="center"/>
              <w:rPr>
                <w:rFonts w:hint="eastAsia" w:ascii="宋体" w:hAnsi="宋体"/>
                <w:szCs w:val="21"/>
              </w:rPr>
            </w:pPr>
          </w:p>
        </w:tc>
        <w:tc>
          <w:tcPr>
            <w:tcW w:w="855" w:type="dxa"/>
            <w:tcBorders>
              <w:top w:val="single" w:color="auto" w:sz="6" w:space="0"/>
              <w:left w:val="single" w:color="auto" w:sz="6" w:space="0"/>
              <w:bottom w:val="single" w:color="auto" w:sz="6" w:space="0"/>
              <w:right w:val="single" w:color="auto" w:sz="6" w:space="0"/>
            </w:tcBorders>
            <w:noWrap w:val="0"/>
            <w:vAlign w:val="center"/>
          </w:tcPr>
          <w:p w14:paraId="46DFFD9C">
            <w:pPr>
              <w:keepNext w:val="0"/>
              <w:keepLines w:val="0"/>
              <w:widowControl/>
              <w:suppressLineNumbers w:val="0"/>
              <w:jc w:val="center"/>
              <w:textAlignment w:val="center"/>
              <w:rPr>
                <w:rFonts w:hint="eastAsia" w:ascii="宋体" w:hAnsi="宋体"/>
                <w:szCs w:val="21"/>
              </w:rPr>
            </w:pPr>
          </w:p>
        </w:tc>
        <w:tc>
          <w:tcPr>
            <w:tcW w:w="918" w:type="dxa"/>
            <w:tcBorders>
              <w:top w:val="single" w:color="auto" w:sz="6" w:space="0"/>
              <w:left w:val="single" w:color="auto" w:sz="6" w:space="0"/>
              <w:bottom w:val="single" w:color="auto" w:sz="6" w:space="0"/>
              <w:right w:val="single" w:color="auto" w:sz="6" w:space="0"/>
            </w:tcBorders>
            <w:noWrap w:val="0"/>
            <w:vAlign w:val="center"/>
          </w:tcPr>
          <w:p w14:paraId="595A3652">
            <w:pPr>
              <w:keepNext w:val="0"/>
              <w:keepLines w:val="0"/>
              <w:widowControl/>
              <w:suppressLineNumbers w:val="0"/>
              <w:jc w:val="right"/>
              <w:textAlignment w:val="center"/>
              <w:rPr>
                <w:rFonts w:hint="eastAsia" w:ascii="宋体" w:hAnsi="宋体"/>
                <w:szCs w:val="21"/>
              </w:rPr>
            </w:pPr>
          </w:p>
        </w:tc>
        <w:tc>
          <w:tcPr>
            <w:tcW w:w="973" w:type="dxa"/>
            <w:tcBorders>
              <w:top w:val="single" w:color="auto" w:sz="6" w:space="0"/>
              <w:left w:val="single" w:color="auto" w:sz="6" w:space="0"/>
              <w:bottom w:val="single" w:color="auto" w:sz="6" w:space="0"/>
              <w:right w:val="single" w:color="auto" w:sz="6" w:space="0"/>
            </w:tcBorders>
            <w:noWrap w:val="0"/>
            <w:vAlign w:val="center"/>
          </w:tcPr>
          <w:p w14:paraId="2046F92F">
            <w:pPr>
              <w:jc w:val="center"/>
              <w:rPr>
                <w:rFonts w:hint="eastAsia" w:ascii="宋体" w:hAnsi="宋体"/>
                <w:szCs w:val="21"/>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52606CEB">
            <w:pPr>
              <w:jc w:val="center"/>
              <w:rPr>
                <w:rFonts w:hint="eastAsia" w:ascii="宋体" w:hAnsi="宋体"/>
                <w:b/>
              </w:rPr>
            </w:pPr>
          </w:p>
        </w:tc>
      </w:tr>
      <w:tr w14:paraId="5D4A1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2E0CCEB1">
            <w:pPr>
              <w:keepNext w:val="0"/>
              <w:keepLines w:val="0"/>
              <w:widowControl/>
              <w:suppressLineNumbers w:val="0"/>
              <w:jc w:val="center"/>
              <w:textAlignment w:val="center"/>
              <w:rPr>
                <w:rFonts w:hint="eastAsia" w:ascii="宋体" w:hAnsi="宋体"/>
                <w:szCs w:val="21"/>
              </w:rPr>
            </w:pPr>
          </w:p>
        </w:tc>
        <w:tc>
          <w:tcPr>
            <w:tcW w:w="4533" w:type="dxa"/>
            <w:tcBorders>
              <w:top w:val="single" w:color="auto" w:sz="6" w:space="0"/>
              <w:left w:val="single" w:color="auto" w:sz="6" w:space="0"/>
              <w:bottom w:val="single" w:color="auto" w:sz="6" w:space="0"/>
              <w:right w:val="single" w:color="auto" w:sz="6" w:space="0"/>
            </w:tcBorders>
            <w:noWrap w:val="0"/>
            <w:vAlign w:val="center"/>
          </w:tcPr>
          <w:p w14:paraId="0A3CE683">
            <w:pPr>
              <w:keepNext w:val="0"/>
              <w:keepLines w:val="0"/>
              <w:widowControl/>
              <w:suppressLineNumbers w:val="0"/>
              <w:jc w:val="left"/>
              <w:textAlignment w:val="center"/>
              <w:rPr>
                <w:rFonts w:hint="eastAsia" w:ascii="宋体" w:hAnsi="宋体"/>
                <w:szCs w:val="21"/>
              </w:rPr>
            </w:pPr>
          </w:p>
        </w:tc>
        <w:tc>
          <w:tcPr>
            <w:tcW w:w="855" w:type="dxa"/>
            <w:tcBorders>
              <w:top w:val="single" w:color="auto" w:sz="6" w:space="0"/>
              <w:left w:val="single" w:color="auto" w:sz="6" w:space="0"/>
              <w:bottom w:val="single" w:color="auto" w:sz="6" w:space="0"/>
              <w:right w:val="single" w:color="auto" w:sz="6" w:space="0"/>
            </w:tcBorders>
            <w:noWrap w:val="0"/>
            <w:vAlign w:val="center"/>
          </w:tcPr>
          <w:p w14:paraId="7A46720D">
            <w:pPr>
              <w:jc w:val="center"/>
              <w:rPr>
                <w:rFonts w:hint="eastAsia" w:ascii="宋体" w:hAnsi="宋体"/>
                <w:szCs w:val="21"/>
              </w:rPr>
            </w:pPr>
          </w:p>
        </w:tc>
        <w:tc>
          <w:tcPr>
            <w:tcW w:w="918" w:type="dxa"/>
            <w:tcBorders>
              <w:top w:val="single" w:color="auto" w:sz="6" w:space="0"/>
              <w:left w:val="single" w:color="auto" w:sz="6" w:space="0"/>
              <w:bottom w:val="single" w:color="auto" w:sz="6" w:space="0"/>
              <w:right w:val="single" w:color="auto" w:sz="6" w:space="0"/>
            </w:tcBorders>
            <w:noWrap w:val="0"/>
            <w:vAlign w:val="center"/>
          </w:tcPr>
          <w:p w14:paraId="1BF16242">
            <w:pPr>
              <w:jc w:val="right"/>
              <w:rPr>
                <w:rFonts w:hint="eastAsia" w:ascii="宋体" w:hAnsi="宋体"/>
                <w:szCs w:val="21"/>
              </w:rPr>
            </w:pPr>
          </w:p>
        </w:tc>
        <w:tc>
          <w:tcPr>
            <w:tcW w:w="973" w:type="dxa"/>
            <w:tcBorders>
              <w:top w:val="single" w:color="auto" w:sz="6" w:space="0"/>
              <w:left w:val="single" w:color="auto" w:sz="6" w:space="0"/>
              <w:bottom w:val="single" w:color="auto" w:sz="6" w:space="0"/>
              <w:right w:val="single" w:color="auto" w:sz="6" w:space="0"/>
            </w:tcBorders>
            <w:noWrap w:val="0"/>
            <w:vAlign w:val="center"/>
          </w:tcPr>
          <w:p w14:paraId="3A93B3F2">
            <w:pPr>
              <w:jc w:val="center"/>
              <w:rPr>
                <w:rFonts w:hint="eastAsia" w:ascii="宋体" w:hAnsi="宋体"/>
                <w:szCs w:val="21"/>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00159424">
            <w:pPr>
              <w:jc w:val="center"/>
              <w:rPr>
                <w:rFonts w:hint="eastAsia" w:ascii="宋体" w:hAnsi="宋体"/>
                <w:b/>
              </w:rPr>
            </w:pPr>
          </w:p>
        </w:tc>
      </w:tr>
      <w:tr w14:paraId="5D745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5432614C">
            <w:pPr>
              <w:keepNext w:val="0"/>
              <w:keepLines w:val="0"/>
              <w:widowControl/>
              <w:suppressLineNumbers w:val="0"/>
              <w:jc w:val="center"/>
              <w:textAlignment w:val="center"/>
              <w:rPr>
                <w:rFonts w:hint="eastAsia" w:ascii="宋体" w:hAnsi="宋体"/>
                <w:szCs w:val="21"/>
              </w:rPr>
            </w:pPr>
          </w:p>
        </w:tc>
        <w:tc>
          <w:tcPr>
            <w:tcW w:w="4533" w:type="dxa"/>
            <w:tcBorders>
              <w:top w:val="single" w:color="auto" w:sz="6" w:space="0"/>
              <w:left w:val="single" w:color="auto" w:sz="6" w:space="0"/>
              <w:bottom w:val="single" w:color="auto" w:sz="6" w:space="0"/>
              <w:right w:val="single" w:color="auto" w:sz="6" w:space="0"/>
            </w:tcBorders>
            <w:noWrap w:val="0"/>
            <w:vAlign w:val="center"/>
          </w:tcPr>
          <w:p w14:paraId="1FD7570F">
            <w:pPr>
              <w:keepNext w:val="0"/>
              <w:keepLines w:val="0"/>
              <w:widowControl/>
              <w:suppressLineNumbers w:val="0"/>
              <w:jc w:val="left"/>
              <w:textAlignment w:val="center"/>
              <w:rPr>
                <w:rFonts w:hint="eastAsia" w:ascii="宋体" w:hAnsi="宋体"/>
                <w:szCs w:val="21"/>
              </w:rPr>
            </w:pPr>
          </w:p>
        </w:tc>
        <w:tc>
          <w:tcPr>
            <w:tcW w:w="855" w:type="dxa"/>
            <w:tcBorders>
              <w:top w:val="single" w:color="auto" w:sz="6" w:space="0"/>
              <w:left w:val="single" w:color="auto" w:sz="6" w:space="0"/>
              <w:bottom w:val="single" w:color="auto" w:sz="6" w:space="0"/>
              <w:right w:val="single" w:color="auto" w:sz="6" w:space="0"/>
            </w:tcBorders>
            <w:noWrap w:val="0"/>
            <w:vAlign w:val="center"/>
          </w:tcPr>
          <w:p w14:paraId="4C616C1C">
            <w:pPr>
              <w:keepNext w:val="0"/>
              <w:keepLines w:val="0"/>
              <w:widowControl/>
              <w:suppressLineNumbers w:val="0"/>
              <w:jc w:val="center"/>
              <w:textAlignment w:val="center"/>
              <w:rPr>
                <w:rFonts w:hint="eastAsia" w:ascii="宋体" w:hAnsi="宋体"/>
                <w:szCs w:val="21"/>
              </w:rPr>
            </w:pPr>
          </w:p>
        </w:tc>
        <w:tc>
          <w:tcPr>
            <w:tcW w:w="918" w:type="dxa"/>
            <w:tcBorders>
              <w:top w:val="single" w:color="auto" w:sz="6" w:space="0"/>
              <w:left w:val="single" w:color="auto" w:sz="6" w:space="0"/>
              <w:bottom w:val="single" w:color="auto" w:sz="6" w:space="0"/>
              <w:right w:val="single" w:color="auto" w:sz="6" w:space="0"/>
            </w:tcBorders>
            <w:noWrap w:val="0"/>
            <w:vAlign w:val="center"/>
          </w:tcPr>
          <w:p w14:paraId="71D550A8">
            <w:pPr>
              <w:keepNext w:val="0"/>
              <w:keepLines w:val="0"/>
              <w:widowControl/>
              <w:suppressLineNumbers w:val="0"/>
              <w:jc w:val="right"/>
              <w:textAlignment w:val="center"/>
              <w:rPr>
                <w:rFonts w:hint="eastAsia" w:ascii="宋体" w:hAnsi="宋体"/>
                <w:szCs w:val="21"/>
              </w:rPr>
            </w:pPr>
          </w:p>
        </w:tc>
        <w:tc>
          <w:tcPr>
            <w:tcW w:w="973" w:type="dxa"/>
            <w:tcBorders>
              <w:top w:val="single" w:color="auto" w:sz="6" w:space="0"/>
              <w:left w:val="single" w:color="auto" w:sz="6" w:space="0"/>
              <w:bottom w:val="single" w:color="auto" w:sz="6" w:space="0"/>
              <w:right w:val="single" w:color="auto" w:sz="6" w:space="0"/>
            </w:tcBorders>
            <w:noWrap w:val="0"/>
            <w:vAlign w:val="center"/>
          </w:tcPr>
          <w:p w14:paraId="557DCC54">
            <w:pPr>
              <w:jc w:val="center"/>
              <w:rPr>
                <w:rFonts w:hint="eastAsia" w:ascii="宋体" w:hAnsi="宋体"/>
                <w:szCs w:val="21"/>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3C6A9B68">
            <w:pPr>
              <w:jc w:val="center"/>
              <w:rPr>
                <w:rFonts w:hint="eastAsia" w:ascii="宋体" w:hAnsi="宋体"/>
                <w:b/>
              </w:rPr>
            </w:pPr>
          </w:p>
        </w:tc>
      </w:tr>
      <w:tr w14:paraId="15362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1621F6D4">
            <w:pPr>
              <w:keepNext w:val="0"/>
              <w:keepLines w:val="0"/>
              <w:widowControl/>
              <w:suppressLineNumbers w:val="0"/>
              <w:jc w:val="center"/>
              <w:textAlignment w:val="center"/>
              <w:rPr>
                <w:rFonts w:hint="eastAsia" w:ascii="宋体" w:hAnsi="宋体"/>
                <w:szCs w:val="21"/>
              </w:rPr>
            </w:pPr>
          </w:p>
        </w:tc>
        <w:tc>
          <w:tcPr>
            <w:tcW w:w="4533" w:type="dxa"/>
            <w:tcBorders>
              <w:top w:val="single" w:color="auto" w:sz="6" w:space="0"/>
              <w:left w:val="single" w:color="auto" w:sz="6" w:space="0"/>
              <w:bottom w:val="single" w:color="auto" w:sz="6" w:space="0"/>
              <w:right w:val="single" w:color="auto" w:sz="6" w:space="0"/>
            </w:tcBorders>
            <w:noWrap w:val="0"/>
            <w:vAlign w:val="center"/>
          </w:tcPr>
          <w:p w14:paraId="7D1DF230">
            <w:pPr>
              <w:keepNext w:val="0"/>
              <w:keepLines w:val="0"/>
              <w:widowControl/>
              <w:suppressLineNumbers w:val="0"/>
              <w:jc w:val="left"/>
              <w:textAlignment w:val="center"/>
              <w:rPr>
                <w:rFonts w:hint="eastAsia" w:ascii="宋体" w:hAnsi="宋体"/>
                <w:szCs w:val="21"/>
              </w:rPr>
            </w:pPr>
          </w:p>
        </w:tc>
        <w:tc>
          <w:tcPr>
            <w:tcW w:w="855" w:type="dxa"/>
            <w:tcBorders>
              <w:top w:val="single" w:color="auto" w:sz="6" w:space="0"/>
              <w:left w:val="single" w:color="auto" w:sz="6" w:space="0"/>
              <w:bottom w:val="single" w:color="auto" w:sz="6" w:space="0"/>
              <w:right w:val="single" w:color="auto" w:sz="6" w:space="0"/>
            </w:tcBorders>
            <w:noWrap w:val="0"/>
            <w:vAlign w:val="center"/>
          </w:tcPr>
          <w:p w14:paraId="14899BD0">
            <w:pPr>
              <w:jc w:val="center"/>
              <w:rPr>
                <w:rFonts w:hint="eastAsia" w:ascii="宋体" w:hAnsi="宋体"/>
                <w:szCs w:val="21"/>
              </w:rPr>
            </w:pPr>
          </w:p>
        </w:tc>
        <w:tc>
          <w:tcPr>
            <w:tcW w:w="918" w:type="dxa"/>
            <w:tcBorders>
              <w:top w:val="single" w:color="auto" w:sz="6" w:space="0"/>
              <w:left w:val="single" w:color="auto" w:sz="6" w:space="0"/>
              <w:bottom w:val="single" w:color="auto" w:sz="6" w:space="0"/>
              <w:right w:val="single" w:color="auto" w:sz="6" w:space="0"/>
            </w:tcBorders>
            <w:noWrap w:val="0"/>
            <w:vAlign w:val="center"/>
          </w:tcPr>
          <w:p w14:paraId="3DCDA2CF">
            <w:pPr>
              <w:jc w:val="right"/>
              <w:rPr>
                <w:rFonts w:hint="eastAsia" w:ascii="宋体" w:hAnsi="宋体"/>
                <w:szCs w:val="21"/>
              </w:rPr>
            </w:pPr>
          </w:p>
        </w:tc>
        <w:tc>
          <w:tcPr>
            <w:tcW w:w="973" w:type="dxa"/>
            <w:tcBorders>
              <w:top w:val="single" w:color="auto" w:sz="6" w:space="0"/>
              <w:left w:val="single" w:color="auto" w:sz="6" w:space="0"/>
              <w:bottom w:val="single" w:color="auto" w:sz="6" w:space="0"/>
              <w:right w:val="single" w:color="auto" w:sz="6" w:space="0"/>
            </w:tcBorders>
            <w:noWrap w:val="0"/>
            <w:vAlign w:val="center"/>
          </w:tcPr>
          <w:p w14:paraId="1097CEC9">
            <w:pPr>
              <w:jc w:val="center"/>
              <w:rPr>
                <w:rFonts w:hint="eastAsia" w:ascii="宋体" w:hAnsi="宋体"/>
                <w:szCs w:val="21"/>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4A76FDA4">
            <w:pPr>
              <w:jc w:val="center"/>
              <w:rPr>
                <w:rFonts w:hint="eastAsia" w:ascii="宋体" w:hAnsi="宋体"/>
                <w:b/>
              </w:rPr>
            </w:pPr>
          </w:p>
        </w:tc>
      </w:tr>
      <w:tr w14:paraId="5923A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744EE659">
            <w:pPr>
              <w:keepNext w:val="0"/>
              <w:keepLines w:val="0"/>
              <w:widowControl/>
              <w:suppressLineNumbers w:val="0"/>
              <w:jc w:val="center"/>
              <w:textAlignment w:val="center"/>
              <w:rPr>
                <w:rFonts w:hint="eastAsia" w:ascii="宋体" w:hAnsi="宋体" w:cs="宋体"/>
                <w:kern w:val="0"/>
                <w:szCs w:val="21"/>
              </w:rPr>
            </w:pPr>
          </w:p>
        </w:tc>
        <w:tc>
          <w:tcPr>
            <w:tcW w:w="4533" w:type="dxa"/>
            <w:tcBorders>
              <w:top w:val="single" w:color="auto" w:sz="6" w:space="0"/>
              <w:left w:val="single" w:color="auto" w:sz="6" w:space="0"/>
              <w:bottom w:val="single" w:color="auto" w:sz="6" w:space="0"/>
              <w:right w:val="single" w:color="auto" w:sz="6" w:space="0"/>
            </w:tcBorders>
            <w:noWrap w:val="0"/>
            <w:vAlign w:val="center"/>
          </w:tcPr>
          <w:p w14:paraId="619D8983">
            <w:pPr>
              <w:keepNext w:val="0"/>
              <w:keepLines w:val="0"/>
              <w:widowControl/>
              <w:suppressLineNumbers w:val="0"/>
              <w:jc w:val="left"/>
              <w:textAlignment w:val="center"/>
              <w:rPr>
                <w:rFonts w:hint="eastAsia" w:ascii="宋体" w:hAnsi="宋体" w:cs="宋体"/>
                <w:kern w:val="0"/>
                <w:szCs w:val="21"/>
              </w:rPr>
            </w:pPr>
          </w:p>
        </w:tc>
        <w:tc>
          <w:tcPr>
            <w:tcW w:w="855" w:type="dxa"/>
            <w:tcBorders>
              <w:top w:val="single" w:color="auto" w:sz="6" w:space="0"/>
              <w:left w:val="single" w:color="auto" w:sz="6" w:space="0"/>
              <w:bottom w:val="single" w:color="auto" w:sz="6" w:space="0"/>
              <w:right w:val="single" w:color="auto" w:sz="6" w:space="0"/>
            </w:tcBorders>
            <w:noWrap w:val="0"/>
            <w:vAlign w:val="center"/>
          </w:tcPr>
          <w:p w14:paraId="414ACF38">
            <w:pPr>
              <w:keepNext w:val="0"/>
              <w:keepLines w:val="0"/>
              <w:widowControl/>
              <w:suppressLineNumbers w:val="0"/>
              <w:jc w:val="center"/>
              <w:textAlignment w:val="center"/>
              <w:rPr>
                <w:rFonts w:hint="eastAsia" w:ascii="宋体" w:hAnsi="宋体" w:cs="宋体"/>
                <w:kern w:val="0"/>
                <w:szCs w:val="21"/>
              </w:rPr>
            </w:pPr>
          </w:p>
        </w:tc>
        <w:tc>
          <w:tcPr>
            <w:tcW w:w="918" w:type="dxa"/>
            <w:tcBorders>
              <w:top w:val="single" w:color="auto" w:sz="6" w:space="0"/>
              <w:left w:val="single" w:color="auto" w:sz="6" w:space="0"/>
              <w:bottom w:val="single" w:color="auto" w:sz="6" w:space="0"/>
              <w:right w:val="single" w:color="auto" w:sz="6" w:space="0"/>
            </w:tcBorders>
            <w:noWrap w:val="0"/>
            <w:vAlign w:val="center"/>
          </w:tcPr>
          <w:p w14:paraId="73F28BD1">
            <w:pPr>
              <w:keepNext w:val="0"/>
              <w:keepLines w:val="0"/>
              <w:widowControl/>
              <w:suppressLineNumbers w:val="0"/>
              <w:jc w:val="right"/>
              <w:textAlignment w:val="center"/>
              <w:rPr>
                <w:rFonts w:hint="eastAsia" w:ascii="宋体" w:hAnsi="宋体" w:cs="宋体"/>
                <w:kern w:val="0"/>
                <w:szCs w:val="21"/>
              </w:rPr>
            </w:pPr>
          </w:p>
        </w:tc>
        <w:tc>
          <w:tcPr>
            <w:tcW w:w="973" w:type="dxa"/>
            <w:tcBorders>
              <w:top w:val="single" w:color="auto" w:sz="6" w:space="0"/>
              <w:left w:val="single" w:color="auto" w:sz="6" w:space="0"/>
              <w:bottom w:val="single" w:color="auto" w:sz="6" w:space="0"/>
              <w:right w:val="single" w:color="auto" w:sz="6" w:space="0"/>
            </w:tcBorders>
            <w:noWrap w:val="0"/>
            <w:vAlign w:val="center"/>
          </w:tcPr>
          <w:p w14:paraId="621E8526">
            <w:pPr>
              <w:jc w:val="center"/>
              <w:rPr>
                <w:rFonts w:hint="eastAsia" w:ascii="宋体" w:hAnsi="宋体"/>
                <w:szCs w:val="21"/>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7090B392">
            <w:pPr>
              <w:jc w:val="center"/>
              <w:rPr>
                <w:rFonts w:hint="eastAsia" w:ascii="宋体" w:hAnsi="宋体"/>
                <w:b/>
              </w:rPr>
            </w:pPr>
          </w:p>
        </w:tc>
      </w:tr>
      <w:tr w14:paraId="384EA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334BD039">
            <w:pPr>
              <w:keepNext w:val="0"/>
              <w:keepLines w:val="0"/>
              <w:widowControl/>
              <w:suppressLineNumbers w:val="0"/>
              <w:jc w:val="center"/>
              <w:textAlignment w:val="center"/>
              <w:rPr>
                <w:rFonts w:hint="eastAsia" w:ascii="宋体" w:hAnsi="宋体" w:cs="宋体"/>
                <w:kern w:val="0"/>
                <w:szCs w:val="21"/>
              </w:rPr>
            </w:pPr>
          </w:p>
        </w:tc>
        <w:tc>
          <w:tcPr>
            <w:tcW w:w="4533" w:type="dxa"/>
            <w:tcBorders>
              <w:top w:val="single" w:color="auto" w:sz="6" w:space="0"/>
              <w:left w:val="single" w:color="auto" w:sz="6" w:space="0"/>
              <w:bottom w:val="single" w:color="auto" w:sz="6" w:space="0"/>
              <w:right w:val="single" w:color="auto" w:sz="6" w:space="0"/>
            </w:tcBorders>
            <w:noWrap w:val="0"/>
            <w:vAlign w:val="center"/>
          </w:tcPr>
          <w:p w14:paraId="749AA827">
            <w:pPr>
              <w:keepNext w:val="0"/>
              <w:keepLines w:val="0"/>
              <w:widowControl/>
              <w:suppressLineNumbers w:val="0"/>
              <w:jc w:val="left"/>
              <w:textAlignment w:val="center"/>
              <w:rPr>
                <w:rFonts w:hint="eastAsia" w:ascii="宋体" w:hAnsi="宋体" w:cs="宋体"/>
                <w:kern w:val="0"/>
                <w:szCs w:val="21"/>
              </w:rPr>
            </w:pPr>
          </w:p>
        </w:tc>
        <w:tc>
          <w:tcPr>
            <w:tcW w:w="855" w:type="dxa"/>
            <w:tcBorders>
              <w:top w:val="single" w:color="auto" w:sz="6" w:space="0"/>
              <w:left w:val="single" w:color="auto" w:sz="6" w:space="0"/>
              <w:bottom w:val="single" w:color="auto" w:sz="6" w:space="0"/>
              <w:right w:val="single" w:color="auto" w:sz="6" w:space="0"/>
            </w:tcBorders>
            <w:noWrap w:val="0"/>
            <w:vAlign w:val="center"/>
          </w:tcPr>
          <w:p w14:paraId="466E1FE2">
            <w:pPr>
              <w:keepNext w:val="0"/>
              <w:keepLines w:val="0"/>
              <w:widowControl/>
              <w:suppressLineNumbers w:val="0"/>
              <w:jc w:val="center"/>
              <w:textAlignment w:val="center"/>
              <w:rPr>
                <w:rFonts w:hint="eastAsia" w:ascii="宋体" w:hAnsi="宋体" w:cs="宋体"/>
                <w:kern w:val="0"/>
                <w:szCs w:val="21"/>
              </w:rPr>
            </w:pPr>
          </w:p>
        </w:tc>
        <w:tc>
          <w:tcPr>
            <w:tcW w:w="918" w:type="dxa"/>
            <w:tcBorders>
              <w:top w:val="single" w:color="auto" w:sz="6" w:space="0"/>
              <w:left w:val="single" w:color="auto" w:sz="6" w:space="0"/>
              <w:bottom w:val="single" w:color="auto" w:sz="6" w:space="0"/>
              <w:right w:val="single" w:color="auto" w:sz="6" w:space="0"/>
            </w:tcBorders>
            <w:noWrap w:val="0"/>
            <w:vAlign w:val="center"/>
          </w:tcPr>
          <w:p w14:paraId="15E60162">
            <w:pPr>
              <w:keepNext w:val="0"/>
              <w:keepLines w:val="0"/>
              <w:widowControl/>
              <w:suppressLineNumbers w:val="0"/>
              <w:jc w:val="right"/>
              <w:textAlignment w:val="center"/>
              <w:rPr>
                <w:rFonts w:hint="eastAsia" w:ascii="宋体" w:hAnsi="宋体" w:cs="宋体"/>
                <w:kern w:val="0"/>
                <w:szCs w:val="21"/>
              </w:rPr>
            </w:pPr>
          </w:p>
        </w:tc>
        <w:tc>
          <w:tcPr>
            <w:tcW w:w="973" w:type="dxa"/>
            <w:tcBorders>
              <w:top w:val="single" w:color="auto" w:sz="6" w:space="0"/>
              <w:left w:val="single" w:color="auto" w:sz="6" w:space="0"/>
              <w:bottom w:val="single" w:color="auto" w:sz="6" w:space="0"/>
              <w:right w:val="single" w:color="auto" w:sz="6" w:space="0"/>
            </w:tcBorders>
            <w:noWrap w:val="0"/>
            <w:vAlign w:val="center"/>
          </w:tcPr>
          <w:p w14:paraId="4549A771">
            <w:pPr>
              <w:jc w:val="center"/>
              <w:rPr>
                <w:rFonts w:hint="eastAsia" w:ascii="宋体" w:hAnsi="宋体"/>
                <w:szCs w:val="21"/>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6F0E73CF">
            <w:pPr>
              <w:jc w:val="center"/>
              <w:rPr>
                <w:rFonts w:hint="eastAsia" w:ascii="宋体" w:hAnsi="宋体"/>
                <w:b/>
              </w:rPr>
            </w:pPr>
          </w:p>
        </w:tc>
      </w:tr>
      <w:tr w14:paraId="5C91D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06524D85">
            <w:pPr>
              <w:keepNext w:val="0"/>
              <w:keepLines w:val="0"/>
              <w:widowControl/>
              <w:suppressLineNumbers w:val="0"/>
              <w:jc w:val="center"/>
              <w:textAlignment w:val="center"/>
              <w:rPr>
                <w:rFonts w:hint="eastAsia" w:ascii="宋体" w:hAnsi="宋体" w:cs="宋体"/>
                <w:kern w:val="0"/>
                <w:szCs w:val="21"/>
              </w:rPr>
            </w:pPr>
          </w:p>
        </w:tc>
        <w:tc>
          <w:tcPr>
            <w:tcW w:w="4533" w:type="dxa"/>
            <w:tcBorders>
              <w:top w:val="single" w:color="auto" w:sz="6" w:space="0"/>
              <w:left w:val="single" w:color="auto" w:sz="6" w:space="0"/>
              <w:bottom w:val="single" w:color="auto" w:sz="6" w:space="0"/>
              <w:right w:val="single" w:color="auto" w:sz="6" w:space="0"/>
            </w:tcBorders>
            <w:noWrap w:val="0"/>
            <w:vAlign w:val="center"/>
          </w:tcPr>
          <w:p w14:paraId="5F10CC00">
            <w:pPr>
              <w:keepNext w:val="0"/>
              <w:keepLines w:val="0"/>
              <w:widowControl/>
              <w:suppressLineNumbers w:val="0"/>
              <w:jc w:val="left"/>
              <w:textAlignment w:val="center"/>
              <w:rPr>
                <w:rFonts w:hint="eastAsia" w:ascii="宋体" w:hAnsi="宋体" w:cs="宋体"/>
                <w:kern w:val="0"/>
                <w:szCs w:val="21"/>
              </w:rPr>
            </w:pPr>
          </w:p>
        </w:tc>
        <w:tc>
          <w:tcPr>
            <w:tcW w:w="855" w:type="dxa"/>
            <w:tcBorders>
              <w:top w:val="single" w:color="auto" w:sz="6" w:space="0"/>
              <w:left w:val="single" w:color="auto" w:sz="6" w:space="0"/>
              <w:bottom w:val="single" w:color="auto" w:sz="6" w:space="0"/>
              <w:right w:val="single" w:color="auto" w:sz="6" w:space="0"/>
            </w:tcBorders>
            <w:noWrap w:val="0"/>
            <w:vAlign w:val="center"/>
          </w:tcPr>
          <w:p w14:paraId="577269AB">
            <w:pPr>
              <w:jc w:val="center"/>
              <w:rPr>
                <w:rFonts w:hint="eastAsia" w:ascii="宋体" w:hAnsi="宋体" w:cs="宋体"/>
                <w:kern w:val="0"/>
                <w:szCs w:val="21"/>
              </w:rPr>
            </w:pPr>
          </w:p>
        </w:tc>
        <w:tc>
          <w:tcPr>
            <w:tcW w:w="918" w:type="dxa"/>
            <w:tcBorders>
              <w:top w:val="single" w:color="auto" w:sz="6" w:space="0"/>
              <w:left w:val="single" w:color="auto" w:sz="6" w:space="0"/>
              <w:bottom w:val="single" w:color="auto" w:sz="6" w:space="0"/>
              <w:right w:val="single" w:color="auto" w:sz="6" w:space="0"/>
            </w:tcBorders>
            <w:noWrap w:val="0"/>
            <w:vAlign w:val="center"/>
          </w:tcPr>
          <w:p w14:paraId="247433A5">
            <w:pPr>
              <w:jc w:val="right"/>
              <w:rPr>
                <w:rFonts w:hint="eastAsia" w:ascii="宋体" w:hAnsi="宋体" w:cs="宋体"/>
                <w:kern w:val="0"/>
                <w:szCs w:val="21"/>
              </w:rPr>
            </w:pPr>
          </w:p>
        </w:tc>
        <w:tc>
          <w:tcPr>
            <w:tcW w:w="973" w:type="dxa"/>
            <w:tcBorders>
              <w:top w:val="single" w:color="auto" w:sz="6" w:space="0"/>
              <w:left w:val="single" w:color="auto" w:sz="6" w:space="0"/>
              <w:bottom w:val="single" w:color="auto" w:sz="6" w:space="0"/>
              <w:right w:val="single" w:color="auto" w:sz="6" w:space="0"/>
            </w:tcBorders>
            <w:noWrap w:val="0"/>
            <w:vAlign w:val="center"/>
          </w:tcPr>
          <w:p w14:paraId="404E9EC0">
            <w:pPr>
              <w:jc w:val="center"/>
              <w:rPr>
                <w:rFonts w:hint="eastAsia" w:ascii="宋体" w:hAnsi="宋体"/>
                <w:szCs w:val="21"/>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13E0378A">
            <w:pPr>
              <w:jc w:val="center"/>
              <w:rPr>
                <w:rFonts w:hint="eastAsia" w:ascii="宋体" w:hAnsi="宋体"/>
                <w:b/>
              </w:rPr>
            </w:pPr>
          </w:p>
        </w:tc>
      </w:tr>
      <w:tr w14:paraId="45110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19228588">
            <w:pPr>
              <w:keepNext w:val="0"/>
              <w:keepLines w:val="0"/>
              <w:widowControl/>
              <w:suppressLineNumbers w:val="0"/>
              <w:jc w:val="center"/>
              <w:textAlignment w:val="center"/>
              <w:rPr>
                <w:rFonts w:hint="eastAsia" w:ascii="宋体" w:hAnsi="宋体" w:cs="宋体"/>
                <w:kern w:val="0"/>
                <w:szCs w:val="21"/>
              </w:rPr>
            </w:pPr>
          </w:p>
        </w:tc>
        <w:tc>
          <w:tcPr>
            <w:tcW w:w="4533" w:type="dxa"/>
            <w:tcBorders>
              <w:top w:val="single" w:color="auto" w:sz="6" w:space="0"/>
              <w:left w:val="single" w:color="auto" w:sz="6" w:space="0"/>
              <w:bottom w:val="single" w:color="auto" w:sz="6" w:space="0"/>
              <w:right w:val="single" w:color="auto" w:sz="6" w:space="0"/>
            </w:tcBorders>
            <w:noWrap w:val="0"/>
            <w:vAlign w:val="center"/>
          </w:tcPr>
          <w:p w14:paraId="131AA37F">
            <w:pPr>
              <w:keepNext w:val="0"/>
              <w:keepLines w:val="0"/>
              <w:widowControl/>
              <w:suppressLineNumbers w:val="0"/>
              <w:jc w:val="left"/>
              <w:textAlignment w:val="center"/>
              <w:rPr>
                <w:rFonts w:hint="eastAsia" w:ascii="宋体" w:hAnsi="宋体" w:cs="宋体"/>
                <w:kern w:val="0"/>
                <w:szCs w:val="21"/>
              </w:rPr>
            </w:pPr>
          </w:p>
        </w:tc>
        <w:tc>
          <w:tcPr>
            <w:tcW w:w="855" w:type="dxa"/>
            <w:tcBorders>
              <w:top w:val="single" w:color="auto" w:sz="6" w:space="0"/>
              <w:left w:val="single" w:color="auto" w:sz="6" w:space="0"/>
              <w:bottom w:val="single" w:color="auto" w:sz="6" w:space="0"/>
              <w:right w:val="single" w:color="auto" w:sz="6" w:space="0"/>
            </w:tcBorders>
            <w:noWrap w:val="0"/>
            <w:vAlign w:val="center"/>
          </w:tcPr>
          <w:p w14:paraId="628FDE7B">
            <w:pPr>
              <w:keepNext w:val="0"/>
              <w:keepLines w:val="0"/>
              <w:widowControl/>
              <w:suppressLineNumbers w:val="0"/>
              <w:jc w:val="center"/>
              <w:textAlignment w:val="center"/>
              <w:rPr>
                <w:rFonts w:hint="eastAsia" w:ascii="宋体" w:hAnsi="宋体" w:cs="宋体"/>
                <w:kern w:val="0"/>
                <w:szCs w:val="21"/>
              </w:rPr>
            </w:pPr>
          </w:p>
        </w:tc>
        <w:tc>
          <w:tcPr>
            <w:tcW w:w="918" w:type="dxa"/>
            <w:tcBorders>
              <w:top w:val="single" w:color="auto" w:sz="6" w:space="0"/>
              <w:left w:val="single" w:color="auto" w:sz="6" w:space="0"/>
              <w:bottom w:val="single" w:color="auto" w:sz="6" w:space="0"/>
              <w:right w:val="single" w:color="auto" w:sz="6" w:space="0"/>
            </w:tcBorders>
            <w:noWrap w:val="0"/>
            <w:vAlign w:val="center"/>
          </w:tcPr>
          <w:p w14:paraId="20653337">
            <w:pPr>
              <w:keepNext w:val="0"/>
              <w:keepLines w:val="0"/>
              <w:widowControl/>
              <w:suppressLineNumbers w:val="0"/>
              <w:jc w:val="right"/>
              <w:textAlignment w:val="center"/>
              <w:rPr>
                <w:rFonts w:hint="eastAsia" w:ascii="宋体" w:hAnsi="宋体" w:cs="宋体"/>
                <w:kern w:val="0"/>
                <w:szCs w:val="21"/>
              </w:rPr>
            </w:pPr>
          </w:p>
        </w:tc>
        <w:tc>
          <w:tcPr>
            <w:tcW w:w="973" w:type="dxa"/>
            <w:tcBorders>
              <w:top w:val="single" w:color="auto" w:sz="6" w:space="0"/>
              <w:left w:val="single" w:color="auto" w:sz="6" w:space="0"/>
              <w:bottom w:val="single" w:color="auto" w:sz="6" w:space="0"/>
              <w:right w:val="single" w:color="auto" w:sz="6" w:space="0"/>
            </w:tcBorders>
            <w:noWrap w:val="0"/>
            <w:vAlign w:val="center"/>
          </w:tcPr>
          <w:p w14:paraId="38AE3041">
            <w:pPr>
              <w:jc w:val="center"/>
              <w:rPr>
                <w:rFonts w:hint="eastAsia" w:ascii="宋体" w:hAnsi="宋体"/>
                <w:szCs w:val="21"/>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3AD6A47D">
            <w:pPr>
              <w:jc w:val="center"/>
              <w:rPr>
                <w:rFonts w:hint="eastAsia" w:ascii="宋体" w:hAnsi="宋体"/>
                <w:b/>
              </w:rPr>
            </w:pPr>
          </w:p>
        </w:tc>
      </w:tr>
      <w:tr w14:paraId="60965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14:paraId="15C6ABD9">
            <w:pPr>
              <w:keepNext w:val="0"/>
              <w:keepLines w:val="0"/>
              <w:widowControl/>
              <w:suppressLineNumbers w:val="0"/>
              <w:jc w:val="center"/>
              <w:textAlignment w:val="center"/>
              <w:rPr>
                <w:rFonts w:hint="eastAsia" w:ascii="宋体" w:hAnsi="宋体" w:cs="宋体"/>
                <w:szCs w:val="21"/>
              </w:rPr>
            </w:pPr>
          </w:p>
        </w:tc>
        <w:tc>
          <w:tcPr>
            <w:tcW w:w="4533" w:type="dxa"/>
            <w:tcBorders>
              <w:top w:val="single" w:color="auto" w:sz="6" w:space="0"/>
              <w:left w:val="single" w:color="auto" w:sz="6" w:space="0"/>
              <w:bottom w:val="single" w:color="auto" w:sz="6" w:space="0"/>
              <w:right w:val="single" w:color="auto" w:sz="6" w:space="0"/>
            </w:tcBorders>
            <w:noWrap w:val="0"/>
            <w:vAlign w:val="center"/>
          </w:tcPr>
          <w:p w14:paraId="47B30835">
            <w:pPr>
              <w:keepNext w:val="0"/>
              <w:keepLines w:val="0"/>
              <w:widowControl/>
              <w:suppressLineNumbers w:val="0"/>
              <w:jc w:val="left"/>
              <w:textAlignment w:val="center"/>
              <w:rPr>
                <w:rFonts w:hint="eastAsia" w:ascii="宋体" w:hAnsi="宋体" w:cs="宋体"/>
                <w:szCs w:val="21"/>
              </w:rPr>
            </w:pPr>
          </w:p>
        </w:tc>
        <w:tc>
          <w:tcPr>
            <w:tcW w:w="855" w:type="dxa"/>
            <w:tcBorders>
              <w:top w:val="single" w:color="auto" w:sz="6" w:space="0"/>
              <w:left w:val="single" w:color="auto" w:sz="6" w:space="0"/>
              <w:bottom w:val="single" w:color="auto" w:sz="6" w:space="0"/>
              <w:right w:val="single" w:color="auto" w:sz="6" w:space="0"/>
            </w:tcBorders>
            <w:noWrap w:val="0"/>
            <w:vAlign w:val="center"/>
          </w:tcPr>
          <w:p w14:paraId="5BE5072C">
            <w:pPr>
              <w:keepNext w:val="0"/>
              <w:keepLines w:val="0"/>
              <w:widowControl/>
              <w:suppressLineNumbers w:val="0"/>
              <w:jc w:val="center"/>
              <w:textAlignment w:val="center"/>
              <w:rPr>
                <w:rFonts w:hint="eastAsia" w:ascii="宋体" w:hAnsi="宋体" w:cs="宋体"/>
                <w:szCs w:val="21"/>
              </w:rPr>
            </w:pPr>
          </w:p>
        </w:tc>
        <w:tc>
          <w:tcPr>
            <w:tcW w:w="918" w:type="dxa"/>
            <w:tcBorders>
              <w:top w:val="single" w:color="auto" w:sz="6" w:space="0"/>
              <w:left w:val="single" w:color="auto" w:sz="6" w:space="0"/>
              <w:bottom w:val="single" w:color="auto" w:sz="6" w:space="0"/>
              <w:right w:val="single" w:color="auto" w:sz="6" w:space="0"/>
            </w:tcBorders>
            <w:noWrap w:val="0"/>
            <w:vAlign w:val="center"/>
          </w:tcPr>
          <w:p w14:paraId="0342B1DC">
            <w:pPr>
              <w:keepNext w:val="0"/>
              <w:keepLines w:val="0"/>
              <w:widowControl/>
              <w:suppressLineNumbers w:val="0"/>
              <w:jc w:val="right"/>
              <w:textAlignment w:val="center"/>
              <w:rPr>
                <w:rFonts w:hint="eastAsia" w:ascii="宋体" w:hAnsi="宋体"/>
              </w:rPr>
            </w:pPr>
          </w:p>
        </w:tc>
        <w:tc>
          <w:tcPr>
            <w:tcW w:w="973" w:type="dxa"/>
            <w:tcBorders>
              <w:top w:val="single" w:color="auto" w:sz="6" w:space="0"/>
              <w:left w:val="single" w:color="auto" w:sz="6" w:space="0"/>
              <w:bottom w:val="single" w:color="auto" w:sz="6" w:space="0"/>
              <w:right w:val="single" w:color="auto" w:sz="6" w:space="0"/>
            </w:tcBorders>
            <w:noWrap w:val="0"/>
            <w:vAlign w:val="center"/>
          </w:tcPr>
          <w:p w14:paraId="5E804CDC">
            <w:pPr>
              <w:jc w:val="center"/>
              <w:rPr>
                <w:rFonts w:hint="eastAsia" w:ascii="宋体" w:hAnsi="宋体"/>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14:paraId="0EF6CCFF">
            <w:pPr>
              <w:jc w:val="center"/>
              <w:rPr>
                <w:rFonts w:hint="eastAsia" w:ascii="宋体" w:hAnsi="宋体"/>
              </w:rPr>
            </w:pPr>
          </w:p>
        </w:tc>
      </w:tr>
      <w:tr w14:paraId="3BEBF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9162" w:type="dxa"/>
            <w:gridSpan w:val="6"/>
            <w:tcBorders>
              <w:top w:val="single" w:color="auto" w:sz="6" w:space="0"/>
              <w:left w:val="single" w:color="auto" w:sz="12" w:space="0"/>
              <w:bottom w:val="single" w:color="auto" w:sz="12" w:space="0"/>
              <w:right w:val="single" w:color="auto" w:sz="12" w:space="0"/>
            </w:tcBorders>
            <w:noWrap w:val="0"/>
            <w:vAlign w:val="center"/>
          </w:tcPr>
          <w:p w14:paraId="7B47C404">
            <w:pPr>
              <w:ind w:firstLine="1973" w:firstLineChars="936"/>
              <w:rPr>
                <w:rFonts w:hint="eastAsia" w:ascii="宋体" w:hAnsi="宋体"/>
                <w:b/>
                <w:bCs/>
                <w:u w:val="single"/>
              </w:rPr>
            </w:pPr>
            <w:r>
              <w:rPr>
                <w:rFonts w:hint="eastAsia" w:ascii="宋体" w:hAnsi="宋体"/>
                <w:b/>
                <w:bCs/>
              </w:rPr>
              <w:t>清单100章合计   人民币</w:t>
            </w:r>
            <w:r>
              <w:rPr>
                <w:rFonts w:hint="eastAsia" w:ascii="宋体" w:hAnsi="宋体"/>
                <w:b/>
                <w:bCs/>
                <w:u w:val="single"/>
              </w:rPr>
              <w:t xml:space="preserve">           </w:t>
            </w:r>
            <w:r>
              <w:rPr>
                <w:rFonts w:hint="eastAsia" w:ascii="宋体" w:hAnsi="宋体"/>
                <w:b/>
                <w:bCs/>
              </w:rPr>
              <w:t>元</w:t>
            </w:r>
          </w:p>
        </w:tc>
      </w:tr>
    </w:tbl>
    <w:p w14:paraId="3FAA3F49">
      <w:pPr>
        <w:spacing w:before="240" w:beforeLines="100" w:after="240" w:afterLines="100"/>
        <w:jc w:val="center"/>
        <w:rPr>
          <w:rFonts w:hint="eastAsia" w:ascii="黑体" w:hAnsi="宋体" w:eastAsia="黑体"/>
          <w:sz w:val="30"/>
          <w:szCs w:val="30"/>
        </w:rPr>
      </w:pPr>
    </w:p>
    <w:p w14:paraId="577189D3">
      <w:pPr>
        <w:spacing w:before="240" w:beforeLines="100" w:after="240" w:afterLines="100"/>
        <w:jc w:val="center"/>
        <w:rPr>
          <w:rFonts w:hint="eastAsia" w:ascii="黑体" w:hAnsi="宋体" w:eastAsia="黑体"/>
          <w:sz w:val="30"/>
          <w:szCs w:val="30"/>
        </w:rPr>
      </w:pPr>
    </w:p>
    <w:p w14:paraId="7B1D97E8">
      <w:pPr>
        <w:spacing w:before="240" w:beforeLines="100" w:after="240" w:afterLines="100"/>
        <w:jc w:val="center"/>
        <w:rPr>
          <w:rFonts w:hint="eastAsia" w:ascii="黑体" w:hAnsi="宋体" w:eastAsia="黑体"/>
          <w:sz w:val="30"/>
          <w:szCs w:val="30"/>
        </w:rPr>
      </w:pPr>
      <w:r>
        <w:rPr>
          <w:rFonts w:hint="eastAsia" w:ascii="黑体" w:hAnsi="宋体" w:eastAsia="黑体"/>
          <w:sz w:val="30"/>
          <w:szCs w:val="30"/>
        </w:rPr>
        <w:t>工程量清单</w:t>
      </w:r>
    </w:p>
    <w:p w14:paraId="6F88C3FF">
      <w:pPr>
        <w:pStyle w:val="50"/>
        <w:ind w:left="0" w:leftChars="0" w:firstLine="0" w:firstLine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标项</w:t>
      </w:r>
      <w:r>
        <w:rPr>
          <w:rFonts w:hint="eastAsia" w:asciiTheme="minorEastAsia" w:hAnsiTheme="minorEastAsia" w:cstheme="minorEastAsia"/>
          <w:sz w:val="24"/>
          <w:szCs w:val="24"/>
          <w:lang w:val="en-US" w:eastAsia="zh-CN"/>
        </w:rPr>
        <w:t>2</w:t>
      </w:r>
      <w:r>
        <w:rPr>
          <w:rFonts w:hint="eastAsia" w:asciiTheme="minorEastAsia" w:hAnsiTheme="minorEastAsia" w:eastAsiaTheme="minorEastAsia" w:cstheme="minorEastAsia"/>
          <w:sz w:val="24"/>
          <w:szCs w:val="24"/>
        </w:rPr>
        <w:t>：</w:t>
      </w:r>
      <w:r>
        <w:rPr>
          <w:rFonts w:hint="eastAsia" w:asciiTheme="minorEastAsia" w:hAnsiTheme="minorEastAsia" w:cstheme="minorEastAsia"/>
          <w:sz w:val="24"/>
          <w:szCs w:val="24"/>
          <w:lang w:eastAsia="zh-CN"/>
        </w:rPr>
        <w:t>2026年秀洲区县道及以上公路小修及应急抢险项目</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第</w:t>
      </w:r>
      <w:r>
        <w:rPr>
          <w:rFonts w:hint="eastAsia" w:asciiTheme="minorEastAsia" w:hAnsiTheme="minorEastAsia" w:cstheme="minorEastAsia"/>
          <w:sz w:val="24"/>
          <w:szCs w:val="24"/>
          <w:lang w:val="en-US" w:eastAsia="zh-CN"/>
        </w:rPr>
        <w:t>二</w:t>
      </w:r>
      <w:r>
        <w:rPr>
          <w:rFonts w:hint="eastAsia" w:asciiTheme="minorEastAsia" w:hAnsiTheme="minorEastAsia" w:eastAsiaTheme="minorEastAsia" w:cstheme="minorEastAsia"/>
          <w:sz w:val="24"/>
          <w:szCs w:val="24"/>
          <w:lang w:eastAsia="zh-CN"/>
        </w:rPr>
        <w:t>标段）</w:t>
      </w:r>
    </w:p>
    <w:p w14:paraId="29A5A193">
      <w:pPr>
        <w:pStyle w:val="50"/>
        <w:ind w:left="0" w:leftChars="0" w:firstLine="0" w:firstLineChars="0"/>
        <w:rPr>
          <w:rFonts w:hint="eastAsia" w:ascii="黑体" w:hAnsi="宋体" w:eastAsia="黑体"/>
          <w:sz w:val="30"/>
          <w:szCs w:val="30"/>
        </w:rPr>
      </w:pPr>
      <w:r>
        <w:rPr>
          <w:rFonts w:hint="eastAsia" w:asciiTheme="minorEastAsia" w:hAnsiTheme="minorEastAsia" w:eastAsiaTheme="minorEastAsia" w:cstheme="minorEastAsia"/>
          <w:sz w:val="24"/>
          <w:szCs w:val="24"/>
        </w:rPr>
        <w:t>货币单位：人民币元</w:t>
      </w:r>
      <w:r>
        <w:tab/>
      </w:r>
    </w:p>
    <w:tbl>
      <w:tblPr>
        <w:tblStyle w:val="51"/>
        <w:tblW w:w="946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40"/>
        <w:gridCol w:w="4572"/>
        <w:gridCol w:w="899"/>
        <w:gridCol w:w="899"/>
        <w:gridCol w:w="1079"/>
        <w:gridCol w:w="1079"/>
      </w:tblGrid>
      <w:tr w14:paraId="3AD819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68" w:type="dxa"/>
            <w:gridSpan w:val="6"/>
            <w:noWrap w:val="0"/>
            <w:vAlign w:val="center"/>
          </w:tcPr>
          <w:p w14:paraId="64056746">
            <w:pPr>
              <w:ind w:firstLine="103" w:firstLineChars="49"/>
              <w:jc w:val="center"/>
              <w:rPr>
                <w:rFonts w:ascii="宋体" w:hAnsi="宋体"/>
                <w:b/>
                <w:bCs/>
              </w:rPr>
            </w:pPr>
            <w:r>
              <w:rPr>
                <w:rFonts w:hint="eastAsia" w:ascii="宋体" w:hAnsi="宋体"/>
                <w:b/>
                <w:bCs/>
              </w:rPr>
              <w:t>清单      第200章      路  基</w:t>
            </w:r>
          </w:p>
        </w:tc>
      </w:tr>
      <w:tr w14:paraId="7A7006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2C4AEE22">
            <w:pPr>
              <w:widowControl/>
              <w:jc w:val="left"/>
              <w:rPr>
                <w:rFonts w:ascii="宋体" w:hAnsi="宋体" w:cs="宋体"/>
                <w:kern w:val="0"/>
                <w:szCs w:val="21"/>
              </w:rPr>
            </w:pPr>
            <w:r>
              <w:rPr>
                <w:rFonts w:hint="eastAsia" w:ascii="宋体" w:hAnsi="宋体" w:cs="宋体"/>
                <w:kern w:val="0"/>
                <w:szCs w:val="21"/>
              </w:rPr>
              <w:t>子目号</w:t>
            </w:r>
          </w:p>
        </w:tc>
        <w:tc>
          <w:tcPr>
            <w:tcW w:w="4572" w:type="dxa"/>
            <w:noWrap w:val="0"/>
            <w:vAlign w:val="center"/>
          </w:tcPr>
          <w:p w14:paraId="3E6AD9A2">
            <w:pPr>
              <w:widowControl/>
              <w:jc w:val="center"/>
              <w:rPr>
                <w:rFonts w:ascii="宋体" w:hAnsi="宋体" w:cs="宋体"/>
                <w:kern w:val="0"/>
                <w:szCs w:val="21"/>
              </w:rPr>
            </w:pPr>
            <w:r>
              <w:rPr>
                <w:rFonts w:hint="eastAsia" w:ascii="宋体" w:hAnsi="宋体" w:cs="宋体"/>
                <w:kern w:val="0"/>
                <w:szCs w:val="21"/>
              </w:rPr>
              <w:t>子  目  名  称</w:t>
            </w:r>
          </w:p>
        </w:tc>
        <w:tc>
          <w:tcPr>
            <w:tcW w:w="899" w:type="dxa"/>
            <w:noWrap w:val="0"/>
            <w:vAlign w:val="center"/>
          </w:tcPr>
          <w:p w14:paraId="70921A39">
            <w:pPr>
              <w:widowControl/>
              <w:jc w:val="center"/>
              <w:rPr>
                <w:rFonts w:ascii="宋体" w:hAnsi="宋体" w:cs="宋体"/>
                <w:kern w:val="0"/>
                <w:szCs w:val="21"/>
              </w:rPr>
            </w:pPr>
            <w:r>
              <w:rPr>
                <w:rFonts w:hint="eastAsia" w:ascii="宋体" w:hAnsi="宋体" w:cs="宋体"/>
                <w:kern w:val="0"/>
                <w:szCs w:val="21"/>
              </w:rPr>
              <w:t>单位</w:t>
            </w:r>
          </w:p>
        </w:tc>
        <w:tc>
          <w:tcPr>
            <w:tcW w:w="899" w:type="dxa"/>
            <w:noWrap w:val="0"/>
            <w:vAlign w:val="center"/>
          </w:tcPr>
          <w:p w14:paraId="1805DFDF">
            <w:pPr>
              <w:widowControl/>
              <w:jc w:val="center"/>
              <w:rPr>
                <w:rFonts w:ascii="宋体" w:hAnsi="宋体" w:cs="宋体"/>
                <w:kern w:val="0"/>
                <w:szCs w:val="21"/>
              </w:rPr>
            </w:pPr>
            <w:r>
              <w:rPr>
                <w:rFonts w:hint="eastAsia" w:ascii="宋体" w:hAnsi="宋体" w:cs="宋体"/>
                <w:kern w:val="0"/>
                <w:szCs w:val="21"/>
              </w:rPr>
              <w:t>数量</w:t>
            </w:r>
          </w:p>
        </w:tc>
        <w:tc>
          <w:tcPr>
            <w:tcW w:w="1079" w:type="dxa"/>
            <w:noWrap w:val="0"/>
            <w:vAlign w:val="center"/>
          </w:tcPr>
          <w:p w14:paraId="21B48AD6">
            <w:pPr>
              <w:widowControl/>
              <w:jc w:val="center"/>
              <w:rPr>
                <w:rFonts w:ascii="宋体" w:hAnsi="宋体" w:cs="宋体"/>
                <w:kern w:val="0"/>
                <w:szCs w:val="21"/>
              </w:rPr>
            </w:pPr>
            <w:r>
              <w:rPr>
                <w:rFonts w:hint="eastAsia" w:ascii="宋体" w:hAnsi="宋体" w:cs="宋体"/>
                <w:kern w:val="0"/>
                <w:szCs w:val="21"/>
              </w:rPr>
              <w:t>单价</w:t>
            </w:r>
          </w:p>
        </w:tc>
        <w:tc>
          <w:tcPr>
            <w:tcW w:w="1079" w:type="dxa"/>
            <w:noWrap w:val="0"/>
            <w:vAlign w:val="center"/>
          </w:tcPr>
          <w:p w14:paraId="14B1C27F">
            <w:pPr>
              <w:widowControl/>
              <w:jc w:val="center"/>
              <w:rPr>
                <w:rFonts w:ascii="宋体" w:hAnsi="宋体" w:cs="宋体"/>
                <w:kern w:val="0"/>
                <w:szCs w:val="21"/>
              </w:rPr>
            </w:pPr>
            <w:r>
              <w:rPr>
                <w:rFonts w:hint="eastAsia" w:ascii="宋体" w:hAnsi="宋体" w:cs="宋体"/>
                <w:kern w:val="0"/>
                <w:szCs w:val="21"/>
              </w:rPr>
              <w:t>合价</w:t>
            </w:r>
          </w:p>
        </w:tc>
      </w:tr>
      <w:tr w14:paraId="56A2E1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3660EF8A">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202</w:t>
            </w:r>
          </w:p>
        </w:tc>
        <w:tc>
          <w:tcPr>
            <w:tcW w:w="4572" w:type="dxa"/>
            <w:noWrap w:val="0"/>
            <w:vAlign w:val="center"/>
          </w:tcPr>
          <w:p w14:paraId="5ECC6216">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维修</w:t>
            </w:r>
          </w:p>
        </w:tc>
        <w:tc>
          <w:tcPr>
            <w:tcW w:w="899" w:type="dxa"/>
            <w:noWrap w:val="0"/>
            <w:vAlign w:val="center"/>
          </w:tcPr>
          <w:p w14:paraId="0BE7493D">
            <w:pPr>
              <w:jc w:val="center"/>
              <w:rPr>
                <w:rFonts w:hint="eastAsia" w:ascii="宋体" w:hAnsi="宋体" w:cs="宋体"/>
                <w:kern w:val="0"/>
                <w:sz w:val="21"/>
                <w:szCs w:val="21"/>
              </w:rPr>
            </w:pPr>
          </w:p>
        </w:tc>
        <w:tc>
          <w:tcPr>
            <w:tcW w:w="899" w:type="dxa"/>
            <w:noWrap w:val="0"/>
            <w:vAlign w:val="center"/>
          </w:tcPr>
          <w:p w14:paraId="09030A53">
            <w:pPr>
              <w:jc w:val="right"/>
              <w:rPr>
                <w:rFonts w:hint="eastAsia" w:ascii="宋体" w:hAnsi="宋体" w:cs="宋体"/>
                <w:kern w:val="0"/>
                <w:sz w:val="21"/>
                <w:szCs w:val="21"/>
              </w:rPr>
            </w:pPr>
          </w:p>
        </w:tc>
        <w:tc>
          <w:tcPr>
            <w:tcW w:w="1079" w:type="dxa"/>
            <w:noWrap w:val="0"/>
            <w:vAlign w:val="center"/>
          </w:tcPr>
          <w:p w14:paraId="6CED9B91">
            <w:pPr>
              <w:widowControl/>
              <w:jc w:val="center"/>
              <w:rPr>
                <w:rFonts w:hint="eastAsia" w:ascii="宋体" w:hAnsi="宋体" w:cs="宋体"/>
                <w:kern w:val="0"/>
                <w:szCs w:val="21"/>
              </w:rPr>
            </w:pPr>
          </w:p>
        </w:tc>
        <w:tc>
          <w:tcPr>
            <w:tcW w:w="1079" w:type="dxa"/>
            <w:noWrap w:val="0"/>
            <w:vAlign w:val="center"/>
          </w:tcPr>
          <w:p w14:paraId="37D5C1E9">
            <w:pPr>
              <w:widowControl/>
              <w:jc w:val="center"/>
              <w:rPr>
                <w:rFonts w:hint="eastAsia" w:ascii="宋体" w:hAnsi="宋体" w:cs="宋体"/>
                <w:kern w:val="0"/>
                <w:szCs w:val="21"/>
              </w:rPr>
            </w:pPr>
          </w:p>
        </w:tc>
      </w:tr>
      <w:tr w14:paraId="10CAC3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06A3DBED">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202-8</w:t>
            </w:r>
          </w:p>
        </w:tc>
        <w:tc>
          <w:tcPr>
            <w:tcW w:w="4572" w:type="dxa"/>
            <w:noWrap w:val="0"/>
            <w:vAlign w:val="center"/>
          </w:tcPr>
          <w:p w14:paraId="6932308D">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宕渣</w:t>
            </w:r>
          </w:p>
        </w:tc>
        <w:tc>
          <w:tcPr>
            <w:tcW w:w="899" w:type="dxa"/>
            <w:noWrap w:val="0"/>
            <w:vAlign w:val="center"/>
          </w:tcPr>
          <w:p w14:paraId="41561CAB">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m3</w:t>
            </w:r>
          </w:p>
        </w:tc>
        <w:tc>
          <w:tcPr>
            <w:tcW w:w="899" w:type="dxa"/>
            <w:noWrap w:val="0"/>
            <w:vAlign w:val="center"/>
          </w:tcPr>
          <w:p w14:paraId="5553714B">
            <w:pPr>
              <w:keepNext w:val="0"/>
              <w:keepLines w:val="0"/>
              <w:widowControl/>
              <w:suppressLineNumbers w:val="0"/>
              <w:jc w:val="right"/>
              <w:textAlignment w:val="center"/>
              <w:rPr>
                <w:rFonts w:ascii="宋体" w:hAnsi="宋体" w:cs="宋体"/>
                <w:kern w:val="0"/>
                <w:sz w:val="21"/>
                <w:szCs w:val="21"/>
              </w:rPr>
            </w:pPr>
            <w:r>
              <w:rPr>
                <w:rFonts w:hint="eastAsia" w:ascii="Arial Narrow" w:hAnsi="Arial Narrow" w:eastAsia="Arial Narrow" w:cs="Arial Narrow"/>
                <w:i w:val="0"/>
                <w:iCs w:val="0"/>
                <w:color w:val="000000"/>
                <w:kern w:val="0"/>
                <w:sz w:val="21"/>
                <w:szCs w:val="21"/>
                <w:u w:val="none"/>
                <w:lang w:val="en-US" w:eastAsia="zh-CN" w:bidi="ar"/>
              </w:rPr>
              <w:t>25</w:t>
            </w:r>
            <w:r>
              <w:rPr>
                <w:rFonts w:hint="default" w:ascii="Arial Narrow" w:hAnsi="Arial Narrow" w:eastAsia="Arial Narrow" w:cs="Arial Narrow"/>
                <w:i w:val="0"/>
                <w:iCs w:val="0"/>
                <w:color w:val="000000"/>
                <w:kern w:val="0"/>
                <w:sz w:val="21"/>
                <w:szCs w:val="21"/>
                <w:u w:val="none"/>
                <w:lang w:val="en-US" w:eastAsia="zh-CN" w:bidi="ar"/>
              </w:rPr>
              <w:t>0</w:t>
            </w:r>
          </w:p>
        </w:tc>
        <w:tc>
          <w:tcPr>
            <w:tcW w:w="1079" w:type="dxa"/>
            <w:noWrap w:val="0"/>
            <w:vAlign w:val="center"/>
          </w:tcPr>
          <w:p w14:paraId="40DA6E79">
            <w:pPr>
              <w:widowControl/>
              <w:jc w:val="center"/>
              <w:rPr>
                <w:rFonts w:hint="eastAsia" w:ascii="宋体" w:hAnsi="宋体" w:cs="宋体"/>
                <w:kern w:val="0"/>
                <w:szCs w:val="21"/>
              </w:rPr>
            </w:pPr>
          </w:p>
        </w:tc>
        <w:tc>
          <w:tcPr>
            <w:tcW w:w="1079" w:type="dxa"/>
            <w:noWrap w:val="0"/>
            <w:vAlign w:val="center"/>
          </w:tcPr>
          <w:p w14:paraId="348852B7">
            <w:pPr>
              <w:widowControl/>
              <w:jc w:val="center"/>
              <w:rPr>
                <w:rFonts w:ascii="宋体" w:hAnsi="宋体" w:cs="宋体"/>
                <w:kern w:val="0"/>
                <w:szCs w:val="21"/>
              </w:rPr>
            </w:pPr>
          </w:p>
        </w:tc>
      </w:tr>
      <w:tr w14:paraId="08E2FD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6394799B">
            <w:pPr>
              <w:jc w:val="center"/>
              <w:rPr>
                <w:rFonts w:ascii="宋体" w:hAnsi="宋体" w:cs="Arial"/>
                <w:sz w:val="18"/>
                <w:szCs w:val="18"/>
              </w:rPr>
            </w:pPr>
          </w:p>
        </w:tc>
        <w:tc>
          <w:tcPr>
            <w:tcW w:w="4572" w:type="dxa"/>
            <w:noWrap w:val="0"/>
            <w:vAlign w:val="center"/>
          </w:tcPr>
          <w:p w14:paraId="55B74409">
            <w:pPr>
              <w:rPr>
                <w:rFonts w:ascii="宋体" w:hAnsi="宋体" w:cs="Arial"/>
                <w:sz w:val="18"/>
                <w:szCs w:val="18"/>
              </w:rPr>
            </w:pPr>
          </w:p>
        </w:tc>
        <w:tc>
          <w:tcPr>
            <w:tcW w:w="899" w:type="dxa"/>
            <w:noWrap w:val="0"/>
            <w:vAlign w:val="center"/>
          </w:tcPr>
          <w:p w14:paraId="3F81E3F5">
            <w:pPr>
              <w:jc w:val="center"/>
              <w:rPr>
                <w:rFonts w:ascii="宋体" w:hAnsi="宋体" w:cs="Arial"/>
                <w:sz w:val="18"/>
                <w:szCs w:val="18"/>
              </w:rPr>
            </w:pPr>
          </w:p>
        </w:tc>
        <w:tc>
          <w:tcPr>
            <w:tcW w:w="899" w:type="dxa"/>
            <w:noWrap w:val="0"/>
            <w:vAlign w:val="center"/>
          </w:tcPr>
          <w:p w14:paraId="0D16F854">
            <w:pPr>
              <w:jc w:val="right"/>
              <w:rPr>
                <w:rFonts w:ascii="宋体" w:hAnsi="宋体" w:cs="Arial"/>
                <w:sz w:val="16"/>
                <w:szCs w:val="16"/>
              </w:rPr>
            </w:pPr>
          </w:p>
        </w:tc>
        <w:tc>
          <w:tcPr>
            <w:tcW w:w="1079" w:type="dxa"/>
            <w:noWrap w:val="0"/>
            <w:vAlign w:val="center"/>
          </w:tcPr>
          <w:p w14:paraId="6C3745BA">
            <w:pPr>
              <w:widowControl/>
              <w:jc w:val="center"/>
              <w:rPr>
                <w:rFonts w:ascii="宋体" w:hAnsi="宋体" w:cs="宋体"/>
                <w:kern w:val="0"/>
                <w:szCs w:val="21"/>
              </w:rPr>
            </w:pPr>
          </w:p>
        </w:tc>
        <w:tc>
          <w:tcPr>
            <w:tcW w:w="1079" w:type="dxa"/>
            <w:noWrap w:val="0"/>
            <w:vAlign w:val="center"/>
          </w:tcPr>
          <w:p w14:paraId="32EF5AAA">
            <w:pPr>
              <w:widowControl/>
              <w:jc w:val="center"/>
              <w:rPr>
                <w:rFonts w:ascii="宋体" w:hAnsi="宋体" w:cs="宋体"/>
                <w:kern w:val="0"/>
                <w:szCs w:val="21"/>
              </w:rPr>
            </w:pPr>
          </w:p>
        </w:tc>
      </w:tr>
      <w:tr w14:paraId="616984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4F7FE911">
            <w:pPr>
              <w:jc w:val="center"/>
              <w:rPr>
                <w:rFonts w:ascii="宋体" w:hAnsi="宋体" w:cs="Arial"/>
                <w:sz w:val="18"/>
                <w:szCs w:val="18"/>
              </w:rPr>
            </w:pPr>
          </w:p>
        </w:tc>
        <w:tc>
          <w:tcPr>
            <w:tcW w:w="4572" w:type="dxa"/>
            <w:noWrap w:val="0"/>
            <w:vAlign w:val="center"/>
          </w:tcPr>
          <w:p w14:paraId="3768A3F3">
            <w:pPr>
              <w:rPr>
                <w:rFonts w:ascii="宋体" w:hAnsi="宋体" w:cs="Arial"/>
                <w:sz w:val="18"/>
                <w:szCs w:val="18"/>
              </w:rPr>
            </w:pPr>
          </w:p>
        </w:tc>
        <w:tc>
          <w:tcPr>
            <w:tcW w:w="899" w:type="dxa"/>
            <w:noWrap w:val="0"/>
            <w:vAlign w:val="center"/>
          </w:tcPr>
          <w:p w14:paraId="2756DA48">
            <w:pPr>
              <w:jc w:val="center"/>
              <w:rPr>
                <w:rFonts w:ascii="宋体" w:hAnsi="宋体" w:cs="Arial"/>
                <w:sz w:val="18"/>
                <w:szCs w:val="18"/>
              </w:rPr>
            </w:pPr>
          </w:p>
        </w:tc>
        <w:tc>
          <w:tcPr>
            <w:tcW w:w="899" w:type="dxa"/>
            <w:noWrap w:val="0"/>
            <w:vAlign w:val="center"/>
          </w:tcPr>
          <w:p w14:paraId="5496B52C">
            <w:pPr>
              <w:jc w:val="right"/>
              <w:rPr>
                <w:rFonts w:ascii="宋体" w:hAnsi="宋体" w:cs="Arial"/>
                <w:sz w:val="16"/>
                <w:szCs w:val="16"/>
              </w:rPr>
            </w:pPr>
          </w:p>
        </w:tc>
        <w:tc>
          <w:tcPr>
            <w:tcW w:w="1079" w:type="dxa"/>
            <w:noWrap w:val="0"/>
            <w:vAlign w:val="center"/>
          </w:tcPr>
          <w:p w14:paraId="6DC7053D">
            <w:pPr>
              <w:widowControl/>
              <w:jc w:val="center"/>
              <w:rPr>
                <w:rFonts w:ascii="宋体" w:hAnsi="宋体" w:cs="宋体"/>
                <w:kern w:val="0"/>
                <w:szCs w:val="21"/>
              </w:rPr>
            </w:pPr>
          </w:p>
        </w:tc>
        <w:tc>
          <w:tcPr>
            <w:tcW w:w="1079" w:type="dxa"/>
            <w:noWrap w:val="0"/>
            <w:vAlign w:val="center"/>
          </w:tcPr>
          <w:p w14:paraId="01C2AECA">
            <w:pPr>
              <w:widowControl/>
              <w:jc w:val="center"/>
              <w:rPr>
                <w:rFonts w:ascii="宋体" w:hAnsi="宋体" w:cs="宋体"/>
                <w:kern w:val="0"/>
                <w:szCs w:val="21"/>
              </w:rPr>
            </w:pPr>
          </w:p>
        </w:tc>
      </w:tr>
      <w:tr w14:paraId="464764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29ADA319">
            <w:pPr>
              <w:jc w:val="center"/>
              <w:rPr>
                <w:rFonts w:ascii="宋体" w:hAnsi="宋体" w:cs="Arial"/>
                <w:sz w:val="18"/>
                <w:szCs w:val="18"/>
              </w:rPr>
            </w:pPr>
          </w:p>
        </w:tc>
        <w:tc>
          <w:tcPr>
            <w:tcW w:w="4572" w:type="dxa"/>
            <w:noWrap w:val="0"/>
            <w:vAlign w:val="center"/>
          </w:tcPr>
          <w:p w14:paraId="5E425010">
            <w:pPr>
              <w:rPr>
                <w:rFonts w:ascii="宋体" w:hAnsi="宋体" w:cs="Arial"/>
                <w:sz w:val="18"/>
                <w:szCs w:val="18"/>
              </w:rPr>
            </w:pPr>
          </w:p>
        </w:tc>
        <w:tc>
          <w:tcPr>
            <w:tcW w:w="899" w:type="dxa"/>
            <w:noWrap w:val="0"/>
            <w:vAlign w:val="center"/>
          </w:tcPr>
          <w:p w14:paraId="4F5C1EFF">
            <w:pPr>
              <w:jc w:val="center"/>
              <w:rPr>
                <w:rFonts w:ascii="宋体" w:hAnsi="宋体" w:cs="Arial"/>
                <w:sz w:val="18"/>
                <w:szCs w:val="18"/>
              </w:rPr>
            </w:pPr>
          </w:p>
        </w:tc>
        <w:tc>
          <w:tcPr>
            <w:tcW w:w="899" w:type="dxa"/>
            <w:noWrap w:val="0"/>
            <w:vAlign w:val="center"/>
          </w:tcPr>
          <w:p w14:paraId="05D35B96">
            <w:pPr>
              <w:jc w:val="right"/>
              <w:rPr>
                <w:rFonts w:ascii="宋体" w:hAnsi="宋体" w:cs="Arial"/>
                <w:sz w:val="16"/>
                <w:szCs w:val="16"/>
              </w:rPr>
            </w:pPr>
          </w:p>
        </w:tc>
        <w:tc>
          <w:tcPr>
            <w:tcW w:w="1079" w:type="dxa"/>
            <w:noWrap w:val="0"/>
            <w:vAlign w:val="center"/>
          </w:tcPr>
          <w:p w14:paraId="435EBF92">
            <w:pPr>
              <w:widowControl/>
              <w:jc w:val="center"/>
              <w:rPr>
                <w:rFonts w:ascii="宋体" w:hAnsi="宋体" w:cs="宋体"/>
                <w:kern w:val="0"/>
                <w:szCs w:val="21"/>
              </w:rPr>
            </w:pPr>
          </w:p>
        </w:tc>
        <w:tc>
          <w:tcPr>
            <w:tcW w:w="1079" w:type="dxa"/>
            <w:noWrap w:val="0"/>
            <w:vAlign w:val="center"/>
          </w:tcPr>
          <w:p w14:paraId="175AFC98">
            <w:pPr>
              <w:widowControl/>
              <w:jc w:val="center"/>
              <w:rPr>
                <w:rFonts w:ascii="宋体" w:hAnsi="宋体" w:cs="宋体"/>
                <w:kern w:val="0"/>
                <w:szCs w:val="21"/>
              </w:rPr>
            </w:pPr>
          </w:p>
        </w:tc>
      </w:tr>
      <w:tr w14:paraId="2C0D60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32101E45">
            <w:pPr>
              <w:jc w:val="center"/>
              <w:rPr>
                <w:rFonts w:ascii="宋体" w:hAnsi="宋体" w:cs="Arial"/>
                <w:sz w:val="18"/>
                <w:szCs w:val="18"/>
              </w:rPr>
            </w:pPr>
          </w:p>
        </w:tc>
        <w:tc>
          <w:tcPr>
            <w:tcW w:w="4572" w:type="dxa"/>
            <w:noWrap w:val="0"/>
            <w:vAlign w:val="center"/>
          </w:tcPr>
          <w:p w14:paraId="29ADC63F">
            <w:pPr>
              <w:rPr>
                <w:rFonts w:ascii="宋体" w:hAnsi="宋体" w:cs="Arial"/>
                <w:sz w:val="18"/>
                <w:szCs w:val="18"/>
              </w:rPr>
            </w:pPr>
          </w:p>
        </w:tc>
        <w:tc>
          <w:tcPr>
            <w:tcW w:w="899" w:type="dxa"/>
            <w:noWrap w:val="0"/>
            <w:vAlign w:val="center"/>
          </w:tcPr>
          <w:p w14:paraId="512881F8">
            <w:pPr>
              <w:jc w:val="center"/>
              <w:rPr>
                <w:rFonts w:ascii="宋体" w:hAnsi="宋体" w:cs="Arial"/>
                <w:sz w:val="18"/>
                <w:szCs w:val="18"/>
              </w:rPr>
            </w:pPr>
          </w:p>
        </w:tc>
        <w:tc>
          <w:tcPr>
            <w:tcW w:w="899" w:type="dxa"/>
            <w:noWrap w:val="0"/>
            <w:vAlign w:val="center"/>
          </w:tcPr>
          <w:p w14:paraId="0FD22B78">
            <w:pPr>
              <w:jc w:val="right"/>
              <w:rPr>
                <w:rFonts w:ascii="宋体" w:hAnsi="宋体" w:cs="Arial"/>
                <w:sz w:val="16"/>
                <w:szCs w:val="16"/>
              </w:rPr>
            </w:pPr>
          </w:p>
        </w:tc>
        <w:tc>
          <w:tcPr>
            <w:tcW w:w="1079" w:type="dxa"/>
            <w:noWrap w:val="0"/>
            <w:vAlign w:val="center"/>
          </w:tcPr>
          <w:p w14:paraId="6EFFF3F8">
            <w:pPr>
              <w:widowControl/>
              <w:jc w:val="center"/>
              <w:rPr>
                <w:rFonts w:ascii="宋体" w:hAnsi="宋体" w:cs="宋体"/>
                <w:kern w:val="0"/>
                <w:szCs w:val="21"/>
              </w:rPr>
            </w:pPr>
          </w:p>
        </w:tc>
        <w:tc>
          <w:tcPr>
            <w:tcW w:w="1079" w:type="dxa"/>
            <w:noWrap w:val="0"/>
            <w:vAlign w:val="center"/>
          </w:tcPr>
          <w:p w14:paraId="49E56227">
            <w:pPr>
              <w:widowControl/>
              <w:jc w:val="center"/>
              <w:rPr>
                <w:rFonts w:ascii="宋体" w:hAnsi="宋体" w:cs="宋体"/>
                <w:kern w:val="0"/>
                <w:szCs w:val="21"/>
              </w:rPr>
            </w:pPr>
          </w:p>
        </w:tc>
      </w:tr>
      <w:tr w14:paraId="42599E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455097AB">
            <w:pPr>
              <w:jc w:val="center"/>
              <w:rPr>
                <w:rFonts w:ascii="宋体" w:hAnsi="宋体" w:cs="Arial"/>
                <w:sz w:val="18"/>
                <w:szCs w:val="18"/>
              </w:rPr>
            </w:pPr>
          </w:p>
        </w:tc>
        <w:tc>
          <w:tcPr>
            <w:tcW w:w="4572" w:type="dxa"/>
            <w:noWrap w:val="0"/>
            <w:vAlign w:val="center"/>
          </w:tcPr>
          <w:p w14:paraId="4AD22CE1">
            <w:pPr>
              <w:rPr>
                <w:rFonts w:ascii="宋体" w:hAnsi="宋体" w:cs="Arial"/>
                <w:sz w:val="18"/>
                <w:szCs w:val="18"/>
              </w:rPr>
            </w:pPr>
          </w:p>
        </w:tc>
        <w:tc>
          <w:tcPr>
            <w:tcW w:w="899" w:type="dxa"/>
            <w:noWrap w:val="0"/>
            <w:vAlign w:val="center"/>
          </w:tcPr>
          <w:p w14:paraId="0B6D85A5">
            <w:pPr>
              <w:jc w:val="center"/>
              <w:rPr>
                <w:rFonts w:ascii="宋体" w:hAnsi="宋体" w:cs="Arial"/>
                <w:sz w:val="18"/>
                <w:szCs w:val="18"/>
              </w:rPr>
            </w:pPr>
          </w:p>
        </w:tc>
        <w:tc>
          <w:tcPr>
            <w:tcW w:w="899" w:type="dxa"/>
            <w:noWrap w:val="0"/>
            <w:vAlign w:val="center"/>
          </w:tcPr>
          <w:p w14:paraId="7E5575FA">
            <w:pPr>
              <w:jc w:val="right"/>
              <w:rPr>
                <w:rFonts w:ascii="宋体" w:hAnsi="宋体" w:cs="Arial"/>
                <w:sz w:val="16"/>
                <w:szCs w:val="16"/>
              </w:rPr>
            </w:pPr>
          </w:p>
        </w:tc>
        <w:tc>
          <w:tcPr>
            <w:tcW w:w="1079" w:type="dxa"/>
            <w:noWrap w:val="0"/>
            <w:vAlign w:val="center"/>
          </w:tcPr>
          <w:p w14:paraId="27C992C3">
            <w:pPr>
              <w:widowControl/>
              <w:jc w:val="center"/>
              <w:rPr>
                <w:rFonts w:ascii="宋体" w:hAnsi="宋体" w:cs="宋体"/>
                <w:kern w:val="0"/>
                <w:szCs w:val="21"/>
              </w:rPr>
            </w:pPr>
          </w:p>
        </w:tc>
        <w:tc>
          <w:tcPr>
            <w:tcW w:w="1079" w:type="dxa"/>
            <w:noWrap w:val="0"/>
            <w:vAlign w:val="center"/>
          </w:tcPr>
          <w:p w14:paraId="31CC7361">
            <w:pPr>
              <w:widowControl/>
              <w:jc w:val="center"/>
              <w:rPr>
                <w:rFonts w:ascii="宋体" w:hAnsi="宋体" w:cs="宋体"/>
                <w:kern w:val="0"/>
                <w:szCs w:val="21"/>
              </w:rPr>
            </w:pPr>
          </w:p>
        </w:tc>
      </w:tr>
      <w:tr w14:paraId="661068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1CD6CC57">
            <w:pPr>
              <w:jc w:val="center"/>
              <w:rPr>
                <w:rFonts w:ascii="宋体" w:hAnsi="宋体" w:cs="Arial"/>
                <w:sz w:val="18"/>
                <w:szCs w:val="18"/>
              </w:rPr>
            </w:pPr>
          </w:p>
        </w:tc>
        <w:tc>
          <w:tcPr>
            <w:tcW w:w="4572" w:type="dxa"/>
            <w:noWrap w:val="0"/>
            <w:vAlign w:val="center"/>
          </w:tcPr>
          <w:p w14:paraId="1AAE144C">
            <w:pPr>
              <w:rPr>
                <w:rFonts w:ascii="宋体" w:hAnsi="宋体" w:cs="Arial"/>
                <w:sz w:val="18"/>
                <w:szCs w:val="18"/>
              </w:rPr>
            </w:pPr>
          </w:p>
        </w:tc>
        <w:tc>
          <w:tcPr>
            <w:tcW w:w="899" w:type="dxa"/>
            <w:noWrap w:val="0"/>
            <w:vAlign w:val="center"/>
          </w:tcPr>
          <w:p w14:paraId="0B73F970">
            <w:pPr>
              <w:jc w:val="center"/>
              <w:rPr>
                <w:rFonts w:ascii="宋体" w:hAnsi="宋体" w:cs="Arial"/>
                <w:sz w:val="18"/>
                <w:szCs w:val="18"/>
              </w:rPr>
            </w:pPr>
          </w:p>
        </w:tc>
        <w:tc>
          <w:tcPr>
            <w:tcW w:w="899" w:type="dxa"/>
            <w:noWrap w:val="0"/>
            <w:vAlign w:val="center"/>
          </w:tcPr>
          <w:p w14:paraId="57DCF38E">
            <w:pPr>
              <w:jc w:val="right"/>
              <w:rPr>
                <w:rFonts w:ascii="宋体" w:hAnsi="宋体" w:cs="Arial"/>
                <w:sz w:val="16"/>
                <w:szCs w:val="16"/>
              </w:rPr>
            </w:pPr>
          </w:p>
        </w:tc>
        <w:tc>
          <w:tcPr>
            <w:tcW w:w="1079" w:type="dxa"/>
            <w:noWrap w:val="0"/>
            <w:vAlign w:val="center"/>
          </w:tcPr>
          <w:p w14:paraId="37BC28A5">
            <w:pPr>
              <w:widowControl/>
              <w:jc w:val="center"/>
              <w:rPr>
                <w:rFonts w:ascii="宋体" w:hAnsi="宋体" w:cs="宋体"/>
                <w:kern w:val="0"/>
                <w:szCs w:val="21"/>
              </w:rPr>
            </w:pPr>
          </w:p>
        </w:tc>
        <w:tc>
          <w:tcPr>
            <w:tcW w:w="1079" w:type="dxa"/>
            <w:noWrap w:val="0"/>
            <w:vAlign w:val="center"/>
          </w:tcPr>
          <w:p w14:paraId="40967FF4">
            <w:pPr>
              <w:widowControl/>
              <w:jc w:val="center"/>
              <w:rPr>
                <w:rFonts w:ascii="宋体" w:hAnsi="宋体" w:cs="宋体"/>
                <w:kern w:val="0"/>
                <w:szCs w:val="21"/>
              </w:rPr>
            </w:pPr>
          </w:p>
        </w:tc>
      </w:tr>
      <w:tr w14:paraId="2F1BC8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6983A57F">
            <w:pPr>
              <w:jc w:val="center"/>
              <w:rPr>
                <w:rFonts w:ascii="宋体" w:hAnsi="宋体" w:cs="Arial"/>
                <w:sz w:val="18"/>
                <w:szCs w:val="18"/>
              </w:rPr>
            </w:pPr>
          </w:p>
        </w:tc>
        <w:tc>
          <w:tcPr>
            <w:tcW w:w="4572" w:type="dxa"/>
            <w:noWrap w:val="0"/>
            <w:vAlign w:val="center"/>
          </w:tcPr>
          <w:p w14:paraId="6708799A">
            <w:pPr>
              <w:rPr>
                <w:rFonts w:ascii="宋体" w:hAnsi="宋体" w:cs="Arial"/>
                <w:sz w:val="18"/>
                <w:szCs w:val="18"/>
              </w:rPr>
            </w:pPr>
          </w:p>
        </w:tc>
        <w:tc>
          <w:tcPr>
            <w:tcW w:w="899" w:type="dxa"/>
            <w:noWrap w:val="0"/>
            <w:vAlign w:val="center"/>
          </w:tcPr>
          <w:p w14:paraId="14FB8578">
            <w:pPr>
              <w:jc w:val="center"/>
              <w:rPr>
                <w:rFonts w:ascii="宋体" w:hAnsi="宋体" w:cs="Arial"/>
                <w:sz w:val="18"/>
                <w:szCs w:val="18"/>
              </w:rPr>
            </w:pPr>
          </w:p>
        </w:tc>
        <w:tc>
          <w:tcPr>
            <w:tcW w:w="899" w:type="dxa"/>
            <w:noWrap w:val="0"/>
            <w:vAlign w:val="center"/>
          </w:tcPr>
          <w:p w14:paraId="4ABC4B06">
            <w:pPr>
              <w:jc w:val="right"/>
              <w:rPr>
                <w:rFonts w:ascii="宋体" w:hAnsi="宋体" w:cs="Arial"/>
                <w:sz w:val="16"/>
                <w:szCs w:val="16"/>
              </w:rPr>
            </w:pPr>
          </w:p>
        </w:tc>
        <w:tc>
          <w:tcPr>
            <w:tcW w:w="1079" w:type="dxa"/>
            <w:noWrap w:val="0"/>
            <w:vAlign w:val="center"/>
          </w:tcPr>
          <w:p w14:paraId="512EAC88">
            <w:pPr>
              <w:widowControl/>
              <w:jc w:val="center"/>
              <w:rPr>
                <w:rFonts w:ascii="宋体" w:hAnsi="宋体" w:cs="宋体"/>
                <w:kern w:val="0"/>
                <w:szCs w:val="21"/>
              </w:rPr>
            </w:pPr>
          </w:p>
        </w:tc>
        <w:tc>
          <w:tcPr>
            <w:tcW w:w="1079" w:type="dxa"/>
            <w:noWrap w:val="0"/>
            <w:vAlign w:val="center"/>
          </w:tcPr>
          <w:p w14:paraId="0AE64079">
            <w:pPr>
              <w:widowControl/>
              <w:jc w:val="center"/>
              <w:rPr>
                <w:rFonts w:ascii="宋体" w:hAnsi="宋体" w:cs="宋体"/>
                <w:kern w:val="0"/>
                <w:szCs w:val="21"/>
              </w:rPr>
            </w:pPr>
          </w:p>
        </w:tc>
      </w:tr>
      <w:tr w14:paraId="079CC4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5F28C4C8">
            <w:pPr>
              <w:jc w:val="center"/>
              <w:rPr>
                <w:rFonts w:ascii="宋体" w:hAnsi="宋体" w:cs="Arial"/>
                <w:sz w:val="18"/>
                <w:szCs w:val="18"/>
              </w:rPr>
            </w:pPr>
          </w:p>
        </w:tc>
        <w:tc>
          <w:tcPr>
            <w:tcW w:w="4572" w:type="dxa"/>
            <w:noWrap w:val="0"/>
            <w:vAlign w:val="center"/>
          </w:tcPr>
          <w:p w14:paraId="1E0FA918">
            <w:pPr>
              <w:rPr>
                <w:rFonts w:ascii="宋体" w:hAnsi="宋体" w:cs="Arial"/>
                <w:sz w:val="18"/>
                <w:szCs w:val="18"/>
              </w:rPr>
            </w:pPr>
          </w:p>
        </w:tc>
        <w:tc>
          <w:tcPr>
            <w:tcW w:w="899" w:type="dxa"/>
            <w:noWrap w:val="0"/>
            <w:vAlign w:val="center"/>
          </w:tcPr>
          <w:p w14:paraId="5B3B04DA">
            <w:pPr>
              <w:jc w:val="center"/>
              <w:rPr>
                <w:rFonts w:ascii="宋体" w:hAnsi="宋体" w:cs="Arial"/>
                <w:sz w:val="18"/>
                <w:szCs w:val="18"/>
              </w:rPr>
            </w:pPr>
          </w:p>
        </w:tc>
        <w:tc>
          <w:tcPr>
            <w:tcW w:w="899" w:type="dxa"/>
            <w:noWrap w:val="0"/>
            <w:vAlign w:val="center"/>
          </w:tcPr>
          <w:p w14:paraId="0AFD2BE8">
            <w:pPr>
              <w:jc w:val="right"/>
              <w:rPr>
                <w:rFonts w:ascii="宋体" w:hAnsi="宋体" w:cs="Arial"/>
                <w:sz w:val="16"/>
                <w:szCs w:val="16"/>
              </w:rPr>
            </w:pPr>
          </w:p>
        </w:tc>
        <w:tc>
          <w:tcPr>
            <w:tcW w:w="1079" w:type="dxa"/>
            <w:noWrap w:val="0"/>
            <w:vAlign w:val="center"/>
          </w:tcPr>
          <w:p w14:paraId="39CF7136">
            <w:pPr>
              <w:widowControl/>
              <w:jc w:val="center"/>
              <w:rPr>
                <w:rFonts w:ascii="宋体" w:hAnsi="宋体" w:cs="宋体"/>
                <w:kern w:val="0"/>
                <w:szCs w:val="21"/>
              </w:rPr>
            </w:pPr>
          </w:p>
        </w:tc>
        <w:tc>
          <w:tcPr>
            <w:tcW w:w="1079" w:type="dxa"/>
            <w:noWrap w:val="0"/>
            <w:vAlign w:val="center"/>
          </w:tcPr>
          <w:p w14:paraId="501AAEA4">
            <w:pPr>
              <w:widowControl/>
              <w:jc w:val="center"/>
              <w:rPr>
                <w:rFonts w:ascii="宋体" w:hAnsi="宋体" w:cs="宋体"/>
                <w:kern w:val="0"/>
                <w:szCs w:val="21"/>
              </w:rPr>
            </w:pPr>
          </w:p>
        </w:tc>
      </w:tr>
      <w:tr w14:paraId="539A90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419490BC">
            <w:pPr>
              <w:jc w:val="center"/>
              <w:rPr>
                <w:rFonts w:ascii="宋体" w:hAnsi="宋体" w:cs="Arial"/>
                <w:sz w:val="18"/>
                <w:szCs w:val="18"/>
              </w:rPr>
            </w:pPr>
          </w:p>
        </w:tc>
        <w:tc>
          <w:tcPr>
            <w:tcW w:w="4572" w:type="dxa"/>
            <w:noWrap w:val="0"/>
            <w:vAlign w:val="center"/>
          </w:tcPr>
          <w:p w14:paraId="36C5FAEE">
            <w:pPr>
              <w:rPr>
                <w:rFonts w:ascii="宋体" w:hAnsi="宋体" w:cs="Arial"/>
                <w:sz w:val="18"/>
                <w:szCs w:val="18"/>
              </w:rPr>
            </w:pPr>
          </w:p>
        </w:tc>
        <w:tc>
          <w:tcPr>
            <w:tcW w:w="899" w:type="dxa"/>
            <w:noWrap w:val="0"/>
            <w:vAlign w:val="center"/>
          </w:tcPr>
          <w:p w14:paraId="0F1F2DFA">
            <w:pPr>
              <w:jc w:val="center"/>
              <w:rPr>
                <w:rFonts w:ascii="宋体" w:hAnsi="宋体" w:cs="Arial"/>
                <w:sz w:val="18"/>
                <w:szCs w:val="18"/>
              </w:rPr>
            </w:pPr>
          </w:p>
        </w:tc>
        <w:tc>
          <w:tcPr>
            <w:tcW w:w="899" w:type="dxa"/>
            <w:noWrap w:val="0"/>
            <w:vAlign w:val="center"/>
          </w:tcPr>
          <w:p w14:paraId="72D96E75">
            <w:pPr>
              <w:jc w:val="right"/>
              <w:rPr>
                <w:rFonts w:ascii="宋体" w:hAnsi="宋体" w:cs="Arial"/>
                <w:sz w:val="16"/>
                <w:szCs w:val="16"/>
              </w:rPr>
            </w:pPr>
          </w:p>
        </w:tc>
        <w:tc>
          <w:tcPr>
            <w:tcW w:w="1079" w:type="dxa"/>
            <w:noWrap w:val="0"/>
            <w:vAlign w:val="center"/>
          </w:tcPr>
          <w:p w14:paraId="5543E44E">
            <w:pPr>
              <w:widowControl/>
              <w:jc w:val="center"/>
              <w:rPr>
                <w:rFonts w:ascii="宋体" w:hAnsi="宋体" w:cs="宋体"/>
                <w:kern w:val="0"/>
                <w:szCs w:val="21"/>
              </w:rPr>
            </w:pPr>
          </w:p>
        </w:tc>
        <w:tc>
          <w:tcPr>
            <w:tcW w:w="1079" w:type="dxa"/>
            <w:noWrap w:val="0"/>
            <w:vAlign w:val="center"/>
          </w:tcPr>
          <w:p w14:paraId="24C9EA14">
            <w:pPr>
              <w:widowControl/>
              <w:jc w:val="center"/>
              <w:rPr>
                <w:rFonts w:ascii="宋体" w:hAnsi="宋体" w:cs="宋体"/>
                <w:kern w:val="0"/>
                <w:szCs w:val="21"/>
              </w:rPr>
            </w:pPr>
          </w:p>
        </w:tc>
      </w:tr>
      <w:tr w14:paraId="679408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5BA4F213">
            <w:pPr>
              <w:jc w:val="center"/>
              <w:rPr>
                <w:rFonts w:ascii="宋体" w:hAnsi="宋体" w:cs="Arial"/>
                <w:sz w:val="18"/>
                <w:szCs w:val="18"/>
              </w:rPr>
            </w:pPr>
          </w:p>
        </w:tc>
        <w:tc>
          <w:tcPr>
            <w:tcW w:w="4572" w:type="dxa"/>
            <w:noWrap w:val="0"/>
            <w:vAlign w:val="center"/>
          </w:tcPr>
          <w:p w14:paraId="578B775E">
            <w:pPr>
              <w:rPr>
                <w:rFonts w:ascii="宋体" w:hAnsi="宋体" w:cs="Arial"/>
                <w:sz w:val="18"/>
                <w:szCs w:val="18"/>
              </w:rPr>
            </w:pPr>
          </w:p>
        </w:tc>
        <w:tc>
          <w:tcPr>
            <w:tcW w:w="899" w:type="dxa"/>
            <w:noWrap w:val="0"/>
            <w:vAlign w:val="center"/>
          </w:tcPr>
          <w:p w14:paraId="3C6856DF">
            <w:pPr>
              <w:jc w:val="center"/>
              <w:rPr>
                <w:rFonts w:ascii="宋体" w:hAnsi="宋体" w:cs="Arial"/>
                <w:sz w:val="18"/>
                <w:szCs w:val="18"/>
              </w:rPr>
            </w:pPr>
          </w:p>
        </w:tc>
        <w:tc>
          <w:tcPr>
            <w:tcW w:w="899" w:type="dxa"/>
            <w:noWrap w:val="0"/>
            <w:vAlign w:val="center"/>
          </w:tcPr>
          <w:p w14:paraId="0CBF42FF">
            <w:pPr>
              <w:jc w:val="right"/>
              <w:rPr>
                <w:rFonts w:ascii="宋体" w:hAnsi="宋体" w:cs="Arial"/>
                <w:sz w:val="16"/>
                <w:szCs w:val="16"/>
              </w:rPr>
            </w:pPr>
          </w:p>
        </w:tc>
        <w:tc>
          <w:tcPr>
            <w:tcW w:w="1079" w:type="dxa"/>
            <w:noWrap w:val="0"/>
            <w:vAlign w:val="center"/>
          </w:tcPr>
          <w:p w14:paraId="3C7425F9">
            <w:pPr>
              <w:widowControl/>
              <w:jc w:val="center"/>
              <w:rPr>
                <w:rFonts w:ascii="宋体" w:hAnsi="宋体" w:cs="宋体"/>
                <w:kern w:val="0"/>
                <w:szCs w:val="21"/>
              </w:rPr>
            </w:pPr>
          </w:p>
        </w:tc>
        <w:tc>
          <w:tcPr>
            <w:tcW w:w="1079" w:type="dxa"/>
            <w:noWrap w:val="0"/>
            <w:vAlign w:val="center"/>
          </w:tcPr>
          <w:p w14:paraId="27C0D3AC">
            <w:pPr>
              <w:widowControl/>
              <w:jc w:val="center"/>
              <w:rPr>
                <w:rFonts w:ascii="宋体" w:hAnsi="宋体" w:cs="宋体"/>
                <w:kern w:val="0"/>
                <w:szCs w:val="21"/>
              </w:rPr>
            </w:pPr>
          </w:p>
        </w:tc>
      </w:tr>
      <w:tr w14:paraId="6EF0DD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3DCB1EFF">
            <w:pPr>
              <w:jc w:val="center"/>
              <w:rPr>
                <w:rFonts w:ascii="宋体" w:hAnsi="宋体" w:cs="Arial"/>
                <w:sz w:val="18"/>
                <w:szCs w:val="18"/>
              </w:rPr>
            </w:pPr>
          </w:p>
        </w:tc>
        <w:tc>
          <w:tcPr>
            <w:tcW w:w="4572" w:type="dxa"/>
            <w:noWrap w:val="0"/>
            <w:vAlign w:val="center"/>
          </w:tcPr>
          <w:p w14:paraId="2E68A605">
            <w:pPr>
              <w:rPr>
                <w:rFonts w:ascii="宋体" w:hAnsi="宋体" w:cs="Arial"/>
                <w:sz w:val="18"/>
                <w:szCs w:val="18"/>
              </w:rPr>
            </w:pPr>
          </w:p>
        </w:tc>
        <w:tc>
          <w:tcPr>
            <w:tcW w:w="899" w:type="dxa"/>
            <w:noWrap w:val="0"/>
            <w:vAlign w:val="center"/>
          </w:tcPr>
          <w:p w14:paraId="7B00D778">
            <w:pPr>
              <w:jc w:val="center"/>
              <w:rPr>
                <w:rFonts w:ascii="宋体" w:hAnsi="宋体" w:cs="Arial"/>
                <w:sz w:val="18"/>
                <w:szCs w:val="18"/>
              </w:rPr>
            </w:pPr>
          </w:p>
        </w:tc>
        <w:tc>
          <w:tcPr>
            <w:tcW w:w="899" w:type="dxa"/>
            <w:noWrap w:val="0"/>
            <w:vAlign w:val="center"/>
          </w:tcPr>
          <w:p w14:paraId="68C0682A">
            <w:pPr>
              <w:jc w:val="right"/>
              <w:rPr>
                <w:rFonts w:ascii="宋体" w:hAnsi="宋体" w:cs="Arial"/>
                <w:sz w:val="16"/>
                <w:szCs w:val="16"/>
              </w:rPr>
            </w:pPr>
          </w:p>
        </w:tc>
        <w:tc>
          <w:tcPr>
            <w:tcW w:w="1079" w:type="dxa"/>
            <w:noWrap w:val="0"/>
            <w:vAlign w:val="center"/>
          </w:tcPr>
          <w:p w14:paraId="15EFB0B1">
            <w:pPr>
              <w:widowControl/>
              <w:jc w:val="center"/>
              <w:rPr>
                <w:rFonts w:ascii="宋体" w:hAnsi="宋体" w:cs="宋体"/>
                <w:kern w:val="0"/>
                <w:szCs w:val="21"/>
              </w:rPr>
            </w:pPr>
          </w:p>
        </w:tc>
        <w:tc>
          <w:tcPr>
            <w:tcW w:w="1079" w:type="dxa"/>
            <w:noWrap w:val="0"/>
            <w:vAlign w:val="center"/>
          </w:tcPr>
          <w:p w14:paraId="4C7B92F6">
            <w:pPr>
              <w:widowControl/>
              <w:jc w:val="center"/>
              <w:rPr>
                <w:rFonts w:ascii="宋体" w:hAnsi="宋体" w:cs="宋体"/>
                <w:kern w:val="0"/>
                <w:szCs w:val="21"/>
              </w:rPr>
            </w:pPr>
          </w:p>
        </w:tc>
      </w:tr>
      <w:tr w14:paraId="0D2508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4BE865CC">
            <w:pPr>
              <w:jc w:val="center"/>
              <w:rPr>
                <w:rFonts w:ascii="宋体" w:hAnsi="宋体" w:cs="Arial"/>
                <w:sz w:val="18"/>
                <w:szCs w:val="18"/>
              </w:rPr>
            </w:pPr>
          </w:p>
        </w:tc>
        <w:tc>
          <w:tcPr>
            <w:tcW w:w="4572" w:type="dxa"/>
            <w:noWrap w:val="0"/>
            <w:vAlign w:val="center"/>
          </w:tcPr>
          <w:p w14:paraId="3B2D8D1C">
            <w:pPr>
              <w:rPr>
                <w:rFonts w:ascii="宋体" w:hAnsi="宋体" w:cs="Arial"/>
                <w:sz w:val="18"/>
                <w:szCs w:val="18"/>
              </w:rPr>
            </w:pPr>
          </w:p>
        </w:tc>
        <w:tc>
          <w:tcPr>
            <w:tcW w:w="899" w:type="dxa"/>
            <w:noWrap w:val="0"/>
            <w:vAlign w:val="center"/>
          </w:tcPr>
          <w:p w14:paraId="24525CB6">
            <w:pPr>
              <w:jc w:val="center"/>
              <w:rPr>
                <w:rFonts w:ascii="宋体" w:hAnsi="宋体" w:cs="Arial"/>
                <w:sz w:val="18"/>
                <w:szCs w:val="18"/>
              </w:rPr>
            </w:pPr>
          </w:p>
        </w:tc>
        <w:tc>
          <w:tcPr>
            <w:tcW w:w="899" w:type="dxa"/>
            <w:noWrap w:val="0"/>
            <w:vAlign w:val="center"/>
          </w:tcPr>
          <w:p w14:paraId="0665BE6A">
            <w:pPr>
              <w:jc w:val="right"/>
              <w:rPr>
                <w:rFonts w:ascii="宋体" w:hAnsi="宋体" w:cs="Arial"/>
                <w:sz w:val="16"/>
                <w:szCs w:val="16"/>
              </w:rPr>
            </w:pPr>
          </w:p>
        </w:tc>
        <w:tc>
          <w:tcPr>
            <w:tcW w:w="1079" w:type="dxa"/>
            <w:noWrap w:val="0"/>
            <w:vAlign w:val="center"/>
          </w:tcPr>
          <w:p w14:paraId="129C0465">
            <w:pPr>
              <w:widowControl/>
              <w:jc w:val="center"/>
              <w:rPr>
                <w:rFonts w:ascii="宋体" w:hAnsi="宋体" w:cs="宋体"/>
                <w:kern w:val="0"/>
                <w:szCs w:val="21"/>
              </w:rPr>
            </w:pPr>
          </w:p>
        </w:tc>
        <w:tc>
          <w:tcPr>
            <w:tcW w:w="1079" w:type="dxa"/>
            <w:noWrap w:val="0"/>
            <w:vAlign w:val="center"/>
          </w:tcPr>
          <w:p w14:paraId="5B051B43">
            <w:pPr>
              <w:widowControl/>
              <w:jc w:val="center"/>
              <w:rPr>
                <w:rFonts w:ascii="宋体" w:hAnsi="宋体" w:cs="宋体"/>
                <w:kern w:val="0"/>
                <w:szCs w:val="21"/>
              </w:rPr>
            </w:pPr>
          </w:p>
        </w:tc>
      </w:tr>
      <w:tr w14:paraId="00019C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56FBF1FE">
            <w:pPr>
              <w:jc w:val="center"/>
              <w:rPr>
                <w:rFonts w:ascii="宋体" w:hAnsi="宋体" w:cs="Arial"/>
                <w:sz w:val="18"/>
                <w:szCs w:val="18"/>
              </w:rPr>
            </w:pPr>
          </w:p>
        </w:tc>
        <w:tc>
          <w:tcPr>
            <w:tcW w:w="4572" w:type="dxa"/>
            <w:noWrap w:val="0"/>
            <w:vAlign w:val="center"/>
          </w:tcPr>
          <w:p w14:paraId="65B91D5C">
            <w:pPr>
              <w:rPr>
                <w:rFonts w:ascii="宋体" w:hAnsi="宋体" w:cs="Arial"/>
                <w:sz w:val="18"/>
                <w:szCs w:val="18"/>
              </w:rPr>
            </w:pPr>
          </w:p>
        </w:tc>
        <w:tc>
          <w:tcPr>
            <w:tcW w:w="899" w:type="dxa"/>
            <w:noWrap w:val="0"/>
            <w:vAlign w:val="center"/>
          </w:tcPr>
          <w:p w14:paraId="2C526D81">
            <w:pPr>
              <w:jc w:val="center"/>
              <w:rPr>
                <w:rFonts w:ascii="宋体" w:hAnsi="宋体" w:cs="Arial"/>
                <w:sz w:val="18"/>
                <w:szCs w:val="18"/>
              </w:rPr>
            </w:pPr>
          </w:p>
        </w:tc>
        <w:tc>
          <w:tcPr>
            <w:tcW w:w="899" w:type="dxa"/>
            <w:noWrap w:val="0"/>
            <w:vAlign w:val="center"/>
          </w:tcPr>
          <w:p w14:paraId="730286C4">
            <w:pPr>
              <w:jc w:val="right"/>
              <w:rPr>
                <w:rFonts w:ascii="宋体" w:hAnsi="宋体" w:cs="Arial"/>
                <w:sz w:val="16"/>
                <w:szCs w:val="16"/>
              </w:rPr>
            </w:pPr>
          </w:p>
        </w:tc>
        <w:tc>
          <w:tcPr>
            <w:tcW w:w="1079" w:type="dxa"/>
            <w:noWrap w:val="0"/>
            <w:vAlign w:val="center"/>
          </w:tcPr>
          <w:p w14:paraId="6AFB426F">
            <w:pPr>
              <w:widowControl/>
              <w:jc w:val="center"/>
              <w:rPr>
                <w:rFonts w:ascii="宋体" w:hAnsi="宋体" w:cs="宋体"/>
                <w:kern w:val="0"/>
                <w:szCs w:val="21"/>
              </w:rPr>
            </w:pPr>
          </w:p>
        </w:tc>
        <w:tc>
          <w:tcPr>
            <w:tcW w:w="1079" w:type="dxa"/>
            <w:noWrap w:val="0"/>
            <w:vAlign w:val="center"/>
          </w:tcPr>
          <w:p w14:paraId="3A82E0C6">
            <w:pPr>
              <w:widowControl/>
              <w:jc w:val="center"/>
              <w:rPr>
                <w:rFonts w:ascii="宋体" w:hAnsi="宋体" w:cs="宋体"/>
                <w:kern w:val="0"/>
                <w:szCs w:val="21"/>
              </w:rPr>
            </w:pPr>
          </w:p>
        </w:tc>
      </w:tr>
      <w:tr w14:paraId="16E7B7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68" w:type="dxa"/>
            <w:gridSpan w:val="6"/>
            <w:noWrap w:val="0"/>
            <w:vAlign w:val="center"/>
          </w:tcPr>
          <w:p w14:paraId="57753AB0">
            <w:pPr>
              <w:widowControl/>
              <w:jc w:val="center"/>
              <w:rPr>
                <w:rFonts w:ascii="宋体" w:hAnsi="宋体" w:cs="宋体"/>
                <w:b/>
                <w:kern w:val="0"/>
                <w:szCs w:val="21"/>
              </w:rPr>
            </w:pPr>
            <w:r>
              <w:rPr>
                <w:rFonts w:hint="eastAsia" w:ascii="宋体" w:hAnsi="宋体" w:cs="宋体"/>
                <w:b/>
                <w:kern w:val="0"/>
                <w:szCs w:val="21"/>
              </w:rPr>
              <w:t>清单200章合计   人民币</w:t>
            </w:r>
            <w:r>
              <w:rPr>
                <w:rFonts w:hint="eastAsia" w:ascii="宋体" w:hAnsi="宋体" w:cs="宋体"/>
                <w:b/>
                <w:kern w:val="0"/>
                <w:szCs w:val="21"/>
                <w:u w:val="single"/>
              </w:rPr>
              <w:t xml:space="preserve">       </w:t>
            </w:r>
            <w:r>
              <w:rPr>
                <w:rFonts w:hint="eastAsia" w:ascii="宋体" w:hAnsi="宋体" w:cs="宋体"/>
                <w:b/>
                <w:kern w:val="0"/>
                <w:szCs w:val="21"/>
              </w:rPr>
              <w:t>元</w:t>
            </w:r>
          </w:p>
        </w:tc>
      </w:tr>
    </w:tbl>
    <w:p w14:paraId="456CCC59">
      <w:pPr>
        <w:spacing w:before="240" w:beforeLines="100" w:after="240" w:afterLines="100"/>
        <w:jc w:val="center"/>
        <w:rPr>
          <w:rFonts w:hint="eastAsia" w:ascii="黑体" w:hAnsi="宋体" w:eastAsia="黑体"/>
          <w:sz w:val="30"/>
          <w:szCs w:val="30"/>
        </w:rPr>
      </w:pPr>
    </w:p>
    <w:p w14:paraId="26583BCC">
      <w:pPr>
        <w:spacing w:before="240" w:beforeLines="100" w:after="240" w:afterLines="100"/>
        <w:jc w:val="center"/>
        <w:rPr>
          <w:rFonts w:hint="eastAsia" w:ascii="黑体" w:hAnsi="宋体" w:eastAsia="黑体"/>
          <w:sz w:val="30"/>
          <w:szCs w:val="30"/>
        </w:rPr>
      </w:pPr>
      <w:r>
        <w:rPr>
          <w:rFonts w:ascii="黑体" w:hAnsi="宋体" w:eastAsia="黑体"/>
          <w:sz w:val="30"/>
          <w:szCs w:val="30"/>
        </w:rPr>
        <w:br w:type="page"/>
      </w:r>
      <w:r>
        <w:rPr>
          <w:rFonts w:hint="eastAsia" w:ascii="黑体" w:hAnsi="宋体" w:eastAsia="黑体"/>
          <w:sz w:val="30"/>
          <w:szCs w:val="30"/>
        </w:rPr>
        <w:t>工程量清单</w:t>
      </w:r>
    </w:p>
    <w:p w14:paraId="799798F0">
      <w:pPr>
        <w:pStyle w:val="50"/>
        <w:ind w:left="0" w:leftChars="0" w:firstLine="0" w:firstLine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标项</w:t>
      </w:r>
      <w:r>
        <w:rPr>
          <w:rFonts w:hint="eastAsia" w:asciiTheme="minorEastAsia" w:hAnsiTheme="minorEastAsia" w:cstheme="minorEastAsia"/>
          <w:sz w:val="24"/>
          <w:szCs w:val="24"/>
          <w:lang w:val="en-US" w:eastAsia="zh-CN"/>
        </w:rPr>
        <w:t>2</w:t>
      </w:r>
      <w:r>
        <w:rPr>
          <w:rFonts w:hint="eastAsia" w:asciiTheme="minorEastAsia" w:hAnsiTheme="minorEastAsia" w:eastAsiaTheme="minorEastAsia" w:cstheme="minorEastAsia"/>
          <w:sz w:val="24"/>
          <w:szCs w:val="24"/>
        </w:rPr>
        <w:t>：</w:t>
      </w:r>
      <w:r>
        <w:rPr>
          <w:rFonts w:hint="eastAsia" w:asciiTheme="minorEastAsia" w:hAnsiTheme="minorEastAsia" w:cstheme="minorEastAsia"/>
          <w:sz w:val="24"/>
          <w:szCs w:val="24"/>
          <w:lang w:eastAsia="zh-CN"/>
        </w:rPr>
        <w:t>2026年秀洲区县道及以上公路小修及应急抢险项目</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第</w:t>
      </w:r>
      <w:r>
        <w:rPr>
          <w:rFonts w:hint="eastAsia" w:asciiTheme="minorEastAsia" w:hAnsiTheme="minorEastAsia" w:cstheme="minorEastAsia"/>
          <w:sz w:val="24"/>
          <w:szCs w:val="24"/>
          <w:lang w:val="en-US" w:eastAsia="zh-CN"/>
        </w:rPr>
        <w:t>二</w:t>
      </w:r>
      <w:r>
        <w:rPr>
          <w:rFonts w:hint="eastAsia" w:asciiTheme="minorEastAsia" w:hAnsiTheme="minorEastAsia" w:eastAsiaTheme="minorEastAsia" w:cstheme="minorEastAsia"/>
          <w:sz w:val="24"/>
          <w:szCs w:val="24"/>
          <w:lang w:eastAsia="zh-CN"/>
        </w:rPr>
        <w:t>标段）</w:t>
      </w:r>
    </w:p>
    <w:p w14:paraId="55F13EC0">
      <w:pPr>
        <w:pStyle w:val="50"/>
        <w:ind w:left="0" w:leftChars="0" w:firstLine="0" w:firstLineChars="0"/>
        <w:rPr>
          <w:rFonts w:hint="eastAsia"/>
        </w:rPr>
      </w:pPr>
      <w:r>
        <w:rPr>
          <w:rFonts w:hint="eastAsia" w:asciiTheme="minorEastAsia" w:hAnsiTheme="minorEastAsia" w:eastAsiaTheme="minorEastAsia" w:cstheme="minorEastAsia"/>
          <w:sz w:val="24"/>
          <w:szCs w:val="24"/>
        </w:rPr>
        <w:t>货币单位：人民币元</w:t>
      </w:r>
      <w:r>
        <w:tab/>
      </w:r>
    </w:p>
    <w:tbl>
      <w:tblPr>
        <w:tblStyle w:val="51"/>
        <w:tblW w:w="946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40"/>
        <w:gridCol w:w="4572"/>
        <w:gridCol w:w="899"/>
        <w:gridCol w:w="899"/>
        <w:gridCol w:w="1079"/>
        <w:gridCol w:w="1079"/>
      </w:tblGrid>
      <w:tr w14:paraId="54DCC1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68" w:type="dxa"/>
            <w:gridSpan w:val="6"/>
            <w:noWrap w:val="0"/>
            <w:vAlign w:val="center"/>
          </w:tcPr>
          <w:p w14:paraId="2072D13C">
            <w:pPr>
              <w:ind w:firstLine="103" w:firstLineChars="49"/>
              <w:jc w:val="center"/>
              <w:rPr>
                <w:rFonts w:ascii="宋体" w:hAnsi="宋体"/>
                <w:b/>
                <w:bCs/>
              </w:rPr>
            </w:pPr>
            <w:r>
              <w:rPr>
                <w:rFonts w:hint="eastAsia" w:ascii="宋体" w:hAnsi="宋体"/>
                <w:b/>
                <w:bCs/>
              </w:rPr>
              <w:t>清单      第300章      路  面</w:t>
            </w:r>
          </w:p>
        </w:tc>
      </w:tr>
      <w:tr w14:paraId="32431E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37F32B94">
            <w:pPr>
              <w:widowControl/>
              <w:jc w:val="left"/>
              <w:rPr>
                <w:rFonts w:ascii="宋体" w:hAnsi="宋体" w:cs="宋体"/>
                <w:kern w:val="0"/>
                <w:szCs w:val="21"/>
              </w:rPr>
            </w:pPr>
            <w:r>
              <w:rPr>
                <w:rFonts w:hint="eastAsia" w:ascii="宋体" w:hAnsi="宋体" w:cs="宋体"/>
                <w:kern w:val="0"/>
                <w:szCs w:val="21"/>
              </w:rPr>
              <w:t>子目号</w:t>
            </w:r>
          </w:p>
        </w:tc>
        <w:tc>
          <w:tcPr>
            <w:tcW w:w="4572" w:type="dxa"/>
            <w:noWrap w:val="0"/>
            <w:vAlign w:val="center"/>
          </w:tcPr>
          <w:p w14:paraId="6D437BDD">
            <w:pPr>
              <w:widowControl/>
              <w:jc w:val="center"/>
              <w:rPr>
                <w:rFonts w:ascii="宋体" w:hAnsi="宋体" w:cs="宋体"/>
                <w:kern w:val="0"/>
                <w:szCs w:val="21"/>
              </w:rPr>
            </w:pPr>
            <w:r>
              <w:rPr>
                <w:rFonts w:hint="eastAsia" w:ascii="宋体" w:hAnsi="宋体" w:cs="宋体"/>
                <w:kern w:val="0"/>
                <w:szCs w:val="21"/>
              </w:rPr>
              <w:t>子  目  名  称</w:t>
            </w:r>
          </w:p>
        </w:tc>
        <w:tc>
          <w:tcPr>
            <w:tcW w:w="899" w:type="dxa"/>
            <w:noWrap w:val="0"/>
            <w:vAlign w:val="center"/>
          </w:tcPr>
          <w:p w14:paraId="2B7C932C">
            <w:pPr>
              <w:widowControl/>
              <w:jc w:val="center"/>
              <w:rPr>
                <w:rFonts w:ascii="宋体" w:hAnsi="宋体" w:cs="宋体"/>
                <w:kern w:val="0"/>
                <w:szCs w:val="21"/>
              </w:rPr>
            </w:pPr>
            <w:r>
              <w:rPr>
                <w:rFonts w:hint="eastAsia" w:ascii="宋体" w:hAnsi="宋体" w:cs="宋体"/>
                <w:kern w:val="0"/>
                <w:szCs w:val="21"/>
              </w:rPr>
              <w:t>单位</w:t>
            </w:r>
          </w:p>
        </w:tc>
        <w:tc>
          <w:tcPr>
            <w:tcW w:w="899" w:type="dxa"/>
            <w:noWrap w:val="0"/>
            <w:vAlign w:val="center"/>
          </w:tcPr>
          <w:p w14:paraId="1D02F393">
            <w:pPr>
              <w:widowControl/>
              <w:jc w:val="center"/>
              <w:rPr>
                <w:rFonts w:ascii="宋体" w:hAnsi="宋体" w:cs="宋体"/>
                <w:kern w:val="0"/>
                <w:szCs w:val="21"/>
              </w:rPr>
            </w:pPr>
            <w:r>
              <w:rPr>
                <w:rFonts w:hint="eastAsia" w:ascii="宋体" w:hAnsi="宋体" w:cs="宋体"/>
                <w:kern w:val="0"/>
                <w:szCs w:val="21"/>
              </w:rPr>
              <w:t>数量</w:t>
            </w:r>
          </w:p>
        </w:tc>
        <w:tc>
          <w:tcPr>
            <w:tcW w:w="1079" w:type="dxa"/>
            <w:noWrap w:val="0"/>
            <w:vAlign w:val="center"/>
          </w:tcPr>
          <w:p w14:paraId="6994BBD5">
            <w:pPr>
              <w:widowControl/>
              <w:jc w:val="center"/>
              <w:rPr>
                <w:rFonts w:ascii="宋体" w:hAnsi="宋体" w:cs="宋体"/>
                <w:kern w:val="0"/>
                <w:szCs w:val="21"/>
              </w:rPr>
            </w:pPr>
            <w:r>
              <w:rPr>
                <w:rFonts w:hint="eastAsia" w:ascii="宋体" w:hAnsi="宋体" w:cs="宋体"/>
                <w:kern w:val="0"/>
                <w:szCs w:val="21"/>
              </w:rPr>
              <w:t>单价</w:t>
            </w:r>
          </w:p>
        </w:tc>
        <w:tc>
          <w:tcPr>
            <w:tcW w:w="1079" w:type="dxa"/>
            <w:noWrap w:val="0"/>
            <w:vAlign w:val="center"/>
          </w:tcPr>
          <w:p w14:paraId="1FF7A560">
            <w:pPr>
              <w:widowControl/>
              <w:jc w:val="center"/>
              <w:rPr>
                <w:rFonts w:ascii="宋体" w:hAnsi="宋体" w:cs="宋体"/>
                <w:kern w:val="0"/>
                <w:szCs w:val="21"/>
              </w:rPr>
            </w:pPr>
            <w:r>
              <w:rPr>
                <w:rFonts w:hint="eastAsia" w:ascii="宋体" w:hAnsi="宋体" w:cs="宋体"/>
                <w:kern w:val="0"/>
                <w:szCs w:val="21"/>
              </w:rPr>
              <w:t>合价</w:t>
            </w:r>
          </w:p>
        </w:tc>
      </w:tr>
      <w:tr w14:paraId="0F264B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2FD97B7D">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302</w:t>
            </w:r>
          </w:p>
        </w:tc>
        <w:tc>
          <w:tcPr>
            <w:tcW w:w="4572" w:type="dxa"/>
            <w:noWrap w:val="0"/>
            <w:vAlign w:val="center"/>
          </w:tcPr>
          <w:p w14:paraId="658DE65A">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维修</w:t>
            </w:r>
          </w:p>
        </w:tc>
        <w:tc>
          <w:tcPr>
            <w:tcW w:w="899" w:type="dxa"/>
            <w:noWrap w:val="0"/>
            <w:vAlign w:val="center"/>
          </w:tcPr>
          <w:p w14:paraId="74F37935">
            <w:pPr>
              <w:jc w:val="center"/>
              <w:rPr>
                <w:rFonts w:hint="eastAsia" w:ascii="宋体" w:hAnsi="宋体" w:cs="宋体"/>
                <w:kern w:val="0"/>
                <w:sz w:val="21"/>
                <w:szCs w:val="21"/>
              </w:rPr>
            </w:pPr>
          </w:p>
        </w:tc>
        <w:tc>
          <w:tcPr>
            <w:tcW w:w="899" w:type="dxa"/>
            <w:noWrap w:val="0"/>
            <w:vAlign w:val="center"/>
          </w:tcPr>
          <w:p w14:paraId="343F049E">
            <w:pPr>
              <w:jc w:val="right"/>
              <w:rPr>
                <w:rFonts w:hint="eastAsia" w:ascii="宋体" w:hAnsi="宋体" w:cs="宋体"/>
                <w:kern w:val="0"/>
                <w:sz w:val="21"/>
                <w:szCs w:val="21"/>
              </w:rPr>
            </w:pPr>
          </w:p>
        </w:tc>
        <w:tc>
          <w:tcPr>
            <w:tcW w:w="1079" w:type="dxa"/>
            <w:noWrap w:val="0"/>
            <w:vAlign w:val="center"/>
          </w:tcPr>
          <w:p w14:paraId="40B45746">
            <w:pPr>
              <w:widowControl/>
              <w:jc w:val="center"/>
              <w:rPr>
                <w:rFonts w:hint="eastAsia" w:ascii="宋体" w:hAnsi="宋体" w:cs="宋体"/>
                <w:kern w:val="0"/>
                <w:szCs w:val="21"/>
              </w:rPr>
            </w:pPr>
          </w:p>
        </w:tc>
        <w:tc>
          <w:tcPr>
            <w:tcW w:w="1079" w:type="dxa"/>
            <w:noWrap w:val="0"/>
            <w:vAlign w:val="center"/>
          </w:tcPr>
          <w:p w14:paraId="65B1BE4C">
            <w:pPr>
              <w:widowControl/>
              <w:jc w:val="center"/>
              <w:rPr>
                <w:rFonts w:hint="eastAsia" w:ascii="宋体" w:hAnsi="宋体" w:cs="宋体"/>
                <w:kern w:val="0"/>
                <w:szCs w:val="21"/>
              </w:rPr>
            </w:pPr>
          </w:p>
        </w:tc>
      </w:tr>
      <w:tr w14:paraId="62A223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1BF1FD52">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302-1</w:t>
            </w:r>
          </w:p>
        </w:tc>
        <w:tc>
          <w:tcPr>
            <w:tcW w:w="4572" w:type="dxa"/>
            <w:noWrap w:val="0"/>
            <w:vAlign w:val="center"/>
          </w:tcPr>
          <w:p w14:paraId="3524272F">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破板修复</w:t>
            </w:r>
          </w:p>
        </w:tc>
        <w:tc>
          <w:tcPr>
            <w:tcW w:w="899" w:type="dxa"/>
            <w:noWrap w:val="0"/>
            <w:vAlign w:val="center"/>
          </w:tcPr>
          <w:p w14:paraId="2E51A0E6">
            <w:pPr>
              <w:jc w:val="center"/>
              <w:rPr>
                <w:rFonts w:hint="eastAsia" w:ascii="宋体" w:hAnsi="宋体" w:cs="宋体"/>
                <w:kern w:val="0"/>
                <w:sz w:val="21"/>
                <w:szCs w:val="21"/>
              </w:rPr>
            </w:pPr>
          </w:p>
        </w:tc>
        <w:tc>
          <w:tcPr>
            <w:tcW w:w="899" w:type="dxa"/>
            <w:noWrap w:val="0"/>
            <w:vAlign w:val="center"/>
          </w:tcPr>
          <w:p w14:paraId="67A88801">
            <w:pPr>
              <w:jc w:val="right"/>
              <w:rPr>
                <w:rFonts w:hint="eastAsia" w:ascii="宋体" w:hAnsi="宋体" w:cs="宋体"/>
                <w:kern w:val="0"/>
                <w:sz w:val="21"/>
                <w:szCs w:val="21"/>
              </w:rPr>
            </w:pPr>
          </w:p>
        </w:tc>
        <w:tc>
          <w:tcPr>
            <w:tcW w:w="1079" w:type="dxa"/>
            <w:noWrap w:val="0"/>
            <w:vAlign w:val="center"/>
          </w:tcPr>
          <w:p w14:paraId="4CF3EFE5">
            <w:pPr>
              <w:widowControl/>
              <w:jc w:val="center"/>
              <w:rPr>
                <w:rFonts w:hint="eastAsia" w:ascii="宋体" w:hAnsi="宋体" w:cs="宋体"/>
                <w:kern w:val="0"/>
                <w:szCs w:val="21"/>
              </w:rPr>
            </w:pPr>
          </w:p>
        </w:tc>
        <w:tc>
          <w:tcPr>
            <w:tcW w:w="1079" w:type="dxa"/>
            <w:noWrap w:val="0"/>
            <w:vAlign w:val="center"/>
          </w:tcPr>
          <w:p w14:paraId="302D7125">
            <w:pPr>
              <w:widowControl/>
              <w:jc w:val="center"/>
              <w:rPr>
                <w:rFonts w:hint="eastAsia" w:ascii="宋体" w:hAnsi="宋体" w:cs="宋体"/>
                <w:kern w:val="0"/>
                <w:szCs w:val="21"/>
              </w:rPr>
            </w:pPr>
          </w:p>
        </w:tc>
      </w:tr>
      <w:tr w14:paraId="7ED259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3B31CE23">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-a</w:t>
            </w:r>
          </w:p>
        </w:tc>
        <w:tc>
          <w:tcPr>
            <w:tcW w:w="4572" w:type="dxa"/>
            <w:noWrap w:val="0"/>
            <w:vAlign w:val="center"/>
          </w:tcPr>
          <w:p w14:paraId="78B207D2">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C40混凝土修复</w:t>
            </w:r>
          </w:p>
        </w:tc>
        <w:tc>
          <w:tcPr>
            <w:tcW w:w="899" w:type="dxa"/>
            <w:noWrap w:val="0"/>
            <w:vAlign w:val="center"/>
          </w:tcPr>
          <w:p w14:paraId="6680B2DA">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m3</w:t>
            </w:r>
          </w:p>
        </w:tc>
        <w:tc>
          <w:tcPr>
            <w:tcW w:w="899" w:type="dxa"/>
            <w:noWrap w:val="0"/>
            <w:vAlign w:val="center"/>
          </w:tcPr>
          <w:p w14:paraId="59C2F120">
            <w:pPr>
              <w:keepNext w:val="0"/>
              <w:keepLines w:val="0"/>
              <w:widowControl/>
              <w:suppressLineNumbers w:val="0"/>
              <w:jc w:val="right"/>
              <w:textAlignment w:val="center"/>
              <w:rPr>
                <w:rFonts w:hint="eastAsia" w:ascii="宋体" w:hAnsi="宋体" w:cs="宋体"/>
                <w:kern w:val="0"/>
                <w:sz w:val="21"/>
                <w:szCs w:val="21"/>
              </w:rPr>
            </w:pPr>
            <w:r>
              <w:rPr>
                <w:rFonts w:hint="default" w:ascii="Arial Narrow" w:hAnsi="Arial Narrow" w:eastAsia="Arial Narrow" w:cs="Arial Narrow"/>
                <w:i w:val="0"/>
                <w:iCs w:val="0"/>
                <w:color w:val="000000"/>
                <w:kern w:val="0"/>
                <w:sz w:val="21"/>
                <w:szCs w:val="21"/>
                <w:u w:val="none"/>
                <w:lang w:val="en-US" w:eastAsia="zh-CN" w:bidi="ar"/>
              </w:rPr>
              <w:t>100</w:t>
            </w:r>
          </w:p>
        </w:tc>
        <w:tc>
          <w:tcPr>
            <w:tcW w:w="1079" w:type="dxa"/>
            <w:noWrap w:val="0"/>
            <w:vAlign w:val="center"/>
          </w:tcPr>
          <w:p w14:paraId="29E19C70">
            <w:pPr>
              <w:widowControl/>
              <w:jc w:val="center"/>
              <w:rPr>
                <w:rFonts w:hint="eastAsia" w:ascii="宋体" w:hAnsi="宋体" w:cs="宋体"/>
                <w:kern w:val="0"/>
                <w:szCs w:val="21"/>
              </w:rPr>
            </w:pPr>
          </w:p>
        </w:tc>
        <w:tc>
          <w:tcPr>
            <w:tcW w:w="1079" w:type="dxa"/>
            <w:noWrap w:val="0"/>
            <w:vAlign w:val="center"/>
          </w:tcPr>
          <w:p w14:paraId="2FFD3E4A">
            <w:pPr>
              <w:widowControl/>
              <w:jc w:val="center"/>
              <w:rPr>
                <w:rFonts w:hint="eastAsia" w:ascii="宋体" w:hAnsi="宋体" w:cs="宋体"/>
                <w:kern w:val="0"/>
                <w:szCs w:val="21"/>
              </w:rPr>
            </w:pPr>
          </w:p>
        </w:tc>
      </w:tr>
      <w:tr w14:paraId="6EBA0A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381A9E20">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-b</w:t>
            </w:r>
          </w:p>
        </w:tc>
        <w:tc>
          <w:tcPr>
            <w:tcW w:w="4572" w:type="dxa"/>
            <w:noWrap w:val="0"/>
            <w:vAlign w:val="center"/>
          </w:tcPr>
          <w:p w14:paraId="0A166E4E">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沥青混凝土路面局部小修（AC-13C)</w:t>
            </w:r>
          </w:p>
        </w:tc>
        <w:tc>
          <w:tcPr>
            <w:tcW w:w="899" w:type="dxa"/>
            <w:noWrap w:val="0"/>
            <w:vAlign w:val="center"/>
          </w:tcPr>
          <w:p w14:paraId="63BB7662">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m3</w:t>
            </w:r>
          </w:p>
        </w:tc>
        <w:tc>
          <w:tcPr>
            <w:tcW w:w="899" w:type="dxa"/>
            <w:noWrap w:val="0"/>
            <w:vAlign w:val="center"/>
          </w:tcPr>
          <w:p w14:paraId="0A04E944">
            <w:pPr>
              <w:keepNext w:val="0"/>
              <w:keepLines w:val="0"/>
              <w:widowControl/>
              <w:suppressLineNumbers w:val="0"/>
              <w:jc w:val="right"/>
              <w:textAlignment w:val="center"/>
              <w:rPr>
                <w:rFonts w:hint="eastAsia" w:ascii="宋体" w:hAnsi="宋体" w:cs="宋体"/>
                <w:kern w:val="0"/>
                <w:sz w:val="21"/>
                <w:szCs w:val="21"/>
              </w:rPr>
            </w:pPr>
            <w:r>
              <w:rPr>
                <w:rFonts w:hint="default" w:ascii="Arial Narrow" w:hAnsi="Arial Narrow" w:eastAsia="Arial Narrow" w:cs="Arial Narrow"/>
                <w:i w:val="0"/>
                <w:iCs w:val="0"/>
                <w:color w:val="000000"/>
                <w:kern w:val="0"/>
                <w:sz w:val="21"/>
                <w:szCs w:val="21"/>
                <w:u w:val="none"/>
                <w:lang w:val="en-US" w:eastAsia="zh-CN" w:bidi="ar"/>
              </w:rPr>
              <w:t>250</w:t>
            </w:r>
          </w:p>
        </w:tc>
        <w:tc>
          <w:tcPr>
            <w:tcW w:w="1079" w:type="dxa"/>
            <w:noWrap w:val="0"/>
            <w:vAlign w:val="center"/>
          </w:tcPr>
          <w:p w14:paraId="543A387F">
            <w:pPr>
              <w:widowControl/>
              <w:jc w:val="center"/>
              <w:rPr>
                <w:rFonts w:hint="eastAsia" w:ascii="宋体" w:hAnsi="宋体" w:cs="宋体"/>
                <w:kern w:val="0"/>
                <w:szCs w:val="21"/>
              </w:rPr>
            </w:pPr>
          </w:p>
        </w:tc>
        <w:tc>
          <w:tcPr>
            <w:tcW w:w="1079" w:type="dxa"/>
            <w:noWrap w:val="0"/>
            <w:vAlign w:val="center"/>
          </w:tcPr>
          <w:p w14:paraId="20F8CEC0">
            <w:pPr>
              <w:widowControl/>
              <w:jc w:val="center"/>
              <w:rPr>
                <w:rFonts w:hint="eastAsia" w:ascii="宋体" w:hAnsi="宋体" w:cs="宋体"/>
                <w:kern w:val="0"/>
                <w:szCs w:val="21"/>
              </w:rPr>
            </w:pPr>
          </w:p>
        </w:tc>
      </w:tr>
      <w:tr w14:paraId="5BAFDB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4416D7A9">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-c</w:t>
            </w:r>
          </w:p>
        </w:tc>
        <w:tc>
          <w:tcPr>
            <w:tcW w:w="4572" w:type="dxa"/>
            <w:noWrap w:val="0"/>
            <w:vAlign w:val="center"/>
          </w:tcPr>
          <w:p w14:paraId="2834B1DD">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沥青混凝土路面大面积小修</w:t>
            </w:r>
          </w:p>
        </w:tc>
        <w:tc>
          <w:tcPr>
            <w:tcW w:w="899" w:type="dxa"/>
            <w:noWrap w:val="0"/>
            <w:vAlign w:val="center"/>
          </w:tcPr>
          <w:p w14:paraId="577ADB17">
            <w:pPr>
              <w:jc w:val="center"/>
              <w:rPr>
                <w:rFonts w:hint="eastAsia" w:ascii="宋体" w:hAnsi="宋体" w:cs="宋体"/>
                <w:kern w:val="0"/>
                <w:sz w:val="21"/>
                <w:szCs w:val="21"/>
              </w:rPr>
            </w:pPr>
          </w:p>
        </w:tc>
        <w:tc>
          <w:tcPr>
            <w:tcW w:w="899" w:type="dxa"/>
            <w:noWrap w:val="0"/>
            <w:vAlign w:val="center"/>
          </w:tcPr>
          <w:p w14:paraId="25662162">
            <w:pPr>
              <w:jc w:val="right"/>
              <w:rPr>
                <w:rFonts w:hint="eastAsia" w:ascii="宋体" w:hAnsi="宋体" w:cs="宋体"/>
                <w:kern w:val="0"/>
                <w:sz w:val="21"/>
                <w:szCs w:val="21"/>
              </w:rPr>
            </w:pPr>
          </w:p>
        </w:tc>
        <w:tc>
          <w:tcPr>
            <w:tcW w:w="1079" w:type="dxa"/>
            <w:noWrap w:val="0"/>
            <w:vAlign w:val="center"/>
          </w:tcPr>
          <w:p w14:paraId="0D963553">
            <w:pPr>
              <w:widowControl/>
              <w:jc w:val="center"/>
              <w:rPr>
                <w:rFonts w:hint="eastAsia" w:ascii="宋体" w:hAnsi="宋体" w:cs="宋体"/>
                <w:kern w:val="0"/>
                <w:szCs w:val="21"/>
              </w:rPr>
            </w:pPr>
          </w:p>
        </w:tc>
        <w:tc>
          <w:tcPr>
            <w:tcW w:w="1079" w:type="dxa"/>
            <w:noWrap w:val="0"/>
            <w:vAlign w:val="center"/>
          </w:tcPr>
          <w:p w14:paraId="627B5EB7">
            <w:pPr>
              <w:widowControl/>
              <w:jc w:val="center"/>
              <w:rPr>
                <w:rFonts w:hint="eastAsia" w:ascii="宋体" w:hAnsi="宋体" w:cs="宋体"/>
                <w:kern w:val="0"/>
                <w:szCs w:val="21"/>
              </w:rPr>
            </w:pPr>
          </w:p>
        </w:tc>
      </w:tr>
      <w:tr w14:paraId="5C1740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02392EDB">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-c1</w:t>
            </w:r>
          </w:p>
        </w:tc>
        <w:tc>
          <w:tcPr>
            <w:tcW w:w="4572" w:type="dxa"/>
            <w:noWrap w:val="0"/>
            <w:vAlign w:val="center"/>
          </w:tcPr>
          <w:p w14:paraId="624735D3">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普通热拌沥青混凝土（AC-13C)</w:t>
            </w:r>
          </w:p>
        </w:tc>
        <w:tc>
          <w:tcPr>
            <w:tcW w:w="899" w:type="dxa"/>
            <w:noWrap w:val="0"/>
            <w:vAlign w:val="center"/>
          </w:tcPr>
          <w:p w14:paraId="6B3DA0DA">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m3</w:t>
            </w:r>
          </w:p>
        </w:tc>
        <w:tc>
          <w:tcPr>
            <w:tcW w:w="899" w:type="dxa"/>
            <w:noWrap w:val="0"/>
            <w:vAlign w:val="center"/>
          </w:tcPr>
          <w:p w14:paraId="7C715C14">
            <w:pPr>
              <w:keepNext w:val="0"/>
              <w:keepLines w:val="0"/>
              <w:widowControl/>
              <w:suppressLineNumbers w:val="0"/>
              <w:jc w:val="right"/>
              <w:textAlignment w:val="center"/>
              <w:rPr>
                <w:rFonts w:hint="eastAsia" w:ascii="宋体" w:hAnsi="宋体" w:cs="宋体"/>
                <w:kern w:val="0"/>
                <w:sz w:val="21"/>
                <w:szCs w:val="21"/>
              </w:rPr>
            </w:pPr>
            <w:r>
              <w:rPr>
                <w:rFonts w:hint="default" w:ascii="Arial Narrow" w:hAnsi="Arial Narrow" w:eastAsia="Arial Narrow" w:cs="Arial Narrow"/>
                <w:i w:val="0"/>
                <w:iCs w:val="0"/>
                <w:color w:val="000000"/>
                <w:kern w:val="0"/>
                <w:sz w:val="21"/>
                <w:szCs w:val="21"/>
                <w:u w:val="none"/>
                <w:lang w:val="en-US" w:eastAsia="zh-CN" w:bidi="ar"/>
              </w:rPr>
              <w:t>300</w:t>
            </w:r>
          </w:p>
        </w:tc>
        <w:tc>
          <w:tcPr>
            <w:tcW w:w="1079" w:type="dxa"/>
            <w:noWrap w:val="0"/>
            <w:vAlign w:val="center"/>
          </w:tcPr>
          <w:p w14:paraId="5EA74DE7">
            <w:pPr>
              <w:widowControl/>
              <w:jc w:val="center"/>
              <w:rPr>
                <w:rFonts w:hint="eastAsia" w:ascii="宋体" w:hAnsi="宋体" w:cs="宋体"/>
                <w:kern w:val="0"/>
                <w:szCs w:val="21"/>
              </w:rPr>
            </w:pPr>
          </w:p>
        </w:tc>
        <w:tc>
          <w:tcPr>
            <w:tcW w:w="1079" w:type="dxa"/>
            <w:noWrap w:val="0"/>
            <w:vAlign w:val="center"/>
          </w:tcPr>
          <w:p w14:paraId="43349A1C">
            <w:pPr>
              <w:widowControl/>
              <w:jc w:val="center"/>
              <w:rPr>
                <w:rFonts w:hint="eastAsia" w:ascii="宋体" w:hAnsi="宋体" w:cs="宋体"/>
                <w:kern w:val="0"/>
                <w:szCs w:val="21"/>
              </w:rPr>
            </w:pPr>
          </w:p>
        </w:tc>
      </w:tr>
      <w:tr w14:paraId="351AD9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012A138D">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-c2</w:t>
            </w:r>
          </w:p>
        </w:tc>
        <w:tc>
          <w:tcPr>
            <w:tcW w:w="4572" w:type="dxa"/>
            <w:noWrap w:val="0"/>
            <w:vAlign w:val="center"/>
          </w:tcPr>
          <w:p w14:paraId="18CE8611">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普通热拌沥青混凝土(AC-20C)</w:t>
            </w:r>
          </w:p>
        </w:tc>
        <w:tc>
          <w:tcPr>
            <w:tcW w:w="899" w:type="dxa"/>
            <w:noWrap w:val="0"/>
            <w:vAlign w:val="center"/>
          </w:tcPr>
          <w:p w14:paraId="755B1E76">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m3</w:t>
            </w:r>
          </w:p>
        </w:tc>
        <w:tc>
          <w:tcPr>
            <w:tcW w:w="899" w:type="dxa"/>
            <w:noWrap w:val="0"/>
            <w:vAlign w:val="center"/>
          </w:tcPr>
          <w:p w14:paraId="69977033">
            <w:pPr>
              <w:keepNext w:val="0"/>
              <w:keepLines w:val="0"/>
              <w:widowControl/>
              <w:suppressLineNumbers w:val="0"/>
              <w:jc w:val="right"/>
              <w:textAlignment w:val="center"/>
              <w:rPr>
                <w:rFonts w:hint="eastAsia" w:ascii="宋体" w:hAnsi="宋体" w:cs="宋体"/>
                <w:kern w:val="0"/>
                <w:sz w:val="21"/>
                <w:szCs w:val="21"/>
              </w:rPr>
            </w:pPr>
            <w:r>
              <w:rPr>
                <w:rFonts w:hint="default" w:ascii="Arial Narrow" w:hAnsi="Arial Narrow" w:eastAsia="Arial Narrow" w:cs="Arial Narrow"/>
                <w:i w:val="0"/>
                <w:iCs w:val="0"/>
                <w:color w:val="000000"/>
                <w:kern w:val="0"/>
                <w:sz w:val="21"/>
                <w:szCs w:val="21"/>
                <w:u w:val="none"/>
                <w:lang w:val="en-US" w:eastAsia="zh-CN" w:bidi="ar"/>
              </w:rPr>
              <w:t>250</w:t>
            </w:r>
          </w:p>
        </w:tc>
        <w:tc>
          <w:tcPr>
            <w:tcW w:w="1079" w:type="dxa"/>
            <w:noWrap w:val="0"/>
            <w:vAlign w:val="center"/>
          </w:tcPr>
          <w:p w14:paraId="156696CA">
            <w:pPr>
              <w:widowControl/>
              <w:jc w:val="center"/>
              <w:rPr>
                <w:rFonts w:hint="eastAsia" w:ascii="宋体" w:hAnsi="宋体" w:cs="宋体"/>
                <w:kern w:val="0"/>
                <w:szCs w:val="21"/>
              </w:rPr>
            </w:pPr>
          </w:p>
        </w:tc>
        <w:tc>
          <w:tcPr>
            <w:tcW w:w="1079" w:type="dxa"/>
            <w:noWrap w:val="0"/>
            <w:vAlign w:val="center"/>
          </w:tcPr>
          <w:p w14:paraId="36C316DE">
            <w:pPr>
              <w:widowControl/>
              <w:jc w:val="center"/>
              <w:rPr>
                <w:rFonts w:hint="eastAsia" w:ascii="宋体" w:hAnsi="宋体" w:cs="宋体"/>
                <w:kern w:val="0"/>
                <w:szCs w:val="21"/>
              </w:rPr>
            </w:pPr>
          </w:p>
        </w:tc>
      </w:tr>
      <w:tr w14:paraId="33387C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3A5E809A">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-c3</w:t>
            </w:r>
          </w:p>
        </w:tc>
        <w:tc>
          <w:tcPr>
            <w:tcW w:w="4572" w:type="dxa"/>
            <w:noWrap w:val="0"/>
            <w:vAlign w:val="center"/>
          </w:tcPr>
          <w:p w14:paraId="643EE170">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普通热拌沥青混凝土(ATB-25)</w:t>
            </w:r>
          </w:p>
        </w:tc>
        <w:tc>
          <w:tcPr>
            <w:tcW w:w="899" w:type="dxa"/>
            <w:noWrap w:val="0"/>
            <w:vAlign w:val="center"/>
          </w:tcPr>
          <w:p w14:paraId="36127273">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m3</w:t>
            </w:r>
          </w:p>
        </w:tc>
        <w:tc>
          <w:tcPr>
            <w:tcW w:w="899" w:type="dxa"/>
            <w:noWrap w:val="0"/>
            <w:vAlign w:val="center"/>
          </w:tcPr>
          <w:p w14:paraId="450F6D2F">
            <w:pPr>
              <w:keepNext w:val="0"/>
              <w:keepLines w:val="0"/>
              <w:widowControl/>
              <w:suppressLineNumbers w:val="0"/>
              <w:jc w:val="right"/>
              <w:textAlignment w:val="center"/>
              <w:rPr>
                <w:rFonts w:hint="eastAsia" w:ascii="宋体" w:hAnsi="宋体" w:cs="宋体"/>
                <w:kern w:val="0"/>
                <w:sz w:val="21"/>
                <w:szCs w:val="21"/>
              </w:rPr>
            </w:pPr>
            <w:r>
              <w:rPr>
                <w:rFonts w:hint="default" w:ascii="Arial Narrow" w:hAnsi="Arial Narrow" w:eastAsia="Arial Narrow" w:cs="Arial Narrow"/>
                <w:i w:val="0"/>
                <w:iCs w:val="0"/>
                <w:color w:val="000000"/>
                <w:kern w:val="0"/>
                <w:sz w:val="21"/>
                <w:szCs w:val="21"/>
                <w:u w:val="none"/>
                <w:lang w:val="en-US" w:eastAsia="zh-CN" w:bidi="ar"/>
              </w:rPr>
              <w:t>160</w:t>
            </w:r>
          </w:p>
        </w:tc>
        <w:tc>
          <w:tcPr>
            <w:tcW w:w="1079" w:type="dxa"/>
            <w:noWrap w:val="0"/>
            <w:vAlign w:val="center"/>
          </w:tcPr>
          <w:p w14:paraId="10DA6D66">
            <w:pPr>
              <w:widowControl/>
              <w:jc w:val="center"/>
              <w:rPr>
                <w:rFonts w:hint="eastAsia" w:ascii="宋体" w:hAnsi="宋体" w:cs="宋体"/>
                <w:kern w:val="0"/>
                <w:szCs w:val="21"/>
              </w:rPr>
            </w:pPr>
          </w:p>
        </w:tc>
        <w:tc>
          <w:tcPr>
            <w:tcW w:w="1079" w:type="dxa"/>
            <w:noWrap w:val="0"/>
            <w:vAlign w:val="center"/>
          </w:tcPr>
          <w:p w14:paraId="7526EBB2">
            <w:pPr>
              <w:widowControl/>
              <w:jc w:val="center"/>
              <w:rPr>
                <w:rFonts w:hint="eastAsia" w:ascii="宋体" w:hAnsi="宋体" w:cs="宋体"/>
                <w:kern w:val="0"/>
                <w:szCs w:val="21"/>
              </w:rPr>
            </w:pPr>
          </w:p>
        </w:tc>
      </w:tr>
      <w:tr w14:paraId="25BCB3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1EF98E1E">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-c4</w:t>
            </w:r>
          </w:p>
        </w:tc>
        <w:tc>
          <w:tcPr>
            <w:tcW w:w="4572" w:type="dxa"/>
            <w:noWrap w:val="0"/>
            <w:vAlign w:val="center"/>
          </w:tcPr>
          <w:p w14:paraId="082D72C7">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改性沥青混凝土(AC-13C SBS)</w:t>
            </w:r>
          </w:p>
        </w:tc>
        <w:tc>
          <w:tcPr>
            <w:tcW w:w="899" w:type="dxa"/>
            <w:noWrap w:val="0"/>
            <w:vAlign w:val="center"/>
          </w:tcPr>
          <w:p w14:paraId="2F0DBC99">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m3</w:t>
            </w:r>
          </w:p>
        </w:tc>
        <w:tc>
          <w:tcPr>
            <w:tcW w:w="899" w:type="dxa"/>
            <w:noWrap w:val="0"/>
            <w:vAlign w:val="center"/>
          </w:tcPr>
          <w:p w14:paraId="0425886A">
            <w:pPr>
              <w:keepNext w:val="0"/>
              <w:keepLines w:val="0"/>
              <w:widowControl/>
              <w:suppressLineNumbers w:val="0"/>
              <w:jc w:val="right"/>
              <w:textAlignment w:val="center"/>
              <w:rPr>
                <w:rFonts w:hint="eastAsia" w:ascii="宋体" w:hAnsi="宋体" w:cs="宋体"/>
                <w:kern w:val="0"/>
                <w:sz w:val="21"/>
                <w:szCs w:val="21"/>
              </w:rPr>
            </w:pPr>
            <w:r>
              <w:rPr>
                <w:rFonts w:hint="default" w:ascii="Arial Narrow" w:hAnsi="Arial Narrow" w:eastAsia="Arial Narrow" w:cs="Arial Narrow"/>
                <w:i w:val="0"/>
                <w:iCs w:val="0"/>
                <w:color w:val="000000"/>
                <w:kern w:val="0"/>
                <w:sz w:val="21"/>
                <w:szCs w:val="21"/>
                <w:u w:val="none"/>
                <w:lang w:val="en-US" w:eastAsia="zh-CN" w:bidi="ar"/>
              </w:rPr>
              <w:t>150</w:t>
            </w:r>
          </w:p>
        </w:tc>
        <w:tc>
          <w:tcPr>
            <w:tcW w:w="1079" w:type="dxa"/>
            <w:noWrap w:val="0"/>
            <w:vAlign w:val="center"/>
          </w:tcPr>
          <w:p w14:paraId="4F6E5C3E">
            <w:pPr>
              <w:widowControl/>
              <w:jc w:val="center"/>
              <w:rPr>
                <w:rFonts w:hint="eastAsia" w:ascii="宋体" w:hAnsi="宋体" w:cs="宋体"/>
                <w:kern w:val="0"/>
                <w:szCs w:val="21"/>
              </w:rPr>
            </w:pPr>
          </w:p>
        </w:tc>
        <w:tc>
          <w:tcPr>
            <w:tcW w:w="1079" w:type="dxa"/>
            <w:noWrap w:val="0"/>
            <w:vAlign w:val="center"/>
          </w:tcPr>
          <w:p w14:paraId="37C0B246">
            <w:pPr>
              <w:widowControl/>
              <w:jc w:val="center"/>
              <w:rPr>
                <w:rFonts w:hint="eastAsia" w:ascii="宋体" w:hAnsi="宋体" w:cs="宋体"/>
                <w:kern w:val="0"/>
                <w:szCs w:val="21"/>
              </w:rPr>
            </w:pPr>
          </w:p>
        </w:tc>
      </w:tr>
      <w:tr w14:paraId="5169EC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171EAD01">
            <w:pPr>
              <w:keepNext w:val="0"/>
              <w:keepLines w:val="0"/>
              <w:widowControl/>
              <w:suppressLineNumbers w:val="0"/>
              <w:jc w:val="center"/>
              <w:textAlignment w:val="center"/>
              <w:rPr>
                <w:rFonts w:hint="eastAsia" w:ascii="宋体" w:hAnsi="宋体" w:eastAsia="宋体" w:cs="宋体"/>
                <w:kern w:val="0"/>
                <w:sz w:val="21"/>
                <w:szCs w:val="21"/>
                <w:lang w:eastAsia="zh-CN"/>
              </w:rPr>
            </w:pPr>
            <w:r>
              <w:rPr>
                <w:rFonts w:hint="eastAsia" w:ascii="宋体" w:hAnsi="宋体" w:eastAsia="宋体" w:cs="宋体"/>
                <w:i w:val="0"/>
                <w:iCs w:val="0"/>
                <w:color w:val="000000"/>
                <w:kern w:val="0"/>
                <w:sz w:val="21"/>
                <w:szCs w:val="21"/>
                <w:u w:val="none"/>
                <w:lang w:val="en-US" w:eastAsia="zh-CN" w:bidi="ar"/>
              </w:rPr>
              <w:t>-c5</w:t>
            </w:r>
          </w:p>
        </w:tc>
        <w:tc>
          <w:tcPr>
            <w:tcW w:w="4572" w:type="dxa"/>
            <w:noWrap w:val="0"/>
            <w:vAlign w:val="center"/>
          </w:tcPr>
          <w:p w14:paraId="0A3970E7">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改性沥青混凝土(SMA-13）</w:t>
            </w:r>
          </w:p>
        </w:tc>
        <w:tc>
          <w:tcPr>
            <w:tcW w:w="899" w:type="dxa"/>
            <w:noWrap w:val="0"/>
            <w:vAlign w:val="center"/>
          </w:tcPr>
          <w:p w14:paraId="2DFA170B">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m3</w:t>
            </w:r>
          </w:p>
        </w:tc>
        <w:tc>
          <w:tcPr>
            <w:tcW w:w="899" w:type="dxa"/>
            <w:noWrap w:val="0"/>
            <w:vAlign w:val="center"/>
          </w:tcPr>
          <w:p w14:paraId="6841FAAF">
            <w:pPr>
              <w:keepNext w:val="0"/>
              <w:keepLines w:val="0"/>
              <w:widowControl/>
              <w:suppressLineNumbers w:val="0"/>
              <w:jc w:val="right"/>
              <w:textAlignment w:val="center"/>
              <w:rPr>
                <w:rFonts w:hint="eastAsia" w:ascii="宋体" w:hAnsi="宋体" w:cs="宋体"/>
                <w:kern w:val="0"/>
                <w:sz w:val="21"/>
                <w:szCs w:val="21"/>
              </w:rPr>
            </w:pPr>
            <w:r>
              <w:rPr>
                <w:rFonts w:hint="default" w:ascii="Arial Narrow" w:hAnsi="Arial Narrow" w:eastAsia="Arial Narrow" w:cs="Arial Narrow"/>
                <w:i w:val="0"/>
                <w:iCs w:val="0"/>
                <w:color w:val="000000"/>
                <w:kern w:val="0"/>
                <w:sz w:val="21"/>
                <w:szCs w:val="21"/>
                <w:u w:val="none"/>
                <w:lang w:val="en-US" w:eastAsia="zh-CN" w:bidi="ar"/>
              </w:rPr>
              <w:t>80</w:t>
            </w:r>
          </w:p>
        </w:tc>
        <w:tc>
          <w:tcPr>
            <w:tcW w:w="1079" w:type="dxa"/>
            <w:noWrap w:val="0"/>
            <w:vAlign w:val="center"/>
          </w:tcPr>
          <w:p w14:paraId="52CA1192">
            <w:pPr>
              <w:widowControl/>
              <w:jc w:val="center"/>
              <w:rPr>
                <w:rFonts w:hint="eastAsia" w:ascii="宋体" w:hAnsi="宋体" w:cs="宋体"/>
                <w:kern w:val="0"/>
                <w:szCs w:val="21"/>
              </w:rPr>
            </w:pPr>
          </w:p>
        </w:tc>
        <w:tc>
          <w:tcPr>
            <w:tcW w:w="1079" w:type="dxa"/>
            <w:noWrap w:val="0"/>
            <w:vAlign w:val="center"/>
          </w:tcPr>
          <w:p w14:paraId="2D0383FD">
            <w:pPr>
              <w:widowControl/>
              <w:jc w:val="center"/>
              <w:rPr>
                <w:rFonts w:hint="eastAsia" w:ascii="宋体" w:hAnsi="宋体" w:cs="宋体"/>
                <w:kern w:val="0"/>
                <w:szCs w:val="21"/>
              </w:rPr>
            </w:pPr>
          </w:p>
        </w:tc>
      </w:tr>
      <w:tr w14:paraId="4E80A4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23043C9B">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-d</w:t>
            </w:r>
          </w:p>
        </w:tc>
        <w:tc>
          <w:tcPr>
            <w:tcW w:w="4572" w:type="dxa"/>
            <w:noWrap w:val="0"/>
            <w:vAlign w:val="center"/>
          </w:tcPr>
          <w:p w14:paraId="32367A1A">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乳化沥青粘层</w:t>
            </w:r>
          </w:p>
        </w:tc>
        <w:tc>
          <w:tcPr>
            <w:tcW w:w="899" w:type="dxa"/>
            <w:noWrap w:val="0"/>
            <w:vAlign w:val="center"/>
          </w:tcPr>
          <w:p w14:paraId="2DF4E74C">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m2</w:t>
            </w:r>
          </w:p>
        </w:tc>
        <w:tc>
          <w:tcPr>
            <w:tcW w:w="899" w:type="dxa"/>
            <w:noWrap w:val="0"/>
            <w:vAlign w:val="center"/>
          </w:tcPr>
          <w:p w14:paraId="615FD8D0">
            <w:pPr>
              <w:keepNext w:val="0"/>
              <w:keepLines w:val="0"/>
              <w:widowControl/>
              <w:suppressLineNumbers w:val="0"/>
              <w:jc w:val="right"/>
              <w:textAlignment w:val="center"/>
              <w:rPr>
                <w:rFonts w:hint="eastAsia" w:ascii="宋体" w:hAnsi="宋体" w:cs="宋体"/>
                <w:kern w:val="0"/>
                <w:sz w:val="21"/>
                <w:szCs w:val="21"/>
              </w:rPr>
            </w:pPr>
            <w:r>
              <w:rPr>
                <w:rFonts w:hint="default" w:ascii="Arial Narrow" w:hAnsi="Arial Narrow" w:eastAsia="Arial Narrow" w:cs="Arial Narrow"/>
                <w:i w:val="0"/>
                <w:iCs w:val="0"/>
                <w:color w:val="000000"/>
                <w:kern w:val="0"/>
                <w:sz w:val="21"/>
                <w:szCs w:val="21"/>
                <w:u w:val="none"/>
                <w:lang w:val="en-US" w:eastAsia="zh-CN" w:bidi="ar"/>
              </w:rPr>
              <w:t>16050</w:t>
            </w:r>
          </w:p>
        </w:tc>
        <w:tc>
          <w:tcPr>
            <w:tcW w:w="1079" w:type="dxa"/>
            <w:noWrap w:val="0"/>
            <w:vAlign w:val="center"/>
          </w:tcPr>
          <w:p w14:paraId="45082662">
            <w:pPr>
              <w:widowControl/>
              <w:jc w:val="center"/>
              <w:rPr>
                <w:rFonts w:hint="eastAsia" w:ascii="宋体" w:hAnsi="宋体" w:cs="宋体"/>
                <w:kern w:val="0"/>
                <w:szCs w:val="21"/>
              </w:rPr>
            </w:pPr>
          </w:p>
        </w:tc>
        <w:tc>
          <w:tcPr>
            <w:tcW w:w="1079" w:type="dxa"/>
            <w:noWrap w:val="0"/>
            <w:vAlign w:val="center"/>
          </w:tcPr>
          <w:p w14:paraId="52E7B993">
            <w:pPr>
              <w:widowControl/>
              <w:jc w:val="center"/>
              <w:rPr>
                <w:rFonts w:hint="eastAsia" w:ascii="宋体" w:hAnsi="宋体" w:cs="宋体"/>
                <w:kern w:val="0"/>
                <w:szCs w:val="21"/>
              </w:rPr>
            </w:pPr>
          </w:p>
        </w:tc>
      </w:tr>
      <w:tr w14:paraId="5E4EF6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507F16C0">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-e</w:t>
            </w:r>
          </w:p>
        </w:tc>
        <w:tc>
          <w:tcPr>
            <w:tcW w:w="4572" w:type="dxa"/>
            <w:noWrap w:val="0"/>
            <w:vAlign w:val="center"/>
          </w:tcPr>
          <w:p w14:paraId="609BB22C">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冷补沥青混凝土</w:t>
            </w:r>
          </w:p>
        </w:tc>
        <w:tc>
          <w:tcPr>
            <w:tcW w:w="899" w:type="dxa"/>
            <w:noWrap w:val="0"/>
            <w:vAlign w:val="center"/>
          </w:tcPr>
          <w:p w14:paraId="703395A9">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m3</w:t>
            </w:r>
          </w:p>
        </w:tc>
        <w:tc>
          <w:tcPr>
            <w:tcW w:w="899" w:type="dxa"/>
            <w:noWrap w:val="0"/>
            <w:vAlign w:val="center"/>
          </w:tcPr>
          <w:p w14:paraId="486A62E1">
            <w:pPr>
              <w:keepNext w:val="0"/>
              <w:keepLines w:val="0"/>
              <w:widowControl/>
              <w:suppressLineNumbers w:val="0"/>
              <w:jc w:val="right"/>
              <w:textAlignment w:val="center"/>
              <w:rPr>
                <w:rFonts w:hint="eastAsia" w:ascii="宋体" w:hAnsi="宋体" w:cs="宋体"/>
                <w:kern w:val="0"/>
                <w:sz w:val="21"/>
                <w:szCs w:val="21"/>
              </w:rPr>
            </w:pPr>
            <w:r>
              <w:rPr>
                <w:rFonts w:hint="default" w:ascii="Arial Narrow" w:hAnsi="Arial Narrow" w:eastAsia="Arial Narrow" w:cs="Arial Narrow"/>
                <w:i w:val="0"/>
                <w:iCs w:val="0"/>
                <w:color w:val="000000"/>
                <w:kern w:val="0"/>
                <w:sz w:val="21"/>
                <w:szCs w:val="21"/>
                <w:u w:val="none"/>
                <w:lang w:val="en-US" w:eastAsia="zh-CN" w:bidi="ar"/>
              </w:rPr>
              <w:t>180</w:t>
            </w:r>
          </w:p>
        </w:tc>
        <w:tc>
          <w:tcPr>
            <w:tcW w:w="1079" w:type="dxa"/>
            <w:noWrap w:val="0"/>
            <w:vAlign w:val="center"/>
          </w:tcPr>
          <w:p w14:paraId="74D9C6F5">
            <w:pPr>
              <w:widowControl/>
              <w:jc w:val="center"/>
              <w:rPr>
                <w:rFonts w:hint="eastAsia" w:ascii="宋体" w:hAnsi="宋体" w:cs="宋体"/>
                <w:kern w:val="0"/>
                <w:szCs w:val="21"/>
              </w:rPr>
            </w:pPr>
          </w:p>
        </w:tc>
        <w:tc>
          <w:tcPr>
            <w:tcW w:w="1079" w:type="dxa"/>
            <w:noWrap w:val="0"/>
            <w:vAlign w:val="center"/>
          </w:tcPr>
          <w:p w14:paraId="224CBBB0">
            <w:pPr>
              <w:widowControl/>
              <w:jc w:val="center"/>
              <w:rPr>
                <w:rFonts w:hint="eastAsia" w:ascii="宋体" w:hAnsi="宋体" w:cs="宋体"/>
                <w:kern w:val="0"/>
                <w:szCs w:val="21"/>
              </w:rPr>
            </w:pPr>
          </w:p>
        </w:tc>
      </w:tr>
      <w:tr w14:paraId="1FA843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43EC4F75">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-f</w:t>
            </w:r>
          </w:p>
        </w:tc>
        <w:tc>
          <w:tcPr>
            <w:tcW w:w="4572" w:type="dxa"/>
            <w:noWrap w:val="0"/>
            <w:vAlign w:val="center"/>
          </w:tcPr>
          <w:p w14:paraId="5F41AF72">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灌入式沥青砼（SBS）</w:t>
            </w:r>
          </w:p>
        </w:tc>
        <w:tc>
          <w:tcPr>
            <w:tcW w:w="899" w:type="dxa"/>
            <w:noWrap w:val="0"/>
            <w:vAlign w:val="center"/>
          </w:tcPr>
          <w:p w14:paraId="3BA3496C">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m3</w:t>
            </w:r>
          </w:p>
        </w:tc>
        <w:tc>
          <w:tcPr>
            <w:tcW w:w="899" w:type="dxa"/>
            <w:noWrap w:val="0"/>
            <w:vAlign w:val="center"/>
          </w:tcPr>
          <w:p w14:paraId="1F2ECD59">
            <w:pPr>
              <w:keepNext w:val="0"/>
              <w:keepLines w:val="0"/>
              <w:widowControl/>
              <w:suppressLineNumbers w:val="0"/>
              <w:jc w:val="right"/>
              <w:textAlignment w:val="center"/>
              <w:rPr>
                <w:rFonts w:hint="eastAsia" w:ascii="宋体" w:hAnsi="宋体" w:cs="宋体"/>
                <w:kern w:val="0"/>
                <w:sz w:val="21"/>
                <w:szCs w:val="21"/>
              </w:rPr>
            </w:pPr>
            <w:r>
              <w:rPr>
                <w:rFonts w:hint="default" w:ascii="Arial Narrow" w:hAnsi="Arial Narrow" w:eastAsia="Arial Narrow" w:cs="Arial Narrow"/>
                <w:i w:val="0"/>
                <w:iCs w:val="0"/>
                <w:color w:val="000000"/>
                <w:kern w:val="0"/>
                <w:sz w:val="21"/>
                <w:szCs w:val="21"/>
                <w:u w:val="none"/>
                <w:lang w:val="en-US" w:eastAsia="zh-CN" w:bidi="ar"/>
              </w:rPr>
              <w:t>50</w:t>
            </w:r>
          </w:p>
        </w:tc>
        <w:tc>
          <w:tcPr>
            <w:tcW w:w="1079" w:type="dxa"/>
            <w:noWrap w:val="0"/>
            <w:vAlign w:val="center"/>
          </w:tcPr>
          <w:p w14:paraId="16359EBB">
            <w:pPr>
              <w:widowControl/>
              <w:jc w:val="center"/>
              <w:rPr>
                <w:rFonts w:hint="eastAsia" w:ascii="宋体" w:hAnsi="宋体" w:cs="宋体"/>
                <w:kern w:val="0"/>
                <w:szCs w:val="21"/>
              </w:rPr>
            </w:pPr>
          </w:p>
        </w:tc>
        <w:tc>
          <w:tcPr>
            <w:tcW w:w="1079" w:type="dxa"/>
            <w:noWrap w:val="0"/>
            <w:vAlign w:val="center"/>
          </w:tcPr>
          <w:p w14:paraId="0B785C78">
            <w:pPr>
              <w:widowControl/>
              <w:jc w:val="center"/>
              <w:rPr>
                <w:rFonts w:hint="eastAsia" w:ascii="宋体" w:hAnsi="宋体" w:cs="宋体"/>
                <w:kern w:val="0"/>
                <w:szCs w:val="21"/>
              </w:rPr>
            </w:pPr>
          </w:p>
        </w:tc>
      </w:tr>
      <w:tr w14:paraId="79622B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54AA94E6">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-g</w:t>
            </w:r>
          </w:p>
        </w:tc>
        <w:tc>
          <w:tcPr>
            <w:tcW w:w="4572" w:type="dxa"/>
            <w:noWrap w:val="0"/>
            <w:vAlign w:val="center"/>
          </w:tcPr>
          <w:p w14:paraId="7BA5161B">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1cm渗固磨耗层</w:t>
            </w:r>
          </w:p>
        </w:tc>
        <w:tc>
          <w:tcPr>
            <w:tcW w:w="899" w:type="dxa"/>
            <w:noWrap w:val="0"/>
            <w:vAlign w:val="center"/>
          </w:tcPr>
          <w:p w14:paraId="39C20344">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m2</w:t>
            </w:r>
          </w:p>
        </w:tc>
        <w:tc>
          <w:tcPr>
            <w:tcW w:w="899" w:type="dxa"/>
            <w:noWrap w:val="0"/>
            <w:vAlign w:val="center"/>
          </w:tcPr>
          <w:p w14:paraId="3305F43D">
            <w:pPr>
              <w:keepNext w:val="0"/>
              <w:keepLines w:val="0"/>
              <w:widowControl/>
              <w:suppressLineNumbers w:val="0"/>
              <w:jc w:val="right"/>
              <w:textAlignment w:val="center"/>
              <w:rPr>
                <w:rFonts w:hint="eastAsia" w:ascii="宋体" w:hAnsi="宋体" w:cs="宋体"/>
                <w:kern w:val="0"/>
                <w:sz w:val="21"/>
                <w:szCs w:val="21"/>
              </w:rPr>
            </w:pPr>
            <w:r>
              <w:rPr>
                <w:rFonts w:hint="default" w:ascii="Arial Narrow" w:hAnsi="Arial Narrow" w:eastAsia="Arial Narrow" w:cs="Arial Narrow"/>
                <w:i w:val="0"/>
                <w:iCs w:val="0"/>
                <w:color w:val="000000"/>
                <w:kern w:val="0"/>
                <w:sz w:val="21"/>
                <w:szCs w:val="21"/>
                <w:u w:val="none"/>
                <w:lang w:val="en-US" w:eastAsia="zh-CN" w:bidi="ar"/>
              </w:rPr>
              <w:t>200</w:t>
            </w:r>
          </w:p>
        </w:tc>
        <w:tc>
          <w:tcPr>
            <w:tcW w:w="1079" w:type="dxa"/>
            <w:noWrap w:val="0"/>
            <w:vAlign w:val="center"/>
          </w:tcPr>
          <w:p w14:paraId="0CD863F0">
            <w:pPr>
              <w:widowControl/>
              <w:jc w:val="center"/>
              <w:rPr>
                <w:rFonts w:hint="eastAsia" w:ascii="宋体" w:hAnsi="宋体" w:cs="宋体"/>
                <w:kern w:val="0"/>
                <w:szCs w:val="21"/>
              </w:rPr>
            </w:pPr>
          </w:p>
        </w:tc>
        <w:tc>
          <w:tcPr>
            <w:tcW w:w="1079" w:type="dxa"/>
            <w:noWrap w:val="0"/>
            <w:vAlign w:val="center"/>
          </w:tcPr>
          <w:p w14:paraId="5EED5FF7">
            <w:pPr>
              <w:widowControl/>
              <w:jc w:val="center"/>
              <w:rPr>
                <w:rFonts w:hint="eastAsia" w:ascii="宋体" w:hAnsi="宋体" w:cs="宋体"/>
                <w:kern w:val="0"/>
                <w:szCs w:val="21"/>
              </w:rPr>
            </w:pPr>
          </w:p>
        </w:tc>
      </w:tr>
      <w:tr w14:paraId="420B1D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2C9ADEC9">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-h</w:t>
            </w:r>
          </w:p>
        </w:tc>
        <w:tc>
          <w:tcPr>
            <w:tcW w:w="4572" w:type="dxa"/>
            <w:noWrap w:val="0"/>
            <w:vAlign w:val="center"/>
          </w:tcPr>
          <w:p w14:paraId="51B2702F">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1.5cm超薄沥青磨耗层</w:t>
            </w:r>
          </w:p>
        </w:tc>
        <w:tc>
          <w:tcPr>
            <w:tcW w:w="899" w:type="dxa"/>
            <w:noWrap w:val="0"/>
            <w:vAlign w:val="center"/>
          </w:tcPr>
          <w:p w14:paraId="05D567B4">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m2</w:t>
            </w:r>
          </w:p>
        </w:tc>
        <w:tc>
          <w:tcPr>
            <w:tcW w:w="899" w:type="dxa"/>
            <w:noWrap w:val="0"/>
            <w:vAlign w:val="center"/>
          </w:tcPr>
          <w:p w14:paraId="2ADA67F2">
            <w:pPr>
              <w:keepNext w:val="0"/>
              <w:keepLines w:val="0"/>
              <w:widowControl/>
              <w:suppressLineNumbers w:val="0"/>
              <w:jc w:val="right"/>
              <w:textAlignment w:val="center"/>
              <w:rPr>
                <w:rFonts w:hint="eastAsia" w:ascii="宋体" w:hAnsi="宋体" w:cs="宋体"/>
                <w:kern w:val="0"/>
                <w:sz w:val="21"/>
                <w:szCs w:val="21"/>
              </w:rPr>
            </w:pPr>
            <w:r>
              <w:rPr>
                <w:rFonts w:hint="default" w:ascii="Arial Narrow" w:hAnsi="Arial Narrow" w:eastAsia="Arial Narrow" w:cs="Arial Narrow"/>
                <w:i w:val="0"/>
                <w:iCs w:val="0"/>
                <w:color w:val="000000"/>
                <w:kern w:val="0"/>
                <w:sz w:val="21"/>
                <w:szCs w:val="21"/>
                <w:u w:val="none"/>
                <w:lang w:val="en-US" w:eastAsia="zh-CN" w:bidi="ar"/>
              </w:rPr>
              <w:t>200</w:t>
            </w:r>
          </w:p>
        </w:tc>
        <w:tc>
          <w:tcPr>
            <w:tcW w:w="1079" w:type="dxa"/>
            <w:noWrap w:val="0"/>
            <w:vAlign w:val="center"/>
          </w:tcPr>
          <w:p w14:paraId="54E6673A">
            <w:pPr>
              <w:widowControl/>
              <w:jc w:val="center"/>
              <w:rPr>
                <w:rFonts w:hint="eastAsia" w:ascii="宋体" w:hAnsi="宋体" w:cs="宋体"/>
                <w:kern w:val="0"/>
                <w:szCs w:val="21"/>
              </w:rPr>
            </w:pPr>
          </w:p>
        </w:tc>
        <w:tc>
          <w:tcPr>
            <w:tcW w:w="1079" w:type="dxa"/>
            <w:noWrap w:val="0"/>
            <w:vAlign w:val="center"/>
          </w:tcPr>
          <w:p w14:paraId="23AE2167">
            <w:pPr>
              <w:widowControl/>
              <w:jc w:val="center"/>
              <w:rPr>
                <w:rFonts w:hint="eastAsia" w:ascii="宋体" w:hAnsi="宋体" w:cs="宋体"/>
                <w:kern w:val="0"/>
                <w:szCs w:val="21"/>
              </w:rPr>
            </w:pPr>
          </w:p>
        </w:tc>
      </w:tr>
      <w:tr w14:paraId="5B95FE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6BF761AA">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302-2</w:t>
            </w:r>
          </w:p>
        </w:tc>
        <w:tc>
          <w:tcPr>
            <w:tcW w:w="4572" w:type="dxa"/>
            <w:noWrap w:val="0"/>
            <w:vAlign w:val="center"/>
          </w:tcPr>
          <w:p w14:paraId="7828203C">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地聚合物注浆</w:t>
            </w:r>
          </w:p>
        </w:tc>
        <w:tc>
          <w:tcPr>
            <w:tcW w:w="899" w:type="dxa"/>
            <w:noWrap w:val="0"/>
            <w:vAlign w:val="center"/>
          </w:tcPr>
          <w:p w14:paraId="180F5619">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m2</w:t>
            </w:r>
          </w:p>
        </w:tc>
        <w:tc>
          <w:tcPr>
            <w:tcW w:w="899" w:type="dxa"/>
            <w:noWrap w:val="0"/>
            <w:vAlign w:val="center"/>
          </w:tcPr>
          <w:p w14:paraId="607F3C80">
            <w:pPr>
              <w:keepNext w:val="0"/>
              <w:keepLines w:val="0"/>
              <w:widowControl/>
              <w:suppressLineNumbers w:val="0"/>
              <w:jc w:val="right"/>
              <w:textAlignment w:val="center"/>
              <w:rPr>
                <w:rFonts w:hint="eastAsia" w:ascii="宋体" w:hAnsi="宋体" w:cs="宋体"/>
                <w:kern w:val="0"/>
                <w:sz w:val="21"/>
                <w:szCs w:val="21"/>
              </w:rPr>
            </w:pPr>
            <w:r>
              <w:rPr>
                <w:rFonts w:hint="default" w:ascii="Arial Narrow" w:hAnsi="Arial Narrow" w:eastAsia="Arial Narrow" w:cs="Arial Narrow"/>
                <w:i w:val="0"/>
                <w:iCs w:val="0"/>
                <w:color w:val="000000"/>
                <w:kern w:val="0"/>
                <w:sz w:val="21"/>
                <w:szCs w:val="21"/>
                <w:u w:val="none"/>
                <w:lang w:val="en-US" w:eastAsia="zh-CN" w:bidi="ar"/>
              </w:rPr>
              <w:t>200</w:t>
            </w:r>
          </w:p>
        </w:tc>
        <w:tc>
          <w:tcPr>
            <w:tcW w:w="1079" w:type="dxa"/>
            <w:noWrap w:val="0"/>
            <w:vAlign w:val="center"/>
          </w:tcPr>
          <w:p w14:paraId="2BABD874">
            <w:pPr>
              <w:widowControl/>
              <w:jc w:val="center"/>
              <w:rPr>
                <w:rFonts w:hint="eastAsia" w:ascii="宋体" w:hAnsi="宋体" w:cs="宋体"/>
                <w:kern w:val="0"/>
                <w:szCs w:val="21"/>
              </w:rPr>
            </w:pPr>
          </w:p>
        </w:tc>
        <w:tc>
          <w:tcPr>
            <w:tcW w:w="1079" w:type="dxa"/>
            <w:noWrap w:val="0"/>
            <w:vAlign w:val="center"/>
          </w:tcPr>
          <w:p w14:paraId="1C80BD95">
            <w:pPr>
              <w:widowControl/>
              <w:jc w:val="center"/>
              <w:rPr>
                <w:rFonts w:hint="eastAsia" w:ascii="宋体" w:hAnsi="宋体" w:cs="宋体"/>
                <w:kern w:val="0"/>
                <w:szCs w:val="21"/>
              </w:rPr>
            </w:pPr>
          </w:p>
        </w:tc>
      </w:tr>
      <w:tr w14:paraId="1C0BCD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59D4E612">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303</w:t>
            </w:r>
          </w:p>
        </w:tc>
        <w:tc>
          <w:tcPr>
            <w:tcW w:w="4572" w:type="dxa"/>
            <w:noWrap w:val="0"/>
            <w:vAlign w:val="center"/>
          </w:tcPr>
          <w:p w14:paraId="44FCE923">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沥青混凝土路面维修</w:t>
            </w:r>
          </w:p>
        </w:tc>
        <w:tc>
          <w:tcPr>
            <w:tcW w:w="899" w:type="dxa"/>
            <w:noWrap w:val="0"/>
            <w:vAlign w:val="center"/>
          </w:tcPr>
          <w:p w14:paraId="530E0BC3">
            <w:pPr>
              <w:jc w:val="center"/>
              <w:rPr>
                <w:rFonts w:hint="eastAsia" w:ascii="宋体" w:hAnsi="宋体" w:cs="宋体"/>
                <w:kern w:val="0"/>
                <w:sz w:val="21"/>
                <w:szCs w:val="21"/>
              </w:rPr>
            </w:pPr>
          </w:p>
        </w:tc>
        <w:tc>
          <w:tcPr>
            <w:tcW w:w="899" w:type="dxa"/>
            <w:noWrap w:val="0"/>
            <w:vAlign w:val="center"/>
          </w:tcPr>
          <w:p w14:paraId="1795C6F7">
            <w:pPr>
              <w:jc w:val="right"/>
              <w:rPr>
                <w:rFonts w:hint="eastAsia" w:ascii="宋体" w:hAnsi="宋体" w:cs="宋体"/>
                <w:kern w:val="0"/>
                <w:sz w:val="21"/>
                <w:szCs w:val="21"/>
              </w:rPr>
            </w:pPr>
          </w:p>
        </w:tc>
        <w:tc>
          <w:tcPr>
            <w:tcW w:w="1079" w:type="dxa"/>
            <w:noWrap w:val="0"/>
            <w:vAlign w:val="center"/>
          </w:tcPr>
          <w:p w14:paraId="3383D1E1">
            <w:pPr>
              <w:widowControl/>
              <w:jc w:val="center"/>
              <w:rPr>
                <w:rFonts w:hint="eastAsia" w:ascii="宋体" w:hAnsi="宋体" w:cs="宋体"/>
                <w:kern w:val="0"/>
                <w:szCs w:val="21"/>
              </w:rPr>
            </w:pPr>
          </w:p>
        </w:tc>
        <w:tc>
          <w:tcPr>
            <w:tcW w:w="1079" w:type="dxa"/>
            <w:noWrap w:val="0"/>
            <w:vAlign w:val="center"/>
          </w:tcPr>
          <w:p w14:paraId="26644ABD">
            <w:pPr>
              <w:widowControl/>
              <w:jc w:val="center"/>
              <w:rPr>
                <w:rFonts w:hint="eastAsia" w:ascii="宋体" w:hAnsi="宋体" w:cs="宋体"/>
                <w:kern w:val="0"/>
                <w:szCs w:val="21"/>
              </w:rPr>
            </w:pPr>
          </w:p>
        </w:tc>
      </w:tr>
      <w:tr w14:paraId="4311FE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7E0D69BB">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303-1</w:t>
            </w:r>
          </w:p>
        </w:tc>
        <w:tc>
          <w:tcPr>
            <w:tcW w:w="4572" w:type="dxa"/>
            <w:noWrap w:val="0"/>
            <w:vAlign w:val="center"/>
          </w:tcPr>
          <w:p w14:paraId="7FB46855">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纵横向裂缝维修</w:t>
            </w:r>
          </w:p>
        </w:tc>
        <w:tc>
          <w:tcPr>
            <w:tcW w:w="899" w:type="dxa"/>
            <w:noWrap w:val="0"/>
            <w:vAlign w:val="center"/>
          </w:tcPr>
          <w:p w14:paraId="2BFAE261">
            <w:pPr>
              <w:jc w:val="center"/>
              <w:rPr>
                <w:rFonts w:hint="eastAsia" w:ascii="宋体" w:hAnsi="宋体" w:cs="宋体"/>
                <w:kern w:val="0"/>
                <w:sz w:val="21"/>
                <w:szCs w:val="21"/>
              </w:rPr>
            </w:pPr>
          </w:p>
        </w:tc>
        <w:tc>
          <w:tcPr>
            <w:tcW w:w="899" w:type="dxa"/>
            <w:noWrap w:val="0"/>
            <w:vAlign w:val="center"/>
          </w:tcPr>
          <w:p w14:paraId="7CEE364A">
            <w:pPr>
              <w:jc w:val="right"/>
              <w:rPr>
                <w:rFonts w:hint="eastAsia" w:ascii="宋体" w:hAnsi="宋体" w:cs="宋体"/>
                <w:kern w:val="0"/>
                <w:sz w:val="21"/>
                <w:szCs w:val="21"/>
              </w:rPr>
            </w:pPr>
          </w:p>
        </w:tc>
        <w:tc>
          <w:tcPr>
            <w:tcW w:w="1079" w:type="dxa"/>
            <w:noWrap w:val="0"/>
            <w:vAlign w:val="center"/>
          </w:tcPr>
          <w:p w14:paraId="58A74818">
            <w:pPr>
              <w:widowControl/>
              <w:jc w:val="center"/>
              <w:rPr>
                <w:rFonts w:hint="eastAsia" w:ascii="宋体" w:hAnsi="宋体" w:cs="宋体"/>
                <w:kern w:val="0"/>
                <w:szCs w:val="21"/>
              </w:rPr>
            </w:pPr>
          </w:p>
        </w:tc>
        <w:tc>
          <w:tcPr>
            <w:tcW w:w="1079" w:type="dxa"/>
            <w:noWrap w:val="0"/>
            <w:vAlign w:val="center"/>
          </w:tcPr>
          <w:p w14:paraId="3ECCF0A4">
            <w:pPr>
              <w:widowControl/>
              <w:jc w:val="center"/>
              <w:rPr>
                <w:rFonts w:hint="eastAsia" w:ascii="宋体" w:hAnsi="宋体" w:cs="宋体"/>
                <w:kern w:val="0"/>
                <w:szCs w:val="21"/>
              </w:rPr>
            </w:pPr>
          </w:p>
        </w:tc>
      </w:tr>
      <w:tr w14:paraId="6870F5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499A5430">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-a</w:t>
            </w:r>
          </w:p>
        </w:tc>
        <w:tc>
          <w:tcPr>
            <w:tcW w:w="4572" w:type="dxa"/>
            <w:noWrap w:val="0"/>
            <w:vAlign w:val="center"/>
          </w:tcPr>
          <w:p w14:paraId="416DD99F">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裂缝灌缝</w:t>
            </w:r>
          </w:p>
        </w:tc>
        <w:tc>
          <w:tcPr>
            <w:tcW w:w="899" w:type="dxa"/>
            <w:noWrap w:val="0"/>
            <w:vAlign w:val="center"/>
          </w:tcPr>
          <w:p w14:paraId="111347E9">
            <w:pPr>
              <w:jc w:val="center"/>
              <w:rPr>
                <w:rFonts w:hint="eastAsia" w:ascii="宋体" w:hAnsi="宋体" w:cs="宋体"/>
                <w:kern w:val="0"/>
                <w:sz w:val="21"/>
                <w:szCs w:val="21"/>
              </w:rPr>
            </w:pPr>
          </w:p>
        </w:tc>
        <w:tc>
          <w:tcPr>
            <w:tcW w:w="899" w:type="dxa"/>
            <w:noWrap w:val="0"/>
            <w:vAlign w:val="center"/>
          </w:tcPr>
          <w:p w14:paraId="7E845181">
            <w:pPr>
              <w:jc w:val="right"/>
              <w:rPr>
                <w:rFonts w:hint="eastAsia" w:ascii="宋体" w:hAnsi="宋体" w:cs="宋体"/>
                <w:kern w:val="0"/>
                <w:sz w:val="21"/>
                <w:szCs w:val="21"/>
              </w:rPr>
            </w:pPr>
          </w:p>
        </w:tc>
        <w:tc>
          <w:tcPr>
            <w:tcW w:w="1079" w:type="dxa"/>
            <w:noWrap w:val="0"/>
            <w:vAlign w:val="center"/>
          </w:tcPr>
          <w:p w14:paraId="296E2B13">
            <w:pPr>
              <w:widowControl/>
              <w:jc w:val="center"/>
              <w:rPr>
                <w:rFonts w:hint="eastAsia" w:ascii="宋体" w:hAnsi="宋体" w:cs="宋体"/>
                <w:kern w:val="0"/>
                <w:szCs w:val="21"/>
              </w:rPr>
            </w:pPr>
          </w:p>
        </w:tc>
        <w:tc>
          <w:tcPr>
            <w:tcW w:w="1079" w:type="dxa"/>
            <w:noWrap w:val="0"/>
            <w:vAlign w:val="center"/>
          </w:tcPr>
          <w:p w14:paraId="430F21A8">
            <w:pPr>
              <w:widowControl/>
              <w:jc w:val="center"/>
              <w:rPr>
                <w:rFonts w:hint="eastAsia" w:ascii="宋体" w:hAnsi="宋体" w:cs="宋体"/>
                <w:kern w:val="0"/>
                <w:szCs w:val="21"/>
              </w:rPr>
            </w:pPr>
          </w:p>
        </w:tc>
      </w:tr>
    </w:tbl>
    <w:p w14:paraId="726835EF">
      <w:pPr>
        <w:widowControl/>
        <w:jc w:val="center"/>
        <w:rPr>
          <w:rFonts w:hint="eastAsia" w:ascii="宋体" w:hAnsi="宋体" w:cs="宋体"/>
          <w:kern w:val="0"/>
          <w:szCs w:val="21"/>
        </w:rPr>
      </w:pPr>
    </w:p>
    <w:p w14:paraId="6B7C45C5">
      <w:pPr>
        <w:spacing w:before="240" w:beforeLines="100" w:after="240" w:afterLines="100"/>
        <w:jc w:val="center"/>
        <w:rPr>
          <w:rFonts w:hint="eastAsia" w:ascii="黑体" w:hAnsi="宋体" w:eastAsia="黑体"/>
          <w:sz w:val="30"/>
          <w:szCs w:val="30"/>
        </w:rPr>
      </w:pPr>
      <w:r>
        <w:rPr>
          <w:rFonts w:hint="eastAsia" w:ascii="黑体" w:hAnsi="宋体" w:eastAsia="黑体"/>
          <w:sz w:val="30"/>
          <w:szCs w:val="30"/>
        </w:rPr>
        <w:t>工程量清单</w:t>
      </w:r>
    </w:p>
    <w:p w14:paraId="11FF1977">
      <w:pPr>
        <w:pStyle w:val="50"/>
        <w:ind w:left="0" w:leftChars="0" w:firstLine="0" w:firstLine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标项</w:t>
      </w:r>
      <w:r>
        <w:rPr>
          <w:rFonts w:hint="eastAsia" w:asciiTheme="minorEastAsia" w:hAnsiTheme="minorEastAsia" w:cstheme="minorEastAsia"/>
          <w:sz w:val="24"/>
          <w:szCs w:val="24"/>
          <w:lang w:val="en-US" w:eastAsia="zh-CN"/>
        </w:rPr>
        <w:t>2</w:t>
      </w:r>
      <w:r>
        <w:rPr>
          <w:rFonts w:hint="eastAsia" w:asciiTheme="minorEastAsia" w:hAnsiTheme="minorEastAsia" w:eastAsiaTheme="minorEastAsia" w:cstheme="minorEastAsia"/>
          <w:sz w:val="24"/>
          <w:szCs w:val="24"/>
        </w:rPr>
        <w:t>：</w:t>
      </w:r>
      <w:r>
        <w:rPr>
          <w:rFonts w:hint="eastAsia" w:asciiTheme="minorEastAsia" w:hAnsiTheme="minorEastAsia" w:cstheme="minorEastAsia"/>
          <w:sz w:val="24"/>
          <w:szCs w:val="24"/>
          <w:lang w:eastAsia="zh-CN"/>
        </w:rPr>
        <w:t>2026年秀洲区县道及以上公路小修及应急抢险项目</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第</w:t>
      </w:r>
      <w:r>
        <w:rPr>
          <w:rFonts w:hint="eastAsia" w:asciiTheme="minorEastAsia" w:hAnsiTheme="minorEastAsia" w:cstheme="minorEastAsia"/>
          <w:sz w:val="24"/>
          <w:szCs w:val="24"/>
          <w:lang w:val="en-US" w:eastAsia="zh-CN"/>
        </w:rPr>
        <w:t>二</w:t>
      </w:r>
      <w:r>
        <w:rPr>
          <w:rFonts w:hint="eastAsia" w:asciiTheme="minorEastAsia" w:hAnsiTheme="minorEastAsia" w:eastAsiaTheme="minorEastAsia" w:cstheme="minorEastAsia"/>
          <w:sz w:val="24"/>
          <w:szCs w:val="24"/>
          <w:lang w:eastAsia="zh-CN"/>
        </w:rPr>
        <w:t>标段）</w:t>
      </w:r>
    </w:p>
    <w:p w14:paraId="21A29101">
      <w:pPr>
        <w:pStyle w:val="50"/>
        <w:ind w:left="0" w:leftChars="0" w:firstLine="0" w:firstLineChars="0"/>
        <w:rPr>
          <w:rFonts w:hint="eastAsia"/>
        </w:rPr>
      </w:pPr>
      <w:r>
        <w:rPr>
          <w:rFonts w:hint="eastAsia" w:asciiTheme="minorEastAsia" w:hAnsiTheme="minorEastAsia" w:eastAsiaTheme="minorEastAsia" w:cstheme="minorEastAsia"/>
          <w:sz w:val="24"/>
          <w:szCs w:val="24"/>
        </w:rPr>
        <w:t>货币单位：人民币元</w:t>
      </w:r>
      <w:r>
        <w:tab/>
      </w:r>
      <w:r>
        <w:tab/>
      </w:r>
    </w:p>
    <w:tbl>
      <w:tblPr>
        <w:tblStyle w:val="51"/>
        <w:tblW w:w="946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40"/>
        <w:gridCol w:w="4572"/>
        <w:gridCol w:w="899"/>
        <w:gridCol w:w="899"/>
        <w:gridCol w:w="1079"/>
        <w:gridCol w:w="1079"/>
      </w:tblGrid>
      <w:tr w14:paraId="7229A1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68" w:type="dxa"/>
            <w:gridSpan w:val="6"/>
            <w:noWrap w:val="0"/>
            <w:vAlign w:val="center"/>
          </w:tcPr>
          <w:p w14:paraId="5F06D71B">
            <w:pPr>
              <w:ind w:firstLine="103" w:firstLineChars="49"/>
              <w:jc w:val="center"/>
              <w:rPr>
                <w:rFonts w:ascii="宋体" w:hAnsi="宋体"/>
                <w:b/>
                <w:bCs/>
              </w:rPr>
            </w:pPr>
            <w:r>
              <w:rPr>
                <w:rFonts w:hint="eastAsia" w:ascii="宋体" w:hAnsi="宋体"/>
                <w:b/>
                <w:bCs/>
              </w:rPr>
              <w:t>清单      第300章      路  面</w:t>
            </w:r>
          </w:p>
        </w:tc>
      </w:tr>
      <w:tr w14:paraId="44BC98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3043B0C6">
            <w:pPr>
              <w:widowControl/>
              <w:jc w:val="left"/>
              <w:rPr>
                <w:rFonts w:ascii="宋体" w:hAnsi="宋体" w:cs="宋体"/>
                <w:kern w:val="0"/>
                <w:szCs w:val="21"/>
              </w:rPr>
            </w:pPr>
            <w:r>
              <w:rPr>
                <w:rFonts w:hint="eastAsia" w:ascii="宋体" w:hAnsi="宋体" w:cs="宋体"/>
                <w:kern w:val="0"/>
                <w:szCs w:val="21"/>
              </w:rPr>
              <w:t>子目号</w:t>
            </w:r>
          </w:p>
        </w:tc>
        <w:tc>
          <w:tcPr>
            <w:tcW w:w="4572" w:type="dxa"/>
            <w:noWrap w:val="0"/>
            <w:vAlign w:val="center"/>
          </w:tcPr>
          <w:p w14:paraId="12956A2E">
            <w:pPr>
              <w:widowControl/>
              <w:jc w:val="center"/>
              <w:rPr>
                <w:rFonts w:ascii="宋体" w:hAnsi="宋体" w:cs="宋体"/>
                <w:kern w:val="0"/>
                <w:szCs w:val="21"/>
              </w:rPr>
            </w:pPr>
            <w:r>
              <w:rPr>
                <w:rFonts w:hint="eastAsia" w:ascii="宋体" w:hAnsi="宋体" w:cs="宋体"/>
                <w:kern w:val="0"/>
                <w:szCs w:val="21"/>
              </w:rPr>
              <w:t>子  目  名  称</w:t>
            </w:r>
          </w:p>
        </w:tc>
        <w:tc>
          <w:tcPr>
            <w:tcW w:w="899" w:type="dxa"/>
            <w:noWrap w:val="0"/>
            <w:vAlign w:val="center"/>
          </w:tcPr>
          <w:p w14:paraId="7B196938">
            <w:pPr>
              <w:widowControl/>
              <w:jc w:val="center"/>
              <w:rPr>
                <w:rFonts w:ascii="宋体" w:hAnsi="宋体" w:cs="宋体"/>
                <w:kern w:val="0"/>
                <w:szCs w:val="21"/>
              </w:rPr>
            </w:pPr>
            <w:r>
              <w:rPr>
                <w:rFonts w:hint="eastAsia" w:ascii="宋体" w:hAnsi="宋体" w:cs="宋体"/>
                <w:kern w:val="0"/>
                <w:szCs w:val="21"/>
              </w:rPr>
              <w:t>单位</w:t>
            </w:r>
          </w:p>
        </w:tc>
        <w:tc>
          <w:tcPr>
            <w:tcW w:w="899" w:type="dxa"/>
            <w:noWrap w:val="0"/>
            <w:vAlign w:val="center"/>
          </w:tcPr>
          <w:p w14:paraId="4540EE49">
            <w:pPr>
              <w:widowControl/>
              <w:jc w:val="center"/>
              <w:rPr>
                <w:rFonts w:ascii="宋体" w:hAnsi="宋体" w:cs="宋体"/>
                <w:kern w:val="0"/>
                <w:szCs w:val="21"/>
              </w:rPr>
            </w:pPr>
            <w:r>
              <w:rPr>
                <w:rFonts w:hint="eastAsia" w:ascii="宋体" w:hAnsi="宋体" w:cs="宋体"/>
                <w:kern w:val="0"/>
                <w:szCs w:val="21"/>
              </w:rPr>
              <w:t>数量</w:t>
            </w:r>
          </w:p>
        </w:tc>
        <w:tc>
          <w:tcPr>
            <w:tcW w:w="1079" w:type="dxa"/>
            <w:noWrap w:val="0"/>
            <w:vAlign w:val="center"/>
          </w:tcPr>
          <w:p w14:paraId="711B0A73">
            <w:pPr>
              <w:widowControl/>
              <w:jc w:val="center"/>
              <w:rPr>
                <w:rFonts w:ascii="宋体" w:hAnsi="宋体" w:cs="宋体"/>
                <w:kern w:val="0"/>
                <w:szCs w:val="21"/>
              </w:rPr>
            </w:pPr>
            <w:r>
              <w:rPr>
                <w:rFonts w:hint="eastAsia" w:ascii="宋体" w:hAnsi="宋体" w:cs="宋体"/>
                <w:kern w:val="0"/>
                <w:szCs w:val="21"/>
              </w:rPr>
              <w:t>单价</w:t>
            </w:r>
          </w:p>
        </w:tc>
        <w:tc>
          <w:tcPr>
            <w:tcW w:w="1079" w:type="dxa"/>
            <w:noWrap w:val="0"/>
            <w:vAlign w:val="center"/>
          </w:tcPr>
          <w:p w14:paraId="088DA49C">
            <w:pPr>
              <w:widowControl/>
              <w:jc w:val="center"/>
              <w:rPr>
                <w:rFonts w:ascii="宋体" w:hAnsi="宋体" w:cs="宋体"/>
                <w:kern w:val="0"/>
                <w:szCs w:val="21"/>
              </w:rPr>
            </w:pPr>
            <w:r>
              <w:rPr>
                <w:rFonts w:hint="eastAsia" w:ascii="宋体" w:hAnsi="宋体" w:cs="宋体"/>
                <w:kern w:val="0"/>
                <w:szCs w:val="21"/>
              </w:rPr>
              <w:t>合价</w:t>
            </w:r>
          </w:p>
        </w:tc>
      </w:tr>
      <w:tr w14:paraId="635B75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55D1DDC4">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-1</w:t>
            </w:r>
          </w:p>
        </w:tc>
        <w:tc>
          <w:tcPr>
            <w:tcW w:w="4572" w:type="dxa"/>
            <w:noWrap w:val="0"/>
            <w:vAlign w:val="center"/>
          </w:tcPr>
          <w:p w14:paraId="25016EBD">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沥青路面灌缝(四新技术)</w:t>
            </w:r>
          </w:p>
        </w:tc>
        <w:tc>
          <w:tcPr>
            <w:tcW w:w="899" w:type="dxa"/>
            <w:noWrap w:val="0"/>
            <w:vAlign w:val="center"/>
          </w:tcPr>
          <w:p w14:paraId="00D6E319">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m</w:t>
            </w:r>
          </w:p>
        </w:tc>
        <w:tc>
          <w:tcPr>
            <w:tcW w:w="899" w:type="dxa"/>
            <w:noWrap w:val="0"/>
            <w:vAlign w:val="center"/>
          </w:tcPr>
          <w:p w14:paraId="0048CF8B">
            <w:pPr>
              <w:keepNext w:val="0"/>
              <w:keepLines w:val="0"/>
              <w:widowControl/>
              <w:suppressLineNumbers w:val="0"/>
              <w:jc w:val="right"/>
              <w:textAlignment w:val="center"/>
              <w:rPr>
                <w:rFonts w:hint="eastAsia" w:ascii="宋体" w:hAnsi="宋体" w:cs="宋体"/>
                <w:kern w:val="0"/>
                <w:sz w:val="21"/>
                <w:szCs w:val="21"/>
              </w:rPr>
            </w:pPr>
            <w:r>
              <w:rPr>
                <w:rFonts w:hint="default" w:ascii="Arial Narrow" w:hAnsi="Arial Narrow" w:eastAsia="Arial Narrow" w:cs="Arial Narrow"/>
                <w:i w:val="0"/>
                <w:iCs w:val="0"/>
                <w:color w:val="000000"/>
                <w:kern w:val="0"/>
                <w:sz w:val="21"/>
                <w:szCs w:val="21"/>
                <w:u w:val="none"/>
                <w:lang w:val="en-US" w:eastAsia="zh-CN" w:bidi="ar"/>
              </w:rPr>
              <w:t>4500</w:t>
            </w:r>
          </w:p>
        </w:tc>
        <w:tc>
          <w:tcPr>
            <w:tcW w:w="1079" w:type="dxa"/>
            <w:noWrap w:val="0"/>
            <w:vAlign w:val="center"/>
          </w:tcPr>
          <w:p w14:paraId="12B8EB9C">
            <w:pPr>
              <w:widowControl/>
              <w:jc w:val="center"/>
              <w:rPr>
                <w:rFonts w:hint="eastAsia" w:ascii="宋体" w:hAnsi="宋体" w:cs="宋体"/>
                <w:kern w:val="0"/>
                <w:szCs w:val="21"/>
              </w:rPr>
            </w:pPr>
          </w:p>
        </w:tc>
        <w:tc>
          <w:tcPr>
            <w:tcW w:w="1079" w:type="dxa"/>
            <w:noWrap w:val="0"/>
            <w:vAlign w:val="center"/>
          </w:tcPr>
          <w:p w14:paraId="080366FF">
            <w:pPr>
              <w:widowControl/>
              <w:jc w:val="center"/>
              <w:rPr>
                <w:rFonts w:hint="eastAsia" w:ascii="宋体" w:hAnsi="宋体" w:cs="宋体"/>
                <w:kern w:val="0"/>
                <w:szCs w:val="21"/>
              </w:rPr>
            </w:pPr>
          </w:p>
        </w:tc>
      </w:tr>
      <w:tr w14:paraId="17BA7B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47E24906">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-2</w:t>
            </w:r>
          </w:p>
        </w:tc>
        <w:tc>
          <w:tcPr>
            <w:tcW w:w="4572" w:type="dxa"/>
            <w:noWrap w:val="0"/>
            <w:vAlign w:val="center"/>
          </w:tcPr>
          <w:p w14:paraId="5CF85E1F">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沥青路面裂缝灌缝（普通灌缝）</w:t>
            </w:r>
          </w:p>
        </w:tc>
        <w:tc>
          <w:tcPr>
            <w:tcW w:w="899" w:type="dxa"/>
            <w:noWrap w:val="0"/>
            <w:vAlign w:val="center"/>
          </w:tcPr>
          <w:p w14:paraId="24BA4B3B">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m</w:t>
            </w:r>
          </w:p>
        </w:tc>
        <w:tc>
          <w:tcPr>
            <w:tcW w:w="899" w:type="dxa"/>
            <w:noWrap w:val="0"/>
            <w:vAlign w:val="center"/>
          </w:tcPr>
          <w:p w14:paraId="1F82B845">
            <w:pPr>
              <w:keepNext w:val="0"/>
              <w:keepLines w:val="0"/>
              <w:widowControl/>
              <w:suppressLineNumbers w:val="0"/>
              <w:jc w:val="right"/>
              <w:textAlignment w:val="center"/>
              <w:rPr>
                <w:rFonts w:hint="eastAsia" w:ascii="宋体" w:hAnsi="宋体" w:cs="宋体"/>
                <w:kern w:val="0"/>
                <w:sz w:val="21"/>
                <w:szCs w:val="21"/>
              </w:rPr>
            </w:pPr>
            <w:r>
              <w:rPr>
                <w:rFonts w:hint="default" w:ascii="Arial Narrow" w:hAnsi="Arial Narrow" w:eastAsia="Arial Narrow" w:cs="Arial Narrow"/>
                <w:i w:val="0"/>
                <w:iCs w:val="0"/>
                <w:color w:val="000000"/>
                <w:kern w:val="0"/>
                <w:sz w:val="21"/>
                <w:szCs w:val="21"/>
                <w:u w:val="none"/>
                <w:lang w:val="en-US" w:eastAsia="zh-CN" w:bidi="ar"/>
              </w:rPr>
              <w:t>8400</w:t>
            </w:r>
          </w:p>
        </w:tc>
        <w:tc>
          <w:tcPr>
            <w:tcW w:w="1079" w:type="dxa"/>
            <w:noWrap w:val="0"/>
            <w:vAlign w:val="center"/>
          </w:tcPr>
          <w:p w14:paraId="5DDA2F8D">
            <w:pPr>
              <w:widowControl/>
              <w:jc w:val="center"/>
              <w:rPr>
                <w:rFonts w:hint="eastAsia" w:ascii="宋体" w:hAnsi="宋体" w:cs="宋体"/>
                <w:kern w:val="0"/>
                <w:szCs w:val="21"/>
              </w:rPr>
            </w:pPr>
          </w:p>
        </w:tc>
        <w:tc>
          <w:tcPr>
            <w:tcW w:w="1079" w:type="dxa"/>
            <w:noWrap w:val="0"/>
            <w:vAlign w:val="center"/>
          </w:tcPr>
          <w:p w14:paraId="6DA39DE0">
            <w:pPr>
              <w:widowControl/>
              <w:jc w:val="center"/>
              <w:rPr>
                <w:rFonts w:hint="eastAsia" w:ascii="宋体" w:hAnsi="宋体" w:cs="宋体"/>
                <w:kern w:val="0"/>
                <w:szCs w:val="21"/>
              </w:rPr>
            </w:pPr>
          </w:p>
        </w:tc>
      </w:tr>
      <w:tr w14:paraId="0CD218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343400E0">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304</w:t>
            </w:r>
          </w:p>
        </w:tc>
        <w:tc>
          <w:tcPr>
            <w:tcW w:w="4572" w:type="dxa"/>
            <w:noWrap w:val="0"/>
            <w:vAlign w:val="center"/>
          </w:tcPr>
          <w:p w14:paraId="14B92A61">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结构物接顺及其它路面维修</w:t>
            </w:r>
          </w:p>
        </w:tc>
        <w:tc>
          <w:tcPr>
            <w:tcW w:w="899" w:type="dxa"/>
            <w:noWrap w:val="0"/>
            <w:vAlign w:val="center"/>
          </w:tcPr>
          <w:p w14:paraId="712ABBF5">
            <w:pPr>
              <w:jc w:val="center"/>
              <w:rPr>
                <w:rFonts w:hint="eastAsia" w:ascii="宋体" w:hAnsi="宋体" w:cs="宋体"/>
                <w:kern w:val="0"/>
                <w:sz w:val="21"/>
                <w:szCs w:val="21"/>
              </w:rPr>
            </w:pPr>
          </w:p>
        </w:tc>
        <w:tc>
          <w:tcPr>
            <w:tcW w:w="899" w:type="dxa"/>
            <w:noWrap w:val="0"/>
            <w:vAlign w:val="center"/>
          </w:tcPr>
          <w:p w14:paraId="3726B570">
            <w:pPr>
              <w:jc w:val="right"/>
              <w:rPr>
                <w:rFonts w:hint="eastAsia" w:ascii="宋体" w:hAnsi="宋体" w:cs="宋体"/>
                <w:kern w:val="0"/>
                <w:sz w:val="21"/>
                <w:szCs w:val="21"/>
              </w:rPr>
            </w:pPr>
          </w:p>
        </w:tc>
        <w:tc>
          <w:tcPr>
            <w:tcW w:w="1079" w:type="dxa"/>
            <w:noWrap w:val="0"/>
            <w:vAlign w:val="center"/>
          </w:tcPr>
          <w:p w14:paraId="159A6B05">
            <w:pPr>
              <w:widowControl/>
              <w:jc w:val="center"/>
              <w:rPr>
                <w:rFonts w:hint="eastAsia" w:ascii="宋体" w:hAnsi="宋体" w:cs="宋体"/>
                <w:kern w:val="0"/>
                <w:szCs w:val="21"/>
              </w:rPr>
            </w:pPr>
          </w:p>
        </w:tc>
        <w:tc>
          <w:tcPr>
            <w:tcW w:w="1079" w:type="dxa"/>
            <w:noWrap w:val="0"/>
            <w:vAlign w:val="center"/>
          </w:tcPr>
          <w:p w14:paraId="256DCAD3">
            <w:pPr>
              <w:widowControl/>
              <w:jc w:val="center"/>
              <w:rPr>
                <w:rFonts w:hint="eastAsia" w:ascii="宋体" w:hAnsi="宋体" w:cs="宋体"/>
                <w:kern w:val="0"/>
                <w:szCs w:val="21"/>
              </w:rPr>
            </w:pPr>
          </w:p>
        </w:tc>
      </w:tr>
      <w:tr w14:paraId="31FDB1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75A0390D">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304-1</w:t>
            </w:r>
          </w:p>
        </w:tc>
        <w:tc>
          <w:tcPr>
            <w:tcW w:w="4572" w:type="dxa"/>
            <w:noWrap w:val="0"/>
            <w:vAlign w:val="center"/>
          </w:tcPr>
          <w:p w14:paraId="4A98E3DE">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碎石</w:t>
            </w:r>
          </w:p>
        </w:tc>
        <w:tc>
          <w:tcPr>
            <w:tcW w:w="899" w:type="dxa"/>
            <w:noWrap w:val="0"/>
            <w:vAlign w:val="center"/>
          </w:tcPr>
          <w:p w14:paraId="249F9028">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m3</w:t>
            </w:r>
          </w:p>
        </w:tc>
        <w:tc>
          <w:tcPr>
            <w:tcW w:w="899" w:type="dxa"/>
            <w:noWrap w:val="0"/>
            <w:vAlign w:val="center"/>
          </w:tcPr>
          <w:p w14:paraId="4A190A68">
            <w:pPr>
              <w:keepNext w:val="0"/>
              <w:keepLines w:val="0"/>
              <w:widowControl/>
              <w:suppressLineNumbers w:val="0"/>
              <w:jc w:val="right"/>
              <w:textAlignment w:val="center"/>
              <w:rPr>
                <w:rFonts w:hint="eastAsia" w:ascii="宋体" w:hAnsi="宋体" w:cs="宋体"/>
                <w:kern w:val="0"/>
                <w:sz w:val="21"/>
                <w:szCs w:val="21"/>
              </w:rPr>
            </w:pPr>
            <w:r>
              <w:rPr>
                <w:rFonts w:hint="default" w:ascii="Arial Narrow" w:hAnsi="Arial Narrow" w:eastAsia="Arial Narrow" w:cs="Arial Narrow"/>
                <w:i w:val="0"/>
                <w:iCs w:val="0"/>
                <w:color w:val="000000"/>
                <w:kern w:val="0"/>
                <w:sz w:val="21"/>
                <w:szCs w:val="21"/>
                <w:u w:val="none"/>
                <w:lang w:val="en-US" w:eastAsia="zh-CN" w:bidi="ar"/>
              </w:rPr>
              <w:t>150</w:t>
            </w:r>
          </w:p>
        </w:tc>
        <w:tc>
          <w:tcPr>
            <w:tcW w:w="1079" w:type="dxa"/>
            <w:noWrap w:val="0"/>
            <w:vAlign w:val="center"/>
          </w:tcPr>
          <w:p w14:paraId="0E65853F">
            <w:pPr>
              <w:widowControl/>
              <w:jc w:val="center"/>
              <w:rPr>
                <w:rFonts w:hint="eastAsia" w:ascii="宋体" w:hAnsi="宋体" w:cs="宋体"/>
                <w:kern w:val="0"/>
                <w:szCs w:val="21"/>
              </w:rPr>
            </w:pPr>
          </w:p>
        </w:tc>
        <w:tc>
          <w:tcPr>
            <w:tcW w:w="1079" w:type="dxa"/>
            <w:noWrap w:val="0"/>
            <w:vAlign w:val="center"/>
          </w:tcPr>
          <w:p w14:paraId="01B8892E">
            <w:pPr>
              <w:widowControl/>
              <w:jc w:val="center"/>
              <w:rPr>
                <w:rFonts w:hint="eastAsia" w:ascii="宋体" w:hAnsi="宋体" w:cs="宋体"/>
                <w:kern w:val="0"/>
                <w:szCs w:val="21"/>
              </w:rPr>
            </w:pPr>
          </w:p>
        </w:tc>
      </w:tr>
      <w:tr w14:paraId="282EFE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33FCF64D">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304-3</w:t>
            </w:r>
          </w:p>
        </w:tc>
        <w:tc>
          <w:tcPr>
            <w:tcW w:w="4572" w:type="dxa"/>
            <w:noWrap w:val="0"/>
            <w:vAlign w:val="center"/>
          </w:tcPr>
          <w:p w14:paraId="4415F488">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基层维修</w:t>
            </w:r>
          </w:p>
        </w:tc>
        <w:tc>
          <w:tcPr>
            <w:tcW w:w="899" w:type="dxa"/>
            <w:noWrap w:val="0"/>
            <w:vAlign w:val="center"/>
          </w:tcPr>
          <w:p w14:paraId="6ED95ECA">
            <w:pPr>
              <w:jc w:val="center"/>
              <w:rPr>
                <w:rFonts w:hint="eastAsia" w:ascii="宋体" w:hAnsi="宋体" w:cs="宋体"/>
                <w:kern w:val="0"/>
                <w:sz w:val="21"/>
                <w:szCs w:val="21"/>
              </w:rPr>
            </w:pPr>
          </w:p>
        </w:tc>
        <w:tc>
          <w:tcPr>
            <w:tcW w:w="899" w:type="dxa"/>
            <w:noWrap w:val="0"/>
            <w:vAlign w:val="center"/>
          </w:tcPr>
          <w:p w14:paraId="067F534F">
            <w:pPr>
              <w:jc w:val="right"/>
              <w:rPr>
                <w:rFonts w:hint="eastAsia" w:ascii="宋体" w:hAnsi="宋体" w:cs="宋体"/>
                <w:kern w:val="0"/>
                <w:sz w:val="21"/>
                <w:szCs w:val="21"/>
              </w:rPr>
            </w:pPr>
          </w:p>
        </w:tc>
        <w:tc>
          <w:tcPr>
            <w:tcW w:w="1079" w:type="dxa"/>
            <w:noWrap w:val="0"/>
            <w:vAlign w:val="center"/>
          </w:tcPr>
          <w:p w14:paraId="07749A36">
            <w:pPr>
              <w:widowControl/>
              <w:jc w:val="center"/>
              <w:rPr>
                <w:rFonts w:hint="eastAsia" w:ascii="宋体" w:hAnsi="宋体" w:cs="宋体"/>
                <w:kern w:val="0"/>
                <w:szCs w:val="21"/>
              </w:rPr>
            </w:pPr>
          </w:p>
        </w:tc>
        <w:tc>
          <w:tcPr>
            <w:tcW w:w="1079" w:type="dxa"/>
            <w:noWrap w:val="0"/>
            <w:vAlign w:val="center"/>
          </w:tcPr>
          <w:p w14:paraId="1224841F">
            <w:pPr>
              <w:widowControl/>
              <w:jc w:val="center"/>
              <w:rPr>
                <w:rFonts w:hint="eastAsia" w:ascii="宋体" w:hAnsi="宋体" w:cs="宋体"/>
                <w:kern w:val="0"/>
                <w:szCs w:val="21"/>
              </w:rPr>
            </w:pPr>
          </w:p>
        </w:tc>
      </w:tr>
      <w:tr w14:paraId="4629A9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01E01C97">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-a</w:t>
            </w:r>
          </w:p>
        </w:tc>
        <w:tc>
          <w:tcPr>
            <w:tcW w:w="4572" w:type="dxa"/>
            <w:noWrap w:val="0"/>
            <w:vAlign w:val="center"/>
          </w:tcPr>
          <w:p w14:paraId="2A9D9725">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5%水泥稳定碎石基层</w:t>
            </w:r>
          </w:p>
        </w:tc>
        <w:tc>
          <w:tcPr>
            <w:tcW w:w="899" w:type="dxa"/>
            <w:noWrap w:val="0"/>
            <w:vAlign w:val="center"/>
          </w:tcPr>
          <w:p w14:paraId="0DD6FF1D">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m3</w:t>
            </w:r>
          </w:p>
        </w:tc>
        <w:tc>
          <w:tcPr>
            <w:tcW w:w="899" w:type="dxa"/>
            <w:noWrap w:val="0"/>
            <w:vAlign w:val="center"/>
          </w:tcPr>
          <w:p w14:paraId="22A9B7EE">
            <w:pPr>
              <w:keepNext w:val="0"/>
              <w:keepLines w:val="0"/>
              <w:widowControl/>
              <w:suppressLineNumbers w:val="0"/>
              <w:jc w:val="right"/>
              <w:textAlignment w:val="center"/>
              <w:rPr>
                <w:rFonts w:hint="eastAsia" w:ascii="宋体" w:hAnsi="宋体" w:cs="宋体"/>
                <w:kern w:val="0"/>
                <w:sz w:val="21"/>
                <w:szCs w:val="21"/>
              </w:rPr>
            </w:pPr>
            <w:r>
              <w:rPr>
                <w:rFonts w:hint="default" w:ascii="Arial Narrow" w:hAnsi="Arial Narrow" w:eastAsia="Arial Narrow" w:cs="Arial Narrow"/>
                <w:i w:val="0"/>
                <w:iCs w:val="0"/>
                <w:color w:val="000000"/>
                <w:kern w:val="0"/>
                <w:sz w:val="21"/>
                <w:szCs w:val="21"/>
                <w:u w:val="none"/>
                <w:lang w:val="en-US" w:eastAsia="zh-CN" w:bidi="ar"/>
              </w:rPr>
              <w:t>150</w:t>
            </w:r>
          </w:p>
        </w:tc>
        <w:tc>
          <w:tcPr>
            <w:tcW w:w="1079" w:type="dxa"/>
            <w:noWrap w:val="0"/>
            <w:vAlign w:val="center"/>
          </w:tcPr>
          <w:p w14:paraId="4A73D478">
            <w:pPr>
              <w:widowControl/>
              <w:jc w:val="center"/>
              <w:rPr>
                <w:rFonts w:hint="eastAsia" w:ascii="宋体" w:hAnsi="宋体" w:cs="宋体"/>
                <w:kern w:val="0"/>
                <w:szCs w:val="21"/>
              </w:rPr>
            </w:pPr>
          </w:p>
        </w:tc>
        <w:tc>
          <w:tcPr>
            <w:tcW w:w="1079" w:type="dxa"/>
            <w:noWrap w:val="0"/>
            <w:vAlign w:val="center"/>
          </w:tcPr>
          <w:p w14:paraId="2F571568">
            <w:pPr>
              <w:widowControl/>
              <w:jc w:val="center"/>
              <w:rPr>
                <w:rFonts w:hint="eastAsia" w:ascii="宋体" w:hAnsi="宋体" w:cs="宋体"/>
                <w:kern w:val="0"/>
                <w:szCs w:val="21"/>
              </w:rPr>
            </w:pPr>
          </w:p>
        </w:tc>
      </w:tr>
      <w:tr w14:paraId="04493A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11E59CF2">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-b</w:t>
            </w:r>
          </w:p>
        </w:tc>
        <w:tc>
          <w:tcPr>
            <w:tcW w:w="4572" w:type="dxa"/>
            <w:noWrap w:val="0"/>
            <w:vAlign w:val="center"/>
          </w:tcPr>
          <w:p w14:paraId="46E7F55E">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C15素混凝土基层</w:t>
            </w:r>
          </w:p>
        </w:tc>
        <w:tc>
          <w:tcPr>
            <w:tcW w:w="899" w:type="dxa"/>
            <w:noWrap w:val="0"/>
            <w:vAlign w:val="center"/>
          </w:tcPr>
          <w:p w14:paraId="5F3AA920">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m3</w:t>
            </w:r>
          </w:p>
        </w:tc>
        <w:tc>
          <w:tcPr>
            <w:tcW w:w="899" w:type="dxa"/>
            <w:noWrap w:val="0"/>
            <w:vAlign w:val="center"/>
          </w:tcPr>
          <w:p w14:paraId="01EAB154">
            <w:pPr>
              <w:keepNext w:val="0"/>
              <w:keepLines w:val="0"/>
              <w:widowControl/>
              <w:suppressLineNumbers w:val="0"/>
              <w:jc w:val="right"/>
              <w:textAlignment w:val="center"/>
              <w:rPr>
                <w:rFonts w:hint="eastAsia" w:ascii="宋体" w:hAnsi="宋体" w:cs="宋体"/>
                <w:kern w:val="0"/>
                <w:sz w:val="21"/>
                <w:szCs w:val="21"/>
              </w:rPr>
            </w:pPr>
            <w:r>
              <w:rPr>
                <w:rFonts w:hint="default" w:ascii="Arial Narrow" w:hAnsi="Arial Narrow" w:eastAsia="Arial Narrow" w:cs="Arial Narrow"/>
                <w:i w:val="0"/>
                <w:iCs w:val="0"/>
                <w:color w:val="000000"/>
                <w:kern w:val="0"/>
                <w:sz w:val="21"/>
                <w:szCs w:val="21"/>
                <w:u w:val="none"/>
                <w:lang w:val="en-US" w:eastAsia="zh-CN" w:bidi="ar"/>
              </w:rPr>
              <w:t>100</w:t>
            </w:r>
          </w:p>
        </w:tc>
        <w:tc>
          <w:tcPr>
            <w:tcW w:w="1079" w:type="dxa"/>
            <w:noWrap w:val="0"/>
            <w:vAlign w:val="center"/>
          </w:tcPr>
          <w:p w14:paraId="576396B9">
            <w:pPr>
              <w:widowControl/>
              <w:jc w:val="center"/>
              <w:rPr>
                <w:rFonts w:ascii="宋体" w:hAnsi="宋体" w:cs="宋体"/>
                <w:kern w:val="0"/>
                <w:szCs w:val="21"/>
              </w:rPr>
            </w:pPr>
          </w:p>
        </w:tc>
        <w:tc>
          <w:tcPr>
            <w:tcW w:w="1079" w:type="dxa"/>
            <w:noWrap w:val="0"/>
            <w:vAlign w:val="center"/>
          </w:tcPr>
          <w:p w14:paraId="0AE8BAB4">
            <w:pPr>
              <w:widowControl/>
              <w:jc w:val="center"/>
              <w:rPr>
                <w:rFonts w:ascii="宋体" w:hAnsi="宋体" w:cs="宋体"/>
                <w:kern w:val="0"/>
                <w:szCs w:val="21"/>
              </w:rPr>
            </w:pPr>
          </w:p>
        </w:tc>
      </w:tr>
      <w:tr w14:paraId="77C64C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7E7572A4">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304-5</w:t>
            </w:r>
          </w:p>
        </w:tc>
        <w:tc>
          <w:tcPr>
            <w:tcW w:w="4572" w:type="dxa"/>
            <w:noWrap w:val="0"/>
            <w:vAlign w:val="center"/>
          </w:tcPr>
          <w:p w14:paraId="7489982C">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其他路面维修</w:t>
            </w:r>
          </w:p>
        </w:tc>
        <w:tc>
          <w:tcPr>
            <w:tcW w:w="899" w:type="dxa"/>
            <w:noWrap w:val="0"/>
            <w:vAlign w:val="center"/>
          </w:tcPr>
          <w:p w14:paraId="706C7902">
            <w:pPr>
              <w:jc w:val="center"/>
              <w:rPr>
                <w:rFonts w:hint="eastAsia" w:ascii="宋体" w:hAnsi="宋体" w:cs="宋体"/>
                <w:kern w:val="0"/>
                <w:sz w:val="21"/>
                <w:szCs w:val="21"/>
              </w:rPr>
            </w:pPr>
          </w:p>
        </w:tc>
        <w:tc>
          <w:tcPr>
            <w:tcW w:w="899" w:type="dxa"/>
            <w:noWrap w:val="0"/>
            <w:vAlign w:val="center"/>
          </w:tcPr>
          <w:p w14:paraId="5684C80F">
            <w:pPr>
              <w:jc w:val="right"/>
              <w:rPr>
                <w:rFonts w:hint="eastAsia" w:ascii="宋体" w:hAnsi="宋体" w:cs="宋体"/>
                <w:kern w:val="0"/>
                <w:sz w:val="21"/>
                <w:szCs w:val="21"/>
              </w:rPr>
            </w:pPr>
          </w:p>
        </w:tc>
        <w:tc>
          <w:tcPr>
            <w:tcW w:w="1079" w:type="dxa"/>
            <w:noWrap w:val="0"/>
            <w:vAlign w:val="center"/>
          </w:tcPr>
          <w:p w14:paraId="17692E32">
            <w:pPr>
              <w:widowControl/>
              <w:jc w:val="center"/>
              <w:rPr>
                <w:rFonts w:ascii="宋体" w:hAnsi="宋体" w:cs="宋体"/>
                <w:kern w:val="0"/>
                <w:szCs w:val="21"/>
              </w:rPr>
            </w:pPr>
          </w:p>
        </w:tc>
        <w:tc>
          <w:tcPr>
            <w:tcW w:w="1079" w:type="dxa"/>
            <w:noWrap w:val="0"/>
            <w:vAlign w:val="center"/>
          </w:tcPr>
          <w:p w14:paraId="6CF13567">
            <w:pPr>
              <w:widowControl/>
              <w:jc w:val="center"/>
              <w:rPr>
                <w:rFonts w:ascii="宋体" w:hAnsi="宋体" w:cs="宋体"/>
                <w:kern w:val="0"/>
                <w:szCs w:val="21"/>
              </w:rPr>
            </w:pPr>
          </w:p>
        </w:tc>
      </w:tr>
      <w:tr w14:paraId="3E06FE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4BE282F7">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-a</w:t>
            </w:r>
          </w:p>
        </w:tc>
        <w:tc>
          <w:tcPr>
            <w:tcW w:w="4572" w:type="dxa"/>
            <w:noWrap w:val="0"/>
            <w:vAlign w:val="center"/>
          </w:tcPr>
          <w:p w14:paraId="3D46A601">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人行道彩砖维修</w:t>
            </w:r>
          </w:p>
        </w:tc>
        <w:tc>
          <w:tcPr>
            <w:tcW w:w="899" w:type="dxa"/>
            <w:noWrap w:val="0"/>
            <w:vAlign w:val="center"/>
          </w:tcPr>
          <w:p w14:paraId="796E4AC6">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m2</w:t>
            </w:r>
          </w:p>
        </w:tc>
        <w:tc>
          <w:tcPr>
            <w:tcW w:w="899" w:type="dxa"/>
            <w:noWrap w:val="0"/>
            <w:vAlign w:val="center"/>
          </w:tcPr>
          <w:p w14:paraId="7FFA9DC9">
            <w:pPr>
              <w:keepNext w:val="0"/>
              <w:keepLines w:val="0"/>
              <w:widowControl/>
              <w:suppressLineNumbers w:val="0"/>
              <w:jc w:val="right"/>
              <w:textAlignment w:val="center"/>
              <w:rPr>
                <w:rFonts w:hint="eastAsia" w:ascii="宋体" w:hAnsi="宋体" w:cs="宋体"/>
                <w:kern w:val="0"/>
                <w:sz w:val="21"/>
                <w:szCs w:val="21"/>
              </w:rPr>
            </w:pPr>
            <w:r>
              <w:rPr>
                <w:rFonts w:hint="default" w:ascii="Arial Narrow" w:hAnsi="Arial Narrow" w:eastAsia="Arial Narrow" w:cs="Arial Narrow"/>
                <w:i w:val="0"/>
                <w:iCs w:val="0"/>
                <w:color w:val="000000"/>
                <w:kern w:val="0"/>
                <w:sz w:val="21"/>
                <w:szCs w:val="21"/>
                <w:u w:val="none"/>
                <w:lang w:val="en-US" w:eastAsia="zh-CN" w:bidi="ar"/>
              </w:rPr>
              <w:t>500</w:t>
            </w:r>
          </w:p>
        </w:tc>
        <w:tc>
          <w:tcPr>
            <w:tcW w:w="1079" w:type="dxa"/>
            <w:noWrap w:val="0"/>
            <w:vAlign w:val="center"/>
          </w:tcPr>
          <w:p w14:paraId="250C6226">
            <w:pPr>
              <w:widowControl/>
              <w:jc w:val="center"/>
              <w:rPr>
                <w:rFonts w:ascii="宋体" w:hAnsi="宋体" w:cs="宋体"/>
                <w:kern w:val="0"/>
                <w:szCs w:val="21"/>
              </w:rPr>
            </w:pPr>
          </w:p>
        </w:tc>
        <w:tc>
          <w:tcPr>
            <w:tcW w:w="1079" w:type="dxa"/>
            <w:noWrap w:val="0"/>
            <w:vAlign w:val="center"/>
          </w:tcPr>
          <w:p w14:paraId="5DF9673B">
            <w:pPr>
              <w:widowControl/>
              <w:jc w:val="center"/>
              <w:rPr>
                <w:rFonts w:ascii="宋体" w:hAnsi="宋体" w:cs="宋体"/>
                <w:kern w:val="0"/>
                <w:szCs w:val="21"/>
              </w:rPr>
            </w:pPr>
          </w:p>
        </w:tc>
      </w:tr>
      <w:tr w14:paraId="585DA8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432CB2E2">
            <w:pPr>
              <w:keepNext w:val="0"/>
              <w:keepLines w:val="0"/>
              <w:widowControl/>
              <w:suppressLineNumbers w:val="0"/>
              <w:jc w:val="center"/>
              <w:textAlignment w:val="center"/>
              <w:rPr>
                <w:rFonts w:hint="eastAsia" w:ascii="宋体" w:hAnsi="宋体" w:cs="宋体"/>
                <w:kern w:val="0"/>
                <w:sz w:val="21"/>
                <w:szCs w:val="21"/>
              </w:rPr>
            </w:pPr>
          </w:p>
        </w:tc>
        <w:tc>
          <w:tcPr>
            <w:tcW w:w="4572" w:type="dxa"/>
            <w:noWrap w:val="0"/>
            <w:vAlign w:val="center"/>
          </w:tcPr>
          <w:p w14:paraId="0E438691">
            <w:pPr>
              <w:keepNext w:val="0"/>
              <w:keepLines w:val="0"/>
              <w:widowControl/>
              <w:suppressLineNumbers w:val="0"/>
              <w:jc w:val="left"/>
              <w:textAlignment w:val="center"/>
              <w:rPr>
                <w:rFonts w:hint="eastAsia" w:ascii="宋体" w:hAnsi="宋体" w:cs="宋体"/>
                <w:kern w:val="0"/>
                <w:sz w:val="21"/>
                <w:szCs w:val="21"/>
              </w:rPr>
            </w:pPr>
          </w:p>
        </w:tc>
        <w:tc>
          <w:tcPr>
            <w:tcW w:w="899" w:type="dxa"/>
            <w:noWrap w:val="0"/>
            <w:vAlign w:val="center"/>
          </w:tcPr>
          <w:p w14:paraId="4628EAA8">
            <w:pPr>
              <w:keepNext w:val="0"/>
              <w:keepLines w:val="0"/>
              <w:widowControl/>
              <w:suppressLineNumbers w:val="0"/>
              <w:jc w:val="center"/>
              <w:textAlignment w:val="center"/>
              <w:rPr>
                <w:rFonts w:hint="eastAsia" w:ascii="宋体" w:hAnsi="宋体" w:cs="宋体"/>
                <w:kern w:val="0"/>
                <w:sz w:val="21"/>
                <w:szCs w:val="21"/>
              </w:rPr>
            </w:pPr>
          </w:p>
        </w:tc>
        <w:tc>
          <w:tcPr>
            <w:tcW w:w="899" w:type="dxa"/>
            <w:noWrap w:val="0"/>
            <w:vAlign w:val="center"/>
          </w:tcPr>
          <w:p w14:paraId="5441A7C4">
            <w:pPr>
              <w:keepNext w:val="0"/>
              <w:keepLines w:val="0"/>
              <w:widowControl/>
              <w:suppressLineNumbers w:val="0"/>
              <w:jc w:val="right"/>
              <w:textAlignment w:val="center"/>
              <w:rPr>
                <w:rFonts w:hint="eastAsia" w:ascii="宋体" w:hAnsi="宋体" w:cs="宋体"/>
                <w:kern w:val="0"/>
                <w:sz w:val="21"/>
                <w:szCs w:val="21"/>
              </w:rPr>
            </w:pPr>
          </w:p>
        </w:tc>
        <w:tc>
          <w:tcPr>
            <w:tcW w:w="1079" w:type="dxa"/>
            <w:noWrap w:val="0"/>
            <w:vAlign w:val="center"/>
          </w:tcPr>
          <w:p w14:paraId="7504FBA9">
            <w:pPr>
              <w:widowControl/>
              <w:jc w:val="center"/>
              <w:rPr>
                <w:rFonts w:ascii="宋体" w:hAnsi="宋体" w:cs="宋体"/>
                <w:kern w:val="0"/>
                <w:szCs w:val="21"/>
              </w:rPr>
            </w:pPr>
          </w:p>
        </w:tc>
        <w:tc>
          <w:tcPr>
            <w:tcW w:w="1079" w:type="dxa"/>
            <w:noWrap w:val="0"/>
            <w:vAlign w:val="center"/>
          </w:tcPr>
          <w:p w14:paraId="625016E9">
            <w:pPr>
              <w:widowControl/>
              <w:jc w:val="center"/>
              <w:rPr>
                <w:rFonts w:ascii="宋体" w:hAnsi="宋体" w:cs="宋体"/>
                <w:kern w:val="0"/>
                <w:szCs w:val="21"/>
              </w:rPr>
            </w:pPr>
          </w:p>
        </w:tc>
      </w:tr>
      <w:tr w14:paraId="0F87EF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73E25C48">
            <w:pPr>
              <w:keepNext w:val="0"/>
              <w:keepLines w:val="0"/>
              <w:widowControl/>
              <w:suppressLineNumbers w:val="0"/>
              <w:jc w:val="center"/>
              <w:textAlignment w:val="center"/>
              <w:rPr>
                <w:rFonts w:hint="eastAsia" w:ascii="宋体" w:hAnsi="宋体" w:cs="宋体"/>
                <w:kern w:val="0"/>
                <w:sz w:val="21"/>
                <w:szCs w:val="21"/>
              </w:rPr>
            </w:pPr>
          </w:p>
        </w:tc>
        <w:tc>
          <w:tcPr>
            <w:tcW w:w="4572" w:type="dxa"/>
            <w:noWrap w:val="0"/>
            <w:vAlign w:val="center"/>
          </w:tcPr>
          <w:p w14:paraId="21546CFF">
            <w:pPr>
              <w:keepNext w:val="0"/>
              <w:keepLines w:val="0"/>
              <w:widowControl/>
              <w:suppressLineNumbers w:val="0"/>
              <w:jc w:val="left"/>
              <w:textAlignment w:val="center"/>
              <w:rPr>
                <w:rFonts w:hint="eastAsia" w:ascii="宋体" w:hAnsi="宋体" w:cs="宋体"/>
                <w:kern w:val="0"/>
                <w:sz w:val="21"/>
                <w:szCs w:val="21"/>
              </w:rPr>
            </w:pPr>
          </w:p>
        </w:tc>
        <w:tc>
          <w:tcPr>
            <w:tcW w:w="899" w:type="dxa"/>
            <w:noWrap w:val="0"/>
            <w:vAlign w:val="center"/>
          </w:tcPr>
          <w:p w14:paraId="677534FF">
            <w:pPr>
              <w:keepNext w:val="0"/>
              <w:keepLines w:val="0"/>
              <w:widowControl/>
              <w:suppressLineNumbers w:val="0"/>
              <w:jc w:val="center"/>
              <w:textAlignment w:val="center"/>
              <w:rPr>
                <w:rFonts w:hint="eastAsia" w:ascii="宋体" w:hAnsi="宋体" w:cs="宋体"/>
                <w:kern w:val="0"/>
                <w:sz w:val="21"/>
                <w:szCs w:val="21"/>
              </w:rPr>
            </w:pPr>
          </w:p>
        </w:tc>
        <w:tc>
          <w:tcPr>
            <w:tcW w:w="899" w:type="dxa"/>
            <w:noWrap w:val="0"/>
            <w:vAlign w:val="center"/>
          </w:tcPr>
          <w:p w14:paraId="671430FC">
            <w:pPr>
              <w:keepNext w:val="0"/>
              <w:keepLines w:val="0"/>
              <w:widowControl/>
              <w:suppressLineNumbers w:val="0"/>
              <w:jc w:val="right"/>
              <w:textAlignment w:val="center"/>
              <w:rPr>
                <w:rFonts w:hint="eastAsia" w:ascii="宋体" w:hAnsi="宋体" w:cs="宋体"/>
                <w:kern w:val="0"/>
                <w:sz w:val="21"/>
                <w:szCs w:val="21"/>
              </w:rPr>
            </w:pPr>
          </w:p>
        </w:tc>
        <w:tc>
          <w:tcPr>
            <w:tcW w:w="1079" w:type="dxa"/>
            <w:noWrap w:val="0"/>
            <w:vAlign w:val="center"/>
          </w:tcPr>
          <w:p w14:paraId="5D87C816">
            <w:pPr>
              <w:widowControl/>
              <w:jc w:val="center"/>
              <w:rPr>
                <w:rFonts w:ascii="宋体" w:hAnsi="宋体" w:cs="宋体"/>
                <w:kern w:val="0"/>
                <w:szCs w:val="21"/>
              </w:rPr>
            </w:pPr>
          </w:p>
        </w:tc>
        <w:tc>
          <w:tcPr>
            <w:tcW w:w="1079" w:type="dxa"/>
            <w:noWrap w:val="0"/>
            <w:vAlign w:val="center"/>
          </w:tcPr>
          <w:p w14:paraId="00EC3557">
            <w:pPr>
              <w:widowControl/>
              <w:jc w:val="center"/>
              <w:rPr>
                <w:rFonts w:ascii="宋体" w:hAnsi="宋体" w:cs="宋体"/>
                <w:kern w:val="0"/>
                <w:szCs w:val="21"/>
              </w:rPr>
            </w:pPr>
          </w:p>
        </w:tc>
      </w:tr>
      <w:tr w14:paraId="23D8F6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4000277D">
            <w:pPr>
              <w:widowControl/>
              <w:jc w:val="center"/>
              <w:textAlignment w:val="center"/>
              <w:rPr>
                <w:rFonts w:hint="eastAsia" w:ascii="宋体" w:hAnsi="宋体" w:cs="宋体"/>
                <w:kern w:val="0"/>
                <w:szCs w:val="21"/>
              </w:rPr>
            </w:pPr>
          </w:p>
        </w:tc>
        <w:tc>
          <w:tcPr>
            <w:tcW w:w="4572" w:type="dxa"/>
            <w:noWrap w:val="0"/>
            <w:vAlign w:val="center"/>
          </w:tcPr>
          <w:p w14:paraId="48376AE6">
            <w:pPr>
              <w:widowControl/>
              <w:jc w:val="left"/>
              <w:textAlignment w:val="center"/>
              <w:rPr>
                <w:rFonts w:hint="eastAsia" w:ascii="宋体" w:hAnsi="宋体" w:cs="宋体"/>
                <w:kern w:val="0"/>
                <w:szCs w:val="21"/>
              </w:rPr>
            </w:pPr>
          </w:p>
        </w:tc>
        <w:tc>
          <w:tcPr>
            <w:tcW w:w="899" w:type="dxa"/>
            <w:noWrap w:val="0"/>
            <w:vAlign w:val="center"/>
          </w:tcPr>
          <w:p w14:paraId="67A413B6">
            <w:pPr>
              <w:widowControl/>
              <w:jc w:val="center"/>
              <w:textAlignment w:val="center"/>
              <w:rPr>
                <w:rFonts w:hint="eastAsia" w:ascii="宋体" w:hAnsi="宋体" w:cs="宋体"/>
                <w:kern w:val="0"/>
                <w:szCs w:val="21"/>
              </w:rPr>
            </w:pPr>
          </w:p>
        </w:tc>
        <w:tc>
          <w:tcPr>
            <w:tcW w:w="899" w:type="dxa"/>
            <w:noWrap w:val="0"/>
            <w:vAlign w:val="center"/>
          </w:tcPr>
          <w:p w14:paraId="02D5C8FA">
            <w:pPr>
              <w:widowControl/>
              <w:jc w:val="right"/>
              <w:textAlignment w:val="center"/>
              <w:rPr>
                <w:rFonts w:hint="eastAsia" w:ascii="宋体" w:hAnsi="宋体" w:cs="宋体"/>
                <w:kern w:val="0"/>
                <w:szCs w:val="21"/>
              </w:rPr>
            </w:pPr>
          </w:p>
        </w:tc>
        <w:tc>
          <w:tcPr>
            <w:tcW w:w="1079" w:type="dxa"/>
            <w:noWrap w:val="0"/>
            <w:vAlign w:val="center"/>
          </w:tcPr>
          <w:p w14:paraId="326EF186">
            <w:pPr>
              <w:widowControl/>
              <w:jc w:val="center"/>
              <w:rPr>
                <w:rFonts w:ascii="宋体" w:hAnsi="宋体" w:cs="宋体"/>
                <w:kern w:val="0"/>
                <w:szCs w:val="21"/>
              </w:rPr>
            </w:pPr>
          </w:p>
        </w:tc>
        <w:tc>
          <w:tcPr>
            <w:tcW w:w="1079" w:type="dxa"/>
            <w:noWrap w:val="0"/>
            <w:vAlign w:val="center"/>
          </w:tcPr>
          <w:p w14:paraId="18346EDD">
            <w:pPr>
              <w:widowControl/>
              <w:jc w:val="center"/>
              <w:rPr>
                <w:rFonts w:ascii="宋体" w:hAnsi="宋体" w:cs="宋体"/>
                <w:kern w:val="0"/>
                <w:szCs w:val="21"/>
              </w:rPr>
            </w:pPr>
          </w:p>
        </w:tc>
      </w:tr>
      <w:tr w14:paraId="4F3570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39FB337E">
            <w:pPr>
              <w:widowControl/>
              <w:jc w:val="center"/>
              <w:textAlignment w:val="center"/>
              <w:rPr>
                <w:rFonts w:hint="eastAsia" w:ascii="宋体" w:hAnsi="宋体" w:cs="宋体"/>
                <w:kern w:val="0"/>
                <w:szCs w:val="21"/>
              </w:rPr>
            </w:pPr>
          </w:p>
        </w:tc>
        <w:tc>
          <w:tcPr>
            <w:tcW w:w="4572" w:type="dxa"/>
            <w:noWrap w:val="0"/>
            <w:vAlign w:val="center"/>
          </w:tcPr>
          <w:p w14:paraId="5BA3D009">
            <w:pPr>
              <w:widowControl/>
              <w:jc w:val="left"/>
              <w:textAlignment w:val="center"/>
              <w:rPr>
                <w:rFonts w:hint="eastAsia" w:ascii="宋体" w:hAnsi="宋体" w:cs="宋体"/>
                <w:kern w:val="0"/>
                <w:szCs w:val="21"/>
              </w:rPr>
            </w:pPr>
          </w:p>
        </w:tc>
        <w:tc>
          <w:tcPr>
            <w:tcW w:w="899" w:type="dxa"/>
            <w:noWrap w:val="0"/>
            <w:vAlign w:val="center"/>
          </w:tcPr>
          <w:p w14:paraId="7EB1AEAC">
            <w:pPr>
              <w:jc w:val="center"/>
              <w:rPr>
                <w:rFonts w:hint="eastAsia" w:ascii="宋体" w:hAnsi="宋体" w:cs="宋体"/>
                <w:kern w:val="0"/>
                <w:szCs w:val="21"/>
              </w:rPr>
            </w:pPr>
          </w:p>
        </w:tc>
        <w:tc>
          <w:tcPr>
            <w:tcW w:w="899" w:type="dxa"/>
            <w:noWrap w:val="0"/>
            <w:vAlign w:val="center"/>
          </w:tcPr>
          <w:p w14:paraId="0C4B4249">
            <w:pPr>
              <w:jc w:val="right"/>
              <w:rPr>
                <w:rFonts w:hint="eastAsia" w:ascii="宋体" w:hAnsi="宋体" w:cs="宋体"/>
                <w:kern w:val="0"/>
                <w:szCs w:val="21"/>
              </w:rPr>
            </w:pPr>
          </w:p>
        </w:tc>
        <w:tc>
          <w:tcPr>
            <w:tcW w:w="1079" w:type="dxa"/>
            <w:noWrap w:val="0"/>
            <w:vAlign w:val="center"/>
          </w:tcPr>
          <w:p w14:paraId="67D719B4">
            <w:pPr>
              <w:widowControl/>
              <w:jc w:val="center"/>
              <w:rPr>
                <w:rFonts w:ascii="宋体" w:hAnsi="宋体" w:cs="宋体"/>
                <w:kern w:val="0"/>
                <w:szCs w:val="21"/>
              </w:rPr>
            </w:pPr>
          </w:p>
        </w:tc>
        <w:tc>
          <w:tcPr>
            <w:tcW w:w="1079" w:type="dxa"/>
            <w:noWrap w:val="0"/>
            <w:vAlign w:val="center"/>
          </w:tcPr>
          <w:p w14:paraId="42F9D978">
            <w:pPr>
              <w:widowControl/>
              <w:jc w:val="center"/>
              <w:rPr>
                <w:rFonts w:ascii="宋体" w:hAnsi="宋体" w:cs="宋体"/>
                <w:kern w:val="0"/>
                <w:szCs w:val="21"/>
              </w:rPr>
            </w:pPr>
          </w:p>
        </w:tc>
      </w:tr>
      <w:tr w14:paraId="55B8CA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203199D8">
            <w:pPr>
              <w:widowControl/>
              <w:jc w:val="center"/>
              <w:textAlignment w:val="center"/>
              <w:rPr>
                <w:rFonts w:hint="eastAsia" w:ascii="宋体" w:hAnsi="宋体" w:cs="宋体"/>
                <w:kern w:val="0"/>
                <w:szCs w:val="21"/>
              </w:rPr>
            </w:pPr>
          </w:p>
        </w:tc>
        <w:tc>
          <w:tcPr>
            <w:tcW w:w="4572" w:type="dxa"/>
            <w:noWrap w:val="0"/>
            <w:vAlign w:val="center"/>
          </w:tcPr>
          <w:p w14:paraId="1BBAB411">
            <w:pPr>
              <w:widowControl/>
              <w:jc w:val="left"/>
              <w:textAlignment w:val="center"/>
              <w:rPr>
                <w:rFonts w:hint="eastAsia" w:ascii="宋体" w:hAnsi="宋体" w:cs="宋体"/>
                <w:kern w:val="0"/>
                <w:szCs w:val="21"/>
              </w:rPr>
            </w:pPr>
          </w:p>
        </w:tc>
        <w:tc>
          <w:tcPr>
            <w:tcW w:w="899" w:type="dxa"/>
            <w:noWrap w:val="0"/>
            <w:vAlign w:val="center"/>
          </w:tcPr>
          <w:p w14:paraId="41F93B5A">
            <w:pPr>
              <w:jc w:val="center"/>
              <w:rPr>
                <w:rFonts w:hint="eastAsia" w:ascii="宋体" w:hAnsi="宋体" w:cs="宋体"/>
                <w:kern w:val="0"/>
                <w:szCs w:val="21"/>
              </w:rPr>
            </w:pPr>
          </w:p>
        </w:tc>
        <w:tc>
          <w:tcPr>
            <w:tcW w:w="899" w:type="dxa"/>
            <w:noWrap w:val="0"/>
            <w:vAlign w:val="center"/>
          </w:tcPr>
          <w:p w14:paraId="1127CDA8">
            <w:pPr>
              <w:jc w:val="right"/>
              <w:rPr>
                <w:rFonts w:hint="eastAsia" w:ascii="宋体" w:hAnsi="宋体" w:cs="宋体"/>
                <w:kern w:val="0"/>
                <w:szCs w:val="21"/>
              </w:rPr>
            </w:pPr>
          </w:p>
        </w:tc>
        <w:tc>
          <w:tcPr>
            <w:tcW w:w="1079" w:type="dxa"/>
            <w:noWrap w:val="0"/>
            <w:vAlign w:val="center"/>
          </w:tcPr>
          <w:p w14:paraId="799FF8E6">
            <w:pPr>
              <w:widowControl/>
              <w:jc w:val="center"/>
              <w:rPr>
                <w:rFonts w:ascii="宋体" w:hAnsi="宋体" w:cs="宋体"/>
                <w:kern w:val="0"/>
                <w:szCs w:val="21"/>
              </w:rPr>
            </w:pPr>
          </w:p>
        </w:tc>
        <w:tc>
          <w:tcPr>
            <w:tcW w:w="1079" w:type="dxa"/>
            <w:noWrap w:val="0"/>
            <w:vAlign w:val="center"/>
          </w:tcPr>
          <w:p w14:paraId="05F4F8AA">
            <w:pPr>
              <w:widowControl/>
              <w:jc w:val="center"/>
              <w:rPr>
                <w:rFonts w:ascii="宋体" w:hAnsi="宋体" w:cs="宋体"/>
                <w:kern w:val="0"/>
                <w:szCs w:val="21"/>
              </w:rPr>
            </w:pPr>
          </w:p>
        </w:tc>
      </w:tr>
      <w:tr w14:paraId="7089E9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4FE8EECE">
            <w:pPr>
              <w:widowControl/>
              <w:jc w:val="center"/>
              <w:textAlignment w:val="center"/>
              <w:rPr>
                <w:rFonts w:hint="eastAsia" w:ascii="宋体" w:hAnsi="宋体" w:cs="宋体"/>
                <w:kern w:val="0"/>
                <w:szCs w:val="21"/>
              </w:rPr>
            </w:pPr>
          </w:p>
        </w:tc>
        <w:tc>
          <w:tcPr>
            <w:tcW w:w="4572" w:type="dxa"/>
            <w:noWrap w:val="0"/>
            <w:vAlign w:val="center"/>
          </w:tcPr>
          <w:p w14:paraId="629B637F">
            <w:pPr>
              <w:widowControl/>
              <w:jc w:val="left"/>
              <w:textAlignment w:val="center"/>
              <w:rPr>
                <w:rFonts w:hint="eastAsia" w:ascii="宋体" w:hAnsi="宋体" w:cs="宋体"/>
                <w:kern w:val="0"/>
                <w:szCs w:val="21"/>
              </w:rPr>
            </w:pPr>
          </w:p>
        </w:tc>
        <w:tc>
          <w:tcPr>
            <w:tcW w:w="899" w:type="dxa"/>
            <w:noWrap w:val="0"/>
            <w:vAlign w:val="center"/>
          </w:tcPr>
          <w:p w14:paraId="3BA1C392">
            <w:pPr>
              <w:widowControl/>
              <w:jc w:val="center"/>
              <w:textAlignment w:val="center"/>
              <w:rPr>
                <w:rFonts w:hint="eastAsia" w:ascii="宋体" w:hAnsi="宋体" w:cs="宋体"/>
                <w:kern w:val="0"/>
                <w:szCs w:val="21"/>
              </w:rPr>
            </w:pPr>
          </w:p>
        </w:tc>
        <w:tc>
          <w:tcPr>
            <w:tcW w:w="899" w:type="dxa"/>
            <w:noWrap w:val="0"/>
            <w:vAlign w:val="center"/>
          </w:tcPr>
          <w:p w14:paraId="5885BAB8">
            <w:pPr>
              <w:widowControl/>
              <w:jc w:val="right"/>
              <w:textAlignment w:val="center"/>
              <w:rPr>
                <w:rFonts w:hint="eastAsia" w:ascii="宋体" w:hAnsi="宋体" w:cs="宋体"/>
                <w:kern w:val="0"/>
                <w:szCs w:val="21"/>
              </w:rPr>
            </w:pPr>
          </w:p>
        </w:tc>
        <w:tc>
          <w:tcPr>
            <w:tcW w:w="1079" w:type="dxa"/>
            <w:noWrap w:val="0"/>
            <w:vAlign w:val="center"/>
          </w:tcPr>
          <w:p w14:paraId="61745036">
            <w:pPr>
              <w:widowControl/>
              <w:jc w:val="center"/>
              <w:rPr>
                <w:rFonts w:ascii="宋体" w:hAnsi="宋体" w:cs="宋体"/>
                <w:kern w:val="0"/>
                <w:szCs w:val="21"/>
              </w:rPr>
            </w:pPr>
          </w:p>
        </w:tc>
        <w:tc>
          <w:tcPr>
            <w:tcW w:w="1079" w:type="dxa"/>
            <w:noWrap w:val="0"/>
            <w:vAlign w:val="center"/>
          </w:tcPr>
          <w:p w14:paraId="406A7C49">
            <w:pPr>
              <w:widowControl/>
              <w:jc w:val="center"/>
              <w:rPr>
                <w:rFonts w:ascii="宋体" w:hAnsi="宋体" w:cs="宋体"/>
                <w:kern w:val="0"/>
                <w:szCs w:val="21"/>
              </w:rPr>
            </w:pPr>
          </w:p>
        </w:tc>
      </w:tr>
      <w:tr w14:paraId="5FD07E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390908F4">
            <w:pPr>
              <w:widowControl/>
              <w:jc w:val="center"/>
              <w:textAlignment w:val="center"/>
              <w:rPr>
                <w:rFonts w:hint="eastAsia" w:ascii="宋体" w:hAnsi="宋体" w:cs="宋体"/>
                <w:kern w:val="0"/>
                <w:szCs w:val="21"/>
              </w:rPr>
            </w:pPr>
          </w:p>
        </w:tc>
        <w:tc>
          <w:tcPr>
            <w:tcW w:w="4572" w:type="dxa"/>
            <w:noWrap w:val="0"/>
            <w:vAlign w:val="center"/>
          </w:tcPr>
          <w:p w14:paraId="424EA837">
            <w:pPr>
              <w:widowControl/>
              <w:jc w:val="left"/>
              <w:textAlignment w:val="center"/>
              <w:rPr>
                <w:rFonts w:hint="eastAsia" w:ascii="宋体" w:hAnsi="宋体" w:cs="宋体"/>
                <w:kern w:val="0"/>
                <w:szCs w:val="21"/>
              </w:rPr>
            </w:pPr>
          </w:p>
        </w:tc>
        <w:tc>
          <w:tcPr>
            <w:tcW w:w="899" w:type="dxa"/>
            <w:noWrap w:val="0"/>
            <w:vAlign w:val="center"/>
          </w:tcPr>
          <w:p w14:paraId="4374F7FB">
            <w:pPr>
              <w:jc w:val="center"/>
              <w:rPr>
                <w:rFonts w:hint="eastAsia" w:ascii="宋体" w:hAnsi="宋体" w:cs="宋体"/>
                <w:kern w:val="0"/>
                <w:szCs w:val="21"/>
              </w:rPr>
            </w:pPr>
          </w:p>
        </w:tc>
        <w:tc>
          <w:tcPr>
            <w:tcW w:w="899" w:type="dxa"/>
            <w:noWrap w:val="0"/>
            <w:vAlign w:val="center"/>
          </w:tcPr>
          <w:p w14:paraId="3A79D6E4">
            <w:pPr>
              <w:jc w:val="right"/>
              <w:rPr>
                <w:rFonts w:hint="eastAsia" w:ascii="宋体" w:hAnsi="宋体" w:cs="宋体"/>
                <w:kern w:val="0"/>
                <w:szCs w:val="21"/>
              </w:rPr>
            </w:pPr>
          </w:p>
        </w:tc>
        <w:tc>
          <w:tcPr>
            <w:tcW w:w="1079" w:type="dxa"/>
            <w:noWrap w:val="0"/>
            <w:vAlign w:val="center"/>
          </w:tcPr>
          <w:p w14:paraId="331F5867">
            <w:pPr>
              <w:widowControl/>
              <w:jc w:val="center"/>
              <w:rPr>
                <w:rFonts w:ascii="宋体" w:hAnsi="宋体" w:cs="宋体"/>
                <w:kern w:val="0"/>
                <w:szCs w:val="21"/>
              </w:rPr>
            </w:pPr>
          </w:p>
        </w:tc>
        <w:tc>
          <w:tcPr>
            <w:tcW w:w="1079" w:type="dxa"/>
            <w:noWrap w:val="0"/>
            <w:vAlign w:val="center"/>
          </w:tcPr>
          <w:p w14:paraId="40386CDD">
            <w:pPr>
              <w:widowControl/>
              <w:jc w:val="center"/>
              <w:rPr>
                <w:rFonts w:ascii="宋体" w:hAnsi="宋体" w:cs="宋体"/>
                <w:kern w:val="0"/>
                <w:szCs w:val="21"/>
              </w:rPr>
            </w:pPr>
          </w:p>
        </w:tc>
      </w:tr>
      <w:tr w14:paraId="5B02E8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16294235">
            <w:pPr>
              <w:widowControl/>
              <w:jc w:val="center"/>
              <w:textAlignment w:val="center"/>
              <w:rPr>
                <w:rFonts w:hint="eastAsia" w:ascii="宋体" w:hAnsi="宋体" w:cs="宋体"/>
                <w:kern w:val="0"/>
                <w:szCs w:val="21"/>
              </w:rPr>
            </w:pPr>
          </w:p>
        </w:tc>
        <w:tc>
          <w:tcPr>
            <w:tcW w:w="4572" w:type="dxa"/>
            <w:noWrap w:val="0"/>
            <w:vAlign w:val="center"/>
          </w:tcPr>
          <w:p w14:paraId="5AD7226E">
            <w:pPr>
              <w:widowControl/>
              <w:jc w:val="left"/>
              <w:textAlignment w:val="center"/>
              <w:rPr>
                <w:rFonts w:hint="eastAsia" w:ascii="宋体" w:hAnsi="宋体" w:cs="宋体"/>
                <w:kern w:val="0"/>
                <w:szCs w:val="21"/>
              </w:rPr>
            </w:pPr>
          </w:p>
        </w:tc>
        <w:tc>
          <w:tcPr>
            <w:tcW w:w="899" w:type="dxa"/>
            <w:noWrap w:val="0"/>
            <w:vAlign w:val="center"/>
          </w:tcPr>
          <w:p w14:paraId="3DF80554">
            <w:pPr>
              <w:widowControl/>
              <w:jc w:val="center"/>
              <w:textAlignment w:val="center"/>
              <w:rPr>
                <w:rFonts w:hint="eastAsia" w:ascii="宋体" w:hAnsi="宋体" w:cs="宋体"/>
                <w:kern w:val="0"/>
                <w:szCs w:val="21"/>
              </w:rPr>
            </w:pPr>
          </w:p>
        </w:tc>
        <w:tc>
          <w:tcPr>
            <w:tcW w:w="899" w:type="dxa"/>
            <w:noWrap w:val="0"/>
            <w:vAlign w:val="center"/>
          </w:tcPr>
          <w:p w14:paraId="11205996">
            <w:pPr>
              <w:widowControl/>
              <w:jc w:val="right"/>
              <w:textAlignment w:val="center"/>
              <w:rPr>
                <w:rFonts w:hint="eastAsia" w:ascii="宋体" w:hAnsi="宋体" w:cs="宋体"/>
                <w:kern w:val="0"/>
                <w:szCs w:val="21"/>
              </w:rPr>
            </w:pPr>
          </w:p>
        </w:tc>
        <w:tc>
          <w:tcPr>
            <w:tcW w:w="1079" w:type="dxa"/>
            <w:noWrap w:val="0"/>
            <w:vAlign w:val="center"/>
          </w:tcPr>
          <w:p w14:paraId="0E883EF5">
            <w:pPr>
              <w:widowControl/>
              <w:jc w:val="center"/>
              <w:rPr>
                <w:rFonts w:ascii="宋体" w:hAnsi="宋体" w:cs="宋体"/>
                <w:kern w:val="0"/>
                <w:szCs w:val="21"/>
              </w:rPr>
            </w:pPr>
          </w:p>
        </w:tc>
        <w:tc>
          <w:tcPr>
            <w:tcW w:w="1079" w:type="dxa"/>
            <w:noWrap w:val="0"/>
            <w:vAlign w:val="center"/>
          </w:tcPr>
          <w:p w14:paraId="4C8440AB">
            <w:pPr>
              <w:widowControl/>
              <w:jc w:val="center"/>
              <w:rPr>
                <w:rFonts w:ascii="宋体" w:hAnsi="宋体" w:cs="宋体"/>
                <w:kern w:val="0"/>
                <w:szCs w:val="21"/>
              </w:rPr>
            </w:pPr>
          </w:p>
        </w:tc>
      </w:tr>
      <w:tr w14:paraId="5B33D0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125E0480">
            <w:pPr>
              <w:widowControl/>
              <w:jc w:val="center"/>
              <w:textAlignment w:val="center"/>
              <w:rPr>
                <w:rFonts w:hint="eastAsia" w:ascii="宋体" w:hAnsi="宋体" w:cs="宋体"/>
                <w:kern w:val="0"/>
                <w:szCs w:val="21"/>
              </w:rPr>
            </w:pPr>
          </w:p>
        </w:tc>
        <w:tc>
          <w:tcPr>
            <w:tcW w:w="4572" w:type="dxa"/>
            <w:noWrap w:val="0"/>
            <w:vAlign w:val="center"/>
          </w:tcPr>
          <w:p w14:paraId="438F1F14">
            <w:pPr>
              <w:widowControl/>
              <w:jc w:val="left"/>
              <w:textAlignment w:val="center"/>
              <w:rPr>
                <w:rFonts w:hint="eastAsia" w:ascii="宋体" w:hAnsi="宋体" w:cs="宋体"/>
                <w:kern w:val="0"/>
                <w:szCs w:val="21"/>
              </w:rPr>
            </w:pPr>
          </w:p>
        </w:tc>
        <w:tc>
          <w:tcPr>
            <w:tcW w:w="899" w:type="dxa"/>
            <w:noWrap w:val="0"/>
            <w:vAlign w:val="center"/>
          </w:tcPr>
          <w:p w14:paraId="26165655">
            <w:pPr>
              <w:jc w:val="center"/>
              <w:rPr>
                <w:rFonts w:hint="eastAsia" w:ascii="宋体" w:hAnsi="宋体" w:cs="宋体"/>
                <w:kern w:val="0"/>
                <w:szCs w:val="21"/>
              </w:rPr>
            </w:pPr>
          </w:p>
        </w:tc>
        <w:tc>
          <w:tcPr>
            <w:tcW w:w="899" w:type="dxa"/>
            <w:noWrap w:val="0"/>
            <w:vAlign w:val="center"/>
          </w:tcPr>
          <w:p w14:paraId="78AA8A13">
            <w:pPr>
              <w:jc w:val="right"/>
              <w:rPr>
                <w:rFonts w:hint="eastAsia" w:ascii="宋体" w:hAnsi="宋体" w:cs="宋体"/>
                <w:kern w:val="0"/>
                <w:szCs w:val="21"/>
              </w:rPr>
            </w:pPr>
          </w:p>
        </w:tc>
        <w:tc>
          <w:tcPr>
            <w:tcW w:w="1079" w:type="dxa"/>
            <w:noWrap w:val="0"/>
            <w:vAlign w:val="center"/>
          </w:tcPr>
          <w:p w14:paraId="2A3A99B1">
            <w:pPr>
              <w:widowControl/>
              <w:jc w:val="center"/>
              <w:rPr>
                <w:rFonts w:ascii="宋体" w:hAnsi="宋体" w:cs="宋体"/>
                <w:kern w:val="0"/>
                <w:szCs w:val="21"/>
              </w:rPr>
            </w:pPr>
          </w:p>
        </w:tc>
        <w:tc>
          <w:tcPr>
            <w:tcW w:w="1079" w:type="dxa"/>
            <w:noWrap w:val="0"/>
            <w:vAlign w:val="center"/>
          </w:tcPr>
          <w:p w14:paraId="70D3B354">
            <w:pPr>
              <w:widowControl/>
              <w:jc w:val="center"/>
              <w:rPr>
                <w:rFonts w:ascii="宋体" w:hAnsi="宋体" w:cs="宋体"/>
                <w:kern w:val="0"/>
                <w:szCs w:val="21"/>
              </w:rPr>
            </w:pPr>
          </w:p>
        </w:tc>
      </w:tr>
      <w:tr w14:paraId="0F7F60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68" w:type="dxa"/>
            <w:gridSpan w:val="6"/>
            <w:noWrap w:val="0"/>
            <w:vAlign w:val="center"/>
          </w:tcPr>
          <w:p w14:paraId="39787B7E">
            <w:pPr>
              <w:widowControl/>
              <w:jc w:val="center"/>
              <w:rPr>
                <w:rFonts w:ascii="宋体" w:hAnsi="宋体" w:cs="宋体"/>
                <w:b/>
                <w:kern w:val="0"/>
                <w:szCs w:val="21"/>
              </w:rPr>
            </w:pPr>
            <w:r>
              <w:rPr>
                <w:rFonts w:hint="eastAsia" w:ascii="宋体" w:hAnsi="宋体" w:cs="宋体"/>
                <w:b/>
                <w:kern w:val="0"/>
                <w:szCs w:val="21"/>
              </w:rPr>
              <w:t>清单300章合计   人民币</w:t>
            </w:r>
            <w:r>
              <w:rPr>
                <w:rFonts w:hint="eastAsia" w:ascii="宋体" w:hAnsi="宋体" w:cs="宋体"/>
                <w:b/>
                <w:kern w:val="0"/>
                <w:szCs w:val="21"/>
                <w:u w:val="single"/>
              </w:rPr>
              <w:t xml:space="preserve">       </w:t>
            </w:r>
            <w:r>
              <w:rPr>
                <w:rFonts w:hint="eastAsia" w:ascii="宋体" w:hAnsi="宋体" w:cs="宋体"/>
                <w:b/>
                <w:kern w:val="0"/>
                <w:szCs w:val="21"/>
              </w:rPr>
              <w:t>元</w:t>
            </w:r>
          </w:p>
        </w:tc>
      </w:tr>
    </w:tbl>
    <w:p w14:paraId="31A0EEF5">
      <w:pPr>
        <w:spacing w:before="240" w:beforeLines="100" w:after="240" w:afterLines="100"/>
        <w:jc w:val="center"/>
        <w:rPr>
          <w:rFonts w:hint="eastAsia" w:ascii="黑体" w:hAnsi="宋体" w:eastAsia="黑体"/>
          <w:sz w:val="30"/>
          <w:szCs w:val="30"/>
        </w:rPr>
      </w:pPr>
      <w:r>
        <w:rPr>
          <w:rFonts w:hint="eastAsia" w:ascii="黑体" w:hAnsi="宋体" w:eastAsia="黑体"/>
          <w:sz w:val="30"/>
          <w:szCs w:val="30"/>
        </w:rPr>
        <w:t>工程量清单</w:t>
      </w:r>
    </w:p>
    <w:p w14:paraId="5967586C">
      <w:pPr>
        <w:pStyle w:val="50"/>
        <w:ind w:left="0" w:leftChars="0" w:firstLine="0" w:firstLine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标项</w:t>
      </w: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w:t>
      </w:r>
      <w:r>
        <w:rPr>
          <w:rFonts w:hint="eastAsia" w:asciiTheme="minorEastAsia" w:hAnsiTheme="minorEastAsia" w:cstheme="minorEastAsia"/>
          <w:sz w:val="24"/>
          <w:szCs w:val="24"/>
          <w:lang w:eastAsia="zh-CN"/>
        </w:rPr>
        <w:t>2026年秀洲区县道及以上公路小修及应急抢险项目</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第</w:t>
      </w:r>
      <w:r>
        <w:rPr>
          <w:rFonts w:hint="eastAsia" w:asciiTheme="minorEastAsia" w:hAnsiTheme="minorEastAsia" w:cstheme="minorEastAsia"/>
          <w:sz w:val="24"/>
          <w:szCs w:val="24"/>
          <w:lang w:val="en-US" w:eastAsia="zh-CN"/>
        </w:rPr>
        <w:t>二</w:t>
      </w:r>
      <w:r>
        <w:rPr>
          <w:rFonts w:hint="eastAsia" w:asciiTheme="minorEastAsia" w:hAnsiTheme="minorEastAsia" w:eastAsiaTheme="minorEastAsia" w:cstheme="minorEastAsia"/>
          <w:sz w:val="24"/>
          <w:szCs w:val="24"/>
          <w:lang w:eastAsia="zh-CN"/>
        </w:rPr>
        <w:t>标段）</w:t>
      </w:r>
    </w:p>
    <w:p w14:paraId="4D902101">
      <w:pPr>
        <w:pStyle w:val="50"/>
        <w:ind w:left="0" w:leftChars="0" w:firstLine="0" w:firstLineChars="0"/>
        <w:rPr>
          <w:rFonts w:hint="eastAsia" w:ascii="黑体" w:hAnsi="宋体" w:eastAsia="黑体"/>
          <w:sz w:val="30"/>
          <w:szCs w:val="30"/>
        </w:rPr>
      </w:pPr>
      <w:r>
        <w:rPr>
          <w:rFonts w:hint="eastAsia" w:asciiTheme="minorEastAsia" w:hAnsiTheme="minorEastAsia" w:eastAsiaTheme="minorEastAsia" w:cstheme="minorEastAsia"/>
          <w:sz w:val="24"/>
          <w:szCs w:val="24"/>
        </w:rPr>
        <w:t>货币单位：人民币元</w:t>
      </w:r>
    </w:p>
    <w:p w14:paraId="6F530DFF">
      <w:pPr>
        <w:tabs>
          <w:tab w:val="left" w:pos="3885"/>
        </w:tabs>
        <w:rPr>
          <w:rFonts w:hint="eastAsia"/>
        </w:rPr>
      </w:pPr>
      <w:r>
        <w:tab/>
      </w:r>
    </w:p>
    <w:tbl>
      <w:tblPr>
        <w:tblStyle w:val="51"/>
        <w:tblW w:w="946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40"/>
        <w:gridCol w:w="4572"/>
        <w:gridCol w:w="899"/>
        <w:gridCol w:w="899"/>
        <w:gridCol w:w="1079"/>
        <w:gridCol w:w="1079"/>
      </w:tblGrid>
      <w:tr w14:paraId="09E7E7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68" w:type="dxa"/>
            <w:gridSpan w:val="6"/>
            <w:noWrap w:val="0"/>
            <w:vAlign w:val="center"/>
          </w:tcPr>
          <w:p w14:paraId="2BF1E202">
            <w:pPr>
              <w:ind w:firstLine="103" w:firstLineChars="49"/>
              <w:jc w:val="center"/>
              <w:rPr>
                <w:rFonts w:ascii="宋体" w:hAnsi="宋体"/>
                <w:b/>
                <w:bCs/>
              </w:rPr>
            </w:pPr>
            <w:r>
              <w:rPr>
                <w:rFonts w:hint="eastAsia" w:ascii="宋体" w:hAnsi="宋体"/>
                <w:b/>
                <w:bCs/>
              </w:rPr>
              <w:t>清单      第</w:t>
            </w:r>
            <w:r>
              <w:rPr>
                <w:rFonts w:hint="eastAsia" w:ascii="宋体" w:hAnsi="宋体"/>
                <w:b/>
                <w:bCs/>
                <w:lang w:val="en-US" w:eastAsia="zh-CN"/>
              </w:rPr>
              <w:t>4</w:t>
            </w:r>
            <w:r>
              <w:rPr>
                <w:rFonts w:hint="eastAsia" w:ascii="宋体" w:hAnsi="宋体"/>
                <w:b/>
                <w:bCs/>
              </w:rPr>
              <w:t>00章      桥梁与涵洞</w:t>
            </w:r>
          </w:p>
        </w:tc>
      </w:tr>
      <w:tr w14:paraId="7BA494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30D20D22">
            <w:pPr>
              <w:widowControl/>
              <w:jc w:val="left"/>
              <w:rPr>
                <w:rFonts w:ascii="宋体" w:hAnsi="宋体" w:cs="宋体"/>
                <w:kern w:val="0"/>
                <w:szCs w:val="21"/>
              </w:rPr>
            </w:pPr>
            <w:r>
              <w:rPr>
                <w:rFonts w:hint="eastAsia" w:ascii="宋体" w:hAnsi="宋体" w:cs="宋体"/>
                <w:kern w:val="0"/>
                <w:szCs w:val="21"/>
              </w:rPr>
              <w:t>子目号</w:t>
            </w:r>
          </w:p>
        </w:tc>
        <w:tc>
          <w:tcPr>
            <w:tcW w:w="4572" w:type="dxa"/>
            <w:noWrap w:val="0"/>
            <w:vAlign w:val="center"/>
          </w:tcPr>
          <w:p w14:paraId="68A4B485">
            <w:pPr>
              <w:widowControl/>
              <w:jc w:val="center"/>
              <w:rPr>
                <w:rFonts w:ascii="宋体" w:hAnsi="宋体" w:cs="宋体"/>
                <w:kern w:val="0"/>
                <w:szCs w:val="21"/>
              </w:rPr>
            </w:pPr>
            <w:r>
              <w:rPr>
                <w:rFonts w:hint="eastAsia" w:ascii="宋体" w:hAnsi="宋体" w:cs="宋体"/>
                <w:kern w:val="0"/>
                <w:szCs w:val="21"/>
              </w:rPr>
              <w:t>子  目  名  称</w:t>
            </w:r>
          </w:p>
        </w:tc>
        <w:tc>
          <w:tcPr>
            <w:tcW w:w="899" w:type="dxa"/>
            <w:noWrap w:val="0"/>
            <w:vAlign w:val="center"/>
          </w:tcPr>
          <w:p w14:paraId="7D0881D0">
            <w:pPr>
              <w:widowControl/>
              <w:jc w:val="center"/>
              <w:rPr>
                <w:rFonts w:ascii="宋体" w:hAnsi="宋体" w:cs="宋体"/>
                <w:kern w:val="0"/>
                <w:szCs w:val="21"/>
              </w:rPr>
            </w:pPr>
            <w:r>
              <w:rPr>
                <w:rFonts w:hint="eastAsia" w:ascii="宋体" w:hAnsi="宋体" w:cs="宋体"/>
                <w:kern w:val="0"/>
                <w:szCs w:val="21"/>
              </w:rPr>
              <w:t>单位</w:t>
            </w:r>
          </w:p>
        </w:tc>
        <w:tc>
          <w:tcPr>
            <w:tcW w:w="899" w:type="dxa"/>
            <w:noWrap w:val="0"/>
            <w:vAlign w:val="center"/>
          </w:tcPr>
          <w:p w14:paraId="5EC2D0A5">
            <w:pPr>
              <w:widowControl/>
              <w:jc w:val="center"/>
              <w:rPr>
                <w:rFonts w:ascii="宋体" w:hAnsi="宋体" w:cs="宋体"/>
                <w:kern w:val="0"/>
                <w:szCs w:val="21"/>
              </w:rPr>
            </w:pPr>
            <w:r>
              <w:rPr>
                <w:rFonts w:hint="eastAsia" w:ascii="宋体" w:hAnsi="宋体" w:cs="宋体"/>
                <w:kern w:val="0"/>
                <w:szCs w:val="21"/>
              </w:rPr>
              <w:t>数量</w:t>
            </w:r>
          </w:p>
        </w:tc>
        <w:tc>
          <w:tcPr>
            <w:tcW w:w="1079" w:type="dxa"/>
            <w:noWrap w:val="0"/>
            <w:vAlign w:val="center"/>
          </w:tcPr>
          <w:p w14:paraId="07BD067D">
            <w:pPr>
              <w:widowControl/>
              <w:jc w:val="center"/>
              <w:rPr>
                <w:rFonts w:ascii="宋体" w:hAnsi="宋体" w:cs="宋体"/>
                <w:kern w:val="0"/>
                <w:szCs w:val="21"/>
              </w:rPr>
            </w:pPr>
            <w:r>
              <w:rPr>
                <w:rFonts w:hint="eastAsia" w:ascii="宋体" w:hAnsi="宋体" w:cs="宋体"/>
                <w:kern w:val="0"/>
                <w:szCs w:val="21"/>
              </w:rPr>
              <w:t>单价</w:t>
            </w:r>
          </w:p>
        </w:tc>
        <w:tc>
          <w:tcPr>
            <w:tcW w:w="1079" w:type="dxa"/>
            <w:noWrap w:val="0"/>
            <w:vAlign w:val="center"/>
          </w:tcPr>
          <w:p w14:paraId="64BFB482">
            <w:pPr>
              <w:widowControl/>
              <w:jc w:val="center"/>
              <w:rPr>
                <w:rFonts w:ascii="宋体" w:hAnsi="宋体" w:cs="宋体"/>
                <w:kern w:val="0"/>
                <w:szCs w:val="21"/>
              </w:rPr>
            </w:pPr>
            <w:r>
              <w:rPr>
                <w:rFonts w:hint="eastAsia" w:ascii="宋体" w:hAnsi="宋体" w:cs="宋体"/>
                <w:kern w:val="0"/>
                <w:szCs w:val="21"/>
              </w:rPr>
              <w:t>合价</w:t>
            </w:r>
          </w:p>
        </w:tc>
      </w:tr>
      <w:tr w14:paraId="28CD67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68ED8FA6">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404</w:t>
            </w:r>
          </w:p>
        </w:tc>
        <w:tc>
          <w:tcPr>
            <w:tcW w:w="4572" w:type="dxa"/>
            <w:noWrap w:val="0"/>
            <w:vAlign w:val="center"/>
          </w:tcPr>
          <w:p w14:paraId="484C8505">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涵洞</w:t>
            </w:r>
          </w:p>
        </w:tc>
        <w:tc>
          <w:tcPr>
            <w:tcW w:w="899" w:type="dxa"/>
            <w:noWrap w:val="0"/>
            <w:vAlign w:val="center"/>
          </w:tcPr>
          <w:p w14:paraId="1342676E">
            <w:pPr>
              <w:jc w:val="center"/>
              <w:rPr>
                <w:rFonts w:hint="eastAsia" w:ascii="宋体" w:hAnsi="宋体" w:cs="宋体"/>
                <w:kern w:val="0"/>
                <w:sz w:val="21"/>
                <w:szCs w:val="21"/>
              </w:rPr>
            </w:pPr>
          </w:p>
        </w:tc>
        <w:tc>
          <w:tcPr>
            <w:tcW w:w="899" w:type="dxa"/>
            <w:noWrap w:val="0"/>
            <w:vAlign w:val="center"/>
          </w:tcPr>
          <w:p w14:paraId="35375154">
            <w:pPr>
              <w:jc w:val="right"/>
              <w:rPr>
                <w:rFonts w:hint="eastAsia" w:ascii="宋体" w:hAnsi="宋体" w:cs="宋体"/>
                <w:kern w:val="0"/>
                <w:sz w:val="21"/>
                <w:szCs w:val="21"/>
              </w:rPr>
            </w:pPr>
          </w:p>
        </w:tc>
        <w:tc>
          <w:tcPr>
            <w:tcW w:w="1079" w:type="dxa"/>
            <w:noWrap w:val="0"/>
            <w:vAlign w:val="center"/>
          </w:tcPr>
          <w:p w14:paraId="76CA47B3">
            <w:pPr>
              <w:widowControl/>
              <w:jc w:val="center"/>
              <w:rPr>
                <w:rFonts w:hint="eastAsia" w:ascii="宋体" w:hAnsi="宋体" w:cs="宋体"/>
                <w:kern w:val="0"/>
                <w:szCs w:val="21"/>
              </w:rPr>
            </w:pPr>
          </w:p>
        </w:tc>
        <w:tc>
          <w:tcPr>
            <w:tcW w:w="1079" w:type="dxa"/>
            <w:noWrap w:val="0"/>
            <w:vAlign w:val="center"/>
          </w:tcPr>
          <w:p w14:paraId="7ADC50F9">
            <w:pPr>
              <w:widowControl/>
              <w:jc w:val="center"/>
              <w:rPr>
                <w:rFonts w:hint="eastAsia" w:ascii="宋体" w:hAnsi="宋体" w:cs="宋体"/>
                <w:kern w:val="0"/>
                <w:szCs w:val="21"/>
              </w:rPr>
            </w:pPr>
          </w:p>
        </w:tc>
      </w:tr>
      <w:tr w14:paraId="5E7971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1969C09C">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404-1</w:t>
            </w:r>
          </w:p>
        </w:tc>
        <w:tc>
          <w:tcPr>
            <w:tcW w:w="4572" w:type="dxa"/>
            <w:noWrap w:val="0"/>
            <w:vAlign w:val="center"/>
          </w:tcPr>
          <w:p w14:paraId="1815977D">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圆管涵维修</w:t>
            </w:r>
          </w:p>
        </w:tc>
        <w:tc>
          <w:tcPr>
            <w:tcW w:w="899" w:type="dxa"/>
            <w:noWrap w:val="0"/>
            <w:vAlign w:val="center"/>
          </w:tcPr>
          <w:p w14:paraId="6DC9CF82">
            <w:pPr>
              <w:jc w:val="center"/>
              <w:rPr>
                <w:rFonts w:hint="eastAsia" w:ascii="宋体" w:hAnsi="宋体" w:cs="宋体"/>
                <w:kern w:val="0"/>
                <w:sz w:val="21"/>
                <w:szCs w:val="21"/>
              </w:rPr>
            </w:pPr>
          </w:p>
        </w:tc>
        <w:tc>
          <w:tcPr>
            <w:tcW w:w="899" w:type="dxa"/>
            <w:noWrap w:val="0"/>
            <w:vAlign w:val="center"/>
          </w:tcPr>
          <w:p w14:paraId="41EB1565">
            <w:pPr>
              <w:jc w:val="right"/>
              <w:rPr>
                <w:rFonts w:hint="eastAsia" w:ascii="宋体" w:hAnsi="宋体" w:cs="宋体"/>
                <w:kern w:val="0"/>
                <w:sz w:val="21"/>
                <w:szCs w:val="21"/>
              </w:rPr>
            </w:pPr>
          </w:p>
        </w:tc>
        <w:tc>
          <w:tcPr>
            <w:tcW w:w="1079" w:type="dxa"/>
            <w:noWrap w:val="0"/>
            <w:vAlign w:val="center"/>
          </w:tcPr>
          <w:p w14:paraId="6C4D4786">
            <w:pPr>
              <w:widowControl/>
              <w:jc w:val="center"/>
              <w:rPr>
                <w:rFonts w:hint="eastAsia" w:ascii="宋体" w:hAnsi="宋体" w:cs="宋体"/>
                <w:kern w:val="0"/>
                <w:szCs w:val="21"/>
              </w:rPr>
            </w:pPr>
          </w:p>
        </w:tc>
        <w:tc>
          <w:tcPr>
            <w:tcW w:w="1079" w:type="dxa"/>
            <w:noWrap w:val="0"/>
            <w:vAlign w:val="center"/>
          </w:tcPr>
          <w:p w14:paraId="67C65F4E">
            <w:pPr>
              <w:widowControl/>
              <w:jc w:val="center"/>
              <w:rPr>
                <w:rFonts w:hint="eastAsia" w:ascii="宋体" w:hAnsi="宋体" w:cs="宋体"/>
                <w:kern w:val="0"/>
                <w:szCs w:val="21"/>
              </w:rPr>
            </w:pPr>
          </w:p>
        </w:tc>
      </w:tr>
      <w:tr w14:paraId="5FC423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49442DBE">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-a</w:t>
            </w:r>
          </w:p>
        </w:tc>
        <w:tc>
          <w:tcPr>
            <w:tcW w:w="4572" w:type="dxa"/>
            <w:noWrap w:val="0"/>
            <w:vAlign w:val="center"/>
          </w:tcPr>
          <w:p w14:paraId="036D49D2">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φ600mm圆管涵</w:t>
            </w:r>
          </w:p>
        </w:tc>
        <w:tc>
          <w:tcPr>
            <w:tcW w:w="899" w:type="dxa"/>
            <w:noWrap w:val="0"/>
            <w:vAlign w:val="center"/>
          </w:tcPr>
          <w:p w14:paraId="4B911BD2">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m</w:t>
            </w:r>
          </w:p>
        </w:tc>
        <w:tc>
          <w:tcPr>
            <w:tcW w:w="899" w:type="dxa"/>
            <w:noWrap w:val="0"/>
            <w:vAlign w:val="center"/>
          </w:tcPr>
          <w:p w14:paraId="140A20D8">
            <w:pPr>
              <w:keepNext w:val="0"/>
              <w:keepLines w:val="0"/>
              <w:widowControl/>
              <w:suppressLineNumbers w:val="0"/>
              <w:jc w:val="right"/>
              <w:textAlignment w:val="center"/>
              <w:rPr>
                <w:rFonts w:hint="eastAsia" w:ascii="宋体" w:hAnsi="宋体" w:cs="宋体"/>
                <w:kern w:val="0"/>
                <w:sz w:val="21"/>
                <w:szCs w:val="21"/>
              </w:rPr>
            </w:pPr>
            <w:r>
              <w:rPr>
                <w:rFonts w:hint="default" w:ascii="Arial Narrow" w:hAnsi="Arial Narrow" w:eastAsia="Arial Narrow" w:cs="Arial Narrow"/>
                <w:i w:val="0"/>
                <w:iCs w:val="0"/>
                <w:color w:val="000000"/>
                <w:kern w:val="0"/>
                <w:sz w:val="21"/>
                <w:szCs w:val="21"/>
                <w:u w:val="none"/>
                <w:lang w:val="en-US" w:eastAsia="zh-CN" w:bidi="ar"/>
              </w:rPr>
              <w:t>20</w:t>
            </w:r>
          </w:p>
        </w:tc>
        <w:tc>
          <w:tcPr>
            <w:tcW w:w="1079" w:type="dxa"/>
            <w:noWrap w:val="0"/>
            <w:vAlign w:val="center"/>
          </w:tcPr>
          <w:p w14:paraId="1AD338B6">
            <w:pPr>
              <w:widowControl/>
              <w:jc w:val="center"/>
              <w:rPr>
                <w:rFonts w:hint="eastAsia" w:ascii="宋体" w:hAnsi="宋体" w:cs="宋体"/>
                <w:kern w:val="0"/>
                <w:szCs w:val="21"/>
              </w:rPr>
            </w:pPr>
          </w:p>
        </w:tc>
        <w:tc>
          <w:tcPr>
            <w:tcW w:w="1079" w:type="dxa"/>
            <w:noWrap w:val="0"/>
            <w:vAlign w:val="center"/>
          </w:tcPr>
          <w:p w14:paraId="6AA7E4F3">
            <w:pPr>
              <w:widowControl/>
              <w:jc w:val="center"/>
              <w:rPr>
                <w:rFonts w:hint="eastAsia" w:ascii="宋体" w:hAnsi="宋体" w:cs="宋体"/>
                <w:kern w:val="0"/>
                <w:szCs w:val="21"/>
              </w:rPr>
            </w:pPr>
          </w:p>
        </w:tc>
      </w:tr>
      <w:tr w14:paraId="76FB67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178EF0A8">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-b</w:t>
            </w:r>
          </w:p>
        </w:tc>
        <w:tc>
          <w:tcPr>
            <w:tcW w:w="4572" w:type="dxa"/>
            <w:noWrap w:val="0"/>
            <w:vAlign w:val="center"/>
          </w:tcPr>
          <w:p w14:paraId="19D787C7">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φ1000mm圆管涵</w:t>
            </w:r>
          </w:p>
        </w:tc>
        <w:tc>
          <w:tcPr>
            <w:tcW w:w="899" w:type="dxa"/>
            <w:noWrap w:val="0"/>
            <w:vAlign w:val="center"/>
          </w:tcPr>
          <w:p w14:paraId="4158D325">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m</w:t>
            </w:r>
          </w:p>
        </w:tc>
        <w:tc>
          <w:tcPr>
            <w:tcW w:w="899" w:type="dxa"/>
            <w:noWrap w:val="0"/>
            <w:vAlign w:val="center"/>
          </w:tcPr>
          <w:p w14:paraId="55906AD1">
            <w:pPr>
              <w:keepNext w:val="0"/>
              <w:keepLines w:val="0"/>
              <w:widowControl/>
              <w:suppressLineNumbers w:val="0"/>
              <w:jc w:val="right"/>
              <w:textAlignment w:val="center"/>
              <w:rPr>
                <w:rFonts w:hint="eastAsia" w:ascii="宋体" w:hAnsi="宋体" w:cs="宋体"/>
                <w:kern w:val="0"/>
                <w:sz w:val="21"/>
                <w:szCs w:val="21"/>
              </w:rPr>
            </w:pPr>
            <w:r>
              <w:rPr>
                <w:rFonts w:hint="default" w:ascii="Arial Narrow" w:hAnsi="Arial Narrow" w:eastAsia="Arial Narrow" w:cs="Arial Narrow"/>
                <w:i w:val="0"/>
                <w:iCs w:val="0"/>
                <w:color w:val="000000"/>
                <w:kern w:val="0"/>
                <w:sz w:val="21"/>
                <w:szCs w:val="21"/>
                <w:u w:val="none"/>
                <w:lang w:val="en-US" w:eastAsia="zh-CN" w:bidi="ar"/>
              </w:rPr>
              <w:t>20</w:t>
            </w:r>
          </w:p>
        </w:tc>
        <w:tc>
          <w:tcPr>
            <w:tcW w:w="1079" w:type="dxa"/>
            <w:noWrap w:val="0"/>
            <w:vAlign w:val="center"/>
          </w:tcPr>
          <w:p w14:paraId="7D87CD75">
            <w:pPr>
              <w:widowControl/>
              <w:jc w:val="center"/>
              <w:rPr>
                <w:rFonts w:hint="eastAsia" w:ascii="宋体" w:hAnsi="宋体" w:cs="宋体"/>
                <w:kern w:val="0"/>
                <w:szCs w:val="21"/>
              </w:rPr>
            </w:pPr>
          </w:p>
        </w:tc>
        <w:tc>
          <w:tcPr>
            <w:tcW w:w="1079" w:type="dxa"/>
            <w:noWrap w:val="0"/>
            <w:vAlign w:val="center"/>
          </w:tcPr>
          <w:p w14:paraId="3C33D643">
            <w:pPr>
              <w:widowControl/>
              <w:jc w:val="center"/>
              <w:rPr>
                <w:rFonts w:hint="eastAsia" w:ascii="宋体" w:hAnsi="宋体" w:cs="宋体"/>
                <w:kern w:val="0"/>
                <w:szCs w:val="21"/>
              </w:rPr>
            </w:pPr>
          </w:p>
        </w:tc>
      </w:tr>
      <w:tr w14:paraId="3A9378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59754993">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-c</w:t>
            </w:r>
          </w:p>
        </w:tc>
        <w:tc>
          <w:tcPr>
            <w:tcW w:w="4572" w:type="dxa"/>
            <w:noWrap w:val="0"/>
            <w:vAlign w:val="center"/>
          </w:tcPr>
          <w:p w14:paraId="2D450D1D">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φ1200mm圆管涵</w:t>
            </w:r>
          </w:p>
        </w:tc>
        <w:tc>
          <w:tcPr>
            <w:tcW w:w="899" w:type="dxa"/>
            <w:noWrap w:val="0"/>
            <w:vAlign w:val="center"/>
          </w:tcPr>
          <w:p w14:paraId="62F4FB09">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m</w:t>
            </w:r>
          </w:p>
        </w:tc>
        <w:tc>
          <w:tcPr>
            <w:tcW w:w="899" w:type="dxa"/>
            <w:noWrap w:val="0"/>
            <w:vAlign w:val="center"/>
          </w:tcPr>
          <w:p w14:paraId="03CF86AB">
            <w:pPr>
              <w:keepNext w:val="0"/>
              <w:keepLines w:val="0"/>
              <w:widowControl/>
              <w:suppressLineNumbers w:val="0"/>
              <w:jc w:val="right"/>
              <w:textAlignment w:val="center"/>
              <w:rPr>
                <w:rFonts w:hint="eastAsia" w:ascii="宋体" w:hAnsi="宋体" w:cs="宋体"/>
                <w:kern w:val="0"/>
                <w:sz w:val="21"/>
                <w:szCs w:val="21"/>
              </w:rPr>
            </w:pPr>
            <w:r>
              <w:rPr>
                <w:rFonts w:hint="default" w:ascii="Arial Narrow" w:hAnsi="Arial Narrow" w:eastAsia="Arial Narrow" w:cs="Arial Narrow"/>
                <w:i w:val="0"/>
                <w:iCs w:val="0"/>
                <w:color w:val="000000"/>
                <w:kern w:val="0"/>
                <w:sz w:val="21"/>
                <w:szCs w:val="21"/>
                <w:u w:val="none"/>
                <w:lang w:val="en-US" w:eastAsia="zh-CN" w:bidi="ar"/>
              </w:rPr>
              <w:t>20</w:t>
            </w:r>
          </w:p>
        </w:tc>
        <w:tc>
          <w:tcPr>
            <w:tcW w:w="1079" w:type="dxa"/>
            <w:noWrap w:val="0"/>
            <w:vAlign w:val="center"/>
          </w:tcPr>
          <w:p w14:paraId="7FDB7F1B">
            <w:pPr>
              <w:widowControl/>
              <w:jc w:val="center"/>
              <w:rPr>
                <w:rFonts w:hint="eastAsia" w:ascii="宋体" w:hAnsi="宋体" w:cs="宋体"/>
                <w:kern w:val="0"/>
                <w:szCs w:val="21"/>
              </w:rPr>
            </w:pPr>
          </w:p>
        </w:tc>
        <w:tc>
          <w:tcPr>
            <w:tcW w:w="1079" w:type="dxa"/>
            <w:noWrap w:val="0"/>
            <w:vAlign w:val="center"/>
          </w:tcPr>
          <w:p w14:paraId="5772ABFE">
            <w:pPr>
              <w:widowControl/>
              <w:jc w:val="center"/>
              <w:rPr>
                <w:rFonts w:hint="eastAsia" w:ascii="宋体" w:hAnsi="宋体" w:cs="宋体"/>
                <w:kern w:val="0"/>
                <w:szCs w:val="21"/>
              </w:rPr>
            </w:pPr>
          </w:p>
        </w:tc>
      </w:tr>
      <w:tr w14:paraId="56C1F1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691990C7">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404-5</w:t>
            </w:r>
          </w:p>
        </w:tc>
        <w:tc>
          <w:tcPr>
            <w:tcW w:w="4572" w:type="dxa"/>
            <w:noWrap w:val="0"/>
            <w:vAlign w:val="center"/>
          </w:tcPr>
          <w:p w14:paraId="3C1D7C23">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窨井新建或维修</w:t>
            </w:r>
          </w:p>
        </w:tc>
        <w:tc>
          <w:tcPr>
            <w:tcW w:w="899" w:type="dxa"/>
            <w:noWrap w:val="0"/>
            <w:vAlign w:val="center"/>
          </w:tcPr>
          <w:p w14:paraId="1B72D4FC">
            <w:pPr>
              <w:jc w:val="center"/>
              <w:rPr>
                <w:rFonts w:hint="eastAsia" w:ascii="宋体" w:hAnsi="宋体" w:cs="宋体"/>
                <w:kern w:val="0"/>
                <w:sz w:val="21"/>
                <w:szCs w:val="21"/>
              </w:rPr>
            </w:pPr>
          </w:p>
        </w:tc>
        <w:tc>
          <w:tcPr>
            <w:tcW w:w="899" w:type="dxa"/>
            <w:noWrap w:val="0"/>
            <w:vAlign w:val="center"/>
          </w:tcPr>
          <w:p w14:paraId="0A5E0581">
            <w:pPr>
              <w:jc w:val="right"/>
              <w:rPr>
                <w:rFonts w:hint="eastAsia" w:ascii="宋体" w:hAnsi="宋体" w:cs="宋体"/>
                <w:kern w:val="0"/>
                <w:sz w:val="21"/>
                <w:szCs w:val="21"/>
              </w:rPr>
            </w:pPr>
          </w:p>
        </w:tc>
        <w:tc>
          <w:tcPr>
            <w:tcW w:w="1079" w:type="dxa"/>
            <w:noWrap w:val="0"/>
            <w:vAlign w:val="center"/>
          </w:tcPr>
          <w:p w14:paraId="6E53F2B5">
            <w:pPr>
              <w:widowControl/>
              <w:jc w:val="center"/>
              <w:rPr>
                <w:rFonts w:hint="eastAsia" w:ascii="宋体" w:hAnsi="宋体" w:cs="宋体"/>
                <w:kern w:val="0"/>
                <w:szCs w:val="21"/>
              </w:rPr>
            </w:pPr>
          </w:p>
        </w:tc>
        <w:tc>
          <w:tcPr>
            <w:tcW w:w="1079" w:type="dxa"/>
            <w:noWrap w:val="0"/>
            <w:vAlign w:val="center"/>
          </w:tcPr>
          <w:p w14:paraId="049C7C70">
            <w:pPr>
              <w:widowControl/>
              <w:jc w:val="center"/>
              <w:rPr>
                <w:rFonts w:hint="eastAsia" w:ascii="宋体" w:hAnsi="宋体" w:cs="宋体"/>
                <w:kern w:val="0"/>
                <w:szCs w:val="21"/>
              </w:rPr>
            </w:pPr>
          </w:p>
        </w:tc>
      </w:tr>
      <w:tr w14:paraId="3B2A85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0D87EE8B">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-a</w:t>
            </w:r>
          </w:p>
        </w:tc>
        <w:tc>
          <w:tcPr>
            <w:tcW w:w="4572" w:type="dxa"/>
            <w:noWrap w:val="0"/>
            <w:vAlign w:val="center"/>
          </w:tcPr>
          <w:p w14:paraId="666E94FF">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检查井井盖更换(铸铁雨水井盖)</w:t>
            </w:r>
          </w:p>
        </w:tc>
        <w:tc>
          <w:tcPr>
            <w:tcW w:w="899" w:type="dxa"/>
            <w:noWrap w:val="0"/>
            <w:vAlign w:val="center"/>
          </w:tcPr>
          <w:p w14:paraId="5E73CAA2">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座</w:t>
            </w:r>
          </w:p>
        </w:tc>
        <w:tc>
          <w:tcPr>
            <w:tcW w:w="899" w:type="dxa"/>
            <w:noWrap w:val="0"/>
            <w:vAlign w:val="center"/>
          </w:tcPr>
          <w:p w14:paraId="4DB2AD9D">
            <w:pPr>
              <w:keepNext w:val="0"/>
              <w:keepLines w:val="0"/>
              <w:widowControl/>
              <w:suppressLineNumbers w:val="0"/>
              <w:jc w:val="right"/>
              <w:textAlignment w:val="center"/>
              <w:rPr>
                <w:rFonts w:hint="eastAsia" w:ascii="宋体" w:hAnsi="宋体" w:cs="宋体"/>
                <w:kern w:val="0"/>
                <w:sz w:val="21"/>
                <w:szCs w:val="21"/>
              </w:rPr>
            </w:pPr>
            <w:r>
              <w:rPr>
                <w:rFonts w:hint="default" w:ascii="Arial Narrow" w:hAnsi="Arial Narrow" w:eastAsia="Arial Narrow" w:cs="Arial Narrow"/>
                <w:i w:val="0"/>
                <w:iCs w:val="0"/>
                <w:color w:val="000000"/>
                <w:kern w:val="0"/>
                <w:sz w:val="21"/>
                <w:szCs w:val="21"/>
                <w:u w:val="none"/>
                <w:lang w:val="en-US" w:eastAsia="zh-CN" w:bidi="ar"/>
              </w:rPr>
              <w:t>5</w:t>
            </w:r>
          </w:p>
        </w:tc>
        <w:tc>
          <w:tcPr>
            <w:tcW w:w="1079" w:type="dxa"/>
            <w:noWrap w:val="0"/>
            <w:vAlign w:val="center"/>
          </w:tcPr>
          <w:p w14:paraId="4F318B39">
            <w:pPr>
              <w:widowControl/>
              <w:jc w:val="center"/>
              <w:rPr>
                <w:rFonts w:ascii="宋体" w:hAnsi="宋体" w:cs="宋体"/>
                <w:kern w:val="0"/>
                <w:szCs w:val="21"/>
              </w:rPr>
            </w:pPr>
          </w:p>
        </w:tc>
        <w:tc>
          <w:tcPr>
            <w:tcW w:w="1079" w:type="dxa"/>
            <w:noWrap w:val="0"/>
            <w:vAlign w:val="center"/>
          </w:tcPr>
          <w:p w14:paraId="03DC9A09">
            <w:pPr>
              <w:widowControl/>
              <w:jc w:val="center"/>
              <w:rPr>
                <w:rFonts w:ascii="宋体" w:hAnsi="宋体" w:cs="宋体"/>
                <w:kern w:val="0"/>
                <w:szCs w:val="21"/>
              </w:rPr>
            </w:pPr>
          </w:p>
        </w:tc>
      </w:tr>
      <w:tr w14:paraId="0609F0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1BD6CB4B">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-b</w:t>
            </w:r>
          </w:p>
        </w:tc>
        <w:tc>
          <w:tcPr>
            <w:tcW w:w="4572" w:type="dxa"/>
            <w:noWrap w:val="0"/>
            <w:vAlign w:val="center"/>
          </w:tcPr>
          <w:p w14:paraId="1B683BB3">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检查井井盖更换(树脂)</w:t>
            </w:r>
          </w:p>
        </w:tc>
        <w:tc>
          <w:tcPr>
            <w:tcW w:w="899" w:type="dxa"/>
            <w:noWrap w:val="0"/>
            <w:vAlign w:val="center"/>
          </w:tcPr>
          <w:p w14:paraId="382B6815">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座</w:t>
            </w:r>
          </w:p>
        </w:tc>
        <w:tc>
          <w:tcPr>
            <w:tcW w:w="899" w:type="dxa"/>
            <w:noWrap w:val="0"/>
            <w:vAlign w:val="center"/>
          </w:tcPr>
          <w:p w14:paraId="31D90ECF">
            <w:pPr>
              <w:keepNext w:val="0"/>
              <w:keepLines w:val="0"/>
              <w:widowControl/>
              <w:suppressLineNumbers w:val="0"/>
              <w:jc w:val="right"/>
              <w:textAlignment w:val="center"/>
              <w:rPr>
                <w:rFonts w:hint="eastAsia" w:ascii="宋体" w:hAnsi="宋体" w:cs="宋体"/>
                <w:kern w:val="0"/>
                <w:sz w:val="21"/>
                <w:szCs w:val="21"/>
              </w:rPr>
            </w:pPr>
            <w:r>
              <w:rPr>
                <w:rFonts w:hint="default" w:ascii="Arial Narrow" w:hAnsi="Arial Narrow" w:eastAsia="Arial Narrow" w:cs="Arial Narrow"/>
                <w:i w:val="0"/>
                <w:iCs w:val="0"/>
                <w:color w:val="000000"/>
                <w:kern w:val="0"/>
                <w:sz w:val="21"/>
                <w:szCs w:val="21"/>
                <w:u w:val="none"/>
                <w:lang w:val="en-US" w:eastAsia="zh-CN" w:bidi="ar"/>
              </w:rPr>
              <w:t>5</w:t>
            </w:r>
          </w:p>
        </w:tc>
        <w:tc>
          <w:tcPr>
            <w:tcW w:w="1079" w:type="dxa"/>
            <w:noWrap w:val="0"/>
            <w:vAlign w:val="center"/>
          </w:tcPr>
          <w:p w14:paraId="121C47AF">
            <w:pPr>
              <w:widowControl/>
              <w:jc w:val="center"/>
              <w:rPr>
                <w:rFonts w:ascii="宋体" w:hAnsi="宋体" w:cs="宋体"/>
                <w:kern w:val="0"/>
                <w:szCs w:val="21"/>
              </w:rPr>
            </w:pPr>
          </w:p>
        </w:tc>
        <w:tc>
          <w:tcPr>
            <w:tcW w:w="1079" w:type="dxa"/>
            <w:noWrap w:val="0"/>
            <w:vAlign w:val="center"/>
          </w:tcPr>
          <w:p w14:paraId="4366AC84">
            <w:pPr>
              <w:widowControl/>
              <w:jc w:val="center"/>
              <w:rPr>
                <w:rFonts w:ascii="宋体" w:hAnsi="宋体" w:cs="宋体"/>
                <w:kern w:val="0"/>
                <w:szCs w:val="21"/>
              </w:rPr>
            </w:pPr>
          </w:p>
        </w:tc>
      </w:tr>
      <w:tr w14:paraId="77532F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483EC60E">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-c</w:t>
            </w:r>
          </w:p>
        </w:tc>
        <w:tc>
          <w:tcPr>
            <w:tcW w:w="4572" w:type="dxa"/>
            <w:noWrap w:val="0"/>
            <w:vAlign w:val="center"/>
          </w:tcPr>
          <w:p w14:paraId="50E31B73">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检查井井座维修更换</w:t>
            </w:r>
          </w:p>
        </w:tc>
        <w:tc>
          <w:tcPr>
            <w:tcW w:w="899" w:type="dxa"/>
            <w:noWrap w:val="0"/>
            <w:vAlign w:val="center"/>
          </w:tcPr>
          <w:p w14:paraId="6C5D2A7C">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座</w:t>
            </w:r>
          </w:p>
        </w:tc>
        <w:tc>
          <w:tcPr>
            <w:tcW w:w="899" w:type="dxa"/>
            <w:noWrap w:val="0"/>
            <w:vAlign w:val="center"/>
          </w:tcPr>
          <w:p w14:paraId="3E92A189">
            <w:pPr>
              <w:keepNext w:val="0"/>
              <w:keepLines w:val="0"/>
              <w:widowControl/>
              <w:suppressLineNumbers w:val="0"/>
              <w:jc w:val="right"/>
              <w:textAlignment w:val="center"/>
              <w:rPr>
                <w:rFonts w:hint="eastAsia" w:ascii="宋体" w:hAnsi="宋体" w:cs="宋体"/>
                <w:kern w:val="0"/>
                <w:sz w:val="21"/>
                <w:szCs w:val="21"/>
              </w:rPr>
            </w:pPr>
            <w:r>
              <w:rPr>
                <w:rFonts w:hint="default" w:ascii="Arial Narrow" w:hAnsi="Arial Narrow" w:eastAsia="Arial Narrow" w:cs="Arial Narrow"/>
                <w:i w:val="0"/>
                <w:iCs w:val="0"/>
                <w:color w:val="000000"/>
                <w:kern w:val="0"/>
                <w:sz w:val="21"/>
                <w:szCs w:val="21"/>
                <w:u w:val="none"/>
                <w:lang w:val="en-US" w:eastAsia="zh-CN" w:bidi="ar"/>
              </w:rPr>
              <w:t>5</w:t>
            </w:r>
          </w:p>
        </w:tc>
        <w:tc>
          <w:tcPr>
            <w:tcW w:w="1079" w:type="dxa"/>
            <w:noWrap w:val="0"/>
            <w:vAlign w:val="center"/>
          </w:tcPr>
          <w:p w14:paraId="654B254D">
            <w:pPr>
              <w:widowControl/>
              <w:jc w:val="center"/>
              <w:rPr>
                <w:rFonts w:ascii="宋体" w:hAnsi="宋体" w:cs="宋体"/>
                <w:kern w:val="0"/>
                <w:szCs w:val="21"/>
              </w:rPr>
            </w:pPr>
          </w:p>
        </w:tc>
        <w:tc>
          <w:tcPr>
            <w:tcW w:w="1079" w:type="dxa"/>
            <w:noWrap w:val="0"/>
            <w:vAlign w:val="center"/>
          </w:tcPr>
          <w:p w14:paraId="1E774BF7">
            <w:pPr>
              <w:widowControl/>
              <w:jc w:val="center"/>
              <w:rPr>
                <w:rFonts w:ascii="宋体" w:hAnsi="宋体" w:cs="宋体"/>
                <w:kern w:val="0"/>
                <w:szCs w:val="21"/>
              </w:rPr>
            </w:pPr>
          </w:p>
        </w:tc>
      </w:tr>
      <w:tr w14:paraId="717FB3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2FBD16A3">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-d</w:t>
            </w:r>
          </w:p>
        </w:tc>
        <w:tc>
          <w:tcPr>
            <w:tcW w:w="4572" w:type="dxa"/>
            <w:noWrap w:val="0"/>
            <w:vAlign w:val="center"/>
          </w:tcPr>
          <w:p w14:paraId="54E67150">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新建检查井(铸铁雨水井盖)</w:t>
            </w:r>
          </w:p>
        </w:tc>
        <w:tc>
          <w:tcPr>
            <w:tcW w:w="899" w:type="dxa"/>
            <w:noWrap w:val="0"/>
            <w:vAlign w:val="center"/>
          </w:tcPr>
          <w:p w14:paraId="0CE30DFC">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座</w:t>
            </w:r>
          </w:p>
        </w:tc>
        <w:tc>
          <w:tcPr>
            <w:tcW w:w="899" w:type="dxa"/>
            <w:noWrap w:val="0"/>
            <w:vAlign w:val="center"/>
          </w:tcPr>
          <w:p w14:paraId="7E4BA801">
            <w:pPr>
              <w:keepNext w:val="0"/>
              <w:keepLines w:val="0"/>
              <w:widowControl/>
              <w:suppressLineNumbers w:val="0"/>
              <w:jc w:val="right"/>
              <w:textAlignment w:val="center"/>
              <w:rPr>
                <w:rFonts w:hint="eastAsia" w:ascii="宋体" w:hAnsi="宋体" w:cs="宋体"/>
                <w:kern w:val="0"/>
                <w:sz w:val="21"/>
                <w:szCs w:val="21"/>
              </w:rPr>
            </w:pPr>
            <w:r>
              <w:rPr>
                <w:rFonts w:hint="default" w:ascii="Arial Narrow" w:hAnsi="Arial Narrow" w:eastAsia="Arial Narrow" w:cs="Arial Narrow"/>
                <w:i w:val="0"/>
                <w:iCs w:val="0"/>
                <w:color w:val="000000"/>
                <w:kern w:val="0"/>
                <w:sz w:val="21"/>
                <w:szCs w:val="21"/>
                <w:u w:val="none"/>
                <w:lang w:val="en-US" w:eastAsia="zh-CN" w:bidi="ar"/>
              </w:rPr>
              <w:t>5</w:t>
            </w:r>
          </w:p>
        </w:tc>
        <w:tc>
          <w:tcPr>
            <w:tcW w:w="1079" w:type="dxa"/>
            <w:noWrap w:val="0"/>
            <w:vAlign w:val="center"/>
          </w:tcPr>
          <w:p w14:paraId="1FFF8A9E">
            <w:pPr>
              <w:widowControl/>
              <w:jc w:val="center"/>
              <w:rPr>
                <w:rFonts w:ascii="宋体" w:hAnsi="宋体" w:cs="宋体"/>
                <w:kern w:val="0"/>
                <w:szCs w:val="21"/>
              </w:rPr>
            </w:pPr>
          </w:p>
        </w:tc>
        <w:tc>
          <w:tcPr>
            <w:tcW w:w="1079" w:type="dxa"/>
            <w:noWrap w:val="0"/>
            <w:vAlign w:val="center"/>
          </w:tcPr>
          <w:p w14:paraId="36299B5C">
            <w:pPr>
              <w:widowControl/>
              <w:jc w:val="center"/>
              <w:rPr>
                <w:rFonts w:ascii="宋体" w:hAnsi="宋体" w:cs="宋体"/>
                <w:kern w:val="0"/>
                <w:szCs w:val="21"/>
              </w:rPr>
            </w:pPr>
          </w:p>
        </w:tc>
      </w:tr>
      <w:tr w14:paraId="361921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626CD767">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-e</w:t>
            </w:r>
          </w:p>
        </w:tc>
        <w:tc>
          <w:tcPr>
            <w:tcW w:w="4572" w:type="dxa"/>
            <w:noWrap w:val="0"/>
            <w:vAlign w:val="center"/>
          </w:tcPr>
          <w:p w14:paraId="269800A2">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新建检查井(树脂)</w:t>
            </w:r>
          </w:p>
        </w:tc>
        <w:tc>
          <w:tcPr>
            <w:tcW w:w="899" w:type="dxa"/>
            <w:noWrap w:val="0"/>
            <w:vAlign w:val="center"/>
          </w:tcPr>
          <w:p w14:paraId="6B3A99AE">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座</w:t>
            </w:r>
          </w:p>
        </w:tc>
        <w:tc>
          <w:tcPr>
            <w:tcW w:w="899" w:type="dxa"/>
            <w:noWrap w:val="0"/>
            <w:vAlign w:val="center"/>
          </w:tcPr>
          <w:p w14:paraId="37A33E74">
            <w:pPr>
              <w:keepNext w:val="0"/>
              <w:keepLines w:val="0"/>
              <w:widowControl/>
              <w:suppressLineNumbers w:val="0"/>
              <w:jc w:val="right"/>
              <w:textAlignment w:val="center"/>
              <w:rPr>
                <w:rFonts w:hint="eastAsia" w:ascii="宋体" w:hAnsi="宋体" w:cs="宋体"/>
                <w:kern w:val="0"/>
                <w:sz w:val="21"/>
                <w:szCs w:val="21"/>
              </w:rPr>
            </w:pPr>
            <w:r>
              <w:rPr>
                <w:rFonts w:hint="default" w:ascii="Arial Narrow" w:hAnsi="Arial Narrow" w:eastAsia="Arial Narrow" w:cs="Arial Narrow"/>
                <w:i w:val="0"/>
                <w:iCs w:val="0"/>
                <w:color w:val="000000"/>
                <w:kern w:val="0"/>
                <w:sz w:val="21"/>
                <w:szCs w:val="21"/>
                <w:u w:val="none"/>
                <w:lang w:val="en-US" w:eastAsia="zh-CN" w:bidi="ar"/>
              </w:rPr>
              <w:t>5</w:t>
            </w:r>
          </w:p>
        </w:tc>
        <w:tc>
          <w:tcPr>
            <w:tcW w:w="1079" w:type="dxa"/>
            <w:noWrap w:val="0"/>
            <w:vAlign w:val="center"/>
          </w:tcPr>
          <w:p w14:paraId="78B47435">
            <w:pPr>
              <w:widowControl/>
              <w:jc w:val="center"/>
              <w:rPr>
                <w:rFonts w:ascii="宋体" w:hAnsi="宋体" w:cs="宋体"/>
                <w:kern w:val="0"/>
                <w:szCs w:val="21"/>
              </w:rPr>
            </w:pPr>
          </w:p>
        </w:tc>
        <w:tc>
          <w:tcPr>
            <w:tcW w:w="1079" w:type="dxa"/>
            <w:noWrap w:val="0"/>
            <w:vAlign w:val="center"/>
          </w:tcPr>
          <w:p w14:paraId="16422BE5">
            <w:pPr>
              <w:widowControl/>
              <w:jc w:val="center"/>
              <w:rPr>
                <w:rFonts w:ascii="宋体" w:hAnsi="宋体" w:cs="宋体"/>
                <w:kern w:val="0"/>
                <w:szCs w:val="21"/>
              </w:rPr>
            </w:pPr>
          </w:p>
        </w:tc>
      </w:tr>
      <w:tr w14:paraId="5D4A65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12CD9FFF">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-f</w:t>
            </w:r>
          </w:p>
        </w:tc>
        <w:tc>
          <w:tcPr>
            <w:tcW w:w="4572" w:type="dxa"/>
            <w:noWrap w:val="0"/>
            <w:vAlign w:val="center"/>
          </w:tcPr>
          <w:p w14:paraId="60FB0E4F">
            <w:pPr>
              <w:keepNext w:val="0"/>
              <w:keepLines w:val="0"/>
              <w:widowControl/>
              <w:suppressLineNumbers w:val="0"/>
              <w:jc w:val="left"/>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管涵窨井</w:t>
            </w:r>
          </w:p>
        </w:tc>
        <w:tc>
          <w:tcPr>
            <w:tcW w:w="899" w:type="dxa"/>
            <w:noWrap w:val="0"/>
            <w:vAlign w:val="center"/>
          </w:tcPr>
          <w:p w14:paraId="67E68879">
            <w:pPr>
              <w:keepNext w:val="0"/>
              <w:keepLines w:val="0"/>
              <w:widowControl/>
              <w:suppressLineNumbers w:val="0"/>
              <w:jc w:val="center"/>
              <w:textAlignment w:val="center"/>
              <w:rPr>
                <w:rFonts w:hint="eastAsia" w:ascii="宋体" w:hAnsi="宋体" w:cs="宋体"/>
                <w:kern w:val="0"/>
                <w:sz w:val="21"/>
                <w:szCs w:val="21"/>
              </w:rPr>
            </w:pPr>
            <w:r>
              <w:rPr>
                <w:rFonts w:hint="eastAsia" w:ascii="宋体" w:hAnsi="宋体" w:eastAsia="宋体" w:cs="宋体"/>
                <w:i w:val="0"/>
                <w:iCs w:val="0"/>
                <w:color w:val="000000"/>
                <w:kern w:val="0"/>
                <w:sz w:val="21"/>
                <w:szCs w:val="21"/>
                <w:u w:val="none"/>
                <w:lang w:val="en-US" w:eastAsia="zh-CN" w:bidi="ar"/>
              </w:rPr>
              <w:t>座</w:t>
            </w:r>
          </w:p>
        </w:tc>
        <w:tc>
          <w:tcPr>
            <w:tcW w:w="899" w:type="dxa"/>
            <w:noWrap w:val="0"/>
            <w:vAlign w:val="center"/>
          </w:tcPr>
          <w:p w14:paraId="6B3F551C">
            <w:pPr>
              <w:keepNext w:val="0"/>
              <w:keepLines w:val="0"/>
              <w:widowControl/>
              <w:suppressLineNumbers w:val="0"/>
              <w:jc w:val="right"/>
              <w:textAlignment w:val="center"/>
              <w:rPr>
                <w:rFonts w:hint="eastAsia" w:ascii="宋体" w:hAnsi="宋体" w:cs="宋体"/>
                <w:kern w:val="0"/>
                <w:sz w:val="21"/>
                <w:szCs w:val="21"/>
              </w:rPr>
            </w:pPr>
            <w:r>
              <w:rPr>
                <w:rFonts w:hint="default" w:ascii="Arial Narrow" w:hAnsi="Arial Narrow" w:eastAsia="Arial Narrow" w:cs="Arial Narrow"/>
                <w:i w:val="0"/>
                <w:iCs w:val="0"/>
                <w:color w:val="000000"/>
                <w:kern w:val="0"/>
                <w:sz w:val="21"/>
                <w:szCs w:val="21"/>
                <w:u w:val="none"/>
                <w:lang w:val="en-US" w:eastAsia="zh-CN" w:bidi="ar"/>
              </w:rPr>
              <w:t>5</w:t>
            </w:r>
          </w:p>
        </w:tc>
        <w:tc>
          <w:tcPr>
            <w:tcW w:w="1079" w:type="dxa"/>
            <w:noWrap w:val="0"/>
            <w:vAlign w:val="center"/>
          </w:tcPr>
          <w:p w14:paraId="1161526F">
            <w:pPr>
              <w:widowControl/>
              <w:jc w:val="center"/>
              <w:rPr>
                <w:rFonts w:ascii="宋体" w:hAnsi="宋体" w:cs="宋体"/>
                <w:kern w:val="0"/>
                <w:szCs w:val="21"/>
              </w:rPr>
            </w:pPr>
          </w:p>
        </w:tc>
        <w:tc>
          <w:tcPr>
            <w:tcW w:w="1079" w:type="dxa"/>
            <w:noWrap w:val="0"/>
            <w:vAlign w:val="center"/>
          </w:tcPr>
          <w:p w14:paraId="15BB3ADC">
            <w:pPr>
              <w:widowControl/>
              <w:jc w:val="center"/>
              <w:rPr>
                <w:rFonts w:ascii="宋体" w:hAnsi="宋体" w:cs="宋体"/>
                <w:kern w:val="0"/>
                <w:szCs w:val="21"/>
              </w:rPr>
            </w:pPr>
          </w:p>
        </w:tc>
      </w:tr>
      <w:tr w14:paraId="7FD132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25B1E94F">
            <w:pPr>
              <w:widowControl/>
              <w:jc w:val="center"/>
              <w:textAlignment w:val="center"/>
              <w:rPr>
                <w:rFonts w:hint="eastAsia" w:ascii="宋体" w:hAnsi="宋体" w:cs="宋体"/>
                <w:kern w:val="0"/>
                <w:szCs w:val="21"/>
              </w:rPr>
            </w:pPr>
          </w:p>
        </w:tc>
        <w:tc>
          <w:tcPr>
            <w:tcW w:w="4572" w:type="dxa"/>
            <w:noWrap w:val="0"/>
            <w:vAlign w:val="center"/>
          </w:tcPr>
          <w:p w14:paraId="27C2E23A">
            <w:pPr>
              <w:widowControl/>
              <w:jc w:val="left"/>
              <w:textAlignment w:val="center"/>
              <w:rPr>
                <w:rFonts w:hint="eastAsia" w:ascii="宋体" w:hAnsi="宋体" w:cs="宋体"/>
                <w:kern w:val="0"/>
                <w:szCs w:val="21"/>
              </w:rPr>
            </w:pPr>
          </w:p>
        </w:tc>
        <w:tc>
          <w:tcPr>
            <w:tcW w:w="899" w:type="dxa"/>
            <w:noWrap w:val="0"/>
            <w:vAlign w:val="center"/>
          </w:tcPr>
          <w:p w14:paraId="4EA85F3B">
            <w:pPr>
              <w:jc w:val="center"/>
              <w:rPr>
                <w:rFonts w:hint="eastAsia" w:ascii="宋体" w:hAnsi="宋体" w:cs="宋体"/>
                <w:kern w:val="0"/>
                <w:szCs w:val="21"/>
              </w:rPr>
            </w:pPr>
          </w:p>
        </w:tc>
        <w:tc>
          <w:tcPr>
            <w:tcW w:w="899" w:type="dxa"/>
            <w:noWrap w:val="0"/>
            <w:vAlign w:val="center"/>
          </w:tcPr>
          <w:p w14:paraId="09B57B2A">
            <w:pPr>
              <w:jc w:val="right"/>
              <w:rPr>
                <w:rFonts w:hint="eastAsia" w:ascii="宋体" w:hAnsi="宋体" w:cs="宋体"/>
                <w:kern w:val="0"/>
                <w:szCs w:val="21"/>
              </w:rPr>
            </w:pPr>
          </w:p>
        </w:tc>
        <w:tc>
          <w:tcPr>
            <w:tcW w:w="1079" w:type="dxa"/>
            <w:noWrap w:val="0"/>
            <w:vAlign w:val="center"/>
          </w:tcPr>
          <w:p w14:paraId="6DF66FA4">
            <w:pPr>
              <w:widowControl/>
              <w:jc w:val="center"/>
              <w:rPr>
                <w:rFonts w:ascii="宋体" w:hAnsi="宋体" w:cs="宋体"/>
                <w:kern w:val="0"/>
                <w:szCs w:val="21"/>
              </w:rPr>
            </w:pPr>
          </w:p>
        </w:tc>
        <w:tc>
          <w:tcPr>
            <w:tcW w:w="1079" w:type="dxa"/>
            <w:noWrap w:val="0"/>
            <w:vAlign w:val="center"/>
          </w:tcPr>
          <w:p w14:paraId="0413C394">
            <w:pPr>
              <w:widowControl/>
              <w:jc w:val="center"/>
              <w:rPr>
                <w:rFonts w:ascii="宋体" w:hAnsi="宋体" w:cs="宋体"/>
                <w:kern w:val="0"/>
                <w:szCs w:val="21"/>
              </w:rPr>
            </w:pPr>
          </w:p>
        </w:tc>
      </w:tr>
      <w:tr w14:paraId="40D411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27178A25">
            <w:pPr>
              <w:widowControl/>
              <w:jc w:val="center"/>
              <w:textAlignment w:val="center"/>
              <w:rPr>
                <w:rFonts w:hint="eastAsia" w:ascii="宋体" w:hAnsi="宋体" w:cs="宋体"/>
                <w:kern w:val="0"/>
                <w:szCs w:val="21"/>
              </w:rPr>
            </w:pPr>
          </w:p>
        </w:tc>
        <w:tc>
          <w:tcPr>
            <w:tcW w:w="4572" w:type="dxa"/>
            <w:noWrap w:val="0"/>
            <w:vAlign w:val="center"/>
          </w:tcPr>
          <w:p w14:paraId="30289552">
            <w:pPr>
              <w:widowControl/>
              <w:jc w:val="left"/>
              <w:textAlignment w:val="center"/>
              <w:rPr>
                <w:rFonts w:hint="eastAsia" w:ascii="宋体" w:hAnsi="宋体" w:cs="宋体"/>
                <w:kern w:val="0"/>
                <w:szCs w:val="21"/>
              </w:rPr>
            </w:pPr>
          </w:p>
        </w:tc>
        <w:tc>
          <w:tcPr>
            <w:tcW w:w="899" w:type="dxa"/>
            <w:noWrap w:val="0"/>
            <w:vAlign w:val="center"/>
          </w:tcPr>
          <w:p w14:paraId="282BD97B">
            <w:pPr>
              <w:jc w:val="center"/>
              <w:rPr>
                <w:rFonts w:hint="eastAsia" w:ascii="宋体" w:hAnsi="宋体" w:cs="宋体"/>
                <w:kern w:val="0"/>
                <w:szCs w:val="21"/>
              </w:rPr>
            </w:pPr>
          </w:p>
        </w:tc>
        <w:tc>
          <w:tcPr>
            <w:tcW w:w="899" w:type="dxa"/>
            <w:noWrap w:val="0"/>
            <w:vAlign w:val="center"/>
          </w:tcPr>
          <w:p w14:paraId="6449FCCC">
            <w:pPr>
              <w:jc w:val="right"/>
              <w:rPr>
                <w:rFonts w:hint="eastAsia" w:ascii="宋体" w:hAnsi="宋体" w:cs="宋体"/>
                <w:kern w:val="0"/>
                <w:szCs w:val="21"/>
              </w:rPr>
            </w:pPr>
          </w:p>
        </w:tc>
        <w:tc>
          <w:tcPr>
            <w:tcW w:w="1079" w:type="dxa"/>
            <w:noWrap w:val="0"/>
            <w:vAlign w:val="center"/>
          </w:tcPr>
          <w:p w14:paraId="41299316">
            <w:pPr>
              <w:widowControl/>
              <w:jc w:val="center"/>
              <w:rPr>
                <w:rFonts w:ascii="宋体" w:hAnsi="宋体" w:cs="宋体"/>
                <w:kern w:val="0"/>
                <w:szCs w:val="21"/>
              </w:rPr>
            </w:pPr>
          </w:p>
        </w:tc>
        <w:tc>
          <w:tcPr>
            <w:tcW w:w="1079" w:type="dxa"/>
            <w:noWrap w:val="0"/>
            <w:vAlign w:val="center"/>
          </w:tcPr>
          <w:p w14:paraId="25853290">
            <w:pPr>
              <w:widowControl/>
              <w:jc w:val="center"/>
              <w:rPr>
                <w:rFonts w:ascii="宋体" w:hAnsi="宋体" w:cs="宋体"/>
                <w:kern w:val="0"/>
                <w:szCs w:val="21"/>
              </w:rPr>
            </w:pPr>
          </w:p>
        </w:tc>
      </w:tr>
      <w:tr w14:paraId="125D2A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36FEC042">
            <w:pPr>
              <w:widowControl/>
              <w:jc w:val="center"/>
              <w:textAlignment w:val="center"/>
              <w:rPr>
                <w:rFonts w:hint="eastAsia" w:ascii="宋体" w:hAnsi="宋体" w:cs="宋体"/>
                <w:kern w:val="0"/>
                <w:szCs w:val="21"/>
              </w:rPr>
            </w:pPr>
          </w:p>
        </w:tc>
        <w:tc>
          <w:tcPr>
            <w:tcW w:w="4572" w:type="dxa"/>
            <w:noWrap w:val="0"/>
            <w:vAlign w:val="center"/>
          </w:tcPr>
          <w:p w14:paraId="528A8E67">
            <w:pPr>
              <w:widowControl/>
              <w:jc w:val="left"/>
              <w:textAlignment w:val="center"/>
              <w:rPr>
                <w:rFonts w:hint="eastAsia" w:ascii="宋体" w:hAnsi="宋体" w:cs="宋体"/>
                <w:kern w:val="0"/>
                <w:szCs w:val="21"/>
              </w:rPr>
            </w:pPr>
          </w:p>
        </w:tc>
        <w:tc>
          <w:tcPr>
            <w:tcW w:w="899" w:type="dxa"/>
            <w:noWrap w:val="0"/>
            <w:vAlign w:val="center"/>
          </w:tcPr>
          <w:p w14:paraId="2DFDE312">
            <w:pPr>
              <w:widowControl/>
              <w:jc w:val="center"/>
              <w:textAlignment w:val="center"/>
              <w:rPr>
                <w:rFonts w:hint="eastAsia" w:ascii="宋体" w:hAnsi="宋体" w:cs="宋体"/>
                <w:kern w:val="0"/>
                <w:szCs w:val="21"/>
              </w:rPr>
            </w:pPr>
          </w:p>
        </w:tc>
        <w:tc>
          <w:tcPr>
            <w:tcW w:w="899" w:type="dxa"/>
            <w:noWrap w:val="0"/>
            <w:vAlign w:val="center"/>
          </w:tcPr>
          <w:p w14:paraId="319ACDD1">
            <w:pPr>
              <w:widowControl/>
              <w:jc w:val="right"/>
              <w:textAlignment w:val="center"/>
              <w:rPr>
                <w:rFonts w:hint="eastAsia" w:ascii="宋体" w:hAnsi="宋体" w:cs="宋体"/>
                <w:kern w:val="0"/>
                <w:szCs w:val="21"/>
              </w:rPr>
            </w:pPr>
          </w:p>
        </w:tc>
        <w:tc>
          <w:tcPr>
            <w:tcW w:w="1079" w:type="dxa"/>
            <w:noWrap w:val="0"/>
            <w:vAlign w:val="center"/>
          </w:tcPr>
          <w:p w14:paraId="752FD288">
            <w:pPr>
              <w:widowControl/>
              <w:jc w:val="center"/>
              <w:rPr>
                <w:rFonts w:ascii="宋体" w:hAnsi="宋体" w:cs="宋体"/>
                <w:kern w:val="0"/>
                <w:szCs w:val="21"/>
              </w:rPr>
            </w:pPr>
          </w:p>
        </w:tc>
        <w:tc>
          <w:tcPr>
            <w:tcW w:w="1079" w:type="dxa"/>
            <w:noWrap w:val="0"/>
            <w:vAlign w:val="center"/>
          </w:tcPr>
          <w:p w14:paraId="26CC3EC9">
            <w:pPr>
              <w:widowControl/>
              <w:jc w:val="center"/>
              <w:rPr>
                <w:rFonts w:ascii="宋体" w:hAnsi="宋体" w:cs="宋体"/>
                <w:kern w:val="0"/>
                <w:szCs w:val="21"/>
              </w:rPr>
            </w:pPr>
          </w:p>
        </w:tc>
      </w:tr>
      <w:tr w14:paraId="57A7E8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2BDD5BFB">
            <w:pPr>
              <w:widowControl/>
              <w:jc w:val="center"/>
              <w:textAlignment w:val="center"/>
              <w:rPr>
                <w:rFonts w:hint="eastAsia" w:ascii="宋体" w:hAnsi="宋体" w:cs="宋体"/>
                <w:kern w:val="0"/>
                <w:szCs w:val="21"/>
              </w:rPr>
            </w:pPr>
          </w:p>
        </w:tc>
        <w:tc>
          <w:tcPr>
            <w:tcW w:w="4572" w:type="dxa"/>
            <w:noWrap w:val="0"/>
            <w:vAlign w:val="center"/>
          </w:tcPr>
          <w:p w14:paraId="23ACBAA6">
            <w:pPr>
              <w:widowControl/>
              <w:jc w:val="left"/>
              <w:textAlignment w:val="center"/>
              <w:rPr>
                <w:rFonts w:hint="eastAsia" w:ascii="宋体" w:hAnsi="宋体" w:cs="宋体"/>
                <w:kern w:val="0"/>
                <w:szCs w:val="21"/>
              </w:rPr>
            </w:pPr>
          </w:p>
        </w:tc>
        <w:tc>
          <w:tcPr>
            <w:tcW w:w="899" w:type="dxa"/>
            <w:noWrap w:val="0"/>
            <w:vAlign w:val="center"/>
          </w:tcPr>
          <w:p w14:paraId="6AD684CE">
            <w:pPr>
              <w:jc w:val="center"/>
              <w:rPr>
                <w:rFonts w:hint="eastAsia" w:ascii="宋体" w:hAnsi="宋体" w:cs="宋体"/>
                <w:kern w:val="0"/>
                <w:szCs w:val="21"/>
              </w:rPr>
            </w:pPr>
          </w:p>
        </w:tc>
        <w:tc>
          <w:tcPr>
            <w:tcW w:w="899" w:type="dxa"/>
            <w:noWrap w:val="0"/>
            <w:vAlign w:val="center"/>
          </w:tcPr>
          <w:p w14:paraId="72B92F24">
            <w:pPr>
              <w:jc w:val="right"/>
              <w:rPr>
                <w:rFonts w:hint="eastAsia" w:ascii="宋体" w:hAnsi="宋体" w:cs="宋体"/>
                <w:kern w:val="0"/>
                <w:szCs w:val="21"/>
              </w:rPr>
            </w:pPr>
          </w:p>
        </w:tc>
        <w:tc>
          <w:tcPr>
            <w:tcW w:w="1079" w:type="dxa"/>
            <w:noWrap w:val="0"/>
            <w:vAlign w:val="center"/>
          </w:tcPr>
          <w:p w14:paraId="2BA4D927">
            <w:pPr>
              <w:widowControl/>
              <w:jc w:val="center"/>
              <w:rPr>
                <w:rFonts w:ascii="宋体" w:hAnsi="宋体" w:cs="宋体"/>
                <w:kern w:val="0"/>
                <w:szCs w:val="21"/>
              </w:rPr>
            </w:pPr>
          </w:p>
        </w:tc>
        <w:tc>
          <w:tcPr>
            <w:tcW w:w="1079" w:type="dxa"/>
            <w:noWrap w:val="0"/>
            <w:vAlign w:val="center"/>
          </w:tcPr>
          <w:p w14:paraId="052029D8">
            <w:pPr>
              <w:widowControl/>
              <w:jc w:val="center"/>
              <w:rPr>
                <w:rFonts w:ascii="宋体" w:hAnsi="宋体" w:cs="宋体"/>
                <w:kern w:val="0"/>
                <w:szCs w:val="21"/>
              </w:rPr>
            </w:pPr>
          </w:p>
        </w:tc>
      </w:tr>
      <w:tr w14:paraId="4387C6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4E8D3F65">
            <w:pPr>
              <w:widowControl/>
              <w:jc w:val="center"/>
              <w:textAlignment w:val="center"/>
              <w:rPr>
                <w:rFonts w:hint="eastAsia" w:ascii="宋体" w:hAnsi="宋体" w:cs="宋体"/>
                <w:kern w:val="0"/>
                <w:szCs w:val="21"/>
              </w:rPr>
            </w:pPr>
          </w:p>
        </w:tc>
        <w:tc>
          <w:tcPr>
            <w:tcW w:w="4572" w:type="dxa"/>
            <w:noWrap w:val="0"/>
            <w:vAlign w:val="center"/>
          </w:tcPr>
          <w:p w14:paraId="19B54D29">
            <w:pPr>
              <w:widowControl/>
              <w:jc w:val="left"/>
              <w:textAlignment w:val="center"/>
              <w:rPr>
                <w:rFonts w:hint="eastAsia" w:ascii="宋体" w:hAnsi="宋体" w:cs="宋体"/>
                <w:kern w:val="0"/>
                <w:szCs w:val="21"/>
              </w:rPr>
            </w:pPr>
          </w:p>
        </w:tc>
        <w:tc>
          <w:tcPr>
            <w:tcW w:w="899" w:type="dxa"/>
            <w:noWrap w:val="0"/>
            <w:vAlign w:val="center"/>
          </w:tcPr>
          <w:p w14:paraId="19B8493D">
            <w:pPr>
              <w:jc w:val="center"/>
              <w:rPr>
                <w:rFonts w:hint="eastAsia" w:ascii="宋体" w:hAnsi="宋体" w:cs="宋体"/>
                <w:kern w:val="0"/>
                <w:szCs w:val="21"/>
              </w:rPr>
            </w:pPr>
          </w:p>
        </w:tc>
        <w:tc>
          <w:tcPr>
            <w:tcW w:w="899" w:type="dxa"/>
            <w:noWrap w:val="0"/>
            <w:vAlign w:val="center"/>
          </w:tcPr>
          <w:p w14:paraId="358FD985">
            <w:pPr>
              <w:jc w:val="right"/>
              <w:rPr>
                <w:rFonts w:hint="eastAsia" w:ascii="宋体" w:hAnsi="宋体" w:cs="宋体"/>
                <w:kern w:val="0"/>
                <w:szCs w:val="21"/>
              </w:rPr>
            </w:pPr>
          </w:p>
        </w:tc>
        <w:tc>
          <w:tcPr>
            <w:tcW w:w="1079" w:type="dxa"/>
            <w:noWrap w:val="0"/>
            <w:vAlign w:val="center"/>
          </w:tcPr>
          <w:p w14:paraId="6AB5BA7C">
            <w:pPr>
              <w:widowControl/>
              <w:jc w:val="center"/>
              <w:rPr>
                <w:rFonts w:ascii="宋体" w:hAnsi="宋体" w:cs="宋体"/>
                <w:kern w:val="0"/>
                <w:szCs w:val="21"/>
              </w:rPr>
            </w:pPr>
          </w:p>
        </w:tc>
        <w:tc>
          <w:tcPr>
            <w:tcW w:w="1079" w:type="dxa"/>
            <w:noWrap w:val="0"/>
            <w:vAlign w:val="center"/>
          </w:tcPr>
          <w:p w14:paraId="0B690F1E">
            <w:pPr>
              <w:widowControl/>
              <w:jc w:val="center"/>
              <w:rPr>
                <w:rFonts w:ascii="宋体" w:hAnsi="宋体" w:cs="宋体"/>
                <w:kern w:val="0"/>
                <w:szCs w:val="21"/>
              </w:rPr>
            </w:pPr>
          </w:p>
        </w:tc>
      </w:tr>
      <w:tr w14:paraId="15F4DC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14:paraId="6C3A5CE2">
            <w:pPr>
              <w:widowControl/>
              <w:jc w:val="center"/>
              <w:textAlignment w:val="center"/>
              <w:rPr>
                <w:rFonts w:hint="eastAsia" w:ascii="宋体" w:hAnsi="宋体" w:cs="宋体"/>
                <w:kern w:val="0"/>
                <w:szCs w:val="21"/>
              </w:rPr>
            </w:pPr>
          </w:p>
        </w:tc>
        <w:tc>
          <w:tcPr>
            <w:tcW w:w="4572" w:type="dxa"/>
            <w:noWrap w:val="0"/>
            <w:vAlign w:val="center"/>
          </w:tcPr>
          <w:p w14:paraId="07FFF380">
            <w:pPr>
              <w:widowControl/>
              <w:jc w:val="left"/>
              <w:textAlignment w:val="center"/>
              <w:rPr>
                <w:rFonts w:hint="eastAsia" w:ascii="宋体" w:hAnsi="宋体" w:cs="宋体"/>
                <w:kern w:val="0"/>
                <w:szCs w:val="21"/>
              </w:rPr>
            </w:pPr>
          </w:p>
        </w:tc>
        <w:tc>
          <w:tcPr>
            <w:tcW w:w="899" w:type="dxa"/>
            <w:noWrap w:val="0"/>
            <w:vAlign w:val="center"/>
          </w:tcPr>
          <w:p w14:paraId="1605B0B6">
            <w:pPr>
              <w:widowControl/>
              <w:jc w:val="center"/>
              <w:textAlignment w:val="center"/>
              <w:rPr>
                <w:rFonts w:hint="eastAsia" w:ascii="宋体" w:hAnsi="宋体" w:cs="宋体"/>
                <w:kern w:val="0"/>
                <w:szCs w:val="21"/>
              </w:rPr>
            </w:pPr>
          </w:p>
        </w:tc>
        <w:tc>
          <w:tcPr>
            <w:tcW w:w="899" w:type="dxa"/>
            <w:noWrap w:val="0"/>
            <w:vAlign w:val="center"/>
          </w:tcPr>
          <w:p w14:paraId="0D7BC385">
            <w:pPr>
              <w:widowControl/>
              <w:jc w:val="right"/>
              <w:textAlignment w:val="center"/>
              <w:rPr>
                <w:rFonts w:hint="eastAsia" w:ascii="宋体" w:hAnsi="宋体" w:cs="宋体"/>
                <w:kern w:val="0"/>
                <w:szCs w:val="21"/>
              </w:rPr>
            </w:pPr>
          </w:p>
        </w:tc>
        <w:tc>
          <w:tcPr>
            <w:tcW w:w="1079" w:type="dxa"/>
            <w:noWrap w:val="0"/>
            <w:vAlign w:val="center"/>
          </w:tcPr>
          <w:p w14:paraId="74E5D1FF">
            <w:pPr>
              <w:widowControl/>
              <w:jc w:val="center"/>
              <w:rPr>
                <w:rFonts w:ascii="宋体" w:hAnsi="宋体" w:cs="宋体"/>
                <w:kern w:val="0"/>
                <w:szCs w:val="21"/>
              </w:rPr>
            </w:pPr>
          </w:p>
        </w:tc>
        <w:tc>
          <w:tcPr>
            <w:tcW w:w="1079" w:type="dxa"/>
            <w:noWrap w:val="0"/>
            <w:vAlign w:val="center"/>
          </w:tcPr>
          <w:p w14:paraId="4532A1F3">
            <w:pPr>
              <w:widowControl/>
              <w:jc w:val="center"/>
              <w:rPr>
                <w:rFonts w:ascii="宋体" w:hAnsi="宋体" w:cs="宋体"/>
                <w:kern w:val="0"/>
                <w:szCs w:val="21"/>
              </w:rPr>
            </w:pPr>
          </w:p>
        </w:tc>
      </w:tr>
      <w:tr w14:paraId="1FD9A3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68" w:type="dxa"/>
            <w:gridSpan w:val="6"/>
            <w:noWrap w:val="0"/>
            <w:vAlign w:val="center"/>
          </w:tcPr>
          <w:p w14:paraId="304568F7">
            <w:pPr>
              <w:widowControl/>
              <w:jc w:val="center"/>
              <w:rPr>
                <w:rFonts w:ascii="宋体" w:hAnsi="宋体" w:cs="宋体"/>
                <w:b/>
                <w:kern w:val="0"/>
                <w:szCs w:val="21"/>
              </w:rPr>
            </w:pPr>
            <w:r>
              <w:rPr>
                <w:rFonts w:hint="eastAsia" w:ascii="宋体" w:hAnsi="宋体" w:cs="宋体"/>
                <w:b/>
                <w:kern w:val="0"/>
                <w:szCs w:val="21"/>
              </w:rPr>
              <w:t>清单</w:t>
            </w:r>
            <w:r>
              <w:rPr>
                <w:rFonts w:hint="eastAsia" w:ascii="宋体" w:hAnsi="宋体" w:cs="宋体"/>
                <w:b/>
                <w:kern w:val="0"/>
                <w:szCs w:val="21"/>
                <w:lang w:val="en-US" w:eastAsia="zh-CN"/>
              </w:rPr>
              <w:t>4</w:t>
            </w:r>
            <w:r>
              <w:rPr>
                <w:rFonts w:hint="eastAsia" w:ascii="宋体" w:hAnsi="宋体" w:cs="宋体"/>
                <w:b/>
                <w:kern w:val="0"/>
                <w:szCs w:val="21"/>
              </w:rPr>
              <w:t>00章合计   人民币</w:t>
            </w:r>
            <w:r>
              <w:rPr>
                <w:rFonts w:hint="eastAsia" w:ascii="宋体" w:hAnsi="宋体" w:cs="宋体"/>
                <w:b/>
                <w:kern w:val="0"/>
                <w:szCs w:val="21"/>
                <w:u w:val="single"/>
              </w:rPr>
              <w:t xml:space="preserve">       </w:t>
            </w:r>
            <w:r>
              <w:rPr>
                <w:rFonts w:hint="eastAsia" w:ascii="宋体" w:hAnsi="宋体" w:cs="宋体"/>
                <w:b/>
                <w:kern w:val="0"/>
                <w:szCs w:val="21"/>
              </w:rPr>
              <w:t>元</w:t>
            </w:r>
          </w:p>
        </w:tc>
      </w:tr>
    </w:tbl>
    <w:p w14:paraId="29AEF257">
      <w:pPr>
        <w:pStyle w:val="50"/>
        <w:ind w:left="0" w:leftChars="0" w:firstLine="0" w:firstLine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标项</w:t>
      </w:r>
      <w:r>
        <w:rPr>
          <w:rFonts w:hint="eastAsia" w:asciiTheme="minorEastAsia" w:hAnsiTheme="minorEastAsia" w:cstheme="minorEastAsia"/>
          <w:sz w:val="24"/>
          <w:szCs w:val="24"/>
          <w:lang w:val="en-US" w:eastAsia="zh-CN"/>
        </w:rPr>
        <w:t>2</w:t>
      </w:r>
      <w:r>
        <w:rPr>
          <w:rFonts w:hint="eastAsia" w:asciiTheme="minorEastAsia" w:hAnsiTheme="minorEastAsia" w:eastAsiaTheme="minorEastAsia" w:cstheme="minorEastAsia"/>
          <w:sz w:val="24"/>
          <w:szCs w:val="24"/>
        </w:rPr>
        <w:t>：</w:t>
      </w:r>
      <w:r>
        <w:rPr>
          <w:rFonts w:hint="eastAsia" w:asciiTheme="minorEastAsia" w:hAnsiTheme="minorEastAsia" w:cstheme="minorEastAsia"/>
          <w:sz w:val="24"/>
          <w:szCs w:val="24"/>
          <w:lang w:eastAsia="zh-CN"/>
        </w:rPr>
        <w:t>2026年秀洲区县道及以上公路小修及应急抢险项目</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第</w:t>
      </w:r>
      <w:r>
        <w:rPr>
          <w:rFonts w:hint="eastAsia" w:asciiTheme="minorEastAsia" w:hAnsiTheme="minorEastAsia" w:cstheme="minorEastAsia"/>
          <w:sz w:val="24"/>
          <w:szCs w:val="24"/>
          <w:lang w:val="en-US" w:eastAsia="zh-CN"/>
        </w:rPr>
        <w:t>二</w:t>
      </w:r>
      <w:r>
        <w:rPr>
          <w:rFonts w:hint="eastAsia" w:asciiTheme="minorEastAsia" w:hAnsiTheme="minorEastAsia" w:eastAsiaTheme="minorEastAsia" w:cstheme="minorEastAsia"/>
          <w:sz w:val="24"/>
          <w:szCs w:val="24"/>
          <w:lang w:eastAsia="zh-CN"/>
        </w:rPr>
        <w:t>标段）</w:t>
      </w:r>
    </w:p>
    <w:p w14:paraId="7240E56E">
      <w:pPr>
        <w:pStyle w:val="50"/>
        <w:ind w:left="0" w:leftChars="0" w:firstLine="0" w:firstLineChars="0"/>
        <w:rPr>
          <w:rFonts w:hint="eastAsia"/>
        </w:rPr>
      </w:pPr>
      <w:r>
        <w:rPr>
          <w:rFonts w:hint="eastAsia" w:asciiTheme="minorEastAsia" w:hAnsiTheme="minorEastAsia" w:eastAsiaTheme="minorEastAsia" w:cstheme="minorEastAsia"/>
          <w:sz w:val="24"/>
          <w:szCs w:val="24"/>
        </w:rPr>
        <w:t>货币单位：人民币元</w:t>
      </w:r>
      <w:r>
        <w:tab/>
      </w:r>
    </w:p>
    <w:tbl>
      <w:tblPr>
        <w:tblStyle w:val="51"/>
        <w:tblW w:w="922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0" w:type="dxa"/>
        </w:tblCellMar>
      </w:tblPr>
      <w:tblGrid>
        <w:gridCol w:w="1270"/>
        <w:gridCol w:w="1449"/>
        <w:gridCol w:w="4554"/>
        <w:gridCol w:w="1955"/>
      </w:tblGrid>
      <w:tr w14:paraId="6F8EAF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0" w:type="dxa"/>
          </w:tblCellMar>
        </w:tblPrEx>
        <w:trPr>
          <w:trHeight w:val="794" w:hRule="atLeast"/>
        </w:trPr>
        <w:tc>
          <w:tcPr>
            <w:tcW w:w="1270" w:type="dxa"/>
            <w:noWrap w:val="0"/>
            <w:vAlign w:val="center"/>
          </w:tcPr>
          <w:p w14:paraId="5E7DF06A">
            <w:pPr>
              <w:jc w:val="center"/>
              <w:rPr>
                <w:rFonts w:hint="eastAsia" w:ascii="宋体" w:hAnsi="宋体"/>
                <w:szCs w:val="21"/>
              </w:rPr>
            </w:pPr>
            <w:r>
              <w:rPr>
                <w:rFonts w:hint="eastAsia" w:ascii="宋体" w:hAnsi="宋体"/>
                <w:szCs w:val="21"/>
              </w:rPr>
              <w:t>序号</w:t>
            </w:r>
          </w:p>
        </w:tc>
        <w:tc>
          <w:tcPr>
            <w:tcW w:w="1449" w:type="dxa"/>
            <w:noWrap w:val="0"/>
            <w:vAlign w:val="center"/>
          </w:tcPr>
          <w:p w14:paraId="26DF7948">
            <w:pPr>
              <w:jc w:val="center"/>
              <w:rPr>
                <w:rFonts w:hint="eastAsia" w:ascii="宋体" w:hAnsi="宋体"/>
                <w:szCs w:val="21"/>
              </w:rPr>
            </w:pPr>
            <w:r>
              <w:rPr>
                <w:rFonts w:hint="eastAsia" w:ascii="宋体" w:hAnsi="宋体"/>
                <w:szCs w:val="21"/>
              </w:rPr>
              <w:t>章次</w:t>
            </w:r>
          </w:p>
        </w:tc>
        <w:tc>
          <w:tcPr>
            <w:tcW w:w="4554" w:type="dxa"/>
            <w:noWrap w:val="0"/>
            <w:vAlign w:val="center"/>
          </w:tcPr>
          <w:p w14:paraId="75548E32">
            <w:pPr>
              <w:jc w:val="center"/>
              <w:rPr>
                <w:rFonts w:hint="eastAsia" w:ascii="宋体" w:hAnsi="宋体"/>
                <w:szCs w:val="21"/>
              </w:rPr>
            </w:pPr>
            <w:r>
              <w:rPr>
                <w:rFonts w:hint="eastAsia" w:ascii="宋体" w:hAnsi="宋体"/>
                <w:szCs w:val="21"/>
              </w:rPr>
              <w:t>科目名称</w:t>
            </w:r>
          </w:p>
        </w:tc>
        <w:tc>
          <w:tcPr>
            <w:tcW w:w="1955" w:type="dxa"/>
            <w:noWrap w:val="0"/>
            <w:vAlign w:val="center"/>
          </w:tcPr>
          <w:p w14:paraId="33BEE2DE">
            <w:pPr>
              <w:jc w:val="center"/>
              <w:rPr>
                <w:rFonts w:hint="eastAsia" w:ascii="宋体" w:hAnsi="宋体"/>
                <w:szCs w:val="21"/>
              </w:rPr>
            </w:pPr>
            <w:r>
              <w:rPr>
                <w:rFonts w:hint="eastAsia" w:ascii="宋体" w:hAnsi="宋体"/>
                <w:szCs w:val="21"/>
              </w:rPr>
              <w:t>金额（元）</w:t>
            </w:r>
          </w:p>
        </w:tc>
      </w:tr>
      <w:tr w14:paraId="5F33DB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0" w:type="dxa"/>
          </w:tblCellMar>
        </w:tblPrEx>
        <w:trPr>
          <w:trHeight w:val="794" w:hRule="atLeast"/>
        </w:trPr>
        <w:tc>
          <w:tcPr>
            <w:tcW w:w="1270" w:type="dxa"/>
            <w:noWrap w:val="0"/>
            <w:vAlign w:val="center"/>
          </w:tcPr>
          <w:p w14:paraId="05D71D3E">
            <w:pPr>
              <w:widowControl/>
              <w:jc w:val="center"/>
              <w:textAlignment w:val="center"/>
              <w:rPr>
                <w:rFonts w:ascii="宋体" w:hAnsi="宋体" w:cs="宋体"/>
                <w:kern w:val="0"/>
                <w:szCs w:val="21"/>
              </w:rPr>
            </w:pPr>
            <w:r>
              <w:rPr>
                <w:rFonts w:hint="eastAsia" w:ascii="宋体" w:hAnsi="宋体" w:cs="宋体"/>
                <w:color w:val="000000"/>
                <w:kern w:val="0"/>
                <w:szCs w:val="21"/>
                <w:lang w:bidi="ar"/>
              </w:rPr>
              <w:t>1</w:t>
            </w:r>
          </w:p>
        </w:tc>
        <w:tc>
          <w:tcPr>
            <w:tcW w:w="1449" w:type="dxa"/>
            <w:noWrap w:val="0"/>
            <w:vAlign w:val="center"/>
          </w:tcPr>
          <w:p w14:paraId="3971A099">
            <w:pPr>
              <w:widowControl/>
              <w:jc w:val="center"/>
              <w:textAlignment w:val="center"/>
              <w:rPr>
                <w:rFonts w:ascii="宋体" w:hAnsi="宋体" w:cs="宋体"/>
                <w:kern w:val="0"/>
                <w:szCs w:val="21"/>
              </w:rPr>
            </w:pPr>
            <w:r>
              <w:rPr>
                <w:rFonts w:hint="eastAsia" w:ascii="宋体" w:hAnsi="宋体" w:cs="宋体"/>
                <w:color w:val="000000"/>
                <w:kern w:val="0"/>
                <w:szCs w:val="21"/>
                <w:lang w:bidi="ar"/>
              </w:rPr>
              <w:t>100</w:t>
            </w:r>
          </w:p>
        </w:tc>
        <w:tc>
          <w:tcPr>
            <w:tcW w:w="4554" w:type="dxa"/>
            <w:noWrap w:val="0"/>
            <w:vAlign w:val="center"/>
          </w:tcPr>
          <w:p w14:paraId="4B03CD5F">
            <w:pPr>
              <w:widowControl/>
              <w:jc w:val="center"/>
              <w:textAlignment w:val="center"/>
              <w:rPr>
                <w:rFonts w:ascii="宋体" w:hAnsi="宋体" w:cs="宋体"/>
                <w:kern w:val="0"/>
                <w:szCs w:val="21"/>
              </w:rPr>
            </w:pPr>
            <w:r>
              <w:rPr>
                <w:rFonts w:hint="eastAsia" w:ascii="宋体" w:hAnsi="宋体" w:cs="宋体"/>
                <w:color w:val="000000"/>
                <w:kern w:val="0"/>
                <w:szCs w:val="21"/>
                <w:lang w:bidi="ar"/>
              </w:rPr>
              <w:t>清单第100章总则</w:t>
            </w:r>
          </w:p>
        </w:tc>
        <w:tc>
          <w:tcPr>
            <w:tcW w:w="1955" w:type="dxa"/>
            <w:noWrap w:val="0"/>
            <w:vAlign w:val="center"/>
          </w:tcPr>
          <w:p w14:paraId="5ABAD3BE">
            <w:pPr>
              <w:jc w:val="center"/>
              <w:rPr>
                <w:rFonts w:hint="eastAsia" w:ascii="宋体" w:hAnsi="宋体"/>
                <w:szCs w:val="21"/>
              </w:rPr>
            </w:pPr>
          </w:p>
        </w:tc>
      </w:tr>
      <w:tr w14:paraId="706F56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0" w:type="dxa"/>
          </w:tblCellMar>
        </w:tblPrEx>
        <w:trPr>
          <w:trHeight w:val="794" w:hRule="atLeast"/>
        </w:trPr>
        <w:tc>
          <w:tcPr>
            <w:tcW w:w="1270" w:type="dxa"/>
            <w:noWrap w:val="0"/>
            <w:vAlign w:val="center"/>
          </w:tcPr>
          <w:p w14:paraId="47DB72BA">
            <w:pPr>
              <w:widowControl/>
              <w:jc w:val="center"/>
              <w:textAlignment w:val="center"/>
              <w:rPr>
                <w:rFonts w:hint="eastAsia" w:ascii="宋体" w:hAnsi="宋体" w:cs="宋体"/>
                <w:kern w:val="0"/>
                <w:szCs w:val="21"/>
              </w:rPr>
            </w:pPr>
            <w:r>
              <w:rPr>
                <w:rFonts w:hint="eastAsia" w:ascii="宋体" w:hAnsi="宋体" w:cs="宋体"/>
                <w:color w:val="000000"/>
                <w:kern w:val="0"/>
                <w:szCs w:val="21"/>
                <w:lang w:bidi="ar"/>
              </w:rPr>
              <w:t>2</w:t>
            </w:r>
          </w:p>
        </w:tc>
        <w:tc>
          <w:tcPr>
            <w:tcW w:w="1449" w:type="dxa"/>
            <w:noWrap w:val="0"/>
            <w:vAlign w:val="center"/>
          </w:tcPr>
          <w:p w14:paraId="4594FB60">
            <w:pPr>
              <w:widowControl/>
              <w:jc w:val="center"/>
              <w:textAlignment w:val="center"/>
              <w:rPr>
                <w:rFonts w:hint="eastAsia" w:ascii="宋体" w:hAnsi="宋体" w:cs="宋体"/>
                <w:kern w:val="0"/>
                <w:szCs w:val="21"/>
              </w:rPr>
            </w:pPr>
            <w:r>
              <w:rPr>
                <w:rFonts w:hint="eastAsia" w:ascii="宋体" w:hAnsi="宋体" w:cs="宋体"/>
                <w:color w:val="000000"/>
                <w:kern w:val="0"/>
                <w:szCs w:val="21"/>
                <w:lang w:bidi="ar"/>
              </w:rPr>
              <w:t>200</w:t>
            </w:r>
          </w:p>
        </w:tc>
        <w:tc>
          <w:tcPr>
            <w:tcW w:w="4554" w:type="dxa"/>
            <w:noWrap w:val="0"/>
            <w:vAlign w:val="center"/>
          </w:tcPr>
          <w:p w14:paraId="5B26DD62">
            <w:pPr>
              <w:widowControl/>
              <w:jc w:val="center"/>
              <w:textAlignment w:val="center"/>
              <w:rPr>
                <w:rFonts w:hint="eastAsia" w:ascii="宋体" w:hAnsi="宋体" w:cs="宋体"/>
                <w:kern w:val="0"/>
                <w:szCs w:val="21"/>
              </w:rPr>
            </w:pPr>
            <w:r>
              <w:rPr>
                <w:rFonts w:hint="eastAsia" w:ascii="宋体" w:hAnsi="宋体" w:cs="宋体"/>
                <w:color w:val="000000"/>
                <w:kern w:val="0"/>
                <w:szCs w:val="21"/>
                <w:lang w:bidi="ar"/>
              </w:rPr>
              <w:t>清单第200章路基</w:t>
            </w:r>
          </w:p>
        </w:tc>
        <w:tc>
          <w:tcPr>
            <w:tcW w:w="1955" w:type="dxa"/>
            <w:noWrap w:val="0"/>
            <w:vAlign w:val="center"/>
          </w:tcPr>
          <w:p w14:paraId="5F0AE07B">
            <w:pPr>
              <w:jc w:val="center"/>
              <w:rPr>
                <w:rFonts w:hint="eastAsia" w:ascii="宋体" w:hAnsi="宋体"/>
                <w:szCs w:val="21"/>
              </w:rPr>
            </w:pPr>
          </w:p>
        </w:tc>
      </w:tr>
      <w:tr w14:paraId="1B388B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0" w:type="dxa"/>
          </w:tblCellMar>
        </w:tblPrEx>
        <w:trPr>
          <w:trHeight w:val="794" w:hRule="atLeast"/>
        </w:trPr>
        <w:tc>
          <w:tcPr>
            <w:tcW w:w="1270" w:type="dxa"/>
            <w:noWrap w:val="0"/>
            <w:vAlign w:val="center"/>
          </w:tcPr>
          <w:p w14:paraId="16352467">
            <w:pPr>
              <w:widowControl/>
              <w:jc w:val="center"/>
              <w:textAlignment w:val="center"/>
              <w:rPr>
                <w:rFonts w:hint="eastAsia" w:ascii="宋体" w:hAnsi="宋体" w:cs="宋体"/>
                <w:kern w:val="0"/>
                <w:szCs w:val="21"/>
              </w:rPr>
            </w:pPr>
            <w:r>
              <w:rPr>
                <w:rFonts w:hint="eastAsia" w:ascii="宋体" w:hAnsi="宋体" w:cs="宋体"/>
                <w:color w:val="000000"/>
                <w:kern w:val="0"/>
                <w:szCs w:val="21"/>
                <w:lang w:bidi="ar"/>
              </w:rPr>
              <w:t>3</w:t>
            </w:r>
          </w:p>
        </w:tc>
        <w:tc>
          <w:tcPr>
            <w:tcW w:w="1449" w:type="dxa"/>
            <w:noWrap w:val="0"/>
            <w:vAlign w:val="center"/>
          </w:tcPr>
          <w:p w14:paraId="4D1443F3">
            <w:pPr>
              <w:widowControl/>
              <w:jc w:val="center"/>
              <w:textAlignment w:val="center"/>
              <w:rPr>
                <w:rFonts w:ascii="宋体" w:hAnsi="宋体" w:cs="宋体"/>
                <w:kern w:val="0"/>
                <w:szCs w:val="21"/>
              </w:rPr>
            </w:pPr>
            <w:r>
              <w:rPr>
                <w:rFonts w:hint="eastAsia" w:ascii="宋体" w:hAnsi="宋体" w:cs="宋体"/>
                <w:color w:val="000000"/>
                <w:kern w:val="0"/>
                <w:szCs w:val="21"/>
                <w:lang w:bidi="ar"/>
              </w:rPr>
              <w:t>300</w:t>
            </w:r>
          </w:p>
        </w:tc>
        <w:tc>
          <w:tcPr>
            <w:tcW w:w="4554" w:type="dxa"/>
            <w:noWrap w:val="0"/>
            <w:vAlign w:val="center"/>
          </w:tcPr>
          <w:p w14:paraId="5B97DDCD">
            <w:pPr>
              <w:widowControl/>
              <w:jc w:val="center"/>
              <w:textAlignment w:val="center"/>
              <w:rPr>
                <w:rFonts w:ascii="宋体" w:hAnsi="宋体" w:cs="宋体"/>
                <w:kern w:val="0"/>
                <w:szCs w:val="21"/>
              </w:rPr>
            </w:pPr>
            <w:r>
              <w:rPr>
                <w:rFonts w:hint="eastAsia" w:ascii="宋体" w:hAnsi="宋体" w:cs="宋体"/>
                <w:color w:val="000000"/>
                <w:kern w:val="0"/>
                <w:szCs w:val="21"/>
                <w:lang w:bidi="ar"/>
              </w:rPr>
              <w:t>清单第300章路面</w:t>
            </w:r>
          </w:p>
        </w:tc>
        <w:tc>
          <w:tcPr>
            <w:tcW w:w="1955" w:type="dxa"/>
            <w:noWrap w:val="0"/>
            <w:vAlign w:val="center"/>
          </w:tcPr>
          <w:p w14:paraId="0511D17D">
            <w:pPr>
              <w:jc w:val="center"/>
              <w:rPr>
                <w:rFonts w:hint="eastAsia" w:ascii="宋体" w:hAnsi="宋体"/>
                <w:szCs w:val="21"/>
              </w:rPr>
            </w:pPr>
          </w:p>
        </w:tc>
      </w:tr>
      <w:tr w14:paraId="6B8602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0" w:type="dxa"/>
          </w:tblCellMar>
        </w:tblPrEx>
        <w:trPr>
          <w:trHeight w:val="794" w:hRule="atLeast"/>
        </w:trPr>
        <w:tc>
          <w:tcPr>
            <w:tcW w:w="1270" w:type="dxa"/>
            <w:noWrap w:val="0"/>
            <w:vAlign w:val="center"/>
          </w:tcPr>
          <w:p w14:paraId="28974ACB">
            <w:pPr>
              <w:widowControl/>
              <w:jc w:val="center"/>
              <w:textAlignment w:val="center"/>
              <w:rPr>
                <w:rFonts w:hint="eastAsia" w:ascii="宋体" w:hAnsi="宋体" w:eastAsia="宋体" w:cs="宋体"/>
                <w:color w:val="000000"/>
                <w:kern w:val="0"/>
                <w:szCs w:val="21"/>
                <w:lang w:val="en-US" w:eastAsia="zh-CN" w:bidi="ar"/>
              </w:rPr>
            </w:pPr>
            <w:r>
              <w:rPr>
                <w:rFonts w:hint="eastAsia" w:ascii="宋体" w:hAnsi="宋体" w:cs="宋体"/>
                <w:color w:val="000000"/>
                <w:kern w:val="0"/>
                <w:szCs w:val="21"/>
                <w:lang w:val="en-US" w:eastAsia="zh-CN" w:bidi="ar"/>
              </w:rPr>
              <w:t>4</w:t>
            </w:r>
          </w:p>
        </w:tc>
        <w:tc>
          <w:tcPr>
            <w:tcW w:w="1449" w:type="dxa"/>
            <w:noWrap w:val="0"/>
            <w:vAlign w:val="center"/>
          </w:tcPr>
          <w:p w14:paraId="5AACF72C">
            <w:pPr>
              <w:widowControl/>
              <w:jc w:val="center"/>
              <w:textAlignment w:val="center"/>
              <w:rPr>
                <w:rFonts w:hint="default" w:ascii="宋体" w:hAnsi="宋体" w:eastAsia="宋体" w:cs="宋体"/>
                <w:color w:val="000000"/>
                <w:kern w:val="0"/>
                <w:szCs w:val="21"/>
                <w:lang w:val="en-US" w:eastAsia="zh-CN" w:bidi="ar"/>
              </w:rPr>
            </w:pPr>
            <w:r>
              <w:rPr>
                <w:rFonts w:hint="eastAsia" w:ascii="宋体" w:hAnsi="宋体" w:cs="宋体"/>
                <w:color w:val="000000"/>
                <w:kern w:val="0"/>
                <w:szCs w:val="21"/>
                <w:lang w:val="en-US" w:eastAsia="zh-CN" w:bidi="ar"/>
              </w:rPr>
              <w:t>400</w:t>
            </w:r>
          </w:p>
        </w:tc>
        <w:tc>
          <w:tcPr>
            <w:tcW w:w="4554" w:type="dxa"/>
            <w:noWrap w:val="0"/>
            <w:vAlign w:val="center"/>
          </w:tcPr>
          <w:p w14:paraId="425A3327">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清单第</w:t>
            </w:r>
            <w:r>
              <w:rPr>
                <w:rFonts w:hint="eastAsia" w:ascii="宋体" w:hAnsi="宋体" w:cs="宋体"/>
                <w:color w:val="000000"/>
                <w:kern w:val="0"/>
                <w:szCs w:val="21"/>
                <w:lang w:val="en-US" w:eastAsia="zh-CN" w:bidi="ar"/>
              </w:rPr>
              <w:t>4</w:t>
            </w:r>
            <w:r>
              <w:rPr>
                <w:rFonts w:hint="eastAsia" w:ascii="宋体" w:hAnsi="宋体" w:cs="宋体"/>
                <w:color w:val="000000"/>
                <w:kern w:val="0"/>
                <w:szCs w:val="21"/>
                <w:lang w:bidi="ar"/>
              </w:rPr>
              <w:t>00章桥梁与涵洞</w:t>
            </w:r>
          </w:p>
        </w:tc>
        <w:tc>
          <w:tcPr>
            <w:tcW w:w="1955" w:type="dxa"/>
            <w:noWrap w:val="0"/>
            <w:vAlign w:val="center"/>
          </w:tcPr>
          <w:p w14:paraId="27F706C9">
            <w:pPr>
              <w:jc w:val="center"/>
              <w:rPr>
                <w:rFonts w:hint="eastAsia" w:ascii="宋体" w:hAnsi="宋体"/>
                <w:szCs w:val="21"/>
              </w:rPr>
            </w:pPr>
          </w:p>
        </w:tc>
      </w:tr>
      <w:tr w14:paraId="11EA01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0" w:type="dxa"/>
          </w:tblCellMar>
        </w:tblPrEx>
        <w:trPr>
          <w:trHeight w:val="794" w:hRule="atLeast"/>
        </w:trPr>
        <w:tc>
          <w:tcPr>
            <w:tcW w:w="1270" w:type="dxa"/>
            <w:noWrap w:val="0"/>
            <w:vAlign w:val="center"/>
          </w:tcPr>
          <w:p w14:paraId="4B0A8CE1">
            <w:pPr>
              <w:widowControl/>
              <w:jc w:val="center"/>
              <w:textAlignment w:val="center"/>
              <w:rPr>
                <w:rFonts w:hint="eastAsia" w:ascii="宋体" w:hAnsi="宋体" w:eastAsia="宋体"/>
                <w:lang w:eastAsia="zh-CN"/>
              </w:rPr>
            </w:pPr>
            <w:r>
              <w:rPr>
                <w:rFonts w:hint="eastAsia" w:ascii="宋体" w:hAnsi="宋体" w:cs="宋体"/>
                <w:color w:val="000000"/>
                <w:kern w:val="0"/>
                <w:szCs w:val="21"/>
                <w:lang w:val="en-US" w:eastAsia="zh-CN" w:bidi="ar"/>
              </w:rPr>
              <w:t>5</w:t>
            </w:r>
          </w:p>
        </w:tc>
        <w:tc>
          <w:tcPr>
            <w:tcW w:w="6003" w:type="dxa"/>
            <w:gridSpan w:val="2"/>
            <w:noWrap w:val="0"/>
            <w:vAlign w:val="center"/>
          </w:tcPr>
          <w:p w14:paraId="74DB6CB5">
            <w:pPr>
              <w:widowControl/>
              <w:jc w:val="center"/>
              <w:textAlignment w:val="center"/>
              <w:rPr>
                <w:rFonts w:hint="eastAsia" w:ascii="宋体" w:hAnsi="宋体"/>
              </w:rPr>
            </w:pPr>
            <w:r>
              <w:rPr>
                <w:rFonts w:hint="eastAsia" w:ascii="宋体" w:hAnsi="宋体" w:cs="宋体"/>
                <w:color w:val="000000"/>
                <w:kern w:val="0"/>
                <w:szCs w:val="21"/>
                <w:lang w:bidi="ar"/>
              </w:rPr>
              <w:t>第100章至第</w:t>
            </w:r>
            <w:r>
              <w:rPr>
                <w:rFonts w:hint="eastAsia" w:ascii="宋体" w:hAnsi="宋体" w:cs="宋体"/>
                <w:color w:val="000000"/>
                <w:kern w:val="0"/>
                <w:szCs w:val="21"/>
                <w:lang w:val="en-US" w:eastAsia="zh-CN" w:bidi="ar"/>
              </w:rPr>
              <w:t>4</w:t>
            </w:r>
            <w:r>
              <w:rPr>
                <w:rFonts w:hint="eastAsia" w:ascii="宋体" w:hAnsi="宋体" w:cs="宋体"/>
                <w:color w:val="000000"/>
                <w:kern w:val="0"/>
                <w:szCs w:val="21"/>
                <w:lang w:bidi="ar"/>
              </w:rPr>
              <w:t>00章合计</w:t>
            </w:r>
          </w:p>
        </w:tc>
        <w:tc>
          <w:tcPr>
            <w:tcW w:w="1955" w:type="dxa"/>
            <w:noWrap w:val="0"/>
            <w:vAlign w:val="top"/>
          </w:tcPr>
          <w:p w14:paraId="76E65675">
            <w:pPr>
              <w:jc w:val="center"/>
              <w:rPr>
                <w:rFonts w:hint="eastAsia" w:ascii="宋体" w:hAnsi="宋体"/>
                <w:szCs w:val="21"/>
              </w:rPr>
            </w:pPr>
          </w:p>
        </w:tc>
      </w:tr>
      <w:tr w14:paraId="24030F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0" w:type="dxa"/>
          </w:tblCellMar>
        </w:tblPrEx>
        <w:trPr>
          <w:trHeight w:val="794" w:hRule="atLeast"/>
        </w:trPr>
        <w:tc>
          <w:tcPr>
            <w:tcW w:w="1270" w:type="dxa"/>
            <w:noWrap w:val="0"/>
            <w:vAlign w:val="center"/>
          </w:tcPr>
          <w:p w14:paraId="0A4B1A76">
            <w:pPr>
              <w:widowControl/>
              <w:jc w:val="center"/>
              <w:textAlignment w:val="center"/>
              <w:rPr>
                <w:rFonts w:hint="eastAsia" w:ascii="宋体" w:hAnsi="宋体" w:eastAsia="宋体"/>
                <w:lang w:eastAsia="zh-CN"/>
              </w:rPr>
            </w:pPr>
            <w:r>
              <w:rPr>
                <w:rFonts w:hint="eastAsia" w:ascii="宋体" w:hAnsi="宋体" w:cs="宋体"/>
                <w:color w:val="000000"/>
                <w:kern w:val="0"/>
                <w:szCs w:val="21"/>
                <w:lang w:val="en-US" w:eastAsia="zh-CN" w:bidi="ar"/>
              </w:rPr>
              <w:t>6</w:t>
            </w:r>
          </w:p>
        </w:tc>
        <w:tc>
          <w:tcPr>
            <w:tcW w:w="6003" w:type="dxa"/>
            <w:gridSpan w:val="2"/>
            <w:noWrap w:val="0"/>
            <w:vAlign w:val="center"/>
          </w:tcPr>
          <w:p w14:paraId="66C1F810">
            <w:pPr>
              <w:widowControl/>
              <w:jc w:val="center"/>
              <w:textAlignment w:val="center"/>
              <w:rPr>
                <w:rFonts w:ascii="宋体" w:hAnsi="宋体"/>
              </w:rPr>
            </w:pPr>
            <w:r>
              <w:rPr>
                <w:rFonts w:hint="eastAsia" w:ascii="宋体" w:hAnsi="宋体" w:cs="宋体"/>
                <w:color w:val="000000"/>
                <w:kern w:val="0"/>
                <w:szCs w:val="21"/>
                <w:lang w:bidi="ar"/>
              </w:rPr>
              <w:t>已包含在清单合计中的材料、工程设备、专业工程暂估价合计</w:t>
            </w:r>
          </w:p>
        </w:tc>
        <w:tc>
          <w:tcPr>
            <w:tcW w:w="1955" w:type="dxa"/>
            <w:noWrap w:val="0"/>
            <w:vAlign w:val="top"/>
          </w:tcPr>
          <w:p w14:paraId="24D814E5">
            <w:pPr>
              <w:jc w:val="center"/>
              <w:rPr>
                <w:rFonts w:hint="eastAsia" w:ascii="宋体" w:hAnsi="宋体"/>
                <w:szCs w:val="21"/>
              </w:rPr>
            </w:pPr>
          </w:p>
        </w:tc>
      </w:tr>
      <w:tr w14:paraId="462731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0" w:type="dxa"/>
          </w:tblCellMar>
        </w:tblPrEx>
        <w:trPr>
          <w:trHeight w:val="794" w:hRule="atLeast"/>
        </w:trPr>
        <w:tc>
          <w:tcPr>
            <w:tcW w:w="1270" w:type="dxa"/>
            <w:noWrap w:val="0"/>
            <w:vAlign w:val="center"/>
          </w:tcPr>
          <w:p w14:paraId="0201C482">
            <w:pPr>
              <w:widowControl/>
              <w:jc w:val="center"/>
              <w:textAlignment w:val="center"/>
              <w:rPr>
                <w:rFonts w:hint="eastAsia" w:ascii="宋体" w:hAnsi="宋体" w:eastAsia="宋体"/>
                <w:lang w:eastAsia="zh-CN"/>
              </w:rPr>
            </w:pPr>
            <w:r>
              <w:rPr>
                <w:rFonts w:hint="eastAsia" w:ascii="宋体" w:hAnsi="宋体" w:cs="宋体"/>
                <w:color w:val="000000"/>
                <w:kern w:val="0"/>
                <w:szCs w:val="21"/>
                <w:lang w:val="en-US" w:eastAsia="zh-CN" w:bidi="ar"/>
              </w:rPr>
              <w:t>7</w:t>
            </w:r>
          </w:p>
        </w:tc>
        <w:tc>
          <w:tcPr>
            <w:tcW w:w="6003" w:type="dxa"/>
            <w:gridSpan w:val="2"/>
            <w:noWrap w:val="0"/>
            <w:vAlign w:val="center"/>
          </w:tcPr>
          <w:p w14:paraId="37735360">
            <w:pPr>
              <w:widowControl/>
              <w:jc w:val="center"/>
              <w:textAlignment w:val="center"/>
              <w:rPr>
                <w:rFonts w:hint="eastAsia" w:ascii="宋体" w:hAnsi="宋体"/>
              </w:rPr>
            </w:pPr>
            <w:r>
              <w:rPr>
                <w:rFonts w:hint="eastAsia" w:ascii="宋体" w:hAnsi="宋体" w:cs="宋体"/>
                <w:color w:val="000000"/>
                <w:kern w:val="0"/>
                <w:szCs w:val="21"/>
                <w:lang w:bidi="ar"/>
              </w:rPr>
              <w:t>清单合计减去材料、工程设备、专业工程暂估价合计</w:t>
            </w:r>
          </w:p>
        </w:tc>
        <w:tc>
          <w:tcPr>
            <w:tcW w:w="1955" w:type="dxa"/>
            <w:noWrap w:val="0"/>
            <w:vAlign w:val="top"/>
          </w:tcPr>
          <w:p w14:paraId="085F6142">
            <w:pPr>
              <w:jc w:val="center"/>
              <w:rPr>
                <w:rFonts w:hint="eastAsia" w:ascii="宋体" w:hAnsi="宋体"/>
                <w:szCs w:val="21"/>
              </w:rPr>
            </w:pPr>
          </w:p>
        </w:tc>
      </w:tr>
      <w:tr w14:paraId="7C41E0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0" w:type="dxa"/>
          </w:tblCellMar>
        </w:tblPrEx>
        <w:trPr>
          <w:trHeight w:val="794" w:hRule="atLeast"/>
        </w:trPr>
        <w:tc>
          <w:tcPr>
            <w:tcW w:w="1270" w:type="dxa"/>
            <w:noWrap w:val="0"/>
            <w:vAlign w:val="center"/>
          </w:tcPr>
          <w:p w14:paraId="3633C285">
            <w:pPr>
              <w:widowControl/>
              <w:jc w:val="center"/>
              <w:textAlignment w:val="center"/>
              <w:rPr>
                <w:rFonts w:hint="eastAsia" w:ascii="宋体" w:hAnsi="宋体" w:eastAsia="宋体"/>
                <w:lang w:eastAsia="zh-CN"/>
              </w:rPr>
            </w:pPr>
            <w:r>
              <w:rPr>
                <w:rFonts w:hint="eastAsia" w:ascii="宋体" w:hAnsi="宋体" w:cs="宋体"/>
                <w:color w:val="000000"/>
                <w:kern w:val="0"/>
                <w:szCs w:val="21"/>
                <w:lang w:val="en-US" w:eastAsia="zh-CN" w:bidi="ar"/>
              </w:rPr>
              <w:t>8</w:t>
            </w:r>
          </w:p>
        </w:tc>
        <w:tc>
          <w:tcPr>
            <w:tcW w:w="6003" w:type="dxa"/>
            <w:gridSpan w:val="2"/>
            <w:noWrap w:val="0"/>
            <w:vAlign w:val="center"/>
          </w:tcPr>
          <w:p w14:paraId="62B0F457">
            <w:pPr>
              <w:widowControl/>
              <w:jc w:val="center"/>
              <w:textAlignment w:val="center"/>
              <w:rPr>
                <w:rFonts w:hint="eastAsia" w:ascii="宋体" w:hAnsi="宋体"/>
              </w:rPr>
            </w:pPr>
            <w:r>
              <w:rPr>
                <w:rFonts w:hint="eastAsia" w:ascii="宋体" w:hAnsi="宋体" w:cs="宋体"/>
                <w:color w:val="000000"/>
                <w:kern w:val="0"/>
                <w:szCs w:val="21"/>
                <w:lang w:bidi="ar"/>
              </w:rPr>
              <w:t>计日工合计</w:t>
            </w:r>
          </w:p>
        </w:tc>
        <w:tc>
          <w:tcPr>
            <w:tcW w:w="1955" w:type="dxa"/>
            <w:noWrap w:val="0"/>
            <w:vAlign w:val="top"/>
          </w:tcPr>
          <w:p w14:paraId="4931EC51">
            <w:pPr>
              <w:jc w:val="center"/>
              <w:rPr>
                <w:rFonts w:hint="eastAsia" w:ascii="宋体" w:hAnsi="宋体"/>
                <w:szCs w:val="21"/>
              </w:rPr>
            </w:pPr>
          </w:p>
        </w:tc>
      </w:tr>
      <w:tr w14:paraId="255965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0" w:type="dxa"/>
          </w:tblCellMar>
        </w:tblPrEx>
        <w:trPr>
          <w:trHeight w:val="794" w:hRule="atLeast"/>
        </w:trPr>
        <w:tc>
          <w:tcPr>
            <w:tcW w:w="1270" w:type="dxa"/>
            <w:noWrap w:val="0"/>
            <w:vAlign w:val="center"/>
          </w:tcPr>
          <w:p w14:paraId="6AD94493">
            <w:pPr>
              <w:widowControl/>
              <w:jc w:val="center"/>
              <w:textAlignment w:val="center"/>
              <w:rPr>
                <w:rFonts w:hint="eastAsia" w:ascii="宋体" w:hAnsi="宋体" w:eastAsia="宋体"/>
                <w:lang w:eastAsia="zh-CN"/>
              </w:rPr>
            </w:pPr>
            <w:r>
              <w:rPr>
                <w:rFonts w:hint="eastAsia" w:ascii="宋体" w:hAnsi="宋体" w:cs="宋体"/>
                <w:color w:val="000000"/>
                <w:kern w:val="0"/>
                <w:szCs w:val="21"/>
                <w:lang w:val="en-US" w:eastAsia="zh-CN" w:bidi="ar"/>
              </w:rPr>
              <w:t>9</w:t>
            </w:r>
          </w:p>
        </w:tc>
        <w:tc>
          <w:tcPr>
            <w:tcW w:w="6003" w:type="dxa"/>
            <w:gridSpan w:val="2"/>
            <w:noWrap w:val="0"/>
            <w:vAlign w:val="center"/>
          </w:tcPr>
          <w:p w14:paraId="5A768FF8">
            <w:pPr>
              <w:widowControl/>
              <w:jc w:val="center"/>
              <w:textAlignment w:val="center"/>
              <w:rPr>
                <w:rFonts w:hint="eastAsia" w:ascii="宋体" w:hAnsi="宋体"/>
              </w:rPr>
            </w:pPr>
            <w:r>
              <w:rPr>
                <w:rFonts w:hint="eastAsia" w:ascii="宋体" w:hAnsi="宋体" w:cs="宋体"/>
                <w:color w:val="000000"/>
                <w:kern w:val="0"/>
                <w:szCs w:val="21"/>
                <w:lang w:bidi="ar"/>
              </w:rPr>
              <w:t>暂列金额（不含计日工总额）</w:t>
            </w:r>
          </w:p>
        </w:tc>
        <w:tc>
          <w:tcPr>
            <w:tcW w:w="1955" w:type="dxa"/>
            <w:noWrap w:val="0"/>
            <w:vAlign w:val="top"/>
          </w:tcPr>
          <w:p w14:paraId="1066849D">
            <w:pPr>
              <w:jc w:val="center"/>
              <w:rPr>
                <w:rFonts w:hint="eastAsia" w:ascii="宋体" w:hAnsi="宋体"/>
                <w:szCs w:val="21"/>
              </w:rPr>
            </w:pPr>
          </w:p>
        </w:tc>
      </w:tr>
      <w:tr w14:paraId="3FC0D3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0" w:type="dxa"/>
          </w:tblCellMar>
        </w:tblPrEx>
        <w:trPr>
          <w:trHeight w:val="794" w:hRule="atLeast"/>
        </w:trPr>
        <w:tc>
          <w:tcPr>
            <w:tcW w:w="1270" w:type="dxa"/>
            <w:noWrap w:val="0"/>
            <w:vAlign w:val="center"/>
          </w:tcPr>
          <w:p w14:paraId="28E8CFDA">
            <w:pPr>
              <w:widowControl/>
              <w:jc w:val="center"/>
              <w:textAlignment w:val="center"/>
              <w:rPr>
                <w:rFonts w:hint="default" w:ascii="宋体" w:hAnsi="宋体" w:eastAsia="宋体"/>
                <w:lang w:val="en-US" w:eastAsia="zh-CN"/>
              </w:rPr>
            </w:pPr>
            <w:r>
              <w:rPr>
                <w:rFonts w:hint="eastAsia" w:ascii="宋体" w:hAnsi="宋体" w:cs="宋体"/>
                <w:color w:val="000000"/>
                <w:kern w:val="0"/>
                <w:szCs w:val="21"/>
                <w:lang w:val="en-US" w:eastAsia="zh-CN" w:bidi="ar"/>
              </w:rPr>
              <w:t>10</w:t>
            </w:r>
          </w:p>
        </w:tc>
        <w:tc>
          <w:tcPr>
            <w:tcW w:w="6003" w:type="dxa"/>
            <w:gridSpan w:val="2"/>
            <w:noWrap w:val="0"/>
            <w:vAlign w:val="center"/>
          </w:tcPr>
          <w:p w14:paraId="195CF6CA">
            <w:pPr>
              <w:widowControl/>
              <w:jc w:val="center"/>
              <w:textAlignment w:val="center"/>
              <w:rPr>
                <w:rFonts w:hint="eastAsia" w:ascii="宋体" w:hAnsi="宋体"/>
              </w:rPr>
            </w:pPr>
            <w:r>
              <w:rPr>
                <w:rFonts w:hint="eastAsia" w:ascii="宋体" w:hAnsi="宋体" w:cs="宋体"/>
                <w:color w:val="000000"/>
                <w:kern w:val="0"/>
                <w:szCs w:val="21"/>
                <w:lang w:bidi="ar"/>
              </w:rPr>
              <w:t>投标</w:t>
            </w:r>
            <w:r>
              <w:rPr>
                <w:rFonts w:hint="eastAsia" w:ascii="宋体" w:hAnsi="宋体" w:cs="宋体"/>
                <w:color w:val="000000"/>
                <w:kern w:val="0"/>
                <w:szCs w:val="21"/>
                <w:lang w:val="en-US" w:eastAsia="zh-CN" w:bidi="ar"/>
              </w:rPr>
              <w:t>总</w:t>
            </w:r>
            <w:r>
              <w:rPr>
                <w:rFonts w:hint="eastAsia" w:ascii="宋体" w:hAnsi="宋体" w:cs="宋体"/>
                <w:color w:val="000000"/>
                <w:kern w:val="0"/>
                <w:szCs w:val="21"/>
                <w:lang w:bidi="ar"/>
              </w:rPr>
              <w:t>报价</w:t>
            </w:r>
          </w:p>
        </w:tc>
        <w:tc>
          <w:tcPr>
            <w:tcW w:w="1955" w:type="dxa"/>
            <w:noWrap w:val="0"/>
            <w:vAlign w:val="top"/>
          </w:tcPr>
          <w:p w14:paraId="0CFE3E6C">
            <w:pPr>
              <w:jc w:val="center"/>
              <w:rPr>
                <w:rFonts w:hint="eastAsia" w:ascii="宋体" w:hAnsi="宋体"/>
                <w:szCs w:val="21"/>
              </w:rPr>
            </w:pPr>
          </w:p>
        </w:tc>
      </w:tr>
    </w:tbl>
    <w:p w14:paraId="2A34C7CF">
      <w:pPr>
        <w:pStyle w:val="3"/>
        <w:spacing w:before="480" w:after="120" w:line="415" w:lineRule="auto"/>
        <w:jc w:val="both"/>
        <w:rPr>
          <w:rFonts w:hint="eastAsia" w:ascii="宋体" w:hAnsi="宋体" w:eastAsia="宋体" w:cs="宋体"/>
          <w:b w:val="0"/>
          <w:sz w:val="21"/>
          <w:szCs w:val="21"/>
        </w:rPr>
      </w:pPr>
    </w:p>
    <w:p w14:paraId="2A7AE057">
      <w:pPr>
        <w:ind w:firstLine="277" w:firstLineChars="132"/>
        <w:rPr>
          <w:rFonts w:ascii="宋体" w:hAnsi="宋体" w:cs="宋体"/>
          <w:szCs w:val="21"/>
        </w:rPr>
      </w:pPr>
    </w:p>
    <w:p w14:paraId="302304A7">
      <w:pPr>
        <w:pStyle w:val="21"/>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注：1.请仔细填写单价、总价、投标总报价；具体路线明细详见招标需求 。</w:t>
      </w:r>
    </w:p>
    <w:p w14:paraId="06A73084">
      <w:pPr>
        <w:pStyle w:val="21"/>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本工程报价采用全费用单价，包括项目实施所需的一切材料、人工、标准附件、备品备件、专用工具、包装、运输、装卸、保险、货到就位以及安装、调试、培训、保修、利润、税金等完成合同所需的一切本身和不可或缺的所有工作开支、政策性文件规定及合同包含的所有风险、责任等各项全部费用并承担一切风险责任。</w:t>
      </w:r>
      <w:r>
        <w:rPr>
          <w:rFonts w:hint="eastAsia" w:ascii="微软雅黑" w:hAnsi="微软雅黑" w:eastAsia="微软雅黑" w:cs="微软雅黑"/>
          <w:szCs w:val="21"/>
          <w:highlight w:val="yellow"/>
          <w:lang w:val="en-US" w:eastAsia="zh-CN"/>
        </w:rPr>
        <w:br w:type="page"/>
      </w:r>
    </w:p>
    <w:p w14:paraId="046B09B2">
      <w:pPr>
        <w:pStyle w:val="21"/>
        <w:keepNext w:val="0"/>
        <w:keepLines w:val="0"/>
        <w:pageBreakBefore w:val="0"/>
        <w:widowControl w:val="0"/>
        <w:numPr>
          <w:ilvl w:val="0"/>
          <w:numId w:val="0"/>
        </w:numPr>
        <w:kinsoku/>
        <w:wordWrap/>
        <w:overflowPunct/>
        <w:topLinePunct w:val="0"/>
        <w:autoSpaceDE/>
        <w:autoSpaceDN/>
        <w:bidi w:val="0"/>
        <w:adjustRightInd w:val="0"/>
        <w:snapToGrid w:val="0"/>
        <w:spacing w:after="120" w:line="240" w:lineRule="auto"/>
        <w:jc w:val="left"/>
        <w:textAlignment w:val="auto"/>
        <w:rPr>
          <w:rFonts w:hint="eastAsia" w:ascii="微软雅黑" w:hAnsi="微软雅黑" w:eastAsia="微软雅黑" w:cs="微软雅黑"/>
          <w:sz w:val="21"/>
          <w:szCs w:val="21"/>
          <w:lang w:val="en-US" w:eastAsia="zh-CN"/>
        </w:rPr>
      </w:pPr>
    </w:p>
    <w:p w14:paraId="4E0866C7">
      <w:pPr>
        <w:rPr>
          <w:rFonts w:hint="eastAsia" w:ascii="Times New Roman" w:hAnsi="Times New Roman"/>
          <w:color w:val="000000"/>
          <w:szCs w:val="21"/>
        </w:rPr>
      </w:pPr>
    </w:p>
    <w:p w14:paraId="6E261131">
      <w:pPr>
        <w:pStyle w:val="50"/>
        <w:pageBreakBefore w:val="0"/>
        <w:kinsoku/>
        <w:overflowPunct/>
        <w:topLinePunct w:val="0"/>
        <w:bidi w:val="0"/>
        <w:spacing w:line="360" w:lineRule="auto"/>
        <w:rPr>
          <w:rFonts w:hint="eastAsia" w:ascii="Times New Roman" w:hAnsi="Times New Roman"/>
          <w:color w:val="000000"/>
          <w:szCs w:val="21"/>
        </w:rPr>
      </w:pPr>
    </w:p>
    <w:p w14:paraId="47ED5DB8">
      <w:pPr>
        <w:pStyle w:val="303"/>
        <w:pageBreakBefore w:val="0"/>
        <w:kinsoku/>
        <w:overflowPunct/>
        <w:topLinePunct w:val="0"/>
        <w:bidi w:val="0"/>
        <w:spacing w:before="156" w:line="360" w:lineRule="auto"/>
        <w:ind w:firstLine="422"/>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lang w:val="en-US" w:eastAsia="zh-CN"/>
        </w:rPr>
        <w:t>14、</w:t>
      </w:r>
      <w:r>
        <w:rPr>
          <w:rFonts w:hint="eastAsia" w:ascii="Times New Roman" w:hAnsi="Times New Roman" w:eastAsia="宋体" w:cs="Times New Roman"/>
          <w:b/>
          <w:color w:val="000000"/>
          <w:sz w:val="21"/>
          <w:szCs w:val="21"/>
        </w:rPr>
        <w:t>投标人针对报价需要说明的其他文件和说明（格式自拟）。</w:t>
      </w:r>
    </w:p>
    <w:p w14:paraId="317CBD45">
      <w:pPr>
        <w:pStyle w:val="21"/>
        <w:pageBreakBefore w:val="0"/>
        <w:kinsoku/>
        <w:overflowPunct/>
        <w:topLinePunct w:val="0"/>
        <w:bidi w:val="0"/>
        <w:adjustRightInd w:val="0"/>
        <w:snapToGrid w:val="0"/>
        <w:spacing w:line="360" w:lineRule="auto"/>
        <w:ind w:firstLine="560" w:firstLineChars="200"/>
        <w:jc w:val="left"/>
        <w:rPr>
          <w:rFonts w:hint="default" w:ascii="微软雅黑" w:hAnsi="微软雅黑" w:eastAsia="微软雅黑" w:cs="微软雅黑"/>
          <w:b/>
          <w:bCs/>
          <w:sz w:val="28"/>
          <w:szCs w:val="28"/>
          <w:lang w:val="en-US" w:eastAsia="zh-CN"/>
        </w:rPr>
      </w:pPr>
    </w:p>
    <w:p w14:paraId="4C3D0E30">
      <w:pPr>
        <w:bidi w:val="0"/>
        <w:rPr>
          <w:rFonts w:hint="eastAsia"/>
          <w:lang w:val="en-US" w:eastAsia="zh-CN"/>
        </w:rPr>
      </w:pPr>
    </w:p>
    <w:p w14:paraId="25AD6F8F">
      <w:pPr>
        <w:bidi w:val="0"/>
        <w:rPr>
          <w:rFonts w:hint="eastAsia"/>
          <w:lang w:val="en-US" w:eastAsia="zh-CN"/>
        </w:rPr>
      </w:pPr>
    </w:p>
    <w:p w14:paraId="4DB501A8">
      <w:pPr>
        <w:bidi w:val="0"/>
        <w:rPr>
          <w:rFonts w:hint="eastAsia"/>
          <w:lang w:val="en-US" w:eastAsia="zh-CN"/>
        </w:rPr>
      </w:pPr>
    </w:p>
    <w:p w14:paraId="24D5EF71">
      <w:pPr>
        <w:bidi w:val="0"/>
        <w:rPr>
          <w:rFonts w:hint="eastAsia"/>
          <w:lang w:val="en-US" w:eastAsia="zh-CN"/>
        </w:rPr>
      </w:pPr>
    </w:p>
    <w:p w14:paraId="4820A27C">
      <w:pPr>
        <w:bidi w:val="0"/>
        <w:rPr>
          <w:rFonts w:hint="eastAsia"/>
          <w:lang w:val="en-US" w:eastAsia="zh-CN"/>
        </w:rPr>
      </w:pPr>
    </w:p>
    <w:p w14:paraId="0E30815D">
      <w:pPr>
        <w:bidi w:val="0"/>
        <w:rPr>
          <w:rFonts w:hint="eastAsia"/>
          <w:lang w:val="en-US" w:eastAsia="zh-CN"/>
        </w:rPr>
      </w:pPr>
    </w:p>
    <w:p w14:paraId="78EB0D10">
      <w:pPr>
        <w:bidi w:val="0"/>
        <w:rPr>
          <w:rFonts w:hint="eastAsia"/>
          <w:lang w:val="en-US" w:eastAsia="zh-CN"/>
        </w:rPr>
      </w:pPr>
    </w:p>
    <w:p w14:paraId="1EA72772">
      <w:pPr>
        <w:bidi w:val="0"/>
        <w:rPr>
          <w:rFonts w:hint="eastAsia"/>
          <w:lang w:val="en-US" w:eastAsia="zh-CN"/>
        </w:rPr>
      </w:pPr>
    </w:p>
    <w:p w14:paraId="68ADF119">
      <w:pPr>
        <w:bidi w:val="0"/>
        <w:rPr>
          <w:rFonts w:hint="eastAsia"/>
          <w:lang w:val="en-US" w:eastAsia="zh-CN"/>
        </w:rPr>
      </w:pPr>
    </w:p>
    <w:p w14:paraId="630D6C87">
      <w:pPr>
        <w:bidi w:val="0"/>
        <w:rPr>
          <w:rFonts w:hint="eastAsia"/>
          <w:lang w:val="en-US" w:eastAsia="zh-CN"/>
        </w:rPr>
      </w:pPr>
    </w:p>
    <w:p w14:paraId="213A17C2">
      <w:pPr>
        <w:bidi w:val="0"/>
        <w:rPr>
          <w:rFonts w:hint="eastAsia"/>
          <w:lang w:val="en-US" w:eastAsia="zh-CN"/>
        </w:rPr>
      </w:pPr>
    </w:p>
    <w:p w14:paraId="489345FA">
      <w:pPr>
        <w:bidi w:val="0"/>
        <w:rPr>
          <w:rFonts w:hint="eastAsia"/>
          <w:lang w:val="en-US" w:eastAsia="zh-CN"/>
        </w:rPr>
      </w:pPr>
    </w:p>
    <w:sectPr>
      <w:headerReference r:id="rId12" w:type="default"/>
      <w:footerReference r:id="rId1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Arial Unicode MS">
    <w:altName w:val="宋体"/>
    <w:panose1 w:val="020B0604020202020204"/>
    <w:charset w:val="86"/>
    <w:family w:val="swiss"/>
    <w:pitch w:val="default"/>
    <w:sig w:usb0="00000000" w:usb1="00000000" w:usb2="0000003F" w:usb3="00000000" w:csb0="601F00FF" w:csb1="FFFF0000"/>
  </w:font>
  <w:font w:name="Tahoma">
    <w:panose1 w:val="020B0604030504040204"/>
    <w:charset w:val="00"/>
    <w:family w:val="swiss"/>
    <w:pitch w:val="default"/>
    <w:sig w:usb0="E1002EFF" w:usb1="C000605B" w:usb2="00000029" w:usb3="00000000" w:csb0="200101FF" w:csb1="20280000"/>
  </w:font>
  <w:font w:name="Helvetica">
    <w:altName w:val="Arial"/>
    <w:panose1 w:val="020B0504020202030204"/>
    <w:charset w:val="00"/>
    <w:family w:val="swiss"/>
    <w:pitch w:val="default"/>
    <w:sig w:usb0="00000000" w:usb1="00000000" w:usb2="00000000" w:usb3="00000000" w:csb0="00000093" w:csb1="00000000"/>
  </w:font>
  <w:font w:name="Songti SC Regular">
    <w:altName w:val="微软雅黑"/>
    <w:panose1 w:val="00000000000000000000"/>
    <w:charset w:val="00"/>
    <w:family w:val="auto"/>
    <w:pitch w:val="default"/>
    <w:sig w:usb0="00000000" w:usb1="00000000" w:usb2="00000010" w:usb3="00000000" w:csb0="0004009F" w:csb1="00000000"/>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4002EFF" w:usb1="C000247B" w:usb2="00000009" w:usb3="00000000" w:csb0="200001FF" w:csb1="00000000"/>
  </w:font>
  <w:font w:name="Arial Narrow">
    <w:altName w:val="Arial"/>
    <w:panose1 w:val="020B0606020202030204"/>
    <w:charset w:val="00"/>
    <w:family w:val="auto"/>
    <w:pitch w:val="default"/>
    <w:sig w:usb0="00000000" w:usb1="00000000" w:usb2="00000000" w:usb3="00000000" w:csb0="2000009F" w:csb1="DFD70000"/>
  </w:font>
  <w:font w:name="华文楷体">
    <w:altName w:val="宋体"/>
    <w:panose1 w:val="02010600040101010101"/>
    <w:charset w:val="86"/>
    <w:family w:val="auto"/>
    <w:pitch w:val="default"/>
    <w:sig w:usb0="00000000" w:usb1="00000000" w:usb2="00000000" w:usb3="00000000" w:csb0="0004009F" w:csb1="DFD70000"/>
  </w:font>
  <w:font w:name="隶书">
    <w:altName w:val="微软雅黑"/>
    <w:panose1 w:val="02010509060101010101"/>
    <w:charset w:val="86"/>
    <w:family w:val="modern"/>
    <w:pitch w:val="default"/>
    <w:sig w:usb0="00000000" w:usb1="00000000" w:usb2="00000000" w:usb3="00000000" w:csb0="00040000" w:csb1="00000000"/>
  </w:font>
  <w:font w:name="方正姚体">
    <w:altName w:val="宋体"/>
    <w:panose1 w:val="02010601030101010101"/>
    <w:charset w:val="86"/>
    <w:family w:val="auto"/>
    <w:pitch w:val="default"/>
    <w:sig w:usb0="00000000" w:usb1="00000000" w:usb2="00000000" w:usb3="00000000" w:csb0="00040000" w:csb1="00000000"/>
  </w:font>
  <w:font w:name="宋体-方正超大字符集">
    <w:altName w:val="宋体"/>
    <w:panose1 w:val="03000509000000000000"/>
    <w:charset w:val="86"/>
    <w:family w:val="script"/>
    <w:pitch w:val="default"/>
    <w:sig w:usb0="00000000" w:usb1="00000000" w:usb2="00000010" w:usb3="00000000" w:csb0="00040000" w:csb1="00000000"/>
  </w:font>
  <w:font w:name="MS Gothic">
    <w:panose1 w:val="020B0609070205080204"/>
    <w:charset w:val="80"/>
    <w:family w:val="modern"/>
    <w:pitch w:val="default"/>
    <w:sig w:usb0="E00002FF" w:usb1="6AC7FDFB" w:usb2="08000012" w:usb3="00000000" w:csb0="4002009F" w:csb1="DFD70000"/>
  </w:font>
  <w:font w:name="KSOF3D47F291">
    <w:panose1 w:val="020B0604020202020204"/>
    <w:charset w:val="00"/>
    <w:family w:val="auto"/>
    <w:pitch w:val="default"/>
    <w:sig w:usb0="00000001" w:usb1="00000000" w:usb2="00000000" w:usb3="00000000" w:csb0="00000001" w:csb1="00000000"/>
  </w:font>
  <w:font w:name="KSOFF9CBECC6">
    <w:panose1 w:val="02010609060101010101"/>
    <w:charset w:val="86"/>
    <w:family w:val="auto"/>
    <w:pitch w:val="default"/>
    <w:sig w:usb0="00000001"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AEAB3F">
    <w:pPr>
      <w:pStyle w:val="33"/>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2CC14C1">
                          <w:pPr>
                            <w:pStyle w:val="33"/>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0G3Y3AgAAb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d0tK4+VP0F&#10;TKFlYat3lsc0USpvV8cAaTvFo0C9KuhU3GAOu54NbyYO+p/7LurxP7H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C9dBt2NwIAAG8EAAAOAAAAAAAAAAEAIAAAAB8BAABkcnMvZTJvRG9jLnht&#10;bFBLBQYAAAAABgAGAFkBAADIBQAAAAA=&#10;">
              <v:fill on="f" focussize="0,0"/>
              <v:stroke on="f" weight="0.5pt"/>
              <v:imagedata o:title=""/>
              <o:lock v:ext="edit" aspectratio="f"/>
              <v:textbox inset="0mm,0mm,0mm,0mm" style="mso-fit-shape-to-text:t;">
                <w:txbxContent>
                  <w:p w14:paraId="42CC14C1">
                    <w:pPr>
                      <w:pStyle w:val="33"/>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637A77">
    <w:pPr>
      <w:pStyle w:val="33"/>
      <w:ind w:right="720"/>
      <w:jc w:val="center"/>
      <w:rPr>
        <w:sz w:val="21"/>
        <w:szCs w:val="21"/>
      </w:rPr>
    </w:pPr>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18FF8F88">
                          <w:pPr>
                            <w:pStyle w:val="33"/>
                          </w:pPr>
                          <w:r>
                            <w:fldChar w:fldCharType="begin"/>
                          </w:r>
                          <w:r>
                            <w:instrText xml:space="preserve"> PAGE  \* MERGEFORMAT </w:instrText>
                          </w:r>
                          <w:r>
                            <w:fldChar w:fldCharType="separate"/>
                          </w:r>
                          <w:r>
                            <w:t>7</w:t>
                          </w:r>
                          <w:r>
                            <w:fldChar w:fldCharType="end"/>
                          </w:r>
                        </w:p>
                      </w:txbxContent>
                    </wps:txbx>
                    <wps:bodyPr vert="horz" wrap="none" lIns="0" tIns="0" rIns="0" bIns="0" anchor="t" anchorCtr="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OqXm5zwAAAAUBAAAPAAAAAAAA&#10;AAEAIAAAACIAAABkcnMvZG93bnJldi54bWxQSwECFAAUAAAACACHTuJA6QcO7+IBAADMAwAADgAA&#10;AAAAAAABACAAAAAeAQAAZHJzL2Uyb0RvYy54bWxQSwUGAAAAAAYABgBZAQAAcgUAAAAA&#10;">
              <v:fill on="f" focussize="0,0"/>
              <v:stroke on="f"/>
              <v:imagedata o:title=""/>
              <o:lock v:ext="edit" aspectratio="f"/>
              <v:textbox inset="0mm,0mm,0mm,0mm" style="mso-fit-shape-to-text:t;">
                <w:txbxContent>
                  <w:p w14:paraId="18FF8F88">
                    <w:pPr>
                      <w:pStyle w:val="33"/>
                    </w:pPr>
                    <w:r>
                      <w:fldChar w:fldCharType="begin"/>
                    </w:r>
                    <w:r>
                      <w:instrText xml:space="preserve"> PAGE  \* MERGEFORMAT </w:instrText>
                    </w:r>
                    <w:r>
                      <w:fldChar w:fldCharType="separate"/>
                    </w:r>
                    <w:r>
                      <w:t>7</w:t>
                    </w:r>
                    <w:r>
                      <w:fldChar w:fldCharType="end"/>
                    </w:r>
                  </w:p>
                </w:txbxContent>
              </v:textbox>
            </v:shape>
          </w:pict>
        </mc:Fallback>
      </mc:AlternateContent>
    </w:r>
  </w:p>
  <w:p w14:paraId="115F5F2D">
    <w:pPr>
      <w:pStyle w:val="33"/>
      <w:ind w:right="720"/>
      <w:rPr>
        <w:sz w:val="21"/>
        <w:szCs w:val="2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00EFAB">
    <w:pPr>
      <w:pStyle w:val="33"/>
      <w:ind w:right="360"/>
      <w:rPr>
        <w:rFonts w:hint="eastAsia"/>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32FA76">
                          <w:pPr>
                            <w:pStyle w:val="33"/>
                          </w:pPr>
                          <w:r>
                            <w:fldChar w:fldCharType="begin"/>
                          </w:r>
                          <w:r>
                            <w:instrText xml:space="preserve"> PAGE  \* MERGEFORMAT </w:instrText>
                          </w:r>
                          <w:r>
                            <w:fldChar w:fldCharType="separate"/>
                          </w:r>
                          <w:r>
                            <w:t>65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5D32FA76">
                    <w:pPr>
                      <w:pStyle w:val="33"/>
                    </w:pPr>
                    <w:r>
                      <w:fldChar w:fldCharType="begin"/>
                    </w:r>
                    <w:r>
                      <w:instrText xml:space="preserve"> PAGE  \* MERGEFORMAT </w:instrText>
                    </w:r>
                    <w:r>
                      <w:fldChar w:fldCharType="separate"/>
                    </w:r>
                    <w:r>
                      <w:t>65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A23D90">
    <w:pPr>
      <w:pStyle w:val="33"/>
      <w:framePr w:w="414" w:wrap="around" w:vAnchor="text" w:hAnchor="margin" w:xAlign="outside" w:y="2"/>
      <w:rPr>
        <w:rStyle w:val="55"/>
      </w:rPr>
    </w:pPr>
    <w:r>
      <w:rPr>
        <w:rStyle w:val="55"/>
      </w:rPr>
      <w:fldChar w:fldCharType="begin"/>
    </w:r>
    <w:r>
      <w:rPr>
        <w:rStyle w:val="55"/>
      </w:rPr>
      <w:instrText xml:space="preserve">PAGE  </w:instrText>
    </w:r>
    <w:r>
      <w:rPr>
        <w:rStyle w:val="55"/>
      </w:rPr>
      <w:fldChar w:fldCharType="separate"/>
    </w:r>
    <w:r>
      <w:rPr>
        <w:rStyle w:val="55"/>
      </w:rPr>
      <w:t>132</w:t>
    </w:r>
    <w:r>
      <w:rPr>
        <w:rStyle w:val="55"/>
      </w:rPr>
      <w:fldChar w:fldCharType="end"/>
    </w:r>
  </w:p>
  <w:p w14:paraId="1F19B84A">
    <w:pPr>
      <w:pStyle w:val="33"/>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41CF50">
    <w:pPr>
      <w:pStyle w:val="33"/>
      <w:ind w:right="360"/>
      <w:rPr>
        <w:rFonts w:hint="eastAsia"/>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0A4C17">
                          <w:pPr>
                            <w:pStyle w:val="33"/>
                          </w:pPr>
                          <w:r>
                            <w:fldChar w:fldCharType="begin"/>
                          </w:r>
                          <w:r>
                            <w:instrText xml:space="preserve"> PAGE  \* MERGEFORMAT </w:instrText>
                          </w:r>
                          <w:r>
                            <w:fldChar w:fldCharType="separate"/>
                          </w:r>
                          <w:r>
                            <w:t>136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730A4C17">
                    <w:pPr>
                      <w:pStyle w:val="33"/>
                    </w:pPr>
                    <w:r>
                      <w:fldChar w:fldCharType="begin"/>
                    </w:r>
                    <w:r>
                      <w:instrText xml:space="preserve"> PAGE  \* MERGEFORMAT </w:instrText>
                    </w:r>
                    <w:r>
                      <w:fldChar w:fldCharType="separate"/>
                    </w:r>
                    <w:r>
                      <w:t>136</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12416F">
    <w:pPr>
      <w:pStyle w:val="33"/>
      <w:ind w:right="720" w:firstLine="420"/>
      <w:jc w:val="center"/>
      <w:rPr>
        <w:sz w:val="21"/>
        <w:szCs w:val="21"/>
      </w:rP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75FE257">
                          <w:pPr>
                            <w:pStyle w:val="33"/>
                          </w:pPr>
                          <w:r>
                            <w:fldChar w:fldCharType="begin"/>
                          </w:r>
                          <w:r>
                            <w:instrText xml:space="preserve"> PAGE  \* MERGEFORMAT </w:instrText>
                          </w:r>
                          <w:r>
                            <w:fldChar w:fldCharType="separate"/>
                          </w:r>
                          <w:r>
                            <w:t>44</w:t>
                          </w:r>
                          <w:r>
                            <w:fldChar w:fldCharType="end"/>
                          </w:r>
                        </w:p>
                      </w:txbxContent>
                    </wps:txbx>
                    <wps:bodyPr vert="horz" wrap="none" lIns="0" tIns="0" rIns="0" bIns="0" anchor="t" anchorCtr="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OqXm5zwAAAAUBAAAPAAAAAAAA&#10;AAEAIAAAACIAAABkcnMvZG93bnJldi54bWxQSwECFAAUAAAACACHTuJAI7StquIBAADMAwAADgAA&#10;AAAAAAABACAAAAAeAQAAZHJzL2Uyb0RvYy54bWxQSwUGAAAAAAYABgBZAQAAcgUAAAAA&#10;">
              <v:fill on="f" focussize="0,0"/>
              <v:stroke on="f"/>
              <v:imagedata o:title=""/>
              <o:lock v:ext="edit" aspectratio="f"/>
              <v:textbox inset="0mm,0mm,0mm,0mm" style="mso-fit-shape-to-text:t;">
                <w:txbxContent>
                  <w:p w14:paraId="375FE257">
                    <w:pPr>
                      <w:pStyle w:val="33"/>
                    </w:pPr>
                    <w:r>
                      <w:fldChar w:fldCharType="begin"/>
                    </w:r>
                    <w:r>
                      <w:instrText xml:space="preserve"> PAGE  \* MERGEFORMAT </w:instrText>
                    </w:r>
                    <w:r>
                      <w:fldChar w:fldCharType="separate"/>
                    </w:r>
                    <w:r>
                      <w:t>44</w:t>
                    </w:r>
                    <w:r>
                      <w:fldChar w:fldCharType="end"/>
                    </w:r>
                  </w:p>
                </w:txbxContent>
              </v:textbox>
            </v:shape>
          </w:pict>
        </mc:Fallback>
      </mc:AlternateContent>
    </w:r>
  </w:p>
  <w:p w14:paraId="76EAB64D">
    <w:pPr>
      <w:pStyle w:val="33"/>
      <w:ind w:right="720" w:firstLine="420"/>
      <w:rPr>
        <w:sz w:val="21"/>
        <w:szCs w:val="21"/>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99B96D">
    <w:pPr>
      <w:pStyle w:val="35"/>
      <w:rPr>
        <w:rFonts w:ascii="黑体" w:eastAsia="黑体"/>
        <w:sz w:val="21"/>
        <w:szCs w:val="21"/>
      </w:rPr>
    </w:pPr>
    <w:r>
      <w:rPr>
        <w:rFonts w:hint="eastAsia"/>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FFFEDC">
    <w:pPr>
      <w:pStyle w:val="35"/>
      <w:pBdr>
        <w:bottom w:val="none" w:color="auto" w:sz="0" w:space="0"/>
      </w:pBdr>
      <w:rPr>
        <w:rFonts w:hint="eastAsia" w:ascii="黑体" w:eastAsia="黑体"/>
        <w:sz w:val="21"/>
        <w:szCs w:val="21"/>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A01B0">
    <w:pPr>
      <w:pStyle w:val="35"/>
      <w:rPr>
        <w:rFonts w:hint="eastAsia"/>
      </w:rPr>
    </w:pPr>
    <w:r>
      <w:rPr>
        <w:rFonts w:hint="eastAsia" w:ascii="黑体" w:eastAsia="黑体"/>
        <w:sz w:val="21"/>
        <w:szCs w:val="21"/>
      </w:rPr>
      <w:t>浙江省公路养护工程施工招标文件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E4EC7C">
    <w:pPr>
      <w:pStyle w:val="35"/>
      <w:pBdr>
        <w:bottom w:val="none" w:color="auto" w:sz="0" w:space="0"/>
      </w:pBdr>
      <w:rPr>
        <w:rFonts w:hint="eastAsia" w:ascii="黑体" w:eastAsia="黑体"/>
        <w:sz w:val="21"/>
        <w:szCs w:val="21"/>
      </w:rPr>
    </w:pPr>
    <w:r>
      <w:rPr>
        <w:rFonts w:hint="eastAsia"/>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9F804B">
    <w:pPr>
      <w:pStyle w:val="35"/>
      <w:ind w:firstLine="360"/>
      <w:rPr>
        <w:rFonts w:ascii="黑体" w:eastAsia="黑体"/>
        <w:sz w:val="21"/>
        <w:szCs w:val="21"/>
      </w:rPr>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B8F48D"/>
    <w:multiLevelType w:val="singleLevel"/>
    <w:tmpl w:val="80B8F48D"/>
    <w:lvl w:ilvl="0" w:tentative="0">
      <w:start w:val="1"/>
      <w:numFmt w:val="decimal"/>
      <w:suff w:val="nothing"/>
      <w:lvlText w:val="%1、"/>
      <w:lvlJc w:val="left"/>
    </w:lvl>
  </w:abstractNum>
  <w:abstractNum w:abstractNumId="1">
    <w:nsid w:val="86FDD857"/>
    <w:multiLevelType w:val="singleLevel"/>
    <w:tmpl w:val="86FDD857"/>
    <w:lvl w:ilvl="0" w:tentative="0">
      <w:start w:val="6"/>
      <w:numFmt w:val="decimal"/>
      <w:suff w:val="nothing"/>
      <w:lvlText w:val="%1、"/>
      <w:lvlJc w:val="left"/>
    </w:lvl>
  </w:abstractNum>
  <w:abstractNum w:abstractNumId="2">
    <w:nsid w:val="966A3565"/>
    <w:multiLevelType w:val="singleLevel"/>
    <w:tmpl w:val="966A3565"/>
    <w:lvl w:ilvl="0" w:tentative="0">
      <w:start w:val="10"/>
      <w:numFmt w:val="decimal"/>
      <w:pStyle w:val="147"/>
      <w:suff w:val="nothing"/>
      <w:lvlText w:val="%1、"/>
      <w:lvlJc w:val="left"/>
      <w:pPr>
        <w:ind w:left="0" w:firstLine="0"/>
      </w:pPr>
    </w:lvl>
  </w:abstractNum>
  <w:abstractNum w:abstractNumId="3">
    <w:nsid w:val="CAE0EE5D"/>
    <w:multiLevelType w:val="singleLevel"/>
    <w:tmpl w:val="CAE0EE5D"/>
    <w:lvl w:ilvl="0" w:tentative="0">
      <w:start w:val="2"/>
      <w:numFmt w:val="decimal"/>
      <w:suff w:val="nothing"/>
      <w:lvlText w:val="（%1）"/>
      <w:lvlJc w:val="left"/>
    </w:lvl>
  </w:abstractNum>
  <w:abstractNum w:abstractNumId="4">
    <w:nsid w:val="CC218B02"/>
    <w:multiLevelType w:val="singleLevel"/>
    <w:tmpl w:val="CC218B02"/>
    <w:lvl w:ilvl="0" w:tentative="0">
      <w:start w:val="2"/>
      <w:numFmt w:val="chineseCounting"/>
      <w:suff w:val="nothing"/>
      <w:lvlText w:val="%1、"/>
      <w:lvlJc w:val="left"/>
      <w:pPr>
        <w:ind w:left="600" w:leftChars="0" w:firstLine="0" w:firstLineChars="0"/>
      </w:pPr>
      <w:rPr>
        <w:rFonts w:hint="eastAsia"/>
      </w:rPr>
    </w:lvl>
  </w:abstractNum>
  <w:abstractNum w:abstractNumId="5">
    <w:nsid w:val="CEBF629A"/>
    <w:multiLevelType w:val="singleLevel"/>
    <w:tmpl w:val="CEBF629A"/>
    <w:lvl w:ilvl="0" w:tentative="0">
      <w:start w:val="1"/>
      <w:numFmt w:val="chineseCounting"/>
      <w:suff w:val="space"/>
      <w:lvlText w:val="第%1章"/>
      <w:lvlJc w:val="left"/>
      <w:rPr>
        <w:rFonts w:hint="eastAsia"/>
      </w:rPr>
    </w:lvl>
  </w:abstractNum>
  <w:abstractNum w:abstractNumId="6">
    <w:nsid w:val="FFFFFF7E"/>
    <w:multiLevelType w:val="singleLevel"/>
    <w:tmpl w:val="FFFFFF7E"/>
    <w:lvl w:ilvl="0" w:tentative="0">
      <w:start w:val="1"/>
      <w:numFmt w:val="decimal"/>
      <w:pStyle w:val="346"/>
      <w:lvlText w:val="%1."/>
      <w:lvlJc w:val="left"/>
      <w:pPr>
        <w:tabs>
          <w:tab w:val="left" w:pos="1200"/>
        </w:tabs>
        <w:ind w:left="1200" w:hanging="360"/>
      </w:pPr>
      <w:rPr>
        <w:rFonts w:cs="Times New Roman"/>
      </w:rPr>
    </w:lvl>
  </w:abstractNum>
  <w:abstractNum w:abstractNumId="7">
    <w:nsid w:val="00000010"/>
    <w:multiLevelType w:val="multilevel"/>
    <w:tmpl w:val="00000010"/>
    <w:lvl w:ilvl="0" w:tentative="0">
      <w:start w:val="1"/>
      <w:numFmt w:val="none"/>
      <w:suff w:val="nothing"/>
      <w:lvlText w:val="%1"/>
      <w:lvlJc w:val="left"/>
      <w:pPr>
        <w:ind w:left="0" w:firstLine="0"/>
      </w:pPr>
      <w:rPr>
        <w:rFonts w:hint="default" w:ascii="Times New Roman" w:hAnsi="Times New Roman"/>
        <w:b/>
        <w:i w:val="0"/>
        <w:sz w:val="21"/>
      </w:rPr>
    </w:lvl>
    <w:lvl w:ilvl="1" w:tentative="0">
      <w:start w:val="1"/>
      <w:numFmt w:val="decimal"/>
      <w:suff w:val="nothing"/>
      <w:lvlText w:val="%1%2　"/>
      <w:lvlJc w:val="left"/>
      <w:pPr>
        <w:ind w:left="0" w:firstLine="0"/>
      </w:pPr>
      <w:rPr>
        <w:rFonts w:hint="eastAsia" w:ascii="黑体" w:hAnsi="Times New Roman" w:eastAsia="黑体"/>
        <w:b w:val="0"/>
        <w:i w:val="0"/>
        <w:sz w:val="21"/>
      </w:rPr>
    </w:lvl>
    <w:lvl w:ilvl="2" w:tentative="0">
      <w:start w:val="1"/>
      <w:numFmt w:val="decimal"/>
      <w:suff w:val="nothing"/>
      <w:lvlText w:val="%1%2.%3　"/>
      <w:lvlJc w:val="left"/>
      <w:pPr>
        <w:ind w:left="42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8">
    <w:nsid w:val="06EF41BA"/>
    <w:multiLevelType w:val="multilevel"/>
    <w:tmpl w:val="06EF41BA"/>
    <w:lvl w:ilvl="0" w:tentative="0">
      <w:start w:val="104"/>
      <w:numFmt w:val="decimal"/>
      <w:lvlText w:val="%1"/>
      <w:lvlJc w:val="left"/>
      <w:pPr>
        <w:tabs>
          <w:tab w:val="left" w:pos="1050"/>
        </w:tabs>
        <w:ind w:left="1050" w:hanging="1050"/>
      </w:pPr>
      <w:rPr>
        <w:rFonts w:hint="default" w:ascii="Times New Roman"/>
      </w:rPr>
    </w:lvl>
    <w:lvl w:ilvl="1" w:tentative="0">
      <w:start w:val="1"/>
      <w:numFmt w:val="decimalZero"/>
      <w:lvlText w:val="%1.%2"/>
      <w:lvlJc w:val="left"/>
      <w:pPr>
        <w:tabs>
          <w:tab w:val="left" w:pos="1050"/>
        </w:tabs>
        <w:ind w:left="1050" w:hanging="1050"/>
      </w:pPr>
      <w:rPr>
        <w:rFonts w:hint="default" w:ascii="Times New Roman"/>
      </w:rPr>
    </w:lvl>
    <w:lvl w:ilvl="2" w:tentative="0">
      <w:start w:val="1"/>
      <w:numFmt w:val="decimal"/>
      <w:lvlText w:val="%1.%2.%3"/>
      <w:lvlJc w:val="left"/>
      <w:pPr>
        <w:tabs>
          <w:tab w:val="left" w:pos="1050"/>
        </w:tabs>
        <w:ind w:left="1050" w:hanging="1050"/>
      </w:pPr>
      <w:rPr>
        <w:rFonts w:hint="default" w:ascii="Times New Roman"/>
      </w:rPr>
    </w:lvl>
    <w:lvl w:ilvl="3" w:tentative="0">
      <w:start w:val="1"/>
      <w:numFmt w:val="decimal"/>
      <w:lvlText w:val="%1.%2.%3.%4"/>
      <w:lvlJc w:val="left"/>
      <w:pPr>
        <w:tabs>
          <w:tab w:val="left" w:pos="1050"/>
        </w:tabs>
        <w:ind w:left="1050" w:hanging="1050"/>
      </w:pPr>
      <w:rPr>
        <w:rFonts w:hint="default" w:ascii="Times New Roman"/>
      </w:rPr>
    </w:lvl>
    <w:lvl w:ilvl="4" w:tentative="0">
      <w:start w:val="1"/>
      <w:numFmt w:val="decimal"/>
      <w:lvlText w:val="%1.%2.%3.%4.%5"/>
      <w:lvlJc w:val="left"/>
      <w:pPr>
        <w:tabs>
          <w:tab w:val="left" w:pos="1080"/>
        </w:tabs>
        <w:ind w:left="1080" w:hanging="1080"/>
      </w:pPr>
      <w:rPr>
        <w:rFonts w:hint="default" w:ascii="Times New Roman"/>
      </w:rPr>
    </w:lvl>
    <w:lvl w:ilvl="5" w:tentative="0">
      <w:start w:val="1"/>
      <w:numFmt w:val="decimal"/>
      <w:lvlText w:val="%1.%2.%3.%4.%5.%6"/>
      <w:lvlJc w:val="left"/>
      <w:pPr>
        <w:tabs>
          <w:tab w:val="left" w:pos="1080"/>
        </w:tabs>
        <w:ind w:left="1080" w:hanging="1080"/>
      </w:pPr>
      <w:rPr>
        <w:rFonts w:hint="default" w:ascii="Times New Roman"/>
      </w:rPr>
    </w:lvl>
    <w:lvl w:ilvl="6" w:tentative="0">
      <w:start w:val="1"/>
      <w:numFmt w:val="decimal"/>
      <w:lvlText w:val="%1.%2.%3.%4.%5.%6.%7"/>
      <w:lvlJc w:val="left"/>
      <w:pPr>
        <w:tabs>
          <w:tab w:val="left" w:pos="1080"/>
        </w:tabs>
        <w:ind w:left="1080" w:hanging="1080"/>
      </w:pPr>
      <w:rPr>
        <w:rFonts w:hint="default" w:ascii="Times New Roman"/>
      </w:rPr>
    </w:lvl>
    <w:lvl w:ilvl="7" w:tentative="0">
      <w:start w:val="1"/>
      <w:numFmt w:val="decimal"/>
      <w:lvlText w:val="%1.%2.%3.%4.%5.%6.%7.%8"/>
      <w:lvlJc w:val="left"/>
      <w:pPr>
        <w:tabs>
          <w:tab w:val="left" w:pos="1440"/>
        </w:tabs>
        <w:ind w:left="1440" w:hanging="1440"/>
      </w:pPr>
      <w:rPr>
        <w:rFonts w:hint="default" w:ascii="Times New Roman"/>
      </w:rPr>
    </w:lvl>
    <w:lvl w:ilvl="8" w:tentative="0">
      <w:start w:val="1"/>
      <w:numFmt w:val="decimal"/>
      <w:lvlText w:val="%1.%2.%3.%4.%5.%6.%7.%8.%9"/>
      <w:lvlJc w:val="left"/>
      <w:pPr>
        <w:tabs>
          <w:tab w:val="left" w:pos="1440"/>
        </w:tabs>
        <w:ind w:left="1440" w:hanging="1440"/>
      </w:pPr>
      <w:rPr>
        <w:rFonts w:hint="default" w:ascii="Times New Roman"/>
      </w:rPr>
    </w:lvl>
  </w:abstractNum>
  <w:abstractNum w:abstractNumId="9">
    <w:nsid w:val="11744E57"/>
    <w:multiLevelType w:val="multilevel"/>
    <w:tmpl w:val="11744E57"/>
    <w:lvl w:ilvl="0" w:tentative="0">
      <w:start w:val="1"/>
      <w:numFmt w:val="decimal"/>
      <w:pStyle w:val="2"/>
      <w:lvlText w:val="%1"/>
      <w:lvlJc w:val="left"/>
      <w:pPr>
        <w:tabs>
          <w:tab w:val="left" w:pos="432"/>
        </w:tabs>
        <w:ind w:left="432" w:hanging="432"/>
      </w:pPr>
      <w:rPr>
        <w:rFonts w:cs="Times New Roman"/>
      </w:rPr>
    </w:lvl>
    <w:lvl w:ilvl="1" w:tentative="0">
      <w:start w:val="1"/>
      <w:numFmt w:val="decimal"/>
      <w:lvlText w:val="%1.%2"/>
      <w:lvlJc w:val="left"/>
      <w:pPr>
        <w:tabs>
          <w:tab w:val="left" w:pos="576"/>
        </w:tabs>
        <w:ind w:left="576" w:hanging="576"/>
      </w:pPr>
      <w:rPr>
        <w:rFonts w:cs="Times New Roman"/>
      </w:rPr>
    </w:lvl>
    <w:lvl w:ilvl="2" w:tentative="0">
      <w:start w:val="1"/>
      <w:numFmt w:val="decimal"/>
      <w:lvlText w:val="%1.%2.%3"/>
      <w:lvlJc w:val="left"/>
      <w:pPr>
        <w:tabs>
          <w:tab w:val="left" w:pos="900"/>
        </w:tabs>
        <w:ind w:left="900" w:hanging="720"/>
      </w:pPr>
      <w:rPr>
        <w:rFonts w:cs="Times New Roman"/>
      </w:rPr>
    </w:lvl>
    <w:lvl w:ilvl="3" w:tentative="0">
      <w:start w:val="1"/>
      <w:numFmt w:val="decimal"/>
      <w:lvlText w:val="%1.%2.%3.%4"/>
      <w:lvlJc w:val="left"/>
      <w:pPr>
        <w:tabs>
          <w:tab w:val="left" w:pos="864"/>
        </w:tabs>
        <w:ind w:left="864" w:hanging="864"/>
      </w:pPr>
      <w:rPr>
        <w:rFonts w:cs="Times New Roman"/>
      </w:rPr>
    </w:lvl>
    <w:lvl w:ilvl="4" w:tentative="0">
      <w:start w:val="1"/>
      <w:numFmt w:val="decimal"/>
      <w:lvlText w:val="%1.%2.%3.%4.%5"/>
      <w:lvlJc w:val="left"/>
      <w:pPr>
        <w:tabs>
          <w:tab w:val="left" w:pos="1008"/>
        </w:tabs>
        <w:ind w:left="1008" w:hanging="1008"/>
      </w:pPr>
      <w:rPr>
        <w:rFonts w:cs="Times New Roman"/>
      </w:rPr>
    </w:lvl>
    <w:lvl w:ilvl="5" w:tentative="0">
      <w:start w:val="1"/>
      <w:numFmt w:val="decimal"/>
      <w:lvlText w:val="%1.%2.%3.%4.%5.%6"/>
      <w:lvlJc w:val="left"/>
      <w:pPr>
        <w:tabs>
          <w:tab w:val="left" w:pos="1152"/>
        </w:tabs>
        <w:ind w:left="1152" w:hanging="1152"/>
      </w:pPr>
      <w:rPr>
        <w:rFonts w:cs="Times New Roman"/>
      </w:rPr>
    </w:lvl>
    <w:lvl w:ilvl="6" w:tentative="0">
      <w:start w:val="1"/>
      <w:numFmt w:val="decimal"/>
      <w:lvlText w:val="%1.%2.%3.%4.%5.%6.%7"/>
      <w:lvlJc w:val="left"/>
      <w:pPr>
        <w:tabs>
          <w:tab w:val="left" w:pos="1296"/>
        </w:tabs>
        <w:ind w:left="1296" w:hanging="1296"/>
      </w:pPr>
      <w:rPr>
        <w:rFonts w:cs="Times New Roman"/>
      </w:rPr>
    </w:lvl>
    <w:lvl w:ilvl="7" w:tentative="0">
      <w:start w:val="1"/>
      <w:numFmt w:val="decimal"/>
      <w:lvlText w:val="%1.%2.%3.%4.%5.%6.%7.%8"/>
      <w:lvlJc w:val="left"/>
      <w:pPr>
        <w:tabs>
          <w:tab w:val="left" w:pos="1440"/>
        </w:tabs>
        <w:ind w:left="1440" w:hanging="1440"/>
      </w:pPr>
      <w:rPr>
        <w:rFonts w:cs="Times New Roman"/>
      </w:rPr>
    </w:lvl>
    <w:lvl w:ilvl="8" w:tentative="0">
      <w:start w:val="1"/>
      <w:numFmt w:val="decimal"/>
      <w:lvlText w:val="%1.%2.%3.%4.%5.%6.%7.%8.%9"/>
      <w:lvlJc w:val="left"/>
      <w:pPr>
        <w:tabs>
          <w:tab w:val="left" w:pos="1584"/>
        </w:tabs>
        <w:ind w:left="1584" w:hanging="1584"/>
      </w:pPr>
      <w:rPr>
        <w:rFonts w:cs="Times New Roman"/>
      </w:rPr>
    </w:lvl>
  </w:abstractNum>
  <w:abstractNum w:abstractNumId="10">
    <w:nsid w:val="28B7700A"/>
    <w:multiLevelType w:val="singleLevel"/>
    <w:tmpl w:val="28B7700A"/>
    <w:lvl w:ilvl="0" w:tentative="0">
      <w:start w:val="6"/>
      <w:numFmt w:val="chineseCounting"/>
      <w:suff w:val="nothing"/>
      <w:lvlText w:val="%1、"/>
      <w:lvlJc w:val="left"/>
      <w:rPr>
        <w:rFonts w:hint="eastAsia"/>
      </w:rPr>
    </w:lvl>
  </w:abstractNum>
  <w:abstractNum w:abstractNumId="11">
    <w:nsid w:val="38F300EC"/>
    <w:multiLevelType w:val="multilevel"/>
    <w:tmpl w:val="38F300EC"/>
    <w:lvl w:ilvl="0" w:tentative="0">
      <w:start w:val="1"/>
      <w:numFmt w:val="decimal"/>
      <w:pStyle w:val="139"/>
      <w:lvlText w:val="%1."/>
      <w:lvlJc w:val="left"/>
      <w:pPr>
        <w:tabs>
          <w:tab w:val="left" w:pos="851"/>
        </w:tabs>
        <w:ind w:left="851" w:hanging="851"/>
      </w:pPr>
      <w:rPr>
        <w:rFonts w:hint="default" w:ascii="Arial" w:hAnsi="Arial" w:eastAsia="宋体" w:cs="Times New Roman"/>
        <w:b/>
        <w:i w:val="0"/>
        <w:sz w:val="21"/>
        <w:szCs w:val="21"/>
      </w:rPr>
    </w:lvl>
    <w:lvl w:ilvl="1" w:tentative="0">
      <w:start w:val="1"/>
      <w:numFmt w:val="decimal"/>
      <w:lvlText w:val="%1.%2"/>
      <w:lvlJc w:val="left"/>
      <w:pPr>
        <w:tabs>
          <w:tab w:val="left" w:pos="851"/>
        </w:tabs>
        <w:ind w:left="851" w:hanging="851"/>
      </w:pPr>
      <w:rPr>
        <w:rFonts w:hint="default" w:ascii="Arial" w:hAnsi="Arial" w:eastAsia="宋体" w:cs="Times New Roman"/>
        <w:b w:val="0"/>
        <w:i w:val="0"/>
        <w:sz w:val="21"/>
        <w:szCs w:val="21"/>
      </w:rPr>
    </w:lvl>
    <w:lvl w:ilvl="2" w:tentative="0">
      <w:start w:val="1"/>
      <w:numFmt w:val="decimal"/>
      <w:lvlText w:val="%1.%2.%3"/>
      <w:lvlJc w:val="left"/>
      <w:pPr>
        <w:tabs>
          <w:tab w:val="left" w:pos="720"/>
        </w:tabs>
        <w:ind w:left="420" w:hanging="420"/>
      </w:pPr>
    </w:lvl>
    <w:lvl w:ilvl="3" w:tentative="0">
      <w:start w:val="1"/>
      <w:numFmt w:val="decimal"/>
      <w:lvlText w:val="%1.%2.%3.%4"/>
      <w:lvlJc w:val="left"/>
      <w:pPr>
        <w:tabs>
          <w:tab w:val="left" w:pos="420"/>
        </w:tabs>
        <w:ind w:left="420" w:hanging="420"/>
      </w:pPr>
    </w:lvl>
    <w:lvl w:ilvl="4" w:tentative="0">
      <w:start w:val="1"/>
      <w:numFmt w:val="decimal"/>
      <w:lvlText w:val="%1.%2.%3.%4.%5"/>
      <w:lvlJc w:val="left"/>
      <w:pPr>
        <w:tabs>
          <w:tab w:val="left" w:pos="420"/>
        </w:tabs>
        <w:ind w:left="420" w:hanging="420"/>
      </w:pPr>
    </w:lvl>
    <w:lvl w:ilvl="5" w:tentative="0">
      <w:start w:val="1"/>
      <w:numFmt w:val="decimal"/>
      <w:lvlText w:val="%1.%2.%3.%4.%5.%6"/>
      <w:lvlJc w:val="left"/>
      <w:pPr>
        <w:tabs>
          <w:tab w:val="left" w:pos="420"/>
        </w:tabs>
        <w:ind w:left="420" w:hanging="420"/>
      </w:pPr>
    </w:lvl>
    <w:lvl w:ilvl="6" w:tentative="0">
      <w:start w:val="1"/>
      <w:numFmt w:val="decimal"/>
      <w:lvlText w:val="%1.%2.%3.%4.%5.%6.%7"/>
      <w:lvlJc w:val="left"/>
      <w:pPr>
        <w:tabs>
          <w:tab w:val="left" w:pos="420"/>
        </w:tabs>
        <w:ind w:left="420" w:hanging="420"/>
      </w:pPr>
    </w:lvl>
    <w:lvl w:ilvl="7" w:tentative="0">
      <w:start w:val="1"/>
      <w:numFmt w:val="decimal"/>
      <w:lvlText w:val="%1.%2.%3.%4.%5.%6.%7.%8"/>
      <w:lvlJc w:val="left"/>
      <w:pPr>
        <w:tabs>
          <w:tab w:val="left" w:pos="420"/>
        </w:tabs>
        <w:ind w:left="420" w:hanging="420"/>
      </w:pPr>
    </w:lvl>
    <w:lvl w:ilvl="8" w:tentative="0">
      <w:start w:val="1"/>
      <w:numFmt w:val="decimal"/>
      <w:lvlText w:val="%1.%2.%3.%4.%5.%6.%7.%8.%9"/>
      <w:lvlJc w:val="left"/>
      <w:pPr>
        <w:tabs>
          <w:tab w:val="left" w:pos="420"/>
        </w:tabs>
        <w:ind w:left="420" w:hanging="420"/>
      </w:pPr>
    </w:lvl>
  </w:abstractNum>
  <w:abstractNum w:abstractNumId="12">
    <w:nsid w:val="51FA1A31"/>
    <w:multiLevelType w:val="multilevel"/>
    <w:tmpl w:val="51FA1A31"/>
    <w:lvl w:ilvl="0" w:tentative="0">
      <w:start w:val="1"/>
      <w:numFmt w:val="japaneseCounting"/>
      <w:pStyle w:val="44"/>
      <w:lvlText w:val="%1、"/>
      <w:lvlJc w:val="left"/>
      <w:pPr>
        <w:tabs>
          <w:tab w:val="left" w:pos="720"/>
        </w:tabs>
        <w:ind w:left="720" w:hanging="720"/>
      </w:pPr>
      <w:rPr>
        <w:rFonts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13">
    <w:nsid w:val="545B27EC"/>
    <w:multiLevelType w:val="singleLevel"/>
    <w:tmpl w:val="545B27EC"/>
    <w:lvl w:ilvl="0" w:tentative="0">
      <w:start w:val="2"/>
      <w:numFmt w:val="decimal"/>
      <w:suff w:val="nothing"/>
      <w:lvlText w:val="%1、"/>
      <w:lvlJc w:val="left"/>
    </w:lvl>
  </w:abstractNum>
  <w:abstractNum w:abstractNumId="14">
    <w:nsid w:val="54F403B5"/>
    <w:multiLevelType w:val="singleLevel"/>
    <w:tmpl w:val="54F403B5"/>
    <w:lvl w:ilvl="0" w:tentative="0">
      <w:start w:val="1"/>
      <w:numFmt w:val="chineseCounting"/>
      <w:suff w:val="nothing"/>
      <w:lvlText w:val="%1、"/>
      <w:lvlJc w:val="left"/>
      <w:pPr>
        <w:ind w:left="0" w:firstLine="0"/>
      </w:pPr>
    </w:lvl>
  </w:abstractNum>
  <w:abstractNum w:abstractNumId="15">
    <w:nsid w:val="557FD3DA"/>
    <w:multiLevelType w:val="singleLevel"/>
    <w:tmpl w:val="557FD3DA"/>
    <w:lvl w:ilvl="0" w:tentative="0">
      <w:start w:val="3"/>
      <w:numFmt w:val="chineseCounting"/>
      <w:suff w:val="nothing"/>
      <w:lvlText w:val="%1、"/>
      <w:lvlJc w:val="left"/>
      <w:pPr>
        <w:ind w:left="0" w:firstLine="0"/>
      </w:pPr>
    </w:lvl>
  </w:abstractNum>
  <w:abstractNum w:abstractNumId="16">
    <w:nsid w:val="5642D109"/>
    <w:multiLevelType w:val="singleLevel"/>
    <w:tmpl w:val="5642D109"/>
    <w:lvl w:ilvl="0" w:tentative="0">
      <w:start w:val="1"/>
      <w:numFmt w:val="decimal"/>
      <w:suff w:val="nothing"/>
      <w:lvlText w:val="%1．"/>
      <w:lvlJc w:val="left"/>
    </w:lvl>
  </w:abstractNum>
  <w:abstractNum w:abstractNumId="17">
    <w:nsid w:val="56D4FFC4"/>
    <w:multiLevelType w:val="singleLevel"/>
    <w:tmpl w:val="56D4FFC4"/>
    <w:lvl w:ilvl="0" w:tentative="0">
      <w:start w:val="6"/>
      <w:numFmt w:val="decimal"/>
      <w:suff w:val="nothing"/>
      <w:lvlText w:val="（%1）"/>
      <w:lvlJc w:val="left"/>
    </w:lvl>
  </w:abstractNum>
  <w:abstractNum w:abstractNumId="18">
    <w:nsid w:val="68F5CFE7"/>
    <w:multiLevelType w:val="singleLevel"/>
    <w:tmpl w:val="68F5CFE7"/>
    <w:lvl w:ilvl="0" w:tentative="0">
      <w:start w:val="1"/>
      <w:numFmt w:val="lowerLetter"/>
      <w:suff w:val="nothing"/>
      <w:lvlText w:val="%1、"/>
      <w:lvlJc w:val="left"/>
    </w:lvl>
  </w:abstractNum>
  <w:abstractNum w:abstractNumId="19">
    <w:nsid w:val="6CEA2025"/>
    <w:multiLevelType w:val="multilevel"/>
    <w:tmpl w:val="6CEA2025"/>
    <w:lvl w:ilvl="0" w:tentative="0">
      <w:start w:val="1"/>
      <w:numFmt w:val="none"/>
      <w:pStyle w:val="452"/>
      <w:suff w:val="nothing"/>
      <w:lvlText w:val="%1"/>
      <w:lvlJc w:val="left"/>
      <w:pPr>
        <w:ind w:left="0" w:firstLine="0"/>
      </w:pPr>
      <w:rPr>
        <w:rFonts w:hint="default" w:ascii="Times New Roman" w:hAnsi="Times New Roman"/>
        <w:b/>
        <w:i w:val="0"/>
        <w:sz w:val="21"/>
      </w:rPr>
    </w:lvl>
    <w:lvl w:ilvl="1" w:tentative="0">
      <w:start w:val="1"/>
      <w:numFmt w:val="decimal"/>
      <w:suff w:val="nothing"/>
      <w:lvlText w:val="%1%2　"/>
      <w:lvlJc w:val="left"/>
      <w:pPr>
        <w:ind w:left="0" w:firstLine="0"/>
      </w:pPr>
      <w:rPr>
        <w:rFonts w:hint="eastAsia" w:ascii="黑体" w:hAnsi="Times New Roman" w:eastAsia="黑体"/>
        <w:b w:val="0"/>
        <w:i w:val="0"/>
        <w:sz w:val="21"/>
      </w:rPr>
    </w:lvl>
    <w:lvl w:ilvl="2" w:tentative="0">
      <w:start w:val="1"/>
      <w:numFmt w:val="decimal"/>
      <w:suff w:val="nothing"/>
      <w:lvlText w:val="%1%2.%3　"/>
      <w:lvlJc w:val="left"/>
      <w:pPr>
        <w:ind w:left="42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0"/>
    </w:lvlOverride>
  </w:num>
  <w:num w:numId="5">
    <w:abstractNumId w:val="6"/>
    <w:lvlOverride w:ilvl="0">
      <w:startOverride w:val="1"/>
    </w:lvlOverride>
  </w:num>
  <w:num w:numId="6">
    <w:abstractNumId w:val="19"/>
  </w:num>
  <w:num w:numId="7">
    <w:abstractNumId w:val="5"/>
  </w:num>
  <w:num w:numId="8">
    <w:abstractNumId w:val="4"/>
  </w:num>
  <w:num w:numId="9">
    <w:abstractNumId w:val="18"/>
  </w:num>
  <w:num w:numId="10">
    <w:abstractNumId w:val="10"/>
  </w:num>
  <w:num w:numId="11">
    <w:abstractNumId w:val="7"/>
  </w:num>
  <w:num w:numId="12">
    <w:abstractNumId w:val="8"/>
  </w:num>
  <w:num w:numId="13">
    <w:abstractNumId w:val="1"/>
  </w:num>
  <w:num w:numId="14">
    <w:abstractNumId w:val="13"/>
  </w:num>
  <w:num w:numId="15">
    <w:abstractNumId w:val="16"/>
  </w:num>
  <w:num w:numId="16">
    <w:abstractNumId w:val="0"/>
  </w:num>
  <w:num w:numId="17">
    <w:abstractNumId w:val="3"/>
  </w:num>
  <w:num w:numId="18">
    <w:abstractNumId w:val="17"/>
  </w:num>
  <w:num w:numId="19">
    <w:abstractNumId w:val="14"/>
    <w:lvlOverride w:ilvl="0">
      <w:startOverride w:val="1"/>
    </w:lvlOverride>
  </w:num>
  <w:num w:numId="20">
    <w:abstractNumId w:val="15"/>
    <w:lvlOverride w:ilvl="0">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dhOGMzNTk0YTIxNGZkZmNiY2EyMTEwNmY0NTg2OTkifQ=="/>
  </w:docVars>
  <w:rsids>
    <w:rsidRoot w:val="00C249F4"/>
    <w:rsid w:val="00016D5C"/>
    <w:rsid w:val="000202E6"/>
    <w:rsid w:val="0002549A"/>
    <w:rsid w:val="000319BA"/>
    <w:rsid w:val="00034F49"/>
    <w:rsid w:val="00042DCD"/>
    <w:rsid w:val="0006443F"/>
    <w:rsid w:val="00064D06"/>
    <w:rsid w:val="00066557"/>
    <w:rsid w:val="000B4216"/>
    <w:rsid w:val="000C18D8"/>
    <w:rsid w:val="00142F9C"/>
    <w:rsid w:val="001A7973"/>
    <w:rsid w:val="001B65D9"/>
    <w:rsid w:val="001C5FBA"/>
    <w:rsid w:val="00211017"/>
    <w:rsid w:val="002240A7"/>
    <w:rsid w:val="00235839"/>
    <w:rsid w:val="00242804"/>
    <w:rsid w:val="00261302"/>
    <w:rsid w:val="00274FA4"/>
    <w:rsid w:val="002A77A7"/>
    <w:rsid w:val="002B4055"/>
    <w:rsid w:val="002C240C"/>
    <w:rsid w:val="00304393"/>
    <w:rsid w:val="00324554"/>
    <w:rsid w:val="0035288B"/>
    <w:rsid w:val="00374917"/>
    <w:rsid w:val="0037561C"/>
    <w:rsid w:val="003D3445"/>
    <w:rsid w:val="004000F9"/>
    <w:rsid w:val="00405273"/>
    <w:rsid w:val="00426519"/>
    <w:rsid w:val="004314C5"/>
    <w:rsid w:val="00443B73"/>
    <w:rsid w:val="004711F4"/>
    <w:rsid w:val="004D29A9"/>
    <w:rsid w:val="00552C14"/>
    <w:rsid w:val="00585110"/>
    <w:rsid w:val="005B762B"/>
    <w:rsid w:val="005E2BE8"/>
    <w:rsid w:val="005F7EAF"/>
    <w:rsid w:val="0062626A"/>
    <w:rsid w:val="00630D1B"/>
    <w:rsid w:val="006472FE"/>
    <w:rsid w:val="00655D4A"/>
    <w:rsid w:val="006A16C3"/>
    <w:rsid w:val="006C1D34"/>
    <w:rsid w:val="00726059"/>
    <w:rsid w:val="0075462B"/>
    <w:rsid w:val="0077401E"/>
    <w:rsid w:val="00774D70"/>
    <w:rsid w:val="007D160F"/>
    <w:rsid w:val="007D3199"/>
    <w:rsid w:val="007E26D4"/>
    <w:rsid w:val="0081537C"/>
    <w:rsid w:val="008B6565"/>
    <w:rsid w:val="00906295"/>
    <w:rsid w:val="00927AA0"/>
    <w:rsid w:val="009415E9"/>
    <w:rsid w:val="00943C5E"/>
    <w:rsid w:val="00982B12"/>
    <w:rsid w:val="009D46EA"/>
    <w:rsid w:val="00A2438C"/>
    <w:rsid w:val="00A5246C"/>
    <w:rsid w:val="00A67931"/>
    <w:rsid w:val="00A80C9C"/>
    <w:rsid w:val="00AB38DA"/>
    <w:rsid w:val="00B20359"/>
    <w:rsid w:val="00B4729E"/>
    <w:rsid w:val="00B6211E"/>
    <w:rsid w:val="00BF2891"/>
    <w:rsid w:val="00BF5DCC"/>
    <w:rsid w:val="00C01D3D"/>
    <w:rsid w:val="00C23AB1"/>
    <w:rsid w:val="00C249F4"/>
    <w:rsid w:val="00C47202"/>
    <w:rsid w:val="00D14759"/>
    <w:rsid w:val="00D946C8"/>
    <w:rsid w:val="00D94861"/>
    <w:rsid w:val="00DA2158"/>
    <w:rsid w:val="00DE45C3"/>
    <w:rsid w:val="00DF0CCF"/>
    <w:rsid w:val="00DF274E"/>
    <w:rsid w:val="00E57062"/>
    <w:rsid w:val="00F12AF2"/>
    <w:rsid w:val="00F42FB5"/>
    <w:rsid w:val="00F733B4"/>
    <w:rsid w:val="00FC2A4F"/>
    <w:rsid w:val="00FE518F"/>
    <w:rsid w:val="010333FC"/>
    <w:rsid w:val="01565C22"/>
    <w:rsid w:val="02A30CD8"/>
    <w:rsid w:val="02C74E44"/>
    <w:rsid w:val="030656DB"/>
    <w:rsid w:val="033C0E47"/>
    <w:rsid w:val="03602DE5"/>
    <w:rsid w:val="0385138E"/>
    <w:rsid w:val="03A26EFC"/>
    <w:rsid w:val="03AD598C"/>
    <w:rsid w:val="03AE3AF3"/>
    <w:rsid w:val="03B96F5E"/>
    <w:rsid w:val="03C2134C"/>
    <w:rsid w:val="03DB240E"/>
    <w:rsid w:val="03F62DA4"/>
    <w:rsid w:val="043F299D"/>
    <w:rsid w:val="04553127"/>
    <w:rsid w:val="04A66CF6"/>
    <w:rsid w:val="04C9670A"/>
    <w:rsid w:val="05163C10"/>
    <w:rsid w:val="05222520"/>
    <w:rsid w:val="0548627C"/>
    <w:rsid w:val="06067BF7"/>
    <w:rsid w:val="06085010"/>
    <w:rsid w:val="0657549E"/>
    <w:rsid w:val="06CB0518"/>
    <w:rsid w:val="07020F7E"/>
    <w:rsid w:val="07283BBC"/>
    <w:rsid w:val="077C7A64"/>
    <w:rsid w:val="07B0229E"/>
    <w:rsid w:val="07C5140B"/>
    <w:rsid w:val="07CA07CF"/>
    <w:rsid w:val="07DB29DD"/>
    <w:rsid w:val="07DE5067"/>
    <w:rsid w:val="08B651F8"/>
    <w:rsid w:val="08ED6E6B"/>
    <w:rsid w:val="09664528"/>
    <w:rsid w:val="09A514F4"/>
    <w:rsid w:val="09EB0ED1"/>
    <w:rsid w:val="0A4725AB"/>
    <w:rsid w:val="0A570314"/>
    <w:rsid w:val="0A6A3973"/>
    <w:rsid w:val="0ADB7197"/>
    <w:rsid w:val="0ADD2F10"/>
    <w:rsid w:val="0AF85654"/>
    <w:rsid w:val="0B000E1C"/>
    <w:rsid w:val="0B073AE9"/>
    <w:rsid w:val="0B0E27AE"/>
    <w:rsid w:val="0B584344"/>
    <w:rsid w:val="0BAA7C02"/>
    <w:rsid w:val="0BB377CC"/>
    <w:rsid w:val="0C372408"/>
    <w:rsid w:val="0C3E3362"/>
    <w:rsid w:val="0C6531BD"/>
    <w:rsid w:val="0C6B3EAE"/>
    <w:rsid w:val="0C6E1877"/>
    <w:rsid w:val="0C963376"/>
    <w:rsid w:val="0CA05CFD"/>
    <w:rsid w:val="0D377584"/>
    <w:rsid w:val="0D5D504F"/>
    <w:rsid w:val="0E0D58BA"/>
    <w:rsid w:val="0E0D673E"/>
    <w:rsid w:val="0E0D7180"/>
    <w:rsid w:val="0E576B35"/>
    <w:rsid w:val="0E721BC1"/>
    <w:rsid w:val="0E9413BB"/>
    <w:rsid w:val="0EC20452"/>
    <w:rsid w:val="0F0942D3"/>
    <w:rsid w:val="0F5442D7"/>
    <w:rsid w:val="0F64150A"/>
    <w:rsid w:val="0F672818"/>
    <w:rsid w:val="0FC149A6"/>
    <w:rsid w:val="0FC87CEA"/>
    <w:rsid w:val="108D4A90"/>
    <w:rsid w:val="10A0102D"/>
    <w:rsid w:val="110973F6"/>
    <w:rsid w:val="114A0BD3"/>
    <w:rsid w:val="11C30AF2"/>
    <w:rsid w:val="1218482D"/>
    <w:rsid w:val="121F796A"/>
    <w:rsid w:val="12334448"/>
    <w:rsid w:val="12A32349"/>
    <w:rsid w:val="12B32779"/>
    <w:rsid w:val="134A537A"/>
    <w:rsid w:val="13C5279F"/>
    <w:rsid w:val="143A62A9"/>
    <w:rsid w:val="1467586C"/>
    <w:rsid w:val="149208C7"/>
    <w:rsid w:val="15022694"/>
    <w:rsid w:val="153320AA"/>
    <w:rsid w:val="15B14D7D"/>
    <w:rsid w:val="15D32F45"/>
    <w:rsid w:val="16095600"/>
    <w:rsid w:val="16702E8A"/>
    <w:rsid w:val="168E50BE"/>
    <w:rsid w:val="16AE4F75"/>
    <w:rsid w:val="16B9038D"/>
    <w:rsid w:val="173219A1"/>
    <w:rsid w:val="174959F7"/>
    <w:rsid w:val="174D4F79"/>
    <w:rsid w:val="17710C68"/>
    <w:rsid w:val="1787048B"/>
    <w:rsid w:val="18567DAB"/>
    <w:rsid w:val="186711FD"/>
    <w:rsid w:val="187D53EA"/>
    <w:rsid w:val="18D07C10"/>
    <w:rsid w:val="18F5570A"/>
    <w:rsid w:val="18F97167"/>
    <w:rsid w:val="19CD414F"/>
    <w:rsid w:val="1A02204B"/>
    <w:rsid w:val="1A0A0EFF"/>
    <w:rsid w:val="1A4C53C4"/>
    <w:rsid w:val="1A856730"/>
    <w:rsid w:val="1AB175CD"/>
    <w:rsid w:val="1AB86BAD"/>
    <w:rsid w:val="1B010554"/>
    <w:rsid w:val="1B041DF3"/>
    <w:rsid w:val="1BB9498B"/>
    <w:rsid w:val="1BD2258B"/>
    <w:rsid w:val="1C1C4649"/>
    <w:rsid w:val="1C2F2970"/>
    <w:rsid w:val="1C7870A4"/>
    <w:rsid w:val="1CBB2C9A"/>
    <w:rsid w:val="1CED200A"/>
    <w:rsid w:val="1D3E3D2C"/>
    <w:rsid w:val="1E200CF1"/>
    <w:rsid w:val="1E546BED"/>
    <w:rsid w:val="1E984D2C"/>
    <w:rsid w:val="1F06438B"/>
    <w:rsid w:val="1F933745"/>
    <w:rsid w:val="20735A50"/>
    <w:rsid w:val="209634ED"/>
    <w:rsid w:val="20A53730"/>
    <w:rsid w:val="2106110B"/>
    <w:rsid w:val="22250FCC"/>
    <w:rsid w:val="22407D63"/>
    <w:rsid w:val="22881581"/>
    <w:rsid w:val="22971AE5"/>
    <w:rsid w:val="22BE5D5D"/>
    <w:rsid w:val="22FA4207"/>
    <w:rsid w:val="23256DAA"/>
    <w:rsid w:val="234731C4"/>
    <w:rsid w:val="23767606"/>
    <w:rsid w:val="23952182"/>
    <w:rsid w:val="24197EAC"/>
    <w:rsid w:val="24BF5778"/>
    <w:rsid w:val="2500362B"/>
    <w:rsid w:val="251E430F"/>
    <w:rsid w:val="254953FE"/>
    <w:rsid w:val="257F71D6"/>
    <w:rsid w:val="25B85CB3"/>
    <w:rsid w:val="25BB6185"/>
    <w:rsid w:val="26793695"/>
    <w:rsid w:val="275A6122"/>
    <w:rsid w:val="27716A62"/>
    <w:rsid w:val="27892668"/>
    <w:rsid w:val="27B16E5E"/>
    <w:rsid w:val="27E10412"/>
    <w:rsid w:val="27F03E2A"/>
    <w:rsid w:val="280451E0"/>
    <w:rsid w:val="28433F5A"/>
    <w:rsid w:val="28544C78"/>
    <w:rsid w:val="28FB2A87"/>
    <w:rsid w:val="290A7832"/>
    <w:rsid w:val="29471828"/>
    <w:rsid w:val="29591B52"/>
    <w:rsid w:val="295E5B46"/>
    <w:rsid w:val="29AF6180"/>
    <w:rsid w:val="29BC5386"/>
    <w:rsid w:val="29D725CF"/>
    <w:rsid w:val="2A5C6563"/>
    <w:rsid w:val="2A9860B3"/>
    <w:rsid w:val="2AF23A16"/>
    <w:rsid w:val="2B2556A5"/>
    <w:rsid w:val="2B4A2182"/>
    <w:rsid w:val="2B764647"/>
    <w:rsid w:val="2BA264B7"/>
    <w:rsid w:val="2BE617CC"/>
    <w:rsid w:val="2BEC2335"/>
    <w:rsid w:val="2C2A1D76"/>
    <w:rsid w:val="2C7F1990"/>
    <w:rsid w:val="2CD77367"/>
    <w:rsid w:val="2CF13C66"/>
    <w:rsid w:val="2CF42E43"/>
    <w:rsid w:val="2D314CC9"/>
    <w:rsid w:val="2D8868B3"/>
    <w:rsid w:val="2DC038B8"/>
    <w:rsid w:val="2E2959A0"/>
    <w:rsid w:val="2E474078"/>
    <w:rsid w:val="2E982B26"/>
    <w:rsid w:val="2F013C21"/>
    <w:rsid w:val="2F3A3BDD"/>
    <w:rsid w:val="2F4E10FF"/>
    <w:rsid w:val="2F814890"/>
    <w:rsid w:val="2F911A4F"/>
    <w:rsid w:val="2FF212C7"/>
    <w:rsid w:val="305D4027"/>
    <w:rsid w:val="30743D57"/>
    <w:rsid w:val="30850E88"/>
    <w:rsid w:val="308C0468"/>
    <w:rsid w:val="30A457B2"/>
    <w:rsid w:val="30C90297"/>
    <w:rsid w:val="30CB6241"/>
    <w:rsid w:val="30FD5F50"/>
    <w:rsid w:val="31232FCF"/>
    <w:rsid w:val="31595CCB"/>
    <w:rsid w:val="315A40C3"/>
    <w:rsid w:val="315B7D0B"/>
    <w:rsid w:val="31700826"/>
    <w:rsid w:val="31A8659F"/>
    <w:rsid w:val="321D0C4D"/>
    <w:rsid w:val="323E5792"/>
    <w:rsid w:val="327C00A5"/>
    <w:rsid w:val="328238D1"/>
    <w:rsid w:val="32841682"/>
    <w:rsid w:val="32B362F3"/>
    <w:rsid w:val="32D3237F"/>
    <w:rsid w:val="33684899"/>
    <w:rsid w:val="33E73E48"/>
    <w:rsid w:val="33F15289"/>
    <w:rsid w:val="33F51635"/>
    <w:rsid w:val="34192013"/>
    <w:rsid w:val="342F15DE"/>
    <w:rsid w:val="349B511E"/>
    <w:rsid w:val="34C03350"/>
    <w:rsid w:val="35213875"/>
    <w:rsid w:val="354A7F10"/>
    <w:rsid w:val="35B17554"/>
    <w:rsid w:val="35B85970"/>
    <w:rsid w:val="36D455B4"/>
    <w:rsid w:val="36F10625"/>
    <w:rsid w:val="36F80606"/>
    <w:rsid w:val="37677C06"/>
    <w:rsid w:val="38324446"/>
    <w:rsid w:val="38505678"/>
    <w:rsid w:val="385D535F"/>
    <w:rsid w:val="387C3033"/>
    <w:rsid w:val="38A50319"/>
    <w:rsid w:val="390A63CE"/>
    <w:rsid w:val="39617102"/>
    <w:rsid w:val="39E92488"/>
    <w:rsid w:val="3A176FF5"/>
    <w:rsid w:val="3A3556CD"/>
    <w:rsid w:val="3A4818A4"/>
    <w:rsid w:val="3A773F37"/>
    <w:rsid w:val="3AD66EB0"/>
    <w:rsid w:val="3B5B5607"/>
    <w:rsid w:val="3B696E6E"/>
    <w:rsid w:val="3BB16FD5"/>
    <w:rsid w:val="3C054857"/>
    <w:rsid w:val="3C5A766D"/>
    <w:rsid w:val="3C860462"/>
    <w:rsid w:val="3CFD7CAE"/>
    <w:rsid w:val="3D452414"/>
    <w:rsid w:val="3D5C77D9"/>
    <w:rsid w:val="3D632551"/>
    <w:rsid w:val="3D70539A"/>
    <w:rsid w:val="3D87623F"/>
    <w:rsid w:val="3DA90DC1"/>
    <w:rsid w:val="3DC24D62"/>
    <w:rsid w:val="3E725142"/>
    <w:rsid w:val="3EC63878"/>
    <w:rsid w:val="3ECF2BEB"/>
    <w:rsid w:val="3F1B7587"/>
    <w:rsid w:val="3F7E18C4"/>
    <w:rsid w:val="3F9966FE"/>
    <w:rsid w:val="3FAA26B9"/>
    <w:rsid w:val="3FE75060"/>
    <w:rsid w:val="40161AFD"/>
    <w:rsid w:val="40550877"/>
    <w:rsid w:val="40AE35FD"/>
    <w:rsid w:val="40B66EFF"/>
    <w:rsid w:val="41024BAA"/>
    <w:rsid w:val="41032081"/>
    <w:rsid w:val="413466DE"/>
    <w:rsid w:val="41760AA5"/>
    <w:rsid w:val="420E6F2F"/>
    <w:rsid w:val="42E67EAC"/>
    <w:rsid w:val="42FF2D1C"/>
    <w:rsid w:val="431E4E47"/>
    <w:rsid w:val="43617533"/>
    <w:rsid w:val="437D25BE"/>
    <w:rsid w:val="438B1BA4"/>
    <w:rsid w:val="43B221E6"/>
    <w:rsid w:val="43F87E97"/>
    <w:rsid w:val="44075CA0"/>
    <w:rsid w:val="447A00BE"/>
    <w:rsid w:val="455273CF"/>
    <w:rsid w:val="45C30031"/>
    <w:rsid w:val="45D86725"/>
    <w:rsid w:val="4645673C"/>
    <w:rsid w:val="46641814"/>
    <w:rsid w:val="46B009C9"/>
    <w:rsid w:val="46B61450"/>
    <w:rsid w:val="473A6E1A"/>
    <w:rsid w:val="47F60B91"/>
    <w:rsid w:val="48392028"/>
    <w:rsid w:val="486E697A"/>
    <w:rsid w:val="487A1D7E"/>
    <w:rsid w:val="489C4FF1"/>
    <w:rsid w:val="48B67135"/>
    <w:rsid w:val="496C3A00"/>
    <w:rsid w:val="49CB5AC0"/>
    <w:rsid w:val="49DF29C1"/>
    <w:rsid w:val="49F43B5D"/>
    <w:rsid w:val="4A0E3E13"/>
    <w:rsid w:val="4A15423D"/>
    <w:rsid w:val="4A7D33C4"/>
    <w:rsid w:val="4A980693"/>
    <w:rsid w:val="4AA03036"/>
    <w:rsid w:val="4ABB577A"/>
    <w:rsid w:val="4ACC7988"/>
    <w:rsid w:val="4AD11442"/>
    <w:rsid w:val="4AF8077D"/>
    <w:rsid w:val="4AFA62A3"/>
    <w:rsid w:val="4B022375"/>
    <w:rsid w:val="4B2875D2"/>
    <w:rsid w:val="4B3D54A7"/>
    <w:rsid w:val="4B6D116B"/>
    <w:rsid w:val="4B7122DD"/>
    <w:rsid w:val="4BFA0524"/>
    <w:rsid w:val="4C001A30"/>
    <w:rsid w:val="4C1A4723"/>
    <w:rsid w:val="4C286E40"/>
    <w:rsid w:val="4C353DAA"/>
    <w:rsid w:val="4CC72AFC"/>
    <w:rsid w:val="4CF17B79"/>
    <w:rsid w:val="4D2B4E39"/>
    <w:rsid w:val="4D970721"/>
    <w:rsid w:val="4DD72FD6"/>
    <w:rsid w:val="4E3046EF"/>
    <w:rsid w:val="4EEC3FD6"/>
    <w:rsid w:val="4EF851EF"/>
    <w:rsid w:val="4F8B50E7"/>
    <w:rsid w:val="4FDA6CE9"/>
    <w:rsid w:val="501716A5"/>
    <w:rsid w:val="502F2E92"/>
    <w:rsid w:val="50610B72"/>
    <w:rsid w:val="508A631B"/>
    <w:rsid w:val="50B3552A"/>
    <w:rsid w:val="50CC248F"/>
    <w:rsid w:val="50D61560"/>
    <w:rsid w:val="50FE1A33"/>
    <w:rsid w:val="513403C7"/>
    <w:rsid w:val="51C54B6D"/>
    <w:rsid w:val="51F6353C"/>
    <w:rsid w:val="522A6F3E"/>
    <w:rsid w:val="52465F8C"/>
    <w:rsid w:val="52BC29D7"/>
    <w:rsid w:val="5314501A"/>
    <w:rsid w:val="536110DA"/>
    <w:rsid w:val="536B3385"/>
    <w:rsid w:val="54401B4B"/>
    <w:rsid w:val="54B83248"/>
    <w:rsid w:val="54DF56DC"/>
    <w:rsid w:val="55690BF5"/>
    <w:rsid w:val="55BC667C"/>
    <w:rsid w:val="55D32512"/>
    <w:rsid w:val="562C577E"/>
    <w:rsid w:val="563C1E65"/>
    <w:rsid w:val="570404A9"/>
    <w:rsid w:val="573012C3"/>
    <w:rsid w:val="573A3ECB"/>
    <w:rsid w:val="576C0FFD"/>
    <w:rsid w:val="577E64AD"/>
    <w:rsid w:val="579655A5"/>
    <w:rsid w:val="57970A5C"/>
    <w:rsid w:val="579C3CEF"/>
    <w:rsid w:val="57A930DF"/>
    <w:rsid w:val="58075845"/>
    <w:rsid w:val="58A35B7D"/>
    <w:rsid w:val="58FE78A6"/>
    <w:rsid w:val="58FF3A82"/>
    <w:rsid w:val="592C34DC"/>
    <w:rsid w:val="598A113A"/>
    <w:rsid w:val="5A0130C8"/>
    <w:rsid w:val="5A32312C"/>
    <w:rsid w:val="5A6E5D07"/>
    <w:rsid w:val="5A8C2C8F"/>
    <w:rsid w:val="5AB32912"/>
    <w:rsid w:val="5B084A0C"/>
    <w:rsid w:val="5B267F8A"/>
    <w:rsid w:val="5B9155FA"/>
    <w:rsid w:val="5C6D5D6E"/>
    <w:rsid w:val="5C983B6D"/>
    <w:rsid w:val="5CD6220F"/>
    <w:rsid w:val="5CDA23D8"/>
    <w:rsid w:val="5CF05758"/>
    <w:rsid w:val="5DA72C70"/>
    <w:rsid w:val="5DA86B32"/>
    <w:rsid w:val="5DCF35BF"/>
    <w:rsid w:val="5E535B26"/>
    <w:rsid w:val="5E5835B4"/>
    <w:rsid w:val="5E954808"/>
    <w:rsid w:val="5EA60317"/>
    <w:rsid w:val="5EF17565"/>
    <w:rsid w:val="5EF552A7"/>
    <w:rsid w:val="5F580586"/>
    <w:rsid w:val="5FD0020A"/>
    <w:rsid w:val="600F4147"/>
    <w:rsid w:val="60432042"/>
    <w:rsid w:val="6094289E"/>
    <w:rsid w:val="60A76A75"/>
    <w:rsid w:val="60B8323D"/>
    <w:rsid w:val="60D13B6D"/>
    <w:rsid w:val="60DD75E5"/>
    <w:rsid w:val="60E139A5"/>
    <w:rsid w:val="60FE3A75"/>
    <w:rsid w:val="61330309"/>
    <w:rsid w:val="614E5143"/>
    <w:rsid w:val="616D381B"/>
    <w:rsid w:val="61C3343B"/>
    <w:rsid w:val="61F93300"/>
    <w:rsid w:val="62001B9A"/>
    <w:rsid w:val="622E7A71"/>
    <w:rsid w:val="62537138"/>
    <w:rsid w:val="62A3501A"/>
    <w:rsid w:val="62DF5BFE"/>
    <w:rsid w:val="632100A5"/>
    <w:rsid w:val="63687826"/>
    <w:rsid w:val="6377272F"/>
    <w:rsid w:val="637A6D24"/>
    <w:rsid w:val="638C5237"/>
    <w:rsid w:val="63D90FBE"/>
    <w:rsid w:val="63ED479F"/>
    <w:rsid w:val="63F024E1"/>
    <w:rsid w:val="64633872"/>
    <w:rsid w:val="647E318E"/>
    <w:rsid w:val="64A37553"/>
    <w:rsid w:val="64F1206D"/>
    <w:rsid w:val="653A1383"/>
    <w:rsid w:val="65766125"/>
    <w:rsid w:val="657A1641"/>
    <w:rsid w:val="65982F48"/>
    <w:rsid w:val="65C744B5"/>
    <w:rsid w:val="65CE4EFC"/>
    <w:rsid w:val="6600106B"/>
    <w:rsid w:val="665054B9"/>
    <w:rsid w:val="666D7E19"/>
    <w:rsid w:val="669030F5"/>
    <w:rsid w:val="67171E81"/>
    <w:rsid w:val="67404C15"/>
    <w:rsid w:val="68016A6B"/>
    <w:rsid w:val="685E3EBD"/>
    <w:rsid w:val="6865349E"/>
    <w:rsid w:val="686802EB"/>
    <w:rsid w:val="687057C9"/>
    <w:rsid w:val="687C1BDD"/>
    <w:rsid w:val="68B509B6"/>
    <w:rsid w:val="691D56BB"/>
    <w:rsid w:val="69272501"/>
    <w:rsid w:val="697D0373"/>
    <w:rsid w:val="69981651"/>
    <w:rsid w:val="69AF2C86"/>
    <w:rsid w:val="69D00DEB"/>
    <w:rsid w:val="69ED06FD"/>
    <w:rsid w:val="6A041FD1"/>
    <w:rsid w:val="6A7B2649"/>
    <w:rsid w:val="6AA54025"/>
    <w:rsid w:val="6AE72437"/>
    <w:rsid w:val="6AEC1C54"/>
    <w:rsid w:val="6B1D1F48"/>
    <w:rsid w:val="6B3756C0"/>
    <w:rsid w:val="6B480E55"/>
    <w:rsid w:val="6B574BF4"/>
    <w:rsid w:val="6BD340EF"/>
    <w:rsid w:val="6BD85D34"/>
    <w:rsid w:val="6BD90F2D"/>
    <w:rsid w:val="6C993CEC"/>
    <w:rsid w:val="6CA125CA"/>
    <w:rsid w:val="6CA4514A"/>
    <w:rsid w:val="6CA87DFD"/>
    <w:rsid w:val="6D7751F0"/>
    <w:rsid w:val="6DC72505"/>
    <w:rsid w:val="6DCD3407"/>
    <w:rsid w:val="6DCF4F15"/>
    <w:rsid w:val="6E206AD0"/>
    <w:rsid w:val="6E323D93"/>
    <w:rsid w:val="6E5518BE"/>
    <w:rsid w:val="6EAE5472"/>
    <w:rsid w:val="6FDE58E3"/>
    <w:rsid w:val="6FEF7AF1"/>
    <w:rsid w:val="705636CC"/>
    <w:rsid w:val="70A27739"/>
    <w:rsid w:val="70DC62C7"/>
    <w:rsid w:val="70DD3DED"/>
    <w:rsid w:val="71145A61"/>
    <w:rsid w:val="71676F16"/>
    <w:rsid w:val="71B92675"/>
    <w:rsid w:val="71F15DA2"/>
    <w:rsid w:val="72B04AC5"/>
    <w:rsid w:val="72E751E2"/>
    <w:rsid w:val="72EB529B"/>
    <w:rsid w:val="72F84F0E"/>
    <w:rsid w:val="73027B3B"/>
    <w:rsid w:val="731765BD"/>
    <w:rsid w:val="734C7427"/>
    <w:rsid w:val="736D0AF6"/>
    <w:rsid w:val="736F2937"/>
    <w:rsid w:val="73A31F84"/>
    <w:rsid w:val="73AA445A"/>
    <w:rsid w:val="73F02D4B"/>
    <w:rsid w:val="745A70D0"/>
    <w:rsid w:val="746A64B4"/>
    <w:rsid w:val="74942E78"/>
    <w:rsid w:val="74D56CA4"/>
    <w:rsid w:val="756B291D"/>
    <w:rsid w:val="75842A89"/>
    <w:rsid w:val="75BA294F"/>
    <w:rsid w:val="75CB141F"/>
    <w:rsid w:val="75DB4D9F"/>
    <w:rsid w:val="76010B38"/>
    <w:rsid w:val="763F3DF8"/>
    <w:rsid w:val="764B35A7"/>
    <w:rsid w:val="77361E52"/>
    <w:rsid w:val="7746449A"/>
    <w:rsid w:val="774C0602"/>
    <w:rsid w:val="77754D7F"/>
    <w:rsid w:val="77B04009"/>
    <w:rsid w:val="77C96A7D"/>
    <w:rsid w:val="77D2768B"/>
    <w:rsid w:val="77DA346A"/>
    <w:rsid w:val="78126828"/>
    <w:rsid w:val="784604CA"/>
    <w:rsid w:val="78686692"/>
    <w:rsid w:val="78763EFD"/>
    <w:rsid w:val="788259A6"/>
    <w:rsid w:val="78C22246"/>
    <w:rsid w:val="78FF6FF6"/>
    <w:rsid w:val="79586707"/>
    <w:rsid w:val="795D1F6F"/>
    <w:rsid w:val="79D35A59"/>
    <w:rsid w:val="7A666C01"/>
    <w:rsid w:val="7A6A69E4"/>
    <w:rsid w:val="7ABA36FE"/>
    <w:rsid w:val="7AE244DA"/>
    <w:rsid w:val="7B4038F6"/>
    <w:rsid w:val="7B684125"/>
    <w:rsid w:val="7C947A56"/>
    <w:rsid w:val="7CA37C99"/>
    <w:rsid w:val="7CA911A1"/>
    <w:rsid w:val="7CC83BA3"/>
    <w:rsid w:val="7CCB7A99"/>
    <w:rsid w:val="7CE107C1"/>
    <w:rsid w:val="7CED7166"/>
    <w:rsid w:val="7CF404F4"/>
    <w:rsid w:val="7D163065"/>
    <w:rsid w:val="7D180687"/>
    <w:rsid w:val="7DA726C2"/>
    <w:rsid w:val="7DF764EE"/>
    <w:rsid w:val="7E8951AF"/>
    <w:rsid w:val="7EA24F38"/>
    <w:rsid w:val="7ECA3C03"/>
    <w:rsid w:val="7EF83BA3"/>
    <w:rsid w:val="7F121106"/>
    <w:rsid w:val="7F78540D"/>
    <w:rsid w:val="7F796B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qFormat="1" w:uiPriority="39" w:name="toc 3"/>
    <w:lsdException w:qFormat="1" w:uiPriority="99" w:name="toc 4"/>
    <w:lsdException w:qFormat="1" w:uiPriority="99" w:name="toc 5"/>
    <w:lsdException w:qFormat="1" w:uiPriority="99" w:name="toc 6"/>
    <w:lsdException w:qFormat="1" w:uiPriority="99" w:name="toc 7"/>
    <w:lsdException w:qFormat="1" w:uiPriority="99" w:name="toc 8"/>
    <w:lsdException w:qFormat="1" w:uiPriority="99" w:name="toc 9"/>
    <w:lsdException w:qFormat="1" w:uiPriority="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nhideWhenUsed="0" w:uiPriority="0"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qFormat="1" w:uiPriority="99" w:name="table of authorities"/>
    <w:lsdException w:uiPriority="99" w:name="macro"/>
    <w:lsdException w:uiPriority="99" w:name="toa heading"/>
    <w:lsdException w:qFormat="1" w:uiPriority="99" w:name="List"/>
    <w:lsdException w:uiPriority="99" w:name="List Bullet"/>
    <w:lsdException w:qFormat="1" w:uiPriority="99" w:name="List Number"/>
    <w:lsdException w:qFormat="1"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qFormat="1"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qFormat="1" w:uiPriority="99" w:name="Body Text"/>
    <w:lsdException w:qFormat="1"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qFormat="1" w:uiPriority="99" w:name="Date"/>
    <w:lsdException w:qFormat="1" w:uiPriority="99" w:name="Body Text First Indent"/>
    <w:lsdException w:qFormat="1" w:uiPriority="99" w:semiHidden="0" w:name="Body Text First Indent 2"/>
    <w:lsdException w:uiPriority="99" w:name="Note Heading"/>
    <w:lsdException w:qFormat="1" w:uiPriority="99" w:name="Body Text 2"/>
    <w:lsdException w:qFormat="1" w:uiPriority="99" w:semiHidden="0" w:name="Body Text 3"/>
    <w:lsdException w:qFormat="1" w:uiPriority="99" w:name="Body Text Indent 2"/>
    <w:lsdException w:qFormat="1" w:uiPriority="99" w:name="Body Text Indent 3"/>
    <w:lsdException w:qFormat="1"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0" w:name="HTML Preformatted"/>
    <w:lsdException w:qFormat="1" w:unhideWhenUsed="0" w:uiPriority="0" w:semiHidden="0"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9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67"/>
    <w:autoRedefine/>
    <w:qFormat/>
    <w:uiPriority w:val="9"/>
    <w:pPr>
      <w:keepNext/>
      <w:keepLines/>
      <w:numPr>
        <w:ilvl w:val="0"/>
        <w:numId w:val="1"/>
      </w:numPr>
      <w:spacing w:before="340" w:after="330" w:line="576" w:lineRule="auto"/>
      <w:ind w:left="0" w:firstLine="0"/>
      <w:outlineLvl w:val="0"/>
    </w:pPr>
    <w:rPr>
      <w:b/>
      <w:bCs/>
      <w:kern w:val="44"/>
      <w:sz w:val="44"/>
      <w:szCs w:val="44"/>
    </w:rPr>
  </w:style>
  <w:style w:type="paragraph" w:styleId="3">
    <w:name w:val="heading 2"/>
    <w:basedOn w:val="1"/>
    <w:next w:val="1"/>
    <w:link w:val="68"/>
    <w:autoRedefine/>
    <w:unhideWhenUsed/>
    <w:qFormat/>
    <w:uiPriority w:val="9"/>
    <w:pPr>
      <w:keepNext/>
      <w:keepLines/>
      <w:spacing w:before="260" w:after="260" w:line="415" w:lineRule="auto"/>
      <w:outlineLvl w:val="1"/>
    </w:pPr>
    <w:rPr>
      <w:rFonts w:asciiTheme="majorHAnsi" w:hAnsiTheme="majorHAnsi" w:eastAsiaTheme="majorEastAsia" w:cstheme="majorBidi"/>
      <w:b/>
      <w:bCs/>
      <w:sz w:val="32"/>
      <w:szCs w:val="32"/>
    </w:rPr>
  </w:style>
  <w:style w:type="paragraph" w:styleId="4">
    <w:name w:val="heading 3"/>
    <w:basedOn w:val="1"/>
    <w:next w:val="1"/>
    <w:link w:val="69"/>
    <w:autoRedefine/>
    <w:semiHidden/>
    <w:unhideWhenUsed/>
    <w:qFormat/>
    <w:uiPriority w:val="9"/>
    <w:pPr>
      <w:widowControl/>
      <w:spacing w:before="100" w:beforeAutospacing="1" w:after="100" w:afterAutospacing="1"/>
      <w:jc w:val="left"/>
      <w:outlineLvl w:val="2"/>
    </w:pPr>
    <w:rPr>
      <w:rFonts w:ascii="宋体" w:hAnsi="宋体" w:cs="宋体"/>
      <w:b/>
      <w:bCs/>
      <w:kern w:val="0"/>
      <w:sz w:val="27"/>
      <w:szCs w:val="27"/>
    </w:rPr>
  </w:style>
  <w:style w:type="paragraph" w:styleId="5">
    <w:name w:val="heading 4"/>
    <w:basedOn w:val="1"/>
    <w:next w:val="1"/>
    <w:link w:val="349"/>
    <w:autoRedefine/>
    <w:semiHidden/>
    <w:unhideWhenUsed/>
    <w:qFormat/>
    <w:uiPriority w:val="9"/>
    <w:pPr>
      <w:keepNext/>
      <w:keepLines/>
      <w:spacing w:before="280" w:after="290" w:line="372" w:lineRule="auto"/>
      <w:outlineLvl w:val="3"/>
    </w:pPr>
    <w:rPr>
      <w:rFonts w:ascii="Arial" w:hAnsi="Arial" w:eastAsia="黑体"/>
      <w:b/>
      <w:bCs/>
      <w:kern w:val="0"/>
      <w:sz w:val="28"/>
      <w:szCs w:val="28"/>
    </w:rPr>
  </w:style>
  <w:style w:type="paragraph" w:styleId="6">
    <w:name w:val="heading 5"/>
    <w:basedOn w:val="1"/>
    <w:next w:val="1"/>
    <w:link w:val="350"/>
    <w:autoRedefine/>
    <w:semiHidden/>
    <w:unhideWhenUsed/>
    <w:qFormat/>
    <w:uiPriority w:val="9"/>
    <w:pPr>
      <w:keepNext/>
      <w:keepLines/>
      <w:tabs>
        <w:tab w:val="left" w:pos="1701"/>
      </w:tabs>
      <w:spacing w:before="280" w:after="290" w:line="360" w:lineRule="auto"/>
      <w:outlineLvl w:val="4"/>
    </w:pPr>
    <w:rPr>
      <w:rFonts w:ascii="楷体_GB2312" w:hAnsi="宋体" w:eastAsia="楷体_GB2312" w:cs="宋体"/>
      <w:b/>
      <w:bCs/>
      <w:kern w:val="0"/>
      <w:sz w:val="24"/>
      <w:szCs w:val="28"/>
    </w:rPr>
  </w:style>
  <w:style w:type="paragraph" w:styleId="7">
    <w:name w:val="heading 6"/>
    <w:basedOn w:val="6"/>
    <w:next w:val="1"/>
    <w:link w:val="351"/>
    <w:autoRedefine/>
    <w:semiHidden/>
    <w:unhideWhenUsed/>
    <w:qFormat/>
    <w:uiPriority w:val="9"/>
    <w:pPr>
      <w:keepNext w:val="0"/>
      <w:keepLines w:val="0"/>
      <w:tabs>
        <w:tab w:val="left" w:pos="2940"/>
        <w:tab w:val="clear" w:pos="1701"/>
      </w:tabs>
      <w:adjustRightInd w:val="0"/>
      <w:spacing w:before="0" w:after="0" w:line="400" w:lineRule="exact"/>
      <w:outlineLvl w:val="5"/>
    </w:pPr>
    <w:rPr>
      <w:rFonts w:ascii="Times New Roman" w:hAnsi="Calibri" w:eastAsia="宋体" w:cs="Times New Roman"/>
      <w:b w:val="0"/>
      <w:bCs w:val="0"/>
      <w:szCs w:val="20"/>
    </w:rPr>
  </w:style>
  <w:style w:type="paragraph" w:styleId="8">
    <w:name w:val="heading 7"/>
    <w:basedOn w:val="7"/>
    <w:next w:val="1"/>
    <w:link w:val="352"/>
    <w:autoRedefine/>
    <w:semiHidden/>
    <w:unhideWhenUsed/>
    <w:qFormat/>
    <w:uiPriority w:val="9"/>
    <w:pPr>
      <w:tabs>
        <w:tab w:val="left" w:pos="3360"/>
        <w:tab w:val="clear" w:pos="2940"/>
      </w:tabs>
      <w:outlineLvl w:val="6"/>
    </w:pPr>
  </w:style>
  <w:style w:type="paragraph" w:styleId="9">
    <w:name w:val="heading 8"/>
    <w:basedOn w:val="8"/>
    <w:next w:val="1"/>
    <w:link w:val="353"/>
    <w:autoRedefine/>
    <w:semiHidden/>
    <w:unhideWhenUsed/>
    <w:qFormat/>
    <w:uiPriority w:val="9"/>
    <w:pPr>
      <w:tabs>
        <w:tab w:val="left" w:pos="3780"/>
        <w:tab w:val="clear" w:pos="3360"/>
      </w:tabs>
      <w:outlineLvl w:val="7"/>
    </w:pPr>
  </w:style>
  <w:style w:type="paragraph" w:styleId="10">
    <w:name w:val="heading 9"/>
    <w:basedOn w:val="9"/>
    <w:next w:val="1"/>
    <w:link w:val="354"/>
    <w:autoRedefine/>
    <w:semiHidden/>
    <w:unhideWhenUsed/>
    <w:qFormat/>
    <w:uiPriority w:val="9"/>
    <w:pPr>
      <w:tabs>
        <w:tab w:val="left" w:pos="480"/>
        <w:tab w:val="left" w:pos="4200"/>
        <w:tab w:val="clear" w:pos="3780"/>
      </w:tabs>
      <w:outlineLvl w:val="8"/>
    </w:pPr>
  </w:style>
  <w:style w:type="character" w:default="1" w:styleId="53">
    <w:name w:val="Default Paragraph Font"/>
    <w:autoRedefine/>
    <w:semiHidden/>
    <w:unhideWhenUsed/>
    <w:qFormat/>
    <w:uiPriority w:val="1"/>
  </w:style>
  <w:style w:type="table" w:default="1" w:styleId="51">
    <w:name w:val="Normal Table"/>
    <w:autoRedefine/>
    <w:semiHidden/>
    <w:unhideWhenUsed/>
    <w:qFormat/>
    <w:uiPriority w:val="99"/>
    <w:tblPr>
      <w:tblCellMar>
        <w:top w:w="0" w:type="dxa"/>
        <w:left w:w="108" w:type="dxa"/>
        <w:bottom w:w="0" w:type="dxa"/>
        <w:right w:w="108" w:type="dxa"/>
      </w:tblCellMar>
    </w:tblPr>
  </w:style>
  <w:style w:type="paragraph" w:styleId="11">
    <w:name w:val="toc 7"/>
    <w:basedOn w:val="1"/>
    <w:next w:val="1"/>
    <w:autoRedefine/>
    <w:semiHidden/>
    <w:unhideWhenUsed/>
    <w:qFormat/>
    <w:uiPriority w:val="99"/>
    <w:pPr>
      <w:ind w:left="2520" w:leftChars="1200"/>
    </w:pPr>
    <w:rPr>
      <w:rFonts w:cs="宋体"/>
      <w:sz w:val="24"/>
      <w:szCs w:val="24"/>
    </w:rPr>
  </w:style>
  <w:style w:type="paragraph" w:styleId="12">
    <w:name w:val="table of authorities"/>
    <w:basedOn w:val="1"/>
    <w:next w:val="1"/>
    <w:autoRedefine/>
    <w:semiHidden/>
    <w:unhideWhenUsed/>
    <w:qFormat/>
    <w:uiPriority w:val="99"/>
    <w:pPr>
      <w:ind w:left="420" w:leftChars="200"/>
    </w:pPr>
    <w:rPr>
      <w:szCs w:val="24"/>
    </w:rPr>
  </w:style>
  <w:style w:type="paragraph" w:styleId="13">
    <w:name w:val="List Number"/>
    <w:basedOn w:val="1"/>
    <w:autoRedefine/>
    <w:semiHidden/>
    <w:unhideWhenUsed/>
    <w:qFormat/>
    <w:uiPriority w:val="99"/>
    <w:pPr>
      <w:widowControl/>
      <w:tabs>
        <w:tab w:val="left" w:pos="454"/>
        <w:tab w:val="left" w:pos="720"/>
      </w:tabs>
      <w:ind w:left="454" w:hanging="284"/>
      <w:jc w:val="left"/>
    </w:pPr>
    <w:rPr>
      <w:kern w:val="0"/>
      <w:sz w:val="24"/>
      <w:szCs w:val="20"/>
    </w:rPr>
  </w:style>
  <w:style w:type="paragraph" w:styleId="14">
    <w:name w:val="Normal Indent"/>
    <w:basedOn w:val="1"/>
    <w:next w:val="15"/>
    <w:link w:val="77"/>
    <w:autoRedefine/>
    <w:semiHidden/>
    <w:unhideWhenUsed/>
    <w:qFormat/>
    <w:uiPriority w:val="0"/>
    <w:pPr>
      <w:ind w:firstLine="420" w:firstLineChars="200"/>
    </w:pPr>
    <w:rPr>
      <w:rFonts w:ascii="Times New Roman" w:hAnsi="Times New Roman" w:eastAsiaTheme="minorEastAsia"/>
      <w:szCs w:val="24"/>
    </w:rPr>
  </w:style>
  <w:style w:type="paragraph" w:styleId="15">
    <w:name w:val="Body Text Indent"/>
    <w:basedOn w:val="1"/>
    <w:next w:val="16"/>
    <w:link w:val="83"/>
    <w:autoRedefine/>
    <w:semiHidden/>
    <w:unhideWhenUsed/>
    <w:qFormat/>
    <w:uiPriority w:val="0"/>
    <w:pPr>
      <w:spacing w:after="120"/>
      <w:ind w:left="420" w:leftChars="200"/>
    </w:pPr>
    <w:rPr>
      <w:rFonts w:asciiTheme="minorHAnsi" w:hAnsiTheme="minorHAnsi" w:eastAsiaTheme="minorEastAsia" w:cstheme="minorBidi"/>
    </w:rPr>
  </w:style>
  <w:style w:type="paragraph" w:customStyle="1" w:styleId="16">
    <w:name w:val="样式 正文文本缩进 + 左  0 字符"/>
    <w:basedOn w:val="1"/>
    <w:qFormat/>
    <w:uiPriority w:val="0"/>
    <w:pPr>
      <w:ind w:firstLine="250" w:firstLineChars="250"/>
    </w:pPr>
    <w:rPr>
      <w:sz w:val="24"/>
    </w:rPr>
  </w:style>
  <w:style w:type="paragraph" w:styleId="17">
    <w:name w:val="caption"/>
    <w:basedOn w:val="1"/>
    <w:next w:val="1"/>
    <w:autoRedefine/>
    <w:semiHidden/>
    <w:unhideWhenUsed/>
    <w:qFormat/>
    <w:uiPriority w:val="35"/>
    <w:pPr>
      <w:spacing w:before="152" w:after="160"/>
    </w:pPr>
    <w:rPr>
      <w:rFonts w:ascii="Arial" w:hAnsi="Arial" w:eastAsia="黑体" w:cs="Arial"/>
      <w:sz w:val="20"/>
      <w:szCs w:val="20"/>
    </w:rPr>
  </w:style>
  <w:style w:type="paragraph" w:styleId="18">
    <w:name w:val="Document Map"/>
    <w:basedOn w:val="1"/>
    <w:link w:val="355"/>
    <w:autoRedefine/>
    <w:semiHidden/>
    <w:unhideWhenUsed/>
    <w:qFormat/>
    <w:uiPriority w:val="99"/>
    <w:rPr>
      <w:rFonts w:ascii="宋体"/>
      <w:sz w:val="18"/>
      <w:szCs w:val="18"/>
    </w:rPr>
  </w:style>
  <w:style w:type="paragraph" w:styleId="19">
    <w:name w:val="annotation text"/>
    <w:basedOn w:val="1"/>
    <w:link w:val="78"/>
    <w:autoRedefine/>
    <w:semiHidden/>
    <w:unhideWhenUsed/>
    <w:qFormat/>
    <w:uiPriority w:val="99"/>
    <w:pPr>
      <w:jc w:val="left"/>
    </w:pPr>
  </w:style>
  <w:style w:type="paragraph" w:styleId="20">
    <w:name w:val="Body Text 3"/>
    <w:basedOn w:val="1"/>
    <w:link w:val="90"/>
    <w:autoRedefine/>
    <w:unhideWhenUsed/>
    <w:qFormat/>
    <w:uiPriority w:val="99"/>
    <w:pPr>
      <w:spacing w:after="120"/>
    </w:pPr>
    <w:rPr>
      <w:rFonts w:ascii="Times New Roman" w:hAnsi="Times New Roman"/>
      <w:kern w:val="0"/>
      <w:sz w:val="16"/>
      <w:szCs w:val="16"/>
    </w:rPr>
  </w:style>
  <w:style w:type="paragraph" w:styleId="21">
    <w:name w:val="Body Text"/>
    <w:basedOn w:val="1"/>
    <w:next w:val="22"/>
    <w:link w:val="81"/>
    <w:autoRedefine/>
    <w:semiHidden/>
    <w:unhideWhenUsed/>
    <w:qFormat/>
    <w:uiPriority w:val="99"/>
    <w:pPr>
      <w:spacing w:after="120"/>
    </w:pPr>
  </w:style>
  <w:style w:type="paragraph" w:styleId="22">
    <w:name w:val="Body Text First Indent"/>
    <w:basedOn w:val="21"/>
    <w:next w:val="23"/>
    <w:link w:val="82"/>
    <w:autoRedefine/>
    <w:semiHidden/>
    <w:unhideWhenUsed/>
    <w:qFormat/>
    <w:uiPriority w:val="99"/>
    <w:pPr>
      <w:ind w:firstLine="420" w:firstLineChars="100"/>
    </w:pPr>
    <w:rPr>
      <w:szCs w:val="24"/>
    </w:rPr>
  </w:style>
  <w:style w:type="paragraph" w:styleId="23">
    <w:name w:val="Plain Text"/>
    <w:basedOn w:val="1"/>
    <w:link w:val="94"/>
    <w:autoRedefine/>
    <w:unhideWhenUsed/>
    <w:qFormat/>
    <w:uiPriority w:val="0"/>
    <w:pPr>
      <w:spacing w:beforeLines="50" w:line="400" w:lineRule="atLeast"/>
    </w:pPr>
    <w:rPr>
      <w:rFonts w:ascii="宋体" w:hAnsi="Courier New" w:cstheme="minorBidi"/>
      <w:sz w:val="24"/>
      <w:szCs w:val="24"/>
    </w:rPr>
  </w:style>
  <w:style w:type="paragraph" w:styleId="24">
    <w:name w:val="List Number 3"/>
    <w:basedOn w:val="1"/>
    <w:autoRedefine/>
    <w:semiHidden/>
    <w:unhideWhenUsed/>
    <w:qFormat/>
    <w:uiPriority w:val="99"/>
    <w:pPr>
      <w:tabs>
        <w:tab w:val="left" w:pos="1200"/>
      </w:tabs>
      <w:ind w:left="1200" w:hanging="360"/>
    </w:pPr>
    <w:rPr>
      <w:szCs w:val="24"/>
    </w:rPr>
  </w:style>
  <w:style w:type="paragraph" w:styleId="25">
    <w:name w:val="List 2"/>
    <w:basedOn w:val="1"/>
    <w:autoRedefine/>
    <w:semiHidden/>
    <w:unhideWhenUsed/>
    <w:qFormat/>
    <w:uiPriority w:val="99"/>
    <w:pPr>
      <w:ind w:left="100" w:leftChars="200" w:hanging="200" w:hangingChars="200"/>
    </w:pPr>
    <w:rPr>
      <w:sz w:val="28"/>
      <w:szCs w:val="24"/>
    </w:rPr>
  </w:style>
  <w:style w:type="paragraph" w:styleId="26">
    <w:name w:val="Block Text"/>
    <w:basedOn w:val="1"/>
    <w:autoRedefine/>
    <w:semiHidden/>
    <w:unhideWhenUsed/>
    <w:qFormat/>
    <w:uiPriority w:val="99"/>
    <w:pPr>
      <w:adjustRightInd w:val="0"/>
      <w:snapToGrid w:val="0"/>
      <w:spacing w:line="300" w:lineRule="auto"/>
      <w:ind w:left="958" w:right="-120" w:rightChars="-120"/>
      <w:jc w:val="left"/>
    </w:pPr>
    <w:rPr>
      <w:rFonts w:ascii="宋体" w:hAnsi="宋体"/>
      <w:sz w:val="28"/>
      <w:szCs w:val="20"/>
    </w:rPr>
  </w:style>
  <w:style w:type="paragraph" w:styleId="27">
    <w:name w:val="toc 5"/>
    <w:basedOn w:val="1"/>
    <w:next w:val="1"/>
    <w:autoRedefine/>
    <w:semiHidden/>
    <w:unhideWhenUsed/>
    <w:qFormat/>
    <w:uiPriority w:val="99"/>
    <w:pPr>
      <w:ind w:left="1680" w:leftChars="800"/>
    </w:pPr>
    <w:rPr>
      <w:rFonts w:cs="宋体"/>
      <w:sz w:val="24"/>
      <w:szCs w:val="24"/>
    </w:rPr>
  </w:style>
  <w:style w:type="paragraph" w:styleId="28">
    <w:name w:val="toc 3"/>
    <w:basedOn w:val="1"/>
    <w:next w:val="1"/>
    <w:autoRedefine/>
    <w:semiHidden/>
    <w:unhideWhenUsed/>
    <w:qFormat/>
    <w:uiPriority w:val="39"/>
    <w:pPr>
      <w:ind w:left="840" w:leftChars="400"/>
    </w:pPr>
    <w:rPr>
      <w:rFonts w:cs="宋体"/>
      <w:sz w:val="24"/>
      <w:szCs w:val="24"/>
    </w:rPr>
  </w:style>
  <w:style w:type="paragraph" w:styleId="29">
    <w:name w:val="toc 8"/>
    <w:basedOn w:val="1"/>
    <w:next w:val="1"/>
    <w:autoRedefine/>
    <w:semiHidden/>
    <w:unhideWhenUsed/>
    <w:qFormat/>
    <w:uiPriority w:val="99"/>
    <w:pPr>
      <w:ind w:left="2940" w:leftChars="1400"/>
    </w:pPr>
    <w:rPr>
      <w:rFonts w:cs="宋体"/>
      <w:sz w:val="24"/>
      <w:szCs w:val="24"/>
    </w:rPr>
  </w:style>
  <w:style w:type="paragraph" w:styleId="30">
    <w:name w:val="Date"/>
    <w:basedOn w:val="1"/>
    <w:next w:val="1"/>
    <w:link w:val="86"/>
    <w:autoRedefine/>
    <w:semiHidden/>
    <w:unhideWhenUsed/>
    <w:qFormat/>
    <w:uiPriority w:val="99"/>
    <w:pPr>
      <w:ind w:left="100" w:leftChars="2500"/>
    </w:pPr>
    <w:rPr>
      <w:rFonts w:ascii="Times New Roman" w:hAnsi="Times New Roman" w:eastAsiaTheme="minorEastAsia"/>
      <w:szCs w:val="24"/>
    </w:rPr>
  </w:style>
  <w:style w:type="paragraph" w:styleId="31">
    <w:name w:val="Body Text Indent 2"/>
    <w:basedOn w:val="1"/>
    <w:link w:val="356"/>
    <w:autoRedefine/>
    <w:semiHidden/>
    <w:unhideWhenUsed/>
    <w:qFormat/>
    <w:uiPriority w:val="99"/>
    <w:pPr>
      <w:snapToGrid w:val="0"/>
      <w:ind w:firstLine="542" w:firstLineChars="225"/>
    </w:pPr>
    <w:rPr>
      <w:rFonts w:ascii="仿宋_GB2312" w:hAnsi="宋体"/>
      <w:b/>
      <w:bCs/>
      <w:color w:val="000000"/>
      <w:sz w:val="24"/>
      <w:szCs w:val="24"/>
    </w:rPr>
  </w:style>
  <w:style w:type="paragraph" w:styleId="32">
    <w:name w:val="Balloon Text"/>
    <w:basedOn w:val="1"/>
    <w:link w:val="357"/>
    <w:autoRedefine/>
    <w:unhideWhenUsed/>
    <w:qFormat/>
    <w:uiPriority w:val="99"/>
    <w:rPr>
      <w:kern w:val="0"/>
      <w:sz w:val="18"/>
      <w:szCs w:val="18"/>
    </w:rPr>
  </w:style>
  <w:style w:type="paragraph" w:styleId="33">
    <w:name w:val="footer"/>
    <w:basedOn w:val="1"/>
    <w:link w:val="66"/>
    <w:autoRedefine/>
    <w:unhideWhenUsed/>
    <w:qFormat/>
    <w:uiPriority w:val="99"/>
    <w:pPr>
      <w:tabs>
        <w:tab w:val="center" w:pos="4153"/>
        <w:tab w:val="right" w:pos="8306"/>
      </w:tabs>
      <w:snapToGrid w:val="0"/>
      <w:jc w:val="left"/>
    </w:pPr>
    <w:rPr>
      <w:sz w:val="18"/>
      <w:szCs w:val="18"/>
    </w:rPr>
  </w:style>
  <w:style w:type="paragraph" w:styleId="34">
    <w:name w:val="envelope return"/>
    <w:basedOn w:val="1"/>
    <w:autoRedefine/>
    <w:qFormat/>
    <w:uiPriority w:val="0"/>
    <w:pPr>
      <w:snapToGrid w:val="0"/>
    </w:pPr>
    <w:rPr>
      <w:rFonts w:ascii="Arial" w:hAnsi="Arial"/>
    </w:rPr>
  </w:style>
  <w:style w:type="paragraph" w:styleId="35">
    <w:name w:val="header"/>
    <w:basedOn w:val="1"/>
    <w:link w:val="65"/>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36">
    <w:name w:val="toc 1"/>
    <w:basedOn w:val="1"/>
    <w:next w:val="1"/>
    <w:autoRedefine/>
    <w:semiHidden/>
    <w:unhideWhenUsed/>
    <w:qFormat/>
    <w:uiPriority w:val="39"/>
    <w:rPr>
      <w:szCs w:val="24"/>
    </w:rPr>
  </w:style>
  <w:style w:type="paragraph" w:styleId="37">
    <w:name w:val="toc 4"/>
    <w:basedOn w:val="1"/>
    <w:next w:val="1"/>
    <w:autoRedefine/>
    <w:semiHidden/>
    <w:unhideWhenUsed/>
    <w:qFormat/>
    <w:uiPriority w:val="99"/>
    <w:pPr>
      <w:ind w:left="1260" w:leftChars="600"/>
    </w:pPr>
    <w:rPr>
      <w:rFonts w:cs="宋体"/>
      <w:sz w:val="24"/>
      <w:szCs w:val="24"/>
    </w:rPr>
  </w:style>
  <w:style w:type="paragraph" w:styleId="38">
    <w:name w:val="Subtitle"/>
    <w:basedOn w:val="1"/>
    <w:next w:val="1"/>
    <w:link w:val="85"/>
    <w:autoRedefine/>
    <w:qFormat/>
    <w:uiPriority w:val="99"/>
    <w:pPr>
      <w:spacing w:before="240" w:after="60" w:line="312" w:lineRule="auto"/>
      <w:jc w:val="center"/>
      <w:outlineLvl w:val="1"/>
    </w:pPr>
    <w:rPr>
      <w:rFonts w:ascii="Cambria" w:hAnsi="Cambria"/>
      <w:b/>
      <w:bCs/>
      <w:kern w:val="28"/>
      <w:sz w:val="32"/>
      <w:szCs w:val="32"/>
    </w:rPr>
  </w:style>
  <w:style w:type="paragraph" w:styleId="39">
    <w:name w:val="List"/>
    <w:basedOn w:val="1"/>
    <w:link w:val="79"/>
    <w:autoRedefine/>
    <w:semiHidden/>
    <w:unhideWhenUsed/>
    <w:qFormat/>
    <w:uiPriority w:val="99"/>
    <w:pPr>
      <w:ind w:left="200" w:hanging="200" w:hangingChars="200"/>
    </w:pPr>
    <w:rPr>
      <w:rFonts w:asciiTheme="minorHAnsi" w:hAnsiTheme="minorHAnsi" w:eastAsiaTheme="minorEastAsia" w:cstheme="minorBidi"/>
      <w:szCs w:val="24"/>
    </w:rPr>
  </w:style>
  <w:style w:type="paragraph" w:styleId="40">
    <w:name w:val="toc 6"/>
    <w:basedOn w:val="1"/>
    <w:next w:val="1"/>
    <w:autoRedefine/>
    <w:semiHidden/>
    <w:unhideWhenUsed/>
    <w:qFormat/>
    <w:uiPriority w:val="99"/>
    <w:pPr>
      <w:ind w:left="2100" w:leftChars="1000"/>
    </w:pPr>
    <w:rPr>
      <w:rFonts w:cs="宋体"/>
      <w:sz w:val="24"/>
      <w:szCs w:val="24"/>
    </w:rPr>
  </w:style>
  <w:style w:type="paragraph" w:styleId="41">
    <w:name w:val="Body Text Indent 3"/>
    <w:basedOn w:val="1"/>
    <w:link w:val="358"/>
    <w:autoRedefine/>
    <w:semiHidden/>
    <w:unhideWhenUsed/>
    <w:qFormat/>
    <w:uiPriority w:val="99"/>
    <w:pPr>
      <w:snapToGrid w:val="0"/>
      <w:ind w:firstLine="480" w:firstLineChars="200"/>
      <w:jc w:val="left"/>
    </w:pPr>
    <w:rPr>
      <w:rFonts w:ascii="仿宋_GB2312" w:hAnsi="宋体" w:eastAsia="仿宋_GB2312"/>
      <w:color w:val="000000"/>
      <w:sz w:val="24"/>
      <w:szCs w:val="24"/>
    </w:rPr>
  </w:style>
  <w:style w:type="paragraph" w:styleId="42">
    <w:name w:val="toc 2"/>
    <w:basedOn w:val="1"/>
    <w:next w:val="1"/>
    <w:autoRedefine/>
    <w:semiHidden/>
    <w:unhideWhenUsed/>
    <w:qFormat/>
    <w:uiPriority w:val="39"/>
    <w:pPr>
      <w:ind w:left="420" w:leftChars="200"/>
    </w:pPr>
    <w:rPr>
      <w:szCs w:val="24"/>
    </w:rPr>
  </w:style>
  <w:style w:type="paragraph" w:styleId="43">
    <w:name w:val="toc 9"/>
    <w:basedOn w:val="1"/>
    <w:next w:val="1"/>
    <w:autoRedefine/>
    <w:semiHidden/>
    <w:unhideWhenUsed/>
    <w:qFormat/>
    <w:uiPriority w:val="99"/>
    <w:pPr>
      <w:ind w:left="3360" w:leftChars="1600"/>
    </w:pPr>
    <w:rPr>
      <w:rFonts w:cs="宋体"/>
      <w:sz w:val="24"/>
      <w:szCs w:val="24"/>
    </w:rPr>
  </w:style>
  <w:style w:type="paragraph" w:styleId="44">
    <w:name w:val="Body Text 2"/>
    <w:basedOn w:val="1"/>
    <w:link w:val="89"/>
    <w:autoRedefine/>
    <w:semiHidden/>
    <w:unhideWhenUsed/>
    <w:qFormat/>
    <w:uiPriority w:val="99"/>
    <w:pPr>
      <w:numPr>
        <w:ilvl w:val="0"/>
        <w:numId w:val="2"/>
      </w:numPr>
      <w:spacing w:after="120" w:line="480" w:lineRule="auto"/>
      <w:ind w:left="0" w:firstLine="0"/>
    </w:pPr>
    <w:rPr>
      <w:rFonts w:ascii="Times New Roman" w:hAnsi="Times New Roman"/>
      <w:kern w:val="0"/>
      <w:sz w:val="20"/>
      <w:szCs w:val="24"/>
    </w:rPr>
  </w:style>
  <w:style w:type="paragraph" w:styleId="45">
    <w:name w:val="HTML Preformatted"/>
    <w:basedOn w:val="1"/>
    <w:link w:val="76"/>
    <w:autoRedefine/>
    <w:semiHidden/>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Courier New"/>
      <w:szCs w:val="20"/>
    </w:rPr>
  </w:style>
  <w:style w:type="paragraph" w:styleId="46">
    <w:name w:val="Normal (Web)"/>
    <w:basedOn w:val="1"/>
    <w:autoRedefine/>
    <w:semiHidden/>
    <w:unhideWhenUsed/>
    <w:qFormat/>
    <w:uiPriority w:val="99"/>
    <w:rPr>
      <w:sz w:val="24"/>
      <w:szCs w:val="24"/>
    </w:rPr>
  </w:style>
  <w:style w:type="paragraph" w:styleId="47">
    <w:name w:val="index 1"/>
    <w:basedOn w:val="1"/>
    <w:next w:val="1"/>
    <w:autoRedefine/>
    <w:semiHidden/>
    <w:unhideWhenUsed/>
    <w:qFormat/>
    <w:uiPriority w:val="99"/>
    <w:rPr>
      <w:sz w:val="24"/>
      <w:szCs w:val="24"/>
    </w:rPr>
  </w:style>
  <w:style w:type="paragraph" w:styleId="48">
    <w:name w:val="Title"/>
    <w:basedOn w:val="1"/>
    <w:next w:val="1"/>
    <w:link w:val="80"/>
    <w:autoRedefine/>
    <w:qFormat/>
    <w:uiPriority w:val="99"/>
    <w:pPr>
      <w:spacing w:before="240" w:after="60"/>
      <w:jc w:val="center"/>
      <w:outlineLvl w:val="0"/>
    </w:pPr>
    <w:rPr>
      <w:rFonts w:ascii="Cambria" w:hAnsi="Cambria"/>
      <w:b/>
      <w:bCs/>
      <w:kern w:val="0"/>
      <w:sz w:val="32"/>
      <w:szCs w:val="32"/>
    </w:rPr>
  </w:style>
  <w:style w:type="paragraph" w:styleId="49">
    <w:name w:val="annotation subject"/>
    <w:basedOn w:val="19"/>
    <w:next w:val="19"/>
    <w:link w:val="96"/>
    <w:autoRedefine/>
    <w:semiHidden/>
    <w:unhideWhenUsed/>
    <w:qFormat/>
    <w:uiPriority w:val="99"/>
    <w:rPr>
      <w:b/>
      <w:bCs/>
    </w:rPr>
  </w:style>
  <w:style w:type="paragraph" w:styleId="50">
    <w:name w:val="Body Text First Indent 2"/>
    <w:basedOn w:val="15"/>
    <w:link w:val="359"/>
    <w:autoRedefine/>
    <w:unhideWhenUsed/>
    <w:qFormat/>
    <w:uiPriority w:val="99"/>
    <w:pPr>
      <w:ind w:firstLine="420" w:firstLineChars="200"/>
    </w:pPr>
    <w:rPr>
      <w:rFonts w:ascii="宋体" w:hAnsi="Courier New"/>
      <w:spacing w:val="-4"/>
      <w:szCs w:val="24"/>
    </w:rPr>
  </w:style>
  <w:style w:type="table" w:styleId="52">
    <w:name w:val="Table Grid"/>
    <w:basedOn w:val="51"/>
    <w:autoRedefine/>
    <w:qFormat/>
    <w:uiPriority w:val="99"/>
    <w:rPr>
      <w:rFonts w:ascii="Calibri" w:hAnsi="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54">
    <w:name w:val="Strong"/>
    <w:basedOn w:val="53"/>
    <w:autoRedefine/>
    <w:qFormat/>
    <w:uiPriority w:val="22"/>
    <w:rPr>
      <w:b/>
    </w:rPr>
  </w:style>
  <w:style w:type="character" w:styleId="55">
    <w:name w:val="page number"/>
    <w:autoRedefine/>
    <w:qFormat/>
    <w:uiPriority w:val="0"/>
  </w:style>
  <w:style w:type="character" w:styleId="56">
    <w:name w:val="FollowedHyperlink"/>
    <w:autoRedefine/>
    <w:semiHidden/>
    <w:unhideWhenUsed/>
    <w:qFormat/>
    <w:uiPriority w:val="99"/>
    <w:rPr>
      <w:color w:val="800080"/>
      <w:u w:val="single"/>
    </w:rPr>
  </w:style>
  <w:style w:type="character" w:styleId="57">
    <w:name w:val="Hyperlink"/>
    <w:autoRedefine/>
    <w:unhideWhenUsed/>
    <w:qFormat/>
    <w:uiPriority w:val="99"/>
    <w:rPr>
      <w:color w:val="0000FF"/>
      <w:u w:val="single"/>
    </w:rPr>
  </w:style>
  <w:style w:type="character" w:styleId="58">
    <w:name w:val="annotation reference"/>
    <w:autoRedefine/>
    <w:semiHidden/>
    <w:unhideWhenUsed/>
    <w:qFormat/>
    <w:uiPriority w:val="99"/>
    <w:rPr>
      <w:sz w:val="21"/>
      <w:szCs w:val="21"/>
    </w:rPr>
  </w:style>
  <w:style w:type="character" w:styleId="59">
    <w:name w:val="HTML Sample"/>
    <w:basedOn w:val="53"/>
    <w:autoRedefine/>
    <w:qFormat/>
    <w:uiPriority w:val="0"/>
    <w:rPr>
      <w:rFonts w:ascii="Courier New" w:hAnsi="Courier New"/>
    </w:rPr>
  </w:style>
  <w:style w:type="paragraph" w:customStyle="1" w:styleId="60">
    <w:name w:val="正文（标准）"/>
    <w:basedOn w:val="1"/>
    <w:next w:val="1"/>
    <w:semiHidden/>
    <w:qFormat/>
    <w:uiPriority w:val="0"/>
    <w:pPr>
      <w:ind w:firstLine="525"/>
    </w:pPr>
    <w:rPr>
      <w:rFonts w:ascii="宋体" w:hAnsi="宋体"/>
    </w:rPr>
  </w:style>
  <w:style w:type="paragraph" w:customStyle="1" w:styleId="61">
    <w:name w:val="表格文字"/>
    <w:basedOn w:val="62"/>
    <w:next w:val="21"/>
    <w:autoRedefine/>
    <w:qFormat/>
    <w:uiPriority w:val="0"/>
    <w:pPr>
      <w:spacing w:line="360" w:lineRule="auto"/>
      <w:ind w:firstLine="480" w:firstLineChars="200"/>
      <w:jc w:val="left"/>
    </w:pPr>
  </w:style>
  <w:style w:type="paragraph" w:customStyle="1" w:styleId="62">
    <w:name w:val="表格文字（两侧对齐）"/>
    <w:basedOn w:val="1"/>
    <w:autoRedefine/>
    <w:qFormat/>
    <w:uiPriority w:val="0"/>
    <w:pPr>
      <w:snapToGrid w:val="0"/>
    </w:pPr>
    <w:rPr>
      <w:sz w:val="20"/>
    </w:rPr>
  </w:style>
  <w:style w:type="paragraph" w:customStyle="1" w:styleId="63">
    <w:name w:val="BodyText1I2"/>
    <w:basedOn w:val="64"/>
    <w:qFormat/>
    <w:uiPriority w:val="0"/>
    <w:pPr>
      <w:ind w:firstLine="420" w:firstLineChars="200"/>
    </w:pPr>
    <w:rPr>
      <w:rFonts w:cs="Times New Roman"/>
      <w:szCs w:val="22"/>
    </w:rPr>
  </w:style>
  <w:style w:type="paragraph" w:customStyle="1" w:styleId="64">
    <w:name w:val="BodyText"/>
    <w:basedOn w:val="1"/>
    <w:qFormat/>
    <w:uiPriority w:val="0"/>
    <w:pPr>
      <w:spacing w:before="100" w:beforeAutospacing="1" w:after="120"/>
    </w:pPr>
    <w:rPr>
      <w:kern w:val="0"/>
    </w:rPr>
  </w:style>
  <w:style w:type="character" w:customStyle="1" w:styleId="65">
    <w:name w:val="页眉 Char"/>
    <w:basedOn w:val="53"/>
    <w:link w:val="35"/>
    <w:autoRedefine/>
    <w:qFormat/>
    <w:uiPriority w:val="99"/>
    <w:rPr>
      <w:sz w:val="18"/>
      <w:szCs w:val="18"/>
    </w:rPr>
  </w:style>
  <w:style w:type="character" w:customStyle="1" w:styleId="66">
    <w:name w:val="页脚 Char"/>
    <w:basedOn w:val="53"/>
    <w:link w:val="33"/>
    <w:autoRedefine/>
    <w:qFormat/>
    <w:uiPriority w:val="99"/>
    <w:rPr>
      <w:sz w:val="18"/>
      <w:szCs w:val="18"/>
    </w:rPr>
  </w:style>
  <w:style w:type="character" w:customStyle="1" w:styleId="67">
    <w:name w:val="标题 1 Char"/>
    <w:basedOn w:val="53"/>
    <w:link w:val="2"/>
    <w:autoRedefine/>
    <w:qFormat/>
    <w:uiPriority w:val="9"/>
    <w:rPr>
      <w:rFonts w:ascii="Calibri" w:hAnsi="Calibri" w:eastAsia="宋体" w:cs="Times New Roman"/>
      <w:b/>
      <w:bCs/>
      <w:kern w:val="44"/>
      <w:sz w:val="44"/>
      <w:szCs w:val="44"/>
    </w:rPr>
  </w:style>
  <w:style w:type="character" w:customStyle="1" w:styleId="68">
    <w:name w:val="标题 2 Char"/>
    <w:basedOn w:val="53"/>
    <w:link w:val="3"/>
    <w:autoRedefine/>
    <w:qFormat/>
    <w:uiPriority w:val="9"/>
    <w:rPr>
      <w:rFonts w:asciiTheme="majorHAnsi" w:hAnsiTheme="majorHAnsi" w:eastAsiaTheme="majorEastAsia" w:cstheme="majorBidi"/>
      <w:b/>
      <w:bCs/>
      <w:sz w:val="32"/>
      <w:szCs w:val="32"/>
    </w:rPr>
  </w:style>
  <w:style w:type="character" w:customStyle="1" w:styleId="69">
    <w:name w:val="标题 3 Char"/>
    <w:basedOn w:val="53"/>
    <w:link w:val="4"/>
    <w:autoRedefine/>
    <w:semiHidden/>
    <w:qFormat/>
    <w:uiPriority w:val="9"/>
    <w:rPr>
      <w:rFonts w:ascii="宋体" w:hAnsi="宋体" w:eastAsia="宋体" w:cs="宋体"/>
      <w:b/>
      <w:bCs/>
      <w:kern w:val="0"/>
      <w:sz w:val="27"/>
      <w:szCs w:val="27"/>
    </w:rPr>
  </w:style>
  <w:style w:type="character" w:customStyle="1" w:styleId="70">
    <w:name w:val="标题 4 Char"/>
    <w:basedOn w:val="53"/>
    <w:autoRedefine/>
    <w:semiHidden/>
    <w:qFormat/>
    <w:uiPriority w:val="9"/>
    <w:rPr>
      <w:rFonts w:asciiTheme="majorHAnsi" w:hAnsiTheme="majorHAnsi" w:eastAsiaTheme="majorEastAsia" w:cstheme="majorBidi"/>
      <w:b/>
      <w:bCs/>
      <w:sz w:val="28"/>
      <w:szCs w:val="28"/>
    </w:rPr>
  </w:style>
  <w:style w:type="character" w:customStyle="1" w:styleId="71">
    <w:name w:val="标题 5 Char"/>
    <w:basedOn w:val="53"/>
    <w:autoRedefine/>
    <w:semiHidden/>
    <w:qFormat/>
    <w:uiPriority w:val="9"/>
    <w:rPr>
      <w:rFonts w:ascii="Calibri" w:hAnsi="Calibri" w:eastAsia="宋体" w:cs="Times New Roman"/>
      <w:b/>
      <w:bCs/>
      <w:sz w:val="28"/>
      <w:szCs w:val="28"/>
    </w:rPr>
  </w:style>
  <w:style w:type="character" w:customStyle="1" w:styleId="72">
    <w:name w:val="标题 6 Char"/>
    <w:basedOn w:val="53"/>
    <w:autoRedefine/>
    <w:semiHidden/>
    <w:qFormat/>
    <w:uiPriority w:val="9"/>
    <w:rPr>
      <w:rFonts w:asciiTheme="majorHAnsi" w:hAnsiTheme="majorHAnsi" w:eastAsiaTheme="majorEastAsia" w:cstheme="majorBidi"/>
      <w:b/>
      <w:bCs/>
      <w:sz w:val="24"/>
      <w:szCs w:val="24"/>
    </w:rPr>
  </w:style>
  <w:style w:type="character" w:customStyle="1" w:styleId="73">
    <w:name w:val="标题 7 Char"/>
    <w:basedOn w:val="53"/>
    <w:autoRedefine/>
    <w:semiHidden/>
    <w:qFormat/>
    <w:uiPriority w:val="9"/>
    <w:rPr>
      <w:rFonts w:ascii="Calibri" w:hAnsi="Calibri" w:eastAsia="宋体" w:cs="Times New Roman"/>
      <w:b/>
      <w:bCs/>
      <w:sz w:val="24"/>
      <w:szCs w:val="24"/>
    </w:rPr>
  </w:style>
  <w:style w:type="character" w:customStyle="1" w:styleId="74">
    <w:name w:val="标题 8 Char"/>
    <w:basedOn w:val="53"/>
    <w:autoRedefine/>
    <w:semiHidden/>
    <w:qFormat/>
    <w:uiPriority w:val="9"/>
    <w:rPr>
      <w:rFonts w:asciiTheme="majorHAnsi" w:hAnsiTheme="majorHAnsi" w:eastAsiaTheme="majorEastAsia" w:cstheme="majorBidi"/>
      <w:sz w:val="24"/>
      <w:szCs w:val="24"/>
    </w:rPr>
  </w:style>
  <w:style w:type="character" w:customStyle="1" w:styleId="75">
    <w:name w:val="标题 9 Char"/>
    <w:basedOn w:val="53"/>
    <w:autoRedefine/>
    <w:semiHidden/>
    <w:qFormat/>
    <w:uiPriority w:val="9"/>
    <w:rPr>
      <w:rFonts w:asciiTheme="majorHAnsi" w:hAnsiTheme="majorHAnsi" w:eastAsiaTheme="majorEastAsia" w:cstheme="majorBidi"/>
      <w:szCs w:val="21"/>
    </w:rPr>
  </w:style>
  <w:style w:type="character" w:customStyle="1" w:styleId="76">
    <w:name w:val="HTML 预设格式 Char"/>
    <w:basedOn w:val="53"/>
    <w:link w:val="45"/>
    <w:autoRedefine/>
    <w:semiHidden/>
    <w:qFormat/>
    <w:uiPriority w:val="0"/>
    <w:rPr>
      <w:rFonts w:ascii="宋体" w:hAnsi="Courier New" w:eastAsia="宋体" w:cs="Times New Roman"/>
      <w:szCs w:val="20"/>
    </w:rPr>
  </w:style>
  <w:style w:type="character" w:customStyle="1" w:styleId="77">
    <w:name w:val="正文缩进 Char"/>
    <w:link w:val="14"/>
    <w:autoRedefine/>
    <w:semiHidden/>
    <w:qFormat/>
    <w:locked/>
    <w:uiPriority w:val="0"/>
    <w:rPr>
      <w:rFonts w:ascii="Times New Roman" w:hAnsi="Times New Roman" w:cs="Times New Roman"/>
      <w:szCs w:val="24"/>
    </w:rPr>
  </w:style>
  <w:style w:type="character" w:customStyle="1" w:styleId="78">
    <w:name w:val="批注文字 Char"/>
    <w:basedOn w:val="53"/>
    <w:link w:val="19"/>
    <w:autoRedefine/>
    <w:semiHidden/>
    <w:qFormat/>
    <w:uiPriority w:val="99"/>
    <w:rPr>
      <w:rFonts w:ascii="Calibri" w:hAnsi="Calibri" w:eastAsia="宋体" w:cs="Times New Roman"/>
    </w:rPr>
  </w:style>
  <w:style w:type="character" w:customStyle="1" w:styleId="79">
    <w:name w:val="列表 Char"/>
    <w:link w:val="39"/>
    <w:autoRedefine/>
    <w:semiHidden/>
    <w:qFormat/>
    <w:locked/>
    <w:uiPriority w:val="99"/>
    <w:rPr>
      <w:szCs w:val="24"/>
    </w:rPr>
  </w:style>
  <w:style w:type="character" w:customStyle="1" w:styleId="80">
    <w:name w:val="标题 Char"/>
    <w:basedOn w:val="53"/>
    <w:link w:val="48"/>
    <w:autoRedefine/>
    <w:qFormat/>
    <w:uiPriority w:val="99"/>
    <w:rPr>
      <w:rFonts w:ascii="Cambria" w:hAnsi="Cambria" w:eastAsia="宋体" w:cs="Times New Roman"/>
      <w:b/>
      <w:bCs/>
      <w:kern w:val="0"/>
      <w:sz w:val="32"/>
      <w:szCs w:val="32"/>
    </w:rPr>
  </w:style>
  <w:style w:type="character" w:customStyle="1" w:styleId="81">
    <w:name w:val="正文文本 Char"/>
    <w:basedOn w:val="53"/>
    <w:link w:val="21"/>
    <w:autoRedefine/>
    <w:semiHidden/>
    <w:qFormat/>
    <w:uiPriority w:val="99"/>
    <w:rPr>
      <w:rFonts w:ascii="Calibri" w:hAnsi="Calibri" w:eastAsia="宋体" w:cs="Times New Roman"/>
    </w:rPr>
  </w:style>
  <w:style w:type="character" w:customStyle="1" w:styleId="82">
    <w:name w:val="正文首行缩进 Char"/>
    <w:basedOn w:val="81"/>
    <w:link w:val="22"/>
    <w:autoRedefine/>
    <w:semiHidden/>
    <w:qFormat/>
    <w:uiPriority w:val="99"/>
    <w:rPr>
      <w:rFonts w:ascii="Calibri" w:hAnsi="Calibri" w:eastAsia="宋体" w:cs="Times New Roman"/>
      <w:szCs w:val="24"/>
    </w:rPr>
  </w:style>
  <w:style w:type="character" w:customStyle="1" w:styleId="83">
    <w:name w:val="正文文本缩进 Char"/>
    <w:basedOn w:val="53"/>
    <w:link w:val="15"/>
    <w:autoRedefine/>
    <w:semiHidden/>
    <w:qFormat/>
    <w:locked/>
    <w:uiPriority w:val="0"/>
  </w:style>
  <w:style w:type="character" w:customStyle="1" w:styleId="84">
    <w:name w:val="正文文本缩进 Char1"/>
    <w:basedOn w:val="53"/>
    <w:autoRedefine/>
    <w:semiHidden/>
    <w:qFormat/>
    <w:uiPriority w:val="99"/>
    <w:rPr>
      <w:rFonts w:ascii="Calibri" w:hAnsi="Calibri" w:eastAsia="宋体" w:cs="Times New Roman"/>
    </w:rPr>
  </w:style>
  <w:style w:type="character" w:customStyle="1" w:styleId="85">
    <w:name w:val="副标题 Char"/>
    <w:basedOn w:val="53"/>
    <w:link w:val="38"/>
    <w:autoRedefine/>
    <w:qFormat/>
    <w:uiPriority w:val="99"/>
    <w:rPr>
      <w:rFonts w:ascii="Cambria" w:hAnsi="Cambria" w:eastAsia="宋体" w:cs="Times New Roman"/>
      <w:b/>
      <w:bCs/>
      <w:kern w:val="28"/>
      <w:sz w:val="32"/>
      <w:szCs w:val="32"/>
    </w:rPr>
  </w:style>
  <w:style w:type="character" w:customStyle="1" w:styleId="86">
    <w:name w:val="日期 Char"/>
    <w:basedOn w:val="53"/>
    <w:link w:val="30"/>
    <w:autoRedefine/>
    <w:semiHidden/>
    <w:qFormat/>
    <w:locked/>
    <w:uiPriority w:val="99"/>
    <w:rPr>
      <w:rFonts w:ascii="Times New Roman" w:hAnsi="Times New Roman" w:cs="Times New Roman"/>
      <w:szCs w:val="24"/>
    </w:rPr>
  </w:style>
  <w:style w:type="character" w:customStyle="1" w:styleId="87">
    <w:name w:val="日期 Char1"/>
    <w:basedOn w:val="53"/>
    <w:autoRedefine/>
    <w:semiHidden/>
    <w:qFormat/>
    <w:uiPriority w:val="99"/>
    <w:rPr>
      <w:rFonts w:ascii="Calibri" w:hAnsi="Calibri" w:eastAsia="宋体" w:cs="Times New Roman"/>
    </w:rPr>
  </w:style>
  <w:style w:type="character" w:customStyle="1" w:styleId="88">
    <w:name w:val="正文首行缩进 2 Char"/>
    <w:basedOn w:val="84"/>
    <w:autoRedefine/>
    <w:semiHidden/>
    <w:qFormat/>
    <w:uiPriority w:val="99"/>
    <w:rPr>
      <w:rFonts w:ascii="Calibri" w:hAnsi="Calibri" w:eastAsia="宋体" w:cs="Times New Roman"/>
    </w:rPr>
  </w:style>
  <w:style w:type="character" w:customStyle="1" w:styleId="89">
    <w:name w:val="正文文本 2 Char"/>
    <w:basedOn w:val="53"/>
    <w:link w:val="44"/>
    <w:autoRedefine/>
    <w:semiHidden/>
    <w:qFormat/>
    <w:uiPriority w:val="99"/>
    <w:rPr>
      <w:rFonts w:ascii="Times New Roman" w:hAnsi="Times New Roman" w:eastAsia="宋体" w:cs="Times New Roman"/>
      <w:kern w:val="0"/>
      <w:sz w:val="20"/>
      <w:szCs w:val="24"/>
    </w:rPr>
  </w:style>
  <w:style w:type="character" w:customStyle="1" w:styleId="90">
    <w:name w:val="正文文本 3 Char"/>
    <w:basedOn w:val="53"/>
    <w:link w:val="20"/>
    <w:autoRedefine/>
    <w:qFormat/>
    <w:uiPriority w:val="99"/>
    <w:rPr>
      <w:rFonts w:ascii="Times New Roman" w:hAnsi="Times New Roman" w:eastAsia="宋体" w:cs="Times New Roman"/>
      <w:kern w:val="0"/>
      <w:sz w:val="16"/>
      <w:szCs w:val="16"/>
    </w:rPr>
  </w:style>
  <w:style w:type="character" w:customStyle="1" w:styleId="91">
    <w:name w:val="正文文本缩进 2 Char"/>
    <w:basedOn w:val="53"/>
    <w:autoRedefine/>
    <w:semiHidden/>
    <w:qFormat/>
    <w:uiPriority w:val="0"/>
    <w:rPr>
      <w:rFonts w:ascii="Calibri" w:hAnsi="Calibri" w:eastAsia="宋体" w:cs="Times New Roman"/>
    </w:rPr>
  </w:style>
  <w:style w:type="character" w:customStyle="1" w:styleId="92">
    <w:name w:val="正文文本缩进 3 Char"/>
    <w:basedOn w:val="53"/>
    <w:autoRedefine/>
    <w:semiHidden/>
    <w:qFormat/>
    <w:uiPriority w:val="0"/>
    <w:rPr>
      <w:rFonts w:ascii="Calibri" w:hAnsi="Calibri" w:eastAsia="宋体" w:cs="Times New Roman"/>
      <w:sz w:val="16"/>
      <w:szCs w:val="16"/>
    </w:rPr>
  </w:style>
  <w:style w:type="character" w:customStyle="1" w:styleId="93">
    <w:name w:val="文档结构图 Char"/>
    <w:basedOn w:val="53"/>
    <w:autoRedefine/>
    <w:semiHidden/>
    <w:qFormat/>
    <w:uiPriority w:val="0"/>
    <w:rPr>
      <w:rFonts w:ascii="宋体" w:hAnsi="Calibri" w:eastAsia="宋体" w:cs="Times New Roman"/>
      <w:sz w:val="18"/>
      <w:szCs w:val="18"/>
    </w:rPr>
  </w:style>
  <w:style w:type="character" w:customStyle="1" w:styleId="94">
    <w:name w:val="纯文本 Char1"/>
    <w:link w:val="23"/>
    <w:autoRedefine/>
    <w:semiHidden/>
    <w:qFormat/>
    <w:locked/>
    <w:uiPriority w:val="99"/>
    <w:rPr>
      <w:rFonts w:ascii="宋体" w:hAnsi="Courier New" w:eastAsia="宋体"/>
      <w:sz w:val="24"/>
      <w:szCs w:val="24"/>
    </w:rPr>
  </w:style>
  <w:style w:type="character" w:customStyle="1" w:styleId="95">
    <w:name w:val="纯文本 Char"/>
    <w:basedOn w:val="53"/>
    <w:autoRedefine/>
    <w:qFormat/>
    <w:uiPriority w:val="0"/>
    <w:rPr>
      <w:rFonts w:ascii="宋体" w:hAnsi="Courier New" w:eastAsia="宋体" w:cs="Courier New"/>
      <w:szCs w:val="21"/>
    </w:rPr>
  </w:style>
  <w:style w:type="character" w:customStyle="1" w:styleId="96">
    <w:name w:val="批注主题 Char"/>
    <w:basedOn w:val="78"/>
    <w:link w:val="49"/>
    <w:autoRedefine/>
    <w:semiHidden/>
    <w:qFormat/>
    <w:uiPriority w:val="99"/>
    <w:rPr>
      <w:rFonts w:ascii="Calibri" w:hAnsi="Calibri" w:eastAsia="宋体" w:cs="Times New Roman"/>
      <w:b/>
      <w:bCs/>
    </w:rPr>
  </w:style>
  <w:style w:type="character" w:customStyle="1" w:styleId="97">
    <w:name w:val="批注框文本 Char"/>
    <w:basedOn w:val="53"/>
    <w:autoRedefine/>
    <w:semiHidden/>
    <w:qFormat/>
    <w:uiPriority w:val="0"/>
    <w:rPr>
      <w:rFonts w:ascii="Calibri" w:hAnsi="Calibri" w:eastAsia="宋体" w:cs="Times New Roman"/>
      <w:sz w:val="18"/>
      <w:szCs w:val="18"/>
    </w:rPr>
  </w:style>
  <w:style w:type="paragraph" w:styleId="98">
    <w:name w:val="No Spacing"/>
    <w:autoRedefine/>
    <w:qFormat/>
    <w:uiPriority w:val="1"/>
    <w:pPr>
      <w:widowControl w:val="0"/>
      <w:jc w:val="both"/>
    </w:pPr>
    <w:rPr>
      <w:rFonts w:ascii="等线" w:hAnsi="等线" w:eastAsia="等线" w:cs="Times New Roman"/>
      <w:kern w:val="2"/>
      <w:sz w:val="24"/>
      <w:szCs w:val="24"/>
      <w:lang w:val="en-US" w:eastAsia="zh-CN" w:bidi="ar-SA"/>
    </w:rPr>
  </w:style>
  <w:style w:type="paragraph" w:customStyle="1" w:styleId="99">
    <w:name w:val="修订1"/>
    <w:autoRedefine/>
    <w:semiHidden/>
    <w:qFormat/>
    <w:uiPriority w:val="99"/>
    <w:rPr>
      <w:rFonts w:ascii="Times New Roman" w:hAnsi="Times New Roman" w:eastAsia="宋体" w:cs="Times New Roman"/>
      <w:kern w:val="2"/>
      <w:sz w:val="21"/>
      <w:szCs w:val="24"/>
      <w:lang w:val="en-US" w:eastAsia="zh-CN" w:bidi="ar-SA"/>
    </w:rPr>
  </w:style>
  <w:style w:type="character" w:customStyle="1" w:styleId="100">
    <w:name w:val="列出段落 Char"/>
    <w:link w:val="101"/>
    <w:autoRedefine/>
    <w:qFormat/>
    <w:locked/>
    <w:uiPriority w:val="34"/>
  </w:style>
  <w:style w:type="paragraph" w:styleId="101">
    <w:name w:val="List Paragraph"/>
    <w:basedOn w:val="1"/>
    <w:link w:val="100"/>
    <w:autoRedefine/>
    <w:qFormat/>
    <w:uiPriority w:val="34"/>
    <w:pPr>
      <w:ind w:firstLine="420" w:firstLineChars="200"/>
    </w:pPr>
    <w:rPr>
      <w:rFonts w:asciiTheme="minorHAnsi" w:hAnsiTheme="minorHAnsi" w:eastAsiaTheme="minorEastAsia" w:cstheme="minorBidi"/>
    </w:rPr>
  </w:style>
  <w:style w:type="paragraph" w:customStyle="1" w:styleId="102">
    <w:name w:val="TOC 标题1"/>
    <w:basedOn w:val="2"/>
    <w:next w:val="1"/>
    <w:autoRedefine/>
    <w:semiHidden/>
    <w:unhideWhenUsed/>
    <w:qFormat/>
    <w:uiPriority w:val="39"/>
    <w:pPr>
      <w:widowControl/>
      <w:spacing w:before="480" w:after="0" w:line="276" w:lineRule="auto"/>
      <w:jc w:val="left"/>
      <w:outlineLvl w:val="9"/>
    </w:pPr>
    <w:rPr>
      <w:rFonts w:ascii="Cambria" w:hAnsi="Cambria"/>
      <w:color w:val="365F91"/>
      <w:kern w:val="0"/>
      <w:sz w:val="28"/>
      <w:szCs w:val="28"/>
    </w:rPr>
  </w:style>
  <w:style w:type="character" w:customStyle="1" w:styleId="103">
    <w:name w:val="正文2 Char"/>
    <w:link w:val="104"/>
    <w:autoRedefine/>
    <w:qFormat/>
    <w:locked/>
    <w:uiPriority w:val="0"/>
    <w:rPr>
      <w:sz w:val="24"/>
    </w:rPr>
  </w:style>
  <w:style w:type="paragraph" w:customStyle="1" w:styleId="104">
    <w:name w:val="正文2"/>
    <w:basedOn w:val="1"/>
    <w:link w:val="103"/>
    <w:autoRedefine/>
    <w:qFormat/>
    <w:uiPriority w:val="0"/>
    <w:pPr>
      <w:spacing w:before="156" w:line="360" w:lineRule="auto"/>
      <w:ind w:firstLine="510" w:firstLineChars="200"/>
    </w:pPr>
    <w:rPr>
      <w:rFonts w:asciiTheme="minorHAnsi" w:hAnsiTheme="minorHAnsi" w:eastAsiaTheme="minorEastAsia" w:cstheme="minorBidi"/>
      <w:sz w:val="24"/>
    </w:rPr>
  </w:style>
  <w:style w:type="character" w:customStyle="1" w:styleId="105">
    <w:name w:val="论文正文样式 Char Char"/>
    <w:link w:val="106"/>
    <w:autoRedefine/>
    <w:qFormat/>
    <w:locked/>
    <w:uiPriority w:val="0"/>
    <w:rPr>
      <w:szCs w:val="21"/>
    </w:rPr>
  </w:style>
  <w:style w:type="paragraph" w:customStyle="1" w:styleId="106">
    <w:name w:val="论文正文样式"/>
    <w:basedOn w:val="1"/>
    <w:link w:val="105"/>
    <w:autoRedefine/>
    <w:qFormat/>
    <w:uiPriority w:val="0"/>
    <w:pPr>
      <w:spacing w:line="360" w:lineRule="auto"/>
    </w:pPr>
    <w:rPr>
      <w:rFonts w:asciiTheme="minorHAnsi" w:hAnsiTheme="minorHAnsi" w:eastAsiaTheme="minorEastAsia" w:cstheme="minorBidi"/>
      <w:szCs w:val="21"/>
    </w:rPr>
  </w:style>
  <w:style w:type="paragraph" w:customStyle="1" w:styleId="107">
    <w:name w:val="纯文本3"/>
    <w:basedOn w:val="1"/>
    <w:autoRedefine/>
    <w:qFormat/>
    <w:uiPriority w:val="99"/>
    <w:pPr>
      <w:spacing w:afterLines="50"/>
    </w:pPr>
    <w:rPr>
      <w:rFonts w:ascii="宋体" w:hAnsi="Courier New" w:cs="Courier New"/>
      <w:kern w:val="0"/>
      <w:sz w:val="20"/>
      <w:szCs w:val="21"/>
    </w:rPr>
  </w:style>
  <w:style w:type="character" w:customStyle="1" w:styleId="108">
    <w:name w:val="内容文本 Char"/>
    <w:link w:val="109"/>
    <w:autoRedefine/>
    <w:qFormat/>
    <w:locked/>
    <w:uiPriority w:val="0"/>
    <w:rPr>
      <w:rFonts w:ascii="宋体" w:hAnsi="宋体" w:eastAsia="宋体"/>
      <w:sz w:val="24"/>
      <w:szCs w:val="24"/>
      <w:lang w:eastAsia="en-US" w:bidi="en-US"/>
    </w:rPr>
  </w:style>
  <w:style w:type="paragraph" w:customStyle="1" w:styleId="109">
    <w:name w:val="内容文本"/>
    <w:basedOn w:val="101"/>
    <w:link w:val="108"/>
    <w:autoRedefine/>
    <w:qFormat/>
    <w:uiPriority w:val="0"/>
    <w:pPr>
      <w:spacing w:line="360" w:lineRule="auto"/>
      <w:ind w:firstLine="200"/>
      <w:contextualSpacing/>
      <w:jc w:val="left"/>
    </w:pPr>
    <w:rPr>
      <w:rFonts w:ascii="宋体" w:hAnsi="宋体" w:eastAsia="宋体"/>
      <w:sz w:val="24"/>
      <w:szCs w:val="24"/>
      <w:lang w:eastAsia="en-US" w:bidi="en-US"/>
    </w:rPr>
  </w:style>
  <w:style w:type="character" w:customStyle="1" w:styleId="110">
    <w:name w:val="Table Text Char1"/>
    <w:link w:val="111"/>
    <w:autoRedefine/>
    <w:qFormat/>
    <w:locked/>
    <w:uiPriority w:val="0"/>
    <w:rPr>
      <w:rFonts w:ascii="Arial" w:hAnsi="Arial" w:cs="Arial"/>
      <w:sz w:val="18"/>
      <w:szCs w:val="24"/>
    </w:rPr>
  </w:style>
  <w:style w:type="paragraph" w:customStyle="1" w:styleId="111">
    <w:name w:val="Table Text"/>
    <w:basedOn w:val="1"/>
    <w:link w:val="110"/>
    <w:autoRedefine/>
    <w:qFormat/>
    <w:uiPriority w:val="0"/>
    <w:pPr>
      <w:widowControl/>
      <w:tabs>
        <w:tab w:val="decimal" w:pos="0"/>
      </w:tabs>
      <w:autoSpaceDE w:val="0"/>
      <w:autoSpaceDN w:val="0"/>
      <w:adjustRightInd w:val="0"/>
      <w:spacing w:before="80" w:after="80"/>
    </w:pPr>
    <w:rPr>
      <w:rFonts w:ascii="Arial" w:hAnsi="Arial" w:cs="Arial" w:eastAsiaTheme="minorEastAsia"/>
      <w:sz w:val="18"/>
      <w:szCs w:val="24"/>
    </w:rPr>
  </w:style>
  <w:style w:type="character" w:customStyle="1" w:styleId="112">
    <w:name w:val="UserStyle_117"/>
    <w:link w:val="113"/>
    <w:autoRedefine/>
    <w:qFormat/>
    <w:locked/>
    <w:uiPriority w:val="0"/>
    <w:rPr>
      <w:rFonts w:ascii="宋体" w:hAnsi="Courier New" w:eastAsia="宋体"/>
      <w:sz w:val="24"/>
      <w:szCs w:val="24"/>
    </w:rPr>
  </w:style>
  <w:style w:type="paragraph" w:customStyle="1" w:styleId="113">
    <w:name w:val="PlainText"/>
    <w:basedOn w:val="1"/>
    <w:link w:val="112"/>
    <w:autoRedefine/>
    <w:qFormat/>
    <w:uiPriority w:val="0"/>
    <w:pPr>
      <w:widowControl/>
      <w:spacing w:before="156" w:after="156" w:line="400" w:lineRule="exact"/>
    </w:pPr>
    <w:rPr>
      <w:rFonts w:ascii="宋体" w:hAnsi="Courier New" w:cstheme="minorBidi"/>
      <w:sz w:val="24"/>
      <w:szCs w:val="24"/>
    </w:rPr>
  </w:style>
  <w:style w:type="character" w:customStyle="1" w:styleId="114">
    <w:name w:val="纯文本 Char1_0"/>
    <w:link w:val="115"/>
    <w:autoRedefine/>
    <w:qFormat/>
    <w:locked/>
    <w:uiPriority w:val="0"/>
    <w:rPr>
      <w:rFonts w:ascii="宋体" w:hAnsi="Courier New" w:eastAsia="宋体"/>
    </w:rPr>
  </w:style>
  <w:style w:type="paragraph" w:customStyle="1" w:styleId="115">
    <w:name w:val="纯文本_0"/>
    <w:basedOn w:val="1"/>
    <w:link w:val="114"/>
    <w:autoRedefine/>
    <w:qFormat/>
    <w:uiPriority w:val="0"/>
    <w:rPr>
      <w:rFonts w:ascii="宋体" w:hAnsi="Courier New" w:cstheme="minorBidi"/>
    </w:rPr>
  </w:style>
  <w:style w:type="character" w:customStyle="1" w:styleId="116">
    <w:name w:val="标准正文格式 Char Char"/>
    <w:link w:val="117"/>
    <w:autoRedefine/>
    <w:qFormat/>
    <w:locked/>
    <w:uiPriority w:val="0"/>
    <w:rPr>
      <w:rFonts w:ascii="宋体" w:hAnsi="宋体" w:eastAsia="仿宋_GB2312" w:cs="宋体"/>
      <w:color w:val="000000"/>
      <w:sz w:val="24"/>
    </w:rPr>
  </w:style>
  <w:style w:type="paragraph" w:customStyle="1" w:styleId="117">
    <w:name w:val="标准正文格式"/>
    <w:basedOn w:val="1"/>
    <w:link w:val="116"/>
    <w:autoRedefine/>
    <w:qFormat/>
    <w:uiPriority w:val="0"/>
    <w:pPr>
      <w:widowControl/>
      <w:adjustRightInd w:val="0"/>
      <w:spacing w:before="60" w:after="120" w:line="360" w:lineRule="auto"/>
      <w:ind w:firstLine="200" w:firstLineChars="200"/>
    </w:pPr>
    <w:rPr>
      <w:rFonts w:ascii="宋体" w:hAnsi="宋体" w:eastAsia="仿宋_GB2312" w:cs="宋体"/>
      <w:color w:val="000000"/>
      <w:sz w:val="24"/>
    </w:rPr>
  </w:style>
  <w:style w:type="character" w:customStyle="1" w:styleId="118">
    <w:name w:val="列出段落 字符"/>
    <w:link w:val="119"/>
    <w:autoRedefine/>
    <w:qFormat/>
    <w:locked/>
    <w:uiPriority w:val="0"/>
  </w:style>
  <w:style w:type="paragraph" w:customStyle="1" w:styleId="119">
    <w:name w:val="列出段落1"/>
    <w:basedOn w:val="1"/>
    <w:link w:val="118"/>
    <w:autoRedefine/>
    <w:qFormat/>
    <w:uiPriority w:val="0"/>
    <w:pPr>
      <w:ind w:firstLine="420" w:firstLineChars="200"/>
    </w:pPr>
    <w:rPr>
      <w:rFonts w:asciiTheme="minorHAnsi" w:hAnsiTheme="minorHAnsi" w:eastAsiaTheme="minorEastAsia" w:cstheme="minorBidi"/>
    </w:rPr>
  </w:style>
  <w:style w:type="character" w:customStyle="1" w:styleId="120">
    <w:name w:val="标书正文 Char Char"/>
    <w:link w:val="121"/>
    <w:autoRedefine/>
    <w:qFormat/>
    <w:locked/>
    <w:uiPriority w:val="0"/>
    <w:rPr>
      <w:color w:val="000000"/>
      <w:sz w:val="24"/>
    </w:rPr>
  </w:style>
  <w:style w:type="paragraph" w:customStyle="1" w:styleId="121">
    <w:name w:val="标书正文"/>
    <w:basedOn w:val="1"/>
    <w:link w:val="120"/>
    <w:autoRedefine/>
    <w:qFormat/>
    <w:uiPriority w:val="0"/>
    <w:pPr>
      <w:spacing w:line="360" w:lineRule="auto"/>
      <w:ind w:firstLine="200" w:firstLineChars="200"/>
      <w:jc w:val="left"/>
    </w:pPr>
    <w:rPr>
      <w:rFonts w:asciiTheme="minorHAnsi" w:hAnsiTheme="minorHAnsi" w:eastAsiaTheme="minorEastAsia" w:cstheme="minorBidi"/>
      <w:color w:val="000000"/>
      <w:sz w:val="24"/>
    </w:rPr>
  </w:style>
  <w:style w:type="character" w:customStyle="1" w:styleId="122">
    <w:name w:val="UserStyle_20"/>
    <w:link w:val="123"/>
    <w:autoRedefine/>
    <w:qFormat/>
    <w:locked/>
    <w:uiPriority w:val="0"/>
    <w:rPr>
      <w:rFonts w:ascii="宋体" w:hAnsi="宋体" w:eastAsia="仿宋_GB2312"/>
      <w:b/>
      <w:bCs/>
      <w:sz w:val="24"/>
    </w:rPr>
  </w:style>
  <w:style w:type="paragraph" w:customStyle="1" w:styleId="123">
    <w:name w:val="BodyText3"/>
    <w:basedOn w:val="1"/>
    <w:link w:val="122"/>
    <w:autoRedefine/>
    <w:qFormat/>
    <w:uiPriority w:val="0"/>
    <w:pPr>
      <w:widowControl/>
      <w:snapToGrid w:val="0"/>
      <w:spacing w:before="50" w:after="50"/>
    </w:pPr>
    <w:rPr>
      <w:rFonts w:ascii="宋体" w:hAnsi="宋体" w:eastAsia="仿宋_GB2312" w:cstheme="minorBidi"/>
      <w:b/>
      <w:bCs/>
      <w:sz w:val="24"/>
    </w:rPr>
  </w:style>
  <w:style w:type="character" w:customStyle="1" w:styleId="124">
    <w:name w:val="段落行文 Char"/>
    <w:link w:val="125"/>
    <w:autoRedefine/>
    <w:qFormat/>
    <w:locked/>
    <w:uiPriority w:val="0"/>
    <w:rPr>
      <w:rFonts w:ascii="仿宋_GB2312" w:eastAsia="仿宋_GB2312"/>
      <w:sz w:val="24"/>
      <w:szCs w:val="24"/>
    </w:rPr>
  </w:style>
  <w:style w:type="paragraph" w:customStyle="1" w:styleId="125">
    <w:name w:val="段落行文"/>
    <w:basedOn w:val="1"/>
    <w:link w:val="124"/>
    <w:autoRedefine/>
    <w:qFormat/>
    <w:uiPriority w:val="0"/>
    <w:pPr>
      <w:adjustRightInd w:val="0"/>
      <w:snapToGrid w:val="0"/>
      <w:spacing w:line="480" w:lineRule="auto"/>
      <w:ind w:firstLine="480" w:firstLineChars="200"/>
    </w:pPr>
    <w:rPr>
      <w:rFonts w:ascii="仿宋_GB2312" w:eastAsia="仿宋_GB2312" w:hAnsiTheme="minorHAnsi" w:cstheme="minorBidi"/>
      <w:sz w:val="24"/>
      <w:szCs w:val="24"/>
    </w:rPr>
  </w:style>
  <w:style w:type="character" w:customStyle="1" w:styleId="126">
    <w:name w:val="无间隔 Char"/>
    <w:link w:val="127"/>
    <w:autoRedefine/>
    <w:qFormat/>
    <w:locked/>
    <w:uiPriority w:val="1"/>
    <w:rPr>
      <w:rFonts w:ascii="楷体_GB2312" w:eastAsia="楷体_GB2312"/>
      <w:sz w:val="24"/>
    </w:rPr>
  </w:style>
  <w:style w:type="paragraph" w:customStyle="1" w:styleId="127">
    <w:name w:val="无间隔11"/>
    <w:link w:val="126"/>
    <w:autoRedefine/>
    <w:qFormat/>
    <w:uiPriority w:val="1"/>
    <w:pPr>
      <w:widowControl w:val="0"/>
      <w:jc w:val="both"/>
    </w:pPr>
    <w:rPr>
      <w:rFonts w:ascii="楷体_GB2312" w:eastAsia="楷体_GB2312" w:hAnsiTheme="minorHAnsi" w:cstheme="minorBidi"/>
      <w:kern w:val="2"/>
      <w:sz w:val="24"/>
      <w:szCs w:val="22"/>
      <w:lang w:val="en-US" w:eastAsia="zh-CN" w:bidi="ar-SA"/>
    </w:rPr>
  </w:style>
  <w:style w:type="paragraph" w:customStyle="1" w:styleId="128">
    <w:name w:val="xl83"/>
    <w:basedOn w:val="1"/>
    <w:autoRedefine/>
    <w:qFormat/>
    <w:uiPriority w:val="99"/>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29">
    <w:name w:val="xl124"/>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0"/>
      <w:szCs w:val="20"/>
    </w:rPr>
  </w:style>
  <w:style w:type="paragraph" w:customStyle="1" w:styleId="130">
    <w:name w:val="Char Char Char Char Char Char Char1"/>
    <w:basedOn w:val="1"/>
    <w:autoRedefine/>
    <w:qFormat/>
    <w:uiPriority w:val="99"/>
    <w:rPr>
      <w:rFonts w:ascii="Arial" w:hAnsi="Arial" w:cs="Arial"/>
      <w:szCs w:val="21"/>
    </w:rPr>
  </w:style>
  <w:style w:type="paragraph" w:customStyle="1" w:styleId="131">
    <w:name w:val="xl76"/>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132">
    <w:name w:val="Char Char Char Char Char Char Char Char Char Char"/>
    <w:basedOn w:val="1"/>
    <w:autoRedefine/>
    <w:qFormat/>
    <w:uiPriority w:val="99"/>
    <w:pPr>
      <w:widowControl/>
      <w:spacing w:after="160" w:line="360" w:lineRule="auto"/>
      <w:jc w:val="left"/>
    </w:pPr>
    <w:rPr>
      <w:rFonts w:ascii="Verdana" w:hAnsi="Verdana" w:cs="Verdana"/>
      <w:kern w:val="0"/>
      <w:sz w:val="24"/>
      <w:szCs w:val="21"/>
      <w:lang w:eastAsia="en-US"/>
    </w:rPr>
  </w:style>
  <w:style w:type="paragraph" w:customStyle="1" w:styleId="133">
    <w:name w:val="xl77"/>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cs="宋体"/>
      <w:color w:val="000000"/>
      <w:kern w:val="0"/>
      <w:sz w:val="20"/>
      <w:szCs w:val="20"/>
    </w:rPr>
  </w:style>
  <w:style w:type="paragraph" w:customStyle="1" w:styleId="134">
    <w:name w:val="Body text|7"/>
    <w:basedOn w:val="1"/>
    <w:autoRedefine/>
    <w:qFormat/>
    <w:uiPriority w:val="99"/>
    <w:pPr>
      <w:ind w:hanging="1800"/>
    </w:pPr>
    <w:rPr>
      <w:rFonts w:ascii="宋体" w:hAnsi="宋体" w:cs="宋体"/>
      <w:sz w:val="17"/>
      <w:szCs w:val="17"/>
      <w:lang w:val="zh-CN"/>
    </w:rPr>
  </w:style>
  <w:style w:type="paragraph" w:customStyle="1" w:styleId="135">
    <w:name w:val="xl78"/>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黑体" w:hAnsi="宋体" w:eastAsia="黑体" w:cs="宋体"/>
      <w:kern w:val="0"/>
      <w:sz w:val="20"/>
      <w:szCs w:val="20"/>
    </w:rPr>
  </w:style>
  <w:style w:type="paragraph" w:customStyle="1" w:styleId="136">
    <w:name w:val="纯文本2"/>
    <w:basedOn w:val="1"/>
    <w:autoRedefine/>
    <w:qFormat/>
    <w:uiPriority w:val="99"/>
    <w:pPr>
      <w:adjustRightInd w:val="0"/>
    </w:pPr>
    <w:rPr>
      <w:rFonts w:ascii="宋体" w:hAnsi="Courier New" w:eastAsia="楷体_GB2312"/>
      <w:sz w:val="26"/>
      <w:szCs w:val="20"/>
    </w:rPr>
  </w:style>
  <w:style w:type="paragraph" w:customStyle="1" w:styleId="137">
    <w:name w:val="目录"/>
    <w:basedOn w:val="36"/>
    <w:autoRedefine/>
    <w:qFormat/>
    <w:uiPriority w:val="99"/>
    <w:pPr>
      <w:tabs>
        <w:tab w:val="right" w:leader="dot" w:pos="7937"/>
      </w:tabs>
      <w:adjustRightInd w:val="0"/>
      <w:spacing w:before="120" w:after="120" w:line="360" w:lineRule="auto"/>
      <w:jc w:val="center"/>
    </w:pPr>
    <w:rPr>
      <w:rFonts w:ascii="宋体" w:hAnsi="Times New Roman" w:eastAsia="黑体"/>
      <w:b/>
      <w:caps/>
      <w:kern w:val="0"/>
      <w:sz w:val="30"/>
      <w:szCs w:val="20"/>
    </w:rPr>
  </w:style>
  <w:style w:type="paragraph" w:customStyle="1" w:styleId="138">
    <w:name w:val="正文段"/>
    <w:basedOn w:val="1"/>
    <w:autoRedefine/>
    <w:qFormat/>
    <w:uiPriority w:val="99"/>
    <w:pPr>
      <w:widowControl/>
      <w:snapToGrid w:val="0"/>
      <w:ind w:firstLine="200" w:firstLineChars="200"/>
    </w:pPr>
    <w:rPr>
      <w:rFonts w:ascii="Times New Roman" w:hAnsi="Times New Roman"/>
      <w:kern w:val="0"/>
      <w:sz w:val="24"/>
      <w:szCs w:val="20"/>
    </w:rPr>
  </w:style>
  <w:style w:type="paragraph" w:customStyle="1" w:styleId="139">
    <w:name w:val="注×："/>
    <w:autoRedefine/>
    <w:qFormat/>
    <w:uiPriority w:val="99"/>
    <w:pPr>
      <w:widowControl w:val="0"/>
      <w:numPr>
        <w:ilvl w:val="0"/>
        <w:numId w:val="3"/>
      </w:numPr>
      <w:autoSpaceDE w:val="0"/>
      <w:autoSpaceDN w:val="0"/>
      <w:ind w:left="811" w:hanging="448"/>
      <w:jc w:val="both"/>
    </w:pPr>
    <w:rPr>
      <w:rFonts w:ascii="宋体" w:hAnsi="Times New Roman" w:eastAsia="宋体" w:cs="Times New Roman"/>
      <w:sz w:val="18"/>
      <w:szCs w:val="18"/>
      <w:lang w:val="en-US" w:eastAsia="zh-CN" w:bidi="ar-SA"/>
    </w:rPr>
  </w:style>
  <w:style w:type="paragraph" w:customStyle="1" w:styleId="140">
    <w:name w:val="Char Char Char Char Char Char"/>
    <w:basedOn w:val="1"/>
    <w:autoRedefine/>
    <w:qFormat/>
    <w:uiPriority w:val="99"/>
    <w:pPr>
      <w:ind w:firstLine="200" w:firstLineChars="200"/>
    </w:pPr>
    <w:rPr>
      <w:szCs w:val="24"/>
    </w:rPr>
  </w:style>
  <w:style w:type="paragraph" w:customStyle="1" w:styleId="141">
    <w:name w:val="xl70"/>
    <w:basedOn w:val="1"/>
    <w:autoRedefine/>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kern w:val="0"/>
      <w:sz w:val="24"/>
      <w:szCs w:val="24"/>
    </w:rPr>
  </w:style>
  <w:style w:type="paragraph" w:customStyle="1" w:styleId="142">
    <w:name w:val="xl69"/>
    <w:basedOn w:val="1"/>
    <w:autoRedefine/>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cs="宋体"/>
      <w:kern w:val="0"/>
      <w:sz w:val="24"/>
      <w:szCs w:val="24"/>
    </w:rPr>
  </w:style>
  <w:style w:type="paragraph" w:customStyle="1" w:styleId="143">
    <w:name w:val="xl68"/>
    <w:basedOn w:val="1"/>
    <w:autoRedefine/>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cs="宋体"/>
      <w:kern w:val="0"/>
      <w:sz w:val="24"/>
      <w:szCs w:val="24"/>
    </w:rPr>
  </w:style>
  <w:style w:type="paragraph" w:customStyle="1" w:styleId="144">
    <w:name w:val="Body text|5"/>
    <w:basedOn w:val="1"/>
    <w:autoRedefine/>
    <w:qFormat/>
    <w:uiPriority w:val="99"/>
    <w:pPr>
      <w:spacing w:after="180"/>
      <w:jc w:val="center"/>
    </w:pPr>
    <w:rPr>
      <w:rFonts w:ascii="宋体" w:hAnsi="宋体" w:cs="宋体"/>
      <w:sz w:val="32"/>
      <w:szCs w:val="32"/>
      <w:lang w:val="zh-TW" w:eastAsia="zh-TW" w:bidi="zh-TW"/>
    </w:rPr>
  </w:style>
  <w:style w:type="paragraph" w:customStyle="1" w:styleId="145">
    <w:name w:val="Table of contents|1"/>
    <w:basedOn w:val="1"/>
    <w:autoRedefine/>
    <w:qFormat/>
    <w:uiPriority w:val="99"/>
    <w:pPr>
      <w:spacing w:after="280"/>
      <w:ind w:firstLine="780"/>
    </w:pPr>
    <w:rPr>
      <w:rFonts w:ascii="宋体" w:hAnsi="宋体" w:cs="宋体"/>
      <w:sz w:val="28"/>
      <w:szCs w:val="28"/>
      <w:lang w:val="zh-TW" w:eastAsia="zh-TW" w:bidi="zh-TW"/>
    </w:rPr>
  </w:style>
  <w:style w:type="paragraph" w:customStyle="1" w:styleId="146">
    <w:name w:val="段"/>
    <w:link w:val="148"/>
    <w:autoRedefine/>
    <w:qFormat/>
    <w:uiPriority w:val="99"/>
    <w:pPr>
      <w:tabs>
        <w:tab w:val="center" w:pos="4201"/>
        <w:tab w:val="right" w:leader="dot" w:pos="9298"/>
      </w:tabs>
      <w:autoSpaceDE w:val="0"/>
      <w:autoSpaceDN w:val="0"/>
      <w:ind w:firstLine="420"/>
      <w:jc w:val="both"/>
    </w:pPr>
    <w:rPr>
      <w:rFonts w:ascii="宋体" w:hAnsi="Times New Roman" w:eastAsia="宋体" w:cs="Times New Roman"/>
      <w:sz w:val="21"/>
      <w:lang w:val="en-US" w:eastAsia="zh-CN" w:bidi="ar-SA"/>
    </w:rPr>
  </w:style>
  <w:style w:type="paragraph" w:customStyle="1" w:styleId="147">
    <w:name w:val="正文表标题"/>
    <w:next w:val="146"/>
    <w:autoRedefine/>
    <w:qFormat/>
    <w:uiPriority w:val="99"/>
    <w:pPr>
      <w:numPr>
        <w:ilvl w:val="0"/>
        <w:numId w:val="4"/>
      </w:numPr>
      <w:spacing w:before="120" w:after="120"/>
      <w:jc w:val="center"/>
    </w:pPr>
    <w:rPr>
      <w:rFonts w:ascii="黑体" w:hAnsi="Times New Roman" w:eastAsia="黑体" w:cs="Times New Roman"/>
      <w:sz w:val="21"/>
      <w:lang w:val="en-US" w:eastAsia="zh-CN" w:bidi="ar-SA"/>
    </w:rPr>
  </w:style>
  <w:style w:type="character" w:customStyle="1" w:styleId="148">
    <w:name w:val="段 Char"/>
    <w:link w:val="146"/>
    <w:autoRedefine/>
    <w:qFormat/>
    <w:locked/>
    <w:uiPriority w:val="99"/>
    <w:rPr>
      <w:rFonts w:ascii="宋体" w:hAnsi="Times New Roman" w:eastAsia="宋体" w:cs="Times New Roman"/>
      <w:kern w:val="0"/>
      <w:szCs w:val="20"/>
    </w:rPr>
  </w:style>
  <w:style w:type="paragraph" w:customStyle="1" w:styleId="149">
    <w:name w:val="reader-word-layer reader-word-s1-10"/>
    <w:basedOn w:val="1"/>
    <w:autoRedefine/>
    <w:qFormat/>
    <w:uiPriority w:val="99"/>
    <w:pPr>
      <w:widowControl/>
      <w:spacing w:before="100" w:beforeAutospacing="1" w:after="100" w:afterAutospacing="1"/>
      <w:jc w:val="left"/>
    </w:pPr>
    <w:rPr>
      <w:rFonts w:ascii="宋体" w:hAnsi="宋体" w:cs="宋体"/>
      <w:kern w:val="0"/>
      <w:sz w:val="24"/>
      <w:szCs w:val="24"/>
    </w:rPr>
  </w:style>
  <w:style w:type="paragraph" w:customStyle="1" w:styleId="150">
    <w:name w:val="正文 + 小四"/>
    <w:basedOn w:val="1"/>
    <w:autoRedefine/>
    <w:qFormat/>
    <w:uiPriority w:val="99"/>
    <w:pPr>
      <w:tabs>
        <w:tab w:val="left" w:pos="1155"/>
        <w:tab w:val="left" w:pos="1440"/>
      </w:tabs>
      <w:spacing w:line="300" w:lineRule="auto"/>
    </w:pPr>
    <w:rPr>
      <w:rFonts w:ascii="宋体" w:hAnsi="宋体"/>
      <w:sz w:val="24"/>
      <w:szCs w:val="28"/>
    </w:rPr>
  </w:style>
  <w:style w:type="paragraph" w:customStyle="1" w:styleId="151">
    <w:name w:val="样式 标题 3 + 小四 非加粗 段前: 0 磅 段后: 0 磅 行距: 单倍行距"/>
    <w:basedOn w:val="4"/>
    <w:autoRedefine/>
    <w:qFormat/>
    <w:uiPriority w:val="99"/>
    <w:pPr>
      <w:widowControl w:val="0"/>
      <w:tabs>
        <w:tab w:val="left" w:pos="0"/>
      </w:tabs>
      <w:spacing w:before="120" w:beforeAutospacing="0" w:after="120" w:afterAutospacing="0"/>
      <w:ind w:left="454" w:hanging="454"/>
    </w:pPr>
    <w:rPr>
      <w:rFonts w:ascii="Calibri" w:hAnsi="Calibri"/>
      <w:b w:val="0"/>
      <w:bCs w:val="0"/>
      <w:color w:val="000000"/>
      <w:sz w:val="24"/>
      <w:szCs w:val="20"/>
    </w:rPr>
  </w:style>
  <w:style w:type="paragraph" w:customStyle="1" w:styleId="152">
    <w:name w:val="Body text|3"/>
    <w:basedOn w:val="1"/>
    <w:autoRedefine/>
    <w:qFormat/>
    <w:uiPriority w:val="99"/>
    <w:pPr>
      <w:spacing w:after="250"/>
    </w:pPr>
    <w:rPr>
      <w:rFonts w:ascii="Times New Roman" w:hAnsi="Times New Roman"/>
      <w:sz w:val="28"/>
      <w:szCs w:val="28"/>
      <w:lang w:val="zh-TW" w:eastAsia="zh-TW" w:bidi="zh-TW"/>
    </w:rPr>
  </w:style>
  <w:style w:type="paragraph" w:customStyle="1" w:styleId="153">
    <w:name w:val="默认段落字体 Para Char"/>
    <w:basedOn w:val="1"/>
    <w:autoRedefine/>
    <w:qFormat/>
    <w:uiPriority w:val="99"/>
    <w:pPr>
      <w:widowControl/>
      <w:topLinePunct/>
      <w:adjustRightInd w:val="0"/>
      <w:snapToGrid w:val="0"/>
      <w:spacing w:before="160" w:after="160" w:line="240" w:lineRule="atLeast"/>
      <w:ind w:left="1701"/>
      <w:jc w:val="left"/>
    </w:pPr>
    <w:rPr>
      <w:rFonts w:ascii="Times New Roman" w:hAnsi="Times New Roman"/>
      <w:szCs w:val="24"/>
    </w:rPr>
  </w:style>
  <w:style w:type="paragraph" w:customStyle="1" w:styleId="154">
    <w:name w:val="Char3"/>
    <w:basedOn w:val="1"/>
    <w:autoRedefine/>
    <w:qFormat/>
    <w:uiPriority w:val="99"/>
    <w:pPr>
      <w:widowControl/>
      <w:spacing w:after="160" w:line="240" w:lineRule="exact"/>
      <w:jc w:val="left"/>
    </w:pPr>
    <w:rPr>
      <w:rFonts w:ascii="Verdana" w:hAnsi="Verdana" w:eastAsia="仿宋_GB2312" w:cs="宋体"/>
      <w:kern w:val="0"/>
      <w:sz w:val="24"/>
      <w:szCs w:val="20"/>
      <w:lang w:eastAsia="en-US"/>
    </w:rPr>
  </w:style>
  <w:style w:type="paragraph" w:customStyle="1" w:styleId="155">
    <w:name w:val="Body text|6"/>
    <w:basedOn w:val="1"/>
    <w:autoRedefine/>
    <w:qFormat/>
    <w:uiPriority w:val="99"/>
    <w:pPr>
      <w:spacing w:after="180"/>
      <w:jc w:val="center"/>
    </w:pPr>
    <w:rPr>
      <w:rFonts w:ascii="Times New Roman" w:hAnsi="Times New Roman"/>
      <w:b/>
      <w:bCs/>
      <w:sz w:val="8"/>
      <w:szCs w:val="8"/>
      <w:lang w:val="zh-TW" w:eastAsia="zh-TW" w:bidi="zh-TW"/>
    </w:rPr>
  </w:style>
  <w:style w:type="paragraph" w:customStyle="1" w:styleId="156">
    <w:name w:val="p20"/>
    <w:basedOn w:val="1"/>
    <w:autoRedefine/>
    <w:qFormat/>
    <w:uiPriority w:val="99"/>
    <w:pPr>
      <w:widowControl/>
    </w:pPr>
    <w:rPr>
      <w:rFonts w:ascii="宋体" w:hAnsi="宋体" w:cs="宋体"/>
      <w:kern w:val="0"/>
      <w:szCs w:val="21"/>
    </w:rPr>
  </w:style>
  <w:style w:type="paragraph" w:customStyle="1" w:styleId="157">
    <w:name w:val="正文4"/>
    <w:autoRedefine/>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158">
    <w:name w:val="章标题"/>
    <w:next w:val="1"/>
    <w:autoRedefine/>
    <w:qFormat/>
    <w:uiPriority w:val="99"/>
    <w:pPr>
      <w:spacing w:beforeLines="50" w:afterLines="50"/>
      <w:jc w:val="both"/>
      <w:outlineLvl w:val="1"/>
    </w:pPr>
    <w:rPr>
      <w:rFonts w:ascii="黑体" w:hAnsi="Times New Roman" w:eastAsia="黑体" w:cs="Times New Roman"/>
      <w:sz w:val="21"/>
      <w:lang w:val="en-US" w:eastAsia="zh-CN" w:bidi="ar-SA"/>
    </w:rPr>
  </w:style>
  <w:style w:type="paragraph" w:customStyle="1" w:styleId="159">
    <w:name w:val="a"/>
    <w:basedOn w:val="1"/>
    <w:autoRedefine/>
    <w:qFormat/>
    <w:uiPriority w:val="99"/>
    <w:pPr>
      <w:autoSpaceDE w:val="0"/>
      <w:autoSpaceDN w:val="0"/>
      <w:adjustRightInd w:val="0"/>
      <w:spacing w:line="440" w:lineRule="atLeast"/>
      <w:ind w:firstLine="480"/>
      <w:jc w:val="left"/>
    </w:pPr>
    <w:rPr>
      <w:rFonts w:ascii="仿宋_GB2312" w:hAnsi="Times New Roman" w:eastAsia="仿宋_GB2312"/>
      <w:color w:val="000000"/>
      <w:sz w:val="24"/>
      <w:szCs w:val="24"/>
      <w:lang w:val="zh-CN"/>
    </w:rPr>
  </w:style>
  <w:style w:type="paragraph" w:customStyle="1" w:styleId="160">
    <w:name w:val="普通(Web)1"/>
    <w:basedOn w:val="1"/>
    <w:next w:val="46"/>
    <w:autoRedefine/>
    <w:qFormat/>
    <w:uiPriority w:val="99"/>
    <w:pPr>
      <w:widowControl/>
      <w:spacing w:before="100" w:beforeAutospacing="1" w:after="100" w:afterAutospacing="1"/>
      <w:jc w:val="left"/>
    </w:pPr>
    <w:rPr>
      <w:rFonts w:ascii="宋体" w:hAnsi="宋体"/>
      <w:color w:val="000000"/>
      <w:kern w:val="0"/>
      <w:sz w:val="24"/>
      <w:szCs w:val="24"/>
    </w:rPr>
  </w:style>
  <w:style w:type="paragraph" w:customStyle="1" w:styleId="161">
    <w:name w:val="纯文本5"/>
    <w:basedOn w:val="1"/>
    <w:autoRedefine/>
    <w:qFormat/>
    <w:uiPriority w:val="99"/>
    <w:pPr>
      <w:adjustRightInd w:val="0"/>
    </w:pPr>
    <w:rPr>
      <w:rFonts w:ascii="宋体" w:hAnsi="Courier New" w:eastAsia="楷体_GB2312"/>
      <w:sz w:val="26"/>
      <w:szCs w:val="20"/>
    </w:rPr>
  </w:style>
  <w:style w:type="paragraph" w:customStyle="1" w:styleId="162">
    <w:name w:val="xl72"/>
    <w:basedOn w:val="1"/>
    <w:autoRedefine/>
    <w:qFormat/>
    <w:uiPriority w:val="99"/>
    <w:pPr>
      <w:widowControl/>
      <w:pBdr>
        <w:top w:val="single" w:color="auto" w:sz="4" w:space="0"/>
        <w:left w:val="single" w:color="auto" w:sz="4" w:space="0"/>
        <w:bottom w:val="single" w:color="auto" w:sz="4" w:space="0"/>
      </w:pBdr>
      <w:shd w:val="clear" w:color="auto" w:fill="FFFFFF"/>
      <w:spacing w:before="100" w:beforeAutospacing="1" w:after="100" w:afterAutospacing="1"/>
      <w:jc w:val="center"/>
    </w:pPr>
    <w:rPr>
      <w:rFonts w:ascii="宋体" w:hAnsi="宋体" w:cs="宋体"/>
      <w:kern w:val="0"/>
      <w:sz w:val="24"/>
      <w:szCs w:val="24"/>
    </w:rPr>
  </w:style>
  <w:style w:type="paragraph" w:customStyle="1" w:styleId="163">
    <w:name w:val="列表内容"/>
    <w:basedOn w:val="1"/>
    <w:next w:val="1"/>
    <w:autoRedefine/>
    <w:qFormat/>
    <w:uiPriority w:val="99"/>
    <w:pPr>
      <w:widowControl/>
      <w:tabs>
        <w:tab w:val="left" w:pos="840"/>
      </w:tabs>
      <w:ind w:left="840" w:hanging="420"/>
      <w:jc w:val="left"/>
    </w:pPr>
    <w:rPr>
      <w:rFonts w:cs="宋体"/>
      <w:kern w:val="0"/>
      <w:sz w:val="18"/>
      <w:szCs w:val="20"/>
    </w:rPr>
  </w:style>
  <w:style w:type="paragraph" w:customStyle="1" w:styleId="164">
    <w:name w:val="xl65"/>
    <w:basedOn w:val="1"/>
    <w:autoRedefine/>
    <w:qFormat/>
    <w:uiPriority w:val="99"/>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165">
    <w:name w:val="Char6"/>
    <w:basedOn w:val="1"/>
    <w:autoRedefine/>
    <w:qFormat/>
    <w:uiPriority w:val="99"/>
    <w:pPr>
      <w:widowControl/>
      <w:spacing w:after="160" w:line="240" w:lineRule="exact"/>
      <w:jc w:val="left"/>
    </w:pPr>
    <w:rPr>
      <w:rFonts w:ascii="Verdana" w:hAnsi="Verdana"/>
      <w:kern w:val="0"/>
      <w:sz w:val="20"/>
      <w:szCs w:val="20"/>
      <w:lang w:eastAsia="en-US"/>
    </w:rPr>
  </w:style>
  <w:style w:type="paragraph" w:customStyle="1" w:styleId="166">
    <w:name w:val="Char Char1 Char"/>
    <w:basedOn w:val="1"/>
    <w:autoRedefine/>
    <w:qFormat/>
    <w:uiPriority w:val="99"/>
    <w:pPr>
      <w:tabs>
        <w:tab w:val="left" w:pos="360"/>
      </w:tabs>
    </w:pPr>
    <w:rPr>
      <w:rFonts w:cs="宋体"/>
      <w:sz w:val="24"/>
      <w:szCs w:val="24"/>
    </w:rPr>
  </w:style>
  <w:style w:type="paragraph" w:customStyle="1" w:styleId="167">
    <w:name w:val="Other|1"/>
    <w:basedOn w:val="1"/>
    <w:autoRedefine/>
    <w:qFormat/>
    <w:uiPriority w:val="99"/>
    <w:rPr>
      <w:rFonts w:ascii="宋体" w:hAnsi="宋体" w:cs="宋体"/>
      <w:sz w:val="17"/>
      <w:szCs w:val="17"/>
      <w:lang w:val="zh-TW" w:eastAsia="zh-TW" w:bidi="zh-TW"/>
    </w:rPr>
  </w:style>
  <w:style w:type="paragraph" w:customStyle="1" w:styleId="168">
    <w:name w:val="表头文本"/>
    <w:basedOn w:val="1"/>
    <w:autoRedefine/>
    <w:qFormat/>
    <w:uiPriority w:val="99"/>
    <w:pPr>
      <w:autoSpaceDE w:val="0"/>
      <w:autoSpaceDN w:val="0"/>
      <w:adjustRightInd w:val="0"/>
      <w:jc w:val="center"/>
    </w:pPr>
    <w:rPr>
      <w:rFonts w:ascii="Times New Roman" w:hAnsi="Times New Roman"/>
      <w:b/>
      <w:kern w:val="0"/>
      <w:sz w:val="24"/>
      <w:szCs w:val="20"/>
    </w:rPr>
  </w:style>
  <w:style w:type="paragraph" w:customStyle="1" w:styleId="169">
    <w:name w:val="XH BodyTextV1"/>
    <w:basedOn w:val="1"/>
    <w:autoRedefine/>
    <w:qFormat/>
    <w:uiPriority w:val="99"/>
    <w:pPr>
      <w:spacing w:after="120" w:line="288" w:lineRule="auto"/>
      <w:jc w:val="left"/>
    </w:pPr>
    <w:rPr>
      <w:rFonts w:cs="宋体"/>
      <w:b/>
      <w:color w:val="FF0000"/>
      <w:sz w:val="24"/>
    </w:rPr>
  </w:style>
  <w:style w:type="paragraph" w:customStyle="1" w:styleId="170">
    <w:name w:val="Char Char3 Char Char"/>
    <w:basedOn w:val="1"/>
    <w:autoRedefine/>
    <w:qFormat/>
    <w:uiPriority w:val="99"/>
    <w:pPr>
      <w:autoSpaceDE w:val="0"/>
      <w:autoSpaceDN w:val="0"/>
      <w:adjustRightInd w:val="0"/>
    </w:pPr>
    <w:rPr>
      <w:rFonts w:ascii="Times New Roman" w:hAnsi="Times New Roman"/>
      <w:kern w:val="0"/>
      <w:sz w:val="24"/>
      <w:szCs w:val="20"/>
    </w:rPr>
  </w:style>
  <w:style w:type="paragraph" w:customStyle="1" w:styleId="171">
    <w:name w:val="正文小四"/>
    <w:autoRedefine/>
    <w:qFormat/>
    <w:uiPriority w:val="99"/>
    <w:pPr>
      <w:spacing w:line="560" w:lineRule="atLeast"/>
      <w:ind w:firstLine="200" w:firstLineChars="200"/>
      <w:jc w:val="both"/>
    </w:pPr>
    <w:rPr>
      <w:rFonts w:ascii="Times New Roman" w:hAnsi="Times New Roman" w:eastAsia="仿宋_GB2312" w:cs="Times New Roman"/>
      <w:sz w:val="32"/>
      <w:lang w:val="en-US" w:eastAsia="zh-CN" w:bidi="ar-SA"/>
    </w:rPr>
  </w:style>
  <w:style w:type="paragraph" w:customStyle="1" w:styleId="172">
    <w:name w:val="TOC 标题3"/>
    <w:basedOn w:val="2"/>
    <w:next w:val="1"/>
    <w:autoRedefine/>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173">
    <w:name w:val="UserStyle_260"/>
    <w:basedOn w:val="1"/>
    <w:autoRedefine/>
    <w:qFormat/>
    <w:uiPriority w:val="99"/>
    <w:pPr>
      <w:widowControl/>
    </w:pPr>
    <w:rPr>
      <w:rFonts w:ascii="宋体" w:hAnsi="Courier New" w:eastAsia="楷体_GB2312"/>
      <w:sz w:val="26"/>
      <w:szCs w:val="20"/>
    </w:rPr>
  </w:style>
  <w:style w:type="paragraph" w:customStyle="1" w:styleId="174">
    <w:name w:val="单位"/>
    <w:basedOn w:val="1"/>
    <w:autoRedefine/>
    <w:qFormat/>
    <w:uiPriority w:val="99"/>
    <w:pPr>
      <w:adjustRightInd w:val="0"/>
      <w:jc w:val="center"/>
    </w:pPr>
    <w:rPr>
      <w:rFonts w:ascii="宋体" w:hAnsi="Times New Roman"/>
      <w:b/>
      <w:kern w:val="0"/>
      <w:sz w:val="32"/>
      <w:szCs w:val="20"/>
    </w:rPr>
  </w:style>
  <w:style w:type="paragraph" w:customStyle="1" w:styleId="175">
    <w:name w:val="xl101"/>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176">
    <w:name w:val="正文 A"/>
    <w:autoRedefine/>
    <w:qFormat/>
    <w:uiPriority w:val="99"/>
    <w:pPr>
      <w:widowControl w:val="0"/>
      <w:jc w:val="both"/>
    </w:pPr>
    <w:rPr>
      <w:rFonts w:ascii="Arial Unicode MS" w:hAnsi="Arial Unicode MS" w:eastAsia="Arial Unicode MS" w:cs="Arial Unicode MS"/>
      <w:color w:val="000000"/>
      <w:kern w:val="2"/>
      <w:sz w:val="21"/>
      <w:szCs w:val="21"/>
      <w:lang w:val="en-US" w:eastAsia="zh-CN" w:bidi="ar-SA"/>
    </w:rPr>
  </w:style>
  <w:style w:type="paragraph" w:customStyle="1" w:styleId="177">
    <w:name w:val="Header or footer|2"/>
    <w:basedOn w:val="1"/>
    <w:autoRedefine/>
    <w:qFormat/>
    <w:uiPriority w:val="99"/>
    <w:rPr>
      <w:rFonts w:ascii="Times New Roman" w:hAnsi="Times New Roman"/>
      <w:sz w:val="20"/>
      <w:szCs w:val="20"/>
      <w:lang w:val="zh-TW" w:eastAsia="zh-TW" w:bidi="zh-TW"/>
    </w:rPr>
  </w:style>
  <w:style w:type="paragraph" w:customStyle="1" w:styleId="178">
    <w:name w:val="List Paragraph1"/>
    <w:basedOn w:val="1"/>
    <w:autoRedefine/>
    <w:qFormat/>
    <w:uiPriority w:val="99"/>
    <w:pPr>
      <w:ind w:firstLine="420" w:firstLineChars="200"/>
    </w:pPr>
  </w:style>
  <w:style w:type="paragraph" w:customStyle="1" w:styleId="179">
    <w:name w:val="Char Char Char Char Char Char Char2"/>
    <w:basedOn w:val="1"/>
    <w:autoRedefine/>
    <w:qFormat/>
    <w:uiPriority w:val="99"/>
    <w:rPr>
      <w:szCs w:val="21"/>
    </w:rPr>
  </w:style>
  <w:style w:type="paragraph" w:customStyle="1" w:styleId="180">
    <w:name w:val="xl99"/>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0"/>
      <w:szCs w:val="20"/>
    </w:rPr>
  </w:style>
  <w:style w:type="paragraph" w:customStyle="1" w:styleId="181">
    <w:name w:val="Char Char7 Char Char Char Char"/>
    <w:basedOn w:val="1"/>
    <w:autoRedefine/>
    <w:qFormat/>
    <w:uiPriority w:val="99"/>
    <w:pPr>
      <w:spacing w:line="360" w:lineRule="auto"/>
      <w:ind w:firstLine="200" w:firstLineChars="200"/>
    </w:pPr>
    <w:rPr>
      <w:rFonts w:ascii="Tahoma" w:hAnsi="Tahoma" w:eastAsia="楷体_GB2312" w:cs="宋体"/>
      <w:sz w:val="24"/>
      <w:szCs w:val="20"/>
    </w:rPr>
  </w:style>
  <w:style w:type="paragraph" w:customStyle="1" w:styleId="182">
    <w:name w:val="TOC 标题2"/>
    <w:basedOn w:val="2"/>
    <w:next w:val="1"/>
    <w:autoRedefine/>
    <w:qFormat/>
    <w:uiPriority w:val="99"/>
    <w:pPr>
      <w:widowControl/>
      <w:spacing w:before="480" w:after="0" w:line="276" w:lineRule="auto"/>
      <w:jc w:val="left"/>
      <w:outlineLvl w:val="9"/>
    </w:pPr>
    <w:rPr>
      <w:rFonts w:ascii="Cambria" w:hAnsi="Cambria"/>
      <w:color w:val="365F91"/>
      <w:kern w:val="0"/>
      <w:sz w:val="28"/>
      <w:szCs w:val="28"/>
    </w:rPr>
  </w:style>
  <w:style w:type="paragraph" w:customStyle="1" w:styleId="183">
    <w:name w:val="Char5"/>
    <w:basedOn w:val="1"/>
    <w:autoRedefine/>
    <w:qFormat/>
    <w:uiPriority w:val="99"/>
    <w:pPr>
      <w:autoSpaceDE w:val="0"/>
      <w:autoSpaceDN w:val="0"/>
      <w:adjustRightInd w:val="0"/>
    </w:pPr>
    <w:rPr>
      <w:rFonts w:ascii="Times New Roman" w:hAnsi="Times New Roman"/>
      <w:kern w:val="0"/>
      <w:sz w:val="24"/>
      <w:szCs w:val="20"/>
    </w:rPr>
  </w:style>
  <w:style w:type="paragraph" w:customStyle="1" w:styleId="184">
    <w:name w:val="xl113"/>
    <w:basedOn w:val="1"/>
    <w:autoRedefine/>
    <w:qFormat/>
    <w:uiPriority w:val="99"/>
    <w:pPr>
      <w:widowControl/>
      <w:spacing w:before="100" w:beforeAutospacing="1" w:after="100" w:afterAutospacing="1"/>
      <w:jc w:val="center"/>
    </w:pPr>
    <w:rPr>
      <w:rFonts w:ascii="宋体" w:hAnsi="宋体" w:cs="宋体"/>
      <w:kern w:val="0"/>
      <w:sz w:val="20"/>
      <w:szCs w:val="20"/>
    </w:rPr>
  </w:style>
  <w:style w:type="paragraph" w:customStyle="1" w:styleId="185">
    <w:name w:val="正文文字2"/>
    <w:basedOn w:val="21"/>
    <w:autoRedefine/>
    <w:qFormat/>
    <w:uiPriority w:val="99"/>
    <w:pPr>
      <w:adjustRightInd w:val="0"/>
      <w:spacing w:after="60" w:line="360" w:lineRule="atLeast"/>
      <w:ind w:left="72" w:leftChars="30" w:right="72" w:rightChars="30"/>
      <w:jc w:val="center"/>
    </w:pPr>
    <w:rPr>
      <w:rFonts w:ascii="Arial" w:eastAsia="黑体"/>
      <w:kern w:val="0"/>
      <w:szCs w:val="20"/>
    </w:rPr>
  </w:style>
  <w:style w:type="paragraph" w:customStyle="1" w:styleId="186">
    <w:name w:val="样式 首行缩进:  2 字符 段后: 0.5 行"/>
    <w:basedOn w:val="1"/>
    <w:autoRedefine/>
    <w:qFormat/>
    <w:uiPriority w:val="99"/>
    <w:pPr>
      <w:spacing w:line="360" w:lineRule="auto"/>
      <w:ind w:firstLine="480" w:firstLineChars="200"/>
    </w:pPr>
    <w:rPr>
      <w:rFonts w:ascii="宋体" w:hAnsi="宋体" w:cs="宋体"/>
      <w:sz w:val="24"/>
      <w:szCs w:val="24"/>
    </w:rPr>
  </w:style>
  <w:style w:type="paragraph" w:customStyle="1" w:styleId="187">
    <w:name w:val="样式 样式 宋体 + 首行缩进:  2 字符"/>
    <w:basedOn w:val="1"/>
    <w:autoRedefine/>
    <w:qFormat/>
    <w:uiPriority w:val="99"/>
    <w:pPr>
      <w:spacing w:line="360" w:lineRule="auto"/>
      <w:ind w:firstLine="560" w:firstLineChars="200"/>
      <w:jc w:val="left"/>
    </w:pPr>
    <w:rPr>
      <w:rFonts w:ascii="仿宋_GB2312" w:hAnsi="仿宋" w:eastAsia="仿宋_GB2312" w:cs="宋体"/>
      <w:sz w:val="28"/>
      <w:szCs w:val="20"/>
    </w:rPr>
  </w:style>
  <w:style w:type="paragraph" w:customStyle="1" w:styleId="188">
    <w:name w:val="p19"/>
    <w:basedOn w:val="1"/>
    <w:autoRedefine/>
    <w:qFormat/>
    <w:uiPriority w:val="99"/>
    <w:pPr>
      <w:widowControl/>
      <w:spacing w:line="300" w:lineRule="auto"/>
      <w:jc w:val="left"/>
    </w:pPr>
    <w:rPr>
      <w:rFonts w:ascii="Arial" w:hAnsi="Arial" w:cs="Arial"/>
      <w:kern w:val="0"/>
      <w:szCs w:val="21"/>
    </w:rPr>
  </w:style>
  <w:style w:type="paragraph" w:customStyle="1" w:styleId="189">
    <w:name w:val="正文3"/>
    <w:autoRedefine/>
    <w:qFormat/>
    <w:uiPriority w:val="99"/>
    <w:pPr>
      <w:widowControl w:val="0"/>
      <w:jc w:val="both"/>
    </w:pPr>
    <w:rPr>
      <w:rFonts w:ascii="Calibri" w:hAnsi="Calibri" w:eastAsia="宋体" w:cs="Times New Roman"/>
      <w:kern w:val="2"/>
      <w:sz w:val="21"/>
      <w:lang w:val="en-US" w:eastAsia="zh-CN" w:bidi="ar-SA"/>
    </w:rPr>
  </w:style>
  <w:style w:type="paragraph" w:customStyle="1" w:styleId="190">
    <w:name w:val="Char11"/>
    <w:basedOn w:val="1"/>
    <w:autoRedefine/>
    <w:qFormat/>
    <w:uiPriority w:val="99"/>
    <w:pPr>
      <w:widowControl/>
      <w:spacing w:after="160" w:line="240" w:lineRule="exact"/>
      <w:jc w:val="left"/>
    </w:pPr>
    <w:rPr>
      <w:rFonts w:ascii="Verdana" w:hAnsi="Verdana" w:cs="宋体"/>
      <w:kern w:val="0"/>
      <w:sz w:val="20"/>
      <w:szCs w:val="20"/>
      <w:lang w:eastAsia="en-US"/>
    </w:rPr>
  </w:style>
  <w:style w:type="paragraph" w:customStyle="1" w:styleId="191">
    <w:name w:val="标题6"/>
    <w:basedOn w:val="1"/>
    <w:next w:val="2"/>
    <w:autoRedefine/>
    <w:qFormat/>
    <w:uiPriority w:val="99"/>
    <w:pPr>
      <w:widowControl/>
      <w:snapToGrid w:val="0"/>
      <w:spacing w:beforeLines="50" w:line="520" w:lineRule="atLeast"/>
      <w:ind w:firstLine="200" w:firstLineChars="200"/>
    </w:pPr>
    <w:rPr>
      <w:rFonts w:cs="Arial"/>
      <w:b/>
      <w:sz w:val="24"/>
      <w:szCs w:val="24"/>
    </w:rPr>
  </w:style>
  <w:style w:type="paragraph" w:customStyle="1" w:styleId="192">
    <w:name w:val="Char"/>
    <w:basedOn w:val="2"/>
    <w:autoRedefine/>
    <w:qFormat/>
    <w:uiPriority w:val="99"/>
    <w:pPr>
      <w:adjustRightInd w:val="0"/>
      <w:snapToGrid w:val="0"/>
      <w:spacing w:before="240" w:after="240" w:line="348" w:lineRule="auto"/>
      <w:jc w:val="center"/>
    </w:pPr>
    <w:rPr>
      <w:sz w:val="32"/>
    </w:rPr>
  </w:style>
  <w:style w:type="paragraph" w:customStyle="1" w:styleId="193">
    <w:name w:val="a2"/>
    <w:basedOn w:val="1"/>
    <w:autoRedefine/>
    <w:qFormat/>
    <w:uiPriority w:val="99"/>
    <w:pPr>
      <w:widowControl/>
      <w:spacing w:before="100" w:beforeAutospacing="1" w:after="100" w:afterAutospacing="1"/>
      <w:jc w:val="left"/>
    </w:pPr>
    <w:rPr>
      <w:rFonts w:ascii="宋体" w:hAnsi="宋体" w:cs="宋体"/>
      <w:kern w:val="0"/>
      <w:sz w:val="24"/>
      <w:szCs w:val="24"/>
    </w:rPr>
  </w:style>
  <w:style w:type="paragraph" w:customStyle="1" w:styleId="194">
    <w:name w:val="默认段落字体 Para Char Char Char Char"/>
    <w:basedOn w:val="1"/>
    <w:autoRedefine/>
    <w:qFormat/>
    <w:uiPriority w:val="99"/>
    <w:rPr>
      <w:szCs w:val="24"/>
    </w:rPr>
  </w:style>
  <w:style w:type="paragraph" w:customStyle="1" w:styleId="195">
    <w:name w:val="_Style 42"/>
    <w:next w:val="1"/>
    <w:autoRedefine/>
    <w:qFormat/>
    <w:uiPriority w:val="99"/>
    <w:pPr>
      <w:widowControl w:val="0"/>
      <w:jc w:val="both"/>
    </w:pPr>
    <w:rPr>
      <w:rFonts w:ascii="Calibri" w:hAnsi="Calibri" w:eastAsia="宋体" w:cs="Times New Roman"/>
      <w:kern w:val="2"/>
      <w:sz w:val="21"/>
      <w:szCs w:val="24"/>
      <w:lang w:val="en-US" w:eastAsia="zh-CN" w:bidi="ar-SA"/>
    </w:rPr>
  </w:style>
  <w:style w:type="paragraph" w:customStyle="1" w:styleId="196">
    <w:name w:val="Char21"/>
    <w:basedOn w:val="1"/>
    <w:autoRedefine/>
    <w:qFormat/>
    <w:uiPriority w:val="99"/>
    <w:pPr>
      <w:tabs>
        <w:tab w:val="left" w:pos="360"/>
      </w:tabs>
      <w:ind w:left="360" w:hanging="360" w:hangingChars="200"/>
    </w:pPr>
    <w:rPr>
      <w:rFonts w:cs="宋体"/>
      <w:sz w:val="24"/>
      <w:szCs w:val="24"/>
    </w:rPr>
  </w:style>
  <w:style w:type="paragraph" w:customStyle="1" w:styleId="197">
    <w:name w:val="xl82"/>
    <w:basedOn w:val="1"/>
    <w:autoRedefine/>
    <w:qFormat/>
    <w:uiPriority w:val="99"/>
    <w:pPr>
      <w:widowControl/>
      <w:pBdr>
        <w:top w:val="single" w:color="000000" w:sz="4" w:space="0"/>
        <w:bottom w:val="single" w:color="000000" w:sz="4" w:space="0"/>
        <w:right w:val="single" w:color="000000" w:sz="4" w:space="0"/>
      </w:pBdr>
      <w:spacing w:before="100" w:beforeAutospacing="1" w:after="100" w:afterAutospacing="1"/>
      <w:jc w:val="center"/>
    </w:pPr>
    <w:rPr>
      <w:rFonts w:cs="宋体"/>
      <w:kern w:val="0"/>
      <w:sz w:val="24"/>
      <w:szCs w:val="21"/>
    </w:rPr>
  </w:style>
  <w:style w:type="paragraph" w:customStyle="1" w:styleId="198">
    <w:name w:val="纯文本4"/>
    <w:basedOn w:val="1"/>
    <w:autoRedefine/>
    <w:qFormat/>
    <w:uiPriority w:val="99"/>
    <w:pPr>
      <w:adjustRightInd w:val="0"/>
    </w:pPr>
    <w:rPr>
      <w:rFonts w:ascii="宋体" w:hAnsi="Courier New" w:eastAsia="楷体_GB2312"/>
      <w:sz w:val="26"/>
      <w:szCs w:val="20"/>
    </w:rPr>
  </w:style>
  <w:style w:type="paragraph" w:customStyle="1" w:styleId="199">
    <w:name w:val="正文 New New New New New New"/>
    <w:autoRedefine/>
    <w:qFormat/>
    <w:uiPriority w:val="99"/>
    <w:pPr>
      <w:widowControl w:val="0"/>
      <w:jc w:val="both"/>
    </w:pPr>
    <w:rPr>
      <w:rFonts w:ascii="Calibri" w:hAnsi="Calibri" w:eastAsia="宋体" w:cs="Times New Roman"/>
      <w:kern w:val="2"/>
      <w:sz w:val="21"/>
      <w:lang w:val="en-US" w:eastAsia="zh-CN" w:bidi="ar-SA"/>
    </w:rPr>
  </w:style>
  <w:style w:type="paragraph" w:customStyle="1" w:styleId="200">
    <w:name w:val="Char Char12"/>
    <w:basedOn w:val="1"/>
    <w:autoRedefine/>
    <w:qFormat/>
    <w:uiPriority w:val="99"/>
    <w:rPr>
      <w:szCs w:val="21"/>
    </w:rPr>
  </w:style>
  <w:style w:type="paragraph" w:customStyle="1" w:styleId="201">
    <w:name w:val="字元 字元"/>
    <w:basedOn w:val="1"/>
    <w:autoRedefine/>
    <w:qFormat/>
    <w:uiPriority w:val="99"/>
    <w:pPr>
      <w:widowControl/>
      <w:spacing w:after="160" w:line="240" w:lineRule="exact"/>
      <w:jc w:val="left"/>
    </w:pPr>
    <w:rPr>
      <w:rFonts w:cs="宋体"/>
      <w:sz w:val="28"/>
      <w:szCs w:val="20"/>
    </w:rPr>
  </w:style>
  <w:style w:type="paragraph" w:customStyle="1" w:styleId="202">
    <w:name w:val="xl73"/>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203">
    <w:name w:val="xl91"/>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FF"/>
      <w:kern w:val="0"/>
      <w:sz w:val="18"/>
      <w:szCs w:val="18"/>
    </w:rPr>
  </w:style>
  <w:style w:type="paragraph" w:customStyle="1" w:styleId="204">
    <w:name w:val="列出段落11"/>
    <w:basedOn w:val="1"/>
    <w:autoRedefine/>
    <w:qFormat/>
    <w:uiPriority w:val="34"/>
    <w:pPr>
      <w:ind w:firstLine="420" w:firstLineChars="200"/>
    </w:pPr>
    <w:rPr>
      <w:rFonts w:cs="宋体"/>
      <w:sz w:val="24"/>
      <w:szCs w:val="24"/>
    </w:rPr>
  </w:style>
  <w:style w:type="paragraph" w:customStyle="1" w:styleId="205">
    <w:name w:val="flType"/>
    <w:basedOn w:val="1"/>
    <w:autoRedefine/>
    <w:qFormat/>
    <w:uiPriority w:val="99"/>
    <w:pPr>
      <w:autoSpaceDE w:val="0"/>
      <w:autoSpaceDN w:val="0"/>
      <w:adjustRightInd w:val="0"/>
      <w:spacing w:after="284" w:line="113" w:lineRule="atLeast"/>
      <w:jc w:val="center"/>
    </w:pPr>
    <w:rPr>
      <w:rFonts w:ascii="Times New Roman" w:hAnsi="Times New Roman"/>
      <w:kern w:val="0"/>
      <w:sz w:val="24"/>
      <w:szCs w:val="20"/>
    </w:rPr>
  </w:style>
  <w:style w:type="paragraph" w:customStyle="1" w:styleId="206">
    <w:name w:val="xl115"/>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FF0000"/>
      <w:kern w:val="0"/>
      <w:sz w:val="18"/>
      <w:szCs w:val="18"/>
    </w:rPr>
  </w:style>
  <w:style w:type="paragraph" w:customStyle="1" w:styleId="207">
    <w:name w:val="_Style 1"/>
    <w:basedOn w:val="1"/>
    <w:autoRedefine/>
    <w:qFormat/>
    <w:uiPriority w:val="34"/>
    <w:pPr>
      <w:ind w:firstLine="420" w:firstLineChars="200"/>
    </w:pPr>
  </w:style>
  <w:style w:type="paragraph" w:customStyle="1" w:styleId="208">
    <w:name w:val="xl97"/>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FF"/>
      <w:kern w:val="0"/>
      <w:sz w:val="18"/>
      <w:szCs w:val="18"/>
    </w:rPr>
  </w:style>
  <w:style w:type="paragraph" w:customStyle="1" w:styleId="209">
    <w:name w:val="xl122"/>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FF"/>
      <w:kern w:val="0"/>
      <w:sz w:val="24"/>
      <w:szCs w:val="24"/>
    </w:rPr>
  </w:style>
  <w:style w:type="paragraph" w:customStyle="1" w:styleId="210">
    <w:name w:val="默认段落字体 Para Char Char Char Char Char Char Char Char Char1 Char Char Char Char"/>
    <w:basedOn w:val="1"/>
    <w:autoRedefine/>
    <w:qFormat/>
    <w:uiPriority w:val="99"/>
    <w:rPr>
      <w:rFonts w:ascii="Tahoma" w:hAnsi="Tahoma"/>
      <w:sz w:val="24"/>
      <w:szCs w:val="20"/>
    </w:rPr>
  </w:style>
  <w:style w:type="paragraph" w:customStyle="1" w:styleId="211">
    <w:name w:val="xl114"/>
    <w:basedOn w:val="1"/>
    <w:autoRedefine/>
    <w:qFormat/>
    <w:uiPriority w:val="99"/>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cs="宋体"/>
      <w:kern w:val="0"/>
      <w:sz w:val="18"/>
      <w:szCs w:val="18"/>
    </w:rPr>
  </w:style>
  <w:style w:type="paragraph" w:customStyle="1" w:styleId="212">
    <w:name w:val="Char Char Char Char Char Char Char Char Char"/>
    <w:basedOn w:val="1"/>
    <w:autoRedefine/>
    <w:qFormat/>
    <w:uiPriority w:val="99"/>
    <w:rPr>
      <w:rFonts w:cs="宋体"/>
      <w:szCs w:val="24"/>
    </w:rPr>
  </w:style>
  <w:style w:type="paragraph" w:customStyle="1" w:styleId="213">
    <w:name w:val="font8"/>
    <w:basedOn w:val="1"/>
    <w:autoRedefine/>
    <w:qFormat/>
    <w:uiPriority w:val="99"/>
    <w:pPr>
      <w:widowControl/>
      <w:spacing w:before="100" w:beforeAutospacing="1" w:after="100" w:afterAutospacing="1"/>
      <w:jc w:val="left"/>
    </w:pPr>
    <w:rPr>
      <w:rFonts w:cs="宋体"/>
      <w:color w:val="0000FF"/>
      <w:kern w:val="0"/>
      <w:sz w:val="20"/>
      <w:szCs w:val="20"/>
    </w:rPr>
  </w:style>
  <w:style w:type="paragraph" w:customStyle="1" w:styleId="214">
    <w:name w:val="xl127"/>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215">
    <w:name w:val="*正文"/>
    <w:basedOn w:val="1"/>
    <w:autoRedefine/>
    <w:qFormat/>
    <w:uiPriority w:val="99"/>
    <w:pPr>
      <w:spacing w:line="360" w:lineRule="auto"/>
      <w:ind w:firstLine="480" w:firstLineChars="200"/>
    </w:pPr>
    <w:rPr>
      <w:rFonts w:cs="仿宋_GB2312"/>
      <w:sz w:val="24"/>
      <w:szCs w:val="24"/>
    </w:rPr>
  </w:style>
  <w:style w:type="paragraph" w:customStyle="1" w:styleId="216">
    <w:name w:val="表格"/>
    <w:basedOn w:val="1"/>
    <w:autoRedefine/>
    <w:qFormat/>
    <w:uiPriority w:val="99"/>
    <w:pPr>
      <w:spacing w:line="400" w:lineRule="exact"/>
    </w:pPr>
    <w:rPr>
      <w:rFonts w:cs="宋体"/>
      <w:sz w:val="24"/>
      <w:szCs w:val="24"/>
    </w:rPr>
  </w:style>
  <w:style w:type="paragraph" w:customStyle="1" w:styleId="217">
    <w:name w:val="Body text|2"/>
    <w:basedOn w:val="1"/>
    <w:autoRedefine/>
    <w:qFormat/>
    <w:uiPriority w:val="99"/>
    <w:pPr>
      <w:spacing w:after="390" w:line="773" w:lineRule="exact"/>
      <w:jc w:val="center"/>
    </w:pPr>
    <w:rPr>
      <w:rFonts w:ascii="宋体" w:hAnsi="宋体" w:cs="宋体"/>
      <w:sz w:val="40"/>
      <w:szCs w:val="40"/>
      <w:lang w:val="zh-TW" w:eastAsia="zh-TW" w:bidi="zh-TW"/>
    </w:rPr>
  </w:style>
  <w:style w:type="paragraph" w:customStyle="1" w:styleId="218">
    <w:name w:val="xl123"/>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FF"/>
      <w:kern w:val="0"/>
      <w:sz w:val="18"/>
      <w:szCs w:val="18"/>
    </w:rPr>
  </w:style>
  <w:style w:type="paragraph" w:customStyle="1" w:styleId="219">
    <w:name w:val="_Style 3"/>
    <w:autoRedefine/>
    <w:qFormat/>
    <w:uiPriority w:val="99"/>
    <w:pPr>
      <w:widowControl w:val="0"/>
      <w:jc w:val="both"/>
    </w:pPr>
    <w:rPr>
      <w:rFonts w:ascii="Times New Roman" w:hAnsi="Times New Roman" w:eastAsia="宋体" w:cs="Times New Roman"/>
      <w:kern w:val="2"/>
      <w:sz w:val="21"/>
      <w:szCs w:val="22"/>
      <w:lang w:val="en-US" w:eastAsia="zh-CN" w:bidi="ar-SA"/>
    </w:rPr>
  </w:style>
  <w:style w:type="paragraph" w:customStyle="1" w:styleId="220">
    <w:name w:val="xl90"/>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FF"/>
      <w:kern w:val="0"/>
      <w:sz w:val="20"/>
      <w:szCs w:val="20"/>
    </w:rPr>
  </w:style>
  <w:style w:type="paragraph" w:customStyle="1" w:styleId="221">
    <w:name w:val="正文－恩普"/>
    <w:basedOn w:val="14"/>
    <w:autoRedefine/>
    <w:qFormat/>
    <w:uiPriority w:val="99"/>
    <w:pPr>
      <w:widowControl/>
      <w:spacing w:line="360" w:lineRule="auto"/>
      <w:ind w:firstLine="480"/>
      <w:jc w:val="left"/>
    </w:pPr>
    <w:rPr>
      <w:rFonts w:ascii="Calibri" w:hAnsi="Calibri" w:cs="宋体"/>
      <w:sz w:val="24"/>
      <w:szCs w:val="22"/>
    </w:rPr>
  </w:style>
  <w:style w:type="paragraph" w:customStyle="1" w:styleId="222">
    <w:name w:val="xl88"/>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FF"/>
      <w:kern w:val="0"/>
      <w:sz w:val="18"/>
      <w:szCs w:val="18"/>
    </w:rPr>
  </w:style>
  <w:style w:type="paragraph" w:customStyle="1" w:styleId="223">
    <w:name w:val="xl112"/>
    <w:basedOn w:val="1"/>
    <w:autoRedefine/>
    <w:qFormat/>
    <w:uiPriority w:val="99"/>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szCs w:val="20"/>
    </w:rPr>
  </w:style>
  <w:style w:type="paragraph" w:customStyle="1" w:styleId="224">
    <w:name w:val="Char Char7 Char"/>
    <w:basedOn w:val="1"/>
    <w:autoRedefine/>
    <w:qFormat/>
    <w:uiPriority w:val="99"/>
    <w:pPr>
      <w:tabs>
        <w:tab w:val="left" w:pos="425"/>
      </w:tabs>
      <w:ind w:left="420" w:leftChars="200" w:firstLine="270" w:firstLineChars="150"/>
    </w:pPr>
    <w:rPr>
      <w:rFonts w:ascii="宋体" w:hAnsi="宋体" w:cs="Arial"/>
      <w:color w:val="5E5E5E"/>
      <w:kern w:val="0"/>
      <w:szCs w:val="21"/>
    </w:rPr>
  </w:style>
  <w:style w:type="paragraph" w:customStyle="1" w:styleId="225">
    <w:name w:val="xl100"/>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226">
    <w:name w:val="xl95"/>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FF"/>
      <w:kern w:val="0"/>
      <w:sz w:val="16"/>
      <w:szCs w:val="16"/>
    </w:rPr>
  </w:style>
  <w:style w:type="paragraph" w:customStyle="1" w:styleId="227">
    <w:name w:val="xl81"/>
    <w:basedOn w:val="1"/>
    <w:autoRedefine/>
    <w:qFormat/>
    <w:uiPriority w:val="99"/>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cs="宋体"/>
      <w:kern w:val="0"/>
      <w:sz w:val="24"/>
      <w:szCs w:val="21"/>
    </w:rPr>
  </w:style>
  <w:style w:type="paragraph" w:customStyle="1" w:styleId="228">
    <w:name w:val="段落样式"/>
    <w:basedOn w:val="1"/>
    <w:autoRedefine/>
    <w:qFormat/>
    <w:uiPriority w:val="99"/>
    <w:pPr>
      <w:spacing w:line="360" w:lineRule="auto"/>
    </w:pPr>
    <w:rPr>
      <w:rFonts w:cs="宋体"/>
      <w:sz w:val="24"/>
      <w:szCs w:val="20"/>
    </w:rPr>
  </w:style>
  <w:style w:type="paragraph" w:customStyle="1" w:styleId="229">
    <w:name w:val="xl109"/>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0"/>
      <w:szCs w:val="20"/>
    </w:rPr>
  </w:style>
  <w:style w:type="paragraph" w:customStyle="1" w:styleId="230">
    <w:name w:val="xl110"/>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231">
    <w:name w:val="xl121"/>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cs="宋体"/>
      <w:color w:val="0000FF"/>
      <w:kern w:val="0"/>
      <w:sz w:val="20"/>
      <w:szCs w:val="20"/>
    </w:rPr>
  </w:style>
  <w:style w:type="paragraph" w:customStyle="1" w:styleId="232">
    <w:name w:val="Char2"/>
    <w:basedOn w:val="1"/>
    <w:autoRedefine/>
    <w:qFormat/>
    <w:uiPriority w:val="99"/>
    <w:pPr>
      <w:tabs>
        <w:tab w:val="left" w:pos="1200"/>
      </w:tabs>
      <w:ind w:left="420" w:hanging="420"/>
    </w:pPr>
    <w:rPr>
      <w:rFonts w:cs="宋体"/>
      <w:sz w:val="24"/>
      <w:szCs w:val="24"/>
    </w:rPr>
  </w:style>
  <w:style w:type="paragraph" w:customStyle="1" w:styleId="233">
    <w:name w:val="itemlist"/>
    <w:basedOn w:val="1"/>
    <w:autoRedefine/>
    <w:qFormat/>
    <w:uiPriority w:val="99"/>
    <w:pPr>
      <w:widowControl/>
      <w:spacing w:before="100" w:beforeAutospacing="1" w:after="100" w:afterAutospacing="1"/>
      <w:jc w:val="left"/>
    </w:pPr>
    <w:rPr>
      <w:rFonts w:ascii="宋体" w:hAnsi="宋体" w:cs="宋体"/>
      <w:kern w:val="0"/>
      <w:sz w:val="24"/>
      <w:szCs w:val="24"/>
    </w:rPr>
  </w:style>
  <w:style w:type="paragraph" w:customStyle="1" w:styleId="234">
    <w:name w:val="xl103"/>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4"/>
      <w:szCs w:val="24"/>
    </w:rPr>
  </w:style>
  <w:style w:type="paragraph" w:customStyle="1" w:styleId="235">
    <w:name w:val="_Style 2"/>
    <w:basedOn w:val="1"/>
    <w:autoRedefine/>
    <w:qFormat/>
    <w:uiPriority w:val="99"/>
    <w:pPr>
      <w:ind w:firstLine="420" w:firstLineChars="200"/>
    </w:pPr>
  </w:style>
  <w:style w:type="paragraph" w:customStyle="1" w:styleId="236">
    <w:name w:val="Char Char Char Char Char Char Char"/>
    <w:basedOn w:val="1"/>
    <w:autoRedefine/>
    <w:qFormat/>
    <w:uiPriority w:val="99"/>
    <w:rPr>
      <w:rFonts w:cs="宋体"/>
      <w:sz w:val="24"/>
      <w:szCs w:val="21"/>
    </w:rPr>
  </w:style>
  <w:style w:type="paragraph" w:customStyle="1" w:styleId="237">
    <w:name w:val="xl105"/>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238">
    <w:name w:val="xl35"/>
    <w:basedOn w:val="1"/>
    <w:autoRedefine/>
    <w:qFormat/>
    <w:uiPriority w:val="99"/>
    <w:pPr>
      <w:widowControl/>
      <w:pBdr>
        <w:left w:val="single" w:color="auto" w:sz="4" w:space="0"/>
        <w:bottom w:val="single" w:color="auto" w:sz="4" w:space="0"/>
        <w:right w:val="single" w:color="auto" w:sz="4" w:space="0"/>
      </w:pBdr>
      <w:spacing w:before="100" w:beforeAutospacing="1" w:after="100" w:afterAutospacing="1"/>
    </w:pPr>
    <w:rPr>
      <w:rFonts w:ascii="Arial Unicode MS" w:hAnsi="Arial Unicode MS" w:eastAsia="Arial Unicode MS" w:cs="宋体"/>
      <w:kern w:val="0"/>
      <w:sz w:val="24"/>
      <w:szCs w:val="24"/>
    </w:rPr>
  </w:style>
  <w:style w:type="paragraph" w:customStyle="1" w:styleId="239">
    <w:name w:val="xl108"/>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FF"/>
      <w:kern w:val="0"/>
      <w:sz w:val="18"/>
      <w:szCs w:val="18"/>
    </w:rPr>
  </w:style>
  <w:style w:type="paragraph" w:customStyle="1" w:styleId="240">
    <w:name w:val="xl75"/>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FF"/>
      <w:kern w:val="0"/>
      <w:sz w:val="20"/>
      <w:szCs w:val="20"/>
    </w:rPr>
  </w:style>
  <w:style w:type="paragraph" w:customStyle="1" w:styleId="241">
    <w:name w:val="xl119"/>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FF"/>
      <w:kern w:val="0"/>
      <w:sz w:val="20"/>
      <w:szCs w:val="20"/>
    </w:rPr>
  </w:style>
  <w:style w:type="paragraph" w:customStyle="1" w:styleId="242">
    <w:name w:val="样式 标题4 + 首行缩进:  1.47 字符"/>
    <w:basedOn w:val="1"/>
    <w:autoRedefine/>
    <w:qFormat/>
    <w:uiPriority w:val="99"/>
    <w:pPr>
      <w:keepNext/>
      <w:keepLines/>
      <w:spacing w:before="60" w:after="60" w:line="376" w:lineRule="auto"/>
      <w:ind w:firstLine="147" w:firstLineChars="147"/>
      <w:outlineLvl w:val="3"/>
    </w:pPr>
    <w:rPr>
      <w:rFonts w:ascii="Arial" w:hAnsi="Arial" w:cs="宋体"/>
      <w:b/>
      <w:bCs/>
      <w:sz w:val="24"/>
      <w:szCs w:val="20"/>
    </w:rPr>
  </w:style>
  <w:style w:type="paragraph" w:customStyle="1" w:styleId="243">
    <w:name w:val="xl126"/>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244">
    <w:name w:val="xl87"/>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黑体" w:hAnsi="宋体" w:eastAsia="黑体" w:cs="宋体"/>
      <w:color w:val="000000"/>
      <w:kern w:val="0"/>
      <w:sz w:val="20"/>
      <w:szCs w:val="20"/>
    </w:rPr>
  </w:style>
  <w:style w:type="paragraph" w:customStyle="1" w:styleId="245">
    <w:name w:val="xl94"/>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FF"/>
      <w:kern w:val="0"/>
      <w:sz w:val="18"/>
      <w:szCs w:val="18"/>
    </w:rPr>
  </w:style>
  <w:style w:type="paragraph" w:customStyle="1" w:styleId="246">
    <w:name w:val="_Style 192"/>
    <w:next w:val="1"/>
    <w:autoRedefine/>
    <w:qFormat/>
    <w:uiPriority w:val="99"/>
    <w:pPr>
      <w:widowControl w:val="0"/>
      <w:jc w:val="both"/>
    </w:pPr>
    <w:rPr>
      <w:rFonts w:ascii="Calibri" w:hAnsi="Calibri" w:eastAsia="宋体" w:cs="Times New Roman"/>
      <w:kern w:val="2"/>
      <w:sz w:val="21"/>
      <w:szCs w:val="24"/>
      <w:lang w:val="en-US" w:eastAsia="zh-CN" w:bidi="ar-SA"/>
    </w:rPr>
  </w:style>
  <w:style w:type="paragraph" w:customStyle="1" w:styleId="247">
    <w:name w:val="xl71"/>
    <w:basedOn w:val="1"/>
    <w:autoRedefine/>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kern w:val="0"/>
      <w:sz w:val="24"/>
      <w:szCs w:val="24"/>
    </w:rPr>
  </w:style>
  <w:style w:type="paragraph" w:customStyle="1" w:styleId="248">
    <w:name w:val="Char Char Char Char1"/>
    <w:basedOn w:val="1"/>
    <w:autoRedefine/>
    <w:qFormat/>
    <w:uiPriority w:val="99"/>
    <w:pPr>
      <w:widowControl/>
      <w:jc w:val="left"/>
    </w:pPr>
    <w:rPr>
      <w:rFonts w:cs="宋体"/>
      <w:kern w:val="0"/>
      <w:sz w:val="24"/>
      <w:szCs w:val="24"/>
    </w:rPr>
  </w:style>
  <w:style w:type="paragraph" w:customStyle="1" w:styleId="249">
    <w:name w:val="xl80"/>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250">
    <w:name w:val="af17cgridlangnp1033langf"/>
    <w:autoRedefine/>
    <w:qFormat/>
    <w:uiPriority w:val="99"/>
    <w:pPr>
      <w:widowControl w:val="0"/>
      <w:autoSpaceDE w:val="0"/>
      <w:autoSpaceDN w:val="0"/>
      <w:adjustRightInd w:val="0"/>
      <w:spacing w:before="156" w:line="360" w:lineRule="atLeast"/>
      <w:ind w:left="567" w:firstLine="510"/>
      <w:jc w:val="both"/>
    </w:pPr>
    <w:rPr>
      <w:rFonts w:ascii="Calibri" w:hAnsi="Calibri" w:eastAsia="宋体" w:cs="Times New Roman"/>
      <w:lang w:val="en-US" w:eastAsia="zh-CN" w:bidi="ar-SA"/>
    </w:rPr>
  </w:style>
  <w:style w:type="paragraph" w:customStyle="1" w:styleId="251">
    <w:name w:val="xl93"/>
    <w:basedOn w:val="1"/>
    <w:autoRedefine/>
    <w:qFormat/>
    <w:uiPriority w:val="99"/>
    <w:pPr>
      <w:widowControl/>
      <w:spacing w:before="100" w:beforeAutospacing="1" w:after="100" w:afterAutospacing="1"/>
      <w:jc w:val="left"/>
    </w:pPr>
    <w:rPr>
      <w:rFonts w:ascii="宋体" w:hAnsi="宋体" w:cs="宋体"/>
      <w:color w:val="0000FF"/>
      <w:kern w:val="0"/>
      <w:sz w:val="24"/>
      <w:szCs w:val="24"/>
    </w:rPr>
  </w:style>
  <w:style w:type="paragraph" w:customStyle="1" w:styleId="252">
    <w:name w:val="xl31"/>
    <w:basedOn w:val="1"/>
    <w:autoRedefine/>
    <w:qFormat/>
    <w:uiPriority w:val="99"/>
    <w:pPr>
      <w:widowControl/>
      <w:pBdr>
        <w:bottom w:val="single" w:color="auto" w:sz="4" w:space="0"/>
        <w:right w:val="single" w:color="auto" w:sz="4" w:space="0"/>
      </w:pBdr>
      <w:spacing w:before="100" w:beforeAutospacing="1" w:after="100" w:afterAutospacing="1"/>
      <w:jc w:val="center"/>
    </w:pPr>
    <w:rPr>
      <w:rFonts w:ascii="宋体" w:hAnsi="宋体" w:cs="宋体"/>
      <w:kern w:val="0"/>
      <w:szCs w:val="21"/>
    </w:rPr>
  </w:style>
  <w:style w:type="paragraph" w:customStyle="1" w:styleId="253">
    <w:name w:val="样式 仿宋_GB2312 五号 黑色 行距: 单倍行距"/>
    <w:basedOn w:val="1"/>
    <w:autoRedefine/>
    <w:qFormat/>
    <w:uiPriority w:val="99"/>
    <w:pPr>
      <w:snapToGrid w:val="0"/>
    </w:pPr>
    <w:rPr>
      <w:rFonts w:ascii="仿宋_GB2312" w:eastAsia="仿宋_GB2312" w:cs="宋体"/>
      <w:color w:val="000000"/>
      <w:sz w:val="24"/>
      <w:szCs w:val="20"/>
    </w:rPr>
  </w:style>
  <w:style w:type="paragraph" w:customStyle="1" w:styleId="254">
    <w:name w:val="Char Char Char Char"/>
    <w:basedOn w:val="1"/>
    <w:autoRedefine/>
    <w:qFormat/>
    <w:uiPriority w:val="99"/>
    <w:pPr>
      <w:widowControl/>
      <w:jc w:val="left"/>
    </w:pPr>
    <w:rPr>
      <w:rFonts w:cs="宋体"/>
      <w:kern w:val="0"/>
      <w:sz w:val="24"/>
      <w:szCs w:val="24"/>
    </w:rPr>
  </w:style>
  <w:style w:type="paragraph" w:customStyle="1" w:styleId="255">
    <w:name w:val="xl132"/>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256">
    <w:name w:val="Char Char1 Char1"/>
    <w:basedOn w:val="1"/>
    <w:autoRedefine/>
    <w:qFormat/>
    <w:uiPriority w:val="99"/>
    <w:pPr>
      <w:tabs>
        <w:tab w:val="left" w:pos="360"/>
      </w:tabs>
    </w:pPr>
    <w:rPr>
      <w:rFonts w:cs="宋体"/>
      <w:sz w:val="24"/>
      <w:szCs w:val="24"/>
    </w:rPr>
  </w:style>
  <w:style w:type="paragraph" w:customStyle="1" w:styleId="257">
    <w:name w:val="font7"/>
    <w:basedOn w:val="1"/>
    <w:autoRedefine/>
    <w:qFormat/>
    <w:uiPriority w:val="99"/>
    <w:pPr>
      <w:widowControl/>
      <w:spacing w:before="100" w:beforeAutospacing="1" w:after="100" w:afterAutospacing="1"/>
      <w:jc w:val="left"/>
    </w:pPr>
    <w:rPr>
      <w:rFonts w:ascii="宋体" w:hAnsi="宋体" w:cs="宋体"/>
      <w:color w:val="0000FF"/>
      <w:kern w:val="0"/>
      <w:sz w:val="20"/>
      <w:szCs w:val="20"/>
    </w:rPr>
  </w:style>
  <w:style w:type="paragraph" w:customStyle="1" w:styleId="258">
    <w:name w:val="xl129"/>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259">
    <w:name w:val="Char31"/>
    <w:basedOn w:val="1"/>
    <w:autoRedefine/>
    <w:qFormat/>
    <w:uiPriority w:val="99"/>
    <w:pPr>
      <w:tabs>
        <w:tab w:val="left" w:pos="360"/>
      </w:tabs>
    </w:pPr>
    <w:rPr>
      <w:szCs w:val="24"/>
    </w:rPr>
  </w:style>
  <w:style w:type="paragraph" w:customStyle="1" w:styleId="260">
    <w:name w:val="p0"/>
    <w:basedOn w:val="1"/>
    <w:autoRedefine/>
    <w:qFormat/>
    <w:uiPriority w:val="99"/>
    <w:pPr>
      <w:widowControl/>
      <w:spacing w:before="100" w:beforeAutospacing="1" w:after="100" w:afterAutospacing="1"/>
      <w:jc w:val="left"/>
    </w:pPr>
    <w:rPr>
      <w:rFonts w:ascii="宋体" w:hAnsi="宋体"/>
      <w:kern w:val="0"/>
      <w:sz w:val="24"/>
      <w:szCs w:val="20"/>
    </w:rPr>
  </w:style>
  <w:style w:type="paragraph" w:customStyle="1" w:styleId="261">
    <w:name w:val="Heading #2|1"/>
    <w:basedOn w:val="1"/>
    <w:autoRedefine/>
    <w:qFormat/>
    <w:uiPriority w:val="99"/>
    <w:pPr>
      <w:spacing w:after="570" w:line="324" w:lineRule="auto"/>
      <w:jc w:val="center"/>
      <w:outlineLvl w:val="1"/>
    </w:pPr>
    <w:rPr>
      <w:rFonts w:ascii="宋体" w:hAnsi="宋体" w:cs="宋体"/>
      <w:sz w:val="40"/>
      <w:szCs w:val="40"/>
      <w:lang w:val="zh-TW" w:eastAsia="zh-TW" w:bidi="zh-TW"/>
    </w:rPr>
  </w:style>
  <w:style w:type="paragraph" w:customStyle="1" w:styleId="262">
    <w:name w:val="xl104"/>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263">
    <w:name w:val="Char1"/>
    <w:basedOn w:val="1"/>
    <w:autoRedefine/>
    <w:qFormat/>
    <w:uiPriority w:val="99"/>
    <w:rPr>
      <w:rFonts w:ascii="仿宋_GB2312" w:eastAsia="仿宋_GB2312"/>
      <w:b/>
      <w:sz w:val="32"/>
      <w:szCs w:val="32"/>
    </w:rPr>
  </w:style>
  <w:style w:type="paragraph" w:customStyle="1" w:styleId="264">
    <w:name w:val="xl98"/>
    <w:basedOn w:val="1"/>
    <w:autoRedefine/>
    <w:qFormat/>
    <w:uiPriority w:val="99"/>
    <w:pPr>
      <w:widowControl/>
      <w:pBdr>
        <w:top w:val="single" w:color="auto" w:sz="4" w:space="0"/>
        <w:left w:val="single" w:color="auto" w:sz="4" w:space="0"/>
        <w:right w:val="single" w:color="auto" w:sz="4" w:space="0"/>
      </w:pBdr>
      <w:spacing w:before="100" w:beforeAutospacing="1" w:after="100" w:afterAutospacing="1"/>
      <w:jc w:val="center"/>
    </w:pPr>
    <w:rPr>
      <w:rFonts w:ascii="黑体" w:hAnsi="宋体" w:eastAsia="黑体" w:cs="宋体"/>
      <w:kern w:val="0"/>
      <w:sz w:val="20"/>
      <w:szCs w:val="20"/>
    </w:rPr>
  </w:style>
  <w:style w:type="paragraph" w:customStyle="1" w:styleId="265">
    <w:name w:val="xl79"/>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cs="宋体"/>
      <w:color w:val="0000FF"/>
      <w:kern w:val="0"/>
      <w:sz w:val="20"/>
      <w:szCs w:val="20"/>
    </w:rPr>
  </w:style>
  <w:style w:type="paragraph" w:customStyle="1" w:styleId="266">
    <w:name w:val="font5"/>
    <w:basedOn w:val="1"/>
    <w:autoRedefine/>
    <w:qFormat/>
    <w:uiPriority w:val="99"/>
    <w:pPr>
      <w:widowControl/>
      <w:spacing w:before="100" w:beforeAutospacing="1" w:after="100" w:afterAutospacing="1"/>
      <w:jc w:val="left"/>
    </w:pPr>
    <w:rPr>
      <w:rFonts w:ascii="宋体" w:hAnsi="宋体" w:cs="宋体"/>
      <w:kern w:val="0"/>
      <w:sz w:val="18"/>
      <w:szCs w:val="18"/>
    </w:rPr>
  </w:style>
  <w:style w:type="paragraph" w:customStyle="1" w:styleId="267">
    <w:name w:val="Table Paragraph"/>
    <w:basedOn w:val="1"/>
    <w:autoRedefine/>
    <w:qFormat/>
    <w:uiPriority w:val="1"/>
    <w:rPr>
      <w:rFonts w:ascii="宋体" w:hAnsi="宋体" w:cs="宋体"/>
      <w:sz w:val="24"/>
      <w:szCs w:val="24"/>
      <w:lang w:val="zh-CN" w:bidi="zh-CN"/>
    </w:rPr>
  </w:style>
  <w:style w:type="paragraph" w:customStyle="1" w:styleId="268">
    <w:name w:val="修订11"/>
    <w:autoRedefine/>
    <w:qFormat/>
    <w:uiPriority w:val="99"/>
    <w:rPr>
      <w:rFonts w:ascii="Calibri" w:hAnsi="Calibri" w:eastAsia="宋体" w:cs="Times New Roman"/>
      <w:kern w:val="2"/>
      <w:sz w:val="21"/>
      <w:szCs w:val="22"/>
      <w:lang w:val="en-US" w:eastAsia="zh-CN" w:bidi="ar-SA"/>
    </w:rPr>
  </w:style>
  <w:style w:type="paragraph" w:customStyle="1" w:styleId="269">
    <w:name w:val="列表段落2"/>
    <w:basedOn w:val="1"/>
    <w:autoRedefine/>
    <w:qFormat/>
    <w:uiPriority w:val="34"/>
    <w:pPr>
      <w:ind w:firstLine="420" w:firstLineChars="200"/>
    </w:pPr>
    <w:rPr>
      <w:rFonts w:ascii="Times New Roman" w:hAnsi="Times New Roman"/>
      <w:szCs w:val="24"/>
    </w:rPr>
  </w:style>
  <w:style w:type="paragraph" w:customStyle="1" w:styleId="270">
    <w:name w:val="保留正文"/>
    <w:basedOn w:val="1"/>
    <w:autoRedefine/>
    <w:qFormat/>
    <w:uiPriority w:val="99"/>
    <w:pPr>
      <w:keepNext/>
      <w:adjustRightInd w:val="0"/>
      <w:spacing w:after="160" w:line="480" w:lineRule="auto"/>
    </w:pPr>
    <w:rPr>
      <w:rFonts w:ascii="宋体" w:hAnsi="Times New Roman"/>
      <w:kern w:val="0"/>
      <w:sz w:val="24"/>
      <w:szCs w:val="20"/>
    </w:rPr>
  </w:style>
  <w:style w:type="paragraph" w:customStyle="1" w:styleId="271">
    <w:name w:val="xl89"/>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FF"/>
      <w:kern w:val="0"/>
      <w:sz w:val="20"/>
      <w:szCs w:val="20"/>
    </w:rPr>
  </w:style>
  <w:style w:type="paragraph" w:customStyle="1" w:styleId="272">
    <w:name w:val="Header or footer|1"/>
    <w:basedOn w:val="1"/>
    <w:autoRedefine/>
    <w:qFormat/>
    <w:uiPriority w:val="99"/>
    <w:rPr>
      <w:rFonts w:ascii="Times New Roman" w:hAnsi="Times New Roman"/>
      <w:b/>
      <w:bCs/>
      <w:sz w:val="18"/>
      <w:szCs w:val="18"/>
      <w:lang w:val="zh-TW" w:eastAsia="zh-TW" w:bidi="zh-TW"/>
    </w:rPr>
  </w:style>
  <w:style w:type="paragraph" w:customStyle="1" w:styleId="273">
    <w:name w:val="正文1"/>
    <w:autoRedefine/>
    <w:qFormat/>
    <w:uiPriority w:val="99"/>
    <w:pPr>
      <w:widowControl w:val="0"/>
      <w:jc w:val="both"/>
    </w:pPr>
    <w:rPr>
      <w:rFonts w:ascii="Calibri" w:hAnsi="Calibri" w:eastAsia="宋体" w:cs="Times New Roman"/>
      <w:kern w:val="2"/>
      <w:sz w:val="21"/>
      <w:lang w:val="en-US" w:eastAsia="zh-CN" w:bidi="ar-SA"/>
    </w:rPr>
  </w:style>
  <w:style w:type="paragraph" w:customStyle="1" w:styleId="274">
    <w:name w:val="xl92"/>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FF"/>
      <w:kern w:val="0"/>
      <w:sz w:val="24"/>
      <w:szCs w:val="24"/>
    </w:rPr>
  </w:style>
  <w:style w:type="paragraph" w:customStyle="1" w:styleId="275">
    <w:name w:val="表格内字体"/>
    <w:basedOn w:val="1"/>
    <w:autoRedefine/>
    <w:qFormat/>
    <w:uiPriority w:val="99"/>
    <w:pPr>
      <w:jc w:val="center"/>
    </w:pPr>
    <w:rPr>
      <w:rFonts w:ascii="宋体" w:hAnsi="宋体" w:cs="宋体"/>
      <w:szCs w:val="24"/>
      <w:lang w:val="zh-CN" w:bidi="zh-CN"/>
    </w:rPr>
  </w:style>
  <w:style w:type="paragraph" w:customStyle="1" w:styleId="276">
    <w:name w:val="reader-word-layer reader-word-s1-9"/>
    <w:basedOn w:val="1"/>
    <w:autoRedefine/>
    <w:qFormat/>
    <w:uiPriority w:val="99"/>
    <w:pPr>
      <w:widowControl/>
      <w:spacing w:before="100" w:beforeAutospacing="1" w:after="100" w:afterAutospacing="1"/>
      <w:jc w:val="left"/>
    </w:pPr>
    <w:rPr>
      <w:rFonts w:ascii="宋体" w:hAnsi="宋体" w:cs="宋体"/>
      <w:kern w:val="0"/>
      <w:sz w:val="24"/>
      <w:szCs w:val="24"/>
    </w:rPr>
  </w:style>
  <w:style w:type="paragraph" w:customStyle="1" w:styleId="277">
    <w:name w:val="tabletext"/>
    <w:basedOn w:val="1"/>
    <w:autoRedefine/>
    <w:qFormat/>
    <w:uiPriority w:val="99"/>
    <w:pPr>
      <w:widowControl/>
      <w:spacing w:before="100" w:beforeAutospacing="1" w:after="100" w:afterAutospacing="1"/>
      <w:jc w:val="left"/>
    </w:pPr>
    <w:rPr>
      <w:rFonts w:ascii="宋体" w:hAnsi="宋体" w:cs="宋体"/>
      <w:kern w:val="0"/>
      <w:sz w:val="24"/>
      <w:szCs w:val="24"/>
    </w:rPr>
  </w:style>
  <w:style w:type="paragraph" w:customStyle="1" w:styleId="278">
    <w:name w:val="TOC 21"/>
    <w:basedOn w:val="1"/>
    <w:next w:val="1"/>
    <w:autoRedefine/>
    <w:qFormat/>
    <w:uiPriority w:val="39"/>
    <w:pPr>
      <w:ind w:left="420" w:leftChars="200"/>
    </w:pPr>
  </w:style>
  <w:style w:type="paragraph" w:customStyle="1" w:styleId="279">
    <w:name w:val="xl86"/>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黑体" w:hAnsi="宋体" w:eastAsia="黑体" w:cs="宋体"/>
      <w:color w:val="000000"/>
      <w:kern w:val="0"/>
      <w:sz w:val="20"/>
      <w:szCs w:val="20"/>
    </w:rPr>
  </w:style>
  <w:style w:type="paragraph" w:customStyle="1" w:styleId="280">
    <w:name w:val="TOC 11"/>
    <w:basedOn w:val="1"/>
    <w:next w:val="1"/>
    <w:autoRedefine/>
    <w:qFormat/>
    <w:uiPriority w:val="39"/>
    <w:pPr>
      <w:tabs>
        <w:tab w:val="right" w:leader="dot" w:pos="8302"/>
      </w:tabs>
      <w:spacing w:line="600" w:lineRule="auto"/>
      <w:ind w:firstLine="426" w:firstLineChars="133"/>
    </w:pPr>
  </w:style>
  <w:style w:type="paragraph" w:customStyle="1" w:styleId="281">
    <w:name w:val="Char Char Char1 Char Char Char Char"/>
    <w:basedOn w:val="1"/>
    <w:autoRedefine/>
    <w:qFormat/>
    <w:uiPriority w:val="99"/>
    <w:pPr>
      <w:widowControl/>
      <w:spacing w:after="160" w:line="240" w:lineRule="exact"/>
      <w:jc w:val="left"/>
    </w:pPr>
    <w:rPr>
      <w:szCs w:val="24"/>
    </w:rPr>
  </w:style>
  <w:style w:type="paragraph" w:customStyle="1" w:styleId="282">
    <w:name w:val="样式1"/>
    <w:basedOn w:val="1"/>
    <w:autoRedefine/>
    <w:qFormat/>
    <w:uiPriority w:val="99"/>
    <w:pPr>
      <w:tabs>
        <w:tab w:val="left" w:pos="709"/>
        <w:tab w:val="left" w:pos="6780"/>
      </w:tabs>
      <w:adjustRightInd w:val="0"/>
      <w:ind w:left="6780" w:leftChars="400" w:hanging="360" w:hangingChars="200"/>
    </w:pPr>
    <w:rPr>
      <w:rFonts w:ascii="宋体" w:hAnsi="宋体" w:cs="宋体"/>
      <w:kern w:val="0"/>
      <w:szCs w:val="21"/>
    </w:rPr>
  </w:style>
  <w:style w:type="paragraph" w:customStyle="1" w:styleId="283">
    <w:name w:val="TOC 标题11"/>
    <w:basedOn w:val="2"/>
    <w:next w:val="1"/>
    <w:autoRedefine/>
    <w:qFormat/>
    <w:uiPriority w:val="99"/>
    <w:pPr>
      <w:widowControl/>
      <w:spacing w:before="480" w:after="0" w:line="276" w:lineRule="auto"/>
      <w:jc w:val="left"/>
      <w:outlineLvl w:val="9"/>
    </w:pPr>
    <w:rPr>
      <w:rFonts w:ascii="Cambria" w:hAnsi="Cambria"/>
      <w:color w:val="365F91"/>
      <w:kern w:val="0"/>
      <w:sz w:val="28"/>
      <w:szCs w:val="28"/>
    </w:rPr>
  </w:style>
  <w:style w:type="paragraph" w:customStyle="1" w:styleId="284">
    <w:name w:val="无间隔1"/>
    <w:autoRedefine/>
    <w:qFormat/>
    <w:uiPriority w:val="99"/>
    <w:rPr>
      <w:rFonts w:ascii="Calibri" w:hAnsi="Calibri" w:eastAsia="宋体" w:cs="Times New Roman"/>
      <w:sz w:val="22"/>
      <w:szCs w:val="22"/>
      <w:lang w:val="en-US" w:eastAsia="en-US" w:bidi="ar-SA"/>
    </w:rPr>
  </w:style>
  <w:style w:type="paragraph" w:customStyle="1" w:styleId="285">
    <w:name w:val="正文缩进1"/>
    <w:basedOn w:val="1"/>
    <w:next w:val="15"/>
    <w:autoRedefine/>
    <w:qFormat/>
    <w:uiPriority w:val="99"/>
    <w:pPr>
      <w:autoSpaceDE w:val="0"/>
      <w:autoSpaceDN w:val="0"/>
      <w:adjustRightInd w:val="0"/>
      <w:snapToGrid w:val="0"/>
      <w:spacing w:after="120" w:line="360" w:lineRule="auto"/>
      <w:ind w:left="420" w:firstLine="480"/>
    </w:pPr>
    <w:rPr>
      <w:rFonts w:cs="宋体"/>
      <w:sz w:val="24"/>
      <w:szCs w:val="20"/>
    </w:rPr>
  </w:style>
  <w:style w:type="paragraph" w:customStyle="1" w:styleId="286">
    <w:name w:val="表内文字"/>
    <w:basedOn w:val="1"/>
    <w:autoRedefine/>
    <w:qFormat/>
    <w:uiPriority w:val="99"/>
    <w:pPr>
      <w:tabs>
        <w:tab w:val="left" w:pos="1418"/>
      </w:tabs>
      <w:spacing w:line="360" w:lineRule="auto"/>
      <w:jc w:val="center"/>
    </w:pPr>
    <w:rPr>
      <w:rFonts w:ascii="仿宋_GB2312" w:eastAsia="仿宋_GB2312"/>
      <w:spacing w:val="-20"/>
      <w:kern w:val="0"/>
      <w:sz w:val="24"/>
    </w:rPr>
  </w:style>
  <w:style w:type="paragraph" w:customStyle="1" w:styleId="287">
    <w:name w:val="--规划正文"/>
    <w:basedOn w:val="1"/>
    <w:autoRedefine/>
    <w:qFormat/>
    <w:uiPriority w:val="99"/>
    <w:pPr>
      <w:widowControl/>
      <w:suppressAutoHyphens/>
      <w:spacing w:line="360" w:lineRule="auto"/>
      <w:ind w:firstLine="200"/>
      <w:jc w:val="left"/>
    </w:pPr>
    <w:rPr>
      <w:szCs w:val="20"/>
      <w:lang w:eastAsia="ar-SA"/>
    </w:rPr>
  </w:style>
  <w:style w:type="paragraph" w:customStyle="1" w:styleId="288">
    <w:name w:val="Char Char4"/>
    <w:basedOn w:val="1"/>
    <w:autoRedefine/>
    <w:qFormat/>
    <w:uiPriority w:val="99"/>
    <w:pPr>
      <w:widowControl/>
      <w:spacing w:after="160" w:line="240" w:lineRule="exact"/>
      <w:jc w:val="left"/>
    </w:pPr>
    <w:rPr>
      <w:sz w:val="28"/>
      <w:szCs w:val="20"/>
    </w:rPr>
  </w:style>
  <w:style w:type="paragraph" w:customStyle="1" w:styleId="289">
    <w:name w:val="f1"/>
    <w:basedOn w:val="1"/>
    <w:autoRedefine/>
    <w:qFormat/>
    <w:uiPriority w:val="99"/>
    <w:pPr>
      <w:widowControl/>
      <w:spacing w:before="100" w:beforeAutospacing="1" w:after="100" w:afterAutospacing="1"/>
      <w:jc w:val="center"/>
    </w:pPr>
    <w:rPr>
      <w:rFonts w:ascii="Helvetica" w:hAnsi="Helvetica" w:cs="Helvetica"/>
      <w:b/>
      <w:bCs/>
      <w:color w:val="FF8080"/>
      <w:spacing w:val="160"/>
      <w:kern w:val="0"/>
      <w:sz w:val="80"/>
      <w:szCs w:val="80"/>
    </w:rPr>
  </w:style>
  <w:style w:type="paragraph" w:customStyle="1" w:styleId="290">
    <w:name w:val="xl107"/>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291">
    <w:name w:val="xl130"/>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292">
    <w:name w:val="Char4"/>
    <w:basedOn w:val="1"/>
    <w:autoRedefine/>
    <w:qFormat/>
    <w:uiPriority w:val="99"/>
    <w:rPr>
      <w:rFonts w:ascii="仿宋_GB2312" w:eastAsia="仿宋_GB2312" w:cs="宋体"/>
      <w:b/>
      <w:sz w:val="32"/>
      <w:szCs w:val="32"/>
    </w:rPr>
  </w:style>
  <w:style w:type="paragraph" w:customStyle="1" w:styleId="293">
    <w:name w:val="font6"/>
    <w:basedOn w:val="1"/>
    <w:autoRedefine/>
    <w:qFormat/>
    <w:uiPriority w:val="99"/>
    <w:pPr>
      <w:widowControl/>
      <w:spacing w:before="100" w:beforeAutospacing="1" w:after="100" w:afterAutospacing="1"/>
      <w:jc w:val="left"/>
    </w:pPr>
    <w:rPr>
      <w:rFonts w:ascii="宋体" w:hAnsi="宋体" w:cs="宋体"/>
      <w:kern w:val="0"/>
      <w:sz w:val="20"/>
      <w:szCs w:val="20"/>
    </w:rPr>
  </w:style>
  <w:style w:type="paragraph" w:customStyle="1" w:styleId="294">
    <w:name w:val="xl120"/>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FF"/>
      <w:kern w:val="0"/>
      <w:sz w:val="20"/>
      <w:szCs w:val="20"/>
    </w:rPr>
  </w:style>
  <w:style w:type="paragraph" w:customStyle="1" w:styleId="295">
    <w:name w:val="xl128"/>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96">
    <w:name w:val="Body text|4"/>
    <w:basedOn w:val="1"/>
    <w:autoRedefine/>
    <w:qFormat/>
    <w:uiPriority w:val="99"/>
    <w:pPr>
      <w:jc w:val="center"/>
    </w:pPr>
    <w:rPr>
      <w:rFonts w:ascii="Times New Roman" w:hAnsi="Times New Roman"/>
      <w:b/>
      <w:bCs/>
      <w:sz w:val="32"/>
      <w:szCs w:val="32"/>
    </w:rPr>
  </w:style>
  <w:style w:type="paragraph" w:customStyle="1" w:styleId="297">
    <w:name w:val="xl117"/>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FF"/>
      <w:kern w:val="0"/>
      <w:sz w:val="20"/>
      <w:szCs w:val="20"/>
    </w:rPr>
  </w:style>
  <w:style w:type="paragraph" w:customStyle="1" w:styleId="298">
    <w:name w:val="正文文本 21"/>
    <w:basedOn w:val="1"/>
    <w:autoRedefine/>
    <w:qFormat/>
    <w:uiPriority w:val="99"/>
    <w:pPr>
      <w:adjustRightInd w:val="0"/>
      <w:spacing w:line="300" w:lineRule="auto"/>
      <w:jc w:val="center"/>
    </w:pPr>
    <w:rPr>
      <w:rFonts w:ascii="宋体" w:hAnsi="宋体"/>
      <w:sz w:val="24"/>
      <w:szCs w:val="20"/>
    </w:rPr>
  </w:style>
  <w:style w:type="paragraph" w:customStyle="1" w:styleId="299">
    <w:name w:val="TOC 31"/>
    <w:basedOn w:val="1"/>
    <w:next w:val="1"/>
    <w:autoRedefine/>
    <w:qFormat/>
    <w:uiPriority w:val="39"/>
    <w:pPr>
      <w:widowControl/>
      <w:spacing w:after="100" w:line="276" w:lineRule="auto"/>
      <w:ind w:left="440"/>
      <w:jc w:val="left"/>
    </w:pPr>
    <w:rPr>
      <w:kern w:val="0"/>
      <w:sz w:val="22"/>
    </w:rPr>
  </w:style>
  <w:style w:type="paragraph" w:customStyle="1" w:styleId="300">
    <w:name w:val="xl102"/>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301">
    <w:name w:val="xl133"/>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302">
    <w:name w:val="xl67"/>
    <w:basedOn w:val="1"/>
    <w:autoRedefine/>
    <w:qFormat/>
    <w:uiPriority w:val="99"/>
    <w:pPr>
      <w:widowControl/>
      <w:shd w:val="clear" w:color="auto" w:fill="FFFFFF"/>
      <w:spacing w:before="100" w:beforeAutospacing="1" w:after="100" w:afterAutospacing="1"/>
      <w:jc w:val="center"/>
    </w:pPr>
    <w:rPr>
      <w:rFonts w:ascii="宋体" w:hAnsi="宋体" w:cs="宋体"/>
      <w:kern w:val="0"/>
      <w:sz w:val="24"/>
      <w:szCs w:val="24"/>
    </w:rPr>
  </w:style>
  <w:style w:type="paragraph" w:customStyle="1" w:styleId="303">
    <w:name w:val="纯文本1"/>
    <w:basedOn w:val="1"/>
    <w:autoRedefine/>
    <w:qFormat/>
    <w:uiPriority w:val="99"/>
    <w:pPr>
      <w:adjustRightInd w:val="0"/>
    </w:pPr>
    <w:rPr>
      <w:rFonts w:ascii="宋体" w:hAnsi="Courier New" w:eastAsia="楷体_GB2312"/>
      <w:sz w:val="26"/>
      <w:szCs w:val="20"/>
    </w:rPr>
  </w:style>
  <w:style w:type="paragraph" w:customStyle="1" w:styleId="304">
    <w:name w:val="xl118"/>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FF"/>
      <w:kern w:val="0"/>
      <w:sz w:val="18"/>
      <w:szCs w:val="18"/>
    </w:rPr>
  </w:style>
  <w:style w:type="paragraph" w:customStyle="1" w:styleId="305">
    <w:name w:val="xl85"/>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306">
    <w:name w:val="Body text|1"/>
    <w:basedOn w:val="1"/>
    <w:autoRedefine/>
    <w:qFormat/>
    <w:uiPriority w:val="99"/>
    <w:pPr>
      <w:spacing w:line="480" w:lineRule="auto"/>
      <w:ind w:firstLine="400"/>
    </w:pPr>
    <w:rPr>
      <w:rFonts w:ascii="宋体" w:hAnsi="宋体" w:cs="宋体"/>
      <w:sz w:val="28"/>
      <w:szCs w:val="28"/>
      <w:lang w:val="zh-TW" w:eastAsia="zh-TW" w:bidi="zh-TW"/>
    </w:rPr>
  </w:style>
  <w:style w:type="paragraph" w:customStyle="1" w:styleId="307">
    <w:name w:val="列表段落1"/>
    <w:basedOn w:val="1"/>
    <w:autoRedefine/>
    <w:qFormat/>
    <w:uiPriority w:val="99"/>
    <w:pPr>
      <w:ind w:firstLine="420" w:firstLineChars="200"/>
    </w:pPr>
  </w:style>
  <w:style w:type="paragraph" w:customStyle="1" w:styleId="308">
    <w:name w:val="Default"/>
    <w:autoRedefine/>
    <w:qFormat/>
    <w:uiPriority w:val="99"/>
    <w:pPr>
      <w:widowControl w:val="0"/>
      <w:autoSpaceDE w:val="0"/>
      <w:autoSpaceDN w:val="0"/>
      <w:adjustRightInd w:val="0"/>
      <w:spacing w:before="120" w:after="120"/>
    </w:pPr>
    <w:rPr>
      <w:rFonts w:ascii="宋体" w:hAnsi="Calibri" w:eastAsia="宋体" w:cs="宋体"/>
      <w:color w:val="000000"/>
      <w:sz w:val="24"/>
      <w:szCs w:val="24"/>
      <w:lang w:val="en-US" w:eastAsia="zh-CN" w:bidi="ar-SA"/>
    </w:rPr>
  </w:style>
  <w:style w:type="paragraph" w:customStyle="1" w:styleId="309">
    <w:name w:val="1 Char Char Char Char"/>
    <w:basedOn w:val="1"/>
    <w:autoRedefine/>
    <w:qFormat/>
    <w:uiPriority w:val="99"/>
    <w:rPr>
      <w:rFonts w:ascii="Tahoma" w:hAnsi="Tahoma"/>
      <w:sz w:val="24"/>
      <w:szCs w:val="20"/>
    </w:rPr>
  </w:style>
  <w:style w:type="paragraph" w:customStyle="1" w:styleId="310">
    <w:name w:val="普通(网站)_0"/>
    <w:basedOn w:val="1"/>
    <w:autoRedefine/>
    <w:qFormat/>
    <w:uiPriority w:val="99"/>
    <w:pPr>
      <w:widowControl/>
      <w:spacing w:before="100" w:beforeAutospacing="1" w:after="100" w:afterAutospacing="1"/>
      <w:jc w:val="left"/>
    </w:pPr>
    <w:rPr>
      <w:rFonts w:ascii="宋体" w:hAnsi="宋体"/>
      <w:kern w:val="0"/>
      <w:sz w:val="24"/>
    </w:rPr>
  </w:style>
  <w:style w:type="paragraph" w:customStyle="1" w:styleId="311">
    <w:name w:val="xl125"/>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312">
    <w:name w:val="xl96"/>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FF"/>
      <w:kern w:val="0"/>
      <w:sz w:val="18"/>
      <w:szCs w:val="18"/>
    </w:rPr>
  </w:style>
  <w:style w:type="paragraph" w:customStyle="1" w:styleId="313">
    <w:name w:val="xl84"/>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cs="宋体"/>
      <w:kern w:val="0"/>
      <w:sz w:val="18"/>
      <w:szCs w:val="18"/>
    </w:rPr>
  </w:style>
  <w:style w:type="paragraph" w:customStyle="1" w:styleId="314">
    <w:name w:val="xl66"/>
    <w:basedOn w:val="1"/>
    <w:autoRedefine/>
    <w:qFormat/>
    <w:uiPriority w:val="99"/>
    <w:pPr>
      <w:widowControl/>
      <w:shd w:val="clear" w:color="auto" w:fill="FFFFFF"/>
      <w:spacing w:before="100" w:beforeAutospacing="1" w:after="100" w:afterAutospacing="1"/>
      <w:jc w:val="left"/>
    </w:pPr>
    <w:rPr>
      <w:rFonts w:ascii="宋体" w:hAnsi="宋体" w:cs="宋体"/>
      <w:color w:val="FF0000"/>
      <w:kern w:val="0"/>
      <w:sz w:val="24"/>
      <w:szCs w:val="24"/>
    </w:rPr>
  </w:style>
  <w:style w:type="paragraph" w:customStyle="1" w:styleId="315">
    <w:name w:val="xl131"/>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316">
    <w:name w:val="xl116"/>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17">
    <w:name w:val="列出段落2"/>
    <w:basedOn w:val="1"/>
    <w:autoRedefine/>
    <w:qFormat/>
    <w:uiPriority w:val="99"/>
    <w:pPr>
      <w:ind w:firstLine="420" w:firstLineChars="200"/>
    </w:pPr>
    <w:rPr>
      <w:rFonts w:cs="宋体"/>
      <w:sz w:val="24"/>
    </w:rPr>
  </w:style>
  <w:style w:type="paragraph" w:customStyle="1" w:styleId="318">
    <w:name w:val="1"/>
    <w:basedOn w:val="2"/>
    <w:autoRedefine/>
    <w:qFormat/>
    <w:uiPriority w:val="99"/>
    <w:pPr>
      <w:adjustRightInd w:val="0"/>
      <w:snapToGrid w:val="0"/>
      <w:spacing w:before="240" w:after="240" w:line="348" w:lineRule="auto"/>
      <w:jc w:val="center"/>
    </w:pPr>
    <w:rPr>
      <w:rFonts w:cs="宋体"/>
      <w:sz w:val="32"/>
    </w:rPr>
  </w:style>
  <w:style w:type="paragraph" w:customStyle="1" w:styleId="319">
    <w:name w:val="正文 New"/>
    <w:autoRedefine/>
    <w:qFormat/>
    <w:uiPriority w:val="99"/>
    <w:pPr>
      <w:widowControl w:val="0"/>
      <w:jc w:val="both"/>
    </w:pPr>
    <w:rPr>
      <w:rFonts w:ascii="Calibri" w:hAnsi="Calibri" w:eastAsia="宋体" w:cs="Times New Roman"/>
      <w:kern w:val="2"/>
      <w:sz w:val="21"/>
      <w:szCs w:val="24"/>
      <w:lang w:val="en-US" w:eastAsia="zh-CN" w:bidi="ar-SA"/>
    </w:rPr>
  </w:style>
  <w:style w:type="paragraph" w:customStyle="1" w:styleId="320">
    <w:name w:val="xl111"/>
    <w:basedOn w:val="1"/>
    <w:autoRedefine/>
    <w:qFormat/>
    <w:uiPriority w:val="99"/>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szCs w:val="20"/>
    </w:rPr>
  </w:style>
  <w:style w:type="paragraph" w:customStyle="1" w:styleId="321">
    <w:name w:val="xl106"/>
    <w:basedOn w:val="1"/>
    <w:autoRedefine/>
    <w:qFormat/>
    <w:uiPriority w:val="99"/>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cs="宋体"/>
      <w:color w:val="000000"/>
      <w:kern w:val="0"/>
      <w:sz w:val="20"/>
      <w:szCs w:val="20"/>
    </w:rPr>
  </w:style>
  <w:style w:type="paragraph" w:customStyle="1" w:styleId="322">
    <w:name w:val="font10"/>
    <w:basedOn w:val="1"/>
    <w:autoRedefine/>
    <w:qFormat/>
    <w:uiPriority w:val="99"/>
    <w:pPr>
      <w:widowControl/>
      <w:spacing w:before="100" w:beforeAutospacing="1" w:after="100" w:afterAutospacing="1"/>
      <w:jc w:val="left"/>
    </w:pPr>
    <w:rPr>
      <w:rFonts w:ascii="宋体" w:hAnsi="宋体" w:cs="宋体"/>
      <w:kern w:val="0"/>
      <w:sz w:val="20"/>
      <w:szCs w:val="20"/>
    </w:rPr>
  </w:style>
  <w:style w:type="paragraph" w:customStyle="1" w:styleId="323">
    <w:name w:val="font9"/>
    <w:basedOn w:val="1"/>
    <w:autoRedefine/>
    <w:qFormat/>
    <w:uiPriority w:val="99"/>
    <w:pPr>
      <w:widowControl/>
      <w:spacing w:before="100" w:beforeAutospacing="1" w:after="100" w:afterAutospacing="1"/>
      <w:jc w:val="left"/>
    </w:pPr>
    <w:rPr>
      <w:rFonts w:ascii="宋体" w:hAnsi="宋体" w:cs="宋体"/>
      <w:kern w:val="0"/>
      <w:sz w:val="18"/>
      <w:szCs w:val="18"/>
    </w:rPr>
  </w:style>
  <w:style w:type="paragraph" w:customStyle="1" w:styleId="324">
    <w:name w:val="Char Char Char Char Char Char1"/>
    <w:basedOn w:val="1"/>
    <w:autoRedefine/>
    <w:qFormat/>
    <w:uiPriority w:val="99"/>
    <w:pPr>
      <w:widowControl/>
      <w:spacing w:after="160" w:line="240" w:lineRule="exact"/>
      <w:jc w:val="left"/>
    </w:pPr>
    <w:rPr>
      <w:kern w:val="0"/>
      <w:szCs w:val="20"/>
    </w:rPr>
  </w:style>
  <w:style w:type="paragraph" w:customStyle="1" w:styleId="325">
    <w:name w:val="Char Char1 Char Char Char Char Char Char"/>
    <w:basedOn w:val="1"/>
    <w:autoRedefine/>
    <w:qFormat/>
    <w:uiPriority w:val="99"/>
    <w:rPr>
      <w:rFonts w:ascii="Times New Roman" w:hAnsi="Times New Roman"/>
      <w:szCs w:val="24"/>
    </w:rPr>
  </w:style>
  <w:style w:type="paragraph" w:customStyle="1" w:styleId="326">
    <w:name w:val="xl74"/>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27">
    <w:name w:val="xl55"/>
    <w:basedOn w:val="1"/>
    <w:autoRedefine/>
    <w:qFormat/>
    <w:uiPriority w:val="99"/>
    <w:pPr>
      <w:widowControl/>
      <w:autoSpaceDE w:val="0"/>
      <w:autoSpaceDN w:val="0"/>
      <w:adjustRightInd w:val="0"/>
      <w:spacing w:before="100" w:beforeAutospacing="1" w:after="100" w:afterAutospacing="1"/>
      <w:jc w:val="center"/>
    </w:pPr>
    <w:rPr>
      <w:rFonts w:ascii="Arial Unicode MS" w:hAnsi="Arial Unicode MS"/>
      <w:kern w:val="0"/>
      <w:sz w:val="24"/>
      <w:szCs w:val="20"/>
    </w:rPr>
  </w:style>
  <w:style w:type="paragraph" w:customStyle="1" w:styleId="328">
    <w:name w:val="列表段落11"/>
    <w:basedOn w:val="1"/>
    <w:autoRedefine/>
    <w:qFormat/>
    <w:uiPriority w:val="34"/>
    <w:pPr>
      <w:ind w:firstLine="420" w:firstLineChars="200"/>
    </w:pPr>
    <w:rPr>
      <w:sz w:val="24"/>
      <w:szCs w:val="20"/>
    </w:rPr>
  </w:style>
  <w:style w:type="paragraph" w:customStyle="1" w:styleId="329">
    <w:name w:val="纯文本6"/>
    <w:basedOn w:val="1"/>
    <w:autoRedefine/>
    <w:qFormat/>
    <w:uiPriority w:val="99"/>
    <w:pPr>
      <w:adjustRightInd w:val="0"/>
    </w:pPr>
    <w:rPr>
      <w:rFonts w:ascii="宋体" w:hAnsi="Courier New" w:eastAsia="楷体_GB2312"/>
      <w:sz w:val="26"/>
      <w:szCs w:val="20"/>
    </w:rPr>
  </w:style>
  <w:style w:type="paragraph" w:customStyle="1" w:styleId="330">
    <w:name w:val="正文5"/>
    <w:autoRedefine/>
    <w:qFormat/>
    <w:uiPriority w:val="99"/>
    <w:pPr>
      <w:widowControl w:val="0"/>
      <w:jc w:val="both"/>
    </w:pPr>
    <w:rPr>
      <w:rFonts w:ascii="Times New Roman" w:hAnsi="Times New Roman" w:eastAsia="宋体" w:cs="Times New Roman"/>
      <w:kern w:val="2"/>
      <w:sz w:val="21"/>
      <w:lang w:val="en-US" w:eastAsia="zh-CN" w:bidi="ar-SA"/>
    </w:rPr>
  </w:style>
  <w:style w:type="character" w:customStyle="1" w:styleId="331">
    <w:name w:val="表格正文 Char"/>
    <w:link w:val="332"/>
    <w:autoRedefine/>
    <w:qFormat/>
    <w:locked/>
    <w:uiPriority w:val="0"/>
    <w:rPr>
      <w:sz w:val="24"/>
    </w:rPr>
  </w:style>
  <w:style w:type="paragraph" w:customStyle="1" w:styleId="332">
    <w:name w:val="表格正文"/>
    <w:basedOn w:val="1"/>
    <w:link w:val="331"/>
    <w:autoRedefine/>
    <w:qFormat/>
    <w:uiPriority w:val="0"/>
    <w:rPr>
      <w:rFonts w:asciiTheme="minorHAnsi" w:hAnsiTheme="minorHAnsi" w:eastAsiaTheme="minorEastAsia" w:cstheme="minorBidi"/>
      <w:sz w:val="24"/>
    </w:rPr>
  </w:style>
  <w:style w:type="character" w:customStyle="1" w:styleId="333">
    <w:name w:val="投标书正文 Char Char"/>
    <w:link w:val="334"/>
    <w:autoRedefine/>
    <w:qFormat/>
    <w:locked/>
    <w:uiPriority w:val="0"/>
    <w:rPr>
      <w:rFonts w:ascii="Times New Roman" w:hAnsi="Times New Roman" w:eastAsia="Times New Roman" w:cs="Times New Roman"/>
      <w:sz w:val="24"/>
    </w:rPr>
  </w:style>
  <w:style w:type="paragraph" w:customStyle="1" w:styleId="334">
    <w:name w:val="投标书正文"/>
    <w:link w:val="333"/>
    <w:autoRedefine/>
    <w:qFormat/>
    <w:uiPriority w:val="0"/>
    <w:pPr>
      <w:autoSpaceDE w:val="0"/>
      <w:spacing w:line="360" w:lineRule="auto"/>
      <w:ind w:firstLine="200" w:firstLineChars="200"/>
    </w:pPr>
    <w:rPr>
      <w:rFonts w:ascii="Times New Roman" w:hAnsi="Times New Roman" w:eastAsia="Times New Roman" w:cs="Times New Roman"/>
      <w:kern w:val="2"/>
      <w:sz w:val="24"/>
      <w:szCs w:val="22"/>
      <w:lang w:val="en-US" w:eastAsia="zh-CN" w:bidi="ar-SA"/>
    </w:rPr>
  </w:style>
  <w:style w:type="character" w:customStyle="1" w:styleId="335">
    <w:name w:val="方案正文-样式 小四 行距: 1.5 倍行距 Char Char"/>
    <w:link w:val="336"/>
    <w:autoRedefine/>
    <w:qFormat/>
    <w:locked/>
    <w:uiPriority w:val="0"/>
    <w:rPr>
      <w:sz w:val="24"/>
    </w:rPr>
  </w:style>
  <w:style w:type="paragraph" w:customStyle="1" w:styleId="336">
    <w:name w:val="方案正文-样式 小四 行距: 1.5 倍行距"/>
    <w:basedOn w:val="1"/>
    <w:link w:val="335"/>
    <w:autoRedefine/>
    <w:qFormat/>
    <w:uiPriority w:val="0"/>
    <w:pPr>
      <w:spacing w:line="360" w:lineRule="auto"/>
      <w:ind w:firstLine="480" w:firstLineChars="200"/>
    </w:pPr>
    <w:rPr>
      <w:rFonts w:asciiTheme="minorHAnsi" w:hAnsiTheme="minorHAnsi" w:eastAsiaTheme="minorEastAsia" w:cstheme="minorBidi"/>
      <w:sz w:val="24"/>
    </w:rPr>
  </w:style>
  <w:style w:type="paragraph" w:customStyle="1" w:styleId="337">
    <w:name w:val="p17"/>
    <w:basedOn w:val="1"/>
    <w:autoRedefine/>
    <w:qFormat/>
    <w:uiPriority w:val="99"/>
    <w:pPr>
      <w:widowControl/>
    </w:pPr>
    <w:rPr>
      <w:rFonts w:ascii="Times New Roman" w:hAnsi="Times New Roman"/>
      <w:kern w:val="0"/>
      <w:szCs w:val="21"/>
    </w:rPr>
  </w:style>
  <w:style w:type="paragraph" w:customStyle="1" w:styleId="338">
    <w:name w:val="p16"/>
    <w:basedOn w:val="1"/>
    <w:autoRedefine/>
    <w:qFormat/>
    <w:uiPriority w:val="99"/>
    <w:pPr>
      <w:widowControl/>
    </w:pPr>
    <w:rPr>
      <w:rFonts w:ascii="Times New Roman" w:hAnsi="Times New Roman"/>
      <w:kern w:val="0"/>
      <w:szCs w:val="21"/>
    </w:rPr>
  </w:style>
  <w:style w:type="paragraph" w:customStyle="1" w:styleId="339">
    <w:name w:val="样式"/>
    <w:basedOn w:val="1"/>
    <w:next w:val="1"/>
    <w:autoRedefine/>
    <w:qFormat/>
    <w:uiPriority w:val="39"/>
    <w:pPr>
      <w:ind w:left="3360" w:leftChars="1600"/>
    </w:pPr>
    <w:rPr>
      <w:rFonts w:ascii="等线" w:hAnsi="等线" w:eastAsia="等线"/>
    </w:rPr>
  </w:style>
  <w:style w:type="paragraph" w:customStyle="1" w:styleId="340">
    <w:name w:val="ptdl"/>
    <w:basedOn w:val="1"/>
    <w:autoRedefine/>
    <w:qFormat/>
    <w:uiPriority w:val="99"/>
    <w:pPr>
      <w:spacing w:after="156"/>
      <w:ind w:firstLine="480"/>
    </w:pPr>
    <w:rPr>
      <w:rFonts w:ascii="Times New Roman" w:hAnsi="Times New Roman"/>
      <w:sz w:val="24"/>
      <w:szCs w:val="20"/>
    </w:rPr>
  </w:style>
  <w:style w:type="paragraph" w:customStyle="1" w:styleId="341">
    <w:name w:val="普通(网站)2"/>
    <w:basedOn w:val="1"/>
    <w:autoRedefine/>
    <w:qFormat/>
    <w:uiPriority w:val="99"/>
    <w:pPr>
      <w:widowControl/>
      <w:spacing w:before="100" w:beforeAutospacing="1" w:after="100" w:afterAutospacing="1" w:line="450" w:lineRule="atLeast"/>
      <w:jc w:val="left"/>
    </w:pPr>
    <w:rPr>
      <w:rFonts w:ascii="宋体" w:hAnsi="宋体" w:cs="宋体"/>
      <w:kern w:val="0"/>
      <w:sz w:val="24"/>
      <w:szCs w:val="24"/>
    </w:rPr>
  </w:style>
  <w:style w:type="paragraph" w:customStyle="1" w:styleId="342">
    <w:name w:val="样式 标题 2 + Times New Roman 四号 非加粗 段前: 5 磅 段后: 0 磅 行距: 固定值 20..."/>
    <w:basedOn w:val="3"/>
    <w:autoRedefine/>
    <w:qFormat/>
    <w:uiPriority w:val="99"/>
    <w:pPr>
      <w:spacing w:before="100" w:after="0" w:line="400" w:lineRule="exact"/>
    </w:pPr>
    <w:rPr>
      <w:rFonts w:ascii="Times New Roman" w:hAnsi="Times New Roman" w:eastAsia="黑体" w:cs="宋体"/>
      <w:b w:val="0"/>
      <w:bCs w:val="0"/>
      <w:sz w:val="28"/>
      <w:szCs w:val="20"/>
    </w:rPr>
  </w:style>
  <w:style w:type="paragraph" w:customStyle="1" w:styleId="343">
    <w:name w:val="No Spacing1"/>
    <w:autoRedefine/>
    <w:qFormat/>
    <w:uiPriority w:val="99"/>
    <w:rPr>
      <w:rFonts w:ascii="Times New Roman" w:hAnsi="Times New Roman" w:eastAsia="Times New Roman" w:cs="宋体"/>
      <w:sz w:val="22"/>
      <w:szCs w:val="22"/>
      <w:lang w:val="en-US" w:eastAsia="en-US" w:bidi="ar-SA"/>
    </w:rPr>
  </w:style>
  <w:style w:type="paragraph" w:customStyle="1" w:styleId="344">
    <w:name w:val="无间距1"/>
    <w:autoRedefine/>
    <w:qFormat/>
    <w:uiPriority w:val="99"/>
    <w:rPr>
      <w:rFonts w:ascii="Calibri" w:hAnsi="Calibri" w:eastAsia="Times New Roman" w:cs="宋体"/>
      <w:sz w:val="22"/>
      <w:szCs w:val="22"/>
      <w:lang w:val="en-US" w:eastAsia="en-US" w:bidi="ar-SA"/>
    </w:rPr>
  </w:style>
  <w:style w:type="paragraph" w:customStyle="1" w:styleId="345">
    <w:name w:val="样式5"/>
    <w:basedOn w:val="1"/>
    <w:autoRedefine/>
    <w:qFormat/>
    <w:uiPriority w:val="99"/>
    <w:pPr>
      <w:adjustRightInd w:val="0"/>
      <w:spacing w:line="440" w:lineRule="exact"/>
      <w:ind w:left="2" w:firstLine="480" w:firstLineChars="200"/>
    </w:pPr>
    <w:rPr>
      <w:rFonts w:ascii="仿宋_GB2312" w:hAnsi="仿宋" w:eastAsia="仿宋_GB2312"/>
      <w:sz w:val="24"/>
      <w:szCs w:val="24"/>
    </w:rPr>
  </w:style>
  <w:style w:type="paragraph" w:customStyle="1" w:styleId="346">
    <w:name w:val="部分1"/>
    <w:basedOn w:val="1"/>
    <w:autoRedefine/>
    <w:qFormat/>
    <w:uiPriority w:val="99"/>
    <w:pPr>
      <w:keepNext/>
      <w:pageBreakBefore/>
      <w:numPr>
        <w:ilvl w:val="0"/>
        <w:numId w:val="5"/>
      </w:numPr>
      <w:tabs>
        <w:tab w:val="left" w:pos="720"/>
      </w:tabs>
      <w:adjustRightInd w:val="0"/>
      <w:spacing w:line="360" w:lineRule="auto"/>
      <w:ind w:left="0" w:firstLine="0"/>
      <w:jc w:val="center"/>
      <w:outlineLvl w:val="0"/>
    </w:pPr>
    <w:rPr>
      <w:rFonts w:ascii="Times New Roman" w:hAnsi="Times New Roman" w:eastAsia="黑体"/>
      <w:b/>
      <w:kern w:val="44"/>
      <w:sz w:val="36"/>
      <w:szCs w:val="20"/>
    </w:rPr>
  </w:style>
  <w:style w:type="paragraph" w:customStyle="1" w:styleId="347">
    <w:name w:val="纯文本_0_0"/>
    <w:basedOn w:val="1"/>
    <w:autoRedefine/>
    <w:qFormat/>
    <w:uiPriority w:val="99"/>
    <w:rPr>
      <w:rFonts w:ascii="宋体" w:hAnsi="Courier New"/>
      <w:szCs w:val="21"/>
    </w:rPr>
  </w:style>
  <w:style w:type="paragraph" w:customStyle="1" w:styleId="348">
    <w:name w:val="修订2"/>
    <w:autoRedefine/>
    <w:qFormat/>
    <w:uiPriority w:val="99"/>
    <w:rPr>
      <w:rFonts w:ascii="Times New Roman" w:hAnsi="Times New Roman" w:eastAsia="宋体" w:cs="Times New Roman"/>
      <w:kern w:val="2"/>
      <w:sz w:val="21"/>
      <w:szCs w:val="24"/>
      <w:lang w:val="en-US" w:eastAsia="zh-CN" w:bidi="ar-SA"/>
    </w:rPr>
  </w:style>
  <w:style w:type="character" w:customStyle="1" w:styleId="349">
    <w:name w:val="标题 4 Char1"/>
    <w:link w:val="5"/>
    <w:autoRedefine/>
    <w:semiHidden/>
    <w:qFormat/>
    <w:locked/>
    <w:uiPriority w:val="9"/>
    <w:rPr>
      <w:rFonts w:ascii="Arial" w:hAnsi="Arial" w:eastAsia="黑体" w:cs="Times New Roman"/>
      <w:b/>
      <w:bCs/>
      <w:kern w:val="0"/>
      <w:sz w:val="28"/>
      <w:szCs w:val="28"/>
    </w:rPr>
  </w:style>
  <w:style w:type="character" w:customStyle="1" w:styleId="350">
    <w:name w:val="标题 5 Char1"/>
    <w:link w:val="6"/>
    <w:autoRedefine/>
    <w:semiHidden/>
    <w:qFormat/>
    <w:locked/>
    <w:uiPriority w:val="9"/>
    <w:rPr>
      <w:rFonts w:ascii="楷体_GB2312" w:hAnsi="宋体" w:eastAsia="楷体_GB2312" w:cs="宋体"/>
      <w:b/>
      <w:bCs/>
      <w:kern w:val="0"/>
      <w:sz w:val="24"/>
      <w:szCs w:val="28"/>
    </w:rPr>
  </w:style>
  <w:style w:type="character" w:customStyle="1" w:styleId="351">
    <w:name w:val="标题 6 Char1"/>
    <w:link w:val="7"/>
    <w:autoRedefine/>
    <w:semiHidden/>
    <w:qFormat/>
    <w:locked/>
    <w:uiPriority w:val="9"/>
    <w:rPr>
      <w:rFonts w:ascii="Times New Roman" w:hAnsi="Calibri" w:eastAsia="宋体" w:cs="Times New Roman"/>
      <w:kern w:val="0"/>
      <w:sz w:val="24"/>
      <w:szCs w:val="20"/>
    </w:rPr>
  </w:style>
  <w:style w:type="character" w:customStyle="1" w:styleId="352">
    <w:name w:val="标题 7 Char1"/>
    <w:link w:val="8"/>
    <w:autoRedefine/>
    <w:semiHidden/>
    <w:qFormat/>
    <w:locked/>
    <w:uiPriority w:val="9"/>
    <w:rPr>
      <w:rFonts w:ascii="Times New Roman" w:hAnsi="Calibri" w:eastAsia="宋体" w:cs="Times New Roman"/>
      <w:kern w:val="0"/>
      <w:sz w:val="24"/>
      <w:szCs w:val="20"/>
    </w:rPr>
  </w:style>
  <w:style w:type="character" w:customStyle="1" w:styleId="353">
    <w:name w:val="标题 8 Char1"/>
    <w:link w:val="9"/>
    <w:autoRedefine/>
    <w:semiHidden/>
    <w:qFormat/>
    <w:locked/>
    <w:uiPriority w:val="9"/>
    <w:rPr>
      <w:rFonts w:ascii="Times New Roman" w:hAnsi="Calibri" w:eastAsia="宋体" w:cs="Times New Roman"/>
      <w:kern w:val="0"/>
      <w:sz w:val="24"/>
      <w:szCs w:val="20"/>
    </w:rPr>
  </w:style>
  <w:style w:type="character" w:customStyle="1" w:styleId="354">
    <w:name w:val="标题 9 Char1"/>
    <w:link w:val="10"/>
    <w:autoRedefine/>
    <w:semiHidden/>
    <w:qFormat/>
    <w:locked/>
    <w:uiPriority w:val="9"/>
    <w:rPr>
      <w:rFonts w:ascii="Times New Roman" w:hAnsi="Calibri" w:eastAsia="宋体" w:cs="Times New Roman"/>
      <w:kern w:val="0"/>
      <w:sz w:val="24"/>
      <w:szCs w:val="20"/>
    </w:rPr>
  </w:style>
  <w:style w:type="character" w:customStyle="1" w:styleId="355">
    <w:name w:val="文档结构图 Char1"/>
    <w:link w:val="18"/>
    <w:autoRedefine/>
    <w:semiHidden/>
    <w:qFormat/>
    <w:locked/>
    <w:uiPriority w:val="99"/>
    <w:rPr>
      <w:rFonts w:ascii="宋体" w:hAnsi="Calibri" w:eastAsia="宋体" w:cs="Times New Roman"/>
      <w:sz w:val="18"/>
      <w:szCs w:val="18"/>
    </w:rPr>
  </w:style>
  <w:style w:type="character" w:customStyle="1" w:styleId="356">
    <w:name w:val="正文文本缩进 2 Char1"/>
    <w:link w:val="31"/>
    <w:autoRedefine/>
    <w:semiHidden/>
    <w:qFormat/>
    <w:locked/>
    <w:uiPriority w:val="99"/>
    <w:rPr>
      <w:rFonts w:ascii="仿宋_GB2312" w:hAnsi="宋体" w:eastAsia="宋体" w:cs="Times New Roman"/>
      <w:b/>
      <w:bCs/>
      <w:color w:val="000000"/>
      <w:sz w:val="24"/>
      <w:szCs w:val="24"/>
    </w:rPr>
  </w:style>
  <w:style w:type="character" w:customStyle="1" w:styleId="357">
    <w:name w:val="批注框文本 Char1"/>
    <w:link w:val="32"/>
    <w:autoRedefine/>
    <w:qFormat/>
    <w:locked/>
    <w:uiPriority w:val="99"/>
    <w:rPr>
      <w:rFonts w:ascii="Calibri" w:hAnsi="Calibri" w:eastAsia="宋体" w:cs="Times New Roman"/>
      <w:kern w:val="0"/>
      <w:sz w:val="18"/>
      <w:szCs w:val="18"/>
    </w:rPr>
  </w:style>
  <w:style w:type="character" w:customStyle="1" w:styleId="358">
    <w:name w:val="正文文本缩进 3 Char1"/>
    <w:link w:val="41"/>
    <w:autoRedefine/>
    <w:semiHidden/>
    <w:qFormat/>
    <w:locked/>
    <w:uiPriority w:val="99"/>
    <w:rPr>
      <w:rFonts w:ascii="仿宋_GB2312" w:hAnsi="宋体" w:eastAsia="仿宋_GB2312" w:cs="Times New Roman"/>
      <w:color w:val="000000"/>
      <w:sz w:val="24"/>
      <w:szCs w:val="24"/>
    </w:rPr>
  </w:style>
  <w:style w:type="character" w:customStyle="1" w:styleId="359">
    <w:name w:val="正文首行缩进 2 Char1"/>
    <w:link w:val="50"/>
    <w:autoRedefine/>
    <w:qFormat/>
    <w:locked/>
    <w:uiPriority w:val="99"/>
    <w:rPr>
      <w:rFonts w:ascii="宋体" w:hAnsi="Courier New"/>
      <w:spacing w:val="-4"/>
      <w:szCs w:val="24"/>
    </w:rPr>
  </w:style>
  <w:style w:type="character" w:customStyle="1" w:styleId="360">
    <w:name w:val="15"/>
    <w:autoRedefine/>
    <w:qFormat/>
    <w:uiPriority w:val="0"/>
    <w:rPr>
      <w:rFonts w:hint="default" w:ascii="Times New Roman" w:hAnsi="Times New Roman" w:cs="Arial"/>
      <w:b/>
      <w:sz w:val="21"/>
      <w:szCs w:val="21"/>
    </w:rPr>
  </w:style>
  <w:style w:type="character" w:customStyle="1" w:styleId="361">
    <w:name w:val="hui3"/>
    <w:autoRedefine/>
    <w:qFormat/>
    <w:uiPriority w:val="0"/>
    <w:rPr>
      <w:color w:val="333333"/>
    </w:rPr>
  </w:style>
  <w:style w:type="character" w:customStyle="1" w:styleId="362">
    <w:name w:val="font122"/>
    <w:autoRedefine/>
    <w:qFormat/>
    <w:uiPriority w:val="0"/>
    <w:rPr>
      <w:rFonts w:hint="eastAsia" w:ascii="宋体" w:hAnsi="宋体" w:eastAsia="宋体" w:cs="宋体"/>
      <w:b/>
      <w:bCs/>
      <w:color w:val="000000"/>
      <w:sz w:val="20"/>
      <w:szCs w:val="20"/>
      <w:u w:val="none"/>
    </w:rPr>
  </w:style>
  <w:style w:type="character" w:customStyle="1" w:styleId="363">
    <w:name w:val="textcolor1"/>
    <w:autoRedefine/>
    <w:qFormat/>
    <w:uiPriority w:val="0"/>
    <w:rPr>
      <w:color w:val="FF6600"/>
    </w:rPr>
  </w:style>
  <w:style w:type="character" w:customStyle="1" w:styleId="364">
    <w:name w:val="正文对齐 Char1"/>
    <w:autoRedefine/>
    <w:qFormat/>
    <w:uiPriority w:val="0"/>
    <w:rPr>
      <w:kern w:val="2"/>
      <w:sz w:val="21"/>
      <w:szCs w:val="24"/>
    </w:rPr>
  </w:style>
  <w:style w:type="character" w:customStyle="1" w:styleId="365">
    <w:name w:val="正文缩进 Char1"/>
    <w:autoRedefine/>
    <w:qFormat/>
    <w:uiPriority w:val="0"/>
    <w:rPr>
      <w:rFonts w:hint="eastAsia" w:ascii="宋体" w:hAnsi="宋体" w:eastAsia="宋体"/>
    </w:rPr>
  </w:style>
  <w:style w:type="character" w:customStyle="1" w:styleId="366">
    <w:name w:val="正文文本缩进 字符1"/>
    <w:autoRedefine/>
    <w:qFormat/>
    <w:uiPriority w:val="0"/>
    <w:rPr>
      <w:rFonts w:hint="eastAsia" w:ascii="宋体" w:hAnsi="Courier New" w:eastAsia="宋体"/>
      <w:spacing w:val="-4"/>
      <w:kern w:val="2"/>
      <w:sz w:val="18"/>
    </w:rPr>
  </w:style>
  <w:style w:type="character" w:customStyle="1" w:styleId="367">
    <w:name w:val="日期 Char3"/>
    <w:autoRedefine/>
    <w:qFormat/>
    <w:uiPriority w:val="0"/>
    <w:rPr>
      <w:rFonts w:hint="eastAsia" w:ascii="楷体_GB2312" w:eastAsia="楷体_GB2312"/>
      <w:sz w:val="32"/>
    </w:rPr>
  </w:style>
  <w:style w:type="character" w:customStyle="1" w:styleId="368">
    <w:name w:val="书籍标题1"/>
    <w:autoRedefine/>
    <w:qFormat/>
    <w:uiPriority w:val="33"/>
    <w:rPr>
      <w:rFonts w:hint="default" w:ascii="Songti SC Regular" w:hAnsi="Songti SC Regular" w:eastAsia="Songti SC Regular"/>
      <w:bCs/>
      <w:smallCaps/>
      <w:spacing w:val="5"/>
      <w:sz w:val="32"/>
    </w:rPr>
  </w:style>
  <w:style w:type="character" w:customStyle="1" w:styleId="369">
    <w:name w:val="标题 1 Char Char"/>
    <w:autoRedefine/>
    <w:qFormat/>
    <w:uiPriority w:val="0"/>
    <w:rPr>
      <w:rFonts w:hint="eastAsia" w:ascii="宋体" w:hAnsi="宋体" w:eastAsia="宋体"/>
      <w:b/>
      <w:spacing w:val="-2"/>
      <w:sz w:val="24"/>
      <w:lang w:val="en-US" w:eastAsia="zh-CN" w:bidi="ar-SA"/>
    </w:rPr>
  </w:style>
  <w:style w:type="character" w:customStyle="1" w:styleId="370">
    <w:name w:val="font71"/>
    <w:autoRedefine/>
    <w:qFormat/>
    <w:uiPriority w:val="0"/>
    <w:rPr>
      <w:rFonts w:hint="default" w:ascii="Times New Roman" w:hAnsi="Times New Roman" w:cs="Times New Roman"/>
      <w:color w:val="000000"/>
      <w:sz w:val="24"/>
      <w:szCs w:val="24"/>
      <w:u w:val="none"/>
    </w:rPr>
  </w:style>
  <w:style w:type="character" w:customStyle="1" w:styleId="371">
    <w:name w:val="正文缩进 字符1"/>
    <w:autoRedefine/>
    <w:qFormat/>
    <w:uiPriority w:val="0"/>
    <w:rPr>
      <w:rFonts w:hint="eastAsia" w:ascii="宋体" w:hAnsi="宋体" w:eastAsia="宋体"/>
      <w:kern w:val="2"/>
      <w:sz w:val="21"/>
      <w:lang w:val="en-US" w:eastAsia="zh-CN" w:bidi="ar-SA"/>
    </w:rPr>
  </w:style>
  <w:style w:type="character" w:customStyle="1" w:styleId="372">
    <w:name w:val="正文文本 Char Char"/>
    <w:autoRedefine/>
    <w:qFormat/>
    <w:uiPriority w:val="0"/>
    <w:rPr>
      <w:kern w:val="2"/>
      <w:sz w:val="28"/>
      <w:szCs w:val="24"/>
    </w:rPr>
  </w:style>
  <w:style w:type="character" w:customStyle="1" w:styleId="373">
    <w:name w:val="批注框文本 Char3"/>
    <w:autoRedefine/>
    <w:qFormat/>
    <w:locked/>
    <w:uiPriority w:val="0"/>
    <w:rPr>
      <w:sz w:val="18"/>
      <w:szCs w:val="18"/>
    </w:rPr>
  </w:style>
  <w:style w:type="character" w:customStyle="1" w:styleId="374">
    <w:name w:val="正文文本 2 Char3"/>
    <w:autoRedefine/>
    <w:qFormat/>
    <w:uiPriority w:val="0"/>
    <w:rPr>
      <w:rFonts w:hint="eastAsia" w:ascii="宋体" w:hAnsi="宋体" w:eastAsia="宋体"/>
      <w:color w:val="000000"/>
      <w:sz w:val="24"/>
      <w:szCs w:val="24"/>
    </w:rPr>
  </w:style>
  <w:style w:type="character" w:customStyle="1" w:styleId="375">
    <w:name w:val="标题 Char4"/>
    <w:autoRedefine/>
    <w:qFormat/>
    <w:uiPriority w:val="0"/>
    <w:rPr>
      <w:rFonts w:hint="default" w:ascii="Calibri Light" w:hAnsi="Calibri Light" w:cs="Calibri Light"/>
      <w:b/>
      <w:bCs/>
      <w:sz w:val="32"/>
      <w:szCs w:val="32"/>
    </w:rPr>
  </w:style>
  <w:style w:type="character" w:customStyle="1" w:styleId="376">
    <w:name w:val="纯文本 Char3"/>
    <w:autoRedefine/>
    <w:qFormat/>
    <w:uiPriority w:val="0"/>
    <w:rPr>
      <w:rFonts w:hint="eastAsia" w:ascii="宋体" w:hAnsi="Courier New" w:eastAsia="宋体"/>
      <w:kern w:val="2"/>
      <w:sz w:val="24"/>
      <w:szCs w:val="24"/>
      <w:lang w:val="en-US" w:eastAsia="zh-CN" w:bidi="ar-SA"/>
    </w:rPr>
  </w:style>
  <w:style w:type="character" w:customStyle="1" w:styleId="377">
    <w:name w:val="apple-converted-space"/>
    <w:autoRedefine/>
    <w:qFormat/>
    <w:uiPriority w:val="0"/>
  </w:style>
  <w:style w:type="character" w:customStyle="1" w:styleId="378">
    <w:name w:val="font21"/>
    <w:basedOn w:val="53"/>
    <w:autoRedefine/>
    <w:qFormat/>
    <w:uiPriority w:val="0"/>
    <w:rPr>
      <w:rFonts w:hint="default" w:ascii="Arial" w:hAnsi="Arial" w:cs="Arial"/>
      <w:color w:val="333333"/>
      <w:sz w:val="18"/>
      <w:szCs w:val="18"/>
      <w:u w:val="none"/>
    </w:rPr>
  </w:style>
  <w:style w:type="character" w:customStyle="1" w:styleId="379">
    <w:name w:val="未处理的提及1"/>
    <w:autoRedefine/>
    <w:qFormat/>
    <w:uiPriority w:val="99"/>
    <w:rPr>
      <w:color w:val="605E5C"/>
      <w:shd w:val="clear" w:color="auto" w:fill="E1DFDD"/>
    </w:rPr>
  </w:style>
  <w:style w:type="character" w:customStyle="1" w:styleId="380">
    <w:name w:val="标题 2 Char2"/>
    <w:autoRedefine/>
    <w:qFormat/>
    <w:uiPriority w:val="0"/>
    <w:rPr>
      <w:rFonts w:hint="default" w:ascii="Arial" w:hAnsi="Arial" w:eastAsia="黑体" w:cs="Times New Roman"/>
      <w:b/>
      <w:bCs/>
      <w:sz w:val="32"/>
      <w:szCs w:val="32"/>
    </w:rPr>
  </w:style>
  <w:style w:type="character" w:customStyle="1" w:styleId="381">
    <w:name w:val="font81"/>
    <w:autoRedefine/>
    <w:qFormat/>
    <w:uiPriority w:val="0"/>
    <w:rPr>
      <w:rFonts w:hint="default" w:ascii="Times New Roman" w:hAnsi="Times New Roman" w:cs="Times New Roman"/>
      <w:b/>
      <w:color w:val="000000"/>
      <w:sz w:val="24"/>
      <w:szCs w:val="24"/>
      <w:u w:val="none"/>
    </w:rPr>
  </w:style>
  <w:style w:type="character" w:customStyle="1" w:styleId="382">
    <w:name w:val="Char Char"/>
    <w:autoRedefine/>
    <w:qFormat/>
    <w:uiPriority w:val="0"/>
    <w:rPr>
      <w:rFonts w:hint="eastAsia" w:ascii="宋体" w:hAnsi="Courier New" w:eastAsia="楷体_GB2312"/>
      <w:kern w:val="2"/>
      <w:sz w:val="26"/>
      <w:lang w:val="en-US" w:eastAsia="zh-CN" w:bidi="ar-SA"/>
    </w:rPr>
  </w:style>
  <w:style w:type="character" w:customStyle="1" w:styleId="383">
    <w:name w:val="标题 3 字符1"/>
    <w:autoRedefine/>
    <w:qFormat/>
    <w:uiPriority w:val="0"/>
    <w:rPr>
      <w:b/>
      <w:bCs/>
      <w:kern w:val="2"/>
      <w:sz w:val="32"/>
      <w:szCs w:val="32"/>
    </w:rPr>
  </w:style>
  <w:style w:type="character" w:customStyle="1" w:styleId="384">
    <w:name w:val="标题 Char2"/>
    <w:autoRedefine/>
    <w:qFormat/>
    <w:uiPriority w:val="0"/>
    <w:rPr>
      <w:rFonts w:hint="default" w:ascii="Calibri Light" w:hAnsi="Calibri Light" w:cs="Calibri Light"/>
      <w:b/>
      <w:bCs/>
      <w:kern w:val="2"/>
      <w:sz w:val="32"/>
      <w:szCs w:val="32"/>
    </w:rPr>
  </w:style>
  <w:style w:type="character" w:customStyle="1" w:styleId="385">
    <w:name w:val="huei12b1"/>
    <w:autoRedefine/>
    <w:qFormat/>
    <w:uiPriority w:val="0"/>
    <w:rPr>
      <w:b/>
      <w:bCs/>
      <w:color w:val="333333"/>
      <w:sz w:val="20"/>
      <w:szCs w:val="20"/>
    </w:rPr>
  </w:style>
  <w:style w:type="character" w:customStyle="1" w:styleId="386">
    <w:name w:val="正文2 Char Char"/>
    <w:autoRedefine/>
    <w:qFormat/>
    <w:uiPriority w:val="0"/>
    <w:rPr>
      <w:rFonts w:hint="default" w:ascii="Times New Roman" w:hAnsi="Times New Roman" w:cs="Times New Roman"/>
      <w:kern w:val="2"/>
      <w:sz w:val="24"/>
    </w:rPr>
  </w:style>
  <w:style w:type="character" w:customStyle="1" w:styleId="387">
    <w:name w:val="font91"/>
    <w:autoRedefine/>
    <w:qFormat/>
    <w:uiPriority w:val="0"/>
    <w:rPr>
      <w:rFonts w:hint="eastAsia" w:ascii="宋体" w:hAnsi="宋体" w:eastAsia="宋体" w:cs="宋体"/>
      <w:b/>
      <w:color w:val="000000"/>
      <w:sz w:val="24"/>
      <w:szCs w:val="24"/>
      <w:u w:val="none"/>
    </w:rPr>
  </w:style>
  <w:style w:type="character" w:customStyle="1" w:styleId="388">
    <w:name w:val="font31"/>
    <w:basedOn w:val="53"/>
    <w:autoRedefine/>
    <w:qFormat/>
    <w:uiPriority w:val="0"/>
    <w:rPr>
      <w:rFonts w:hint="default" w:ascii="Times New Roman" w:hAnsi="Times New Roman" w:cs="Times New Roman"/>
      <w:b/>
      <w:color w:val="000000"/>
      <w:sz w:val="24"/>
      <w:szCs w:val="24"/>
      <w:u w:val="none"/>
    </w:rPr>
  </w:style>
  <w:style w:type="character" w:customStyle="1" w:styleId="389">
    <w:name w:val="font61"/>
    <w:autoRedefine/>
    <w:qFormat/>
    <w:uiPriority w:val="0"/>
    <w:rPr>
      <w:rFonts w:hint="default" w:ascii="Times New Roman" w:hAnsi="Times New Roman" w:cs="Times New Roman"/>
      <w:color w:val="000000"/>
      <w:sz w:val="24"/>
      <w:szCs w:val="24"/>
      <w:u w:val="none"/>
    </w:rPr>
  </w:style>
  <w:style w:type="character" w:customStyle="1" w:styleId="390">
    <w:name w:val="font112"/>
    <w:autoRedefine/>
    <w:qFormat/>
    <w:uiPriority w:val="0"/>
    <w:rPr>
      <w:rFonts w:hint="eastAsia" w:ascii="宋体" w:hAnsi="宋体" w:eastAsia="宋体" w:cs="宋体"/>
      <w:color w:val="000000"/>
      <w:sz w:val="20"/>
      <w:szCs w:val="20"/>
      <w:u w:val="none"/>
    </w:rPr>
  </w:style>
  <w:style w:type="character" w:customStyle="1" w:styleId="391">
    <w:name w:val="font11"/>
    <w:basedOn w:val="53"/>
    <w:autoRedefine/>
    <w:qFormat/>
    <w:uiPriority w:val="0"/>
    <w:rPr>
      <w:rFonts w:hint="eastAsia" w:ascii="宋体" w:hAnsi="宋体" w:eastAsia="宋体" w:cs="宋体"/>
      <w:color w:val="000000"/>
      <w:sz w:val="24"/>
      <w:szCs w:val="24"/>
      <w:u w:val="none"/>
    </w:rPr>
  </w:style>
  <w:style w:type="character" w:customStyle="1" w:styleId="392">
    <w:name w:val="fl b titlelinkcolor titlename"/>
    <w:autoRedefine/>
    <w:qFormat/>
    <w:uiPriority w:val="0"/>
  </w:style>
  <w:style w:type="character" w:customStyle="1" w:styleId="393">
    <w:name w:val="标题 Char3"/>
    <w:autoRedefine/>
    <w:qFormat/>
    <w:uiPriority w:val="10"/>
    <w:rPr>
      <w:rFonts w:hint="default" w:ascii="Cambria" w:hAnsi="Cambria" w:eastAsia="宋体" w:cs="Times New Roman"/>
      <w:b/>
      <w:bCs/>
      <w:sz w:val="32"/>
      <w:szCs w:val="32"/>
    </w:rPr>
  </w:style>
  <w:style w:type="character" w:customStyle="1" w:styleId="394">
    <w:name w:val="副标题 Char1"/>
    <w:autoRedefine/>
    <w:qFormat/>
    <w:uiPriority w:val="11"/>
    <w:rPr>
      <w:rFonts w:hint="default" w:ascii="Cambria" w:hAnsi="Cambria" w:eastAsia="宋体" w:cs="Times New Roman"/>
      <w:b/>
      <w:bCs/>
      <w:kern w:val="28"/>
      <w:sz w:val="32"/>
      <w:szCs w:val="32"/>
    </w:rPr>
  </w:style>
  <w:style w:type="character" w:customStyle="1" w:styleId="395">
    <w:name w:val="lineb1"/>
    <w:autoRedefine/>
    <w:qFormat/>
    <w:uiPriority w:val="0"/>
  </w:style>
  <w:style w:type="character" w:customStyle="1" w:styleId="396">
    <w:name w:val="c lh15"/>
    <w:autoRedefine/>
    <w:qFormat/>
    <w:uiPriority w:val="0"/>
    <w:rPr>
      <w:sz w:val="28"/>
      <w:szCs w:val="20"/>
    </w:rPr>
  </w:style>
  <w:style w:type="character" w:customStyle="1" w:styleId="397">
    <w:name w:val="纯文本 字符"/>
    <w:autoRedefine/>
    <w:qFormat/>
    <w:uiPriority w:val="0"/>
    <w:rPr>
      <w:rFonts w:hint="eastAsia" w:ascii="宋体" w:hAnsi="Courier New" w:eastAsia="宋体"/>
      <w:kern w:val="2"/>
      <w:sz w:val="21"/>
      <w:lang w:val="en-US" w:eastAsia="zh-CN" w:bidi="ar-SA"/>
    </w:rPr>
  </w:style>
  <w:style w:type="character" w:customStyle="1" w:styleId="398">
    <w:name w:val="副标题 Char2"/>
    <w:autoRedefine/>
    <w:qFormat/>
    <w:uiPriority w:val="11"/>
    <w:rPr>
      <w:rFonts w:hint="default" w:ascii="Cambria" w:hAnsi="Cambria" w:eastAsia="宋体" w:cs="Times New Roman"/>
      <w:b/>
      <w:bCs/>
      <w:kern w:val="28"/>
      <w:sz w:val="32"/>
      <w:szCs w:val="32"/>
    </w:rPr>
  </w:style>
  <w:style w:type="character" w:customStyle="1" w:styleId="399">
    <w:name w:val="书籍标题11"/>
    <w:autoRedefine/>
    <w:qFormat/>
    <w:uiPriority w:val="33"/>
    <w:rPr>
      <w:rFonts w:hint="default" w:ascii="Songti SC Regular" w:hAnsi="Songti SC Regular" w:eastAsia="Songti SC Regular"/>
      <w:bCs/>
      <w:smallCaps/>
      <w:spacing w:val="5"/>
      <w:sz w:val="32"/>
    </w:rPr>
  </w:style>
  <w:style w:type="character" w:customStyle="1" w:styleId="400">
    <w:name w:val="标题 3 Char1"/>
    <w:autoRedefine/>
    <w:qFormat/>
    <w:uiPriority w:val="0"/>
    <w:rPr>
      <w:rFonts w:hint="default" w:ascii="Calibri" w:hAnsi="Calibri" w:eastAsia="宋体" w:cs="Times New Roman"/>
      <w:b/>
      <w:bCs/>
      <w:sz w:val="32"/>
      <w:szCs w:val="32"/>
    </w:rPr>
  </w:style>
  <w:style w:type="character" w:customStyle="1" w:styleId="401">
    <w:name w:val="apple-style-span"/>
    <w:autoRedefine/>
    <w:qFormat/>
    <w:uiPriority w:val="0"/>
  </w:style>
  <w:style w:type="character" w:customStyle="1" w:styleId="402">
    <w:name w:val="font121"/>
    <w:autoRedefine/>
    <w:qFormat/>
    <w:uiPriority w:val="0"/>
    <w:rPr>
      <w:rFonts w:hint="eastAsia" w:ascii="宋体" w:hAnsi="宋体" w:eastAsia="宋体" w:cs="宋体"/>
      <w:color w:val="FF0000"/>
      <w:sz w:val="20"/>
      <w:szCs w:val="20"/>
      <w:u w:val="none"/>
    </w:rPr>
  </w:style>
  <w:style w:type="character" w:customStyle="1" w:styleId="403">
    <w:name w:val="正文文本 3 Char3"/>
    <w:autoRedefine/>
    <w:qFormat/>
    <w:uiPriority w:val="0"/>
    <w:rPr>
      <w:rFonts w:hint="eastAsia" w:ascii="宋体" w:hAnsi="宋体" w:eastAsia="仿宋_GB2312"/>
      <w:b/>
      <w:bCs/>
      <w:sz w:val="24"/>
    </w:rPr>
  </w:style>
  <w:style w:type="character" w:customStyle="1" w:styleId="404">
    <w:name w:val="正文文本缩进 字符"/>
    <w:autoRedefine/>
    <w:qFormat/>
    <w:uiPriority w:val="0"/>
    <w:rPr>
      <w:rFonts w:hint="eastAsia" w:ascii="宋体" w:hAnsi="Courier New" w:eastAsia="宋体"/>
      <w:spacing w:val="-4"/>
      <w:kern w:val="2"/>
      <w:sz w:val="18"/>
    </w:rPr>
  </w:style>
  <w:style w:type="character" w:customStyle="1" w:styleId="405">
    <w:name w:val="zbggmain style9"/>
    <w:autoRedefine/>
    <w:qFormat/>
    <w:uiPriority w:val="0"/>
  </w:style>
  <w:style w:type="character" w:customStyle="1" w:styleId="406">
    <w:name w:val="style1"/>
    <w:autoRedefine/>
    <w:qFormat/>
    <w:uiPriority w:val="0"/>
    <w:rPr>
      <w:sz w:val="28"/>
      <w:szCs w:val="20"/>
    </w:rPr>
  </w:style>
  <w:style w:type="character" w:customStyle="1" w:styleId="407">
    <w:name w:val="font01"/>
    <w:basedOn w:val="53"/>
    <w:autoRedefine/>
    <w:qFormat/>
    <w:uiPriority w:val="0"/>
    <w:rPr>
      <w:rFonts w:hint="eastAsia" w:ascii="宋体" w:hAnsi="宋体" w:eastAsia="宋体" w:cs="宋体"/>
      <w:color w:val="000000"/>
      <w:sz w:val="24"/>
      <w:szCs w:val="24"/>
      <w:u w:val="none"/>
    </w:rPr>
  </w:style>
  <w:style w:type="character" w:customStyle="1" w:styleId="408">
    <w:name w:val="font51"/>
    <w:basedOn w:val="53"/>
    <w:autoRedefine/>
    <w:qFormat/>
    <w:uiPriority w:val="0"/>
    <w:rPr>
      <w:rFonts w:hint="default" w:ascii="Arial" w:hAnsi="Arial" w:cs="Arial"/>
      <w:color w:val="333333"/>
      <w:sz w:val="18"/>
      <w:szCs w:val="18"/>
      <w:u w:val="none"/>
    </w:rPr>
  </w:style>
  <w:style w:type="character" w:customStyle="1" w:styleId="409">
    <w:name w:val="表正文 Char"/>
    <w:autoRedefine/>
    <w:qFormat/>
    <w:uiPriority w:val="0"/>
    <w:rPr>
      <w:rFonts w:hint="eastAsia" w:ascii="宋体" w:hAnsi="宋体" w:eastAsia="宋体"/>
      <w:kern w:val="2"/>
      <w:sz w:val="21"/>
      <w:lang w:val="en-US" w:eastAsia="zh-CN" w:bidi="ar-SA"/>
    </w:rPr>
  </w:style>
  <w:style w:type="character" w:customStyle="1" w:styleId="410">
    <w:name w:val="标题 2 Char1"/>
    <w:autoRedefine/>
    <w:qFormat/>
    <w:uiPriority w:val="0"/>
    <w:rPr>
      <w:rFonts w:hint="default" w:ascii="Arial" w:hAnsi="Arial" w:eastAsia="黑体" w:cs="Arial"/>
      <w:b/>
      <w:bCs/>
      <w:kern w:val="2"/>
      <w:sz w:val="32"/>
      <w:szCs w:val="32"/>
    </w:rPr>
  </w:style>
  <w:style w:type="character" w:customStyle="1" w:styleId="411">
    <w:name w:val="页眉 Char3"/>
    <w:autoRedefine/>
    <w:qFormat/>
    <w:uiPriority w:val="99"/>
    <w:rPr>
      <w:rFonts w:hint="eastAsia" w:ascii="仿宋_GB2312" w:eastAsia="仿宋_GB2312"/>
      <w:sz w:val="18"/>
    </w:rPr>
  </w:style>
  <w:style w:type="character" w:customStyle="1" w:styleId="412">
    <w:name w:val="纯文本 Char5"/>
    <w:autoRedefine/>
    <w:qFormat/>
    <w:uiPriority w:val="0"/>
    <w:rPr>
      <w:rFonts w:hint="eastAsia" w:ascii="宋体" w:hAnsi="Courier New" w:eastAsia="宋体"/>
      <w:sz w:val="24"/>
      <w:szCs w:val="24"/>
    </w:rPr>
  </w:style>
  <w:style w:type="character" w:customStyle="1" w:styleId="413">
    <w:name w:val="纯文本 字符1"/>
    <w:autoRedefine/>
    <w:qFormat/>
    <w:uiPriority w:val="0"/>
    <w:rPr>
      <w:rFonts w:hint="eastAsia" w:ascii="宋体" w:hAnsi="Courier New" w:eastAsia="宋体"/>
      <w:kern w:val="2"/>
      <w:sz w:val="24"/>
      <w:szCs w:val="24"/>
      <w:lang w:val="en-US" w:eastAsia="zh-CN" w:bidi="ar-SA"/>
    </w:rPr>
  </w:style>
  <w:style w:type="character" w:customStyle="1" w:styleId="414">
    <w:name w:val="标题 1 Char1"/>
    <w:autoRedefine/>
    <w:qFormat/>
    <w:uiPriority w:val="0"/>
    <w:rPr>
      <w:rFonts w:hint="default" w:ascii="Calibri" w:hAnsi="Calibri" w:eastAsia="宋体" w:cs="Times New Roman"/>
      <w:b/>
      <w:bCs/>
      <w:kern w:val="44"/>
      <w:sz w:val="32"/>
      <w:szCs w:val="44"/>
    </w:rPr>
  </w:style>
  <w:style w:type="character" w:customStyle="1" w:styleId="415">
    <w:name w:val="Char Char9"/>
    <w:autoRedefine/>
    <w:qFormat/>
    <w:uiPriority w:val="0"/>
    <w:rPr>
      <w:kern w:val="2"/>
      <w:sz w:val="21"/>
      <w:szCs w:val="24"/>
    </w:rPr>
  </w:style>
  <w:style w:type="character" w:customStyle="1" w:styleId="416">
    <w:name w:val="gheadertext1"/>
    <w:autoRedefine/>
    <w:qFormat/>
    <w:uiPriority w:val="0"/>
    <w:rPr>
      <w:rFonts w:hint="default" w:ascii="Arial" w:hAnsi="Arial" w:cs="Arial"/>
      <w:b/>
      <w:bCs/>
      <w:color w:val="005E00"/>
      <w:sz w:val="26"/>
      <w:szCs w:val="26"/>
    </w:rPr>
  </w:style>
  <w:style w:type="character" w:customStyle="1" w:styleId="417">
    <w:name w:val="页脚 Char3"/>
    <w:autoRedefine/>
    <w:qFormat/>
    <w:locked/>
    <w:uiPriority w:val="99"/>
    <w:rPr>
      <w:rFonts w:hint="eastAsia" w:ascii="黑体" w:hAnsi="黑体" w:eastAsia="黑体"/>
      <w:snapToGrid w:val="0"/>
      <w:sz w:val="18"/>
      <w:szCs w:val="18"/>
    </w:rPr>
  </w:style>
  <w:style w:type="character" w:customStyle="1" w:styleId="418">
    <w:name w:val="批注主题 Char2"/>
    <w:autoRedefine/>
    <w:qFormat/>
    <w:uiPriority w:val="0"/>
    <w:rPr>
      <w:b/>
      <w:bCs/>
      <w:kern w:val="2"/>
      <w:sz w:val="21"/>
      <w:szCs w:val="24"/>
    </w:rPr>
  </w:style>
  <w:style w:type="character" w:customStyle="1" w:styleId="419">
    <w:name w:val="无"/>
    <w:autoRedefine/>
    <w:qFormat/>
    <w:uiPriority w:val="0"/>
  </w:style>
  <w:style w:type="character" w:customStyle="1" w:styleId="420">
    <w:name w:val="NormalCharacter"/>
    <w:autoRedefine/>
    <w:qFormat/>
    <w:uiPriority w:val="0"/>
  </w:style>
  <w:style w:type="character" w:customStyle="1" w:styleId="421">
    <w:name w:val="副标题 Char3"/>
    <w:autoRedefine/>
    <w:qFormat/>
    <w:uiPriority w:val="0"/>
    <w:rPr>
      <w:rFonts w:hint="default" w:ascii="Cambria" w:hAnsi="Cambria" w:cs="宋体"/>
      <w:bCs/>
      <w:kern w:val="28"/>
      <w:sz w:val="18"/>
      <w:szCs w:val="32"/>
    </w:rPr>
  </w:style>
  <w:style w:type="character" w:customStyle="1" w:styleId="422">
    <w:name w:val="font111"/>
    <w:autoRedefine/>
    <w:qFormat/>
    <w:uiPriority w:val="0"/>
    <w:rPr>
      <w:rFonts w:hint="eastAsia" w:ascii="宋体" w:hAnsi="宋体" w:eastAsia="宋体" w:cs="宋体"/>
      <w:color w:val="000000"/>
      <w:sz w:val="20"/>
      <w:szCs w:val="20"/>
      <w:u w:val="none"/>
    </w:rPr>
  </w:style>
  <w:style w:type="character" w:customStyle="1" w:styleId="423">
    <w:name w:val="font41"/>
    <w:basedOn w:val="53"/>
    <w:autoRedefine/>
    <w:qFormat/>
    <w:uiPriority w:val="0"/>
    <w:rPr>
      <w:rFonts w:hint="default" w:ascii="Arial" w:hAnsi="Arial" w:cs="Arial"/>
      <w:color w:val="333333"/>
      <w:sz w:val="18"/>
      <w:szCs w:val="18"/>
      <w:u w:val="none"/>
    </w:rPr>
  </w:style>
  <w:style w:type="character" w:customStyle="1" w:styleId="424">
    <w:name w:val="font171"/>
    <w:autoRedefine/>
    <w:qFormat/>
    <w:uiPriority w:val="0"/>
    <w:rPr>
      <w:rFonts w:hint="default" w:ascii="Times New Roman" w:hAnsi="Times New Roman" w:cs="Times New Roman"/>
      <w:color w:val="000000"/>
      <w:sz w:val="20"/>
      <w:szCs w:val="20"/>
      <w:u w:val="none"/>
    </w:rPr>
  </w:style>
  <w:style w:type="character" w:customStyle="1" w:styleId="425">
    <w:name w:val="批注主题 Char4"/>
    <w:autoRedefine/>
    <w:qFormat/>
    <w:uiPriority w:val="0"/>
    <w:rPr>
      <w:b/>
      <w:bCs/>
      <w:szCs w:val="24"/>
    </w:rPr>
  </w:style>
  <w:style w:type="character" w:customStyle="1" w:styleId="426">
    <w:name w:val="font131"/>
    <w:autoRedefine/>
    <w:qFormat/>
    <w:uiPriority w:val="0"/>
    <w:rPr>
      <w:rFonts w:hint="default" w:ascii="Times New Roman" w:hAnsi="Times New Roman" w:cs="Times New Roman"/>
      <w:b/>
      <w:bCs/>
      <w:color w:val="000000"/>
      <w:sz w:val="20"/>
      <w:szCs w:val="20"/>
      <w:u w:val="none"/>
    </w:rPr>
  </w:style>
  <w:style w:type="character" w:customStyle="1" w:styleId="427">
    <w:name w:val="正文文本 Char3"/>
    <w:autoRedefine/>
    <w:qFormat/>
    <w:uiPriority w:val="0"/>
    <w:rPr>
      <w:sz w:val="28"/>
      <w:szCs w:val="24"/>
    </w:rPr>
  </w:style>
  <w:style w:type="character" w:customStyle="1" w:styleId="428">
    <w:name w:val="style8"/>
    <w:autoRedefine/>
    <w:qFormat/>
    <w:uiPriority w:val="0"/>
    <w:rPr>
      <w:sz w:val="28"/>
      <w:szCs w:val="20"/>
    </w:rPr>
  </w:style>
  <w:style w:type="character" w:customStyle="1" w:styleId="429">
    <w:name w:val="标题 Char1"/>
    <w:autoRedefine/>
    <w:qFormat/>
    <w:uiPriority w:val="10"/>
    <w:rPr>
      <w:rFonts w:hint="default" w:ascii="Cambria" w:hAnsi="Cambria" w:eastAsia="宋体" w:cs="Times New Roman"/>
      <w:b/>
      <w:bCs/>
      <w:sz w:val="32"/>
      <w:szCs w:val="32"/>
    </w:rPr>
  </w:style>
  <w:style w:type="character" w:customStyle="1" w:styleId="430">
    <w:name w:val="para1"/>
    <w:autoRedefine/>
    <w:qFormat/>
    <w:uiPriority w:val="99"/>
    <w:rPr>
      <w:rFonts w:hint="default" w:ascii="Arial" w:hAnsi="Arial" w:cs="Arial"/>
      <w:sz w:val="18"/>
      <w:szCs w:val="18"/>
    </w:rPr>
  </w:style>
  <w:style w:type="character" w:customStyle="1" w:styleId="431">
    <w:name w:val="unnamed1"/>
    <w:autoRedefine/>
    <w:qFormat/>
    <w:uiPriority w:val="0"/>
  </w:style>
  <w:style w:type="character" w:customStyle="1" w:styleId="432">
    <w:name w:val="font101"/>
    <w:autoRedefine/>
    <w:qFormat/>
    <w:uiPriority w:val="0"/>
    <w:rPr>
      <w:rFonts w:hint="eastAsia" w:ascii="宋体" w:hAnsi="宋体" w:eastAsia="宋体" w:cs="宋体"/>
      <w:color w:val="FF0000"/>
      <w:sz w:val="18"/>
      <w:szCs w:val="18"/>
      <w:u w:val="none"/>
    </w:rPr>
  </w:style>
  <w:style w:type="character" w:customStyle="1" w:styleId="433">
    <w:name w:val="批注文字 Char2"/>
    <w:autoRedefine/>
    <w:qFormat/>
    <w:uiPriority w:val="0"/>
    <w:rPr>
      <w:kern w:val="2"/>
      <w:sz w:val="21"/>
    </w:rPr>
  </w:style>
  <w:style w:type="character" w:customStyle="1" w:styleId="434">
    <w:name w:val="批注文字 字符"/>
    <w:autoRedefine/>
    <w:qFormat/>
    <w:uiPriority w:val="99"/>
    <w:rPr>
      <w:kern w:val="2"/>
      <w:sz w:val="21"/>
    </w:rPr>
  </w:style>
  <w:style w:type="character" w:customStyle="1" w:styleId="435">
    <w:name w:val="列出段落 Char1"/>
    <w:autoRedefine/>
    <w:qFormat/>
    <w:uiPriority w:val="34"/>
    <w:rPr>
      <w:rFonts w:hint="default" w:ascii="Calibri" w:hAnsi="Calibri" w:cs="Calibri"/>
      <w:sz w:val="24"/>
    </w:rPr>
  </w:style>
  <w:style w:type="character" w:customStyle="1" w:styleId="436">
    <w:name w:val="论文正文样式 Char"/>
    <w:autoRedefine/>
    <w:qFormat/>
    <w:uiPriority w:val="0"/>
    <w:rPr>
      <w:rFonts w:hint="default" w:ascii="Times New Roman" w:hAnsi="Times New Roman" w:cs="Times New Roman"/>
      <w:kern w:val="2"/>
      <w:sz w:val="21"/>
      <w:szCs w:val="21"/>
    </w:rPr>
  </w:style>
  <w:style w:type="character" w:customStyle="1" w:styleId="437">
    <w:name w:val="纯文本 Char Char Char2"/>
    <w:autoRedefine/>
    <w:qFormat/>
    <w:locked/>
    <w:uiPriority w:val="0"/>
    <w:rPr>
      <w:rFonts w:hint="eastAsia" w:ascii="宋体" w:hAnsi="Courier New" w:eastAsia="宋体"/>
      <w:kern w:val="2"/>
      <w:sz w:val="21"/>
      <w:szCs w:val="20"/>
      <w:lang w:val="en-US" w:eastAsia="zh-CN" w:bidi="ar-SA"/>
    </w:rPr>
  </w:style>
  <w:style w:type="paragraph" w:customStyle="1" w:styleId="438">
    <w:name w:val="投标书正文无序编号"/>
    <w:basedOn w:val="1"/>
    <w:link w:val="439"/>
    <w:autoRedefine/>
    <w:qFormat/>
    <w:uiPriority w:val="0"/>
  </w:style>
  <w:style w:type="character" w:customStyle="1" w:styleId="439">
    <w:name w:val="投标书正文无序编号 Char Char"/>
    <w:link w:val="438"/>
    <w:autoRedefine/>
    <w:qFormat/>
    <w:locked/>
    <w:uiPriority w:val="0"/>
    <w:rPr>
      <w:rFonts w:ascii="Calibri" w:hAnsi="Calibri" w:eastAsia="宋体" w:cs="Times New Roman"/>
    </w:rPr>
  </w:style>
  <w:style w:type="character" w:customStyle="1" w:styleId="440">
    <w:name w:val="页眉 Char1"/>
    <w:autoRedefine/>
    <w:qFormat/>
    <w:locked/>
    <w:uiPriority w:val="0"/>
    <w:rPr>
      <w:sz w:val="18"/>
    </w:rPr>
  </w:style>
  <w:style w:type="character" w:customStyle="1" w:styleId="441">
    <w:name w:val="List Paragraph Char"/>
    <w:autoRedefine/>
    <w:qFormat/>
    <w:locked/>
    <w:uiPriority w:val="0"/>
  </w:style>
  <w:style w:type="character" w:customStyle="1" w:styleId="442">
    <w:name w:val="批注文字 Char1"/>
    <w:autoRedefine/>
    <w:qFormat/>
    <w:uiPriority w:val="99"/>
    <w:rPr>
      <w:rFonts w:hint="default" w:ascii="Times New Roman" w:hAnsi="Times New Roman" w:eastAsia="宋体" w:cs="Times New Roman"/>
      <w:szCs w:val="24"/>
    </w:rPr>
  </w:style>
  <w:style w:type="character" w:customStyle="1" w:styleId="443">
    <w:name w:val="纯文本 Char21"/>
    <w:autoRedefine/>
    <w:qFormat/>
    <w:uiPriority w:val="99"/>
    <w:rPr>
      <w:rFonts w:hint="eastAsia" w:ascii="宋体" w:hAnsi="Courier New" w:eastAsia="宋体" w:cs="Courier New"/>
      <w:kern w:val="2"/>
      <w:sz w:val="21"/>
      <w:szCs w:val="21"/>
    </w:rPr>
  </w:style>
  <w:style w:type="character" w:customStyle="1" w:styleId="444">
    <w:name w:val="标题 Char11"/>
    <w:autoRedefine/>
    <w:qFormat/>
    <w:uiPriority w:val="10"/>
    <w:rPr>
      <w:rFonts w:hint="default" w:ascii="Cambria" w:hAnsi="Cambria" w:cs="Times New Roman"/>
      <w:b/>
      <w:bCs/>
      <w:kern w:val="2"/>
      <w:sz w:val="32"/>
      <w:szCs w:val="32"/>
    </w:rPr>
  </w:style>
  <w:style w:type="character" w:customStyle="1" w:styleId="445">
    <w:name w:val="正文缩进 字符"/>
    <w:autoRedefine/>
    <w:qFormat/>
    <w:uiPriority w:val="0"/>
    <w:rPr>
      <w:rFonts w:hint="eastAsia" w:ascii="宋体" w:hAnsi="宋体" w:eastAsia="宋体"/>
      <w:kern w:val="2"/>
      <w:sz w:val="21"/>
      <w:lang w:val="en-US" w:eastAsia="zh-CN"/>
    </w:rPr>
  </w:style>
  <w:style w:type="character" w:customStyle="1" w:styleId="446">
    <w:name w:val="页脚 字符"/>
    <w:autoRedefine/>
    <w:qFormat/>
    <w:locked/>
    <w:uiPriority w:val="99"/>
    <w:rPr>
      <w:rFonts w:hint="eastAsia" w:ascii="黑体" w:hAnsi="黑体" w:eastAsia="黑体"/>
      <w:snapToGrid/>
      <w:sz w:val="18"/>
    </w:rPr>
  </w:style>
  <w:style w:type="character" w:customStyle="1" w:styleId="447">
    <w:name w:val="批注框文本 字符"/>
    <w:autoRedefine/>
    <w:qFormat/>
    <w:locked/>
    <w:uiPriority w:val="0"/>
    <w:rPr>
      <w:kern w:val="2"/>
      <w:sz w:val="18"/>
    </w:rPr>
  </w:style>
  <w:style w:type="table" w:customStyle="1" w:styleId="448">
    <w:name w:val="网格型12"/>
    <w:basedOn w:val="51"/>
    <w:autoRedefine/>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49">
    <w:name w:val="网格型2"/>
    <w:basedOn w:val="51"/>
    <w:autoRedefine/>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50">
    <w:name w:val="网格型11"/>
    <w:basedOn w:val="51"/>
    <w:autoRedefine/>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451">
    <w:name w:val="目次、标准名称标题"/>
    <w:basedOn w:val="452"/>
    <w:next w:val="146"/>
    <w:autoRedefine/>
    <w:qFormat/>
    <w:uiPriority w:val="0"/>
    <w:pPr>
      <w:spacing w:line="460" w:lineRule="exact"/>
    </w:pPr>
  </w:style>
  <w:style w:type="paragraph" w:customStyle="1" w:styleId="452">
    <w:name w:val="前言、引言标题"/>
    <w:next w:val="1"/>
    <w:autoRedefine/>
    <w:qFormat/>
    <w:uiPriority w:val="0"/>
    <w:pPr>
      <w:numPr>
        <w:ilvl w:val="0"/>
        <w:numId w:val="6"/>
      </w:num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453">
    <w:name w:val="正文_0_0_0"/>
    <w:autoRedefine/>
    <w:qFormat/>
    <w:uiPriority w:val="0"/>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8.jpeg"/><Relationship Id="rId21" Type="http://schemas.openxmlformats.org/officeDocument/2006/relationships/image" Target="media/image7.jpeg"/><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jpeg"/><Relationship Id="rId17" Type="http://schemas.openxmlformats.org/officeDocument/2006/relationships/image" Target="media/image3.jpe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136</Pages>
  <Words>14743</Words>
  <Characters>15971</Characters>
  <Lines>226</Lines>
  <Paragraphs>63</Paragraphs>
  <TotalTime>3</TotalTime>
  <ScaleCrop>false</ScaleCrop>
  <LinksUpToDate>false</LinksUpToDate>
  <CharactersWithSpaces>16725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2024-03-08T08:24:00Z</dcterms:created>
  <dc:creator>user</dc:creator>
  <cp:lastModifiedBy>Administrator</cp:lastModifiedBy>
  <cp:lastPrinted>2024-04-25T03:23:00Z</cp:lastPrinted>
  <dcterms:modified xsi:type="dcterms:W3CDTF">2026-01-26T01:46:31Z</dcterms:modified>
  <cp:revision>48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C40F04311C07460D926418DD45A8B92E_13</vt:lpwstr>
  </property>
  <property fmtid="{D5CDD505-2E9C-101B-9397-08002B2CF9AE}" pid="4" name="KSOTemplateDocerSaveRecord">
    <vt:lpwstr>eyJoZGlkIjoiMmUzY2MxYTE3YWUzMTFlOTk1ZGJjYmNiOWQ0NzhlMjQiLCJ1c2VySWQiOiI4MDU0OTMyMTIifQ==</vt:lpwstr>
  </property>
</Properties>
</file>