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  <w:lang w:eastAsia="zh-CN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color w:val="auto"/>
          <w:sz w:val="32"/>
          <w:highlight w:val="none"/>
        </w:rPr>
      </w:pP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采办包名称：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海油发展-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化工品类部-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工程技术公司2026年聚六亚甲基双胍物资采购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专有协议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采办计划公开如下：</w:t>
      </w:r>
    </w:p>
    <w:tbl>
      <w:tblPr>
        <w:tblStyle w:val="12"/>
        <w:tblW w:w="93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00"/>
        <w:gridCol w:w="1785"/>
        <w:gridCol w:w="1782"/>
        <w:gridCol w:w="156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采办包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采购范围与主要技术指标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预计发标时间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供应商资质基本要求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工程技术公司2026年聚六亚甲基双胍物资采购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>专有协议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本次公告有效期是（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日）至（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）止。在此期间，有意参与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采办包的系统用户可在集团公司采办系统中提交反馈材料。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请感兴趣的供应商于2026年3月6日17:00前，与我方联系人接洽。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联系人：吴迪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电  话：022-25803746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邮  箱：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"mailto:liufx2@cnooc.com.cn"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wudi13@cnooc.com.cn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如对上述公开内容真实、有效性存疑，请拨打社会监督电话：022-25802262，其他事项不受理。</w:t>
      </w:r>
    </w:p>
    <w:p>
      <w:pPr>
        <w:pStyle w:val="6"/>
        <w:ind w:firstLine="640"/>
        <w:rPr>
          <w:highlight w:val="none"/>
        </w:rPr>
      </w:pPr>
    </w:p>
    <w:p>
      <w:pPr>
        <w:rPr>
          <w:highlight w:val="none"/>
        </w:rPr>
      </w:pPr>
    </w:p>
    <w:p>
      <w:pPr>
        <w:pStyle w:val="6"/>
        <w:rPr>
          <w:highlight w:val="none"/>
        </w:rPr>
      </w:pPr>
    </w:p>
    <w:p>
      <w:pPr>
        <w:rPr>
          <w:highlight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中海油能源发展股份有限公司采办共享中心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 </w:t>
      </w:r>
      <w:bookmarkEnd w:id="0"/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  <w:bookmarkStart w:id="3" w:name="_GoBack"/>
      <w:bookmarkEnd w:id="3"/>
    </w:p>
    <w:p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采购范围与主要技术指标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1" w:name="_Toc13248928"/>
      <w:bookmarkStart w:id="2" w:name="_Toc13249325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一、需求一览表</w:t>
      </w:r>
      <w:bookmarkEnd w:id="1"/>
      <w:bookmarkEnd w:id="2"/>
    </w:p>
    <w:p>
      <w:pPr>
        <w:pStyle w:val="3"/>
        <w:spacing w:line="257" w:lineRule="auto"/>
        <w:ind w:left="220" w:right="122" w:firstLine="420"/>
        <w:jc w:val="center"/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  <w:t>表1 需求一览表</w:t>
      </w:r>
    </w:p>
    <w:tbl>
      <w:tblPr>
        <w:tblStyle w:val="16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85"/>
        <w:gridCol w:w="1701"/>
        <w:gridCol w:w="1600"/>
        <w:gridCol w:w="1160"/>
        <w:gridCol w:w="1075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9" w:type="pct"/>
            <w:vAlign w:val="center"/>
          </w:tcPr>
          <w:p>
            <w:pPr>
              <w:pStyle w:val="5"/>
              <w:adjustRightInd w:val="0"/>
              <w:snapToGrid w:val="0"/>
              <w:spacing w:line="240" w:lineRule="auto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729" w:type="pct"/>
            <w:vAlign w:val="center"/>
          </w:tcPr>
          <w:p>
            <w:pPr>
              <w:pStyle w:val="5"/>
              <w:adjustRightInd w:val="0"/>
              <w:snapToGrid w:val="0"/>
              <w:spacing w:line="240" w:lineRule="auto"/>
              <w:jc w:val="center"/>
              <w:outlineLvl w:val="1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物料号</w:t>
            </w:r>
          </w:p>
        </w:tc>
        <w:tc>
          <w:tcPr>
            <w:tcW w:w="965" w:type="pct"/>
            <w:vAlign w:val="center"/>
          </w:tcPr>
          <w:p>
            <w:pPr>
              <w:pStyle w:val="5"/>
              <w:adjustRightInd w:val="0"/>
              <w:snapToGrid w:val="0"/>
              <w:spacing w:line="240" w:lineRule="auto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物资名称</w:t>
            </w:r>
          </w:p>
        </w:tc>
        <w:tc>
          <w:tcPr>
            <w:tcW w:w="908" w:type="pct"/>
            <w:vAlign w:val="center"/>
          </w:tcPr>
          <w:p>
            <w:pPr>
              <w:pStyle w:val="5"/>
              <w:adjustRightInd w:val="0"/>
              <w:snapToGrid w:val="0"/>
              <w:spacing w:line="240" w:lineRule="auto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数量及单位</w:t>
            </w:r>
          </w:p>
        </w:tc>
        <w:tc>
          <w:tcPr>
            <w:tcW w:w="658" w:type="pct"/>
            <w:vAlign w:val="center"/>
          </w:tcPr>
          <w:p>
            <w:pPr>
              <w:pStyle w:val="5"/>
              <w:adjustRightInd w:val="0"/>
              <w:snapToGrid w:val="0"/>
              <w:spacing w:line="240" w:lineRule="auto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交货期</w:t>
            </w:r>
          </w:p>
        </w:tc>
        <w:tc>
          <w:tcPr>
            <w:tcW w:w="610" w:type="pct"/>
            <w:vAlign w:val="center"/>
          </w:tcPr>
          <w:p>
            <w:pPr>
              <w:pStyle w:val="5"/>
              <w:adjustRightInd w:val="0"/>
              <w:snapToGrid w:val="0"/>
              <w:spacing w:line="240" w:lineRule="auto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交货地点</w:t>
            </w:r>
          </w:p>
        </w:tc>
        <w:tc>
          <w:tcPr>
            <w:tcW w:w="857" w:type="pct"/>
            <w:vAlign w:val="center"/>
          </w:tcPr>
          <w:p>
            <w:pPr>
              <w:pStyle w:val="5"/>
              <w:adjustRightInd w:val="0"/>
              <w:snapToGrid w:val="0"/>
              <w:spacing w:line="240" w:lineRule="auto"/>
              <w:jc w:val="center"/>
              <w:outlineLvl w:val="1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69" w:type="pct"/>
            <w:vAlign w:val="center"/>
          </w:tcPr>
          <w:p>
            <w:pPr>
              <w:pStyle w:val="3"/>
              <w:snapToGrid w:val="0"/>
              <w:ind w:right="125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84466611</w:t>
            </w:r>
          </w:p>
        </w:tc>
        <w:tc>
          <w:tcPr>
            <w:tcW w:w="965" w:type="pct"/>
            <w:vAlign w:val="center"/>
          </w:tcPr>
          <w:p>
            <w:pPr>
              <w:pStyle w:val="3"/>
              <w:snapToGrid w:val="0"/>
              <w:ind w:right="125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聚六亚甲基双胍</w:t>
            </w:r>
          </w:p>
        </w:tc>
        <w:tc>
          <w:tcPr>
            <w:tcW w:w="908" w:type="pct"/>
            <w:vAlign w:val="center"/>
          </w:tcPr>
          <w:p>
            <w:pPr>
              <w:pStyle w:val="3"/>
              <w:snapToGrid w:val="0"/>
              <w:ind w:right="125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64000KG</w:t>
            </w:r>
          </w:p>
        </w:tc>
        <w:tc>
          <w:tcPr>
            <w:tcW w:w="658" w:type="pct"/>
            <w:vAlign w:val="center"/>
          </w:tcPr>
          <w:p>
            <w:pPr>
              <w:pStyle w:val="3"/>
              <w:snapToGrid w:val="0"/>
              <w:ind w:left="210" w:right="125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合同签订后1年 </w:t>
            </w:r>
          </w:p>
        </w:tc>
        <w:tc>
          <w:tcPr>
            <w:tcW w:w="610" w:type="pct"/>
            <w:vAlign w:val="center"/>
          </w:tcPr>
          <w:p>
            <w:pPr>
              <w:pStyle w:val="3"/>
              <w:snapToGrid w:val="0"/>
              <w:ind w:right="125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惠州分公司</w:t>
            </w:r>
          </w:p>
        </w:tc>
        <w:tc>
          <w:tcPr>
            <w:tcW w:w="857" w:type="pct"/>
            <w:vAlign w:val="center"/>
          </w:tcPr>
          <w:p>
            <w:pPr>
              <w:pStyle w:val="3"/>
              <w:snapToGrid w:val="0"/>
              <w:ind w:right="125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最小送货量10吨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3"/>
        <w:numPr>
          <w:ilvl w:val="0"/>
          <w:numId w:val="2"/>
        </w:numPr>
        <w:spacing w:line="257" w:lineRule="auto"/>
        <w:ind w:left="0" w:leftChars="0" w:right="122" w:firstLine="0" w:firstLineChars="0"/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</w:rPr>
        <w:t>执行标准/规范</w:t>
      </w:r>
    </w:p>
    <w:p>
      <w:pPr>
        <w:pStyle w:val="7"/>
        <w:ind w:firstLine="560" w:firstLineChars="200"/>
        <w:rPr>
          <w:rFonts w:hint="default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>CGBZ-ⅡHF0579-2025 采购标准-聚六亚甲基双胍（百分之30）</w:t>
      </w:r>
    </w:p>
    <w:p>
      <w:pPr>
        <w:pStyle w:val="3"/>
        <w:numPr>
          <w:ilvl w:val="0"/>
          <w:numId w:val="2"/>
        </w:numPr>
        <w:spacing w:line="257" w:lineRule="auto"/>
        <w:ind w:left="0" w:leftChars="0" w:right="122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技术要求</w:t>
      </w:r>
    </w:p>
    <w:p>
      <w:pPr>
        <w:pStyle w:val="14"/>
        <w:numPr>
          <w:ilvl w:val="0"/>
          <w:numId w:val="3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★技术指标</w:t>
      </w:r>
    </w:p>
    <w:tbl>
      <w:tblPr>
        <w:tblStyle w:val="11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51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341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项　　目</w:t>
            </w:r>
          </w:p>
        </w:tc>
        <w:tc>
          <w:tcPr>
            <w:tcW w:w="5100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437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指　　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外 观</w:t>
            </w:r>
          </w:p>
        </w:tc>
        <w:tc>
          <w:tcPr>
            <w:tcW w:w="510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无色至淡黄色均匀液体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密度（20℃），g/cm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510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1.01～1.11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pH值（1%水溶液）</w:t>
            </w:r>
          </w:p>
        </w:tc>
        <w:tc>
          <w:tcPr>
            <w:tcW w:w="510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6.0～9.0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固体含量（%）</w:t>
            </w:r>
          </w:p>
        </w:tc>
        <w:tc>
          <w:tcPr>
            <w:tcW w:w="510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≥30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34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灰分（550℃，%）</w:t>
            </w:r>
          </w:p>
        </w:tc>
        <w:tc>
          <w:tcPr>
            <w:tcW w:w="510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≤1.0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34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红外谱图</w:t>
            </w:r>
          </w:p>
        </w:tc>
        <w:tc>
          <w:tcPr>
            <w:tcW w:w="510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峰形与标准谱图（参照图1）基本一致，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1600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-1700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，1400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-1500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分别至少有一个特征峰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。</w:t>
            </w:r>
          </w:p>
        </w:tc>
      </w:tr>
    </w:tbl>
    <w:p>
      <w:pPr>
        <w:pStyle w:val="14"/>
        <w:numPr>
          <w:numId w:val="0"/>
        </w:numPr>
        <w:spacing w:before="120" w:after="120" w:line="360" w:lineRule="auto"/>
        <w:outlineLvl w:val="0"/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highlight w:val="none"/>
        </w:rPr>
        <w:drawing>
          <wp:inline distT="0" distB="0" distL="114300" distR="114300">
            <wp:extent cx="3077845" cy="1906270"/>
            <wp:effectExtent l="0" t="0" r="8255" b="1778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784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  <w:lang w:val="en-US" w:eastAsia="zh-CN"/>
        </w:rPr>
        <w:t>参照图1</w:t>
      </w:r>
    </w:p>
    <w:p>
      <w:pPr>
        <w:pStyle w:val="14"/>
        <w:numPr>
          <w:ilvl w:val="0"/>
          <w:numId w:val="3"/>
        </w:numPr>
        <w:spacing w:before="120" w:after="120" w:line="360" w:lineRule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检测方法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.1  外观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取50 mL试样装入无色透明的100 mL比色管中，25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℃条件下在非直射的自然光或日光灯下目测观察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.2 密度的测定</w:t>
      </w:r>
    </w:p>
    <w:p>
      <w:pPr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按照GB/T 2013规定，选取密度计法或U型振动管法在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℃条件下进行检测。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pH值</w:t>
      </w:r>
    </w:p>
    <w:p>
      <w:pPr>
        <w:spacing w:line="360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按照GB/T 9724的规定，取样品配制成1 %的水溶液，在25 ℃条件下使用pH计进行检测。</w:t>
      </w:r>
    </w:p>
    <w:p>
      <w:pPr>
        <w:spacing w:line="360" w:lineRule="auto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体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含量</w:t>
      </w:r>
    </w:p>
    <w:p>
      <w:pPr>
        <w:spacing w:line="360" w:lineRule="auto"/>
        <w:outlineLvl w:val="2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2.4.1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仪器、设备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1） 电热恒温干燥箱：控制精度±1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℃，带鼓风；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2） 称量瓶：φ50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mm×30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mm</w:t>
      </w:r>
    </w:p>
    <w:p>
      <w:pPr>
        <w:spacing w:line="360" w:lineRule="auto"/>
        <w:outlineLvl w:val="2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2.4.2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分析步骤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称取2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g±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g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样品，精确至0.001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g，置于称量瓶中。轻轻晃动称量瓶，使试样均匀地分布于容器底部，然后放于1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05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℃±2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℃的电热恒温烘箱内，干燥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规定时间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h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，取出后置于干燥器内冷却至室温，称量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两次平行测定结果之差不大于0.3%，取其算术平均值为测定结果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体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含量以质量分数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按下式计算：</w:t>
      </w:r>
    </w:p>
    <w:p>
      <w:pPr>
        <w:spacing w:line="360" w:lineRule="auto"/>
        <w:ind w:firstLine="403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m:t>X</m:t>
          </m:r>
          <m:r>
            <m:rPr>
              <m:sty m:val="p"/>
            </m:rPr>
            <w:rPr>
              <w:rFonts w:hint="eastAsia" w:ascii="Cambria Math" w:hAnsi="Cambria Math" w:eastAsia="仿宋" w:cs="仿宋"/>
              <w:kern w:val="2"/>
              <w:sz w:val="28"/>
              <w:szCs w:val="28"/>
              <w:highlight w:val="none"/>
              <w:lang w:val="en-US" w:bidi="ar-SA"/>
            </w:rPr>
            <m:t>=</m:t>
          </m:r>
          <m:f>
            <m:fPr>
              <m:ctrlPr>
                <w:rPr>
                  <w:rFonts w:hint="eastAsia" w:ascii="Cambria Math" w:hAnsi="Cambria Math" w:eastAsia="仿宋" w:cs="仿宋"/>
                  <w:kern w:val="2"/>
                  <w:sz w:val="28"/>
                  <w:szCs w:val="28"/>
                  <w:highlight w:val="none"/>
                  <w:lang w:val="en-US" w:bidi="ar-SA"/>
                </w:rPr>
              </m:ctrlPr>
            </m:fPr>
            <m:num>
              <m:sSub>
                <m:sSubP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m</m:t>
                  </m: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2</m:t>
                  </m: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kern w:val="2"/>
                  <w:sz w:val="28"/>
                  <w:szCs w:val="28"/>
                  <w:highlight w:val="none"/>
                  <w:lang w:val="en-US" w:bidi="ar-SA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m</m:t>
                  </m: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0</m:t>
                  </m: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kern w:val="2"/>
                  <w:sz w:val="28"/>
                  <w:szCs w:val="28"/>
                  <w:highlight w:val="none"/>
                  <w:lang w:val="en-US" w:bidi="ar-SA"/>
                </w:rPr>
              </m:ctrlPr>
            </m:num>
            <m:den>
              <m:sSub>
                <m:sSubP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m</m:t>
                  </m: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1</m:t>
                  </m: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kern w:val="2"/>
                  <w:sz w:val="28"/>
                  <w:szCs w:val="28"/>
                  <w:highlight w:val="none"/>
                  <w:lang w:val="en-US" w:bidi="ar-SA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m</m:t>
                  </m: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0</m:t>
                  </m:r>
                  <m:ctrl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bidi="ar-SA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kern w:val="2"/>
                  <w:sz w:val="28"/>
                  <w:szCs w:val="28"/>
                  <w:highlight w:val="none"/>
                  <w:lang w:val="en-US" w:bidi="ar-SA"/>
                </w:rPr>
              </m:ctrlPr>
            </m:den>
          </m:f>
          <m:r>
            <m:rPr>
              <m:sty m:val="p"/>
            </m:rPr>
            <w:rPr>
              <w:rFonts w:hint="eastAsia" w:ascii="Cambria Math" w:hAnsi="Cambria Math" w:eastAsia="仿宋" w:cs="仿宋"/>
              <w:kern w:val="2"/>
              <w:sz w:val="28"/>
              <w:szCs w:val="28"/>
              <w:highlight w:val="none"/>
              <w:lang w:val="en-US" w:bidi="ar-SA"/>
            </w:rPr>
            <m:t>×</m:t>
          </m:r>
          <m:r>
            <m:rPr>
              <m:sty m:val="p"/>
            </m:rPr>
            <w:rPr>
              <w:rFonts w:hint="eastAsia" w:ascii="Cambria Math" w:hAnsi="Cambria Math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m:t>100%</m:t>
          </m:r>
        </m:oMath>
      </m:oMathPara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式中：</w:t>
      </w:r>
    </w:p>
    <w:p>
      <w:pPr>
        <w:spacing w:line="360" w:lineRule="auto"/>
        <w:ind w:firstLine="403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subscript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—— 加样前空称量瓶的重量，g；</w:t>
      </w:r>
    </w:p>
    <w:p>
      <w:pPr>
        <w:spacing w:line="360" w:lineRule="auto"/>
        <w:ind w:firstLine="403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—— 干燥前样品和称量瓶的重量，g；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—— 干燥后样品和称量瓶的重量，g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2.5 灰分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灰分的测定参考GB/T 7531 相关规定进行检测，检测条件以下表中的条件为准。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灰分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的质量分数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以w，数值以%标识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计，按下式计算：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m:t>w=</m:t>
          </m:r>
          <m:f>
            <m:fPr>
              <m:ctrlPr>
                <w:rPr>
                  <w:rFonts w:hint="eastAsia" w:ascii="Cambria Math" w:hAnsi="Cambria Math" w:eastAsia="仿宋" w:cs="仿宋"/>
                  <w:bCs/>
                  <w:kern w:val="2"/>
                  <w:sz w:val="28"/>
                  <w:szCs w:val="28"/>
                  <w:highlight w:val="none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eastAsia" w:ascii="Cambria Math" w:hAnsi="Cambria Math" w:eastAsia="仿宋" w:cs="仿宋"/>
                      <w:bCs/>
                      <w:i w:val="0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m</m:t>
                  </m:r>
                  <m:ctrlPr>
                    <w:rPr>
                      <w:rFonts w:hint="eastAsia" w:ascii="Cambria Math" w:hAnsi="Cambria Math" w:eastAsia="仿宋" w:cs="仿宋"/>
                      <w:bCs/>
                      <w:i w:val="0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1</m:t>
                  </m:r>
                  <m:ctrlPr>
                    <w:rPr>
                      <w:rFonts w:hint="eastAsia" w:ascii="Cambria Math" w:hAnsi="Cambria Math" w:eastAsia="仿宋" w:cs="仿宋"/>
                      <w:bCs/>
                      <w:i w:val="0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kern w:val="2"/>
                  <w:sz w:val="28"/>
                  <w:szCs w:val="28"/>
                  <w:highlight w:val="none"/>
                  <w:lang w:val="en-US" w:eastAsia="zh-CN" w:bidi="ar-SA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仿宋" w:cs="仿宋"/>
                      <w:b w:val="0"/>
                      <w:i w:val="0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m</m:t>
                  </m:r>
                  <m:ctrlPr>
                    <w:rPr>
                      <w:rFonts w:hint="eastAsia" w:ascii="Cambria Math" w:hAnsi="Cambria Math" w:eastAsia="仿宋" w:cs="仿宋"/>
                      <w:b w:val="0"/>
                      <w:i w:val="0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m:t>2</m:t>
                  </m:r>
                  <m:ctrlPr>
                    <w:rPr>
                      <w:rFonts w:hint="eastAsia" w:ascii="Cambria Math" w:hAnsi="Cambria Math" w:eastAsia="仿宋" w:cs="仿宋"/>
                      <w:b w:val="0"/>
                      <w:i w:val="0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bCs/>
                  <w:kern w:val="2"/>
                  <w:sz w:val="28"/>
                  <w:szCs w:val="28"/>
                  <w:highlight w:val="none"/>
                  <w:lang w:val="en-US" w:eastAsia="zh-CN" w:bidi="ar-SA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kern w:val="2"/>
                  <w:sz w:val="28"/>
                  <w:szCs w:val="28"/>
                  <w:highlight w:val="none"/>
                  <w:lang w:val="en-US" w:eastAsia="zh-CN" w:bidi="ar-SA"/>
                </w:rPr>
                <m:t>m</m:t>
              </m:r>
              <m:ctrlPr>
                <w:rPr>
                  <w:rFonts w:hint="eastAsia" w:ascii="Cambria Math" w:hAnsi="Cambria Math" w:eastAsia="仿宋" w:cs="仿宋"/>
                  <w:bCs/>
                  <w:kern w:val="2"/>
                  <w:sz w:val="28"/>
                  <w:szCs w:val="28"/>
                  <w:highlight w:val="none"/>
                  <w:lang w:val="en-US" w:eastAsia="zh-CN" w:bidi="ar-SA"/>
                </w:rPr>
              </m:ctrlPr>
            </m:den>
          </m:f>
          <m:r>
            <m:rPr>
              <m:sty m:val="p"/>
            </m:rPr>
            <w:rPr>
              <w:rFonts w:hint="eastAsia" w:ascii="Cambria Math" w:hAnsi="Cambria Math" w:eastAsia="仿宋" w:cs="仿宋"/>
              <w:kern w:val="2"/>
              <w:sz w:val="28"/>
              <w:szCs w:val="28"/>
              <w:highlight w:val="none"/>
              <w:lang w:val="en-US" w:bidi="ar-SA"/>
            </w:rPr>
            <m:t>×</m:t>
          </m:r>
          <m:r>
            <m:rPr>
              <m:sty m:val="p"/>
            </m:rPr>
            <w:rPr>
              <w:rFonts w:hint="eastAsia" w:ascii="Cambria Math" w:hAnsi="Cambria Math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m:t>100%</m:t>
          </m:r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式中：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 xml:space="preserve">       m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 xml:space="preserve"> —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坩埚加残渣的质量的数值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 xml:space="preserve">   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 xml:space="preserve"> —坩埚的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质量的数值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 xml:space="preserve">       m —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试料的质量的数值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，g。</w:t>
      </w:r>
    </w:p>
    <w:p>
      <w:pPr>
        <w:spacing w:line="360" w:lineRule="exact"/>
        <w:ind w:firstLine="751" w:firstLineChars="358"/>
        <w:jc w:val="center"/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highlight w:val="none"/>
          <w:lang w:eastAsia="zh-CN"/>
        </w:rPr>
        <w:t>表</w:t>
      </w:r>
      <w:r>
        <w:rPr>
          <w:rFonts w:hint="eastAsia" w:ascii="仿宋" w:hAnsi="仿宋" w:eastAsia="仿宋" w:cs="仿宋"/>
          <w:kern w:val="0"/>
          <w:sz w:val="21"/>
          <w:szCs w:val="21"/>
          <w:highlight w:val="none"/>
          <w:lang w:val="en-US" w:eastAsia="zh-CN"/>
        </w:rPr>
        <w:t>1 灼烧残渣</w:t>
      </w:r>
      <w:r>
        <w:rPr>
          <w:rFonts w:hint="eastAsia" w:ascii="仿宋" w:hAnsi="仿宋" w:eastAsia="仿宋" w:cs="仿宋"/>
          <w:kern w:val="0"/>
          <w:sz w:val="21"/>
          <w:szCs w:val="21"/>
          <w:highlight w:val="none"/>
          <w:lang w:eastAsia="zh-CN"/>
        </w:rPr>
        <w:t>的质量分数检验参数</w:t>
      </w:r>
    </w:p>
    <w:tbl>
      <w:tblPr>
        <w:tblStyle w:val="11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6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样 品 量</w:t>
            </w:r>
          </w:p>
        </w:tc>
        <w:tc>
          <w:tcPr>
            <w:tcW w:w="403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±0.1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干燥温度</w:t>
            </w:r>
          </w:p>
        </w:tc>
        <w:tc>
          <w:tcPr>
            <w:tcW w:w="403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550℃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0"/>
                <w:highlight w:val="none"/>
                <w:lang w:val="en-US" w:eastAsia="zh-CN" w:bidi="ar-SA"/>
              </w:rPr>
              <w:t>±25℃</w:t>
            </w:r>
          </w:p>
        </w:tc>
      </w:tr>
    </w:tbl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2.6 红外谱图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按照GB/T 6040规定，采用衰减全反射（ATR）法进行测试。将样品均匀涂覆于ATR晶体表面，测定其红外光谱特征吸收峰，所得标准谱图如下。</w:t>
      </w:r>
    </w:p>
    <w:p>
      <w:pPr>
        <w:pStyle w:val="2"/>
        <w:jc w:val="center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drawing>
          <wp:inline distT="0" distB="0" distL="114300" distR="114300">
            <wp:extent cx="4010660" cy="248412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图1 聚六亚甲基双胍红外标准谱图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val="en-US" w:eastAsia="zh-CN"/>
        </w:rPr>
        <w:t xml:space="preserve">                </w:t>
      </w:r>
    </w:p>
    <w:p>
      <w:pPr>
        <w:pStyle w:val="14"/>
        <w:numPr>
          <w:ilvl w:val="0"/>
          <w:numId w:val="3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产品包装</w:t>
      </w:r>
    </w:p>
    <w:p>
      <w:pPr>
        <w:pStyle w:val="3"/>
        <w:numPr>
          <w:ilvl w:val="0"/>
          <w:numId w:val="0"/>
        </w:numPr>
        <w:spacing w:line="360" w:lineRule="auto"/>
        <w:ind w:left="215" w:leftChars="0" w:right="122" w:rightChars="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1000KG/罐/IBC罐，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符合附表1的包装要求；</w:t>
      </w:r>
    </w:p>
    <w:p>
      <w:pPr>
        <w:pStyle w:val="2"/>
        <w:ind w:left="0" w:leftChars="0" w:firstLine="0" w:firstLineChars="0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</w:p>
    <w:tbl>
      <w:tblPr>
        <w:tblStyle w:val="11"/>
        <w:tblW w:w="9639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080"/>
        <w:gridCol w:w="2121"/>
        <w:gridCol w:w="168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附表1：化学原料包装物标准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标准要求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包装形式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25KG/40KG包装桶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25KG包装袋/吨袋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200KG包装桶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IBC药剂罐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大盖严紧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表面干净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无破损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标识清晰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36" w:leftChars="0" w:hanging="36" w:hangingChars="15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化学品安全标签符合GB15258-2009要求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生产日期及有效期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到厂日期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合格证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药剂简述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药剂毛重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药剂净重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顶上喷药剂名称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四周喷药剂名称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四周喷厂家名称（简称）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需回收的四周喷“回收”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两寸快速接头一体式球阀出料口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出料口带封盖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/挡板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注：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1、“√”请严格执行。</w:t>
            </w:r>
          </w:p>
          <w:p>
            <w:pPr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2、如卖方未按上述包装物标准组织送货，买方有权要求退换货。</w:t>
            </w:r>
          </w:p>
        </w:tc>
      </w:tr>
    </w:tbl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供应商资质基本要求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11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仿宋" w:hAnsi="仿宋" w:eastAsia="仿宋" w:cs="Calibri"/>
                <w:b/>
                <w:bCs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资质要求</w:t>
            </w:r>
          </w:p>
          <w:p>
            <w:pPr>
              <w:pStyle w:val="15"/>
              <w:spacing w:line="300" w:lineRule="exact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>
            <w:pPr>
              <w:pStyle w:val="15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2.申请人须是中华人民共和国境内具有独立承担民事责任能力的法人，或具备国家认可经营资格的其他组织。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3.申请人须具有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海油外部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化学产品的销售业绩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50C9A"/>
    <w:multiLevelType w:val="singleLevel"/>
    <w:tmpl w:val="1EB50C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57900891"/>
    <w:multiLevelType w:val="singleLevel"/>
    <w:tmpl w:val="579008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CD14A4"/>
    <w:rsid w:val="0F5F79D9"/>
    <w:rsid w:val="17F798A7"/>
    <w:rsid w:val="37EE1FB8"/>
    <w:rsid w:val="3BEF633E"/>
    <w:rsid w:val="4124436F"/>
    <w:rsid w:val="43FB03F4"/>
    <w:rsid w:val="46BB5C51"/>
    <w:rsid w:val="4A1947CF"/>
    <w:rsid w:val="4F6E853F"/>
    <w:rsid w:val="583C5104"/>
    <w:rsid w:val="5B1746BA"/>
    <w:rsid w:val="5FAF4081"/>
    <w:rsid w:val="6D2456D4"/>
    <w:rsid w:val="6FF7C6E3"/>
    <w:rsid w:val="72946F8C"/>
    <w:rsid w:val="736B748E"/>
    <w:rsid w:val="76ECFE8D"/>
    <w:rsid w:val="79FF56E9"/>
    <w:rsid w:val="7B096C74"/>
    <w:rsid w:val="7EF363FF"/>
    <w:rsid w:val="85CD2931"/>
    <w:rsid w:val="A6F4E9A6"/>
    <w:rsid w:val="AF7BAA25"/>
    <w:rsid w:val="BFBB32D6"/>
    <w:rsid w:val="C3D55B65"/>
    <w:rsid w:val="CFFF7BBB"/>
    <w:rsid w:val="D1DCE082"/>
    <w:rsid w:val="DFF9C582"/>
    <w:rsid w:val="ECFC8467"/>
    <w:rsid w:val="EEB8FCDA"/>
    <w:rsid w:val="EEED05F1"/>
    <w:rsid w:val="FB6F86BF"/>
    <w:rsid w:val="FEB31551"/>
    <w:rsid w:val="FEFC16C2"/>
    <w:rsid w:val="FEFE5ED4"/>
    <w:rsid w:val="FF2F2082"/>
    <w:rsid w:val="FF63CF15"/>
    <w:rsid w:val="FF7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 w:cs="Times New Roman"/>
      <w:b/>
      <w:bCs/>
      <w:kern w:val="44"/>
      <w:sz w:val="44"/>
      <w:szCs w:val="44"/>
      <w:lang w:val="zh-CN" w:eastAsia="zh-CN"/>
    </w:rPr>
  </w:style>
  <w:style w:type="paragraph" w:styleId="5">
    <w:name w:val="heading 2"/>
    <w:basedOn w:val="1"/>
    <w:next w:val="1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567"/>
    </w:pPr>
  </w:style>
  <w:style w:type="paragraph" w:styleId="3">
    <w:name w:val="Body Text"/>
    <w:basedOn w:val="1"/>
    <w:next w:val="1"/>
    <w:qFormat/>
    <w:uiPriority w:val="1"/>
    <w:pPr>
      <w:ind w:firstLine="200" w:firstLineChars="200"/>
    </w:pPr>
    <w:rPr>
      <w:rFonts w:ascii="Microsoft YaHei UI" w:hAnsi="Microsoft YaHei UI" w:eastAsia="Microsoft YaHei UI"/>
      <w:szCs w:val="21"/>
    </w:rPr>
  </w:style>
  <w:style w:type="paragraph" w:styleId="6">
    <w:name w:val="index 4"/>
    <w:basedOn w:val="1"/>
    <w:next w:val="1"/>
    <w:unhideWhenUsed/>
    <w:qFormat/>
    <w:uiPriority w:val="99"/>
    <w:pPr>
      <w:ind w:left="1260" w:leftChars="600"/>
      <w:jc w:val="left"/>
    </w:pPr>
  </w:style>
  <w:style w:type="paragraph" w:styleId="7">
    <w:name w:val="Plain Text"/>
    <w:basedOn w:val="1"/>
    <w:qFormat/>
    <w:uiPriority w:val="99"/>
    <w:rPr>
      <w:rFonts w:eastAsia="楷体_GB2312"/>
      <w:color w:val="002060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5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table" w:customStyle="1" w:styleId="16">
    <w:name w:val="网格型3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章标题"/>
    <w:next w:val="1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wudi</cp:lastModifiedBy>
  <dcterms:modified xsi:type="dcterms:W3CDTF">2026-03-02T03:16:45Z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F8230E7D290F4682BFFDFCE545D79E16</vt:lpwstr>
  </property>
</Properties>
</file>