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4985">
      <w:pPr>
        <w:ind w:right="-512" w:rightChars="-244"/>
        <w:jc w:val="right"/>
        <w:rPr>
          <w:rFonts w:hint="eastAsia" w:ascii="宋体" w:hAnsi="宋体" w:eastAsia="宋体"/>
          <w:sz w:val="24"/>
          <w:lang w:val="en-US" w:eastAsia="zh-CN"/>
        </w:rPr>
      </w:pPr>
      <w:r>
        <w:rPr>
          <w:rFonts w:ascii="华文仿宋" w:hAnsi="华文仿宋" w:eastAsia="华文仿宋" w:cs="华文仿宋"/>
          <w:sz w:val="30"/>
          <w:szCs w:val="30"/>
        </w:rPr>
        <w:t xml:space="preserve">            </w:t>
      </w:r>
      <w:r>
        <w:rPr>
          <w:rFonts w:ascii="华文仿宋" w:hAnsi="华文仿宋" w:eastAsia="华文仿宋" w:cs="华文仿宋"/>
          <w:b w:val="0"/>
          <w:bCs/>
          <w:sz w:val="30"/>
          <w:szCs w:val="30"/>
        </w:rPr>
        <w:t xml:space="preserve">  合同编号：</w:t>
      </w:r>
    </w:p>
    <w:p w14:paraId="6F88D90F">
      <w:pPr>
        <w:pStyle w:val="4"/>
        <w:widowControl/>
        <w:spacing w:before="225" w:beforeAutospacing="0" w:afterAutospacing="0" w:line="600" w:lineRule="atLeast"/>
        <w:jc w:val="both"/>
        <w:rPr>
          <w:rFonts w:hint="default" w:ascii="华文仿宋" w:hAnsi="华文仿宋" w:eastAsia="华文仿宋" w:cs="华文仿宋"/>
          <w:sz w:val="30"/>
          <w:szCs w:val="30"/>
        </w:rPr>
      </w:pPr>
    </w:p>
    <w:p w14:paraId="773F893F">
      <w:pPr>
        <w:pStyle w:val="4"/>
        <w:widowControl/>
        <w:spacing w:before="225" w:beforeAutospacing="0" w:afterAutospacing="0" w:line="600" w:lineRule="atLeast"/>
        <w:jc w:val="center"/>
        <w:rPr>
          <w:rFonts w:hint="default" w:ascii="华文仿宋" w:hAnsi="华文仿宋" w:eastAsia="华文仿宋" w:cs="华文仿宋"/>
          <w:sz w:val="30"/>
          <w:szCs w:val="30"/>
        </w:rPr>
      </w:pPr>
    </w:p>
    <w:p w14:paraId="7480267A">
      <w:pPr>
        <w:pStyle w:val="4"/>
        <w:widowControl/>
        <w:spacing w:before="225" w:beforeAutospacing="0" w:afterAutospacing="0" w:line="600" w:lineRule="atLeast"/>
        <w:jc w:val="center"/>
        <w:rPr>
          <w:rFonts w:hint="default" w:ascii="方正小标宋简体" w:hAnsi="华文仿宋" w:eastAsia="方正小标宋简体" w:cs="华文仿宋"/>
          <w:sz w:val="56"/>
          <w:szCs w:val="30"/>
        </w:rPr>
      </w:pPr>
      <w:r>
        <w:rPr>
          <w:rFonts w:ascii="方正小标宋简体" w:hAnsi="华文仿宋" w:eastAsia="方正小标宋简体" w:cs="华文仿宋"/>
          <w:sz w:val="56"/>
          <w:szCs w:val="30"/>
        </w:rPr>
        <w:t>成都国际铁路港综合保税区</w:t>
      </w:r>
    </w:p>
    <w:p w14:paraId="79BE75C1">
      <w:pPr>
        <w:pStyle w:val="4"/>
        <w:widowControl/>
        <w:spacing w:before="225" w:beforeAutospacing="0" w:afterAutospacing="0" w:line="600" w:lineRule="atLeast"/>
        <w:jc w:val="center"/>
        <w:rPr>
          <w:rFonts w:hint="default" w:ascii="方正小标宋简体" w:hAnsi="华文仿宋" w:eastAsia="方正小标宋简体" w:cs="华文仿宋"/>
          <w:sz w:val="56"/>
          <w:szCs w:val="30"/>
        </w:rPr>
      </w:pPr>
      <w:r>
        <w:rPr>
          <w:rFonts w:ascii="方正小标宋简体" w:hAnsi="华文仿宋" w:eastAsia="方正小标宋简体" w:cs="华文仿宋"/>
          <w:sz w:val="56"/>
          <w:szCs w:val="30"/>
        </w:rPr>
        <w:t>标准化厂房租赁合同</w:t>
      </w:r>
    </w:p>
    <w:p w14:paraId="2B039DF4">
      <w:pPr>
        <w:rPr>
          <w:rFonts w:ascii="华文仿宋" w:hAnsi="华文仿宋" w:eastAsia="华文仿宋" w:cs="华文仿宋"/>
          <w:sz w:val="30"/>
          <w:szCs w:val="30"/>
        </w:rPr>
      </w:pPr>
    </w:p>
    <w:p w14:paraId="746CDBAB">
      <w:pPr>
        <w:rPr>
          <w:rFonts w:ascii="华文仿宋" w:hAnsi="华文仿宋" w:eastAsia="华文仿宋" w:cs="华文仿宋"/>
          <w:sz w:val="30"/>
          <w:szCs w:val="30"/>
        </w:rPr>
      </w:pPr>
    </w:p>
    <w:p w14:paraId="7ADCC00E">
      <w:pPr>
        <w:rPr>
          <w:rFonts w:ascii="华文仿宋" w:hAnsi="华文仿宋" w:eastAsia="华文仿宋" w:cs="华文仿宋"/>
          <w:sz w:val="30"/>
          <w:szCs w:val="30"/>
        </w:rPr>
      </w:pPr>
    </w:p>
    <w:p w14:paraId="47784634">
      <w:pPr>
        <w:rPr>
          <w:rFonts w:ascii="华文仿宋" w:hAnsi="华文仿宋" w:eastAsia="华文仿宋" w:cs="华文仿宋"/>
          <w:sz w:val="30"/>
          <w:szCs w:val="30"/>
        </w:rPr>
      </w:pPr>
    </w:p>
    <w:p w14:paraId="5C8E41FB">
      <w:pPr>
        <w:rPr>
          <w:rFonts w:ascii="华文仿宋" w:hAnsi="华文仿宋" w:eastAsia="华文仿宋" w:cs="华文仿宋"/>
          <w:sz w:val="30"/>
          <w:szCs w:val="30"/>
        </w:rPr>
      </w:pPr>
    </w:p>
    <w:p w14:paraId="317EED1B">
      <w:pPr>
        <w:spacing w:line="600" w:lineRule="auto"/>
        <w:ind w:firstLine="1120" w:firstLineChars="350"/>
        <w:rPr>
          <w:rFonts w:ascii="华文仿宋" w:hAnsi="华文仿宋" w:eastAsia="华文仿宋" w:cs="华文仿宋"/>
          <w:sz w:val="30"/>
          <w:szCs w:val="30"/>
        </w:rPr>
      </w:pPr>
      <w:r>
        <w:rPr>
          <w:rFonts w:hint="eastAsia" w:ascii="华文仿宋" w:hAnsi="华文仿宋" w:eastAsia="华文仿宋" w:cs="华文仿宋"/>
          <w:sz w:val="32"/>
          <w:szCs w:val="32"/>
        </w:rPr>
        <w:t>甲方：</w:t>
      </w:r>
    </w:p>
    <w:p w14:paraId="1095F093">
      <w:pPr>
        <w:spacing w:line="600" w:lineRule="auto"/>
        <w:ind w:firstLine="1050" w:firstLineChars="350"/>
        <w:rPr>
          <w:rFonts w:ascii="华文仿宋" w:hAnsi="华文仿宋" w:eastAsia="华文仿宋" w:cs="华文仿宋"/>
          <w:sz w:val="30"/>
          <w:szCs w:val="30"/>
        </w:rPr>
      </w:pPr>
    </w:p>
    <w:p w14:paraId="541A51FF">
      <w:pPr>
        <w:spacing w:line="600" w:lineRule="auto"/>
        <w:ind w:firstLine="1050" w:firstLineChars="350"/>
        <w:rPr>
          <w:rFonts w:ascii="华文仿宋" w:hAnsi="华文仿宋" w:eastAsia="华文仿宋" w:cs="华文仿宋"/>
          <w:sz w:val="30"/>
          <w:szCs w:val="30"/>
        </w:rPr>
      </w:pPr>
    </w:p>
    <w:p w14:paraId="28ABE808">
      <w:pPr>
        <w:spacing w:line="600" w:lineRule="auto"/>
        <w:ind w:firstLine="1120" w:firstLineChars="35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乙方：</w:t>
      </w:r>
    </w:p>
    <w:p w14:paraId="17DF1E0C">
      <w:pPr>
        <w:spacing w:line="600" w:lineRule="auto"/>
        <w:rPr>
          <w:rFonts w:ascii="华文仿宋" w:hAnsi="华文仿宋" w:eastAsia="华文仿宋" w:cs="华文仿宋"/>
          <w:sz w:val="30"/>
          <w:szCs w:val="30"/>
        </w:rPr>
      </w:pPr>
    </w:p>
    <w:p w14:paraId="66D00B94">
      <w:pPr>
        <w:spacing w:line="540" w:lineRule="exact"/>
        <w:jc w:val="center"/>
        <w:rPr>
          <w:rFonts w:ascii="华文仿宋" w:hAnsi="华文仿宋" w:eastAsia="华文仿宋" w:cs="华文仿宋"/>
          <w:sz w:val="30"/>
          <w:szCs w:val="30"/>
        </w:rPr>
      </w:pPr>
      <w:r>
        <w:rPr>
          <w:rFonts w:hint="eastAsia" w:ascii="华文仿宋" w:hAnsi="华文仿宋" w:eastAsia="华文仿宋" w:cs="华文仿宋"/>
          <w:sz w:val="30"/>
          <w:szCs w:val="30"/>
        </w:rPr>
        <w:t>签订时间：</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年    月   日</w:t>
      </w:r>
    </w:p>
    <w:p w14:paraId="197C4859">
      <w:pPr>
        <w:spacing w:line="540" w:lineRule="exact"/>
        <w:jc w:val="center"/>
        <w:rPr>
          <w:rFonts w:ascii="华文仿宋" w:hAnsi="华文仿宋" w:eastAsia="华文仿宋" w:cs="华文仿宋"/>
          <w:sz w:val="30"/>
          <w:szCs w:val="30"/>
        </w:rPr>
      </w:pPr>
      <w:r>
        <w:rPr>
          <w:rFonts w:hint="eastAsia" w:ascii="华文仿宋" w:hAnsi="华文仿宋" w:eastAsia="华文仿宋" w:cs="华文仿宋"/>
          <w:sz w:val="30"/>
          <w:szCs w:val="30"/>
        </w:rPr>
        <w:t>签订地：成都市青白江区便民路6号</w:t>
      </w:r>
    </w:p>
    <w:p w14:paraId="164C4AB3">
      <w:pPr>
        <w:widowControl/>
        <w:jc w:val="right"/>
        <w:rPr>
          <w:rFonts w:ascii="华文仿宋" w:hAnsi="华文仿宋" w:eastAsia="华文仿宋" w:cs="华文仿宋"/>
          <w:sz w:val="30"/>
          <w:szCs w:val="30"/>
        </w:rPr>
      </w:pPr>
    </w:p>
    <w:p w14:paraId="4716F455">
      <w:pPr>
        <w:jc w:val="center"/>
        <w:rPr>
          <w:rFonts w:ascii="方正小标宋简体" w:hAnsi="华文仿宋" w:eastAsia="方正小标宋简体" w:cs="华文仿宋"/>
          <w:b/>
          <w:sz w:val="52"/>
          <w:szCs w:val="52"/>
        </w:rPr>
      </w:pPr>
      <w:r>
        <w:rPr>
          <w:rFonts w:hint="eastAsia" w:ascii="方正小标宋简体" w:hAnsi="华文仿宋" w:eastAsia="方正小标宋简体" w:cs="华文仿宋"/>
          <w:b/>
          <w:sz w:val="52"/>
          <w:szCs w:val="52"/>
        </w:rPr>
        <w:t>成都国际铁路港综合保税区</w:t>
      </w:r>
    </w:p>
    <w:p w14:paraId="0342C3DD">
      <w:pPr>
        <w:jc w:val="center"/>
        <w:rPr>
          <w:rFonts w:ascii="方正小标宋简体" w:hAnsi="华文仿宋" w:eastAsia="方正小标宋简体" w:cs="华文仿宋"/>
          <w:b/>
          <w:sz w:val="52"/>
          <w:szCs w:val="52"/>
        </w:rPr>
      </w:pPr>
      <w:r>
        <w:rPr>
          <w:rFonts w:hint="eastAsia" w:ascii="方正小标宋简体" w:hAnsi="华文仿宋" w:eastAsia="方正小标宋简体" w:cs="华文仿宋"/>
          <w:b/>
          <w:sz w:val="52"/>
          <w:szCs w:val="52"/>
        </w:rPr>
        <w:t>标准化厂房租赁合同</w:t>
      </w:r>
    </w:p>
    <w:p w14:paraId="66717F0D">
      <w:pPr>
        <w:jc w:val="center"/>
        <w:rPr>
          <w:rFonts w:ascii="华文仿宋" w:hAnsi="华文仿宋" w:eastAsia="华文仿宋" w:cs="华文仿宋"/>
          <w:sz w:val="30"/>
          <w:szCs w:val="30"/>
        </w:rPr>
      </w:pPr>
    </w:p>
    <w:p w14:paraId="3D20F2C2">
      <w:pPr>
        <w:spacing w:line="360" w:lineRule="auto"/>
        <w:rPr>
          <w:rFonts w:ascii="华文仿宋" w:hAnsi="华文仿宋" w:eastAsia="华文仿宋" w:cs="华文仿宋"/>
          <w:sz w:val="30"/>
          <w:szCs w:val="30"/>
        </w:rPr>
      </w:pPr>
      <w:r>
        <w:rPr>
          <w:rFonts w:hint="eastAsia" w:ascii="华文仿宋" w:hAnsi="华文仿宋" w:eastAsia="华文仿宋" w:cs="华文仿宋"/>
          <w:sz w:val="30"/>
          <w:szCs w:val="30"/>
        </w:rPr>
        <w:t>甲方（出租方）：</w:t>
      </w:r>
    </w:p>
    <w:p w14:paraId="4ABA87D8">
      <w:pPr>
        <w:spacing w:line="360" w:lineRule="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rPr>
        <w:t>法定代表人：</w:t>
      </w:r>
    </w:p>
    <w:p w14:paraId="70D0DE82">
      <w:pPr>
        <w:spacing w:line="360" w:lineRule="auto"/>
        <w:ind w:left="2100" w:hanging="2100" w:hangingChars="700"/>
        <w:rPr>
          <w:rFonts w:ascii="华文仿宋" w:hAnsi="华文仿宋" w:eastAsia="华文仿宋" w:cs="华文仿宋"/>
          <w:sz w:val="30"/>
          <w:szCs w:val="30"/>
        </w:rPr>
      </w:pPr>
      <w:r>
        <w:rPr>
          <w:rFonts w:hint="eastAsia" w:ascii="华文仿宋" w:hAnsi="华文仿宋" w:eastAsia="华文仿宋" w:cs="华文仿宋"/>
          <w:sz w:val="30"/>
          <w:szCs w:val="30"/>
        </w:rPr>
        <w:t>指定联系地址：</w:t>
      </w:r>
    </w:p>
    <w:p w14:paraId="56B65FEC">
      <w:pPr>
        <w:spacing w:line="360" w:lineRule="auto"/>
        <w:rPr>
          <w:rFonts w:ascii="华文仿宋" w:hAnsi="华文仿宋" w:eastAsia="华文仿宋" w:cs="华文仿宋"/>
          <w:sz w:val="30"/>
          <w:szCs w:val="30"/>
        </w:rPr>
      </w:pPr>
      <w:r>
        <w:rPr>
          <w:rFonts w:hint="eastAsia" w:ascii="华文仿宋" w:hAnsi="华文仿宋" w:eastAsia="华文仿宋" w:cs="华文仿宋"/>
          <w:sz w:val="30"/>
          <w:szCs w:val="30"/>
        </w:rPr>
        <w:t>　</w:t>
      </w:r>
    </w:p>
    <w:p w14:paraId="14E55A88">
      <w:pPr>
        <w:spacing w:line="600" w:lineRule="auto"/>
        <w:rPr>
          <w:rFonts w:hint="eastAsia" w:ascii="华文仿宋" w:hAnsi="华文仿宋" w:eastAsia="华文仿宋" w:cs="华文仿宋"/>
          <w:sz w:val="30"/>
          <w:szCs w:val="30"/>
        </w:rPr>
      </w:pPr>
      <w:r>
        <w:rPr>
          <w:rFonts w:hint="eastAsia" w:ascii="华文仿宋" w:hAnsi="华文仿宋" w:eastAsia="华文仿宋" w:cs="华文仿宋"/>
          <w:sz w:val="30"/>
          <w:szCs w:val="30"/>
        </w:rPr>
        <w:t>乙方（承租方）：</w:t>
      </w:r>
    </w:p>
    <w:p w14:paraId="0C02DF2F">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法定代表人：</w:t>
      </w:r>
    </w:p>
    <w:p w14:paraId="3D7DF86C">
      <w:pPr>
        <w:spacing w:line="360" w:lineRule="auto"/>
        <w:ind w:left="2100" w:hanging="2100" w:hangingChars="7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指定联系地址：</w:t>
      </w:r>
    </w:p>
    <w:p w14:paraId="6929E0C8">
      <w:pPr>
        <w:spacing w:line="360" w:lineRule="auto"/>
        <w:ind w:firstLine="600" w:firstLineChars="200"/>
        <w:rPr>
          <w:rFonts w:ascii="华文仿宋" w:hAnsi="华文仿宋" w:eastAsia="华文仿宋" w:cs="华文仿宋"/>
          <w:sz w:val="30"/>
          <w:szCs w:val="30"/>
        </w:rPr>
      </w:pPr>
    </w:p>
    <w:p w14:paraId="29089651">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根据《中华人民共和国民法典》《中华人民共和国海关法》及有关法律法规规定，为明确甲乙双方的权利义务，经双方协商一致,达成如下协议：</w:t>
      </w:r>
    </w:p>
    <w:p w14:paraId="357E1C18">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一、主体资格</w:t>
      </w:r>
    </w:p>
    <w:p w14:paraId="4CFDE21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1.甲方为标准化厂房出租方，拥有标准化厂房的经营权，享有标准化厂房出租收益权。乙方为标准化厂房承租方，通过租赁行为依法享有该厂房的合法使用权。</w:t>
      </w:r>
    </w:p>
    <w:p w14:paraId="4DCFA13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乙方租赁此标准化厂房，应当按照海关批准的综保区标准化厂房要求开展业务，并符合该厂房消防要求，乙方保证不在标准化厂房内存储和开展不符合本项规定及国家明令禁止的事项。若违反，由此产生的一切法律后果由乙方自行承担，给甲方造成损失的，由乙方负责赔偿。</w:t>
      </w:r>
    </w:p>
    <w:p w14:paraId="796EF3A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3.租赁标的物由乙方自行管理和经营，且不得转租、转借。</w:t>
      </w:r>
    </w:p>
    <w:p w14:paraId="6A9FE3EE">
      <w:pPr>
        <w:spacing w:line="360" w:lineRule="auto"/>
        <w:rPr>
          <w:rFonts w:ascii="华文仿宋" w:hAnsi="华文仿宋" w:eastAsia="华文仿宋" w:cs="华文仿宋"/>
          <w:sz w:val="30"/>
          <w:szCs w:val="30"/>
        </w:rPr>
      </w:pPr>
    </w:p>
    <w:p w14:paraId="145DBF6A">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二、租赁房屋概况</w:t>
      </w:r>
    </w:p>
    <w:p w14:paraId="4063141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1.本合同中租赁的标准化厂房为坐落于中国（四川）自由贸易试验区成都市青白江区香岛大道1533号成都国际铁路港综合保税区</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栋标准化厂房</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层</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号分区内（以下简称“租赁房屋”）（位置详见图纸）。该房屋为钢结构标准化厂房。</w:t>
      </w:r>
    </w:p>
    <w:p w14:paraId="75A49F1C">
      <w:pPr>
        <w:spacing w:line="360" w:lineRule="auto"/>
        <w:ind w:firstLine="450" w:firstLineChars="150"/>
        <w:rPr>
          <w:rFonts w:ascii="华文仿宋" w:hAnsi="华文仿宋" w:eastAsia="华文仿宋" w:cs="华文仿宋"/>
          <w:sz w:val="30"/>
          <w:szCs w:val="30"/>
        </w:rPr>
      </w:pPr>
      <w:r>
        <w:rPr>
          <w:rFonts w:hint="eastAsia" w:ascii="华文仿宋" w:hAnsi="华文仿宋" w:eastAsia="华文仿宋" w:cs="华文仿宋"/>
          <w:sz w:val="30"/>
          <w:szCs w:val="30"/>
        </w:rPr>
        <w:t>2.经甲乙双方确认，租赁房屋建筑面积</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平方米（含公摊）。</w:t>
      </w:r>
    </w:p>
    <w:p w14:paraId="52E59093">
      <w:pPr>
        <w:spacing w:line="360" w:lineRule="auto"/>
        <w:ind w:firstLine="450" w:firstLineChars="150"/>
        <w:rPr>
          <w:rFonts w:ascii="华文仿宋" w:hAnsi="华文仿宋" w:eastAsia="华文仿宋" w:cs="华文仿宋"/>
          <w:sz w:val="30"/>
          <w:szCs w:val="30"/>
        </w:rPr>
      </w:pPr>
      <w:r>
        <w:rPr>
          <w:rFonts w:hint="eastAsia" w:ascii="华文仿宋" w:hAnsi="华文仿宋" w:eastAsia="华文仿宋" w:cs="华文仿宋"/>
          <w:sz w:val="30"/>
          <w:szCs w:val="30"/>
        </w:rPr>
        <w:t>3.甲方负责将水、电管道铺设至租赁房屋墙体外，乙方负责安装租赁房屋的水表、电表。租赁房屋内的水、电设施，由乙方负责铺设、安装，并对其设计、安全、施工等负责。</w:t>
      </w:r>
    </w:p>
    <w:p w14:paraId="0BBC3A0E">
      <w:pPr>
        <w:spacing w:line="360" w:lineRule="auto"/>
        <w:ind w:firstLine="300" w:firstLineChars="100"/>
        <w:rPr>
          <w:rFonts w:ascii="华文仿宋" w:hAnsi="华文仿宋" w:eastAsia="华文仿宋" w:cs="华文仿宋"/>
          <w:sz w:val="30"/>
          <w:szCs w:val="30"/>
        </w:rPr>
      </w:pPr>
    </w:p>
    <w:p w14:paraId="5D93A518">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三、租赁期</w:t>
      </w:r>
    </w:p>
    <w:p w14:paraId="70D5E36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1.租赁期为</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年，从</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日起至</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日止。</w:t>
      </w:r>
    </w:p>
    <w:p w14:paraId="0E5490C1">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highlight w:val="none"/>
        </w:rPr>
        <w:t>2.租赁期届满，若乙方需继续租赁，应在租赁期届满前</w:t>
      </w:r>
      <w:r>
        <w:rPr>
          <w:rFonts w:hint="eastAsia" w:ascii="华文仿宋" w:hAnsi="华文仿宋" w:eastAsia="华文仿宋" w:cs="华文仿宋"/>
          <w:sz w:val="30"/>
          <w:szCs w:val="30"/>
          <w:highlight w:val="none"/>
          <w:u w:val="single"/>
        </w:rPr>
        <w:t>三个月</w:t>
      </w:r>
      <w:r>
        <w:rPr>
          <w:rFonts w:hint="eastAsia" w:ascii="华文仿宋" w:hAnsi="华文仿宋" w:eastAsia="华文仿宋" w:cs="华文仿宋"/>
          <w:sz w:val="30"/>
          <w:szCs w:val="30"/>
          <w:highlight w:val="none"/>
        </w:rPr>
        <w:t>向甲方</w:t>
      </w:r>
      <w:r>
        <w:rPr>
          <w:rFonts w:hint="eastAsia" w:ascii="华文仿宋" w:hAnsi="华文仿宋" w:eastAsia="华文仿宋" w:cs="华文仿宋"/>
          <w:sz w:val="30"/>
          <w:szCs w:val="30"/>
        </w:rPr>
        <w:t>提出书面续租申请。若甲、乙双方达成续租意向，则另行签订租赁合同；若未达成续租意向，则租赁期届满后合同终止。</w:t>
      </w:r>
    </w:p>
    <w:p w14:paraId="50CE85B6">
      <w:pPr>
        <w:spacing w:line="360" w:lineRule="auto"/>
        <w:ind w:firstLine="600" w:firstLineChars="200"/>
        <w:rPr>
          <w:rFonts w:ascii="华文仿宋" w:hAnsi="华文仿宋" w:eastAsia="华文仿宋" w:cs="华文仿宋"/>
          <w:sz w:val="30"/>
          <w:szCs w:val="30"/>
        </w:rPr>
      </w:pPr>
    </w:p>
    <w:p w14:paraId="0206D6FF">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四、租赁房屋用途</w:t>
      </w:r>
    </w:p>
    <w:p w14:paraId="1FDB5EF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1.乙方租用甲方房屋仅专用于的研发、生产、储存。</w:t>
      </w:r>
    </w:p>
    <w:p w14:paraId="275A2FD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2.未经甲方书面同意，乙方不得变更租赁房屋用途。否则视为乙方违约，甲方有权单方面解除合同，由此造成的损失及违约责任均由乙方承担。</w:t>
      </w:r>
    </w:p>
    <w:p w14:paraId="51E78B3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3.租赁房屋的交付</w:t>
      </w:r>
    </w:p>
    <w:p w14:paraId="347908AE">
      <w:pPr>
        <w:spacing w:line="360" w:lineRule="auto"/>
        <w:ind w:left="298" w:leftChars="142"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3.1甲方应于</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日之前将租赁房屋交付给乙方。</w:t>
      </w:r>
    </w:p>
    <w:p w14:paraId="5605B89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3.2甲方按照租赁房屋及附属设施的现状出租，本合同签订时，乙方确定已全面了解租赁房屋的规划、建设等情况，并到现场查看了租赁房屋及全部设施、设备的现状，同意按照租赁房屋及附属设施现状租赁。</w:t>
      </w:r>
    </w:p>
    <w:p w14:paraId="47991E99">
      <w:pPr>
        <w:spacing w:line="360" w:lineRule="auto"/>
        <w:ind w:firstLine="600" w:firstLineChars="200"/>
        <w:rPr>
          <w:rFonts w:ascii="华文仿宋" w:hAnsi="华文仿宋" w:eastAsia="华文仿宋" w:cs="华文仿宋"/>
          <w:sz w:val="30"/>
          <w:szCs w:val="30"/>
        </w:rPr>
      </w:pPr>
    </w:p>
    <w:p w14:paraId="1F9258D4">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五、租金、保证金、物业等费用及支付方式</w:t>
      </w:r>
    </w:p>
    <w:p w14:paraId="0E5A88E1">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1.任何情况下，根据本合同支付的所有款项均按照人民币结算。</w:t>
      </w:r>
    </w:p>
    <w:p w14:paraId="1827151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2.在租赁期内，标准化厂房租金为</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元/㎡/月。乙方须向甲方交纳房屋租金合计</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元/月（大写：</w:t>
      </w:r>
      <w:r>
        <w:rPr>
          <w:rFonts w:hint="eastAsia" w:ascii="华文仿宋" w:hAnsi="华文仿宋" w:eastAsia="华文仿宋" w:cs="华文仿宋"/>
          <w:sz w:val="30"/>
          <w:szCs w:val="30"/>
          <w:u w:val="none"/>
          <w:lang w:eastAsia="zh-CN"/>
        </w:rPr>
        <w:t>人民币</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none"/>
          <w:lang w:val="en-US" w:eastAsia="zh-CN"/>
        </w:rPr>
        <w:t>）</w:t>
      </w:r>
      <w:r>
        <w:rPr>
          <w:rFonts w:hint="eastAsia" w:ascii="华文仿宋" w:hAnsi="华文仿宋" w:eastAsia="华文仿宋" w:cs="华文仿宋"/>
          <w:sz w:val="30"/>
          <w:szCs w:val="30"/>
        </w:rPr>
        <w:t>（含税价）。物业费</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元/㎡/月，乙方应向甲方交纳房租物业费合计</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元/月（大写：</w:t>
      </w:r>
      <w:r>
        <w:rPr>
          <w:rFonts w:hint="eastAsia" w:ascii="华文仿宋" w:hAnsi="华文仿宋" w:eastAsia="华文仿宋" w:cs="华文仿宋"/>
          <w:sz w:val="30"/>
          <w:szCs w:val="30"/>
          <w:u w:val="none"/>
          <w:lang w:eastAsia="zh-CN"/>
        </w:rPr>
        <w:t>人民币</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none"/>
          <w:lang w:val="en-US" w:eastAsia="zh-CN"/>
        </w:rPr>
        <w:t>）</w:t>
      </w:r>
      <w:r>
        <w:rPr>
          <w:rFonts w:hint="eastAsia" w:ascii="华文仿宋" w:hAnsi="华文仿宋" w:eastAsia="华文仿宋" w:cs="华文仿宋"/>
          <w:sz w:val="30"/>
          <w:szCs w:val="30"/>
        </w:rPr>
        <w:t>（含税价）。租期含新租免租期，免租期为</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个月，减免租金，即从</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日起至</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rPr>
        <w:t>日止。租金及物业管理费结算周期为季付。采用先支付后使用原则，乙方向甲方首次交纳的租金及物业管理费应在合同签订后十日内一次性交纳，乙方应在后续每个租金及物业管理费收取周期前15个工作日内交纳下一周期的租金及物业管理费。在租赁期间内，首次或最后一次结算期不足结算周期者，应分别在标准化厂房交付使用前或统一收取日一次性支付实际月/天数的租金（非完整自然月的租金计算公式 = 房屋月租金/当月总天数×当月合同有效天数）。</w:t>
      </w:r>
    </w:p>
    <w:p w14:paraId="530B5AA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3.乙方在本合同签订后</w:t>
      </w:r>
      <w:r>
        <w:rPr>
          <w:rFonts w:hint="eastAsia" w:ascii="华文仿宋" w:hAnsi="华文仿宋" w:eastAsia="华文仿宋" w:cs="华文仿宋"/>
          <w:sz w:val="30"/>
          <w:szCs w:val="30"/>
          <w:u w:val="single"/>
        </w:rPr>
        <w:t xml:space="preserve">10 </w:t>
      </w:r>
      <w:r>
        <w:rPr>
          <w:rFonts w:hint="eastAsia" w:ascii="华文仿宋" w:hAnsi="华文仿宋" w:eastAsia="华文仿宋" w:cs="华文仿宋"/>
          <w:sz w:val="30"/>
          <w:szCs w:val="30"/>
        </w:rPr>
        <w:t>日内向甲方交纳保证金</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none"/>
          <w:lang w:val="en-US" w:eastAsia="zh-CN"/>
        </w:rPr>
        <w:t>元（大写：</w:t>
      </w:r>
      <w:r>
        <w:rPr>
          <w:rFonts w:hint="eastAsia" w:ascii="华文仿宋" w:hAnsi="华文仿宋" w:eastAsia="华文仿宋" w:cs="华文仿宋"/>
          <w:sz w:val="30"/>
          <w:szCs w:val="30"/>
          <w:u w:val="none"/>
          <w:lang w:eastAsia="zh-CN"/>
        </w:rPr>
        <w:t>人民币</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none"/>
          <w:lang w:val="en-US" w:eastAsia="zh-CN"/>
        </w:rPr>
        <w:t>），</w:t>
      </w:r>
      <w:r>
        <w:rPr>
          <w:rFonts w:hint="eastAsia" w:ascii="华文仿宋" w:hAnsi="华文仿宋" w:eastAsia="华文仿宋" w:cs="华文仿宋"/>
          <w:sz w:val="30"/>
          <w:szCs w:val="30"/>
        </w:rPr>
        <w:t>逾期未交的，甲方可解除本合同，并按本合同约定追究乙方违约责任并要求赔偿损失。</w:t>
      </w:r>
    </w:p>
    <w:p w14:paraId="35C91DA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4.在合同有效期内，因租赁房屋产生的相关费用（包括但不限于物业管理费、水电费、垃圾处理费、滞纳金、通讯费、网络费、冷暖费）以及在综保区内产生的业务操作费等一切费用均由乙方承担。</w:t>
      </w:r>
    </w:p>
    <w:p w14:paraId="508F56E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5.乙方应承担租赁房屋全部水费、电费，具体缴费方式参照物业管理服务协议。因乙方原因导致水、电设施等不能正常使用的，由乙方承担责任，造成损失或影响园区正常经营的，乙方承担全部经济及法律责任。</w:t>
      </w:r>
    </w:p>
    <w:p w14:paraId="7A205D91">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6.乙方应按月支付综保区场站内委托甲方开展的各项操作业务费用，收费标准按照甲方在综保区内公示的收费标准执行。</w:t>
      </w:r>
    </w:p>
    <w:p w14:paraId="575C113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7.保证金的扣除及退还</w:t>
      </w:r>
    </w:p>
    <w:p w14:paraId="0F9BE8B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7.1乙方交纳保证金是切实按照本合同履行自身义务的保证。在租赁期内，乙方逾期15日未交房屋租金或其他费用的，甲方有权从保证金中扣除。</w:t>
      </w:r>
    </w:p>
    <w:p w14:paraId="7BA4A0C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7.2合同终止后，乙方须恢复租赁房屋原状（或甲方可接受状态），自行拆除租赁房屋内搭建的构筑物（包括但不限于隔离墙）。如乙方拒绝拆除，则甲方可安排拆除工作。由此产生的一切费用，甲方有权从保证金中扣除。</w:t>
      </w:r>
    </w:p>
    <w:p w14:paraId="57846E63">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7.3合同终止后，租赁房屋已经甲方验收合格，乙方拖欠房屋租金及其它相关费用的，甲方有权从保证金中扣除。</w:t>
      </w:r>
    </w:p>
    <w:p w14:paraId="710BFC4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7.4租赁期内，乙方保证金因被扣缴导致总额减少的，甲方有权通知乙方补交，乙方须在收到保证金补交通知书之日起5个工作日内足额补交保证金（逾期未足额补交视为拒绝补交）。乙方拒绝补交的，甲方有权解除合同。</w:t>
      </w:r>
    </w:p>
    <w:p w14:paraId="42B08DD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7.5合同终止，若乙方退还的房屋破损（包括但不限于主体结构改变，消防、电力系统损坏）的，甲方有权扣除相应保证金予以补偿。</w:t>
      </w:r>
    </w:p>
    <w:p w14:paraId="72233095">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7.6合同终止，乙方延迟退还租赁房屋的，甲方有权就逾期</w:t>
      </w:r>
      <w:r>
        <w:rPr>
          <w:rFonts w:hint="eastAsia" w:ascii="华文仿宋" w:hAnsi="华文仿宋" w:eastAsia="华文仿宋" w:cs="华文仿宋"/>
          <w:sz w:val="30"/>
          <w:szCs w:val="30"/>
          <w:highlight w:val="none"/>
        </w:rPr>
        <w:t>退还房屋期间，按照合同终止前月租金数额的两倍按实际占用天数向乙方收取房屋占用费。乙方未足额支付或拒绝支付的，甲方有权从保证金中扣除。</w:t>
      </w:r>
    </w:p>
    <w:p w14:paraId="75FA941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7.7合同终止，退还房屋已经甲方验收合格，已结清房屋租金及其他费用，甲方应将保证金余额无息退还给乙方。</w:t>
      </w:r>
    </w:p>
    <w:p w14:paraId="6DEA892A">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7.8保证金不足以支付乙方拖欠的各项费用或者不足以弥补甲方损失的，甲方有权向乙方追索。</w:t>
      </w:r>
    </w:p>
    <w:p w14:paraId="0AFF86A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7.9因乙方原因提前终止合同的，保证金及已交房屋租金不予退还，保证金及租金不足以弥补甲方损失的，甲方可继续要求乙方承担赔偿责任。</w:t>
      </w:r>
    </w:p>
    <w:p w14:paraId="79B9B74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7.10合同终止后，乙方拖欠场站操作费用的，甲方有权从保证金中扣除。</w:t>
      </w:r>
    </w:p>
    <w:p w14:paraId="4CDF858A">
      <w:pPr>
        <w:numPr>
          <w:ilvl w:val="0"/>
          <w:numId w:val="1"/>
        </w:numPr>
        <w:spacing w:line="360" w:lineRule="auto"/>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乙方应按照以下时间表支付甲方房屋租金和物业费</w:t>
      </w:r>
    </w:p>
    <w:tbl>
      <w:tblPr>
        <w:tblStyle w:val="12"/>
        <w:tblW w:w="7687" w:type="dxa"/>
        <w:jc w:val="center"/>
        <w:tblLayout w:type="autofit"/>
        <w:tblCellMar>
          <w:top w:w="0" w:type="dxa"/>
          <w:left w:w="108" w:type="dxa"/>
          <w:bottom w:w="0" w:type="dxa"/>
          <w:right w:w="108" w:type="dxa"/>
        </w:tblCellMar>
      </w:tblPr>
      <w:tblGrid>
        <w:gridCol w:w="710"/>
        <w:gridCol w:w="1574"/>
        <w:gridCol w:w="1051"/>
        <w:gridCol w:w="1116"/>
        <w:gridCol w:w="1086"/>
        <w:gridCol w:w="1086"/>
        <w:gridCol w:w="1064"/>
      </w:tblGrid>
      <w:tr w14:paraId="6B84B7E0">
        <w:tblPrEx>
          <w:tblCellMar>
            <w:top w:w="0" w:type="dxa"/>
            <w:left w:w="108" w:type="dxa"/>
            <w:bottom w:w="0" w:type="dxa"/>
            <w:right w:w="108" w:type="dxa"/>
          </w:tblCellMar>
        </w:tblPrEx>
        <w:trPr>
          <w:trHeight w:val="285" w:hRule="atLeast"/>
          <w:jc w:val="center"/>
        </w:trPr>
        <w:tc>
          <w:tcPr>
            <w:tcW w:w="7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F0722A">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序号</w:t>
            </w:r>
          </w:p>
        </w:tc>
        <w:tc>
          <w:tcPr>
            <w:tcW w:w="1574" w:type="dxa"/>
            <w:vMerge w:val="restart"/>
            <w:tcBorders>
              <w:top w:val="single" w:color="000000" w:sz="8" w:space="0"/>
              <w:left w:val="nil"/>
              <w:bottom w:val="single" w:color="000000" w:sz="8" w:space="0"/>
              <w:right w:val="nil"/>
            </w:tcBorders>
            <w:shd w:val="clear" w:color="auto" w:fill="auto"/>
            <w:vAlign w:val="center"/>
          </w:tcPr>
          <w:p w14:paraId="5514E4B9">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租金、物业费支付时间</w:t>
            </w:r>
          </w:p>
        </w:tc>
        <w:tc>
          <w:tcPr>
            <w:tcW w:w="2167"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CB2C152">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对应租期</w:t>
            </w:r>
          </w:p>
        </w:tc>
        <w:tc>
          <w:tcPr>
            <w:tcW w:w="1086" w:type="dxa"/>
            <w:tcBorders>
              <w:top w:val="single" w:color="000000" w:sz="8" w:space="0"/>
              <w:left w:val="nil"/>
              <w:bottom w:val="nil"/>
              <w:right w:val="single" w:color="000000" w:sz="8" w:space="0"/>
            </w:tcBorders>
            <w:shd w:val="clear" w:color="auto" w:fill="auto"/>
            <w:vAlign w:val="top"/>
          </w:tcPr>
          <w:p w14:paraId="5E2011EB">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租金</w:t>
            </w:r>
          </w:p>
        </w:tc>
        <w:tc>
          <w:tcPr>
            <w:tcW w:w="1086" w:type="dxa"/>
            <w:tcBorders>
              <w:top w:val="single" w:color="000000" w:sz="8" w:space="0"/>
              <w:left w:val="nil"/>
              <w:bottom w:val="nil"/>
              <w:right w:val="single" w:color="000000" w:sz="8" w:space="0"/>
            </w:tcBorders>
            <w:shd w:val="clear" w:color="auto" w:fill="auto"/>
            <w:vAlign w:val="top"/>
          </w:tcPr>
          <w:p w14:paraId="08EDAA31">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物业</w:t>
            </w:r>
          </w:p>
        </w:tc>
        <w:tc>
          <w:tcPr>
            <w:tcW w:w="1064" w:type="dxa"/>
            <w:tcBorders>
              <w:top w:val="single" w:color="000000" w:sz="8" w:space="0"/>
              <w:left w:val="nil"/>
              <w:bottom w:val="nil"/>
              <w:right w:val="single" w:color="000000" w:sz="8" w:space="0"/>
            </w:tcBorders>
            <w:shd w:val="clear" w:color="auto" w:fill="auto"/>
            <w:vAlign w:val="top"/>
          </w:tcPr>
          <w:p w14:paraId="5ACE05C7">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合计</w:t>
            </w:r>
          </w:p>
        </w:tc>
      </w:tr>
      <w:tr w14:paraId="36A09117">
        <w:tblPrEx>
          <w:tblCellMar>
            <w:top w:w="0" w:type="dxa"/>
            <w:left w:w="108" w:type="dxa"/>
            <w:bottom w:w="0" w:type="dxa"/>
            <w:right w:w="108" w:type="dxa"/>
          </w:tblCellMar>
        </w:tblPrEx>
        <w:trPr>
          <w:trHeight w:val="386" w:hRule="atLeast"/>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BC02138">
            <w:pPr>
              <w:widowControl/>
              <w:jc w:val="left"/>
              <w:rPr>
                <w:rFonts w:ascii="仿宋" w:hAnsi="仿宋" w:eastAsia="仿宋" w:cs="宋体"/>
                <w:color w:val="000000"/>
                <w:kern w:val="0"/>
                <w:sz w:val="18"/>
                <w:szCs w:val="18"/>
              </w:rPr>
            </w:pPr>
          </w:p>
        </w:tc>
        <w:tc>
          <w:tcPr>
            <w:tcW w:w="1574" w:type="dxa"/>
            <w:vMerge w:val="continue"/>
            <w:tcBorders>
              <w:top w:val="single" w:color="000000" w:sz="8" w:space="0"/>
              <w:left w:val="nil"/>
              <w:bottom w:val="single" w:color="000000" w:sz="8" w:space="0"/>
              <w:right w:val="nil"/>
            </w:tcBorders>
            <w:vAlign w:val="center"/>
          </w:tcPr>
          <w:p w14:paraId="462D479E">
            <w:pPr>
              <w:widowControl/>
              <w:jc w:val="left"/>
              <w:rPr>
                <w:rFonts w:ascii="仿宋" w:hAnsi="仿宋" w:eastAsia="仿宋" w:cs="宋体"/>
                <w:color w:val="000000"/>
                <w:kern w:val="0"/>
                <w:sz w:val="18"/>
                <w:szCs w:val="18"/>
              </w:rPr>
            </w:pPr>
          </w:p>
        </w:tc>
        <w:tc>
          <w:tcPr>
            <w:tcW w:w="10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C1EA3">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起始日期</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43C64">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终止日期</w:t>
            </w:r>
          </w:p>
        </w:tc>
        <w:tc>
          <w:tcPr>
            <w:tcW w:w="1086" w:type="dxa"/>
            <w:tcBorders>
              <w:top w:val="nil"/>
              <w:left w:val="nil"/>
              <w:bottom w:val="single" w:color="000000" w:sz="8" w:space="0"/>
              <w:right w:val="single" w:color="000000" w:sz="8" w:space="0"/>
            </w:tcBorders>
            <w:shd w:val="clear" w:color="auto" w:fill="auto"/>
            <w:vAlign w:val="top"/>
          </w:tcPr>
          <w:p w14:paraId="503109E0">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（元）</w:t>
            </w:r>
          </w:p>
        </w:tc>
        <w:tc>
          <w:tcPr>
            <w:tcW w:w="1086" w:type="dxa"/>
            <w:tcBorders>
              <w:top w:val="nil"/>
              <w:left w:val="nil"/>
              <w:bottom w:val="single" w:color="000000" w:sz="8" w:space="0"/>
              <w:right w:val="single" w:color="000000" w:sz="8" w:space="0"/>
            </w:tcBorders>
            <w:shd w:val="clear" w:color="auto" w:fill="auto"/>
            <w:vAlign w:val="top"/>
          </w:tcPr>
          <w:p w14:paraId="2CA03178">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（元）</w:t>
            </w:r>
          </w:p>
        </w:tc>
        <w:tc>
          <w:tcPr>
            <w:tcW w:w="1064" w:type="dxa"/>
            <w:tcBorders>
              <w:top w:val="nil"/>
              <w:left w:val="nil"/>
              <w:bottom w:val="single" w:color="000000" w:sz="8" w:space="0"/>
              <w:right w:val="single" w:color="000000" w:sz="8" w:space="0"/>
            </w:tcBorders>
            <w:shd w:val="clear" w:color="auto" w:fill="auto"/>
            <w:vAlign w:val="top"/>
          </w:tcPr>
          <w:p w14:paraId="47614B96">
            <w:pPr>
              <w:widowControl/>
              <w:jc w:val="center"/>
              <w:rPr>
                <w:rFonts w:ascii="仿宋" w:hAnsi="仿宋" w:eastAsia="仿宋" w:cs="宋体"/>
                <w:color w:val="000000"/>
                <w:kern w:val="0"/>
                <w:sz w:val="18"/>
                <w:szCs w:val="18"/>
              </w:rPr>
            </w:pPr>
            <w:r>
              <w:rPr>
                <w:rFonts w:ascii="仿宋" w:hAnsi="仿宋" w:eastAsia="仿宋" w:cs="宋体"/>
                <w:color w:val="000000"/>
                <w:kern w:val="0"/>
                <w:sz w:val="18"/>
              </w:rPr>
              <w:t>（元）</w:t>
            </w:r>
          </w:p>
        </w:tc>
      </w:tr>
      <w:tr w14:paraId="0046D06A">
        <w:tblPrEx>
          <w:tblCellMar>
            <w:top w:w="0" w:type="dxa"/>
            <w:left w:w="108" w:type="dxa"/>
            <w:bottom w:w="0" w:type="dxa"/>
            <w:right w:w="108" w:type="dxa"/>
          </w:tblCellMar>
        </w:tblPrEx>
        <w:trPr>
          <w:trHeight w:val="285" w:hRule="atLeast"/>
          <w:jc w:val="center"/>
        </w:trPr>
        <w:tc>
          <w:tcPr>
            <w:tcW w:w="710" w:type="dxa"/>
            <w:tcBorders>
              <w:top w:val="nil"/>
              <w:left w:val="single" w:color="000000" w:sz="8" w:space="0"/>
              <w:bottom w:val="single" w:color="000000" w:sz="8" w:space="0"/>
              <w:right w:val="single" w:color="000000" w:sz="8" w:space="0"/>
            </w:tcBorders>
            <w:shd w:val="clear" w:color="auto" w:fill="auto"/>
            <w:vAlign w:val="center"/>
          </w:tcPr>
          <w:p w14:paraId="703CFA90">
            <w:pPr>
              <w:widowControl/>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1</w:t>
            </w:r>
          </w:p>
        </w:tc>
        <w:tc>
          <w:tcPr>
            <w:tcW w:w="1574" w:type="dxa"/>
            <w:tcBorders>
              <w:top w:val="nil"/>
              <w:left w:val="nil"/>
              <w:bottom w:val="single" w:color="000000" w:sz="8" w:space="0"/>
              <w:right w:val="single" w:color="000000" w:sz="8" w:space="0"/>
            </w:tcBorders>
            <w:shd w:val="clear" w:color="auto" w:fill="auto"/>
            <w:vAlign w:val="center"/>
          </w:tcPr>
          <w:p w14:paraId="58534B47">
            <w:pPr>
              <w:widowControl/>
              <w:jc w:val="center"/>
              <w:rPr>
                <w:rFonts w:hint="default" w:ascii="仿宋" w:hAnsi="仿宋" w:eastAsia="仿宋" w:cs="宋体"/>
                <w:color w:val="000000"/>
                <w:kern w:val="0"/>
                <w:sz w:val="18"/>
                <w:szCs w:val="18"/>
                <w:lang w:val="en-US" w:eastAsia="zh-CN"/>
              </w:rPr>
            </w:pPr>
          </w:p>
        </w:tc>
        <w:tc>
          <w:tcPr>
            <w:tcW w:w="1051" w:type="dxa"/>
            <w:tcBorders>
              <w:top w:val="nil"/>
              <w:left w:val="nil"/>
              <w:bottom w:val="single" w:color="000000" w:sz="8" w:space="0"/>
              <w:right w:val="single" w:color="000000" w:sz="8" w:space="0"/>
            </w:tcBorders>
            <w:shd w:val="clear" w:color="auto" w:fill="auto"/>
            <w:vAlign w:val="center"/>
          </w:tcPr>
          <w:p w14:paraId="2C7212BA">
            <w:pPr>
              <w:widowControl/>
              <w:jc w:val="center"/>
              <w:rPr>
                <w:rFonts w:hint="default" w:ascii="仿宋" w:hAnsi="仿宋" w:eastAsia="仿宋" w:cs="宋体"/>
                <w:color w:val="000000"/>
                <w:kern w:val="0"/>
                <w:sz w:val="18"/>
                <w:szCs w:val="18"/>
                <w:lang w:val="en-US" w:eastAsia="zh-CN"/>
              </w:rPr>
            </w:pPr>
          </w:p>
        </w:tc>
        <w:tc>
          <w:tcPr>
            <w:tcW w:w="1116" w:type="dxa"/>
            <w:tcBorders>
              <w:top w:val="nil"/>
              <w:left w:val="nil"/>
              <w:bottom w:val="single" w:color="000000" w:sz="8" w:space="0"/>
              <w:right w:val="single" w:color="000000" w:sz="8" w:space="0"/>
            </w:tcBorders>
            <w:shd w:val="clear" w:color="auto" w:fill="auto"/>
            <w:vAlign w:val="center"/>
          </w:tcPr>
          <w:p w14:paraId="62EF49A0">
            <w:pPr>
              <w:widowControl/>
              <w:jc w:val="center"/>
              <w:rPr>
                <w:rFonts w:hint="default" w:ascii="仿宋" w:hAnsi="仿宋" w:eastAsia="仿宋" w:cs="宋体"/>
                <w:color w:val="000000"/>
                <w:kern w:val="0"/>
                <w:sz w:val="18"/>
                <w:szCs w:val="18"/>
                <w:lang w:val="en-US" w:eastAsia="zh-CN"/>
              </w:rPr>
            </w:pPr>
          </w:p>
        </w:tc>
        <w:tc>
          <w:tcPr>
            <w:tcW w:w="1086" w:type="dxa"/>
            <w:tcBorders>
              <w:top w:val="nil"/>
              <w:left w:val="nil"/>
              <w:bottom w:val="single" w:color="000000" w:sz="8" w:space="0"/>
              <w:right w:val="single" w:color="000000" w:sz="8" w:space="0"/>
            </w:tcBorders>
            <w:shd w:val="clear" w:color="auto" w:fill="auto"/>
            <w:vAlign w:val="center"/>
          </w:tcPr>
          <w:p w14:paraId="658764FF">
            <w:pPr>
              <w:widowControl/>
              <w:jc w:val="center"/>
              <w:rPr>
                <w:rFonts w:hint="default" w:ascii="仿宋" w:hAnsi="仿宋" w:eastAsia="仿宋" w:cs="宋体"/>
                <w:color w:val="000000"/>
                <w:kern w:val="0"/>
                <w:sz w:val="18"/>
                <w:szCs w:val="18"/>
                <w:lang w:val="en-US" w:eastAsia="zh-CN"/>
              </w:rPr>
            </w:pPr>
          </w:p>
        </w:tc>
        <w:tc>
          <w:tcPr>
            <w:tcW w:w="1086" w:type="dxa"/>
            <w:tcBorders>
              <w:top w:val="nil"/>
              <w:left w:val="nil"/>
              <w:bottom w:val="single" w:color="000000" w:sz="8" w:space="0"/>
              <w:right w:val="single" w:color="000000" w:sz="8" w:space="0"/>
            </w:tcBorders>
            <w:shd w:val="clear" w:color="auto" w:fill="auto"/>
            <w:vAlign w:val="center"/>
          </w:tcPr>
          <w:p w14:paraId="4E36B964">
            <w:pPr>
              <w:widowControl/>
              <w:jc w:val="center"/>
              <w:rPr>
                <w:rFonts w:hint="default" w:ascii="仿宋" w:hAnsi="仿宋" w:eastAsia="仿宋" w:cs="宋体"/>
                <w:color w:val="000000"/>
                <w:kern w:val="0"/>
                <w:sz w:val="18"/>
                <w:szCs w:val="18"/>
                <w:lang w:val="en-US" w:eastAsia="zh-CN"/>
              </w:rPr>
            </w:pPr>
          </w:p>
        </w:tc>
        <w:tc>
          <w:tcPr>
            <w:tcW w:w="1064" w:type="dxa"/>
            <w:tcBorders>
              <w:top w:val="nil"/>
              <w:left w:val="nil"/>
              <w:bottom w:val="single" w:color="000000" w:sz="8" w:space="0"/>
              <w:right w:val="single" w:color="000000" w:sz="8" w:space="0"/>
            </w:tcBorders>
            <w:shd w:val="clear" w:color="auto" w:fill="auto"/>
            <w:vAlign w:val="center"/>
          </w:tcPr>
          <w:p w14:paraId="028D7DAC">
            <w:pPr>
              <w:widowControl/>
              <w:jc w:val="center"/>
              <w:rPr>
                <w:rFonts w:hint="default" w:ascii="仿宋" w:hAnsi="仿宋" w:eastAsia="仿宋" w:cs="宋体"/>
                <w:color w:val="000000"/>
                <w:kern w:val="0"/>
                <w:sz w:val="18"/>
                <w:szCs w:val="18"/>
                <w:lang w:val="en-US" w:eastAsia="zh-CN"/>
              </w:rPr>
            </w:pPr>
          </w:p>
        </w:tc>
      </w:tr>
      <w:tr w14:paraId="5996E911">
        <w:tblPrEx>
          <w:tblCellMar>
            <w:top w:w="0" w:type="dxa"/>
            <w:left w:w="108" w:type="dxa"/>
            <w:bottom w:w="0" w:type="dxa"/>
            <w:right w:w="108" w:type="dxa"/>
          </w:tblCellMar>
        </w:tblPrEx>
        <w:trPr>
          <w:trHeight w:val="285" w:hRule="atLeast"/>
          <w:jc w:val="center"/>
        </w:trPr>
        <w:tc>
          <w:tcPr>
            <w:tcW w:w="710" w:type="dxa"/>
            <w:tcBorders>
              <w:top w:val="nil"/>
              <w:left w:val="single" w:color="000000" w:sz="8" w:space="0"/>
              <w:bottom w:val="single" w:color="000000" w:sz="8" w:space="0"/>
              <w:right w:val="single" w:color="000000" w:sz="8" w:space="0"/>
            </w:tcBorders>
            <w:shd w:val="clear" w:color="auto" w:fill="auto"/>
            <w:vAlign w:val="center"/>
          </w:tcPr>
          <w:p w14:paraId="719F6ED1">
            <w:pPr>
              <w:widowControl/>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2</w:t>
            </w:r>
          </w:p>
        </w:tc>
        <w:tc>
          <w:tcPr>
            <w:tcW w:w="1574" w:type="dxa"/>
            <w:tcBorders>
              <w:top w:val="nil"/>
              <w:left w:val="nil"/>
              <w:bottom w:val="single" w:color="000000" w:sz="8" w:space="0"/>
              <w:right w:val="single" w:color="000000" w:sz="8" w:space="0"/>
            </w:tcBorders>
            <w:shd w:val="clear" w:color="auto" w:fill="auto"/>
            <w:vAlign w:val="center"/>
          </w:tcPr>
          <w:p w14:paraId="00C9B802">
            <w:pPr>
              <w:widowControl/>
              <w:jc w:val="center"/>
              <w:rPr>
                <w:rFonts w:hint="default" w:ascii="仿宋" w:hAnsi="仿宋" w:eastAsia="仿宋" w:cs="宋体"/>
                <w:color w:val="000000"/>
                <w:kern w:val="0"/>
                <w:sz w:val="18"/>
                <w:szCs w:val="18"/>
                <w:lang w:val="en-US" w:eastAsia="zh-CN"/>
              </w:rPr>
            </w:pPr>
          </w:p>
        </w:tc>
        <w:tc>
          <w:tcPr>
            <w:tcW w:w="1051" w:type="dxa"/>
            <w:tcBorders>
              <w:top w:val="nil"/>
              <w:left w:val="nil"/>
              <w:bottom w:val="single" w:color="000000" w:sz="8" w:space="0"/>
              <w:right w:val="single" w:color="000000" w:sz="8" w:space="0"/>
            </w:tcBorders>
            <w:shd w:val="clear" w:color="auto" w:fill="auto"/>
            <w:vAlign w:val="center"/>
          </w:tcPr>
          <w:p w14:paraId="78B56B1F">
            <w:pPr>
              <w:widowControl/>
              <w:jc w:val="center"/>
              <w:rPr>
                <w:rFonts w:hint="default" w:ascii="仿宋" w:hAnsi="仿宋" w:eastAsia="仿宋" w:cs="宋体"/>
                <w:color w:val="000000"/>
                <w:kern w:val="0"/>
                <w:sz w:val="18"/>
                <w:szCs w:val="18"/>
                <w:lang w:val="en-US" w:eastAsia="zh-CN"/>
              </w:rPr>
            </w:pPr>
          </w:p>
        </w:tc>
        <w:tc>
          <w:tcPr>
            <w:tcW w:w="1116" w:type="dxa"/>
            <w:tcBorders>
              <w:top w:val="nil"/>
              <w:left w:val="nil"/>
              <w:bottom w:val="single" w:color="000000" w:sz="8" w:space="0"/>
              <w:right w:val="single" w:color="000000" w:sz="8" w:space="0"/>
            </w:tcBorders>
            <w:shd w:val="clear" w:color="auto" w:fill="auto"/>
            <w:vAlign w:val="center"/>
          </w:tcPr>
          <w:p w14:paraId="2EEAD286">
            <w:pPr>
              <w:widowControl/>
              <w:jc w:val="center"/>
              <w:rPr>
                <w:rFonts w:hint="default" w:ascii="仿宋" w:hAnsi="仿宋" w:eastAsia="仿宋" w:cs="宋体"/>
                <w:color w:val="000000"/>
                <w:kern w:val="0"/>
                <w:sz w:val="18"/>
                <w:szCs w:val="18"/>
                <w:lang w:val="en-US" w:eastAsia="zh-CN"/>
              </w:rPr>
            </w:pPr>
          </w:p>
        </w:tc>
        <w:tc>
          <w:tcPr>
            <w:tcW w:w="1086" w:type="dxa"/>
            <w:tcBorders>
              <w:top w:val="nil"/>
              <w:left w:val="nil"/>
              <w:bottom w:val="single" w:color="000000" w:sz="8" w:space="0"/>
              <w:right w:val="single" w:color="000000" w:sz="8" w:space="0"/>
            </w:tcBorders>
            <w:shd w:val="clear" w:color="auto" w:fill="auto"/>
            <w:vAlign w:val="center"/>
          </w:tcPr>
          <w:p w14:paraId="3FFC8690">
            <w:pPr>
              <w:widowControl/>
              <w:jc w:val="center"/>
              <w:rPr>
                <w:rFonts w:hint="default" w:ascii="仿宋" w:hAnsi="仿宋" w:eastAsia="仿宋" w:cs="宋体"/>
                <w:color w:val="000000"/>
                <w:kern w:val="0"/>
                <w:sz w:val="18"/>
                <w:szCs w:val="18"/>
                <w:lang w:val="en-US" w:eastAsia="zh-CN" w:bidi="ar-SA"/>
              </w:rPr>
            </w:pPr>
          </w:p>
        </w:tc>
        <w:tc>
          <w:tcPr>
            <w:tcW w:w="1086" w:type="dxa"/>
            <w:tcBorders>
              <w:top w:val="nil"/>
              <w:left w:val="nil"/>
              <w:bottom w:val="single" w:color="000000" w:sz="8" w:space="0"/>
              <w:right w:val="single" w:color="000000" w:sz="8" w:space="0"/>
            </w:tcBorders>
            <w:shd w:val="clear" w:color="auto" w:fill="auto"/>
            <w:vAlign w:val="center"/>
          </w:tcPr>
          <w:p w14:paraId="07C18161">
            <w:pPr>
              <w:widowControl/>
              <w:jc w:val="center"/>
              <w:rPr>
                <w:rFonts w:hint="default" w:ascii="仿宋" w:hAnsi="仿宋" w:eastAsia="仿宋" w:cs="宋体"/>
                <w:color w:val="000000"/>
                <w:kern w:val="0"/>
                <w:sz w:val="18"/>
                <w:szCs w:val="18"/>
                <w:lang w:val="en-US" w:eastAsia="zh-CN" w:bidi="ar-SA"/>
              </w:rPr>
            </w:pPr>
          </w:p>
        </w:tc>
        <w:tc>
          <w:tcPr>
            <w:tcW w:w="1064" w:type="dxa"/>
            <w:tcBorders>
              <w:top w:val="nil"/>
              <w:left w:val="nil"/>
              <w:bottom w:val="single" w:color="000000" w:sz="8" w:space="0"/>
              <w:right w:val="single" w:color="000000" w:sz="8" w:space="0"/>
            </w:tcBorders>
            <w:shd w:val="clear" w:color="auto" w:fill="auto"/>
            <w:vAlign w:val="center"/>
          </w:tcPr>
          <w:p w14:paraId="2D95754D">
            <w:pPr>
              <w:widowControl/>
              <w:jc w:val="center"/>
              <w:rPr>
                <w:rFonts w:hint="default" w:ascii="仿宋" w:hAnsi="仿宋" w:eastAsia="仿宋" w:cs="宋体"/>
                <w:color w:val="000000"/>
                <w:kern w:val="0"/>
                <w:sz w:val="18"/>
                <w:szCs w:val="18"/>
                <w:lang w:val="en-US" w:eastAsia="zh-CN" w:bidi="ar-SA"/>
              </w:rPr>
            </w:pPr>
          </w:p>
        </w:tc>
      </w:tr>
      <w:tr w14:paraId="0F7A557A">
        <w:tblPrEx>
          <w:tblCellMar>
            <w:top w:w="0" w:type="dxa"/>
            <w:left w:w="108" w:type="dxa"/>
            <w:bottom w:w="0" w:type="dxa"/>
            <w:right w:w="108" w:type="dxa"/>
          </w:tblCellMar>
        </w:tblPrEx>
        <w:trPr>
          <w:trHeight w:val="285" w:hRule="atLeast"/>
          <w:jc w:val="center"/>
        </w:trPr>
        <w:tc>
          <w:tcPr>
            <w:tcW w:w="710" w:type="dxa"/>
            <w:tcBorders>
              <w:top w:val="nil"/>
              <w:left w:val="single" w:color="000000" w:sz="8" w:space="0"/>
              <w:bottom w:val="single" w:color="000000" w:sz="8" w:space="0"/>
              <w:right w:val="single" w:color="000000" w:sz="8" w:space="0"/>
            </w:tcBorders>
            <w:shd w:val="clear" w:color="auto" w:fill="auto"/>
            <w:vAlign w:val="center"/>
          </w:tcPr>
          <w:p w14:paraId="08D3DEB9">
            <w:pPr>
              <w:widowControl/>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3</w:t>
            </w:r>
          </w:p>
        </w:tc>
        <w:tc>
          <w:tcPr>
            <w:tcW w:w="1574" w:type="dxa"/>
            <w:tcBorders>
              <w:top w:val="nil"/>
              <w:left w:val="nil"/>
              <w:bottom w:val="single" w:color="000000" w:sz="8" w:space="0"/>
              <w:right w:val="single" w:color="000000" w:sz="8" w:space="0"/>
            </w:tcBorders>
            <w:shd w:val="clear" w:color="auto" w:fill="auto"/>
            <w:vAlign w:val="center"/>
          </w:tcPr>
          <w:p w14:paraId="19EB3649">
            <w:pPr>
              <w:widowControl/>
              <w:jc w:val="center"/>
              <w:rPr>
                <w:rFonts w:hint="default" w:ascii="仿宋" w:hAnsi="仿宋" w:eastAsia="仿宋" w:cs="宋体"/>
                <w:color w:val="000000"/>
                <w:kern w:val="0"/>
                <w:sz w:val="18"/>
                <w:szCs w:val="18"/>
                <w:lang w:val="en-US" w:eastAsia="zh-CN"/>
              </w:rPr>
            </w:pPr>
          </w:p>
        </w:tc>
        <w:tc>
          <w:tcPr>
            <w:tcW w:w="1051" w:type="dxa"/>
            <w:tcBorders>
              <w:top w:val="nil"/>
              <w:left w:val="nil"/>
              <w:bottom w:val="single" w:color="000000" w:sz="8" w:space="0"/>
              <w:right w:val="single" w:color="000000" w:sz="8" w:space="0"/>
            </w:tcBorders>
            <w:shd w:val="clear" w:color="auto" w:fill="auto"/>
            <w:vAlign w:val="center"/>
          </w:tcPr>
          <w:p w14:paraId="42827129">
            <w:pPr>
              <w:widowControl/>
              <w:jc w:val="center"/>
              <w:rPr>
                <w:rFonts w:hint="default" w:ascii="仿宋" w:hAnsi="仿宋" w:eastAsia="仿宋" w:cs="宋体"/>
                <w:color w:val="000000"/>
                <w:kern w:val="0"/>
                <w:sz w:val="18"/>
                <w:szCs w:val="18"/>
                <w:lang w:val="en-US" w:eastAsia="zh-CN"/>
              </w:rPr>
            </w:pPr>
          </w:p>
        </w:tc>
        <w:tc>
          <w:tcPr>
            <w:tcW w:w="1116" w:type="dxa"/>
            <w:tcBorders>
              <w:top w:val="nil"/>
              <w:left w:val="nil"/>
              <w:bottom w:val="single" w:color="000000" w:sz="8" w:space="0"/>
              <w:right w:val="single" w:color="000000" w:sz="8" w:space="0"/>
            </w:tcBorders>
            <w:shd w:val="clear" w:color="auto" w:fill="auto"/>
            <w:vAlign w:val="center"/>
          </w:tcPr>
          <w:p w14:paraId="29871A97">
            <w:pPr>
              <w:widowControl/>
              <w:jc w:val="center"/>
              <w:rPr>
                <w:rFonts w:hint="default" w:ascii="仿宋" w:hAnsi="仿宋" w:eastAsia="仿宋" w:cs="宋体"/>
                <w:color w:val="000000"/>
                <w:kern w:val="0"/>
                <w:sz w:val="18"/>
                <w:szCs w:val="18"/>
                <w:lang w:val="en-US" w:eastAsia="zh-CN"/>
              </w:rPr>
            </w:pPr>
          </w:p>
        </w:tc>
        <w:tc>
          <w:tcPr>
            <w:tcW w:w="1086" w:type="dxa"/>
            <w:tcBorders>
              <w:top w:val="nil"/>
              <w:left w:val="nil"/>
              <w:bottom w:val="single" w:color="000000" w:sz="8" w:space="0"/>
              <w:right w:val="single" w:color="000000" w:sz="8" w:space="0"/>
            </w:tcBorders>
            <w:shd w:val="clear" w:color="auto" w:fill="auto"/>
            <w:vAlign w:val="center"/>
          </w:tcPr>
          <w:p w14:paraId="5794694D">
            <w:pPr>
              <w:widowControl/>
              <w:jc w:val="center"/>
              <w:rPr>
                <w:rFonts w:hint="eastAsia" w:ascii="仿宋" w:hAnsi="仿宋" w:eastAsia="仿宋" w:cs="宋体"/>
                <w:color w:val="000000"/>
                <w:kern w:val="0"/>
                <w:sz w:val="18"/>
                <w:szCs w:val="18"/>
                <w:lang w:val="en-US" w:eastAsia="zh-CN" w:bidi="ar-SA"/>
              </w:rPr>
            </w:pPr>
          </w:p>
        </w:tc>
        <w:tc>
          <w:tcPr>
            <w:tcW w:w="1086" w:type="dxa"/>
            <w:tcBorders>
              <w:top w:val="nil"/>
              <w:left w:val="nil"/>
              <w:bottom w:val="single" w:color="000000" w:sz="8" w:space="0"/>
              <w:right w:val="single" w:color="000000" w:sz="8" w:space="0"/>
            </w:tcBorders>
            <w:shd w:val="clear" w:color="auto" w:fill="auto"/>
            <w:vAlign w:val="center"/>
          </w:tcPr>
          <w:p w14:paraId="0D817E2D">
            <w:pPr>
              <w:widowControl/>
              <w:jc w:val="center"/>
              <w:rPr>
                <w:rFonts w:hint="eastAsia" w:ascii="仿宋" w:hAnsi="仿宋" w:eastAsia="仿宋" w:cs="宋体"/>
                <w:color w:val="000000"/>
                <w:kern w:val="0"/>
                <w:sz w:val="18"/>
                <w:szCs w:val="18"/>
                <w:lang w:val="en-US" w:eastAsia="zh-CN" w:bidi="ar-SA"/>
              </w:rPr>
            </w:pPr>
          </w:p>
        </w:tc>
        <w:tc>
          <w:tcPr>
            <w:tcW w:w="1064" w:type="dxa"/>
            <w:tcBorders>
              <w:top w:val="nil"/>
              <w:left w:val="nil"/>
              <w:bottom w:val="single" w:color="000000" w:sz="8" w:space="0"/>
              <w:right w:val="single" w:color="000000" w:sz="8" w:space="0"/>
            </w:tcBorders>
            <w:shd w:val="clear" w:color="auto" w:fill="auto"/>
            <w:vAlign w:val="center"/>
          </w:tcPr>
          <w:p w14:paraId="77911A9A">
            <w:pPr>
              <w:widowControl/>
              <w:jc w:val="center"/>
              <w:rPr>
                <w:rFonts w:hint="default" w:ascii="仿宋" w:hAnsi="仿宋" w:eastAsia="仿宋" w:cs="宋体"/>
                <w:color w:val="000000"/>
                <w:kern w:val="0"/>
                <w:sz w:val="18"/>
                <w:szCs w:val="18"/>
                <w:lang w:val="en-US" w:eastAsia="zh-CN" w:bidi="ar-SA"/>
              </w:rPr>
            </w:pPr>
          </w:p>
        </w:tc>
      </w:tr>
      <w:tr w14:paraId="1F2D24D7">
        <w:tblPrEx>
          <w:tblCellMar>
            <w:top w:w="0" w:type="dxa"/>
            <w:left w:w="108" w:type="dxa"/>
            <w:bottom w:w="0" w:type="dxa"/>
            <w:right w:w="108" w:type="dxa"/>
          </w:tblCellMar>
        </w:tblPrEx>
        <w:trPr>
          <w:trHeight w:val="285" w:hRule="atLeast"/>
          <w:jc w:val="center"/>
        </w:trPr>
        <w:tc>
          <w:tcPr>
            <w:tcW w:w="710" w:type="dxa"/>
            <w:tcBorders>
              <w:top w:val="nil"/>
              <w:left w:val="single" w:color="000000" w:sz="8" w:space="0"/>
              <w:bottom w:val="single" w:color="000000" w:sz="8" w:space="0"/>
              <w:right w:val="single" w:color="000000" w:sz="8" w:space="0"/>
            </w:tcBorders>
            <w:shd w:val="clear" w:color="auto" w:fill="auto"/>
            <w:vAlign w:val="center"/>
          </w:tcPr>
          <w:p w14:paraId="70BB31DA">
            <w:pPr>
              <w:widowControl/>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4</w:t>
            </w:r>
          </w:p>
        </w:tc>
        <w:tc>
          <w:tcPr>
            <w:tcW w:w="1574" w:type="dxa"/>
            <w:tcBorders>
              <w:top w:val="nil"/>
              <w:left w:val="nil"/>
              <w:bottom w:val="single" w:color="000000" w:sz="8" w:space="0"/>
              <w:right w:val="single" w:color="000000" w:sz="8" w:space="0"/>
            </w:tcBorders>
            <w:shd w:val="clear" w:color="auto" w:fill="auto"/>
            <w:vAlign w:val="center"/>
          </w:tcPr>
          <w:p w14:paraId="4EC0062D">
            <w:pPr>
              <w:widowControl/>
              <w:jc w:val="center"/>
              <w:rPr>
                <w:rFonts w:hint="eastAsia" w:ascii="仿宋" w:hAnsi="仿宋" w:eastAsia="仿宋" w:cs="宋体"/>
                <w:color w:val="000000"/>
                <w:kern w:val="0"/>
                <w:sz w:val="18"/>
                <w:szCs w:val="18"/>
              </w:rPr>
            </w:pPr>
          </w:p>
        </w:tc>
        <w:tc>
          <w:tcPr>
            <w:tcW w:w="1051" w:type="dxa"/>
            <w:tcBorders>
              <w:top w:val="nil"/>
              <w:left w:val="nil"/>
              <w:bottom w:val="single" w:color="000000" w:sz="8" w:space="0"/>
              <w:right w:val="single" w:color="000000" w:sz="8" w:space="0"/>
            </w:tcBorders>
            <w:shd w:val="clear" w:color="auto" w:fill="auto"/>
            <w:vAlign w:val="center"/>
          </w:tcPr>
          <w:p w14:paraId="53EC39BA">
            <w:pPr>
              <w:widowControl/>
              <w:jc w:val="center"/>
              <w:rPr>
                <w:rFonts w:hint="default" w:ascii="仿宋" w:hAnsi="仿宋" w:eastAsia="仿宋" w:cs="宋体"/>
                <w:color w:val="000000"/>
                <w:kern w:val="0"/>
                <w:sz w:val="18"/>
                <w:szCs w:val="18"/>
                <w:lang w:val="en-US" w:eastAsia="zh-CN"/>
              </w:rPr>
            </w:pPr>
          </w:p>
        </w:tc>
        <w:tc>
          <w:tcPr>
            <w:tcW w:w="1116" w:type="dxa"/>
            <w:tcBorders>
              <w:top w:val="nil"/>
              <w:left w:val="nil"/>
              <w:bottom w:val="single" w:color="000000" w:sz="8" w:space="0"/>
              <w:right w:val="single" w:color="000000" w:sz="8" w:space="0"/>
            </w:tcBorders>
            <w:shd w:val="clear" w:color="auto" w:fill="auto"/>
            <w:vAlign w:val="center"/>
          </w:tcPr>
          <w:p w14:paraId="637F237B">
            <w:pPr>
              <w:widowControl/>
              <w:jc w:val="center"/>
              <w:rPr>
                <w:rFonts w:hint="default" w:ascii="仿宋" w:hAnsi="仿宋" w:eastAsia="仿宋" w:cs="宋体"/>
                <w:color w:val="000000"/>
                <w:kern w:val="0"/>
                <w:sz w:val="18"/>
                <w:szCs w:val="18"/>
                <w:lang w:val="en-US" w:eastAsia="zh-CN"/>
              </w:rPr>
            </w:pPr>
          </w:p>
        </w:tc>
        <w:tc>
          <w:tcPr>
            <w:tcW w:w="1086" w:type="dxa"/>
            <w:tcBorders>
              <w:top w:val="nil"/>
              <w:left w:val="nil"/>
              <w:bottom w:val="single" w:color="000000" w:sz="8" w:space="0"/>
              <w:right w:val="single" w:color="000000" w:sz="8" w:space="0"/>
            </w:tcBorders>
            <w:shd w:val="clear" w:color="auto" w:fill="auto"/>
            <w:vAlign w:val="center"/>
          </w:tcPr>
          <w:p w14:paraId="4D728162">
            <w:pPr>
              <w:widowControl/>
              <w:jc w:val="center"/>
              <w:rPr>
                <w:rFonts w:hint="eastAsia" w:ascii="仿宋" w:hAnsi="仿宋" w:eastAsia="仿宋" w:cs="宋体"/>
                <w:color w:val="000000"/>
                <w:kern w:val="0"/>
                <w:sz w:val="18"/>
                <w:szCs w:val="18"/>
                <w:lang w:val="en-US" w:eastAsia="zh-CN" w:bidi="ar-SA"/>
              </w:rPr>
            </w:pPr>
          </w:p>
        </w:tc>
        <w:tc>
          <w:tcPr>
            <w:tcW w:w="1086" w:type="dxa"/>
            <w:tcBorders>
              <w:top w:val="nil"/>
              <w:left w:val="nil"/>
              <w:bottom w:val="single" w:color="000000" w:sz="8" w:space="0"/>
              <w:right w:val="single" w:color="000000" w:sz="8" w:space="0"/>
            </w:tcBorders>
            <w:shd w:val="clear" w:color="auto" w:fill="auto"/>
            <w:vAlign w:val="center"/>
          </w:tcPr>
          <w:p w14:paraId="3EED9476">
            <w:pPr>
              <w:widowControl/>
              <w:jc w:val="center"/>
              <w:rPr>
                <w:rFonts w:hint="eastAsia" w:ascii="仿宋" w:hAnsi="仿宋" w:eastAsia="仿宋" w:cs="宋体"/>
                <w:color w:val="000000"/>
                <w:kern w:val="0"/>
                <w:sz w:val="18"/>
                <w:szCs w:val="18"/>
                <w:lang w:val="en-US" w:eastAsia="zh-CN" w:bidi="ar-SA"/>
              </w:rPr>
            </w:pPr>
          </w:p>
        </w:tc>
        <w:tc>
          <w:tcPr>
            <w:tcW w:w="1064" w:type="dxa"/>
            <w:tcBorders>
              <w:top w:val="nil"/>
              <w:left w:val="nil"/>
              <w:bottom w:val="single" w:color="000000" w:sz="8" w:space="0"/>
              <w:right w:val="single" w:color="000000" w:sz="8" w:space="0"/>
            </w:tcBorders>
            <w:shd w:val="clear" w:color="auto" w:fill="auto"/>
            <w:vAlign w:val="center"/>
          </w:tcPr>
          <w:p w14:paraId="61F26F2F">
            <w:pPr>
              <w:widowControl/>
              <w:jc w:val="center"/>
              <w:rPr>
                <w:rFonts w:hint="eastAsia" w:ascii="仿宋" w:hAnsi="仿宋" w:eastAsia="仿宋" w:cs="宋体"/>
                <w:color w:val="000000"/>
                <w:kern w:val="0"/>
                <w:sz w:val="18"/>
                <w:szCs w:val="18"/>
                <w:lang w:val="en-US" w:eastAsia="zh-CN" w:bidi="ar-SA"/>
              </w:rPr>
            </w:pPr>
          </w:p>
        </w:tc>
      </w:tr>
      <w:tr w14:paraId="6E6B9DF2">
        <w:tblPrEx>
          <w:tblCellMar>
            <w:top w:w="0" w:type="dxa"/>
            <w:left w:w="108" w:type="dxa"/>
            <w:bottom w:w="0" w:type="dxa"/>
            <w:right w:w="108" w:type="dxa"/>
          </w:tblCellMar>
        </w:tblPrEx>
        <w:trPr>
          <w:trHeight w:val="285" w:hRule="atLeast"/>
          <w:jc w:val="center"/>
        </w:trPr>
        <w:tc>
          <w:tcPr>
            <w:tcW w:w="4451" w:type="dxa"/>
            <w:gridSpan w:val="4"/>
            <w:tcBorders>
              <w:top w:val="nil"/>
              <w:left w:val="single" w:color="000000" w:sz="8" w:space="0"/>
              <w:bottom w:val="single" w:color="000000" w:sz="8" w:space="0"/>
              <w:right w:val="single" w:color="000000" w:sz="8" w:space="0"/>
            </w:tcBorders>
            <w:shd w:val="clear" w:color="auto" w:fill="auto"/>
            <w:vAlign w:val="center"/>
          </w:tcPr>
          <w:p w14:paraId="0CA08558">
            <w:pPr>
              <w:widowControl/>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20"/>
                <w:szCs w:val="20"/>
              </w:rPr>
              <w:t>合计</w:t>
            </w:r>
          </w:p>
        </w:tc>
        <w:tc>
          <w:tcPr>
            <w:tcW w:w="1086" w:type="dxa"/>
            <w:tcBorders>
              <w:top w:val="nil"/>
              <w:left w:val="nil"/>
              <w:bottom w:val="single" w:color="000000" w:sz="8" w:space="0"/>
              <w:right w:val="single" w:color="000000" w:sz="8" w:space="0"/>
            </w:tcBorders>
            <w:shd w:val="clear" w:color="auto" w:fill="auto"/>
            <w:vAlign w:val="center"/>
          </w:tcPr>
          <w:p w14:paraId="2AC8A2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086" w:type="dxa"/>
            <w:tcBorders>
              <w:top w:val="nil"/>
              <w:left w:val="nil"/>
              <w:bottom w:val="single" w:color="000000" w:sz="8" w:space="0"/>
              <w:right w:val="single" w:color="000000" w:sz="8" w:space="0"/>
            </w:tcBorders>
            <w:shd w:val="clear" w:color="auto" w:fill="auto"/>
            <w:vAlign w:val="center"/>
          </w:tcPr>
          <w:p w14:paraId="60E53F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tcBorders>
              <w:top w:val="nil"/>
              <w:left w:val="nil"/>
              <w:bottom w:val="single" w:color="000000" w:sz="8" w:space="0"/>
              <w:right w:val="single" w:color="000000" w:sz="8" w:space="0"/>
            </w:tcBorders>
            <w:shd w:val="clear" w:color="auto" w:fill="auto"/>
            <w:vAlign w:val="center"/>
          </w:tcPr>
          <w:p w14:paraId="7D25C2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7D9B960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9.迟延履约金。</w:t>
      </w:r>
    </w:p>
    <w:p w14:paraId="367D6F6D">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乙方逾期支付房屋租金及费用的，从逾期之日起按应付未付金额的万分之</w:t>
      </w:r>
      <w:r>
        <w:rPr>
          <w:rFonts w:hint="eastAsia" w:ascii="仿宋" w:hAnsi="仿宋" w:eastAsia="仿宋" w:cs="仿宋"/>
          <w:color w:val="000000"/>
          <w:sz w:val="30"/>
          <w:szCs w:val="30"/>
          <w:lang w:val="en-US" w:eastAsia="zh-CN"/>
        </w:rPr>
        <w:t>三</w:t>
      </w:r>
      <w:r>
        <w:rPr>
          <w:rFonts w:hint="eastAsia" w:ascii="仿宋" w:hAnsi="仿宋" w:eastAsia="仿宋" w:cs="仿宋"/>
          <w:color w:val="000000"/>
          <w:sz w:val="30"/>
          <w:szCs w:val="30"/>
        </w:rPr>
        <w:t>每日向甲方支付迟延履约金。</w:t>
      </w:r>
    </w:p>
    <w:p w14:paraId="1B37532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0</w:t>
      </w:r>
      <w:r>
        <w:rPr>
          <w:rFonts w:hint="eastAsia" w:ascii="华文仿宋" w:hAnsi="华文仿宋" w:eastAsia="华文仿宋" w:cs="华文仿宋"/>
          <w:sz w:val="30"/>
          <w:szCs w:val="30"/>
        </w:rPr>
        <w:t>.乙方所使用的建筑物附属设施设备的强制检测费用由乙方承担,合同签订后若相关规定发生变化，另增加费用由乙方负责承担。</w:t>
      </w:r>
    </w:p>
    <w:p w14:paraId="71D4A0F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rPr>
        <w:t>.因国家政策性调整，以上项目的费用标准发生变动时，甲方可根据费用变化情况做相应调整，调整标准以甲方通知为准。</w:t>
      </w:r>
    </w:p>
    <w:p w14:paraId="450F8CE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2</w:t>
      </w:r>
      <w:r>
        <w:rPr>
          <w:rFonts w:hint="eastAsia" w:ascii="华文仿宋" w:hAnsi="华文仿宋" w:eastAsia="华文仿宋" w:cs="华文仿宋"/>
          <w:sz w:val="30"/>
          <w:szCs w:val="30"/>
        </w:rPr>
        <w:t>.租金和其它相关费用、租赁保证金支付到甲方以下</w:t>
      </w:r>
      <w:r>
        <w:rPr>
          <w:rFonts w:hint="eastAsia" w:ascii="华文仿宋" w:hAnsi="华文仿宋" w:eastAsia="华文仿宋" w:cs="华文仿宋"/>
          <w:sz w:val="30"/>
          <w:szCs w:val="30"/>
          <w:lang w:eastAsia="zh-CN"/>
        </w:rPr>
        <w:t>账</w:t>
      </w:r>
      <w:r>
        <w:rPr>
          <w:rFonts w:hint="eastAsia" w:ascii="华文仿宋" w:hAnsi="华文仿宋" w:eastAsia="华文仿宋" w:cs="华文仿宋"/>
          <w:sz w:val="30"/>
          <w:szCs w:val="30"/>
        </w:rPr>
        <w:t>户：</w:t>
      </w:r>
    </w:p>
    <w:p w14:paraId="7FA8EC6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账户：四川自由贸易试验区通域园区运营有限公司</w:t>
      </w:r>
    </w:p>
    <w:p w14:paraId="3AAE940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 xml:space="preserve">账号：8111001012700746016 </w:t>
      </w:r>
    </w:p>
    <w:p w14:paraId="3A71B7DA">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 xml:space="preserve">开户行：中信银行股份有限公司成都蜀汉支行  </w:t>
      </w:r>
    </w:p>
    <w:p w14:paraId="5FD79311">
      <w:pPr>
        <w:numPr>
          <w:ilvl w:val="255"/>
          <w:numId w:val="0"/>
        </w:num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3</w:t>
      </w:r>
      <w:r>
        <w:rPr>
          <w:rFonts w:hint="eastAsia" w:ascii="华文仿宋" w:hAnsi="华文仿宋" w:eastAsia="华文仿宋" w:cs="华文仿宋"/>
          <w:sz w:val="30"/>
          <w:szCs w:val="30"/>
        </w:rPr>
        <w:t>.租赁期届满后，甲方根据市场行情及相关产业政策重新确定租金，乙方在同等条件下可优先租赁。</w:t>
      </w:r>
    </w:p>
    <w:p w14:paraId="74E18757">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六、特别约定事项</w:t>
      </w:r>
    </w:p>
    <w:p w14:paraId="31C208CE">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乙方入场前须到甲方物业管理部门签订《物业管理服务协议》，办理入驻相关手续（消防安全生产责任书、标准化厂房楼层活荷载和电荷载确认书等），因未办理相关手续违规作业带来的一切后果由乙方自行负责。</w:t>
      </w:r>
    </w:p>
    <w:p w14:paraId="4F704D4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2.在租赁期内，乙方投资建设、生产的一切项目应严格执行环境准入制度和环境评估制度，必须符合国家、成都市、青白江区的</w:t>
      </w:r>
      <w:r>
        <w:fldChar w:fldCharType="begin"/>
      </w:r>
      <w:r>
        <w:instrText xml:space="preserve"> HYPERLINK "http://y.zhaoshang800.com/huanbao.html" \t "http://www.zhaoshang800.com/news/_blank" </w:instrText>
      </w:r>
      <w:r>
        <w:fldChar w:fldCharType="separate"/>
      </w:r>
      <w:r>
        <w:rPr>
          <w:rFonts w:hint="eastAsia" w:ascii="华文仿宋" w:hAnsi="华文仿宋" w:eastAsia="华文仿宋" w:cs="华文仿宋"/>
          <w:sz w:val="30"/>
          <w:szCs w:val="30"/>
        </w:rPr>
        <w:t>环保</w:t>
      </w:r>
      <w:r>
        <w:rPr>
          <w:rFonts w:hint="eastAsia" w:ascii="华文仿宋" w:hAnsi="华文仿宋" w:eastAsia="华文仿宋" w:cs="华文仿宋"/>
          <w:sz w:val="30"/>
          <w:szCs w:val="30"/>
        </w:rPr>
        <w:fldChar w:fldCharType="end"/>
      </w:r>
      <w:r>
        <w:rPr>
          <w:rFonts w:hint="eastAsia" w:ascii="华文仿宋" w:hAnsi="华文仿宋" w:eastAsia="华文仿宋" w:cs="华文仿宋"/>
          <w:sz w:val="30"/>
          <w:szCs w:val="30"/>
        </w:rPr>
        <w:t>要求。因乙方原因造成环境污染的，乙方应承担赔偿责任，甲方有权单方面解除本合同且要求乙方赔偿由此造成的损失。</w:t>
      </w:r>
    </w:p>
    <w:p w14:paraId="45CF57D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3.乙方应按照《中华人民共和国劳动法》、《中华人民共和国劳动合同法》等法律规定，建立和完善劳动用工、劳动保护等制度，不得侵害劳动者的合法权益。</w:t>
      </w:r>
    </w:p>
    <w:p w14:paraId="3B3CA810">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4.乙方应根据生产经营需要购买相应保险（如财产险、建筑工程一切险（含第三者责任险）等），以降低风险。</w:t>
      </w:r>
    </w:p>
    <w:p w14:paraId="3157264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在交付租赁房屋时，双方均未发现该房屋及场所存在质量安全隐患。但在租赁期内，乙方发现租赁房屋存在质量安全隐患的，应立即采取防范措施，并及时通报甲方。甲方接到通报后应立即派工作人员会同乙方及有关部门予以核实。若核实确属房屋自身质量问题，给乙方造成损失的，甲、乙双方应协商解决，根据实际情况赔偿乙方相应损失（减免租金或延长租期等）。若乙方明知存在隐患而不通报甲方或在发现安全隐患后未及时通报甲方，放任事故发生、致使损失扩大的，乙方承担主要赔偿责任，甲方仅在自身过失范围内承担补充赔偿责任。</w:t>
      </w:r>
    </w:p>
    <w:p w14:paraId="68DECFB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6</w:t>
      </w:r>
      <w:r>
        <w:rPr>
          <w:rFonts w:hint="eastAsia" w:ascii="华文仿宋" w:hAnsi="华文仿宋" w:eastAsia="华文仿宋" w:cs="华文仿宋"/>
          <w:b/>
          <w:sz w:val="30"/>
          <w:szCs w:val="30"/>
        </w:rPr>
        <w:t>.</w:t>
      </w:r>
      <w:r>
        <w:rPr>
          <w:rFonts w:hint="eastAsia" w:ascii="华文仿宋" w:hAnsi="华文仿宋" w:eastAsia="华文仿宋" w:cs="华文仿宋"/>
          <w:sz w:val="30"/>
          <w:szCs w:val="30"/>
        </w:rPr>
        <w:t>根据《中华人民共和国海关对综合保税区监管暂行办法》及成都海关关于综合保税区的相关规定，在乙方正式使用所租赁厂房开展相关业务前，应办理相关审批手续。若乙方未符合上述规定的准入条件，则甲方有权解除本合同，且不需承担任何违约责任，由此给甲方造成损失的，由乙方负责赔偿。</w:t>
      </w:r>
    </w:p>
    <w:p w14:paraId="2368B21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7.乙方须按照海关规定可存放货物及货物应符合丙二类仓库存放要求。</w:t>
      </w:r>
    </w:p>
    <w:p w14:paraId="28D3FEEC">
      <w:pPr>
        <w:spacing w:line="360" w:lineRule="auto"/>
        <w:ind w:firstLine="600" w:firstLineChars="200"/>
        <w:rPr>
          <w:rFonts w:ascii="华文仿宋" w:hAnsi="华文仿宋" w:eastAsia="华文仿宋" w:cs="华文仿宋"/>
          <w:bCs/>
          <w:sz w:val="30"/>
          <w:szCs w:val="30"/>
        </w:rPr>
      </w:pPr>
      <w:r>
        <w:rPr>
          <w:rFonts w:hint="eastAsia" w:ascii="华文仿宋" w:hAnsi="华文仿宋" w:eastAsia="华文仿宋" w:cs="华文仿宋"/>
          <w:bCs/>
          <w:sz w:val="30"/>
          <w:szCs w:val="30"/>
        </w:rPr>
        <w:t>8.仓储物资的管理</w:t>
      </w:r>
    </w:p>
    <w:p w14:paraId="351EECC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8.1、乙方租用甲方仓库所存货物系海关监管物资，未经成都海关许可，甲方不得擅自转移、拆封、提交或作其他处理。</w:t>
      </w:r>
    </w:p>
    <w:p w14:paraId="5CD2CE0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8.2、乙方从境外进入保税仓的货物，必须与申报单证相符，如一经发现货物与申报单证不相符，由此而引起的一切后果由乙方负责。</w:t>
      </w:r>
    </w:p>
    <w:p w14:paraId="2AE1FF3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8.3、根据海关规定，货物在仓库的存放期不得超过</w:t>
      </w:r>
      <w:r>
        <w:rPr>
          <w:rFonts w:hint="eastAsia" w:ascii="华文仿宋" w:hAnsi="华文仿宋" w:eastAsia="华文仿宋" w:cs="华文仿宋"/>
          <w:sz w:val="30"/>
          <w:szCs w:val="30"/>
          <w:u w:val="single"/>
        </w:rPr>
        <w:t>2</w:t>
      </w:r>
      <w:r>
        <w:rPr>
          <w:rFonts w:hint="eastAsia" w:ascii="华文仿宋" w:hAnsi="华文仿宋" w:eastAsia="华文仿宋" w:cs="华文仿宋"/>
          <w:sz w:val="30"/>
          <w:szCs w:val="30"/>
        </w:rPr>
        <w:t>年，如需延期存放，需向海关申办延期手续。海关另有规定除外。</w:t>
      </w:r>
    </w:p>
    <w:p w14:paraId="1A4B1D9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8.4、乙方应加强租赁物内货物的安全管理，以确保存储货物的安全和完整。甲方提供保安人员协助乙方进行租赁物外围管理。如发生盗窃等导致货物短少，乙方应及时向成都海关报告，由海关根据《中华人民共和国海关法》做出相应处理。由此造成的损失由乙方自行承担。</w:t>
      </w:r>
    </w:p>
    <w:p w14:paraId="27B12276">
      <w:pPr>
        <w:spacing w:line="360" w:lineRule="auto"/>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8.5、乙方须按海关要求安装固定隔离设施（围网等）。</w:t>
      </w:r>
    </w:p>
    <w:p w14:paraId="062C619B">
      <w:pPr>
        <w:spacing w:line="360" w:lineRule="auto"/>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9.</w:t>
      </w:r>
      <w:r>
        <w:rPr>
          <w:rFonts w:hint="eastAsia"/>
        </w:rPr>
        <w:t xml:space="preserve"> </w:t>
      </w:r>
      <w:r>
        <w:rPr>
          <w:rFonts w:hint="eastAsia" w:ascii="华文仿宋" w:hAnsi="华文仿宋" w:eastAsia="华文仿宋" w:cs="华文仿宋"/>
          <w:sz w:val="30"/>
          <w:szCs w:val="30"/>
        </w:rPr>
        <w:t>自觉遵守《物业管理服务协议》及共用部分、设施设备及环境卫生维护等方面的管理制度；按时交纳房屋租金、车位费、物业管理费及本合同约定的其他相关费用。</w:t>
      </w:r>
    </w:p>
    <w:p w14:paraId="2110CF2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10.乙方若违反《物业管理服务协议》及其他相关管理制度，给甲方或第三人造成损失的，由乙方自行承担全部赔偿责任。</w:t>
      </w:r>
    </w:p>
    <w:p w14:paraId="5618AFC0">
      <w:pPr>
        <w:pStyle w:val="2"/>
      </w:pPr>
    </w:p>
    <w:p w14:paraId="5C776FF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11.本合同有效期内，因省、市、区政府相关政策调整原因致使合同无法继续履行的，甲方有权单方面解除本合同，无条件收回租赁物，由此给乙方造成的一切损失，甲方不负责赔偿。</w:t>
      </w:r>
    </w:p>
    <w:p w14:paraId="6865DC32">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七、租赁房屋的装修与管理维护</w:t>
      </w:r>
    </w:p>
    <w:p w14:paraId="1880B91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乙方因生产经营所需，必须对租赁房屋进行装修时，须向甲方物业部门提交完整的书面装修方案，经甲方物业部门书面同意后方可装修。在任何情况下，乙方装修不得损伤建筑物的外观设计，不得改变建筑物的主体结构，不得损害相邻第三方权益，若因乙方装修导致诉讼、造成房屋损伤或第三方损失的，由乙方承担法律及赔偿责任。</w:t>
      </w:r>
    </w:p>
    <w:p w14:paraId="68237BD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租赁期内，凡涉及租赁房屋重大装修（装修面积超过租赁房屋面积的四分之一）或设施变更（包括但不限于电力线路迁改、负载重大调整，进水、出水管道迁改、调整）的，乙方须以书面形式（详见装修及设施迁改申请书）向甲方物业部门申请，甲方物业部门书面同意后方可实施。</w:t>
      </w:r>
    </w:p>
    <w:p w14:paraId="52F3540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3.租赁期内，乙方应承担租赁房屋日常维护费、装修费等相关费用。</w:t>
      </w:r>
    </w:p>
    <w:p w14:paraId="30D2EA2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4.租赁期内，乙方对其工作人员及招募的施工人员的行为、安全负责，因乙方人员造成乙方或第三人的人身及财产安全事故的，由乙方承担全部责任。</w:t>
      </w:r>
    </w:p>
    <w:p w14:paraId="78A70FE5">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5.装修中其他情况参照物业管理服务协议执行。</w:t>
      </w:r>
    </w:p>
    <w:p w14:paraId="44CD254D">
      <w:pPr>
        <w:spacing w:line="360" w:lineRule="auto"/>
        <w:ind w:firstLine="600" w:firstLineChars="200"/>
        <w:rPr>
          <w:rFonts w:ascii="华文仿宋" w:hAnsi="华文仿宋" w:eastAsia="华文仿宋" w:cs="华文仿宋"/>
          <w:sz w:val="30"/>
          <w:szCs w:val="30"/>
        </w:rPr>
      </w:pPr>
    </w:p>
    <w:p w14:paraId="27B05D9C">
      <w:pPr>
        <w:spacing w:line="360" w:lineRule="auto"/>
        <w:ind w:firstLine="601" w:firstLineChars="200"/>
        <w:rPr>
          <w:rFonts w:ascii="华文仿宋" w:hAnsi="华文仿宋" w:eastAsia="华文仿宋" w:cs="华文仿宋"/>
          <w:b/>
          <w:bCs/>
          <w:sz w:val="30"/>
          <w:szCs w:val="30"/>
        </w:rPr>
      </w:pPr>
      <w:r>
        <w:rPr>
          <w:rFonts w:hint="eastAsia" w:ascii="华文仿宋" w:hAnsi="华文仿宋" w:eastAsia="华文仿宋" w:cs="华文仿宋"/>
          <w:b/>
          <w:bCs/>
          <w:sz w:val="30"/>
          <w:szCs w:val="30"/>
        </w:rPr>
        <w:t>八、合同变更与解除</w:t>
      </w:r>
    </w:p>
    <w:p w14:paraId="12C80F9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1.合同签订后一方对本合同条款存在异议的，双方可协商一致后以补充协议形式另行约定。</w:t>
      </w:r>
    </w:p>
    <w:p w14:paraId="2B67F37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2.合同解除</w:t>
      </w:r>
    </w:p>
    <w:p w14:paraId="533DF83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2.1有下列情形之一的，本合同可以解除：</w:t>
      </w:r>
    </w:p>
    <w:p w14:paraId="0676304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（1）双方协商一致；</w:t>
      </w:r>
    </w:p>
    <w:p w14:paraId="19882F1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（2）因不可抗力或国家法律、行政法规、政策发生变化，导致合同目的不能实现；</w:t>
      </w:r>
    </w:p>
    <w:p w14:paraId="5C355AF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（3）因一方严重违约给另一方造成重大经济损失，导致合同没有继续履行的必要；</w:t>
      </w:r>
    </w:p>
    <w:p w14:paraId="2E57E47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（4）国家法律、行政法规规定的其他情形。</w:t>
      </w:r>
    </w:p>
    <w:p w14:paraId="01530A6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3.有下列情形之一的，甲方可解除合同，保证金和已交租金不予退还，给甲方造成损失的，甲方有权要求赔偿，同时甲方不需额外履行书面催告程序。</w:t>
      </w:r>
    </w:p>
    <w:p w14:paraId="37D6D075">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（1）未经甲方书面同意，乙方擅自转租、分租、调剂、交换房屋的，或者改变房屋用途，或者擅自改变该房屋结构，或者逾期1个月未支付租金和其他费用的；</w:t>
      </w:r>
    </w:p>
    <w:p w14:paraId="7A0A49C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（2）因乙方管理不善，造成安全责任事故的；</w:t>
      </w:r>
    </w:p>
    <w:p w14:paraId="2854659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（3）在安全生产、环保检测中发现重大不符合项，被责令停产、不按期整改的；</w:t>
      </w:r>
    </w:p>
    <w:p w14:paraId="08BB0429">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（4）保证金余额不足，乙方拒绝补交的；</w:t>
      </w:r>
    </w:p>
    <w:p w14:paraId="30BB704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(5)本合同约定的其他甲方可解除合同的情形。</w:t>
      </w:r>
    </w:p>
    <w:p w14:paraId="2F545BC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4.有下列情形之一的，乙方可解除合同，甲方据实结算相关费用后退还剩余保证金（不计息）：</w:t>
      </w:r>
    </w:p>
    <w:p w14:paraId="4A560F1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（1）甲方无故干涉乙方的正常生产经营活动，给乙方造成重大经济损失的；</w:t>
      </w:r>
    </w:p>
    <w:p w14:paraId="42BCBEB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（2）租赁房屋确实存在质量安全隐患，导致乙方不能正常使用的。</w:t>
      </w:r>
    </w:p>
    <w:p w14:paraId="6094357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5.解除通知</w:t>
      </w:r>
    </w:p>
    <w:p w14:paraId="244A622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一方解除合同时，应通知另一方，解除通知采用书面或传真方式送达，或邮寄送达到双方指定联系地址。解除通知自送达之日起生效。</w:t>
      </w:r>
    </w:p>
    <w:p w14:paraId="32CF966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5.合同终止</w:t>
      </w:r>
    </w:p>
    <w:p w14:paraId="0DEBC615">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5.1有下列情形之一的，合同终止</w:t>
      </w:r>
    </w:p>
    <w:p w14:paraId="60E2308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（1）租赁期届满；</w:t>
      </w:r>
    </w:p>
    <w:p w14:paraId="706B10D0">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（2）按照本合同相关约定予以解除。</w:t>
      </w:r>
    </w:p>
    <w:p w14:paraId="613BE03E">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5.2合同终止后续事务的处理</w:t>
      </w:r>
    </w:p>
    <w:p w14:paraId="1E7680B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（1）合同终止后，甲、乙双方按照本合同相关约定办理租赁房屋归还手续、费用清算等手续；</w:t>
      </w:r>
    </w:p>
    <w:p w14:paraId="4BBC23D0">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（2）若乙方营业执照或其他证照是以租赁房屋登记为注册地址的，在合同终止之日起5个工作日内变更登记信息，若因乙方未及时变更造成的一切责任由乙方自行承担。</w:t>
      </w:r>
    </w:p>
    <w:p w14:paraId="246B7908">
      <w:pPr>
        <w:spacing w:line="360" w:lineRule="auto"/>
        <w:ind w:firstLine="600" w:firstLineChars="200"/>
        <w:rPr>
          <w:rFonts w:ascii="华文仿宋" w:hAnsi="华文仿宋" w:eastAsia="华文仿宋" w:cs="华文仿宋"/>
          <w:sz w:val="30"/>
          <w:szCs w:val="30"/>
        </w:rPr>
      </w:pPr>
    </w:p>
    <w:p w14:paraId="0EA8BB24">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九、违约责任</w:t>
      </w:r>
    </w:p>
    <w:p w14:paraId="4387871B">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1.因一方违约导致合同被解除，不影响守约方向违约方主张违约损害赔偿责任。</w:t>
      </w:r>
    </w:p>
    <w:p w14:paraId="2F9FEEB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2.若乙方违约，甲方可对乙方放置在租赁房屋内的物品行使留置权，由此产生的一切费用由乙方自行承担。</w:t>
      </w:r>
    </w:p>
    <w:p w14:paraId="0F82F41A">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3.乙方逾期支付租金、物业费及其他相关费用达15日及以上的，甲方有权暂停物业服务，乙方逾期达1月后，甲方有权无责解除本合同，乙方应补足相关费用外且甲方有权不予退还保证金和已交租金。</w:t>
      </w:r>
    </w:p>
    <w:p w14:paraId="43409404">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highlight w:val="none"/>
        </w:rPr>
        <w:t>4.本合同终止后，乙方应于7工作日内清退租赁物或将租赁物恢复至甲方可接受状态。乙方逾期清退的，每逾期一日甲方有权按照合同终止前月租金</w:t>
      </w:r>
      <w:r>
        <w:rPr>
          <w:rFonts w:hint="eastAsia" w:ascii="华文仿宋" w:hAnsi="华文仿宋" w:eastAsia="华文仿宋" w:cs="华文仿宋"/>
          <w:sz w:val="30"/>
          <w:szCs w:val="30"/>
        </w:rPr>
        <w:t>数额的两倍按实际占用天数向乙方收取房屋占用费。</w:t>
      </w:r>
    </w:p>
    <w:p w14:paraId="0263C4E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 xml:space="preserve">5.因自然灾害、政府政策、政府征用、拆迁、回收或其他不可抗力因素致使本合同无法继续履行的，双方应友好协商解决且互不承担违约责任。 </w:t>
      </w:r>
    </w:p>
    <w:p w14:paraId="31DB2A74">
      <w:pPr>
        <w:spacing w:line="360" w:lineRule="auto"/>
        <w:ind w:firstLine="600" w:firstLineChars="200"/>
        <w:rPr>
          <w:rFonts w:ascii="华文仿宋" w:hAnsi="华文仿宋" w:eastAsia="华文仿宋" w:cs="华文仿宋"/>
          <w:sz w:val="30"/>
          <w:szCs w:val="30"/>
        </w:rPr>
      </w:pPr>
    </w:p>
    <w:p w14:paraId="7B994C9E">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十、房屋的归还</w:t>
      </w:r>
    </w:p>
    <w:p w14:paraId="5495ED8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1.乙方应在合同终止立即停止相关研发、生产、储存等生产经营活动。若经甲方催告乙方仍不停止的，甲方有权采取停水、停电等必要措施，由此造成的一切损失由乙方自行承担。</w:t>
      </w:r>
    </w:p>
    <w:p w14:paraId="0FB5669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2.合同终止，乙方延迟退还租赁房屋的，甲方就逾期退还房屋期间，按照本合同约定向乙方收取房屋占用费。</w:t>
      </w:r>
    </w:p>
    <w:p w14:paraId="3B8A5487">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合同终止，乙方须恢复租赁房屋原状或恢复至甲方可接受状态，自行拆除在租赁期内搭建的构筑物（包括但不限于隔离墙），拆除附着物会影响房屋结构的，乙方不得拆除。由此造成损失的，乙方承担法律及经济赔偿责任。</w:t>
      </w:r>
    </w:p>
    <w:p w14:paraId="4C77FF0A">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4.合同终止或不论因任何原因导致合同解除的，甲方对租赁房屋装修、附着物和恢复费用不予任何形式的补偿。</w:t>
      </w:r>
    </w:p>
    <w:p w14:paraId="7E2AD548">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5.合同终止，除甲、乙双方另有约定外，乙方逾期未将其物品搬离租赁房屋，视为乙方自愿放弃该物品所有权，甲方可全权处理，乙方不得就此提出任何异议和追索。</w:t>
      </w:r>
    </w:p>
    <w:p w14:paraId="25219143">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6.合同终止，乙方退还的房屋须不影响再次租赁。若退还的房屋破损（包括但不限于主体结构改变，消防、电力系统损坏）或者影响再次租赁的，乙方须承担赔偿责任。</w:t>
      </w:r>
    </w:p>
    <w:p w14:paraId="12C2AB9D">
      <w:pPr>
        <w:spacing w:line="360" w:lineRule="auto"/>
        <w:ind w:firstLine="600" w:firstLineChars="200"/>
        <w:rPr>
          <w:rFonts w:ascii="华文仿宋" w:hAnsi="华文仿宋" w:eastAsia="华文仿宋" w:cs="华文仿宋"/>
          <w:sz w:val="30"/>
          <w:szCs w:val="30"/>
        </w:rPr>
      </w:pPr>
    </w:p>
    <w:p w14:paraId="5DE4BEA6">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十一、不可抗力</w:t>
      </w:r>
    </w:p>
    <w:p w14:paraId="6105E906">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1.本合同所称不可抗力是指地震、飓风、水灾、火灾等自然灾害、战争以及其他不能预见、不可避免且不能克服的客观情况。</w:t>
      </w:r>
    </w:p>
    <w:p w14:paraId="1CDB722C">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2.当事人因不可抗力不能履行合同的，受不可抗力影响的一方应在不可抗力发生之日起五日内以书面形式通知另一方，并及时提供公证机关证明事件存在和影响的证明文件。</w:t>
      </w:r>
    </w:p>
    <w:p w14:paraId="5A79598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3.受不可抗力影响的一方应采取合理措施，继续履行合同，减少损失发生。</w:t>
      </w:r>
    </w:p>
    <w:p w14:paraId="4D0D4A9C">
      <w:pPr>
        <w:spacing w:line="360" w:lineRule="auto"/>
        <w:ind w:firstLine="600" w:firstLineChars="200"/>
        <w:rPr>
          <w:rFonts w:ascii="华文仿宋" w:hAnsi="华文仿宋" w:eastAsia="华文仿宋" w:cs="华文仿宋"/>
          <w:sz w:val="30"/>
          <w:szCs w:val="30"/>
        </w:rPr>
      </w:pPr>
    </w:p>
    <w:p w14:paraId="51397B98">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十二、争议解决</w:t>
      </w:r>
    </w:p>
    <w:p w14:paraId="0EE097B2">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1.因履行本合同所发生的一切争议，双方应通过友好协商解决。协商不能达成一致的，任何一方可向对合同签订地有管辖权的人民法院提起诉讼。</w:t>
      </w:r>
    </w:p>
    <w:p w14:paraId="204262C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2.本合同终止前发生争议，双方应尽力维护对方的正常生产经营活动，任何一方不得恶意将损失扩大。</w:t>
      </w:r>
    </w:p>
    <w:p w14:paraId="5FB3CDAD">
      <w:pPr>
        <w:spacing w:line="360" w:lineRule="auto"/>
        <w:ind w:firstLine="600" w:firstLineChars="200"/>
        <w:rPr>
          <w:rFonts w:ascii="华文仿宋" w:hAnsi="华文仿宋" w:eastAsia="华文仿宋" w:cs="华文仿宋"/>
          <w:sz w:val="30"/>
          <w:szCs w:val="30"/>
        </w:rPr>
      </w:pPr>
    </w:p>
    <w:p w14:paraId="24D273C2">
      <w:pPr>
        <w:spacing w:line="360" w:lineRule="auto"/>
        <w:rPr>
          <w:rFonts w:ascii="华文仿宋" w:hAnsi="华文仿宋" w:eastAsia="华文仿宋" w:cs="华文仿宋"/>
          <w:b/>
          <w:bCs/>
          <w:sz w:val="30"/>
          <w:szCs w:val="30"/>
        </w:rPr>
      </w:pPr>
      <w:r>
        <w:rPr>
          <w:rFonts w:hint="eastAsia" w:ascii="华文仿宋" w:hAnsi="华文仿宋" w:eastAsia="华文仿宋" w:cs="华文仿宋"/>
          <w:b/>
          <w:bCs/>
          <w:sz w:val="30"/>
          <w:szCs w:val="30"/>
        </w:rPr>
        <w:t>十三、其他事项</w:t>
      </w:r>
    </w:p>
    <w:p w14:paraId="3F0959BF">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1.未尽事宜，双方可以补充协议形式另行约定，补充协议为本合同的组成部分，具有同等法律效力。补充条款与本合同条款冲突的，以最后一次补充条款为准。</w:t>
      </w:r>
    </w:p>
    <w:p w14:paraId="634BC98A">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2.本合同壹式</w:t>
      </w:r>
      <w:r>
        <w:rPr>
          <w:rFonts w:hint="eastAsia" w:ascii="华文仿宋" w:hAnsi="华文仿宋" w:eastAsia="华文仿宋" w:cs="华文仿宋"/>
          <w:sz w:val="30"/>
          <w:szCs w:val="30"/>
          <w:u w:val="single"/>
          <w:lang w:val="en-US" w:eastAsia="zh-CN"/>
        </w:rPr>
        <w:t>肆</w:t>
      </w:r>
      <w:r>
        <w:rPr>
          <w:rFonts w:hint="eastAsia" w:ascii="华文仿宋" w:hAnsi="华文仿宋" w:eastAsia="华文仿宋" w:cs="华文仿宋"/>
          <w:sz w:val="30"/>
          <w:szCs w:val="30"/>
        </w:rPr>
        <w:t>份，甲方执</w:t>
      </w:r>
      <w:r>
        <w:rPr>
          <w:rFonts w:hint="eastAsia" w:ascii="华文仿宋" w:hAnsi="华文仿宋" w:eastAsia="华文仿宋" w:cs="华文仿宋"/>
          <w:sz w:val="30"/>
          <w:szCs w:val="30"/>
          <w:u w:val="single"/>
          <w:lang w:val="en-US" w:eastAsia="zh-CN"/>
        </w:rPr>
        <w:t>叁</w:t>
      </w:r>
      <w:r>
        <w:rPr>
          <w:rFonts w:hint="eastAsia" w:ascii="华文仿宋" w:hAnsi="华文仿宋" w:eastAsia="华文仿宋" w:cs="华文仿宋"/>
          <w:sz w:val="30"/>
          <w:szCs w:val="30"/>
        </w:rPr>
        <w:t>份，乙方执</w:t>
      </w:r>
      <w:r>
        <w:rPr>
          <w:rFonts w:hint="eastAsia" w:ascii="华文仿宋" w:hAnsi="华文仿宋" w:eastAsia="华文仿宋" w:cs="华文仿宋"/>
          <w:sz w:val="30"/>
          <w:szCs w:val="30"/>
          <w:u w:val="single"/>
        </w:rPr>
        <w:t>壹</w:t>
      </w:r>
      <w:r>
        <w:rPr>
          <w:rFonts w:hint="eastAsia" w:ascii="华文仿宋" w:hAnsi="华文仿宋" w:eastAsia="华文仿宋" w:cs="华文仿宋"/>
          <w:sz w:val="30"/>
          <w:szCs w:val="30"/>
        </w:rPr>
        <w:t>份，具有同等法律效力。</w:t>
      </w:r>
    </w:p>
    <w:p w14:paraId="5423248D">
      <w:pPr>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3.本合同自双方签字盖章之日起生效。</w:t>
      </w:r>
    </w:p>
    <w:p w14:paraId="40FDA979">
      <w:pPr>
        <w:spacing w:line="360" w:lineRule="auto"/>
        <w:ind w:firstLine="600" w:firstLineChars="200"/>
        <w:rPr>
          <w:rFonts w:hint="eastAsia" w:ascii="华文仿宋" w:hAnsi="华文仿宋" w:eastAsia="华文仿宋" w:cs="华文仿宋"/>
          <w:sz w:val="30"/>
          <w:szCs w:val="30"/>
        </w:rPr>
      </w:pPr>
    </w:p>
    <w:p w14:paraId="216D6060">
      <w:pPr>
        <w:spacing w:line="360" w:lineRule="auto"/>
        <w:ind w:firstLine="600" w:firstLineChars="200"/>
        <w:rPr>
          <w:rFonts w:hint="eastAsia" w:ascii="华文仿宋" w:hAnsi="华文仿宋" w:eastAsia="华文仿宋" w:cs="华文仿宋"/>
          <w:sz w:val="30"/>
          <w:szCs w:val="30"/>
        </w:rPr>
      </w:pPr>
    </w:p>
    <w:p w14:paraId="3A4ABEEE">
      <w:pPr>
        <w:spacing w:line="360" w:lineRule="auto"/>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附件：</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rPr>
        <w:t>乙方租赁</w:t>
      </w:r>
      <w:r>
        <w:rPr>
          <w:rFonts w:hint="eastAsia" w:ascii="华文仿宋" w:hAnsi="华文仿宋" w:eastAsia="华文仿宋" w:cs="华文仿宋"/>
          <w:sz w:val="30"/>
          <w:szCs w:val="30"/>
          <w:lang w:eastAsia="zh-CN"/>
        </w:rPr>
        <w:t>标准化厂房</w:t>
      </w:r>
      <w:r>
        <w:rPr>
          <w:rFonts w:hint="eastAsia" w:ascii="华文仿宋" w:hAnsi="华文仿宋" w:eastAsia="华文仿宋" w:cs="华文仿宋"/>
          <w:sz w:val="30"/>
          <w:szCs w:val="30"/>
        </w:rPr>
        <w:t>位置示意图2张</w:t>
      </w:r>
    </w:p>
    <w:p w14:paraId="49BEC073">
      <w:pPr>
        <w:pStyle w:val="11"/>
        <w:ind w:left="420" w:leftChars="0" w:firstLine="210" w:firstLineChars="0"/>
        <w:rPr>
          <w:rFonts w:hint="default" w:eastAsia="华文仿宋"/>
          <w:lang w:val="en-US" w:eastAsia="zh-CN"/>
        </w:rPr>
      </w:pPr>
      <w:r>
        <w:rPr>
          <w:rFonts w:hint="eastAsia" w:ascii="华文仿宋" w:hAnsi="华文仿宋" w:eastAsia="华文仿宋" w:cs="华文仿宋"/>
          <w:sz w:val="30"/>
          <w:szCs w:val="30"/>
          <w:lang w:val="en-US" w:eastAsia="zh-CN"/>
        </w:rPr>
        <w:t xml:space="preserve">      2.物业协议</w:t>
      </w:r>
    </w:p>
    <w:p w14:paraId="6AC0E3AE">
      <w:pPr>
        <w:spacing w:line="560" w:lineRule="atLeas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　　</w:t>
      </w:r>
    </w:p>
    <w:p w14:paraId="4E4918E4">
      <w:r>
        <w:br w:type="page"/>
      </w:r>
    </w:p>
    <w:p w14:paraId="0A2F261B">
      <w:pPr>
        <w:spacing w:line="560" w:lineRule="atLeast"/>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此页无正文</w:t>
      </w:r>
      <w:r>
        <w:rPr>
          <w:rFonts w:hint="eastAsia" w:ascii="华文仿宋" w:hAnsi="华文仿宋" w:eastAsia="华文仿宋" w:cs="华文仿宋"/>
          <w:sz w:val="30"/>
          <w:szCs w:val="30"/>
          <w:lang w:eastAsia="zh-CN"/>
        </w:rPr>
        <w:t>）</w:t>
      </w:r>
    </w:p>
    <w:p w14:paraId="271B1D7E">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（签署页）</w:t>
      </w:r>
    </w:p>
    <w:p w14:paraId="770646AB">
      <w:pPr>
        <w:pStyle w:val="2"/>
      </w:pPr>
    </w:p>
    <w:tbl>
      <w:tblPr>
        <w:tblStyle w:val="12"/>
        <w:tblpPr w:leftFromText="180" w:rightFromText="180" w:vertAnchor="text" w:horzAnchor="margin" w:tblpY="-34"/>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gridCol w:w="4437"/>
      </w:tblGrid>
      <w:tr w14:paraId="0556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exact"/>
        </w:trPr>
        <w:tc>
          <w:tcPr>
            <w:tcW w:w="4864" w:type="dxa"/>
            <w:tcBorders>
              <w:top w:val="single" w:color="auto" w:sz="4" w:space="0"/>
              <w:left w:val="single" w:color="auto" w:sz="4" w:space="0"/>
              <w:bottom w:val="single" w:color="auto" w:sz="4" w:space="0"/>
              <w:right w:val="single" w:color="auto" w:sz="4" w:space="0"/>
            </w:tcBorders>
            <w:vAlign w:val="center"/>
          </w:tcPr>
          <w:p w14:paraId="658BA64B">
            <w:pPr>
              <w:pStyle w:val="25"/>
              <w:spacing w:line="360" w:lineRule="auto"/>
              <w:ind w:left="900" w:hanging="900" w:hangingChars="300"/>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甲方：（盖章）</w:t>
            </w:r>
          </w:p>
        </w:tc>
        <w:tc>
          <w:tcPr>
            <w:tcW w:w="4437" w:type="dxa"/>
            <w:tcBorders>
              <w:top w:val="single" w:color="auto" w:sz="4" w:space="0"/>
              <w:left w:val="single" w:color="auto" w:sz="4" w:space="0"/>
              <w:bottom w:val="single" w:color="auto" w:sz="4" w:space="0"/>
              <w:right w:val="single" w:color="auto" w:sz="4" w:space="0"/>
            </w:tcBorders>
            <w:vAlign w:val="center"/>
          </w:tcPr>
          <w:p w14:paraId="34FB25CE">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乙方：（盖章）</w:t>
            </w:r>
          </w:p>
          <w:p w14:paraId="748353A0">
            <w:pPr>
              <w:pStyle w:val="25"/>
              <w:spacing w:line="360" w:lineRule="auto"/>
              <w:jc w:val="left"/>
              <w:rPr>
                <w:rFonts w:ascii="华文仿宋" w:hAnsi="华文仿宋" w:eastAsia="华文仿宋" w:cs="华文仿宋"/>
                <w:kern w:val="2"/>
                <w:sz w:val="30"/>
                <w:szCs w:val="30"/>
              </w:rPr>
            </w:pPr>
          </w:p>
          <w:p w14:paraId="49994511">
            <w:pPr>
              <w:widowControl/>
              <w:jc w:val="left"/>
              <w:rPr>
                <w:rFonts w:ascii="华文仿宋" w:hAnsi="华文仿宋" w:eastAsia="华文仿宋" w:cs="华文仿宋"/>
                <w:sz w:val="30"/>
                <w:szCs w:val="30"/>
                <w:lang w:val="zh-CN"/>
              </w:rPr>
            </w:pPr>
          </w:p>
          <w:p w14:paraId="72E30BFB">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（盖章）</w:t>
            </w:r>
          </w:p>
        </w:tc>
      </w:tr>
      <w:tr w14:paraId="4309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trPr>
        <w:tc>
          <w:tcPr>
            <w:tcW w:w="4864" w:type="dxa"/>
            <w:tcBorders>
              <w:top w:val="single" w:color="auto" w:sz="4" w:space="0"/>
              <w:left w:val="single" w:color="auto" w:sz="4" w:space="0"/>
              <w:bottom w:val="single" w:color="auto" w:sz="4" w:space="0"/>
              <w:right w:val="single" w:color="auto" w:sz="4" w:space="0"/>
            </w:tcBorders>
          </w:tcPr>
          <w:p w14:paraId="799424A4">
            <w:pPr>
              <w:pStyle w:val="25"/>
              <w:spacing w:line="360" w:lineRule="auto"/>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法定代表人(负责人)或</w:t>
            </w:r>
          </w:p>
          <w:p w14:paraId="5A0D9123">
            <w:pPr>
              <w:pStyle w:val="25"/>
              <w:spacing w:line="360" w:lineRule="auto"/>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授权代表（签章）：</w:t>
            </w:r>
          </w:p>
        </w:tc>
        <w:tc>
          <w:tcPr>
            <w:tcW w:w="4437" w:type="dxa"/>
            <w:tcBorders>
              <w:top w:val="single" w:color="auto" w:sz="4" w:space="0"/>
              <w:left w:val="single" w:color="auto" w:sz="4" w:space="0"/>
              <w:bottom w:val="single" w:color="auto" w:sz="4" w:space="0"/>
              <w:right w:val="single" w:color="auto" w:sz="4" w:space="0"/>
            </w:tcBorders>
          </w:tcPr>
          <w:p w14:paraId="7FA49FB2">
            <w:pPr>
              <w:pStyle w:val="25"/>
              <w:spacing w:line="360" w:lineRule="auto"/>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法定代表人（负责人）或</w:t>
            </w:r>
          </w:p>
          <w:p w14:paraId="02835054">
            <w:pPr>
              <w:pStyle w:val="25"/>
              <w:spacing w:line="360" w:lineRule="auto"/>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授权代表（签章）：</w:t>
            </w:r>
          </w:p>
        </w:tc>
      </w:tr>
      <w:tr w14:paraId="196E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trPr>
        <w:tc>
          <w:tcPr>
            <w:tcW w:w="4864" w:type="dxa"/>
            <w:tcBorders>
              <w:top w:val="single" w:color="auto" w:sz="4" w:space="0"/>
              <w:left w:val="single" w:color="auto" w:sz="4" w:space="0"/>
              <w:bottom w:val="single" w:color="auto" w:sz="4" w:space="0"/>
              <w:right w:val="single" w:color="auto" w:sz="4" w:space="0"/>
            </w:tcBorders>
            <w:vAlign w:val="center"/>
          </w:tcPr>
          <w:p w14:paraId="13ED18D3">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联系人：</w:t>
            </w:r>
          </w:p>
        </w:tc>
        <w:tc>
          <w:tcPr>
            <w:tcW w:w="4437" w:type="dxa"/>
            <w:tcBorders>
              <w:top w:val="single" w:color="auto" w:sz="4" w:space="0"/>
              <w:left w:val="single" w:color="auto" w:sz="4" w:space="0"/>
              <w:bottom w:val="single" w:color="auto" w:sz="4" w:space="0"/>
              <w:right w:val="single" w:color="auto" w:sz="4" w:space="0"/>
            </w:tcBorders>
            <w:vAlign w:val="center"/>
          </w:tcPr>
          <w:p w14:paraId="16286954">
            <w:pPr>
              <w:pStyle w:val="25"/>
              <w:spacing w:line="360" w:lineRule="auto"/>
              <w:jc w:val="left"/>
              <w:rPr>
                <w:rFonts w:hint="eastAsia" w:ascii="华文仿宋" w:hAnsi="华文仿宋" w:eastAsia="华文仿宋" w:cs="华文仿宋"/>
                <w:kern w:val="2"/>
                <w:sz w:val="30"/>
                <w:szCs w:val="30"/>
                <w:lang w:val="zh-CN" w:eastAsia="zh-CN"/>
              </w:rPr>
            </w:pPr>
            <w:r>
              <w:rPr>
                <w:rFonts w:hint="eastAsia" w:ascii="华文仿宋" w:hAnsi="华文仿宋" w:eastAsia="华文仿宋" w:cs="华文仿宋"/>
                <w:kern w:val="2"/>
                <w:sz w:val="30"/>
                <w:szCs w:val="30"/>
                <w:lang w:val="zh-CN"/>
              </w:rPr>
              <w:t>联系人：</w:t>
            </w:r>
          </w:p>
        </w:tc>
      </w:tr>
      <w:tr w14:paraId="719C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trPr>
        <w:tc>
          <w:tcPr>
            <w:tcW w:w="4864" w:type="dxa"/>
            <w:tcBorders>
              <w:top w:val="single" w:color="auto" w:sz="4" w:space="0"/>
              <w:left w:val="single" w:color="auto" w:sz="4" w:space="0"/>
              <w:bottom w:val="single" w:color="auto" w:sz="4" w:space="0"/>
              <w:right w:val="single" w:color="auto" w:sz="4" w:space="0"/>
            </w:tcBorders>
            <w:vAlign w:val="center"/>
          </w:tcPr>
          <w:p w14:paraId="273E8ADC">
            <w:pPr>
              <w:pStyle w:val="25"/>
              <w:spacing w:line="360" w:lineRule="auto"/>
              <w:jc w:val="left"/>
              <w:rPr>
                <w:rFonts w:ascii="华文仿宋" w:hAnsi="华文仿宋" w:eastAsia="华文仿宋" w:cs="华文仿宋"/>
                <w:kern w:val="2"/>
                <w:sz w:val="30"/>
                <w:szCs w:val="30"/>
              </w:rPr>
            </w:pPr>
            <w:r>
              <w:rPr>
                <w:rFonts w:hint="eastAsia" w:ascii="华文仿宋" w:hAnsi="华文仿宋" w:eastAsia="华文仿宋" w:cs="华文仿宋"/>
                <w:kern w:val="2"/>
                <w:sz w:val="30"/>
                <w:szCs w:val="30"/>
                <w:lang w:val="zh-CN"/>
              </w:rPr>
              <w:t>电话：</w:t>
            </w:r>
          </w:p>
        </w:tc>
        <w:tc>
          <w:tcPr>
            <w:tcW w:w="4437" w:type="dxa"/>
            <w:tcBorders>
              <w:top w:val="single" w:color="auto" w:sz="4" w:space="0"/>
              <w:left w:val="single" w:color="auto" w:sz="4" w:space="0"/>
              <w:bottom w:val="single" w:color="auto" w:sz="4" w:space="0"/>
              <w:right w:val="single" w:color="auto" w:sz="4" w:space="0"/>
            </w:tcBorders>
            <w:vAlign w:val="center"/>
          </w:tcPr>
          <w:p w14:paraId="527C4B5D">
            <w:pPr>
              <w:pStyle w:val="25"/>
              <w:spacing w:line="360" w:lineRule="auto"/>
              <w:jc w:val="left"/>
              <w:rPr>
                <w:rFonts w:hint="default" w:ascii="华文仿宋" w:hAnsi="华文仿宋" w:eastAsia="华文仿宋" w:cs="华文仿宋"/>
                <w:kern w:val="2"/>
                <w:sz w:val="30"/>
                <w:szCs w:val="30"/>
                <w:lang w:val="en-US" w:eastAsia="zh-CN"/>
              </w:rPr>
            </w:pPr>
            <w:r>
              <w:rPr>
                <w:rFonts w:hint="eastAsia" w:ascii="华文仿宋" w:hAnsi="华文仿宋" w:eastAsia="华文仿宋" w:cs="华文仿宋"/>
                <w:kern w:val="2"/>
                <w:sz w:val="30"/>
                <w:szCs w:val="30"/>
                <w:lang w:val="zh-CN"/>
              </w:rPr>
              <w:t xml:space="preserve">电话： </w:t>
            </w:r>
          </w:p>
        </w:tc>
      </w:tr>
      <w:tr w14:paraId="4051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exact"/>
        </w:trPr>
        <w:tc>
          <w:tcPr>
            <w:tcW w:w="4864" w:type="dxa"/>
            <w:tcBorders>
              <w:top w:val="single" w:color="auto" w:sz="4" w:space="0"/>
              <w:left w:val="single" w:color="auto" w:sz="4" w:space="0"/>
              <w:bottom w:val="single" w:color="auto" w:sz="4" w:space="0"/>
              <w:right w:val="single" w:color="auto" w:sz="4" w:space="0"/>
            </w:tcBorders>
            <w:vAlign w:val="center"/>
          </w:tcPr>
          <w:p w14:paraId="5659838D">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开户银行：</w:t>
            </w:r>
          </w:p>
        </w:tc>
        <w:tc>
          <w:tcPr>
            <w:tcW w:w="4437" w:type="dxa"/>
            <w:tcBorders>
              <w:top w:val="single" w:color="auto" w:sz="4" w:space="0"/>
              <w:left w:val="single" w:color="auto" w:sz="4" w:space="0"/>
              <w:bottom w:val="single" w:color="auto" w:sz="4" w:space="0"/>
              <w:right w:val="single" w:color="auto" w:sz="4" w:space="0"/>
            </w:tcBorders>
            <w:vAlign w:val="center"/>
          </w:tcPr>
          <w:p w14:paraId="1B1521EA">
            <w:pPr>
              <w:pStyle w:val="25"/>
              <w:spacing w:line="360" w:lineRule="auto"/>
              <w:jc w:val="left"/>
              <w:rPr>
                <w:rFonts w:ascii="华文仿宋" w:hAnsi="华文仿宋" w:eastAsia="华文仿宋" w:cs="华文仿宋"/>
                <w:kern w:val="2"/>
                <w:sz w:val="30"/>
                <w:szCs w:val="30"/>
              </w:rPr>
            </w:pPr>
            <w:r>
              <w:rPr>
                <w:rFonts w:hint="eastAsia" w:ascii="华文仿宋" w:hAnsi="华文仿宋" w:eastAsia="华文仿宋" w:cs="华文仿宋"/>
                <w:kern w:val="2"/>
                <w:sz w:val="30"/>
                <w:szCs w:val="30"/>
                <w:lang w:val="zh-CN"/>
              </w:rPr>
              <w:t>开户银行：</w:t>
            </w:r>
          </w:p>
        </w:tc>
      </w:tr>
      <w:tr w14:paraId="66F5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exact"/>
        </w:trPr>
        <w:tc>
          <w:tcPr>
            <w:tcW w:w="4864" w:type="dxa"/>
            <w:tcBorders>
              <w:top w:val="single" w:color="auto" w:sz="4" w:space="0"/>
              <w:left w:val="single" w:color="auto" w:sz="4" w:space="0"/>
              <w:bottom w:val="single" w:color="auto" w:sz="4" w:space="0"/>
              <w:right w:val="single" w:color="auto" w:sz="4" w:space="0"/>
            </w:tcBorders>
            <w:vAlign w:val="center"/>
          </w:tcPr>
          <w:p w14:paraId="63A348F9">
            <w:pPr>
              <w:spacing w:line="460" w:lineRule="exact"/>
              <w:jc w:val="left"/>
              <w:rPr>
                <w:rFonts w:ascii="华文仿宋" w:hAnsi="华文仿宋" w:eastAsia="华文仿宋" w:cs="华文仿宋"/>
                <w:sz w:val="30"/>
                <w:szCs w:val="30"/>
                <w:lang w:val="zh-CN"/>
              </w:rPr>
            </w:pPr>
            <w:r>
              <w:rPr>
                <w:rFonts w:hint="eastAsia" w:ascii="华文仿宋" w:hAnsi="华文仿宋" w:eastAsia="华文仿宋" w:cs="华文仿宋"/>
                <w:sz w:val="30"/>
                <w:szCs w:val="30"/>
                <w:lang w:val="zh-CN"/>
              </w:rPr>
              <w:t>账号：</w:t>
            </w:r>
          </w:p>
        </w:tc>
        <w:tc>
          <w:tcPr>
            <w:tcW w:w="4437" w:type="dxa"/>
            <w:tcBorders>
              <w:top w:val="single" w:color="auto" w:sz="4" w:space="0"/>
              <w:left w:val="single" w:color="auto" w:sz="4" w:space="0"/>
              <w:bottom w:val="single" w:color="auto" w:sz="4" w:space="0"/>
              <w:right w:val="single" w:color="auto" w:sz="4" w:space="0"/>
            </w:tcBorders>
            <w:vAlign w:val="center"/>
          </w:tcPr>
          <w:p w14:paraId="15284B12">
            <w:pPr>
              <w:spacing w:line="460" w:lineRule="exact"/>
              <w:jc w:val="left"/>
              <w:rPr>
                <w:rFonts w:ascii="华文仿宋" w:hAnsi="华文仿宋" w:eastAsia="华文仿宋" w:cs="华文仿宋"/>
                <w:sz w:val="30"/>
                <w:szCs w:val="30"/>
              </w:rPr>
            </w:pPr>
            <w:r>
              <w:rPr>
                <w:rFonts w:hint="eastAsia" w:ascii="华文仿宋" w:hAnsi="华文仿宋" w:eastAsia="华文仿宋" w:cs="华文仿宋"/>
                <w:sz w:val="30"/>
                <w:szCs w:val="30"/>
                <w:lang w:val="zh-CN"/>
              </w:rPr>
              <w:t>账号：</w:t>
            </w:r>
          </w:p>
        </w:tc>
      </w:tr>
      <w:tr w14:paraId="488C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4864" w:type="dxa"/>
            <w:tcBorders>
              <w:top w:val="single" w:color="auto" w:sz="4" w:space="0"/>
              <w:left w:val="single" w:color="auto" w:sz="4" w:space="0"/>
              <w:bottom w:val="single" w:color="auto" w:sz="4" w:space="0"/>
              <w:right w:val="single" w:color="auto" w:sz="4" w:space="0"/>
            </w:tcBorders>
            <w:vAlign w:val="center"/>
          </w:tcPr>
          <w:p w14:paraId="360CCF08">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税号：</w:t>
            </w:r>
          </w:p>
        </w:tc>
        <w:tc>
          <w:tcPr>
            <w:tcW w:w="4437" w:type="dxa"/>
            <w:tcBorders>
              <w:top w:val="single" w:color="auto" w:sz="4" w:space="0"/>
              <w:left w:val="single" w:color="auto" w:sz="4" w:space="0"/>
              <w:bottom w:val="single" w:color="auto" w:sz="4" w:space="0"/>
              <w:right w:val="single" w:color="auto" w:sz="4" w:space="0"/>
            </w:tcBorders>
            <w:vAlign w:val="center"/>
          </w:tcPr>
          <w:p w14:paraId="52F3ACE9">
            <w:pPr>
              <w:pStyle w:val="25"/>
              <w:spacing w:line="360" w:lineRule="auto"/>
              <w:jc w:val="left"/>
              <w:rPr>
                <w:rFonts w:ascii="华文仿宋" w:hAnsi="华文仿宋" w:eastAsia="华文仿宋" w:cs="华文仿宋"/>
                <w:kern w:val="2"/>
                <w:sz w:val="30"/>
                <w:szCs w:val="30"/>
                <w:lang w:val="zh-CN"/>
              </w:rPr>
            </w:pPr>
            <w:r>
              <w:rPr>
                <w:rFonts w:hint="eastAsia" w:ascii="华文仿宋" w:hAnsi="华文仿宋" w:eastAsia="华文仿宋" w:cs="华文仿宋"/>
                <w:kern w:val="2"/>
                <w:sz w:val="30"/>
                <w:szCs w:val="30"/>
                <w:lang w:val="zh-CN"/>
              </w:rPr>
              <w:t>税号：</w:t>
            </w:r>
          </w:p>
        </w:tc>
      </w:tr>
    </w:tbl>
    <w:p w14:paraId="1BB14914">
      <w:pPr>
        <w:spacing w:line="460" w:lineRule="exact"/>
        <w:ind w:firstLine="600" w:firstLineChars="200"/>
        <w:rPr>
          <w:rFonts w:ascii="华文仿宋" w:hAnsi="华文仿宋" w:eastAsia="华文仿宋" w:cs="华文仿宋"/>
          <w:sz w:val="30"/>
          <w:szCs w:val="30"/>
        </w:rPr>
      </w:pPr>
    </w:p>
    <w:p w14:paraId="5B21D590">
      <w:pPr>
        <w:rPr>
          <w:rFonts w:ascii="华文仿宋" w:hAnsi="华文仿宋" w:eastAsia="华文仿宋" w:cs="华文仿宋"/>
          <w:sz w:val="30"/>
          <w:szCs w:val="30"/>
        </w:rPr>
      </w:pPr>
    </w:p>
    <w:p w14:paraId="3C8D680B">
      <w:pPr>
        <w:pStyle w:val="2"/>
        <w:rPr>
          <w:rFonts w:ascii="华文仿宋" w:hAnsi="华文仿宋" w:eastAsia="华文仿宋" w:cs="华文仿宋"/>
          <w:sz w:val="30"/>
          <w:szCs w:val="30"/>
        </w:rPr>
      </w:pPr>
    </w:p>
    <w:p w14:paraId="28A808A5">
      <w:pPr>
        <w:pStyle w:val="3"/>
        <w:rPr>
          <w:rFonts w:ascii="华文仿宋" w:hAnsi="华文仿宋" w:eastAsia="华文仿宋" w:cs="华文仿宋"/>
          <w:sz w:val="30"/>
          <w:szCs w:val="30"/>
        </w:rPr>
      </w:pPr>
    </w:p>
    <w:p w14:paraId="78837F56">
      <w:pPr>
        <w:rPr>
          <w:rFonts w:ascii="华文仿宋" w:hAnsi="华文仿宋" w:eastAsia="华文仿宋" w:cs="华文仿宋"/>
          <w:sz w:val="30"/>
          <w:szCs w:val="30"/>
        </w:rPr>
      </w:pPr>
    </w:p>
    <w:p w14:paraId="0BE21C8D">
      <w:pPr>
        <w:pStyle w:val="2"/>
        <w:rPr>
          <w:rFonts w:ascii="华文仿宋" w:hAnsi="华文仿宋" w:eastAsia="华文仿宋" w:cs="华文仿宋"/>
          <w:sz w:val="30"/>
          <w:szCs w:val="30"/>
        </w:rPr>
      </w:pPr>
    </w:p>
    <w:p w14:paraId="648481D8">
      <w:pPr>
        <w:pStyle w:val="3"/>
        <w:rPr>
          <w:rFonts w:ascii="华文仿宋" w:hAnsi="华文仿宋" w:eastAsia="华文仿宋" w:cs="华文仿宋"/>
          <w:sz w:val="30"/>
          <w:szCs w:val="30"/>
        </w:rPr>
      </w:pPr>
    </w:p>
    <w:p w14:paraId="340DFA69">
      <w:pP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附件</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lang w:eastAsia="zh-CN"/>
        </w:rPr>
        <w:t>：</w:t>
      </w:r>
    </w:p>
    <w:p w14:paraId="4DEE956C">
      <w:pP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乙方租赁标准化厂房位置示意图2张</w:t>
      </w:r>
    </w:p>
    <w:p w14:paraId="67D75E8A">
      <w:pPr>
        <w:pStyle w:val="2"/>
        <w:rPr>
          <w:rFonts w:hint="eastAsia" w:eastAsiaTheme="minorEastAsia"/>
          <w:lang w:eastAsia="zh-CN"/>
        </w:rPr>
      </w:pPr>
    </w:p>
    <w:p w14:paraId="2EF5760E">
      <w:pPr>
        <w:pStyle w:val="3"/>
        <w:rPr>
          <w:rFonts w:hint="eastAsia" w:eastAsiaTheme="minorEastAsia"/>
          <w:lang w:eastAsia="zh-CN"/>
        </w:rPr>
      </w:pPr>
    </w:p>
    <w:p w14:paraId="28451CE6">
      <w:pPr>
        <w:rPr>
          <w:rFonts w:hint="eastAsia" w:eastAsiaTheme="minorEastAsia"/>
          <w:lang w:eastAsia="zh-CN"/>
        </w:rPr>
      </w:pPr>
    </w:p>
    <w:p w14:paraId="016BF119">
      <w:pPr>
        <w:pStyle w:val="11"/>
        <w:rPr>
          <w:rFonts w:hint="eastAsia" w:eastAsiaTheme="minorEastAsia"/>
          <w:lang w:eastAsia="zh-CN"/>
        </w:rPr>
      </w:pPr>
    </w:p>
    <w:p w14:paraId="1F6220D4">
      <w:pPr>
        <w:pStyle w:val="11"/>
        <w:rPr>
          <w:rFonts w:hint="eastAsia" w:eastAsiaTheme="minorEastAsia"/>
          <w:lang w:eastAsia="zh-CN"/>
        </w:rPr>
      </w:pPr>
    </w:p>
    <w:p w14:paraId="5AE8DEBF">
      <w:pPr>
        <w:pStyle w:val="11"/>
        <w:rPr>
          <w:rFonts w:hint="eastAsia" w:eastAsiaTheme="minorEastAsia"/>
          <w:lang w:eastAsia="zh-CN"/>
        </w:rPr>
      </w:pPr>
    </w:p>
    <w:p w14:paraId="6DA28DC9">
      <w:pPr>
        <w:pStyle w:val="11"/>
        <w:rPr>
          <w:rFonts w:hint="eastAsia" w:eastAsiaTheme="minorEastAsia"/>
          <w:lang w:eastAsia="zh-CN"/>
        </w:rPr>
      </w:pPr>
    </w:p>
    <w:p w14:paraId="1B0C201D">
      <w:pPr>
        <w:pStyle w:val="11"/>
        <w:rPr>
          <w:rFonts w:hint="eastAsia" w:eastAsiaTheme="minorEastAsia"/>
          <w:lang w:eastAsia="zh-CN"/>
        </w:rPr>
      </w:pPr>
    </w:p>
    <w:p w14:paraId="10D27C04">
      <w:pPr>
        <w:pStyle w:val="11"/>
        <w:rPr>
          <w:rFonts w:hint="eastAsia" w:eastAsiaTheme="minorEastAsia"/>
          <w:lang w:eastAsia="zh-CN"/>
        </w:rPr>
      </w:pPr>
    </w:p>
    <w:p w14:paraId="3563363E">
      <w:pPr>
        <w:pStyle w:val="11"/>
        <w:rPr>
          <w:rFonts w:hint="eastAsia" w:eastAsiaTheme="minorEastAsia"/>
          <w:lang w:eastAsia="zh-CN"/>
        </w:rPr>
      </w:pPr>
    </w:p>
    <w:p w14:paraId="2C4B1CCD">
      <w:pPr>
        <w:pStyle w:val="11"/>
        <w:rPr>
          <w:rFonts w:hint="eastAsia" w:eastAsiaTheme="minorEastAsia"/>
          <w:lang w:eastAsia="zh-CN"/>
        </w:rPr>
      </w:pPr>
    </w:p>
    <w:p w14:paraId="7E6286AA">
      <w:pPr>
        <w:pStyle w:val="11"/>
        <w:rPr>
          <w:rFonts w:hint="eastAsia" w:eastAsiaTheme="minorEastAsia"/>
          <w:lang w:eastAsia="zh-CN"/>
        </w:rPr>
      </w:pPr>
    </w:p>
    <w:p w14:paraId="0F3E5382">
      <w:pPr>
        <w:pStyle w:val="11"/>
        <w:rPr>
          <w:rFonts w:hint="eastAsia" w:eastAsiaTheme="minorEastAsia"/>
          <w:lang w:eastAsia="zh-CN"/>
        </w:rPr>
      </w:pPr>
    </w:p>
    <w:p w14:paraId="0BB24423">
      <w:pPr>
        <w:pStyle w:val="11"/>
        <w:rPr>
          <w:rFonts w:hint="eastAsia" w:eastAsiaTheme="minorEastAsia"/>
          <w:lang w:eastAsia="zh-CN"/>
        </w:rPr>
      </w:pPr>
    </w:p>
    <w:p w14:paraId="6EAAAF17">
      <w:pPr>
        <w:pStyle w:val="11"/>
        <w:rPr>
          <w:rFonts w:hint="eastAsia" w:eastAsiaTheme="minorEastAsia"/>
          <w:lang w:eastAsia="zh-CN"/>
        </w:rPr>
      </w:pPr>
    </w:p>
    <w:p w14:paraId="2B4ED4B0">
      <w:pPr>
        <w:pStyle w:val="11"/>
        <w:rPr>
          <w:rFonts w:hint="eastAsia" w:eastAsiaTheme="minorEastAsia"/>
          <w:lang w:eastAsia="zh-CN"/>
        </w:rPr>
      </w:pPr>
    </w:p>
    <w:p w14:paraId="220BF907">
      <w:pPr>
        <w:pStyle w:val="11"/>
        <w:rPr>
          <w:rFonts w:hint="eastAsia" w:eastAsiaTheme="minorEastAsia"/>
          <w:lang w:eastAsia="zh-CN"/>
        </w:rPr>
      </w:pPr>
    </w:p>
    <w:p w14:paraId="734A83F9">
      <w:pPr>
        <w:pStyle w:val="11"/>
        <w:rPr>
          <w:rFonts w:hint="eastAsia" w:eastAsiaTheme="minorEastAsia"/>
          <w:lang w:eastAsia="zh-CN"/>
        </w:rPr>
      </w:pPr>
    </w:p>
    <w:p w14:paraId="1CF82EAD">
      <w:pPr>
        <w:pStyle w:val="4"/>
        <w:spacing w:before="0" w:beforeAutospacing="0" w:after="0" w:afterAutospacing="0" w:line="640" w:lineRule="exact"/>
        <w:jc w:val="left"/>
        <w:rPr>
          <w:rFonts w:hint="default" w:ascii="华文仿宋" w:hAnsi="华文仿宋" w:eastAsia="华文仿宋" w:cs="华文仿宋"/>
          <w:b w:val="0"/>
          <w:kern w:val="2"/>
          <w:sz w:val="30"/>
          <w:szCs w:val="30"/>
          <w:lang w:val="en-US" w:eastAsia="zh-CN" w:bidi="ar-SA"/>
        </w:rPr>
      </w:pPr>
      <w:r>
        <w:rPr>
          <w:rFonts w:hint="eastAsia" w:ascii="华文仿宋" w:hAnsi="华文仿宋" w:eastAsia="华文仿宋" w:cs="华文仿宋"/>
          <w:b w:val="0"/>
          <w:kern w:val="2"/>
          <w:sz w:val="30"/>
          <w:szCs w:val="30"/>
          <w:lang w:val="en-US" w:eastAsia="zh-CN" w:bidi="ar-SA"/>
        </w:rPr>
        <w:t>附件2</w:t>
      </w:r>
    </w:p>
    <w:p w14:paraId="27FE0C3D">
      <w:pPr>
        <w:pStyle w:val="4"/>
        <w:spacing w:before="0" w:beforeAutospacing="0" w:after="0" w:afterAutospacing="0" w:line="640" w:lineRule="exact"/>
        <w:jc w:val="center"/>
        <w:rPr>
          <w:rFonts w:asciiTheme="majorEastAsia" w:hAnsiTheme="majorEastAsia" w:cstheme="majorEastAsia"/>
          <w:color w:val="000000"/>
          <w:sz w:val="44"/>
          <w:szCs w:val="44"/>
          <w:lang w:eastAsia="zh-CN"/>
        </w:rPr>
      </w:pPr>
      <w:r>
        <w:rPr>
          <w:rFonts w:hint="eastAsia" w:asciiTheme="majorEastAsia" w:hAnsiTheme="majorEastAsia" w:cstheme="majorEastAsia"/>
          <w:color w:val="000000"/>
          <w:sz w:val="44"/>
          <w:szCs w:val="44"/>
          <w:lang w:eastAsia="zh-CN"/>
        </w:rPr>
        <w:t>物业管理服务协议</w:t>
      </w:r>
    </w:p>
    <w:p w14:paraId="7BB5CFD7">
      <w:pPr>
        <w:spacing w:before="0" w:beforeAutospacing="0" w:after="0" w:afterAutospacing="0" w:line="288" w:lineRule="auto"/>
        <w:jc w:val="both"/>
        <w:rPr>
          <w:rFonts w:ascii="宋体" w:hAnsi="宋体" w:eastAsia="宋体" w:cs="宋体"/>
          <w:b/>
          <w:bCs/>
          <w:sz w:val="24"/>
          <w:szCs w:val="24"/>
          <w:lang w:eastAsia="zh-CN"/>
        </w:rPr>
      </w:pPr>
    </w:p>
    <w:p w14:paraId="714E0F12">
      <w:pPr>
        <w:spacing w:before="0" w:beforeAutospacing="0" w:after="0" w:afterAutospacing="0" w:line="288" w:lineRule="auto"/>
        <w:jc w:val="both"/>
        <w:rPr>
          <w:rFonts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甲    方：</w:t>
      </w:r>
    </w:p>
    <w:p w14:paraId="6B9596E3">
      <w:pPr>
        <w:spacing w:before="0" w:beforeAutospacing="0" w:after="0" w:afterAutospacing="0" w:line="288" w:lineRule="auto"/>
        <w:jc w:val="both"/>
        <w:rPr>
          <w:rFonts w:hint="default" w:ascii="宋体" w:hAnsi="宋体" w:eastAsia="宋体" w:cs="宋体"/>
          <w:b/>
          <w:bCs/>
          <w:color w:val="000000"/>
          <w:sz w:val="24"/>
          <w:szCs w:val="24"/>
          <w:u w:val="single"/>
          <w:lang w:val="en-US" w:eastAsia="zh-CN"/>
        </w:rPr>
      </w:pPr>
      <w:r>
        <w:rPr>
          <w:rFonts w:hint="eastAsia" w:ascii="宋体" w:hAnsi="宋体" w:eastAsia="宋体" w:cs="宋体"/>
          <w:b/>
          <w:bCs/>
          <w:color w:val="000000"/>
          <w:sz w:val="24"/>
          <w:szCs w:val="24"/>
          <w:lang w:eastAsia="zh-CN"/>
        </w:rPr>
        <w:t>乙    方：</w:t>
      </w:r>
    </w:p>
    <w:p w14:paraId="39E8BE09">
      <w:pPr>
        <w:spacing w:before="0" w:beforeAutospacing="0" w:after="0" w:afterAutospacing="0" w:line="288" w:lineRule="auto"/>
        <w:jc w:val="both"/>
        <w:rPr>
          <w:rFonts w:ascii="宋体" w:hAnsi="宋体" w:eastAsia="宋体" w:cs="宋体"/>
          <w:b/>
          <w:bCs/>
          <w:color w:val="000000"/>
          <w:sz w:val="24"/>
          <w:szCs w:val="24"/>
          <w:u w:val="single"/>
          <w:lang w:eastAsia="zh-CN"/>
        </w:rPr>
      </w:pPr>
      <w:r>
        <w:rPr>
          <w:rFonts w:hint="eastAsia" w:ascii="宋体" w:hAnsi="宋体" w:eastAsia="宋体" w:cs="宋体"/>
          <w:b/>
          <w:bCs/>
          <w:color w:val="000000"/>
          <w:sz w:val="24"/>
          <w:szCs w:val="24"/>
          <w:lang w:eastAsia="zh-CN"/>
        </w:rPr>
        <w:t>签约地点：</w:t>
      </w:r>
      <w:r>
        <w:rPr>
          <w:rFonts w:hint="eastAsia" w:ascii="宋体" w:hAnsi="宋体" w:eastAsia="宋体" w:cs="宋体"/>
          <w:b/>
          <w:bCs/>
          <w:color w:val="000000"/>
          <w:sz w:val="24"/>
          <w:szCs w:val="24"/>
          <w:u w:val="none"/>
          <w:lang w:eastAsia="zh-CN"/>
        </w:rPr>
        <w:t>成都市青白江区凤凰大道二段便民路6号</w:t>
      </w:r>
    </w:p>
    <w:p w14:paraId="10C29BD2">
      <w:pPr>
        <w:spacing w:before="0" w:beforeAutospacing="0" w:after="0" w:afterAutospacing="0" w:line="288" w:lineRule="auto"/>
        <w:jc w:val="both"/>
        <w:rPr>
          <w:rFonts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签约时间：</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lang w:eastAsia="zh-CN"/>
        </w:rPr>
        <w:t>年</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lang w:eastAsia="zh-CN"/>
        </w:rPr>
        <w:t>月</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lang w:eastAsia="zh-CN"/>
        </w:rPr>
        <w:t>日</w:t>
      </w:r>
    </w:p>
    <w:p w14:paraId="20601F3C">
      <w:pPr>
        <w:pStyle w:val="2"/>
        <w:spacing w:before="0" w:beforeAutospacing="0" w:after="0" w:afterAutospacing="0" w:line="288" w:lineRule="auto"/>
        <w:jc w:val="both"/>
        <w:rPr>
          <w:rFonts w:hint="eastAsia"/>
          <w:sz w:val="24"/>
          <w:szCs w:val="24"/>
          <w:lang w:eastAsia="zh-CN"/>
        </w:rPr>
      </w:pPr>
    </w:p>
    <w:p w14:paraId="40DC177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根据《中华人民共和国民法典》及相关法律、法规的规定，甲、乙双方在自愿、平等协商一致的基础上，甲、乙双方分别作为物业管理人和物业使用人，甲乙双方就物业管理服务达成如下协议：</w:t>
      </w:r>
    </w:p>
    <w:p w14:paraId="58993EAD">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第一条 物业基本情况</w:t>
      </w:r>
    </w:p>
    <w:p w14:paraId="152D1B68">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一、物业类型：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26EC926">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二、座落位置：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lang w:eastAsia="zh-CN"/>
        </w:rPr>
        <w:t>。</w:t>
      </w:r>
    </w:p>
    <w:p w14:paraId="5D82963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三、租赁面积：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平方米（含公摊）。</w:t>
      </w:r>
    </w:p>
    <w:p w14:paraId="36523A33">
      <w:pPr>
        <w:spacing w:before="0" w:beforeAutospacing="0" w:after="0" w:afterAutospacing="0" w:line="288"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重：</w:t>
      </w:r>
    </w:p>
    <w:tbl>
      <w:tblPr>
        <w:tblStyle w:val="12"/>
        <w:tblW w:w="85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85"/>
        <w:gridCol w:w="4388"/>
      </w:tblGrid>
      <w:tr w14:paraId="2B2F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FCA">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楼层部位</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B669">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活载</w:t>
            </w:r>
          </w:p>
        </w:tc>
      </w:tr>
      <w:tr w14:paraId="0B52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4041">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1号厂房一、二、三层</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6E7C">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承重为800kg/㎡</w:t>
            </w:r>
          </w:p>
        </w:tc>
      </w:tr>
      <w:tr w14:paraId="3C34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326B">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2号厂房一、二、三层</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8E23">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承重为1400kg/㎡</w:t>
            </w:r>
          </w:p>
        </w:tc>
      </w:tr>
      <w:tr w14:paraId="0B57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0957">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3号厂房一、二、三层</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3E9C">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承重为1400kg/㎡</w:t>
            </w:r>
          </w:p>
        </w:tc>
      </w:tr>
      <w:tr w14:paraId="456D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5EF5">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4号厂房一、二、三层</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EDC">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承重为800kg/㎡</w:t>
            </w:r>
          </w:p>
        </w:tc>
      </w:tr>
      <w:tr w14:paraId="5505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121D">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汽车坡道一、二、三层</w:t>
            </w:r>
            <w:bookmarkStart w:id="0" w:name="_GoBack"/>
            <w:bookmarkEnd w:id="0"/>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BFE2">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 3700kg/㎡</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车辆含货物总重不超过60吨</w:t>
            </w:r>
          </w:p>
        </w:tc>
      </w:tr>
      <w:tr w14:paraId="6450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452C">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卸货平台</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BCF">
            <w:pPr>
              <w:spacing w:before="0" w:beforeAutospacing="0" w:after="0" w:afterAutospacing="0" w:line="288"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承重为1000kg/㎡</w:t>
            </w:r>
          </w:p>
        </w:tc>
      </w:tr>
    </w:tbl>
    <w:p w14:paraId="50FDCEB3">
      <w:pPr>
        <w:spacing w:before="0" w:beforeAutospacing="0" w:after="0" w:afterAutospacing="0" w:line="288" w:lineRule="auto"/>
        <w:ind w:firstLine="420" w:firstLineChars="200"/>
        <w:jc w:val="both"/>
        <w:rPr>
          <w:lang w:eastAsia="zh-CN"/>
        </w:rPr>
      </w:pPr>
    </w:p>
    <w:p w14:paraId="57705051">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五、甲方提供服务的受益人为本物业的全体租户和本物业使用人，本物业的全体租户和物业使用人均应遵守本协议并承担相应法律责任，履行相应义务。</w:t>
      </w:r>
    </w:p>
    <w:p w14:paraId="38AF1DF4">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第二条 物业管理服务期限</w:t>
      </w:r>
    </w:p>
    <w:p w14:paraId="3B7EEC88">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本协议自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日起执行至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日终止。</w:t>
      </w:r>
    </w:p>
    <w:p w14:paraId="240C7B77">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 xml:space="preserve">第三条 物业管理相关费用 </w:t>
      </w:r>
    </w:p>
    <w:p w14:paraId="2B596399">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一、物业管理服务费的支付方式和支付标准按照甲乙双方签订的《租赁合同》执行。该费用不包括房屋共用部位共用设施设备大/中修、更新、改造的费用。 </w:t>
      </w:r>
    </w:p>
    <w:p w14:paraId="2C75C2FA">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二、电费。根据《四川省发展和改革委员会关于清理规范转供电环节收费有关事项的通知》（川发改价格〔2018〕395号）文件第三条文件精神，</w:t>
      </w:r>
      <w:r>
        <w:rPr>
          <w:rFonts w:hint="eastAsia" w:ascii="宋体" w:hAnsi="宋体" w:eastAsia="宋体" w:cs="宋体"/>
          <w:sz w:val="24"/>
          <w:szCs w:val="24"/>
          <w:lang w:val="en-US" w:eastAsia="zh-CN"/>
        </w:rPr>
        <w:t>该区域电费</w:t>
      </w:r>
      <w:r>
        <w:rPr>
          <w:rFonts w:hint="eastAsia" w:ascii="宋体" w:hAnsi="宋体" w:eastAsia="宋体" w:cs="宋体"/>
          <w:sz w:val="24"/>
          <w:szCs w:val="24"/>
          <w:lang w:eastAsia="zh-CN"/>
        </w:rPr>
        <w:t>收费标准：</w:t>
      </w:r>
      <w:r>
        <w:rPr>
          <w:rFonts w:hint="eastAsia" w:ascii="宋体" w:hAnsi="宋体" w:eastAsia="宋体" w:cs="宋体"/>
          <w:sz w:val="24"/>
          <w:szCs w:val="24"/>
          <w:highlight w:val="none"/>
          <w:u w:val="single"/>
          <w:lang w:eastAsia="zh-CN"/>
        </w:rPr>
        <w:t>实时电价+6%线损结算</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对于一个电表计费区域入驻多家企业的，入驻企业按照租赁面积分摊电费。按□月\□季结算，</w:t>
      </w:r>
      <w:r>
        <w:rPr>
          <w:rFonts w:hint="eastAsia" w:ascii="宋体" w:hAnsi="宋体" w:eastAsia="宋体" w:cs="宋体"/>
          <w:sz w:val="24"/>
          <w:szCs w:val="24"/>
          <w:lang w:eastAsia="zh-CN"/>
        </w:rPr>
        <w:t>乙方应于双方对账完成后</w:t>
      </w:r>
      <w:r>
        <w:rPr>
          <w:rFonts w:hint="eastAsia" w:ascii="宋体" w:hAnsi="宋体" w:eastAsia="宋体" w:cs="宋体"/>
          <w:sz w:val="24"/>
          <w:szCs w:val="24"/>
          <w:u w:val="single"/>
          <w:lang w:eastAsia="zh-CN"/>
        </w:rPr>
        <w:t>15</w:t>
      </w:r>
      <w:r>
        <w:rPr>
          <w:rFonts w:hint="eastAsia" w:ascii="宋体" w:hAnsi="宋体" w:eastAsia="宋体" w:cs="宋体"/>
          <w:sz w:val="24"/>
          <w:szCs w:val="24"/>
          <w:lang w:eastAsia="zh-CN"/>
        </w:rPr>
        <w:t>个工作日内支付给甲方该费用，每逾期</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日，甲方有权向乙方收取应付未付金额的</w:t>
      </w:r>
      <w:r>
        <w:rPr>
          <w:rFonts w:hint="eastAsia" w:ascii="宋体" w:hAnsi="宋体" w:eastAsia="宋体" w:cs="宋体"/>
          <w:sz w:val="24"/>
          <w:szCs w:val="24"/>
          <w:u w:val="single"/>
          <w:lang w:eastAsia="zh-CN"/>
        </w:rPr>
        <w:t>0.0</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做为违约金。若政府调整电费单价，则甲方有权按政府制定的实时单价进行相应调整。</w:t>
      </w:r>
    </w:p>
    <w:p w14:paraId="286AEFC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三、水费。收费标准：</w:t>
      </w:r>
      <w:r>
        <w:rPr>
          <w:rFonts w:hint="eastAsia" w:ascii="宋体" w:hAnsi="宋体" w:eastAsia="宋体" w:cs="宋体"/>
          <w:sz w:val="24"/>
          <w:szCs w:val="24"/>
          <w:u w:val="single"/>
          <w:lang w:val="en-US" w:eastAsia="zh-CN"/>
        </w:rPr>
        <w:t>4.36</w:t>
      </w: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/吨</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eastAsia="zh-CN"/>
        </w:rPr>
        <w:sym w:font="Wingdings 2" w:char="0052"/>
      </w:r>
      <w:r>
        <w:rPr>
          <w:rFonts w:hint="eastAsia" w:ascii="宋体" w:hAnsi="宋体" w:eastAsia="宋体" w:cs="宋体"/>
          <w:color w:val="auto"/>
          <w:sz w:val="24"/>
          <w:szCs w:val="24"/>
          <w:lang w:eastAsia="zh-CN"/>
        </w:rPr>
        <w:t>月\□季结算，</w:t>
      </w:r>
      <w:r>
        <w:rPr>
          <w:rFonts w:hint="eastAsia" w:ascii="宋体" w:hAnsi="宋体" w:eastAsia="宋体" w:cs="宋体"/>
          <w:sz w:val="24"/>
          <w:szCs w:val="24"/>
          <w:lang w:eastAsia="zh-CN"/>
        </w:rPr>
        <w:t>乙方应于双方对账完成后</w:t>
      </w:r>
      <w:r>
        <w:rPr>
          <w:rFonts w:hint="eastAsia" w:ascii="宋体" w:hAnsi="宋体" w:eastAsia="宋体" w:cs="宋体"/>
          <w:sz w:val="24"/>
          <w:szCs w:val="24"/>
          <w:u w:val="single"/>
          <w:lang w:eastAsia="zh-CN"/>
        </w:rPr>
        <w:t>15</w:t>
      </w:r>
      <w:r>
        <w:rPr>
          <w:rFonts w:hint="eastAsia" w:ascii="宋体" w:hAnsi="宋体" w:eastAsia="宋体" w:cs="宋体"/>
          <w:sz w:val="24"/>
          <w:szCs w:val="24"/>
          <w:lang w:eastAsia="zh-CN"/>
        </w:rPr>
        <w:t>个工作日内支付给甲方该费用，每逾期</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日，甲方有权向乙方收取应付未付金额的</w:t>
      </w:r>
      <w:r>
        <w:rPr>
          <w:rFonts w:hint="eastAsia" w:ascii="宋体" w:hAnsi="宋体" w:eastAsia="宋体" w:cs="宋体"/>
          <w:sz w:val="24"/>
          <w:szCs w:val="24"/>
          <w:u w:val="single"/>
          <w:lang w:eastAsia="zh-CN"/>
        </w:rPr>
        <w:t>0.0</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做为违约金。若政府调整水费单价，则甲方有权按政府制定的实时单价进行相应调整。</w:t>
      </w:r>
    </w:p>
    <w:p w14:paraId="157FC32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四、天然气费。由乙方直接向燃气公司缴纳。</w:t>
      </w:r>
    </w:p>
    <w:p w14:paraId="411142D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五、空调能耗费。收费标准：</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元/平方米</w:t>
      </w:r>
      <w:r>
        <w:rPr>
          <w:rFonts w:hint="eastAsia" w:ascii="宋体" w:hAnsi="宋体" w:eastAsia="宋体" w:cs="宋体"/>
          <w:sz w:val="24"/>
          <w:szCs w:val="24"/>
          <w:highlight w:val="none"/>
          <w:lang w:eastAsia="zh-CN"/>
        </w:rPr>
        <w:t>（现代物流大厦3.89元\㎡\月）</w:t>
      </w:r>
      <w:r>
        <w:rPr>
          <w:rFonts w:hint="eastAsia" w:ascii="宋体" w:hAnsi="宋体" w:eastAsia="宋体" w:cs="宋体"/>
          <w:sz w:val="24"/>
          <w:szCs w:val="24"/>
          <w:lang w:eastAsia="zh-CN"/>
        </w:rPr>
        <w:t>，年度收取</w:t>
      </w:r>
      <w:r>
        <w:rPr>
          <w:rFonts w:hint="eastAsia" w:ascii="宋体" w:hAnsi="宋体" w:eastAsia="宋体" w:cs="宋体"/>
          <w:sz w:val="24"/>
          <w:szCs w:val="24"/>
          <w:u w:val="single"/>
          <w:lang w:eastAsia="zh-CN"/>
        </w:rPr>
        <w:t>10</w:t>
      </w:r>
      <w:r>
        <w:rPr>
          <w:rFonts w:hint="eastAsia" w:ascii="宋体" w:hAnsi="宋体" w:eastAsia="宋体" w:cs="宋体"/>
          <w:sz w:val="24"/>
          <w:szCs w:val="24"/>
          <w:lang w:eastAsia="zh-CN"/>
        </w:rPr>
        <w:t>个月空调能耗费用，空调主机制冷开启时间为</w:t>
      </w:r>
      <w:r>
        <w:rPr>
          <w:rFonts w:hint="eastAsia" w:ascii="宋体" w:hAnsi="宋体" w:eastAsia="宋体" w:cs="宋体"/>
          <w:sz w:val="24"/>
          <w:szCs w:val="24"/>
          <w:u w:val="single"/>
          <w:lang w:eastAsia="zh-CN"/>
        </w:rPr>
        <w:t>5月1日至9月30日</w:t>
      </w:r>
      <w:r>
        <w:rPr>
          <w:rFonts w:hint="eastAsia" w:ascii="宋体" w:hAnsi="宋体" w:eastAsia="宋体" w:cs="宋体"/>
          <w:sz w:val="24"/>
          <w:szCs w:val="24"/>
          <w:lang w:eastAsia="zh-CN"/>
        </w:rPr>
        <w:t>，制热开启时间为</w:t>
      </w:r>
      <w:r>
        <w:rPr>
          <w:rFonts w:hint="eastAsia" w:ascii="宋体" w:hAnsi="宋体" w:eastAsia="宋体" w:cs="宋体"/>
          <w:sz w:val="24"/>
          <w:szCs w:val="24"/>
          <w:u w:val="single"/>
          <w:lang w:eastAsia="zh-CN"/>
        </w:rPr>
        <w:t>11月1日至3月31日</w:t>
      </w:r>
      <w:r>
        <w:rPr>
          <w:rFonts w:hint="eastAsia" w:ascii="宋体" w:hAnsi="宋体" w:eastAsia="宋体" w:cs="宋体"/>
          <w:sz w:val="24"/>
          <w:szCs w:val="24"/>
          <w:lang w:eastAsia="zh-CN"/>
        </w:rPr>
        <w:t>；开启时间为工作日</w:t>
      </w:r>
      <w:r>
        <w:rPr>
          <w:rFonts w:hint="eastAsia" w:ascii="宋体" w:hAnsi="宋体" w:eastAsia="宋体" w:cs="宋体"/>
          <w:sz w:val="24"/>
          <w:szCs w:val="24"/>
          <w:u w:val="single"/>
          <w:lang w:eastAsia="zh-CN"/>
        </w:rPr>
        <w:t>8:30-17:30</w:t>
      </w:r>
      <w:r>
        <w:rPr>
          <w:rFonts w:hint="eastAsia" w:ascii="宋体" w:hAnsi="宋体" w:eastAsia="宋体" w:cs="宋体"/>
          <w:sz w:val="24"/>
          <w:szCs w:val="24"/>
          <w:lang w:eastAsia="zh-CN"/>
        </w:rPr>
        <w:t>，其他时段有需求的企业须单独收取</w:t>
      </w:r>
      <w:r>
        <w:rPr>
          <w:rFonts w:hint="eastAsia" w:ascii="宋体" w:hAnsi="宋体" w:eastAsia="宋体" w:cs="宋体"/>
          <w:sz w:val="24"/>
          <w:szCs w:val="24"/>
          <w:u w:val="single"/>
          <w:lang w:eastAsia="zh-CN"/>
        </w:rPr>
        <w:t>500</w:t>
      </w:r>
      <w:r>
        <w:rPr>
          <w:rFonts w:hint="eastAsia" w:ascii="宋体" w:hAnsi="宋体" w:eastAsia="宋体" w:cs="宋体"/>
          <w:sz w:val="24"/>
          <w:szCs w:val="24"/>
          <w:lang w:eastAsia="zh-CN"/>
        </w:rPr>
        <w:t>元/小时的空调能耗费。该费用按月结算，乙方应于双方对账完成后</w:t>
      </w:r>
      <w:r>
        <w:rPr>
          <w:rFonts w:hint="eastAsia" w:ascii="宋体" w:hAnsi="宋体" w:eastAsia="宋体" w:cs="宋体"/>
          <w:sz w:val="24"/>
          <w:szCs w:val="24"/>
          <w:u w:val="single"/>
          <w:lang w:eastAsia="zh-CN"/>
        </w:rPr>
        <w:t>15</w:t>
      </w:r>
      <w:r>
        <w:rPr>
          <w:rFonts w:hint="eastAsia" w:ascii="宋体" w:hAnsi="宋体" w:eastAsia="宋体" w:cs="宋体"/>
          <w:sz w:val="24"/>
          <w:szCs w:val="24"/>
          <w:lang w:eastAsia="zh-CN"/>
        </w:rPr>
        <w:t>个工作日内支付给甲方该费用，每逾期</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日，甲方有权向乙方收取应付未付金额的</w:t>
      </w:r>
      <w:r>
        <w:rPr>
          <w:rFonts w:hint="eastAsia" w:ascii="宋体" w:hAnsi="宋体" w:eastAsia="宋体" w:cs="宋体"/>
          <w:sz w:val="24"/>
          <w:szCs w:val="24"/>
          <w:u w:val="single"/>
          <w:lang w:eastAsia="zh-CN"/>
        </w:rPr>
        <w:t>0.0</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做为违约金。若政府调整电费单价，则甲</w:t>
      </w:r>
      <w:r>
        <w:rPr>
          <w:rFonts w:hint="eastAsia" w:ascii="宋体" w:hAnsi="宋体" w:eastAsia="宋体" w:cs="宋体"/>
          <w:color w:val="auto"/>
          <w:sz w:val="24"/>
          <w:szCs w:val="24"/>
          <w:lang w:eastAsia="zh-CN"/>
        </w:rPr>
        <w:t>方有权对空调能耗费进</w:t>
      </w:r>
      <w:r>
        <w:rPr>
          <w:rFonts w:hint="eastAsia" w:ascii="宋体" w:hAnsi="宋体" w:eastAsia="宋体" w:cs="宋体"/>
          <w:sz w:val="24"/>
          <w:szCs w:val="24"/>
          <w:lang w:eastAsia="zh-CN"/>
        </w:rPr>
        <w:t>行相应调整。</w:t>
      </w:r>
    </w:p>
    <w:p w14:paraId="11191514">
      <w:pPr>
        <w:spacing w:before="0" w:beforeAutospacing="0" w:after="0" w:afterAutospacing="0" w:line="288" w:lineRule="auto"/>
        <w:ind w:firstLine="480" w:firstLineChars="200"/>
        <w:jc w:val="both"/>
        <w:rPr>
          <w:lang w:eastAsia="zh-CN"/>
        </w:rPr>
      </w:pPr>
      <w:r>
        <w:rPr>
          <w:rFonts w:hint="eastAsia" w:ascii="宋体" w:hAnsi="宋体" w:eastAsia="宋体" w:cs="宋体"/>
          <w:sz w:val="24"/>
          <w:szCs w:val="24"/>
          <w:lang w:eastAsia="zh-CN"/>
        </w:rPr>
        <w:t>六、生活垃圾处置费。</w:t>
      </w:r>
      <w:r>
        <w:rPr>
          <w:rFonts w:hint="eastAsia" w:ascii="宋体" w:hAnsi="宋体" w:eastAsia="宋体" w:cs="宋体"/>
          <w:sz w:val="24"/>
          <w:szCs w:val="24"/>
          <w:lang w:val="en-US" w:eastAsia="zh-CN"/>
        </w:rPr>
        <w:t>生产加工型企业</w:t>
      </w: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val="en-US" w:eastAsia="zh-CN"/>
        </w:rPr>
        <w:t xml:space="preserve"> 570 </w:t>
      </w: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月（包含人工管理费）</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月</w:t>
      </w:r>
      <w:r>
        <w:rPr>
          <w:rFonts w:hint="eastAsia" w:ascii="宋体" w:hAnsi="宋体" w:eastAsia="宋体" w:cs="宋体"/>
          <w:sz w:val="24"/>
          <w:szCs w:val="24"/>
          <w:lang w:eastAsia="zh-CN"/>
        </w:rPr>
        <w:t>结算，</w:t>
      </w:r>
      <w:r>
        <w:rPr>
          <w:rFonts w:hint="eastAsia" w:ascii="宋体" w:hAnsi="宋体" w:eastAsia="宋体" w:cs="宋体"/>
          <w:sz w:val="24"/>
          <w:szCs w:val="24"/>
          <w:lang w:val="en-US" w:eastAsia="zh-CN"/>
        </w:rPr>
        <w:t>具体数量以乙方向甲方来函为准。</w:t>
      </w:r>
      <w:r>
        <w:rPr>
          <w:rFonts w:hint="eastAsia" w:ascii="宋体" w:hAnsi="宋体" w:eastAsia="宋体" w:cs="宋体"/>
          <w:sz w:val="24"/>
          <w:szCs w:val="24"/>
          <w:lang w:eastAsia="zh-CN"/>
        </w:rPr>
        <w:t>乙方应于双方签订合同后</w:t>
      </w:r>
      <w:r>
        <w:rPr>
          <w:rFonts w:hint="eastAsia" w:ascii="宋体" w:hAnsi="宋体" w:eastAsia="宋体" w:cs="宋体"/>
          <w:sz w:val="24"/>
          <w:szCs w:val="24"/>
          <w:u w:val="single"/>
          <w:lang w:eastAsia="zh-CN"/>
        </w:rPr>
        <w:t>15</w:t>
      </w:r>
      <w:r>
        <w:rPr>
          <w:rFonts w:hint="eastAsia" w:ascii="宋体" w:hAnsi="宋体" w:eastAsia="宋体" w:cs="宋体"/>
          <w:sz w:val="24"/>
          <w:szCs w:val="24"/>
          <w:lang w:eastAsia="zh-CN"/>
        </w:rPr>
        <w:t>个工作日内支付甲方第</w:t>
      </w:r>
      <w:r>
        <w:rPr>
          <w:rFonts w:hint="eastAsia" w:ascii="宋体" w:hAnsi="宋体" w:eastAsia="宋体" w:cs="宋体"/>
          <w:sz w:val="24"/>
          <w:szCs w:val="24"/>
          <w:u w:val="single"/>
          <w:lang w:eastAsia="zh-CN"/>
        </w:rPr>
        <w:t>1</w:t>
      </w:r>
      <w:r>
        <w:rPr>
          <w:rFonts w:hint="eastAsia" w:ascii="宋体" w:hAnsi="宋体" w:eastAsia="宋体" w:cs="宋体"/>
          <w:sz w:val="24"/>
          <w:szCs w:val="24"/>
          <w:lang w:val="en-US" w:eastAsia="zh-CN"/>
        </w:rPr>
        <w:t>月</w:t>
      </w:r>
      <w:r>
        <w:rPr>
          <w:rFonts w:hint="eastAsia" w:ascii="宋体" w:hAnsi="宋体" w:eastAsia="宋体" w:cs="宋体"/>
          <w:sz w:val="24"/>
          <w:szCs w:val="24"/>
          <w:lang w:eastAsia="zh-CN"/>
        </w:rPr>
        <w:t>费用，后续每</w:t>
      </w:r>
      <w:r>
        <w:rPr>
          <w:rFonts w:hint="eastAsia" w:ascii="宋体" w:hAnsi="宋体" w:eastAsia="宋体" w:cs="宋体"/>
          <w:sz w:val="24"/>
          <w:szCs w:val="24"/>
          <w:lang w:val="en-US" w:eastAsia="zh-CN"/>
        </w:rPr>
        <w:t>月</w:t>
      </w:r>
      <w:r>
        <w:rPr>
          <w:rFonts w:hint="eastAsia" w:ascii="宋体" w:hAnsi="宋体" w:eastAsia="宋体" w:cs="宋体"/>
          <w:sz w:val="24"/>
          <w:szCs w:val="24"/>
          <w:lang w:eastAsia="zh-CN"/>
        </w:rPr>
        <w:t>费用乙方在上一年费用到期前</w:t>
      </w:r>
      <w:r>
        <w:rPr>
          <w:rFonts w:hint="eastAsia" w:ascii="宋体" w:hAnsi="宋体" w:eastAsia="宋体" w:cs="宋体"/>
          <w:sz w:val="24"/>
          <w:szCs w:val="24"/>
          <w:u w:val="single"/>
          <w:lang w:eastAsia="zh-CN"/>
        </w:rPr>
        <w:t>15</w:t>
      </w:r>
      <w:r>
        <w:rPr>
          <w:rFonts w:hint="eastAsia" w:ascii="宋体" w:hAnsi="宋体" w:eastAsia="宋体" w:cs="宋体"/>
          <w:sz w:val="24"/>
          <w:szCs w:val="24"/>
          <w:u w:val="none"/>
          <w:lang w:val="en-US" w:eastAsia="zh-CN"/>
        </w:rPr>
        <w:t>个工作</w:t>
      </w:r>
      <w:r>
        <w:rPr>
          <w:rFonts w:hint="eastAsia" w:ascii="宋体" w:hAnsi="宋体" w:eastAsia="宋体" w:cs="宋体"/>
          <w:sz w:val="24"/>
          <w:szCs w:val="24"/>
          <w:lang w:eastAsia="zh-CN"/>
        </w:rPr>
        <w:t>日内支付给甲方，每逾期</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日，甲方有权向乙方收取应付未付金额的</w:t>
      </w:r>
      <w:r>
        <w:rPr>
          <w:rFonts w:hint="eastAsia" w:ascii="宋体" w:hAnsi="宋体" w:eastAsia="宋体" w:cs="宋体"/>
          <w:sz w:val="24"/>
          <w:szCs w:val="24"/>
          <w:u w:val="single"/>
          <w:lang w:eastAsia="zh-CN"/>
        </w:rPr>
        <w:t>0.0</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做为违约金。</w:t>
      </w:r>
    </w:p>
    <w:p w14:paraId="7C1D3184">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七、装修管理费。该费用标准及支付以双方签订的《装修管理服务协议》为准，乙方无装修需求的无需支付该费用。</w:t>
      </w:r>
    </w:p>
    <w:p w14:paraId="2D87CF3A">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八、清洗费。乙方如为餐饮承租商户的，为保障经营安全，达到防火要求，乙方承诺每月清洁一次罩面、抽油烟机、滤油器、油烟管道，并达到国家防火相关规范和要求，有关清洗费由乙方自行承担。其中如有多个使用人共用的油烟管道，有关清洗费由实际使用人按面积按季分摊。如乙方自行清洗后未达到防火要求，甲方有权要求乙方限期进行整改，包括但不限于停水、停电及停业整顿等措施，由此而造成的经营损失由乙方承担。</w:t>
      </w:r>
    </w:p>
    <w:p w14:paraId="4E850BD1">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第四条 双方的权利和义务</w:t>
      </w:r>
    </w:p>
    <w:p w14:paraId="6BD14480">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一、甲方的权利义务</w:t>
      </w:r>
    </w:p>
    <w:p w14:paraId="6616BE99">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（一）对房屋共用部位、共用设施设备、绿化、环境卫生、保安、交通等项目进行维护、修缮、服务与管理。</w:t>
      </w:r>
    </w:p>
    <w:p w14:paraId="167605B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（二）根据有关法规和政策，结合实际情况，制定本物业的管理制度和服务手册并书面告知乙方。</w:t>
      </w:r>
    </w:p>
    <w:p w14:paraId="4C8ABBD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（三）建立健全本物业的物业管理档案资料。</w:t>
      </w:r>
    </w:p>
    <w:p w14:paraId="5C060192">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（四）制止违反本物业管理制度及物业管理公约的行为。</w:t>
      </w:r>
    </w:p>
    <w:p w14:paraId="7636CBF3">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（五）物业管理企业可委托专业公司承担本物业的专项管理与服务业务，甲方应依据本协议向乙方收取物业管理相关费用。</w:t>
      </w:r>
    </w:p>
    <w:p w14:paraId="73FFF682">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（六）依据本协议向乙方收取物业管理相关费用。</w:t>
      </w:r>
    </w:p>
    <w:p w14:paraId="15646455">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（七）向乙方提供房屋自用部位、自用设施设备维修养护等有偿服务。</w:t>
      </w:r>
    </w:p>
    <w:p w14:paraId="548CBAB3">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八）甲方对乙方及其雇员、顾客违反物业管理法规政策，本物业相关管理规定（包括《装修管理服务协议》、《安全承诺责任书》等）及本协议的行为进行处理，包括但不限于：责令停止违章行为、要求乙方承担违约赔偿责任及支付违约金，对不按时足额缴纳有关费用或拒不改正违章行为者，有权依法停止或终止提供物业服务（包括但不限于公共秩序维护、保洁、空调、货品出入、照明、停车、供水、供电等），并采取符合本协议约定的催缴催收措施。</w:t>
      </w:r>
    </w:p>
    <w:p w14:paraId="7041207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（九）甲方对本物业实施统一的物业管理，包括调整布局、统一租赁区域装修管理。</w:t>
      </w:r>
    </w:p>
    <w:p w14:paraId="421740A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（十）由于乙方工作人员生产及经营活动产生的负面影响、相关赔偿及法律责任，均由乙方承担；甲方有权要求乙方停业（停产）整顿，停业（停产）期间的所有损失由乙方自行承担。</w:t>
      </w:r>
    </w:p>
    <w:p w14:paraId="49B4AD2D">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（十一）法律、法规规定的其它权利和义务。</w:t>
      </w:r>
    </w:p>
    <w:p w14:paraId="6E2AD810">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二、乙方的权利义务</w:t>
      </w:r>
    </w:p>
    <w:p w14:paraId="74F45369">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（一）依法享有对自己所承租物业的各项合法、合规权利。</w:t>
      </w:r>
    </w:p>
    <w:p w14:paraId="463D2201">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（二）须承担在本物业的全部风险及安全责任。</w:t>
      </w:r>
    </w:p>
    <w:p w14:paraId="3504CB64">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（三）须自觉遵守国家法律法规及本物业的《装修管理服务协议》、《安全承诺责任书》等管理约定。</w:t>
      </w:r>
    </w:p>
    <w:p w14:paraId="3E52364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（四）须按时向甲方缴纳物业管理相关费用。</w:t>
      </w:r>
    </w:p>
    <w:p w14:paraId="4FC1EC3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（五）在装饰装修承租区域时，须遵守国家有关消防、安全、装饰装修管理等法规及《装修管理服务协议》、《安全承诺责任书》。</w:t>
      </w:r>
    </w:p>
    <w:p w14:paraId="5D96DA32">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六）未经政府及甲方批准，不得以任何形式改变、损害本物业原有建筑主体结构和消防分隔等设施；不得以任何理由占用、损坏本物业的共用部位、共用设施设备或改变其使用功能。因搬迁、装饰装修等原因确需使用共用部位、共用设施设备的，应事前书面申请，经甲方批准后方可在甲方监督下合理使用，并在约定的期限内恢复原状，造成损失的，给予赔偿。</w:t>
      </w:r>
    </w:p>
    <w:p w14:paraId="66F32E7D">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（七）须遵守本物业统一生产及营业时间安排。</w:t>
      </w:r>
    </w:p>
    <w:p w14:paraId="35124554">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八）须遵守本物业消防安全管理规定，按时与甲方签订《安全承诺责任书》，并对其使用区域内的灭火器等消防安防器具、设施进行维护，按政府相关部门要求进行检测，保证其能符合国家消防相关标准、要求及正常使用。</w:t>
      </w:r>
    </w:p>
    <w:p w14:paraId="7CDF8C9B">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九）须按照安全、公平、合理的原则，正确处理本物业的给排水、通风、采光、维修、通行、卫生、环保等方面的相邻关系，不得侵害他人的合法权益；因物业公共部位、公共设施设备或邻近物业维修，或遇其他紧急情况，乙方应同意甲方人员或公用事业单位人员出入本物业。</w:t>
      </w:r>
    </w:p>
    <w:p w14:paraId="024A03E9">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未经甲方许可，不得将任何物件（包括标牌、广告牌等）安装、张挂在外墙和公共部位的墙壁上，不得利用本物业从事非法活动，不得将易燃、易爆、剧毒、放射性等物品带入、存放在本物业内；在铺内设立仓库、办公室需要按照消防要求安装烟感、喷淋、防爆灯等，商铺内货架必须符合消防要求，为非木质货架。</w:t>
      </w:r>
    </w:p>
    <w:p w14:paraId="4A01B5C3">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（十一）应依据本协议之约定，接受甲方的统一规划与生产、经营管理，并执行生产、营业、促销等管理方面之规定。</w:t>
      </w:r>
    </w:p>
    <w:p w14:paraId="2E19A8CF">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（十二）须按投资协议及租赁合同约定的经营范围从事有关经营活动。</w:t>
      </w:r>
    </w:p>
    <w:p w14:paraId="2EB8613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三）须负责赔偿其员工生产、经营、施工等违反本物业各项物业管理规定造成的损失；负责教育、监管其员工、代理人、外雇人员或其他使用者遵守本协议和其他有关规定，对于上述人员在本物业的任何违约或侵权行为，除当事人承担法律责任外，乙方承担赔偿等责任。</w:t>
      </w:r>
    </w:p>
    <w:p w14:paraId="59C4CEB5">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（十四）乙方应根据甲方规定的时间、路线、方式运输货物。</w:t>
      </w:r>
    </w:p>
    <w:p w14:paraId="192C1B89">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（十五）乙方生产经营产生的垃圾必须袋装，干湿分开。乙方如为餐饮企业，所产生的餐饮垃圾，乙方应自行收集清运和处理；乙方装修所产生的建筑垃圾等，由乙方自行清运和处理。</w:t>
      </w:r>
    </w:p>
    <w:p w14:paraId="3001536F">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（十六）未经甲方许可，乙方不得在本物业承租区域范围以外的地方，从事任何生产、经营等其他活动。</w:t>
      </w:r>
    </w:p>
    <w:p w14:paraId="48566278">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（十七）乙方应保证其租赁区域内人员至少有</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名安全员，且参加过消防、安全培训，负责其承租区域的消防、安全工作。</w:t>
      </w:r>
    </w:p>
    <w:p w14:paraId="48A23C7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（十八）乙方须负责承租区域内（包括自行完成的装修等）设施设备、财产的财产一切险、公共责任险等险种的投保并承担相应费用，保证租赁区域及附属设备设施的安全并承担全部责任。</w:t>
      </w:r>
    </w:p>
    <w:p w14:paraId="304D7CEB">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（十九）乙方使用承租区域时须遵守该区域承重标准，由于乙方超承重标准使用该区域产生的一切后果，由乙方全部承担。</w:t>
      </w:r>
    </w:p>
    <w:p w14:paraId="3AA92CC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（二十）乙方若为生产型企业，须向甲方提供《环境影响评价证书》或《环保承诺书》。</w:t>
      </w:r>
    </w:p>
    <w:p w14:paraId="4488EC2D">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（二十一）法律法规规定的其他权利和义务。</w:t>
      </w:r>
    </w:p>
    <w:p w14:paraId="7B634515">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第五条 保险</w:t>
      </w:r>
    </w:p>
    <w:p w14:paraId="21BE2E7F">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（一）甲方负责协调为本物业的共用部位、共用设施设备向保险公司投保财产一切险、公共责任险等，并承担相应的费用。</w:t>
      </w:r>
    </w:p>
    <w:p w14:paraId="6B6B709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乙方负责为承租区域内的自用设施设备、货物及自行装修部分等财产投保财产一切险、公共责任险等险种，相关费用由乙方自行负责。发生意外时，责任在乙方的，若因乙方未购买或投保金额不足，所产生的一切损失及责任均由乙方承担。</w:t>
      </w:r>
    </w:p>
    <w:p w14:paraId="778C1604">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（三）乙方入驻后，租赁区域发生重大事故时，乙方应立即向保险公司申请索赔，并协助有关部门共同分析查明原因，按投保责任处理。</w:t>
      </w:r>
    </w:p>
    <w:p w14:paraId="3C371E0C">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第六条 违约责任</w:t>
      </w:r>
    </w:p>
    <w:p w14:paraId="7B3FA378">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（一）甲乙双方应全面履行本协议，任何一方违反本协议约定的，应当按照约定承担违约责任。</w:t>
      </w:r>
    </w:p>
    <w:p w14:paraId="7C30263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（二）因不可抗力甲方未执行本协议约定的物业管理服务而造成乙方损失的，甲方不承担责任。</w:t>
      </w:r>
    </w:p>
    <w:p w14:paraId="48187852">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（三）如乙方不按本协议支付物业管理相关费用的，甲方有权要求乙方按本协议约定支付违约金。逾期达</w:t>
      </w:r>
      <w:r>
        <w:rPr>
          <w:rFonts w:hint="eastAsia" w:ascii="宋体" w:hAnsi="宋体" w:eastAsia="宋体" w:cs="宋体"/>
          <w:sz w:val="24"/>
          <w:szCs w:val="24"/>
          <w:u w:val="single"/>
          <w:lang w:eastAsia="zh-CN"/>
        </w:rPr>
        <w:t>15</w:t>
      </w:r>
      <w:r>
        <w:rPr>
          <w:rFonts w:hint="eastAsia" w:ascii="宋体" w:hAnsi="宋体" w:eastAsia="宋体" w:cs="宋体"/>
          <w:sz w:val="24"/>
          <w:szCs w:val="24"/>
          <w:lang w:eastAsia="zh-CN"/>
        </w:rPr>
        <w:t>日的，甲方有权停止对乙方进行物业服务（包括停电、停水等服务项目）,直至解除本协议，由此造成的相关损失及责任全部由乙方承担。</w:t>
      </w:r>
    </w:p>
    <w:p w14:paraId="396F163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四）如经催收而乙方仍不交纳物业相关费用的,甲方有权从乙方缴纳的租赁保证金中进行抵扣，如租赁保证金不足抵扣，甲方将通过司法途径催收，乙方应承担甲方因此而支出的费用，包括但不限于诉讼费、保全费、执行费、律师服务费等，其中律师服务费按本物业所在地律师服务收费标准的上限执行。</w:t>
      </w:r>
    </w:p>
    <w:p w14:paraId="401EEF2E">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如乙方违反物业管理各项规定的，甲方有权要求乙方限期纠正，逾期仍不纠正的，甲方有权按本物业相关管理规定或本协议有关约定追究乙方违约责任，并有权停止物业服务，直至解除本协议，由此造成的损失及责任由乙方承担。</w:t>
      </w:r>
    </w:p>
    <w:p w14:paraId="6317ABB8">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第七条 双方确定，甲方无须就以下原因所致损害承担责任</w:t>
      </w:r>
    </w:p>
    <w:p w14:paraId="4B624E70">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（一）因不可抗力导致的服务中断或物业价值的贬损。</w:t>
      </w:r>
    </w:p>
    <w:p w14:paraId="4D37146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（二）因物业本身固有瑕疵造成的损害。</w:t>
      </w:r>
    </w:p>
    <w:p w14:paraId="47347EE1">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（三）因维修、养护共用部位、共用设施设备需要而临时停水、停电或停止共用设施设备的使用。</w:t>
      </w:r>
    </w:p>
    <w:p w14:paraId="3553B793">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（四）因非甲方责任造成的供水、供电、空调、通讯、有线电视及其他公用设施设备的中断、障碍及损失。</w:t>
      </w:r>
    </w:p>
    <w:p w14:paraId="22D12193">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（五）因乙方不缴纳或未按时缴纳物业管理费，或其他有关费用，以及因乙方责任致使甲方无法完成物业服务或达不到服务标准。</w:t>
      </w:r>
    </w:p>
    <w:p w14:paraId="2EB38E92">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ascii="宋体" w:hAnsi="宋体" w:eastAsia="宋体" w:cs="宋体"/>
          <w:b/>
          <w:bCs/>
          <w:sz w:val="24"/>
          <w:szCs w:val="24"/>
          <w:lang w:eastAsia="zh-CN"/>
        </w:rPr>
        <w:t>第</w:t>
      </w:r>
      <w:r>
        <w:rPr>
          <w:rFonts w:hint="eastAsia" w:ascii="宋体" w:hAnsi="宋体" w:eastAsia="宋体" w:cs="宋体"/>
          <w:b/>
          <w:bCs/>
          <w:sz w:val="24"/>
          <w:szCs w:val="24"/>
          <w:lang w:eastAsia="zh-CN"/>
        </w:rPr>
        <w:t>八</w:t>
      </w:r>
      <w:r>
        <w:rPr>
          <w:rFonts w:ascii="宋体" w:hAnsi="宋体" w:eastAsia="宋体" w:cs="宋体"/>
          <w:b/>
          <w:bCs/>
          <w:sz w:val="24"/>
          <w:szCs w:val="24"/>
          <w:lang w:eastAsia="zh-CN"/>
        </w:rPr>
        <w:t>条 紧急状况</w:t>
      </w:r>
    </w:p>
    <w:p w14:paraId="6B14B3B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为维护</w:t>
      </w:r>
      <w:r>
        <w:rPr>
          <w:rFonts w:hint="eastAsia" w:ascii="宋体" w:hAnsi="宋体" w:eastAsia="宋体" w:cs="宋体"/>
          <w:sz w:val="24"/>
          <w:szCs w:val="24"/>
          <w:lang w:eastAsia="zh-CN"/>
        </w:rPr>
        <w:t>相关人员</w:t>
      </w:r>
      <w:r>
        <w:rPr>
          <w:rFonts w:ascii="宋体" w:hAnsi="宋体" w:eastAsia="宋体" w:cs="宋体"/>
          <w:sz w:val="24"/>
          <w:szCs w:val="24"/>
          <w:lang w:eastAsia="zh-CN"/>
        </w:rPr>
        <w:t>的切身利益，在不可预见情况下，如发生天然气泄漏、漏电、火灾、水管破裂、救助人命、协助公安机关执行任务等突发事件，甲方因采取紧急措施造成乙方财产损失的，甲方不承担责任，其它事宜双方按有关法律规定处理。</w:t>
      </w:r>
    </w:p>
    <w:p w14:paraId="7EA03FEB">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ascii="宋体" w:hAnsi="宋体" w:eastAsia="宋体" w:cs="宋体"/>
          <w:b/>
          <w:bCs/>
          <w:sz w:val="24"/>
          <w:szCs w:val="24"/>
          <w:lang w:eastAsia="zh-CN"/>
        </w:rPr>
        <w:t>第</w:t>
      </w:r>
      <w:r>
        <w:rPr>
          <w:rFonts w:hint="eastAsia" w:ascii="宋体" w:hAnsi="宋体" w:eastAsia="宋体" w:cs="宋体"/>
          <w:b/>
          <w:bCs/>
          <w:sz w:val="24"/>
          <w:szCs w:val="24"/>
          <w:lang w:eastAsia="zh-CN"/>
        </w:rPr>
        <w:t>九</w:t>
      </w:r>
      <w:r>
        <w:rPr>
          <w:rFonts w:ascii="宋体" w:hAnsi="宋体" w:eastAsia="宋体" w:cs="宋体"/>
          <w:b/>
          <w:bCs/>
          <w:sz w:val="24"/>
          <w:szCs w:val="24"/>
          <w:lang w:eastAsia="zh-CN"/>
        </w:rPr>
        <w:t>条 不可抗力</w:t>
      </w:r>
    </w:p>
    <w:p w14:paraId="55DF4E5D">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在本协议执行期间，如遇不可抗力致使协议无法履行，双方按有关法律规定处理。</w:t>
      </w:r>
    </w:p>
    <w:p w14:paraId="77453423">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ascii="宋体" w:hAnsi="宋体" w:eastAsia="宋体" w:cs="宋体"/>
          <w:b/>
          <w:bCs/>
          <w:sz w:val="24"/>
          <w:szCs w:val="24"/>
          <w:lang w:eastAsia="zh-CN"/>
        </w:rPr>
        <w:t>第十条 争议解决</w:t>
      </w:r>
    </w:p>
    <w:p w14:paraId="2DF11F04">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本协议在履行中如发生争议，双方应协商解决</w:t>
      </w:r>
      <w:r>
        <w:rPr>
          <w:rFonts w:hint="eastAsia" w:ascii="宋体" w:hAnsi="宋体" w:eastAsia="宋体" w:cs="宋体"/>
          <w:sz w:val="24"/>
          <w:szCs w:val="24"/>
          <w:lang w:eastAsia="zh-CN"/>
        </w:rPr>
        <w:t>，</w:t>
      </w:r>
      <w:r>
        <w:rPr>
          <w:rFonts w:ascii="宋体" w:hAnsi="宋体" w:eastAsia="宋体" w:cs="宋体"/>
          <w:sz w:val="24"/>
          <w:szCs w:val="24"/>
          <w:lang w:eastAsia="zh-CN"/>
        </w:rPr>
        <w:t>协商无法解决的，双方约定向本合同签订地人民法院提起诉讼</w:t>
      </w:r>
      <w:r>
        <w:rPr>
          <w:rFonts w:hint="eastAsia" w:ascii="宋体" w:hAnsi="宋体" w:eastAsia="宋体" w:cs="宋体"/>
          <w:sz w:val="24"/>
          <w:szCs w:val="24"/>
          <w:lang w:eastAsia="zh-CN"/>
        </w:rPr>
        <w:t>。</w:t>
      </w:r>
    </w:p>
    <w:p w14:paraId="3130585B">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第十一条 附则</w:t>
      </w:r>
    </w:p>
    <w:p w14:paraId="2800D3A5">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一、乙方的员工、家人、顾客、访客等相关人员违反本合同约定的，乙方承担连带法律责任及赔偿。</w:t>
      </w:r>
    </w:p>
    <w:p w14:paraId="4403435D">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乙方使用的承租区域地址为乙方通讯地址，本合同约定甲方送达乙方的相关通知及文件，甲方可采用包括但不限于以下方式通知并视为送达：快递或挂号信函或派员投递于乙方名下的信箱（以投送登记为准）。甲方通过快递或挂号信函投送的，自交邮之日起五日后视为送达乙方。</w:t>
      </w:r>
    </w:p>
    <w:p w14:paraId="0E3DC1FA">
      <w:pPr>
        <w:spacing w:before="0" w:beforeAutospacing="0" w:after="0" w:afterAutospacing="0" w:line="288"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第十二条 其它</w:t>
      </w:r>
    </w:p>
    <w:p w14:paraId="5C65EA5C">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一、本协议作为租赁合同附件，自双方盖章之日起生效。。</w:t>
      </w:r>
    </w:p>
    <w:p w14:paraId="479C29B7">
      <w:pPr>
        <w:spacing w:before="0" w:beforeAutospacing="0" w:after="0" w:afterAutospacing="0" w:line="288"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二、甲方与乙方签订的《租赁合同》、《装修管理服务协议》、《安全承诺责任书》等涉及物业管理的条款,构成本合同的有效组成部分。本合同终止后如相关费用尚未结清，则有关费用结算、违约责任及争议解决条款继续有效。</w:t>
      </w:r>
    </w:p>
    <w:p w14:paraId="1AEE3328">
      <w:pPr>
        <w:spacing w:before="0" w:beforeAutospacing="0" w:after="0" w:afterAutospacing="0" w:line="288" w:lineRule="auto"/>
        <w:rPr>
          <w:rFonts w:ascii="宋体" w:hAnsi="宋体" w:eastAsia="宋体" w:cs="宋体"/>
          <w:sz w:val="24"/>
          <w:szCs w:val="24"/>
          <w:lang w:eastAsia="zh-CN"/>
        </w:rPr>
      </w:pPr>
    </w:p>
    <w:p w14:paraId="1B2AD5C9">
      <w:pPr>
        <w:spacing w:before="0" w:beforeAutospacing="0" w:after="0" w:afterAutospacing="0" w:line="288" w:lineRule="auto"/>
        <w:rPr>
          <w:rFonts w:ascii="宋体" w:hAnsi="宋体" w:eastAsia="宋体" w:cs="宋体"/>
          <w:sz w:val="24"/>
          <w:szCs w:val="24"/>
          <w:lang w:eastAsia="zh-CN"/>
        </w:rPr>
      </w:pPr>
    </w:p>
    <w:p w14:paraId="00A0FA30">
      <w:pPr>
        <w:pStyle w:val="2"/>
        <w:rPr>
          <w:lang w:eastAsia="zh-CN"/>
        </w:rPr>
      </w:pPr>
    </w:p>
    <w:p w14:paraId="7CED85C5">
      <w:pPr>
        <w:spacing w:before="0" w:beforeAutospacing="0" w:after="0" w:afterAutospacing="0"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甲方（盖章）：                            乙方（盖章）：</w:t>
      </w:r>
    </w:p>
    <w:p w14:paraId="03847FB3">
      <w:pPr>
        <w:spacing w:before="0" w:beforeAutospacing="0" w:after="0" w:afterAutospacing="0"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eastAsia="宋体" w:cs="宋体"/>
          <w:sz w:val="24"/>
          <w:szCs w:val="24"/>
          <w:lang w:val="en-US" w:eastAsia="zh-CN"/>
        </w:rPr>
        <w:t>人或授权代表</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或签章</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法</w:t>
      </w:r>
      <w:r>
        <w:rPr>
          <w:rFonts w:hint="eastAsia" w:ascii="宋体" w:hAnsi="宋体" w:eastAsia="宋体" w:cs="宋体"/>
          <w:sz w:val="24"/>
          <w:szCs w:val="24"/>
          <w:lang w:val="en-US" w:eastAsia="zh-CN"/>
        </w:rPr>
        <w:t>人或授权代表</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或签章</w:t>
      </w:r>
      <w:r>
        <w:rPr>
          <w:rFonts w:hint="eastAsia" w:ascii="宋体" w:hAnsi="宋体" w:eastAsia="宋体" w:cs="宋体"/>
          <w:sz w:val="24"/>
          <w:szCs w:val="24"/>
          <w:lang w:eastAsia="zh-CN"/>
        </w:rPr>
        <w:t>）：</w:t>
      </w:r>
    </w:p>
    <w:p w14:paraId="63A63C81">
      <w:pPr>
        <w:spacing w:before="0" w:beforeAutospacing="0" w:after="0" w:afterAutospacing="0" w:line="480" w:lineRule="auto"/>
        <w:jc w:val="both"/>
        <w:rPr>
          <w:rFonts w:ascii="方正仿宋简体" w:hAnsi="方正仿宋简体" w:eastAsia="方正仿宋简体" w:cs="方正仿宋简体"/>
          <w:color w:val="000000"/>
          <w:sz w:val="24"/>
          <w:szCs w:val="24"/>
        </w:rPr>
      </w:pPr>
      <w:r>
        <w:rPr>
          <w:rFonts w:hint="eastAsia" w:ascii="宋体" w:hAnsi="宋体" w:eastAsia="宋体" w:cs="宋体"/>
          <w:sz w:val="24"/>
          <w:szCs w:val="24"/>
          <w:lang w:eastAsia="zh-CN"/>
        </w:rPr>
        <w:t>联系方式： 028-89339899                   联系方式：</w:t>
      </w:r>
    </w:p>
    <w:p w14:paraId="56684D0E">
      <w:pPr>
        <w:pStyle w:val="11"/>
        <w:rPr>
          <w:rFonts w:hint="eastAsia" w:eastAsiaTheme="minorEastAsia"/>
          <w:lang w:eastAsia="zh-CN"/>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074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4170" cy="147955"/>
              <wp:effectExtent l="0" t="0" r="11430" b="0"/>
              <wp:wrapNone/>
              <wp:docPr id="2" name="文本框 2"/>
              <wp:cNvGraphicFramePr/>
              <a:graphic xmlns:a="http://schemas.openxmlformats.org/drawingml/2006/main">
                <a:graphicData uri="http://schemas.microsoft.com/office/word/2010/wordprocessingShape">
                  <wps:wsp>
                    <wps:cNvSpPr txBox="1"/>
                    <wps:spPr>
                      <a:xfrm>
                        <a:off x="0" y="0"/>
                        <a:ext cx="344170" cy="147955"/>
                      </a:xfrm>
                      <a:prstGeom prst="rect">
                        <a:avLst/>
                      </a:prstGeom>
                      <a:noFill/>
                      <a:ln w="6350">
                        <a:noFill/>
                      </a:ln>
                      <a:effectLst/>
                    </wps:spPr>
                    <wps:txbx>
                      <w:txbxContent>
                        <w:p w14:paraId="7C35E9F0">
                          <w:pPr>
                            <w:pStyle w:val="8"/>
                          </w:pPr>
                          <w:r>
                            <w:rPr>
                              <w:rFonts w:hint="eastAsia"/>
                            </w:rPr>
                            <w:t>第</w:t>
                          </w:r>
                          <w:r>
                            <w:fldChar w:fldCharType="begin"/>
                          </w:r>
                          <w:r>
                            <w:instrText xml:space="preserve"> PAGE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27.1pt;mso-position-horizontal:center;mso-position-horizontal-relative:margin;mso-wrap-style:none;z-index:251659264;mso-width-relative:page;mso-height-relative:page;" filled="f" stroked="f" coordsize="21600,21600" o:gfxdata="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88i3NIAAAADAQAADwAAAAAAAAABACAAAAAiAAAAZHJzL2Rvd25yZXYueG1s&#10;UEsBAhQAFAAAAAgAh07iQOvLAmQ3AgAAYQQAAA4AAAAAAAAAAQAgAAAAIQEAAGRycy9lMm9Eb2Mu&#10;eG1sUEsFBgAAAAAGAAYAWQEAAMoFAAAAAA==&#10;">
              <v:fill on="f" focussize="0,0"/>
              <v:stroke on="f" weight="0.5pt"/>
              <v:imagedata o:title=""/>
              <o:lock v:ext="edit" aspectratio="f"/>
              <v:textbox inset="0mm,0mm,0mm,0mm" style="mso-fit-shape-to-text:t;">
                <w:txbxContent>
                  <w:p w14:paraId="7C35E9F0">
                    <w:pPr>
                      <w:pStyle w:val="8"/>
                    </w:pPr>
                    <w:r>
                      <w:rPr>
                        <w:rFonts w:hint="eastAsia"/>
                      </w:rPr>
                      <w:t>第</w:t>
                    </w:r>
                    <w:r>
                      <w:fldChar w:fldCharType="begin"/>
                    </w:r>
                    <w:r>
                      <w:instrText xml:space="preserve"> PAGE  \* MERGEFORMAT </w:instrText>
                    </w:r>
                    <w:r>
                      <w:fldChar w:fldCharType="separate"/>
                    </w:r>
                    <w:r>
                      <w:t>9</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409D">
    <w:pPr>
      <w:pStyle w:val="9"/>
      <w:pBdr>
        <w:bottom w:val="none" w:color="auto" w:sz="0" w:space="1"/>
      </w:pBdr>
      <w:tabs>
        <w:tab w:val="center" w:pos="4213"/>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7FC9F"/>
    <w:multiLevelType w:val="singleLevel"/>
    <w:tmpl w:val="DD77FC9F"/>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YzZkMWE0OTBjODEyZmY5OTllNmI1YTk4ZTczNTYifQ=="/>
  </w:docVars>
  <w:rsids>
    <w:rsidRoot w:val="00AB7834"/>
    <w:rsid w:val="00013D43"/>
    <w:rsid w:val="00013E4F"/>
    <w:rsid w:val="00043E81"/>
    <w:rsid w:val="0004576D"/>
    <w:rsid w:val="0005420D"/>
    <w:rsid w:val="00054F20"/>
    <w:rsid w:val="00092852"/>
    <w:rsid w:val="000B54D6"/>
    <w:rsid w:val="000D5359"/>
    <w:rsid w:val="000F12D8"/>
    <w:rsid w:val="00115D21"/>
    <w:rsid w:val="001168B1"/>
    <w:rsid w:val="00120453"/>
    <w:rsid w:val="001424B2"/>
    <w:rsid w:val="00142985"/>
    <w:rsid w:val="0014433F"/>
    <w:rsid w:val="0014747E"/>
    <w:rsid w:val="0016016E"/>
    <w:rsid w:val="00167BD1"/>
    <w:rsid w:val="00190772"/>
    <w:rsid w:val="00196919"/>
    <w:rsid w:val="001A00CA"/>
    <w:rsid w:val="001C021E"/>
    <w:rsid w:val="001C1CB1"/>
    <w:rsid w:val="001E1BAF"/>
    <w:rsid w:val="002208CD"/>
    <w:rsid w:val="00231AAE"/>
    <w:rsid w:val="00241F1B"/>
    <w:rsid w:val="00252C58"/>
    <w:rsid w:val="00263BC9"/>
    <w:rsid w:val="002816A5"/>
    <w:rsid w:val="002914B5"/>
    <w:rsid w:val="002C3656"/>
    <w:rsid w:val="00300A67"/>
    <w:rsid w:val="00303270"/>
    <w:rsid w:val="003047DD"/>
    <w:rsid w:val="00317A79"/>
    <w:rsid w:val="00335426"/>
    <w:rsid w:val="003405F6"/>
    <w:rsid w:val="00346C7F"/>
    <w:rsid w:val="0036082D"/>
    <w:rsid w:val="00363ED9"/>
    <w:rsid w:val="003909CF"/>
    <w:rsid w:val="003A40FB"/>
    <w:rsid w:val="003B2D33"/>
    <w:rsid w:val="003C75B1"/>
    <w:rsid w:val="003E4558"/>
    <w:rsid w:val="003E4D20"/>
    <w:rsid w:val="0042500D"/>
    <w:rsid w:val="00437801"/>
    <w:rsid w:val="004672EE"/>
    <w:rsid w:val="0047560F"/>
    <w:rsid w:val="00490C6D"/>
    <w:rsid w:val="004B35D5"/>
    <w:rsid w:val="004E16E2"/>
    <w:rsid w:val="004F5DE5"/>
    <w:rsid w:val="00504CAC"/>
    <w:rsid w:val="005156D5"/>
    <w:rsid w:val="0052597B"/>
    <w:rsid w:val="00534D76"/>
    <w:rsid w:val="005954B0"/>
    <w:rsid w:val="005A23A3"/>
    <w:rsid w:val="005D0D65"/>
    <w:rsid w:val="005D1F39"/>
    <w:rsid w:val="005E2CA6"/>
    <w:rsid w:val="00654E88"/>
    <w:rsid w:val="00663472"/>
    <w:rsid w:val="006A6494"/>
    <w:rsid w:val="006D056E"/>
    <w:rsid w:val="006D3CE1"/>
    <w:rsid w:val="006D4435"/>
    <w:rsid w:val="00701879"/>
    <w:rsid w:val="00730CE3"/>
    <w:rsid w:val="00742626"/>
    <w:rsid w:val="00760935"/>
    <w:rsid w:val="00793A9E"/>
    <w:rsid w:val="007A7F67"/>
    <w:rsid w:val="007B2CB6"/>
    <w:rsid w:val="007B3460"/>
    <w:rsid w:val="007D3787"/>
    <w:rsid w:val="007F0E61"/>
    <w:rsid w:val="007F3DEE"/>
    <w:rsid w:val="0080467D"/>
    <w:rsid w:val="008056FC"/>
    <w:rsid w:val="00883A26"/>
    <w:rsid w:val="008B7C51"/>
    <w:rsid w:val="008C52D7"/>
    <w:rsid w:val="008D6C80"/>
    <w:rsid w:val="009118D5"/>
    <w:rsid w:val="00914AA2"/>
    <w:rsid w:val="009622AF"/>
    <w:rsid w:val="00976FE1"/>
    <w:rsid w:val="009B31A4"/>
    <w:rsid w:val="009C2F71"/>
    <w:rsid w:val="009D7D6C"/>
    <w:rsid w:val="009F0B9C"/>
    <w:rsid w:val="00A10721"/>
    <w:rsid w:val="00A44EE5"/>
    <w:rsid w:val="00A464C6"/>
    <w:rsid w:val="00A84CD6"/>
    <w:rsid w:val="00A91FFB"/>
    <w:rsid w:val="00A929D5"/>
    <w:rsid w:val="00AB7834"/>
    <w:rsid w:val="00B049AE"/>
    <w:rsid w:val="00B07D36"/>
    <w:rsid w:val="00B14E2B"/>
    <w:rsid w:val="00B42C6A"/>
    <w:rsid w:val="00B71395"/>
    <w:rsid w:val="00B81E3A"/>
    <w:rsid w:val="00BA21D0"/>
    <w:rsid w:val="00BB47CA"/>
    <w:rsid w:val="00BB65B2"/>
    <w:rsid w:val="00BD5B3B"/>
    <w:rsid w:val="00C23E3E"/>
    <w:rsid w:val="00C468DA"/>
    <w:rsid w:val="00C502E5"/>
    <w:rsid w:val="00C5032D"/>
    <w:rsid w:val="00C679AD"/>
    <w:rsid w:val="00C86352"/>
    <w:rsid w:val="00C87530"/>
    <w:rsid w:val="00CA5D24"/>
    <w:rsid w:val="00CB6A01"/>
    <w:rsid w:val="00CC2468"/>
    <w:rsid w:val="00CC708F"/>
    <w:rsid w:val="00CC7451"/>
    <w:rsid w:val="00D22AEA"/>
    <w:rsid w:val="00D33578"/>
    <w:rsid w:val="00D54863"/>
    <w:rsid w:val="00D85820"/>
    <w:rsid w:val="00D877A4"/>
    <w:rsid w:val="00D929DF"/>
    <w:rsid w:val="00DE3EA8"/>
    <w:rsid w:val="00DF3C80"/>
    <w:rsid w:val="00DF60C6"/>
    <w:rsid w:val="00DF774A"/>
    <w:rsid w:val="00E17221"/>
    <w:rsid w:val="00E440B9"/>
    <w:rsid w:val="00E573D6"/>
    <w:rsid w:val="00E76DBA"/>
    <w:rsid w:val="00EB2FB9"/>
    <w:rsid w:val="00EB384E"/>
    <w:rsid w:val="00EE61D5"/>
    <w:rsid w:val="00EF549A"/>
    <w:rsid w:val="00EF5FB1"/>
    <w:rsid w:val="00EF633B"/>
    <w:rsid w:val="00F00FD7"/>
    <w:rsid w:val="00F11A6D"/>
    <w:rsid w:val="00F256A1"/>
    <w:rsid w:val="00F60B8A"/>
    <w:rsid w:val="00F62FC2"/>
    <w:rsid w:val="00F67DEC"/>
    <w:rsid w:val="00FA4A02"/>
    <w:rsid w:val="00FA4D9E"/>
    <w:rsid w:val="00FB0DE6"/>
    <w:rsid w:val="00FB268B"/>
    <w:rsid w:val="00FB281B"/>
    <w:rsid w:val="00FE1392"/>
    <w:rsid w:val="024F3DF0"/>
    <w:rsid w:val="04E422CE"/>
    <w:rsid w:val="051F5162"/>
    <w:rsid w:val="05EB4341"/>
    <w:rsid w:val="067F0DF1"/>
    <w:rsid w:val="06807C49"/>
    <w:rsid w:val="06FC3960"/>
    <w:rsid w:val="0818598D"/>
    <w:rsid w:val="09C15FB0"/>
    <w:rsid w:val="0CAB4293"/>
    <w:rsid w:val="0D8C4DCF"/>
    <w:rsid w:val="0F065F41"/>
    <w:rsid w:val="10664011"/>
    <w:rsid w:val="107503D4"/>
    <w:rsid w:val="10D25A62"/>
    <w:rsid w:val="10ED1C89"/>
    <w:rsid w:val="111F4572"/>
    <w:rsid w:val="142434B3"/>
    <w:rsid w:val="14EC5605"/>
    <w:rsid w:val="167F27F1"/>
    <w:rsid w:val="16FF5D0B"/>
    <w:rsid w:val="1C8D0828"/>
    <w:rsid w:val="1CBC749F"/>
    <w:rsid w:val="21CC41B7"/>
    <w:rsid w:val="221A7193"/>
    <w:rsid w:val="223A7069"/>
    <w:rsid w:val="24EB1FF1"/>
    <w:rsid w:val="25E0698D"/>
    <w:rsid w:val="261254AF"/>
    <w:rsid w:val="27A9380B"/>
    <w:rsid w:val="28315AD2"/>
    <w:rsid w:val="2ABF77E0"/>
    <w:rsid w:val="2B28252A"/>
    <w:rsid w:val="2B2F0283"/>
    <w:rsid w:val="2DFF721D"/>
    <w:rsid w:val="2E0C1DF4"/>
    <w:rsid w:val="2EE12C5A"/>
    <w:rsid w:val="2F917E4B"/>
    <w:rsid w:val="30722ADA"/>
    <w:rsid w:val="31133DE8"/>
    <w:rsid w:val="317C2E20"/>
    <w:rsid w:val="31B34EA4"/>
    <w:rsid w:val="327C44D7"/>
    <w:rsid w:val="32934471"/>
    <w:rsid w:val="33DE230D"/>
    <w:rsid w:val="34212F27"/>
    <w:rsid w:val="36352D7D"/>
    <w:rsid w:val="37B93CE8"/>
    <w:rsid w:val="37BE4B91"/>
    <w:rsid w:val="38B63367"/>
    <w:rsid w:val="38FA4187"/>
    <w:rsid w:val="39731A44"/>
    <w:rsid w:val="3DBD7EB3"/>
    <w:rsid w:val="3EBD6AD3"/>
    <w:rsid w:val="415038EF"/>
    <w:rsid w:val="425859DF"/>
    <w:rsid w:val="42B20E29"/>
    <w:rsid w:val="444D38CD"/>
    <w:rsid w:val="4474508F"/>
    <w:rsid w:val="45551ACA"/>
    <w:rsid w:val="484E58FD"/>
    <w:rsid w:val="4A0D0367"/>
    <w:rsid w:val="4A4E65D6"/>
    <w:rsid w:val="4B3D21E5"/>
    <w:rsid w:val="4B4C6700"/>
    <w:rsid w:val="4DEF39F3"/>
    <w:rsid w:val="4F942698"/>
    <w:rsid w:val="50016B47"/>
    <w:rsid w:val="528D54D6"/>
    <w:rsid w:val="530D3B08"/>
    <w:rsid w:val="53363536"/>
    <w:rsid w:val="55A06AD5"/>
    <w:rsid w:val="56235BA2"/>
    <w:rsid w:val="573E2F38"/>
    <w:rsid w:val="59420BEC"/>
    <w:rsid w:val="5A952B19"/>
    <w:rsid w:val="5CF73DE6"/>
    <w:rsid w:val="5D1C141C"/>
    <w:rsid w:val="5DB62300"/>
    <w:rsid w:val="5EB714B1"/>
    <w:rsid w:val="5FC036F9"/>
    <w:rsid w:val="601C270A"/>
    <w:rsid w:val="608417E7"/>
    <w:rsid w:val="60C85C09"/>
    <w:rsid w:val="60F71CF6"/>
    <w:rsid w:val="643E20F2"/>
    <w:rsid w:val="670A73E3"/>
    <w:rsid w:val="687D0CA5"/>
    <w:rsid w:val="6AC00D2B"/>
    <w:rsid w:val="6B654BBE"/>
    <w:rsid w:val="6C162381"/>
    <w:rsid w:val="6C756C54"/>
    <w:rsid w:val="6D907929"/>
    <w:rsid w:val="6DA46666"/>
    <w:rsid w:val="6E263E89"/>
    <w:rsid w:val="6E3C422C"/>
    <w:rsid w:val="70176A19"/>
    <w:rsid w:val="75485BC4"/>
    <w:rsid w:val="75980510"/>
    <w:rsid w:val="76047823"/>
    <w:rsid w:val="76D4043B"/>
    <w:rsid w:val="7AB67763"/>
    <w:rsid w:val="7B60007E"/>
    <w:rsid w:val="7B9F6AB9"/>
    <w:rsid w:val="7CC668B9"/>
    <w:rsid w:val="7D0864C2"/>
    <w:rsid w:val="7DB43FB5"/>
    <w:rsid w:val="7DB9496E"/>
    <w:rsid w:val="7EC154B9"/>
    <w:rsid w:val="7EC335C4"/>
    <w:rsid w:val="7FDC4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9"/>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annotation text"/>
    <w:basedOn w:val="1"/>
    <w:link w:val="23"/>
    <w:semiHidden/>
    <w:unhideWhenUsed/>
    <w:qFormat/>
    <w:uiPriority w:val="99"/>
    <w:pPr>
      <w:jc w:val="left"/>
    </w:pPr>
  </w:style>
  <w:style w:type="paragraph" w:styleId="6">
    <w:name w:val="Body Text Indent"/>
    <w:basedOn w:val="1"/>
    <w:qFormat/>
    <w:uiPriority w:val="0"/>
    <w:pPr>
      <w:spacing w:after="120"/>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paragraph" w:styleId="11">
    <w:name w:val="Body Text First Indent 2"/>
    <w:basedOn w:val="6"/>
    <w:qFormat/>
    <w:uiPriority w:val="0"/>
    <w:pPr>
      <w:ind w:leftChars="0" w:firstLine="210"/>
    </w:pPr>
    <w:rPr>
      <w:rFonts w:eastAsia="仿宋_GB2312"/>
      <w:sz w:val="30"/>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20"/>
    <w:rPr>
      <w:i/>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semiHidden/>
    <w:qFormat/>
    <w:uiPriority w:val="99"/>
    <w:rPr>
      <w:sz w:val="18"/>
      <w:szCs w:val="18"/>
    </w:rPr>
  </w:style>
  <w:style w:type="character" w:customStyle="1" w:styleId="19">
    <w:name w:val="标题 1 Char"/>
    <w:basedOn w:val="14"/>
    <w:link w:val="4"/>
    <w:qFormat/>
    <w:uiPriority w:val="0"/>
    <w:rPr>
      <w:rFonts w:ascii="宋体" w:hAnsi="宋体" w:eastAsia="宋体" w:cs="Times New Roman"/>
      <w:b/>
      <w:kern w:val="44"/>
      <w:sz w:val="48"/>
      <w:szCs w:val="48"/>
    </w:rPr>
  </w:style>
  <w:style w:type="paragraph" w:customStyle="1" w:styleId="20">
    <w:name w:val="p16"/>
    <w:basedOn w:val="1"/>
    <w:qFormat/>
    <w:uiPriority w:val="0"/>
    <w:pPr>
      <w:widowControl/>
      <w:spacing w:line="480" w:lineRule="auto"/>
      <w:ind w:firstLine="420"/>
    </w:pPr>
    <w:rPr>
      <w:kern w:val="0"/>
      <w:szCs w:val="21"/>
    </w:rPr>
  </w:style>
  <w:style w:type="paragraph" w:styleId="21">
    <w:name w:val="List Paragraph"/>
    <w:basedOn w:val="1"/>
    <w:qFormat/>
    <w:uiPriority w:val="34"/>
    <w:pPr>
      <w:ind w:firstLine="420" w:firstLineChars="200"/>
    </w:pPr>
  </w:style>
  <w:style w:type="character" w:customStyle="1" w:styleId="22">
    <w:name w:val="批注框文本 Char"/>
    <w:basedOn w:val="14"/>
    <w:link w:val="7"/>
    <w:semiHidden/>
    <w:qFormat/>
    <w:uiPriority w:val="99"/>
    <w:rPr>
      <w:kern w:val="2"/>
      <w:sz w:val="18"/>
      <w:szCs w:val="18"/>
    </w:rPr>
  </w:style>
  <w:style w:type="character" w:customStyle="1" w:styleId="23">
    <w:name w:val="批注文字 Char"/>
    <w:basedOn w:val="14"/>
    <w:link w:val="5"/>
    <w:semiHidden/>
    <w:qFormat/>
    <w:uiPriority w:val="99"/>
    <w:rPr>
      <w:kern w:val="2"/>
      <w:sz w:val="21"/>
      <w:szCs w:val="24"/>
    </w:rPr>
  </w:style>
  <w:style w:type="character" w:customStyle="1" w:styleId="24">
    <w:name w:val="批注主题 Char"/>
    <w:basedOn w:val="23"/>
    <w:link w:val="10"/>
    <w:semiHidden/>
    <w:qFormat/>
    <w:uiPriority w:val="99"/>
    <w:rPr>
      <w:b/>
      <w:bCs/>
      <w:kern w:val="2"/>
      <w:sz w:val="21"/>
      <w:szCs w:val="24"/>
    </w:rPr>
  </w:style>
  <w:style w:type="paragraph" w:customStyle="1" w:styleId="25">
    <w:name w:val="p0"/>
    <w:basedOn w:val="1"/>
    <w:qFormat/>
    <w:uiPriority w:val="0"/>
    <w:pPr>
      <w:widowControl/>
    </w:pPr>
    <w:rPr>
      <w:rFonts w:ascii="Calibri" w:hAnsi="Calibri" w:eastAsia="方正仿宋_GBK"/>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11120</Words>
  <Characters>11358</Characters>
  <Lines>51</Lines>
  <Paragraphs>14</Paragraphs>
  <TotalTime>1</TotalTime>
  <ScaleCrop>false</ScaleCrop>
  <LinksUpToDate>false</LinksUpToDate>
  <CharactersWithSpaces>11691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2020-06-29T02:30:00Z</dcterms:created>
  <dc:creator>Lenovo</dc:creator>
  <cp:lastModifiedBy>高瑞</cp:lastModifiedBy>
  <cp:lastPrinted>2025-06-16T02:27:00Z</cp:lastPrinted>
  <dcterms:modified xsi:type="dcterms:W3CDTF">2025-10-23T02:05:46Z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054DB94DEF4E4767A2D94A06EBA53CC0_13</vt:lpwstr>
  </property>
  <property fmtid="{D5CDD505-2E9C-101B-9397-08002B2CF9AE}" pid="4" name="KSOTemplateDocerSaveRecord">
    <vt:lpwstr>eyJoZGlkIjoiM2M0ODNlMmMyNzFkYWIyMzdkOWZhYTM2NTUwYTVkNTUiLCJ1c2VySWQiOiIxNjkyODI4NDE2In0=</vt:lpwstr>
  </property>
</Properties>
</file>