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7BEA6">
      <w:pPr>
        <w:spacing w:before="153" w:line="223" w:lineRule="auto"/>
        <w:ind w:left="107" w:leftChars="0"/>
        <w:jc w:val="center"/>
        <w:outlineLvl w:val="9"/>
        <w:rPr>
          <w:rFonts w:hint="eastAsia" w:ascii="宋体" w:hAnsi="宋体" w:eastAsia="宋体" w:cs="宋体"/>
          <w:b/>
          <w:bCs/>
          <w:color w:val="auto"/>
          <w:spacing w:val="4"/>
          <w:sz w:val="47"/>
          <w:szCs w:val="47"/>
          <w:highlight w:val="none"/>
          <w:lang w:eastAsia="zh-CN"/>
        </w:rPr>
      </w:pPr>
    </w:p>
    <w:p w14:paraId="5DF0953E">
      <w:pPr>
        <w:spacing w:before="153" w:line="223" w:lineRule="auto"/>
        <w:ind w:left="107" w:leftChars="0"/>
        <w:jc w:val="center"/>
        <w:outlineLvl w:val="0"/>
        <w:rPr>
          <w:rFonts w:hint="eastAsia" w:ascii="宋体" w:hAnsi="宋体" w:eastAsia="宋体" w:cs="宋体"/>
          <w:color w:val="auto"/>
          <w:sz w:val="40"/>
          <w:szCs w:val="40"/>
          <w:highlight w:val="none"/>
          <w:lang w:eastAsia="zh-CN"/>
        </w:rPr>
      </w:pPr>
      <w:r>
        <w:rPr>
          <w:rFonts w:hint="eastAsia" w:ascii="宋体" w:hAnsi="宋体" w:eastAsia="宋体" w:cs="宋体"/>
          <w:b/>
          <w:bCs/>
          <w:color w:val="auto"/>
          <w:spacing w:val="4"/>
          <w:sz w:val="40"/>
          <w:szCs w:val="40"/>
          <w:highlight w:val="none"/>
          <w:lang w:eastAsia="zh-CN"/>
        </w:rPr>
        <w:t>智慧交通基础数据采集平台建设项目（二次）</w:t>
      </w:r>
    </w:p>
    <w:p w14:paraId="1BD6940B">
      <w:pPr>
        <w:spacing w:before="465" w:line="221" w:lineRule="auto"/>
        <w:ind w:left="16" w:leftChars="0" w:hanging="16" w:firstLineChars="0"/>
        <w:jc w:val="center"/>
        <w:rPr>
          <w:rFonts w:ascii="宋体" w:hAnsi="宋体" w:eastAsia="宋体" w:cs="宋体"/>
          <w:b/>
          <w:bCs/>
          <w:color w:val="auto"/>
          <w:spacing w:val="-17"/>
          <w:sz w:val="84"/>
          <w:szCs w:val="84"/>
          <w:highlight w:val="none"/>
        </w:rPr>
      </w:pPr>
    </w:p>
    <w:p w14:paraId="5C105B73">
      <w:pPr>
        <w:spacing w:before="465" w:line="221" w:lineRule="auto"/>
        <w:ind w:left="16" w:leftChars="0" w:hanging="16" w:firstLineChars="0"/>
        <w:jc w:val="center"/>
        <w:outlineLvl w:val="0"/>
        <w:rPr>
          <w:rFonts w:hint="eastAsia" w:ascii="宋体" w:hAnsi="宋体" w:eastAsia="宋体" w:cs="宋体"/>
          <w:color w:val="auto"/>
          <w:sz w:val="143"/>
          <w:szCs w:val="143"/>
          <w:highlight w:val="none"/>
          <w:lang w:eastAsia="zh-CN"/>
        </w:rPr>
      </w:pPr>
      <w:bookmarkStart w:id="0" w:name="_Toc8808"/>
      <w:r>
        <w:rPr>
          <w:rFonts w:ascii="宋体" w:hAnsi="宋体" w:eastAsia="宋体" w:cs="宋体"/>
          <w:b/>
          <w:bCs/>
          <w:color w:val="auto"/>
          <w:spacing w:val="-17"/>
          <w:sz w:val="84"/>
          <w:szCs w:val="84"/>
          <w:highlight w:val="none"/>
        </w:rPr>
        <w:t>招标文件</w:t>
      </w:r>
      <w:bookmarkEnd w:id="0"/>
    </w:p>
    <w:p w14:paraId="5C304294">
      <w:pPr>
        <w:spacing w:before="92" w:line="225" w:lineRule="auto"/>
        <w:ind w:left="202"/>
        <w:jc w:val="center"/>
        <w:rPr>
          <w:rFonts w:ascii="宋体" w:hAnsi="宋体" w:eastAsia="宋体" w:cs="宋体"/>
          <w:b/>
          <w:bCs/>
          <w:color w:val="auto"/>
          <w:spacing w:val="4"/>
          <w:sz w:val="31"/>
          <w:szCs w:val="31"/>
          <w:highlight w:val="none"/>
        </w:rPr>
      </w:pPr>
    </w:p>
    <w:p w14:paraId="2BBE0741">
      <w:pPr>
        <w:spacing w:before="92" w:line="225" w:lineRule="auto"/>
        <w:ind w:left="202"/>
        <w:jc w:val="center"/>
        <w:rPr>
          <w:rFonts w:ascii="宋体" w:hAnsi="宋体" w:eastAsia="宋体" w:cs="宋体"/>
          <w:b/>
          <w:bCs/>
          <w:color w:val="auto"/>
          <w:spacing w:val="4"/>
          <w:sz w:val="31"/>
          <w:szCs w:val="31"/>
          <w:highlight w:val="none"/>
        </w:rPr>
      </w:pPr>
    </w:p>
    <w:p w14:paraId="28F8765E">
      <w:pPr>
        <w:spacing w:before="92" w:line="225" w:lineRule="auto"/>
        <w:ind w:left="202" w:leftChars="0"/>
        <w:jc w:val="center"/>
        <w:outlineLvl w:val="0"/>
        <w:rPr>
          <w:rFonts w:hint="eastAsia" w:ascii="宋体" w:hAnsi="宋体" w:eastAsia="宋体" w:cs="宋体"/>
          <w:color w:val="auto"/>
          <w:sz w:val="31"/>
          <w:szCs w:val="31"/>
          <w:highlight w:val="none"/>
          <w:lang w:eastAsia="zh-CN"/>
        </w:rPr>
      </w:pPr>
      <w:bookmarkStart w:id="1" w:name="_Toc9480"/>
      <w:r>
        <w:rPr>
          <w:rFonts w:ascii="宋体" w:hAnsi="宋体" w:eastAsia="宋体" w:cs="宋体"/>
          <w:b/>
          <w:bCs/>
          <w:color w:val="auto"/>
          <w:spacing w:val="4"/>
          <w:sz w:val="31"/>
          <w:szCs w:val="31"/>
          <w:highlight w:val="none"/>
        </w:rPr>
        <w:t>项目编号：</w:t>
      </w:r>
      <w:bookmarkEnd w:id="1"/>
      <w:r>
        <w:rPr>
          <w:rFonts w:hint="eastAsia" w:ascii="宋体" w:hAnsi="宋体" w:eastAsia="宋体" w:cs="宋体"/>
          <w:b/>
          <w:bCs/>
          <w:color w:val="auto"/>
          <w:spacing w:val="4"/>
          <w:sz w:val="31"/>
          <w:szCs w:val="31"/>
          <w:highlight w:val="none"/>
          <w:lang w:eastAsia="zh-CN"/>
        </w:rPr>
        <w:t>采购计划备-[2026]-02010号</w:t>
      </w:r>
    </w:p>
    <w:p w14:paraId="5685F20B">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51184456">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68EE4FD3">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2672D5CC">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2405F5B2">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53A7276C">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2D48B2E2">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7D98387C">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76341073">
      <w:pPr>
        <w:spacing w:before="101" w:line="225" w:lineRule="auto"/>
        <w:ind w:left="2556" w:leftChars="294" w:hanging="1939" w:hangingChars="600"/>
        <w:rPr>
          <w:rFonts w:ascii="宋体" w:hAnsi="宋体" w:eastAsia="宋体" w:cs="宋体"/>
          <w:b/>
          <w:bCs/>
          <w:color w:val="auto"/>
          <w:spacing w:val="6"/>
          <w:sz w:val="31"/>
          <w:szCs w:val="31"/>
          <w:highlight w:val="none"/>
        </w:rPr>
      </w:pPr>
    </w:p>
    <w:p w14:paraId="4BB21879">
      <w:pPr>
        <w:spacing w:before="101" w:line="225" w:lineRule="auto"/>
        <w:ind w:left="2556" w:leftChars="294" w:hanging="1939" w:hangingChars="600"/>
        <w:rPr>
          <w:rFonts w:hint="eastAsia" w:ascii="宋体" w:hAnsi="宋体" w:eastAsia="宋体" w:cs="宋体"/>
          <w:color w:val="auto"/>
          <w:sz w:val="31"/>
          <w:szCs w:val="31"/>
          <w:highlight w:val="none"/>
          <w:lang w:eastAsia="zh-CN"/>
        </w:rPr>
      </w:pPr>
      <w:r>
        <w:rPr>
          <w:rFonts w:ascii="宋体" w:hAnsi="宋体" w:eastAsia="宋体" w:cs="宋体"/>
          <w:b/>
          <w:bCs/>
          <w:color w:val="auto"/>
          <w:spacing w:val="6"/>
          <w:sz w:val="31"/>
          <w:szCs w:val="31"/>
          <w:highlight w:val="none"/>
        </w:rPr>
        <w:t>采购人：</w:t>
      </w:r>
      <w:r>
        <w:rPr>
          <w:rFonts w:hint="eastAsia" w:ascii="宋体" w:hAnsi="宋体" w:eastAsia="宋体" w:cs="宋体"/>
          <w:b/>
          <w:bCs/>
          <w:color w:val="auto"/>
          <w:spacing w:val="6"/>
          <w:sz w:val="31"/>
          <w:szCs w:val="31"/>
          <w:highlight w:val="none"/>
          <w:lang w:eastAsia="zh-CN"/>
        </w:rPr>
        <w:t>吉林交通职业技术学院</w:t>
      </w:r>
    </w:p>
    <w:p w14:paraId="1CED68CC">
      <w:pPr>
        <w:spacing w:before="101" w:line="225" w:lineRule="auto"/>
        <w:ind w:left="584"/>
        <w:rPr>
          <w:rFonts w:hint="eastAsia" w:ascii="宋体" w:hAnsi="宋体" w:eastAsia="宋体" w:cs="宋体"/>
          <w:color w:val="auto"/>
          <w:sz w:val="31"/>
          <w:szCs w:val="31"/>
          <w:highlight w:val="none"/>
          <w:lang w:eastAsia="zh-CN"/>
        </w:rPr>
      </w:pPr>
      <w:r>
        <w:rPr>
          <w:rFonts w:ascii="宋体" w:hAnsi="宋体" w:eastAsia="宋体" w:cs="宋体"/>
          <w:b/>
          <w:bCs/>
          <w:color w:val="auto"/>
          <w:spacing w:val="7"/>
          <w:sz w:val="31"/>
          <w:szCs w:val="31"/>
          <w:highlight w:val="none"/>
        </w:rPr>
        <w:t>采购代理机构：</w:t>
      </w:r>
      <w:r>
        <w:rPr>
          <w:rFonts w:hint="eastAsia" w:ascii="宋体" w:hAnsi="宋体" w:eastAsia="宋体" w:cs="宋体"/>
          <w:b/>
          <w:bCs/>
          <w:color w:val="auto"/>
          <w:spacing w:val="7"/>
          <w:sz w:val="31"/>
          <w:szCs w:val="31"/>
          <w:highlight w:val="none"/>
        </w:rPr>
        <w:t>吉林融鼎工程项目管理有限公司</w:t>
      </w:r>
    </w:p>
    <w:p w14:paraId="578163C1">
      <w:pPr>
        <w:spacing w:before="101" w:line="225" w:lineRule="auto"/>
        <w:ind w:left="640"/>
        <w:rPr>
          <w:rFonts w:ascii="宋体" w:hAnsi="宋体" w:eastAsia="宋体" w:cs="宋体"/>
          <w:color w:val="auto"/>
          <w:sz w:val="31"/>
          <w:szCs w:val="31"/>
          <w:highlight w:val="none"/>
        </w:rPr>
      </w:pPr>
      <w:r>
        <w:rPr>
          <w:rFonts w:ascii="宋体" w:hAnsi="宋体" w:eastAsia="宋体" w:cs="宋体"/>
          <w:b/>
          <w:bCs/>
          <w:color w:val="auto"/>
          <w:spacing w:val="-7"/>
          <w:sz w:val="31"/>
          <w:szCs w:val="31"/>
          <w:highlight w:val="none"/>
        </w:rPr>
        <w:t>日期：202</w:t>
      </w:r>
      <w:r>
        <w:rPr>
          <w:rFonts w:hint="eastAsia" w:ascii="宋体" w:hAnsi="宋体" w:eastAsia="宋体" w:cs="宋体"/>
          <w:b/>
          <w:bCs/>
          <w:color w:val="auto"/>
          <w:spacing w:val="-7"/>
          <w:sz w:val="31"/>
          <w:szCs w:val="31"/>
          <w:highlight w:val="none"/>
          <w:lang w:val="en-US" w:eastAsia="zh-CN"/>
        </w:rPr>
        <w:t>6</w:t>
      </w:r>
      <w:r>
        <w:rPr>
          <w:rFonts w:ascii="宋体" w:hAnsi="宋体" w:eastAsia="宋体" w:cs="宋体"/>
          <w:b/>
          <w:bCs/>
          <w:color w:val="auto"/>
          <w:spacing w:val="-7"/>
          <w:sz w:val="31"/>
          <w:szCs w:val="31"/>
          <w:highlight w:val="none"/>
        </w:rPr>
        <w:t>年</w:t>
      </w:r>
      <w:r>
        <w:rPr>
          <w:rFonts w:hint="eastAsia" w:ascii="宋体" w:hAnsi="宋体" w:eastAsia="宋体" w:cs="宋体"/>
          <w:b/>
          <w:bCs/>
          <w:color w:val="auto"/>
          <w:spacing w:val="-7"/>
          <w:sz w:val="31"/>
          <w:szCs w:val="31"/>
          <w:highlight w:val="none"/>
          <w:lang w:val="en-US" w:eastAsia="zh-CN"/>
        </w:rPr>
        <w:t>3</w:t>
      </w:r>
      <w:r>
        <w:rPr>
          <w:rFonts w:ascii="宋体" w:hAnsi="宋体" w:eastAsia="宋体" w:cs="宋体"/>
          <w:b/>
          <w:bCs/>
          <w:color w:val="auto"/>
          <w:spacing w:val="-7"/>
          <w:sz w:val="31"/>
          <w:szCs w:val="31"/>
          <w:highlight w:val="none"/>
        </w:rPr>
        <w:t>月</w:t>
      </w:r>
    </w:p>
    <w:p w14:paraId="3436A5B0">
      <w:pPr>
        <w:spacing w:line="225" w:lineRule="auto"/>
        <w:rPr>
          <w:rFonts w:ascii="宋体" w:hAnsi="宋体" w:eastAsia="宋体" w:cs="宋体"/>
          <w:color w:val="auto"/>
          <w:sz w:val="31"/>
          <w:szCs w:val="31"/>
          <w:highlight w:val="none"/>
        </w:rPr>
        <w:sectPr>
          <w:pgSz w:w="11906" w:h="16839"/>
          <w:pgMar w:top="1431" w:right="1785" w:bottom="0" w:left="1785" w:header="0" w:footer="0" w:gutter="0"/>
          <w:cols w:space="720" w:num="1"/>
        </w:sectPr>
      </w:pPr>
    </w:p>
    <w:p w14:paraId="6E8D2814">
      <w:pPr>
        <w:rPr>
          <w:color w:val="auto"/>
          <w:highlight w:val="none"/>
        </w:rPr>
      </w:pPr>
    </w:p>
    <w:p w14:paraId="5809427E">
      <w:pPr>
        <w:tabs>
          <w:tab w:val="right" w:leader="dot" w:pos="9230"/>
        </w:tabs>
        <w:spacing w:before="92" w:line="221" w:lineRule="auto"/>
        <w:rPr>
          <w:rFonts w:ascii="宋体" w:hAnsi="宋体" w:eastAsia="宋体" w:cs="宋体"/>
          <w:b/>
          <w:bCs/>
          <w:color w:val="auto"/>
          <w:spacing w:val="-3"/>
          <w:sz w:val="28"/>
          <w:szCs w:val="28"/>
          <w:highlight w:val="none"/>
        </w:rPr>
      </w:pPr>
      <w:r>
        <w:rPr>
          <w:color w:val="auto"/>
          <w:highlight w:val="none"/>
        </w:rPr>
        <w:fldChar w:fldCharType="begin"/>
      </w:r>
      <w:r>
        <w:rPr>
          <w:color w:val="auto"/>
          <w:highlight w:val="none"/>
        </w:rPr>
        <w:instrText xml:space="preserve">HYPERLINK\l"bookmark6"</w:instrText>
      </w:r>
      <w:r>
        <w:rPr>
          <w:color w:val="auto"/>
          <w:highlight w:val="none"/>
        </w:rPr>
        <w:fldChar w:fldCharType="separate"/>
      </w:r>
    </w:p>
    <w:sdt>
      <w:sdtPr>
        <w:rPr>
          <w:rFonts w:ascii="宋体" w:hAnsi="宋体" w:eastAsia="宋体" w:cs="Arial"/>
          <w:snapToGrid w:val="0"/>
          <w:color w:val="auto"/>
          <w:kern w:val="0"/>
          <w:sz w:val="21"/>
          <w:szCs w:val="21"/>
          <w:highlight w:val="none"/>
          <w:lang w:val="en-US" w:eastAsia="en-US" w:bidi="ar-SA"/>
        </w:rPr>
        <w:id w:val="147479655"/>
        <w15:color w:val="DBDBDB"/>
        <w:docPartObj>
          <w:docPartGallery w:val="Table of Contents"/>
          <w:docPartUnique/>
        </w:docPartObj>
      </w:sdtPr>
      <w:sdtEndPr>
        <w:rPr>
          <w:rFonts w:ascii="宋体" w:hAnsi="宋体" w:eastAsia="宋体" w:cs="Arial"/>
          <w:snapToGrid w:val="0"/>
          <w:color w:val="auto"/>
          <w:kern w:val="0"/>
          <w:sz w:val="21"/>
          <w:szCs w:val="21"/>
          <w:highlight w:val="none"/>
          <w:lang w:val="en-US" w:eastAsia="en-US" w:bidi="ar-SA"/>
        </w:rPr>
      </w:sdtEndPr>
      <w:sdtContent>
        <w:p w14:paraId="09E64B1A">
          <w:pPr>
            <w:spacing w:before="0" w:beforeLines="0" w:after="0" w:afterLines="0" w:line="240" w:lineRule="auto"/>
            <w:ind w:left="0" w:leftChars="0" w:right="0" w:rightChars="0" w:firstLine="0" w:firstLineChars="0"/>
            <w:jc w:val="center"/>
            <w:rPr>
              <w:color w:val="auto"/>
              <w:sz w:val="40"/>
              <w:szCs w:val="40"/>
              <w:highlight w:val="none"/>
            </w:rPr>
          </w:pPr>
          <w:r>
            <w:rPr>
              <w:rFonts w:ascii="宋体" w:hAnsi="宋体" w:eastAsia="宋体"/>
              <w:color w:val="auto"/>
              <w:sz w:val="40"/>
              <w:szCs w:val="40"/>
              <w:highlight w:val="none"/>
            </w:rPr>
            <w:t>目录</w:t>
          </w:r>
        </w:p>
        <w:p w14:paraId="66E9D82D">
          <w:pPr>
            <w:pStyle w:val="10"/>
            <w:tabs>
              <w:tab w:val="right" w:leader="dot" w:pos="8306"/>
            </w:tabs>
            <w:rPr>
              <w:color w:val="auto"/>
              <w:sz w:val="40"/>
              <w:szCs w:val="40"/>
              <w:highlight w:val="none"/>
            </w:rPr>
          </w:pPr>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p>
        <w:p w14:paraId="14717A0A">
          <w:pPr>
            <w:pStyle w:val="10"/>
            <w:tabs>
              <w:tab w:val="right" w:leader="dot" w:pos="8306"/>
            </w:tabs>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_Toc173 </w:instrText>
          </w:r>
          <w:r>
            <w:rPr>
              <w:color w:val="auto"/>
              <w:sz w:val="40"/>
              <w:szCs w:val="40"/>
              <w:highlight w:val="none"/>
            </w:rPr>
            <w:fldChar w:fldCharType="separate"/>
          </w:r>
          <w:r>
            <w:rPr>
              <w:rFonts w:ascii="宋体" w:hAnsi="宋体" w:eastAsia="宋体" w:cs="宋体"/>
              <w:bCs/>
              <w:color w:val="auto"/>
              <w:spacing w:val="5"/>
              <w:sz w:val="40"/>
              <w:szCs w:val="56"/>
              <w:highlight w:val="none"/>
            </w:rPr>
            <w:t>第一部分招标公告</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_Toc173 \h </w:instrText>
          </w:r>
          <w:r>
            <w:rPr>
              <w:color w:val="auto"/>
              <w:sz w:val="40"/>
              <w:szCs w:val="40"/>
              <w:highlight w:val="none"/>
            </w:rPr>
            <w:fldChar w:fldCharType="separate"/>
          </w:r>
          <w:r>
            <w:rPr>
              <w:color w:val="auto"/>
              <w:sz w:val="40"/>
              <w:szCs w:val="40"/>
              <w:highlight w:val="none"/>
            </w:rPr>
            <w:t>1</w:t>
          </w:r>
          <w:r>
            <w:rPr>
              <w:color w:val="auto"/>
              <w:sz w:val="40"/>
              <w:szCs w:val="40"/>
              <w:highlight w:val="none"/>
            </w:rPr>
            <w:fldChar w:fldCharType="end"/>
          </w:r>
          <w:r>
            <w:rPr>
              <w:color w:val="auto"/>
              <w:sz w:val="40"/>
              <w:szCs w:val="40"/>
              <w:highlight w:val="none"/>
            </w:rPr>
            <w:fldChar w:fldCharType="end"/>
          </w:r>
        </w:p>
        <w:p w14:paraId="39C95976">
          <w:pPr>
            <w:pStyle w:val="10"/>
            <w:tabs>
              <w:tab w:val="right" w:leader="dot" w:pos="8306"/>
            </w:tabs>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_Toc8732 </w:instrText>
          </w:r>
          <w:r>
            <w:rPr>
              <w:color w:val="auto"/>
              <w:sz w:val="40"/>
              <w:szCs w:val="40"/>
              <w:highlight w:val="none"/>
            </w:rPr>
            <w:fldChar w:fldCharType="separate"/>
          </w:r>
          <w:r>
            <w:rPr>
              <w:rFonts w:ascii="宋体" w:hAnsi="宋体" w:eastAsia="宋体" w:cs="宋体"/>
              <w:bCs/>
              <w:color w:val="auto"/>
              <w:spacing w:val="5"/>
              <w:sz w:val="40"/>
              <w:szCs w:val="56"/>
              <w:highlight w:val="none"/>
            </w:rPr>
            <w:t>第二部分供应商须知</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_Toc8732 \h </w:instrText>
          </w:r>
          <w:r>
            <w:rPr>
              <w:color w:val="auto"/>
              <w:sz w:val="40"/>
              <w:szCs w:val="40"/>
              <w:highlight w:val="none"/>
            </w:rPr>
            <w:fldChar w:fldCharType="separate"/>
          </w:r>
          <w:r>
            <w:rPr>
              <w:color w:val="auto"/>
              <w:sz w:val="40"/>
              <w:szCs w:val="40"/>
              <w:highlight w:val="none"/>
            </w:rPr>
            <w:t>4</w:t>
          </w:r>
          <w:r>
            <w:rPr>
              <w:color w:val="auto"/>
              <w:sz w:val="40"/>
              <w:szCs w:val="40"/>
              <w:highlight w:val="none"/>
            </w:rPr>
            <w:fldChar w:fldCharType="end"/>
          </w:r>
          <w:r>
            <w:rPr>
              <w:color w:val="auto"/>
              <w:sz w:val="40"/>
              <w:szCs w:val="40"/>
              <w:highlight w:val="none"/>
            </w:rPr>
            <w:fldChar w:fldCharType="end"/>
          </w:r>
        </w:p>
        <w:p w14:paraId="35F49A94">
          <w:pPr>
            <w:pStyle w:val="10"/>
            <w:tabs>
              <w:tab w:val="right" w:leader="dot" w:pos="8306"/>
            </w:tabs>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_Toc2778 </w:instrText>
          </w:r>
          <w:r>
            <w:rPr>
              <w:color w:val="auto"/>
              <w:sz w:val="40"/>
              <w:szCs w:val="40"/>
              <w:highlight w:val="none"/>
            </w:rPr>
            <w:fldChar w:fldCharType="separate"/>
          </w:r>
          <w:r>
            <w:rPr>
              <w:rFonts w:ascii="宋体" w:hAnsi="宋体" w:eastAsia="宋体" w:cs="宋体"/>
              <w:bCs/>
              <w:color w:val="auto"/>
              <w:spacing w:val="4"/>
              <w:sz w:val="40"/>
              <w:szCs w:val="72"/>
              <w:highlight w:val="none"/>
            </w:rPr>
            <w:t>第三部分评标办法</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_Toc2778 \h </w:instrText>
          </w:r>
          <w:r>
            <w:rPr>
              <w:color w:val="auto"/>
              <w:sz w:val="40"/>
              <w:szCs w:val="40"/>
              <w:highlight w:val="none"/>
            </w:rPr>
            <w:fldChar w:fldCharType="separate"/>
          </w:r>
          <w:r>
            <w:rPr>
              <w:color w:val="auto"/>
              <w:sz w:val="40"/>
              <w:szCs w:val="40"/>
              <w:highlight w:val="none"/>
            </w:rPr>
            <w:t>14</w:t>
          </w:r>
          <w:r>
            <w:rPr>
              <w:color w:val="auto"/>
              <w:sz w:val="40"/>
              <w:szCs w:val="40"/>
              <w:highlight w:val="none"/>
            </w:rPr>
            <w:fldChar w:fldCharType="end"/>
          </w:r>
          <w:r>
            <w:rPr>
              <w:color w:val="auto"/>
              <w:sz w:val="40"/>
              <w:szCs w:val="40"/>
              <w:highlight w:val="none"/>
            </w:rPr>
            <w:fldChar w:fldCharType="end"/>
          </w:r>
        </w:p>
        <w:p w14:paraId="15C205B2">
          <w:pPr>
            <w:pStyle w:val="10"/>
            <w:tabs>
              <w:tab w:val="right" w:leader="dot" w:pos="8306"/>
            </w:tabs>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_Toc17273 </w:instrText>
          </w:r>
          <w:r>
            <w:rPr>
              <w:color w:val="auto"/>
              <w:sz w:val="40"/>
              <w:szCs w:val="40"/>
              <w:highlight w:val="none"/>
            </w:rPr>
            <w:fldChar w:fldCharType="separate"/>
          </w:r>
          <w:r>
            <w:rPr>
              <w:rFonts w:hint="eastAsia" w:ascii="宋体" w:hAnsi="宋体" w:eastAsia="宋体" w:cs="宋体"/>
              <w:bCs/>
              <w:color w:val="auto"/>
              <w:spacing w:val="5"/>
              <w:sz w:val="40"/>
              <w:szCs w:val="56"/>
              <w:highlight w:val="none"/>
            </w:rPr>
            <w:t>第四部分</w:t>
          </w:r>
          <w:r>
            <w:rPr>
              <w:rFonts w:ascii="宋体" w:hAnsi="宋体" w:eastAsia="宋体" w:cs="宋体"/>
              <w:bCs/>
              <w:color w:val="auto"/>
              <w:spacing w:val="5"/>
              <w:sz w:val="40"/>
              <w:szCs w:val="56"/>
              <w:highlight w:val="none"/>
            </w:rPr>
            <w:t>采购需求</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_Toc17273 \h </w:instrText>
          </w:r>
          <w:r>
            <w:rPr>
              <w:color w:val="auto"/>
              <w:sz w:val="40"/>
              <w:szCs w:val="40"/>
              <w:highlight w:val="none"/>
            </w:rPr>
            <w:fldChar w:fldCharType="separate"/>
          </w:r>
          <w:r>
            <w:rPr>
              <w:color w:val="auto"/>
              <w:sz w:val="40"/>
              <w:szCs w:val="40"/>
              <w:highlight w:val="none"/>
            </w:rPr>
            <w:t>26</w:t>
          </w:r>
          <w:r>
            <w:rPr>
              <w:color w:val="auto"/>
              <w:sz w:val="40"/>
              <w:szCs w:val="40"/>
              <w:highlight w:val="none"/>
            </w:rPr>
            <w:fldChar w:fldCharType="end"/>
          </w:r>
          <w:r>
            <w:rPr>
              <w:color w:val="auto"/>
              <w:sz w:val="40"/>
              <w:szCs w:val="40"/>
              <w:highlight w:val="none"/>
            </w:rPr>
            <w:fldChar w:fldCharType="end"/>
          </w:r>
        </w:p>
        <w:p w14:paraId="1F1013DB">
          <w:pPr>
            <w:pStyle w:val="10"/>
            <w:tabs>
              <w:tab w:val="right" w:leader="dot" w:pos="8306"/>
            </w:tabs>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_Toc29558 </w:instrText>
          </w:r>
          <w:r>
            <w:rPr>
              <w:color w:val="auto"/>
              <w:sz w:val="40"/>
              <w:szCs w:val="40"/>
              <w:highlight w:val="none"/>
            </w:rPr>
            <w:fldChar w:fldCharType="separate"/>
          </w:r>
          <w:r>
            <w:rPr>
              <w:rFonts w:ascii="宋体" w:hAnsi="宋体" w:eastAsia="宋体" w:cs="宋体"/>
              <w:bCs/>
              <w:color w:val="auto"/>
              <w:spacing w:val="5"/>
              <w:sz w:val="40"/>
              <w:szCs w:val="56"/>
              <w:highlight w:val="none"/>
            </w:rPr>
            <w:t>第五部分合同格式</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_Toc29558 \h </w:instrText>
          </w:r>
          <w:r>
            <w:rPr>
              <w:color w:val="auto"/>
              <w:sz w:val="40"/>
              <w:szCs w:val="40"/>
              <w:highlight w:val="none"/>
            </w:rPr>
            <w:fldChar w:fldCharType="separate"/>
          </w:r>
          <w:r>
            <w:rPr>
              <w:color w:val="auto"/>
              <w:sz w:val="40"/>
              <w:szCs w:val="40"/>
              <w:highlight w:val="none"/>
            </w:rPr>
            <w:t>26</w:t>
          </w:r>
          <w:r>
            <w:rPr>
              <w:color w:val="auto"/>
              <w:sz w:val="40"/>
              <w:szCs w:val="40"/>
              <w:highlight w:val="none"/>
            </w:rPr>
            <w:fldChar w:fldCharType="end"/>
          </w:r>
          <w:r>
            <w:rPr>
              <w:color w:val="auto"/>
              <w:sz w:val="40"/>
              <w:szCs w:val="40"/>
              <w:highlight w:val="none"/>
            </w:rPr>
            <w:fldChar w:fldCharType="end"/>
          </w:r>
        </w:p>
        <w:p w14:paraId="6FCA4524">
          <w:pPr>
            <w:pStyle w:val="10"/>
            <w:tabs>
              <w:tab w:val="right" w:leader="dot" w:pos="8306"/>
            </w:tabs>
            <w:rPr>
              <w:color w:val="auto"/>
              <w:sz w:val="40"/>
              <w:szCs w:val="40"/>
              <w:highlight w:val="none"/>
            </w:rPr>
          </w:pPr>
          <w:r>
            <w:rPr>
              <w:color w:val="auto"/>
              <w:sz w:val="40"/>
              <w:szCs w:val="40"/>
              <w:highlight w:val="none"/>
            </w:rPr>
            <w:fldChar w:fldCharType="begin"/>
          </w:r>
          <w:r>
            <w:rPr>
              <w:color w:val="auto"/>
              <w:sz w:val="40"/>
              <w:szCs w:val="40"/>
              <w:highlight w:val="none"/>
            </w:rPr>
            <w:instrText xml:space="preserve"> HYPERLINK \l _Toc2765 </w:instrText>
          </w:r>
          <w:r>
            <w:rPr>
              <w:color w:val="auto"/>
              <w:sz w:val="40"/>
              <w:szCs w:val="40"/>
              <w:highlight w:val="none"/>
            </w:rPr>
            <w:fldChar w:fldCharType="separate"/>
          </w:r>
          <w:r>
            <w:rPr>
              <w:rFonts w:ascii="宋体" w:hAnsi="宋体" w:eastAsia="宋体" w:cs="宋体"/>
              <w:bCs/>
              <w:color w:val="auto"/>
              <w:spacing w:val="6"/>
              <w:sz w:val="40"/>
              <w:szCs w:val="56"/>
              <w:highlight w:val="none"/>
            </w:rPr>
            <w:t>第六部分投标文件格式</w:t>
          </w:r>
          <w:r>
            <w:rPr>
              <w:color w:val="auto"/>
              <w:sz w:val="40"/>
              <w:szCs w:val="40"/>
              <w:highlight w:val="none"/>
            </w:rPr>
            <w:tab/>
          </w:r>
          <w:r>
            <w:rPr>
              <w:color w:val="auto"/>
              <w:sz w:val="40"/>
              <w:szCs w:val="40"/>
              <w:highlight w:val="none"/>
            </w:rPr>
            <w:fldChar w:fldCharType="begin"/>
          </w:r>
          <w:r>
            <w:rPr>
              <w:color w:val="auto"/>
              <w:sz w:val="40"/>
              <w:szCs w:val="40"/>
              <w:highlight w:val="none"/>
            </w:rPr>
            <w:instrText xml:space="preserve"> PAGEREF _Toc2765 \h </w:instrText>
          </w:r>
          <w:r>
            <w:rPr>
              <w:color w:val="auto"/>
              <w:sz w:val="40"/>
              <w:szCs w:val="40"/>
              <w:highlight w:val="none"/>
            </w:rPr>
            <w:fldChar w:fldCharType="separate"/>
          </w:r>
          <w:r>
            <w:rPr>
              <w:color w:val="auto"/>
              <w:sz w:val="40"/>
              <w:szCs w:val="40"/>
              <w:highlight w:val="none"/>
            </w:rPr>
            <w:t>63</w:t>
          </w:r>
          <w:r>
            <w:rPr>
              <w:color w:val="auto"/>
              <w:sz w:val="40"/>
              <w:szCs w:val="40"/>
              <w:highlight w:val="none"/>
            </w:rPr>
            <w:fldChar w:fldCharType="end"/>
          </w:r>
          <w:r>
            <w:rPr>
              <w:color w:val="auto"/>
              <w:sz w:val="40"/>
              <w:szCs w:val="40"/>
              <w:highlight w:val="none"/>
            </w:rPr>
            <w:fldChar w:fldCharType="end"/>
          </w:r>
        </w:p>
        <w:p w14:paraId="5CD44F31">
          <w:pPr>
            <w:rPr>
              <w:color w:val="auto"/>
              <w:highlight w:val="none"/>
            </w:rPr>
          </w:pPr>
          <w:r>
            <w:rPr>
              <w:color w:val="auto"/>
              <w:sz w:val="36"/>
              <w:szCs w:val="36"/>
              <w:highlight w:val="none"/>
            </w:rPr>
            <w:fldChar w:fldCharType="end"/>
          </w:r>
        </w:p>
      </w:sdtContent>
    </w:sdt>
    <w:p w14:paraId="14C9BCD1">
      <w:pPr>
        <w:rPr>
          <w:color w:val="auto"/>
          <w:highlight w:val="none"/>
        </w:rPr>
      </w:pPr>
    </w:p>
    <w:p w14:paraId="02C50DB5">
      <w:pPr>
        <w:tabs>
          <w:tab w:val="right" w:leader="dot" w:pos="9230"/>
        </w:tabs>
        <w:spacing w:before="92" w:line="221" w:lineRule="auto"/>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fldChar w:fldCharType="end"/>
      </w:r>
    </w:p>
    <w:p w14:paraId="09C57A38">
      <w:pPr>
        <w:spacing w:before="114" w:line="224" w:lineRule="auto"/>
        <w:outlineLvl w:val="9"/>
        <w:rPr>
          <w:rFonts w:ascii="宋体" w:hAnsi="宋体" w:eastAsia="宋体" w:cs="宋体"/>
          <w:b/>
          <w:bCs/>
          <w:color w:val="auto"/>
          <w:spacing w:val="5"/>
          <w:sz w:val="35"/>
          <w:szCs w:val="35"/>
          <w:highlight w:val="none"/>
        </w:rPr>
        <w:sectPr>
          <w:pgSz w:w="11906" w:h="16838"/>
          <w:pgMar w:top="1440" w:right="1800" w:bottom="1440" w:left="1800" w:header="851" w:footer="992" w:gutter="0"/>
          <w:cols w:space="425" w:num="1"/>
          <w:docGrid w:type="lines" w:linePitch="312" w:charSpace="0"/>
        </w:sectPr>
      </w:pPr>
    </w:p>
    <w:p w14:paraId="73D95891">
      <w:pPr>
        <w:spacing w:before="114" w:line="224" w:lineRule="auto"/>
        <w:jc w:val="center"/>
        <w:outlineLvl w:val="0"/>
        <w:rPr>
          <w:rFonts w:ascii="宋体" w:hAnsi="宋体" w:eastAsia="宋体" w:cs="宋体"/>
          <w:color w:val="auto"/>
          <w:sz w:val="35"/>
          <w:szCs w:val="35"/>
          <w:highlight w:val="none"/>
        </w:rPr>
      </w:pPr>
      <w:bookmarkStart w:id="2" w:name="_Toc173"/>
      <w:r>
        <w:rPr>
          <w:rFonts w:ascii="宋体" w:hAnsi="宋体" w:eastAsia="宋体" w:cs="宋体"/>
          <w:b/>
          <w:bCs/>
          <w:color w:val="auto"/>
          <w:spacing w:val="5"/>
          <w:sz w:val="35"/>
          <w:szCs w:val="35"/>
          <w:highlight w:val="none"/>
        </w:rPr>
        <w:t>第一部分招标公告</w:t>
      </w:r>
      <w:bookmarkEnd w:id="2"/>
    </w:p>
    <w:tbl>
      <w:tblPr>
        <w:tblStyle w:val="18"/>
        <w:tblW w:w="85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750FE74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503" w:hRule="atLeast"/>
        </w:trPr>
        <w:tc>
          <w:tcPr>
            <w:tcW w:w="8526" w:type="dxa"/>
            <w:noWrap w:val="0"/>
            <w:vAlign w:val="top"/>
          </w:tcPr>
          <w:p w14:paraId="41D29AAD">
            <w:pPr>
              <w:pStyle w:val="17"/>
              <w:spacing w:before="41" w:line="220" w:lineRule="auto"/>
              <w:ind w:left="601"/>
              <w:rPr>
                <w:color w:val="auto"/>
                <w:highlight w:val="none"/>
              </w:rPr>
            </w:pPr>
            <w:r>
              <w:rPr>
                <w:color w:val="auto"/>
                <w:spacing w:val="-4"/>
                <w:highlight w:val="none"/>
              </w:rPr>
              <w:t>项目概况</w:t>
            </w:r>
          </w:p>
          <w:p w14:paraId="2B5AF34E">
            <w:pPr>
              <w:pStyle w:val="17"/>
              <w:spacing w:before="41" w:line="221" w:lineRule="auto"/>
              <w:ind w:firstLine="464" w:firstLineChars="200"/>
              <w:rPr>
                <w:color w:val="auto"/>
                <w:highlight w:val="none"/>
              </w:rPr>
            </w:pPr>
            <w:r>
              <w:rPr>
                <w:rFonts w:hint="eastAsia"/>
                <w:color w:val="auto"/>
                <w:spacing w:val="-4"/>
                <w:highlight w:val="none"/>
                <w:lang w:eastAsia="zh-CN"/>
              </w:rPr>
              <w:t>智慧交通基础数据采集平台建设项目（二次）</w:t>
            </w:r>
            <w:r>
              <w:rPr>
                <w:color w:val="auto"/>
                <w:spacing w:val="-4"/>
                <w:highlight w:val="none"/>
              </w:rPr>
              <w:t>的潜在供应商应在政府采购云平台（网址：</w:t>
            </w:r>
            <w:r>
              <w:rPr>
                <w:color w:val="auto"/>
                <w:spacing w:val="-4"/>
                <w:highlight w:val="none"/>
              </w:rPr>
              <w:fldChar w:fldCharType="begin"/>
            </w:r>
            <w:r>
              <w:rPr>
                <w:color w:val="auto"/>
                <w:spacing w:val="-4"/>
                <w:highlight w:val="none"/>
              </w:rPr>
              <w:instrText xml:space="preserve">HYPERLINK"http://www.zcygov.cn"</w:instrText>
            </w:r>
            <w:r>
              <w:rPr>
                <w:color w:val="auto"/>
                <w:spacing w:val="-4"/>
                <w:highlight w:val="none"/>
              </w:rPr>
              <w:fldChar w:fldCharType="separate"/>
            </w:r>
            <w:r>
              <w:rPr>
                <w:color w:val="auto"/>
                <w:spacing w:val="-4"/>
                <w:highlight w:val="none"/>
              </w:rPr>
              <w:t>http://www.zcygov.cn</w:t>
            </w:r>
            <w:r>
              <w:rPr>
                <w:color w:val="auto"/>
                <w:spacing w:val="-4"/>
                <w:highlight w:val="none"/>
              </w:rPr>
              <w:fldChar w:fldCharType="end"/>
            </w:r>
            <w:r>
              <w:rPr>
                <w:color w:val="auto"/>
                <w:spacing w:val="-4"/>
                <w:highlight w:val="none"/>
              </w:rPr>
              <w:t>）获取招标文件，并于</w:t>
            </w:r>
            <w:r>
              <w:rPr>
                <w:rFonts w:hint="eastAsia"/>
                <w:color w:val="auto"/>
                <w:spacing w:val="-4"/>
                <w:highlight w:val="none"/>
                <w:lang w:eastAsia="zh-CN"/>
              </w:rPr>
              <w:t>2026年4月20日09时30分</w:t>
            </w:r>
            <w:r>
              <w:rPr>
                <w:color w:val="auto"/>
                <w:spacing w:val="-4"/>
                <w:highlight w:val="none"/>
              </w:rPr>
              <w:t>（北京时间）前提交投标文件。</w:t>
            </w:r>
          </w:p>
        </w:tc>
      </w:tr>
    </w:tbl>
    <w:p w14:paraId="5B8AF644">
      <w:pPr>
        <w:spacing w:before="90" w:line="219" w:lineRule="auto"/>
        <w:ind w:left="125" w:leftChars="0"/>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lang w:val="en-US" w:eastAsia="zh-CN"/>
        </w:rPr>
        <w:t>一、项目概况及商务要求</w:t>
      </w:r>
    </w:p>
    <w:p w14:paraId="1DE0BAD8">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项目编号：采购计划备-[2026]-02010号；</w:t>
      </w:r>
    </w:p>
    <w:p w14:paraId="41E1852A">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项目名称：智慧交通基础数据采集平台建设项目（二次）；</w:t>
      </w:r>
    </w:p>
    <w:p w14:paraId="0CB323A2">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采购方式：公开招标；</w:t>
      </w:r>
    </w:p>
    <w:p w14:paraId="25458203">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预算金额：3,230,000.00元；</w:t>
      </w:r>
    </w:p>
    <w:p w14:paraId="77B20BE2">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最高限价：3,230,000.00元；</w:t>
      </w:r>
    </w:p>
    <w:p w14:paraId="1E0CB25B">
      <w:pPr>
        <w:spacing w:before="90" w:line="219" w:lineRule="auto"/>
        <w:ind w:left="603" w:leftChars="287" w:firstLine="0" w:firstLineChars="0"/>
        <w:rPr>
          <w:rFonts w:hint="default"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采购需求：智慧交通基础数据采集平台建设项目，具体详见招标文件“采购需求”</w:t>
      </w:r>
    </w:p>
    <w:p w14:paraId="5ADB7622">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ascii="宋体" w:hAnsi="宋体" w:eastAsia="宋体" w:cs="宋体"/>
          <w:color w:val="auto"/>
          <w:spacing w:val="-3"/>
          <w:sz w:val="24"/>
          <w:szCs w:val="24"/>
          <w:highlight w:val="none"/>
        </w:rPr>
        <w:t>交货地点：</w:t>
      </w:r>
      <w:r>
        <w:rPr>
          <w:rFonts w:hint="eastAsia" w:ascii="宋体" w:hAnsi="宋体" w:eastAsia="宋体" w:cs="宋体"/>
          <w:color w:val="auto"/>
          <w:spacing w:val="-3"/>
          <w:sz w:val="24"/>
          <w:szCs w:val="24"/>
          <w:highlight w:val="none"/>
          <w:lang w:val="en-US" w:eastAsia="zh-CN"/>
        </w:rPr>
        <w:t>甲方指定地点</w:t>
      </w:r>
      <w:r>
        <w:rPr>
          <w:rFonts w:hint="eastAsia" w:ascii="宋体" w:hAnsi="宋体" w:eastAsia="宋体" w:cs="宋体"/>
          <w:b w:val="0"/>
          <w:bCs w:val="0"/>
          <w:color w:val="auto"/>
          <w:spacing w:val="-3"/>
          <w:sz w:val="24"/>
          <w:szCs w:val="24"/>
          <w:highlight w:val="none"/>
          <w:lang w:val="en-US" w:eastAsia="zh-CN"/>
        </w:rPr>
        <w:t>；</w:t>
      </w:r>
    </w:p>
    <w:p w14:paraId="038E5172">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项目验收：合格；</w:t>
      </w:r>
    </w:p>
    <w:p w14:paraId="5A918115">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ascii="宋体" w:hAnsi="宋体" w:eastAsia="宋体" w:cs="宋体"/>
          <w:color w:val="auto"/>
          <w:spacing w:val="-3"/>
          <w:sz w:val="24"/>
          <w:szCs w:val="24"/>
          <w:highlight w:val="none"/>
        </w:rPr>
        <w:t>交货期限：</w:t>
      </w:r>
      <w:r>
        <w:rPr>
          <w:rFonts w:hint="eastAsia" w:ascii="宋体" w:hAnsi="宋体" w:eastAsia="宋体" w:cs="宋体"/>
          <w:color w:val="auto"/>
          <w:spacing w:val="-3"/>
          <w:sz w:val="24"/>
          <w:szCs w:val="24"/>
          <w:highlight w:val="none"/>
          <w:lang w:val="en-US" w:eastAsia="zh-CN"/>
        </w:rPr>
        <w:t>自签订合同之日起30天内完成</w:t>
      </w:r>
      <w:r>
        <w:rPr>
          <w:rFonts w:hint="eastAsia" w:ascii="宋体" w:hAnsi="宋体" w:eastAsia="宋体" w:cs="宋体"/>
          <w:b w:val="0"/>
          <w:bCs w:val="0"/>
          <w:color w:val="auto"/>
          <w:spacing w:val="-3"/>
          <w:sz w:val="24"/>
          <w:szCs w:val="24"/>
          <w:highlight w:val="none"/>
          <w:lang w:val="en-US" w:eastAsia="zh-CN"/>
        </w:rPr>
        <w:t>；</w:t>
      </w:r>
    </w:p>
    <w:p w14:paraId="1733F882">
      <w:pPr>
        <w:spacing w:before="90" w:line="219" w:lineRule="auto"/>
        <w:ind w:left="125" w:firstLine="468" w:firstLineChars="200"/>
        <w:rPr>
          <w:rFonts w:hint="eastAsia" w:ascii="宋体" w:hAnsi="宋体" w:eastAsia="宋体" w:cs="宋体"/>
          <w:b w:val="0"/>
          <w:bCs w:val="0"/>
          <w:color w:val="auto"/>
          <w:spacing w:val="-3"/>
          <w:sz w:val="24"/>
          <w:szCs w:val="24"/>
          <w:highlight w:val="none"/>
          <w:lang w:val="en-US" w:eastAsia="zh-CN"/>
        </w:rPr>
      </w:pPr>
      <w:r>
        <w:rPr>
          <w:rFonts w:hint="eastAsia" w:ascii="宋体" w:hAnsi="宋体" w:eastAsia="宋体" w:cs="宋体"/>
          <w:b w:val="0"/>
          <w:bCs w:val="0"/>
          <w:color w:val="auto"/>
          <w:spacing w:val="-3"/>
          <w:sz w:val="24"/>
          <w:szCs w:val="24"/>
          <w:highlight w:val="none"/>
          <w:lang w:val="en-US" w:eastAsia="zh-CN"/>
        </w:rPr>
        <w:t>其他详见招标文件。</w:t>
      </w:r>
    </w:p>
    <w:p w14:paraId="69A96DB0">
      <w:pPr>
        <w:spacing w:before="90" w:line="219" w:lineRule="auto"/>
        <w:ind w:left="125" w:leftChars="0"/>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二、</w:t>
      </w:r>
      <w:r>
        <w:rPr>
          <w:rFonts w:ascii="宋体" w:hAnsi="宋体" w:eastAsia="宋体" w:cs="宋体"/>
          <w:b/>
          <w:bCs/>
          <w:color w:val="auto"/>
          <w:spacing w:val="-3"/>
          <w:sz w:val="24"/>
          <w:szCs w:val="24"/>
          <w:highlight w:val="none"/>
        </w:rPr>
        <w:t>供应商的资格要求：</w:t>
      </w:r>
    </w:p>
    <w:p w14:paraId="71866C3C">
      <w:pPr>
        <w:spacing w:before="90" w:line="219" w:lineRule="auto"/>
        <w:ind w:left="605" w:leftChars="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1满足《中华人民共和国政府采购法》第二十二条规定；</w:t>
      </w:r>
    </w:p>
    <w:p w14:paraId="1A84EBC7">
      <w:pPr>
        <w:spacing w:before="89" w:line="219" w:lineRule="auto"/>
        <w:jc w:val="center"/>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2落实政府采购政策需满足的资格要求：本</w:t>
      </w:r>
      <w:r>
        <w:rPr>
          <w:rFonts w:ascii="宋体" w:hAnsi="宋体" w:eastAsia="宋体" w:cs="宋体"/>
          <w:color w:val="auto"/>
          <w:spacing w:val="-4"/>
          <w:sz w:val="24"/>
          <w:szCs w:val="24"/>
          <w:highlight w:val="none"/>
        </w:rPr>
        <w:t>项目非专门面向中小企业采购；</w:t>
      </w:r>
    </w:p>
    <w:p w14:paraId="34259459">
      <w:pPr>
        <w:spacing w:before="90" w:line="288" w:lineRule="auto"/>
        <w:ind w:left="121" w:right="179"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本采购项目落实的政府采购政策：关于印发《政府采购促进中</w:t>
      </w:r>
      <w:r>
        <w:rPr>
          <w:rFonts w:ascii="宋体" w:hAnsi="宋体" w:eastAsia="宋体" w:cs="宋体"/>
          <w:color w:val="auto"/>
          <w:spacing w:val="-4"/>
          <w:sz w:val="24"/>
          <w:szCs w:val="24"/>
          <w:highlight w:val="none"/>
        </w:rPr>
        <w:t>小企业发展管</w:t>
      </w:r>
      <w:r>
        <w:rPr>
          <w:rFonts w:ascii="宋体" w:hAnsi="宋体" w:eastAsia="宋体" w:cs="宋体"/>
          <w:color w:val="auto"/>
          <w:spacing w:val="-1"/>
          <w:sz w:val="24"/>
          <w:szCs w:val="24"/>
          <w:highlight w:val="none"/>
        </w:rPr>
        <w:t>理办法》的通知（财库〔2020〕46号）、《关于进一步加大政府采购支持中小企业力度的通知》（财库〔2022〕19号）、吉林省强化政府采购政策支持中小</w:t>
      </w:r>
      <w:r>
        <w:rPr>
          <w:rFonts w:ascii="宋体" w:hAnsi="宋体" w:eastAsia="宋体" w:cs="宋体"/>
          <w:color w:val="auto"/>
          <w:spacing w:val="-2"/>
          <w:sz w:val="24"/>
          <w:szCs w:val="24"/>
          <w:highlight w:val="none"/>
        </w:rPr>
        <w:t>企业发展落实举措》（吉财采购〔2022〕478号）、《关于政府采购支持监狱企业发展有关问题的通知》(财库[2014]68号)、《三部门联合发布关于促进残疾</w:t>
      </w:r>
      <w:r>
        <w:rPr>
          <w:rFonts w:ascii="宋体" w:hAnsi="宋体" w:eastAsia="宋体" w:cs="宋体"/>
          <w:color w:val="auto"/>
          <w:spacing w:val="-3"/>
          <w:sz w:val="24"/>
          <w:szCs w:val="24"/>
          <w:highlight w:val="none"/>
        </w:rPr>
        <w:t>人就业政府采购政策的通知》(财库[2017]141号)、《关于调整优化节能产品、环境标志产品政府采购执行机制的通知》(财库[2019]9号）。</w:t>
      </w:r>
    </w:p>
    <w:p w14:paraId="279E9BC5">
      <w:pPr>
        <w:spacing w:line="219" w:lineRule="auto"/>
        <w:ind w:left="605" w:leftChars="0"/>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3本项目的特定资格要求：</w:t>
      </w:r>
    </w:p>
    <w:p w14:paraId="18FE02C4">
      <w:pPr>
        <w:spacing w:before="89" w:line="254" w:lineRule="auto"/>
        <w:ind w:right="179" w:firstLine="708" w:firstLineChars="3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3.1供应商须是具有独立的法人资格的企业或其他组织，具有有效的营</w:t>
      </w:r>
      <w:r>
        <w:rPr>
          <w:rFonts w:ascii="宋体" w:hAnsi="宋体" w:eastAsia="宋体" w:cs="宋体"/>
          <w:color w:val="auto"/>
          <w:spacing w:val="-1"/>
          <w:sz w:val="24"/>
          <w:szCs w:val="24"/>
          <w:highlight w:val="none"/>
        </w:rPr>
        <w:t>业执照，并在人员、设备、资金等方面具有相应的能力；</w:t>
      </w:r>
    </w:p>
    <w:p w14:paraId="7000E61D">
      <w:pPr>
        <w:spacing w:before="88" w:line="254" w:lineRule="auto"/>
        <w:ind w:right="179" w:firstLine="720" w:firstLineChars="300"/>
        <w:rPr>
          <w:rFonts w:ascii="宋体" w:hAnsi="宋体" w:eastAsia="宋体" w:cs="宋体"/>
          <w:color w:val="auto"/>
          <w:sz w:val="24"/>
          <w:szCs w:val="24"/>
          <w:highlight w:val="none"/>
        </w:rPr>
      </w:pPr>
      <w:r>
        <w:rPr>
          <w:rFonts w:ascii="宋体" w:hAnsi="宋体" w:eastAsia="宋体" w:cs="宋体"/>
          <w:color w:val="auto"/>
          <w:sz w:val="24"/>
          <w:szCs w:val="24"/>
          <w:highlight w:val="none"/>
        </w:rPr>
        <w:t>3.2</w:t>
      </w:r>
      <w:r>
        <w:rPr>
          <w:rFonts w:ascii="宋体" w:hAnsi="宋体" w:eastAsia="宋体" w:cs="宋体"/>
          <w:color w:val="auto"/>
          <w:spacing w:val="-1"/>
          <w:sz w:val="24"/>
          <w:szCs w:val="24"/>
          <w:highlight w:val="none"/>
        </w:rPr>
        <w:t>近三年（2022年、2023年、2024</w:t>
      </w:r>
      <w:r>
        <w:rPr>
          <w:rFonts w:ascii="宋体" w:hAnsi="宋体" w:eastAsia="宋体" w:cs="宋体"/>
          <w:color w:val="auto"/>
          <w:spacing w:val="-2"/>
          <w:sz w:val="24"/>
          <w:szCs w:val="24"/>
          <w:highlight w:val="none"/>
        </w:rPr>
        <w:t>年）财务状况良好，具有健全的财务会计制度。</w:t>
      </w:r>
    </w:p>
    <w:p w14:paraId="7D4A1D6B">
      <w:pPr>
        <w:spacing w:before="92" w:line="219" w:lineRule="auto"/>
        <w:ind w:left="746"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pacing w:val="-1"/>
          <w:sz w:val="24"/>
          <w:szCs w:val="24"/>
          <w:highlight w:val="none"/>
        </w:rPr>
        <w:t>拒绝列入政府取消投标资格记录期间的企业或个人投标；</w:t>
      </w:r>
    </w:p>
    <w:p w14:paraId="0C52474F">
      <w:pPr>
        <w:spacing w:before="85" w:line="254" w:lineRule="auto"/>
        <w:ind w:left="23" w:right="99" w:firstLine="72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eastAsia="宋体" w:cs="宋体"/>
          <w:color w:val="auto"/>
          <w:spacing w:val="-1"/>
          <w:sz w:val="24"/>
          <w:szCs w:val="24"/>
          <w:highlight w:val="none"/>
          <w:lang w:val="en-US" w:eastAsia="zh-CN"/>
        </w:rPr>
        <w:t>4</w:t>
      </w:r>
      <w:r>
        <w:rPr>
          <w:rFonts w:ascii="宋体" w:hAnsi="宋体" w:eastAsia="宋体" w:cs="宋体"/>
          <w:color w:val="auto"/>
          <w:spacing w:val="-1"/>
          <w:sz w:val="24"/>
          <w:szCs w:val="24"/>
          <w:highlight w:val="none"/>
        </w:rPr>
        <w:t>不得为“信用中国”网站（</w:t>
      </w:r>
      <w:r>
        <w:rPr>
          <w:color w:val="auto"/>
          <w:highlight w:val="none"/>
        </w:rPr>
        <w:fldChar w:fldCharType="begin"/>
      </w:r>
      <w:r>
        <w:rPr>
          <w:color w:val="auto"/>
          <w:highlight w:val="none"/>
        </w:rPr>
        <w:instrText xml:space="preserve">HYPERLINK"https://www.creditchina.gov.cn"</w:instrText>
      </w:r>
      <w:r>
        <w:rPr>
          <w:color w:val="auto"/>
          <w:highlight w:val="none"/>
        </w:rPr>
        <w:fldChar w:fldCharType="separate"/>
      </w:r>
      <w:r>
        <w:rPr>
          <w:rFonts w:ascii="宋体" w:hAnsi="宋体" w:eastAsia="宋体" w:cs="宋体"/>
          <w:color w:val="auto"/>
          <w:spacing w:val="-1"/>
          <w:sz w:val="24"/>
          <w:szCs w:val="24"/>
          <w:highlight w:val="none"/>
        </w:rPr>
        <w:t>www.creditch</w:t>
      </w:r>
      <w:r>
        <w:rPr>
          <w:rFonts w:ascii="宋体" w:hAnsi="宋体" w:eastAsia="宋体" w:cs="宋体"/>
          <w:color w:val="auto"/>
          <w:spacing w:val="-2"/>
          <w:sz w:val="24"/>
          <w:szCs w:val="24"/>
          <w:highlight w:val="none"/>
        </w:rPr>
        <w:t>ina.gov.cn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）中列入失信</w:t>
      </w:r>
      <w:r>
        <w:rPr>
          <w:rFonts w:ascii="宋体" w:hAnsi="宋体" w:eastAsia="宋体" w:cs="宋体"/>
          <w:color w:val="auto"/>
          <w:spacing w:val="-1"/>
          <w:sz w:val="24"/>
          <w:szCs w:val="24"/>
          <w:highlight w:val="none"/>
        </w:rPr>
        <w:t>被执行人和重大税收违法失信主体供应商；不得为中国政府采购网</w:t>
      </w:r>
    </w:p>
    <w:p w14:paraId="02C65503">
      <w:pPr>
        <w:spacing w:before="91" w:line="253" w:lineRule="auto"/>
        <w:ind w:left="23" w:right="125" w:firstLine="11"/>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color w:val="auto"/>
          <w:highlight w:val="none"/>
        </w:rPr>
        <w:fldChar w:fldCharType="begin"/>
      </w:r>
      <w:r>
        <w:rPr>
          <w:color w:val="auto"/>
          <w:highlight w:val="none"/>
        </w:rPr>
        <w:instrText xml:space="preserve">HYPERLINK"https://www.ccpg.gov.cn"</w:instrText>
      </w:r>
      <w:r>
        <w:rPr>
          <w:color w:val="auto"/>
          <w:highlight w:val="none"/>
        </w:rPr>
        <w:fldChar w:fldCharType="separate"/>
      </w:r>
      <w:r>
        <w:rPr>
          <w:rFonts w:ascii="宋体" w:hAnsi="宋体" w:eastAsia="宋体" w:cs="宋体"/>
          <w:color w:val="auto"/>
          <w:sz w:val="24"/>
          <w:szCs w:val="24"/>
          <w:highlight w:val="none"/>
        </w:rPr>
        <w:t>www.ccpg.gov.cn</w:t>
      </w:r>
      <w:r>
        <w:rPr>
          <w:rFonts w:ascii="宋体" w:hAnsi="宋体" w:eastAsia="宋体" w:cs="宋体"/>
          <w:color w:val="auto"/>
          <w:sz w:val="24"/>
          <w:szCs w:val="24"/>
          <w:highlight w:val="none"/>
        </w:rPr>
        <w:fldChar w:fldCharType="end"/>
      </w:r>
      <w:r>
        <w:rPr>
          <w:rFonts w:ascii="宋体" w:hAnsi="宋体" w:eastAsia="宋体" w:cs="宋体"/>
          <w:color w:val="auto"/>
          <w:sz w:val="24"/>
          <w:szCs w:val="24"/>
          <w:highlight w:val="none"/>
        </w:rPr>
        <w:t>）政府采</w:t>
      </w:r>
      <w:r>
        <w:rPr>
          <w:rFonts w:ascii="宋体" w:hAnsi="宋体" w:eastAsia="宋体" w:cs="宋体"/>
          <w:color w:val="auto"/>
          <w:spacing w:val="-1"/>
          <w:sz w:val="24"/>
          <w:szCs w:val="24"/>
          <w:highlight w:val="none"/>
        </w:rPr>
        <w:t>购严重违法失信行为记录名单中被财政部门禁止参</w:t>
      </w:r>
      <w:r>
        <w:rPr>
          <w:rFonts w:ascii="宋体" w:hAnsi="宋体" w:eastAsia="宋体" w:cs="宋体"/>
          <w:color w:val="auto"/>
          <w:spacing w:val="1"/>
          <w:sz w:val="24"/>
          <w:szCs w:val="24"/>
          <w:highlight w:val="none"/>
        </w:rPr>
        <w:t>加政府采购活动的供应商（在处罚决定规定的时间和地</w:t>
      </w:r>
      <w:r>
        <w:rPr>
          <w:rFonts w:ascii="宋体" w:hAnsi="宋体" w:eastAsia="宋体" w:cs="宋体"/>
          <w:color w:val="auto"/>
          <w:sz w:val="24"/>
          <w:szCs w:val="24"/>
          <w:highlight w:val="none"/>
        </w:rPr>
        <w:t>域范围内</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详见财库</w:t>
      </w:r>
    </w:p>
    <w:p w14:paraId="2B48DF69">
      <w:pPr>
        <w:spacing w:before="92" w:line="250" w:lineRule="auto"/>
        <w:ind w:left="64" w:right="70" w:hanging="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[2016]125号</w:t>
      </w:r>
      <w:r>
        <w:rPr>
          <w:rFonts w:ascii="宋体" w:hAnsi="宋体" w:eastAsia="宋体" w:cs="宋体"/>
          <w:color w:val="auto"/>
          <w:spacing w:val="4"/>
          <w:sz w:val="24"/>
          <w:szCs w:val="24"/>
          <w:highlight w:val="none"/>
        </w:rPr>
        <w:t>）；</w:t>
      </w:r>
      <w:r>
        <w:rPr>
          <w:rFonts w:ascii="宋体" w:hAnsi="宋体" w:eastAsia="宋体" w:cs="宋体"/>
          <w:color w:val="auto"/>
          <w:spacing w:val="-1"/>
          <w:sz w:val="24"/>
          <w:szCs w:val="24"/>
          <w:highlight w:val="none"/>
        </w:rPr>
        <w:t>在2022年至今供应商和其法定代表人在“中国裁</w:t>
      </w:r>
      <w:r>
        <w:rPr>
          <w:rFonts w:ascii="宋体" w:hAnsi="宋体" w:eastAsia="宋体" w:cs="宋体"/>
          <w:color w:val="auto"/>
          <w:spacing w:val="-2"/>
          <w:sz w:val="24"/>
          <w:szCs w:val="24"/>
          <w:highlight w:val="none"/>
        </w:rPr>
        <w:t>判文书网”(wenshu.court.gov.cn)上无行贿犯罪行为；</w:t>
      </w:r>
    </w:p>
    <w:p w14:paraId="31B9A1FA">
      <w:pPr>
        <w:spacing w:before="94" w:line="272" w:lineRule="auto"/>
        <w:ind w:left="24" w:right="99" w:firstLine="721"/>
        <w:rPr>
          <w:rFonts w:hint="eastAsia" w:ascii="宋体" w:hAnsi="宋体" w:eastAsia="宋体" w:cs="宋体"/>
          <w:color w:val="auto"/>
          <w:spacing w:val="-1"/>
          <w:sz w:val="24"/>
          <w:szCs w:val="24"/>
          <w:highlight w:val="none"/>
          <w:lang w:val="en-US" w:eastAsia="zh-CN"/>
        </w:rPr>
      </w:pPr>
      <w:r>
        <w:rPr>
          <w:rFonts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2"/>
          <w:sz w:val="24"/>
          <w:szCs w:val="24"/>
          <w:highlight w:val="none"/>
        </w:rPr>
        <w:t>单位负责人为同一人或者存在直接控股、管理关系的不同供应商，</w:t>
      </w:r>
      <w:r>
        <w:rPr>
          <w:rFonts w:ascii="宋体" w:hAnsi="宋体" w:eastAsia="宋体" w:cs="宋体"/>
          <w:color w:val="auto"/>
          <w:spacing w:val="-3"/>
          <w:sz w:val="24"/>
          <w:szCs w:val="24"/>
          <w:highlight w:val="none"/>
        </w:rPr>
        <w:t>不得参加同一合同项下的政府采购活动；为采购项目提供整体设计、规范编制或者项目管理、监理、检测等服务的供应商，不得再参加本采购项目的其他采购活</w:t>
      </w:r>
      <w:r>
        <w:rPr>
          <w:rFonts w:ascii="宋体" w:hAnsi="宋体" w:eastAsia="宋体" w:cs="宋体"/>
          <w:color w:val="auto"/>
          <w:spacing w:val="-6"/>
          <w:sz w:val="24"/>
          <w:szCs w:val="24"/>
          <w:highlight w:val="none"/>
        </w:rPr>
        <w:t>动；</w:t>
      </w:r>
    </w:p>
    <w:p w14:paraId="75883012">
      <w:pPr>
        <w:spacing w:before="94" w:line="272" w:lineRule="auto"/>
        <w:ind w:left="24" w:right="99" w:firstLine="721"/>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3</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6</w:t>
      </w:r>
      <w:r>
        <w:rPr>
          <w:rFonts w:ascii="宋体" w:hAnsi="宋体" w:eastAsia="宋体" w:cs="宋体"/>
          <w:color w:val="auto"/>
          <w:spacing w:val="-1"/>
          <w:sz w:val="24"/>
          <w:szCs w:val="24"/>
          <w:highlight w:val="none"/>
        </w:rPr>
        <w:t>参加政府采购活动前三年内，在经营活动中没有重大违法记录。</w:t>
      </w:r>
    </w:p>
    <w:p w14:paraId="7F1EE2AE">
      <w:pPr>
        <w:spacing w:before="89" w:line="220" w:lineRule="auto"/>
        <w:ind w:left="28" w:leftChars="0"/>
        <w:outlineLvl w:val="1"/>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三、</w:t>
      </w:r>
      <w:r>
        <w:rPr>
          <w:rFonts w:ascii="宋体" w:hAnsi="宋体" w:eastAsia="宋体" w:cs="宋体"/>
          <w:b/>
          <w:bCs/>
          <w:color w:val="auto"/>
          <w:spacing w:val="-4"/>
          <w:sz w:val="24"/>
          <w:szCs w:val="24"/>
          <w:highlight w:val="none"/>
        </w:rPr>
        <w:t>获取招标文件</w:t>
      </w:r>
    </w:p>
    <w:p w14:paraId="291ADA31">
      <w:pPr>
        <w:spacing w:before="92" w:line="253" w:lineRule="auto"/>
        <w:ind w:left="26" w:right="125" w:firstLine="48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1获取招标文件时间：</w:t>
      </w:r>
      <w:r>
        <w:rPr>
          <w:rFonts w:hint="eastAsia" w:ascii="宋体" w:hAnsi="宋体" w:eastAsia="宋体" w:cs="宋体"/>
          <w:color w:val="auto"/>
          <w:spacing w:val="-7"/>
          <w:sz w:val="24"/>
          <w:szCs w:val="24"/>
          <w:highlight w:val="none"/>
          <w:lang w:eastAsia="zh-CN"/>
        </w:rPr>
        <w:t>2026年3月30日至2025年4月07日</w:t>
      </w:r>
      <w:r>
        <w:rPr>
          <w:rFonts w:ascii="宋体" w:hAnsi="宋体" w:eastAsia="宋体" w:cs="宋体"/>
          <w:color w:val="auto"/>
          <w:spacing w:val="-7"/>
          <w:sz w:val="24"/>
          <w:szCs w:val="24"/>
          <w:highlight w:val="none"/>
        </w:rPr>
        <w:t>，每天上</w:t>
      </w:r>
      <w:r>
        <w:rPr>
          <w:rFonts w:ascii="宋体" w:hAnsi="宋体" w:eastAsia="宋体" w:cs="宋体"/>
          <w:color w:val="auto"/>
          <w:spacing w:val="-5"/>
          <w:sz w:val="24"/>
          <w:szCs w:val="24"/>
          <w:highlight w:val="none"/>
        </w:rPr>
        <w:t>午8:30至下午16:00；</w:t>
      </w:r>
    </w:p>
    <w:p w14:paraId="7910ECE8">
      <w:pPr>
        <w:spacing w:before="90" w:line="214" w:lineRule="auto"/>
        <w:ind w:firstLine="456" w:firstLineChars="200"/>
        <w:jc w:val="both"/>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2招标文件的获取地点：政府采购云平台（网址：</w:t>
      </w:r>
      <w:r>
        <w:rPr>
          <w:color w:val="auto"/>
          <w:highlight w:val="none"/>
        </w:rPr>
        <w:fldChar w:fldCharType="begin"/>
      </w:r>
      <w:r>
        <w:rPr>
          <w:color w:val="auto"/>
          <w:highlight w:val="none"/>
        </w:rPr>
        <w:instrText xml:space="preserve">HYPERLINK"http://www.zcygov.cn"</w:instrText>
      </w:r>
      <w:r>
        <w:rPr>
          <w:color w:val="auto"/>
          <w:highlight w:val="none"/>
        </w:rPr>
        <w:fldChar w:fldCharType="separate"/>
      </w:r>
      <w:r>
        <w:rPr>
          <w:rFonts w:ascii="宋体" w:hAnsi="宋体" w:eastAsia="宋体" w:cs="宋体"/>
          <w:color w:val="auto"/>
          <w:spacing w:val="-6"/>
          <w:sz w:val="24"/>
          <w:szCs w:val="24"/>
          <w:highlight w:val="none"/>
        </w:rPr>
        <w:t>http://www.zcygov.cn</w:t>
      </w:r>
      <w:r>
        <w:rPr>
          <w:rFonts w:ascii="宋体" w:hAnsi="宋体" w:eastAsia="宋体" w:cs="宋体"/>
          <w:color w:val="auto"/>
          <w:spacing w:val="-6"/>
          <w:sz w:val="24"/>
          <w:szCs w:val="24"/>
          <w:highlight w:val="none"/>
        </w:rPr>
        <w:fldChar w:fldCharType="end"/>
      </w:r>
      <w:r>
        <w:rPr>
          <w:rFonts w:ascii="宋体" w:hAnsi="宋体" w:eastAsia="宋体" w:cs="宋体"/>
          <w:color w:val="auto"/>
          <w:spacing w:val="-6"/>
          <w:sz w:val="24"/>
          <w:szCs w:val="24"/>
          <w:highlight w:val="none"/>
        </w:rPr>
        <w:t>）</w:t>
      </w:r>
    </w:p>
    <w:p w14:paraId="621A5638">
      <w:pPr>
        <w:spacing w:before="94" w:line="252" w:lineRule="auto"/>
        <w:ind w:left="22" w:right="99" w:firstLine="48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3招标文件的获取方式：网上免费获取（潜在供应商自行登录政</w:t>
      </w:r>
      <w:r>
        <w:rPr>
          <w:rFonts w:ascii="宋体" w:hAnsi="宋体" w:eastAsia="宋体" w:cs="宋体"/>
          <w:color w:val="auto"/>
          <w:spacing w:val="-4"/>
          <w:sz w:val="24"/>
          <w:szCs w:val="24"/>
          <w:highlight w:val="none"/>
        </w:rPr>
        <w:t>府采购云</w:t>
      </w:r>
      <w:r>
        <w:rPr>
          <w:rFonts w:ascii="宋体" w:hAnsi="宋体" w:eastAsia="宋体" w:cs="宋体"/>
          <w:color w:val="auto"/>
          <w:sz w:val="24"/>
          <w:szCs w:val="24"/>
          <w:highlight w:val="none"/>
        </w:rPr>
        <w:t>平台（网址：</w:t>
      </w:r>
      <w:r>
        <w:rPr>
          <w:color w:val="auto"/>
          <w:highlight w:val="none"/>
        </w:rPr>
        <w:fldChar w:fldCharType="begin"/>
      </w:r>
      <w:r>
        <w:rPr>
          <w:color w:val="auto"/>
          <w:highlight w:val="none"/>
        </w:rPr>
        <w:instrText xml:space="preserve">HYPERLINK"http://www.zcygov.cn"</w:instrText>
      </w:r>
      <w:r>
        <w:rPr>
          <w:color w:val="auto"/>
          <w:highlight w:val="none"/>
        </w:rPr>
        <w:fldChar w:fldCharType="separate"/>
      </w:r>
      <w:r>
        <w:rPr>
          <w:rFonts w:ascii="宋体" w:hAnsi="宋体" w:eastAsia="宋体" w:cs="宋体"/>
          <w:color w:val="auto"/>
          <w:sz w:val="24"/>
          <w:szCs w:val="24"/>
          <w:highlight w:val="none"/>
        </w:rPr>
        <w:t>http://www.zcyg</w:t>
      </w:r>
      <w:r>
        <w:rPr>
          <w:rFonts w:ascii="宋体" w:hAnsi="宋体" w:eastAsia="宋体" w:cs="宋体"/>
          <w:color w:val="auto"/>
          <w:spacing w:val="-1"/>
          <w:sz w:val="24"/>
          <w:szCs w:val="24"/>
          <w:highlight w:val="none"/>
        </w:rPr>
        <w:t>ov.cn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）网上注册</w:t>
      </w:r>
    </w:p>
    <w:p w14:paraId="744738C5">
      <w:pPr>
        <w:spacing w:before="96" w:line="265" w:lineRule="auto"/>
        <w:ind w:left="21" w:right="99" w:firstLine="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color w:val="auto"/>
          <w:highlight w:val="none"/>
        </w:rPr>
        <w:fldChar w:fldCharType="begin"/>
      </w:r>
      <w:r>
        <w:rPr>
          <w:color w:val="auto"/>
          <w:highlight w:val="none"/>
        </w:rPr>
        <w:instrText xml:space="preserve">HYPERLINK"https://middle.zcygov.cn/v-settle-front/registry"</w:instrText>
      </w:r>
      <w:r>
        <w:rPr>
          <w:color w:val="auto"/>
          <w:highlight w:val="none"/>
        </w:rPr>
        <w:fldChar w:fldCharType="separate"/>
      </w:r>
      <w:r>
        <w:rPr>
          <w:rFonts w:ascii="宋体" w:hAnsi="宋体" w:eastAsia="宋体" w:cs="宋体"/>
          <w:color w:val="auto"/>
          <w:spacing w:val="-2"/>
          <w:sz w:val="24"/>
          <w:szCs w:val="24"/>
          <w:highlight w:val="none"/>
        </w:rPr>
        <w:t>https://middle.zcygov.cn/v-settle-front/registry</w:t>
      </w:r>
      <w:r>
        <w:rPr>
          <w:rFonts w:ascii="宋体" w:hAnsi="宋体" w:eastAsia="宋体" w:cs="宋体"/>
          <w:color w:val="auto"/>
          <w:spacing w:val="-2"/>
          <w:sz w:val="24"/>
          <w:szCs w:val="24"/>
          <w:highlight w:val="none"/>
        </w:rPr>
        <w:fldChar w:fldCharType="end"/>
      </w:r>
      <w:r>
        <w:rPr>
          <w:rFonts w:ascii="宋体" w:hAnsi="宋体" w:eastAsia="宋体" w:cs="宋体"/>
          <w:color w:val="auto"/>
          <w:spacing w:val="-2"/>
          <w:sz w:val="24"/>
          <w:szCs w:val="24"/>
          <w:highlight w:val="none"/>
        </w:rPr>
        <w:t>）并下载招标文件，其</w:t>
      </w:r>
      <w:r>
        <w:rPr>
          <w:rFonts w:ascii="宋体" w:hAnsi="宋体" w:eastAsia="宋体" w:cs="宋体"/>
          <w:color w:val="auto"/>
          <w:spacing w:val="-1"/>
          <w:sz w:val="24"/>
          <w:szCs w:val="24"/>
          <w:highlight w:val="none"/>
        </w:rPr>
        <w:t>他途径获取的招标文件开标时一律按无效投标处理</w:t>
      </w:r>
      <w:r>
        <w:rPr>
          <w:rFonts w:ascii="宋体" w:hAnsi="宋体" w:eastAsia="宋体" w:cs="宋体"/>
          <w:color w:val="auto"/>
          <w:spacing w:val="11"/>
          <w:sz w:val="24"/>
          <w:szCs w:val="24"/>
          <w:highlight w:val="none"/>
        </w:rPr>
        <w:t>）；</w:t>
      </w:r>
      <w:r>
        <w:rPr>
          <w:rFonts w:ascii="宋体" w:hAnsi="宋体" w:eastAsia="宋体" w:cs="宋体"/>
          <w:color w:val="auto"/>
          <w:spacing w:val="-1"/>
          <w:sz w:val="24"/>
          <w:szCs w:val="24"/>
          <w:highlight w:val="none"/>
        </w:rPr>
        <w:t>未进行网上注册并办理CA认证的供应商将无法参与本次采购活动；</w:t>
      </w:r>
    </w:p>
    <w:p w14:paraId="10F9AED7">
      <w:pPr>
        <w:spacing w:before="87" w:line="219" w:lineRule="auto"/>
        <w:ind w:firstLine="468" w:firstLineChars="200"/>
        <w:outlineLvl w:val="2"/>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4售价：0元。</w:t>
      </w:r>
    </w:p>
    <w:p w14:paraId="384C73F9">
      <w:pPr>
        <w:spacing w:before="92" w:line="220" w:lineRule="auto"/>
        <w:ind w:left="22" w:leftChars="0"/>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四、</w:t>
      </w:r>
      <w:r>
        <w:rPr>
          <w:rFonts w:ascii="宋体" w:hAnsi="宋体" w:eastAsia="宋体" w:cs="宋体"/>
          <w:b/>
          <w:bCs/>
          <w:color w:val="auto"/>
          <w:spacing w:val="-3"/>
          <w:sz w:val="24"/>
          <w:szCs w:val="24"/>
          <w:highlight w:val="none"/>
        </w:rPr>
        <w:t>提交投标文件截止时间、开标时间和地点</w:t>
      </w:r>
    </w:p>
    <w:p w14:paraId="740BAC65">
      <w:pPr>
        <w:spacing w:before="89" w:line="220" w:lineRule="auto"/>
        <w:ind w:left="502" w:leftChars="0"/>
        <w:outlineLvl w:val="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1时间：</w:t>
      </w:r>
      <w:r>
        <w:rPr>
          <w:rFonts w:hint="eastAsia" w:ascii="宋体" w:hAnsi="宋体" w:eastAsia="宋体" w:cs="宋体"/>
          <w:b/>
          <w:bCs/>
          <w:color w:val="auto"/>
          <w:spacing w:val="-7"/>
          <w:sz w:val="24"/>
          <w:szCs w:val="24"/>
          <w:highlight w:val="none"/>
          <w:lang w:eastAsia="zh-CN"/>
        </w:rPr>
        <w:t>2026年4月20日09时30分</w:t>
      </w:r>
      <w:r>
        <w:rPr>
          <w:rFonts w:ascii="宋体" w:hAnsi="宋体" w:eastAsia="宋体" w:cs="宋体"/>
          <w:b/>
          <w:bCs/>
          <w:color w:val="auto"/>
          <w:spacing w:val="-7"/>
          <w:sz w:val="24"/>
          <w:szCs w:val="24"/>
          <w:highlight w:val="none"/>
        </w:rPr>
        <w:t>（北京时间</w:t>
      </w:r>
      <w:r>
        <w:rPr>
          <w:rFonts w:ascii="宋体" w:hAnsi="宋体" w:eastAsia="宋体" w:cs="宋体"/>
          <w:b/>
          <w:bCs/>
          <w:color w:val="auto"/>
          <w:spacing w:val="1"/>
          <w:sz w:val="24"/>
          <w:szCs w:val="24"/>
          <w:highlight w:val="none"/>
        </w:rPr>
        <w:t>）</w:t>
      </w:r>
      <w:r>
        <w:rPr>
          <w:rFonts w:ascii="宋体" w:hAnsi="宋体" w:eastAsia="宋体" w:cs="宋体"/>
          <w:color w:val="auto"/>
          <w:spacing w:val="1"/>
          <w:sz w:val="24"/>
          <w:szCs w:val="24"/>
          <w:highlight w:val="none"/>
        </w:rPr>
        <w:t>；</w:t>
      </w:r>
    </w:p>
    <w:p w14:paraId="642B5301">
      <w:pPr>
        <w:spacing w:before="86" w:line="220" w:lineRule="auto"/>
        <w:ind w:left="5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2地点：</w:t>
      </w:r>
      <w:r>
        <w:rPr>
          <w:rFonts w:hint="eastAsia" w:ascii="宋体" w:hAnsi="宋体" w:eastAsia="宋体" w:cs="宋体"/>
          <w:b/>
          <w:bCs/>
          <w:color w:val="auto"/>
          <w:spacing w:val="-3"/>
          <w:sz w:val="24"/>
          <w:szCs w:val="24"/>
          <w:highlight w:val="none"/>
          <w:lang w:eastAsia="zh-CN"/>
        </w:rPr>
        <w:t>长春市高新区鸿达街248号吉林日报副楼4楼第一开标室</w:t>
      </w:r>
      <w:r>
        <w:rPr>
          <w:rFonts w:ascii="宋体" w:hAnsi="宋体" w:eastAsia="宋体" w:cs="宋体"/>
          <w:b/>
          <w:bCs/>
          <w:color w:val="auto"/>
          <w:spacing w:val="-3"/>
          <w:sz w:val="24"/>
          <w:szCs w:val="24"/>
          <w:highlight w:val="none"/>
        </w:rPr>
        <w:t>；</w:t>
      </w:r>
    </w:p>
    <w:p w14:paraId="3F207FDF">
      <w:pPr>
        <w:spacing w:before="91" w:line="265" w:lineRule="auto"/>
        <w:ind w:left="15" w:right="99" w:firstLine="487"/>
        <w:rPr>
          <w:rFonts w:ascii="宋体" w:hAnsi="宋体" w:eastAsia="宋体" w:cs="宋体"/>
          <w:color w:val="auto"/>
          <w:spacing w:val="7"/>
          <w:sz w:val="24"/>
          <w:szCs w:val="24"/>
          <w:highlight w:val="none"/>
        </w:rPr>
      </w:pPr>
      <w:r>
        <w:rPr>
          <w:rFonts w:ascii="宋体" w:hAnsi="宋体" w:eastAsia="宋体" w:cs="宋体"/>
          <w:color w:val="auto"/>
          <w:spacing w:val="-11"/>
          <w:sz w:val="24"/>
          <w:szCs w:val="24"/>
          <w:highlight w:val="none"/>
        </w:rPr>
        <w:t>3方式：本项目执行电子化招投标，须通过政府采购云平台（网址：</w:t>
      </w:r>
      <w:r>
        <w:rPr>
          <w:color w:val="auto"/>
          <w:highlight w:val="none"/>
        </w:rPr>
        <w:fldChar w:fldCharType="begin"/>
      </w:r>
      <w:r>
        <w:rPr>
          <w:color w:val="auto"/>
          <w:highlight w:val="none"/>
        </w:rPr>
        <w:instrText xml:space="preserve">HYPERLINK"http://"</w:instrText>
      </w:r>
      <w:r>
        <w:rPr>
          <w:color w:val="auto"/>
          <w:highlight w:val="none"/>
        </w:rPr>
        <w:fldChar w:fldCharType="separate"/>
      </w:r>
      <w:r>
        <w:rPr>
          <w:rFonts w:ascii="宋体" w:hAnsi="宋体" w:eastAsia="宋体" w:cs="宋体"/>
          <w:color w:val="auto"/>
          <w:spacing w:val="-11"/>
          <w:sz w:val="24"/>
          <w:szCs w:val="24"/>
          <w:highlight w:val="none"/>
        </w:rPr>
        <w:t>http://</w:t>
      </w:r>
      <w:r>
        <w:rPr>
          <w:rFonts w:ascii="宋体" w:hAnsi="宋体" w:eastAsia="宋体" w:cs="宋体"/>
          <w:color w:val="auto"/>
          <w:spacing w:val="-11"/>
          <w:sz w:val="24"/>
          <w:szCs w:val="24"/>
          <w:highlight w:val="none"/>
        </w:rPr>
        <w:fldChar w:fldCharType="end"/>
      </w:r>
      <w:r>
        <w:rPr>
          <w:color w:val="auto"/>
          <w:highlight w:val="none"/>
        </w:rPr>
        <w:fldChar w:fldCharType="begin"/>
      </w:r>
      <w:r>
        <w:rPr>
          <w:color w:val="auto"/>
          <w:highlight w:val="none"/>
        </w:rPr>
        <w:instrText xml:space="preserve">HYPERLINK"https://www.zcygov.cn"</w:instrText>
      </w:r>
      <w:r>
        <w:rPr>
          <w:color w:val="auto"/>
          <w:highlight w:val="none"/>
        </w:rPr>
        <w:fldChar w:fldCharType="separate"/>
      </w:r>
      <w:r>
        <w:rPr>
          <w:rFonts w:ascii="宋体" w:hAnsi="宋体" w:eastAsia="宋体" w:cs="宋体"/>
          <w:color w:val="auto"/>
          <w:spacing w:val="-3"/>
          <w:sz w:val="24"/>
          <w:szCs w:val="24"/>
          <w:highlight w:val="none"/>
        </w:rPr>
        <w:t>www.zcygov.cn</w:t>
      </w:r>
      <w:r>
        <w:rPr>
          <w:rFonts w:ascii="宋体" w:hAnsi="宋体" w:eastAsia="宋体" w:cs="宋体"/>
          <w:color w:val="auto"/>
          <w:spacing w:val="-3"/>
          <w:sz w:val="24"/>
          <w:szCs w:val="24"/>
          <w:highlight w:val="none"/>
        </w:rPr>
        <w:fldChar w:fldCharType="end"/>
      </w:r>
      <w:r>
        <w:rPr>
          <w:rFonts w:ascii="宋体" w:hAnsi="宋体" w:eastAsia="宋体" w:cs="宋体"/>
          <w:color w:val="auto"/>
          <w:spacing w:val="-3"/>
          <w:sz w:val="24"/>
          <w:szCs w:val="24"/>
          <w:highlight w:val="none"/>
        </w:rPr>
        <w:t>）递交电子版投标文件（开标时间后30分钟内，由供应商持制作</w:t>
      </w:r>
      <w:r>
        <w:rPr>
          <w:rFonts w:ascii="宋体" w:hAnsi="宋体" w:eastAsia="宋体" w:cs="宋体"/>
          <w:color w:val="auto"/>
          <w:spacing w:val="-1"/>
          <w:sz w:val="24"/>
          <w:szCs w:val="24"/>
          <w:highlight w:val="none"/>
        </w:rPr>
        <w:t>该电子投标文件的同一数字证书（CA锁）及电脑进行解密</w:t>
      </w:r>
      <w:r>
        <w:rPr>
          <w:rFonts w:ascii="宋体" w:hAnsi="宋体" w:eastAsia="宋体" w:cs="宋体"/>
          <w:color w:val="auto"/>
          <w:spacing w:val="7"/>
          <w:sz w:val="24"/>
          <w:szCs w:val="24"/>
          <w:highlight w:val="none"/>
        </w:rPr>
        <w:t>）；</w:t>
      </w:r>
    </w:p>
    <w:p w14:paraId="722815C9">
      <w:pPr>
        <w:spacing w:before="77" w:line="288" w:lineRule="auto"/>
        <w:ind w:right="6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投标操作流程：供应商在政府采购云平台网注册入库成为</w:t>
      </w:r>
      <w:r>
        <w:rPr>
          <w:rFonts w:ascii="宋体" w:hAnsi="宋体" w:eastAsia="宋体" w:cs="宋体"/>
          <w:color w:val="auto"/>
          <w:spacing w:val="-4"/>
          <w:sz w:val="24"/>
          <w:szCs w:val="24"/>
          <w:highlight w:val="none"/>
        </w:rPr>
        <w:t>正式供应商后，在</w:t>
      </w:r>
      <w:r>
        <w:rPr>
          <w:rFonts w:ascii="宋体" w:hAnsi="宋体" w:eastAsia="宋体" w:cs="宋体"/>
          <w:color w:val="auto"/>
          <w:sz w:val="24"/>
          <w:szCs w:val="24"/>
          <w:highlight w:val="none"/>
        </w:rPr>
        <w:t>平台上按《政府采购项目电子交易管理操作指南-供应商</w:t>
      </w:r>
      <w:r>
        <w:rPr>
          <w:rFonts w:ascii="宋体" w:hAnsi="宋体" w:eastAsia="宋体" w:cs="宋体"/>
          <w:color w:val="auto"/>
          <w:spacing w:val="-1"/>
          <w:sz w:val="24"/>
          <w:szCs w:val="24"/>
          <w:highlight w:val="none"/>
        </w:rPr>
        <w:t>》进行投标操作；供应商须办理数字证书方可参加投标。</w:t>
      </w:r>
    </w:p>
    <w:p w14:paraId="00CA6195">
      <w:pPr>
        <w:spacing w:line="218" w:lineRule="auto"/>
        <w:ind w:left="28" w:leftChars="0"/>
        <w:outlineLvl w:val="1"/>
        <w:rPr>
          <w:rFonts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lang w:val="en-US" w:eastAsia="zh-CN"/>
        </w:rPr>
        <w:t>五、</w:t>
      </w:r>
      <w:r>
        <w:rPr>
          <w:rFonts w:ascii="宋体" w:hAnsi="宋体" w:eastAsia="宋体" w:cs="宋体"/>
          <w:b/>
          <w:bCs/>
          <w:color w:val="auto"/>
          <w:spacing w:val="-5"/>
          <w:sz w:val="24"/>
          <w:szCs w:val="24"/>
          <w:highlight w:val="none"/>
        </w:rPr>
        <w:t>公告期限</w:t>
      </w:r>
    </w:p>
    <w:p w14:paraId="72EE302C">
      <w:pPr>
        <w:spacing w:before="87" w:line="219" w:lineRule="auto"/>
        <w:ind w:left="54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自本公告发布之日起5个工作日。</w:t>
      </w:r>
    </w:p>
    <w:p w14:paraId="4EBEF804">
      <w:pPr>
        <w:spacing w:before="92" w:line="221" w:lineRule="auto"/>
        <w:ind w:left="25" w:leftChars="0"/>
        <w:outlineLvl w:val="1"/>
        <w:rPr>
          <w:rFonts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val="en-US" w:eastAsia="zh-CN"/>
        </w:rPr>
        <w:t>六、</w:t>
      </w:r>
      <w:r>
        <w:rPr>
          <w:rFonts w:ascii="宋体" w:hAnsi="宋体" w:eastAsia="宋体" w:cs="宋体"/>
          <w:b/>
          <w:bCs/>
          <w:color w:val="auto"/>
          <w:spacing w:val="-4"/>
          <w:sz w:val="24"/>
          <w:szCs w:val="24"/>
          <w:highlight w:val="none"/>
        </w:rPr>
        <w:t>其他补充事宜</w:t>
      </w:r>
    </w:p>
    <w:p w14:paraId="28FEFF3A">
      <w:pPr>
        <w:spacing w:before="87" w:line="265" w:lineRule="auto"/>
        <w:ind w:left="27" w:right="89"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1.公告发布媒体：“政采云”平台（</w:t>
      </w:r>
      <w:r>
        <w:rPr>
          <w:color w:val="auto"/>
          <w:highlight w:val="none"/>
        </w:rPr>
        <w:fldChar w:fldCharType="begin"/>
      </w:r>
      <w:r>
        <w:rPr>
          <w:color w:val="auto"/>
          <w:highlight w:val="none"/>
        </w:rPr>
        <w:instrText xml:space="preserve">HYPERLINK"http://www.zcygov.cn"</w:instrText>
      </w:r>
      <w:r>
        <w:rPr>
          <w:color w:val="auto"/>
          <w:highlight w:val="none"/>
        </w:rPr>
        <w:fldChar w:fldCharType="separate"/>
      </w:r>
      <w:r>
        <w:rPr>
          <w:rFonts w:ascii="宋体" w:hAnsi="宋体" w:eastAsia="宋体" w:cs="宋体"/>
          <w:color w:val="auto"/>
          <w:spacing w:val="-1"/>
          <w:sz w:val="24"/>
          <w:szCs w:val="24"/>
          <w:highlight w:val="none"/>
        </w:rPr>
        <w:t>http:/</w:t>
      </w:r>
      <w:r>
        <w:rPr>
          <w:rFonts w:ascii="宋体" w:hAnsi="宋体" w:eastAsia="宋体" w:cs="宋体"/>
          <w:color w:val="auto"/>
          <w:spacing w:val="-2"/>
          <w:sz w:val="24"/>
          <w:szCs w:val="24"/>
          <w:highlight w:val="none"/>
        </w:rPr>
        <w:t>/www.zcygov.cn</w:t>
      </w:r>
      <w:r>
        <w:rPr>
          <w:rFonts w:ascii="宋体" w:hAnsi="宋体" w:eastAsia="宋体" w:cs="宋体"/>
          <w:color w:val="auto"/>
          <w:spacing w:val="-2"/>
          <w:sz w:val="24"/>
          <w:szCs w:val="24"/>
          <w:highlight w:val="none"/>
        </w:rPr>
        <w:fldChar w:fldCharType="end"/>
      </w:r>
      <w:r>
        <w:rPr>
          <w:rFonts w:ascii="宋体" w:hAnsi="宋体" w:eastAsia="宋体" w:cs="宋体"/>
          <w:color w:val="auto"/>
          <w:spacing w:val="16"/>
          <w:sz w:val="24"/>
          <w:szCs w:val="24"/>
          <w:highlight w:val="none"/>
        </w:rPr>
        <w:t>），</w:t>
      </w:r>
      <w:r>
        <w:rPr>
          <w:rFonts w:ascii="宋体" w:hAnsi="宋体" w:eastAsia="宋体" w:cs="宋体"/>
          <w:color w:val="auto"/>
          <w:spacing w:val="-2"/>
          <w:sz w:val="24"/>
          <w:szCs w:val="24"/>
          <w:highlight w:val="none"/>
        </w:rPr>
        <w:t>同步推送</w:t>
      </w:r>
      <w:r>
        <w:rPr>
          <w:rFonts w:ascii="宋体" w:hAnsi="宋体" w:eastAsia="宋体" w:cs="宋体"/>
          <w:color w:val="auto"/>
          <w:sz w:val="24"/>
          <w:szCs w:val="24"/>
          <w:highlight w:val="none"/>
        </w:rPr>
        <w:t>到吉林省政府采购网（</w:t>
      </w:r>
      <w:r>
        <w:rPr>
          <w:color w:val="auto"/>
          <w:highlight w:val="none"/>
        </w:rPr>
        <w:fldChar w:fldCharType="begin"/>
      </w:r>
      <w:r>
        <w:rPr>
          <w:color w:val="auto"/>
          <w:highlight w:val="none"/>
        </w:rPr>
        <w:instrText xml:space="preserve">HYPERLINK"http://www.ccgp-jilin.gov.cn/"</w:instrText>
      </w:r>
      <w:r>
        <w:rPr>
          <w:color w:val="auto"/>
          <w:highlight w:val="none"/>
        </w:rPr>
        <w:fldChar w:fldCharType="separate"/>
      </w:r>
      <w:r>
        <w:rPr>
          <w:rFonts w:ascii="宋体" w:hAnsi="宋体" w:eastAsia="宋体" w:cs="宋体"/>
          <w:color w:val="auto"/>
          <w:sz w:val="24"/>
          <w:szCs w:val="24"/>
          <w:highlight w:val="none"/>
        </w:rPr>
        <w:t>http://www.ccgp-jilin.go</w:t>
      </w:r>
      <w:r>
        <w:rPr>
          <w:rFonts w:ascii="宋体" w:hAnsi="宋体" w:eastAsia="宋体" w:cs="宋体"/>
          <w:color w:val="auto"/>
          <w:spacing w:val="-1"/>
          <w:sz w:val="24"/>
          <w:szCs w:val="24"/>
          <w:highlight w:val="none"/>
        </w:rPr>
        <w:t>v.cn/</w:t>
      </w:r>
      <w:r>
        <w:rPr>
          <w:rFonts w:ascii="宋体" w:hAnsi="宋体" w:eastAsia="宋体" w:cs="宋体"/>
          <w:color w:val="auto"/>
          <w:spacing w:val="-1"/>
          <w:sz w:val="24"/>
          <w:szCs w:val="24"/>
          <w:highlight w:val="none"/>
        </w:rPr>
        <w:fldChar w:fldCharType="end"/>
      </w:r>
      <w:r>
        <w:rPr>
          <w:rFonts w:ascii="宋体" w:hAnsi="宋体" w:eastAsia="宋体" w:cs="宋体"/>
          <w:color w:val="auto"/>
          <w:spacing w:val="-1"/>
          <w:sz w:val="24"/>
          <w:szCs w:val="24"/>
          <w:highlight w:val="none"/>
        </w:rPr>
        <w:t>）、中国政府采购网上</w:t>
      </w:r>
      <w:r>
        <w:rPr>
          <w:rFonts w:ascii="宋体" w:hAnsi="宋体" w:eastAsia="宋体" w:cs="宋体"/>
          <w:color w:val="auto"/>
          <w:spacing w:val="-5"/>
          <w:sz w:val="24"/>
          <w:szCs w:val="24"/>
          <w:highlight w:val="none"/>
        </w:rPr>
        <w:t>发布；</w:t>
      </w:r>
    </w:p>
    <w:p w14:paraId="1A246A17">
      <w:pPr>
        <w:spacing w:before="87" w:line="219" w:lineRule="auto"/>
        <w:ind w:left="506" w:leftChars="0"/>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2.若对项目采购电子交易系统操作有疑问，可登录“政采云”平台</w:t>
      </w:r>
    </w:p>
    <w:p w14:paraId="792D2E1D">
      <w:pPr>
        <w:spacing w:before="88" w:line="255" w:lineRule="auto"/>
        <w:ind w:left="26" w:firstLine="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w:t>
      </w:r>
      <w:r>
        <w:rPr>
          <w:color w:val="auto"/>
          <w:highlight w:val="none"/>
        </w:rPr>
        <w:fldChar w:fldCharType="begin"/>
      </w:r>
      <w:r>
        <w:rPr>
          <w:color w:val="auto"/>
          <w:highlight w:val="none"/>
        </w:rPr>
        <w:instrText xml:space="preserve">HYPERLINK"https://www.zcygov.cn/"</w:instrText>
      </w:r>
      <w:r>
        <w:rPr>
          <w:color w:val="auto"/>
          <w:highlight w:val="none"/>
        </w:rPr>
        <w:fldChar w:fldCharType="separate"/>
      </w:r>
      <w:r>
        <w:rPr>
          <w:rFonts w:ascii="宋体" w:hAnsi="宋体" w:eastAsia="宋体" w:cs="宋体"/>
          <w:color w:val="auto"/>
          <w:spacing w:val="-6"/>
          <w:sz w:val="24"/>
          <w:szCs w:val="24"/>
          <w:highlight w:val="none"/>
        </w:rPr>
        <w:t>https://www.zcygov.cn/</w:t>
      </w:r>
      <w:r>
        <w:rPr>
          <w:rFonts w:ascii="宋体" w:hAnsi="宋体" w:eastAsia="宋体" w:cs="宋体"/>
          <w:color w:val="auto"/>
          <w:spacing w:val="-6"/>
          <w:sz w:val="24"/>
          <w:szCs w:val="24"/>
          <w:highlight w:val="none"/>
        </w:rPr>
        <w:fldChar w:fldCharType="end"/>
      </w:r>
      <w:r>
        <w:rPr>
          <w:rFonts w:ascii="宋体" w:hAnsi="宋体" w:eastAsia="宋体" w:cs="宋体"/>
          <w:color w:val="auto"/>
          <w:spacing w:val="-6"/>
          <w:sz w:val="24"/>
          <w:szCs w:val="24"/>
          <w:highlight w:val="none"/>
        </w:rPr>
        <w:t>）点击右侧咨询小采，获取采</w:t>
      </w:r>
      <w:r>
        <w:rPr>
          <w:rFonts w:ascii="宋体" w:hAnsi="宋体" w:eastAsia="宋体" w:cs="宋体"/>
          <w:color w:val="auto"/>
          <w:spacing w:val="-7"/>
          <w:sz w:val="24"/>
          <w:szCs w:val="24"/>
          <w:highlight w:val="none"/>
        </w:rPr>
        <w:t>小蜜智能服务管家帮助，</w:t>
      </w:r>
      <w:r>
        <w:rPr>
          <w:rFonts w:ascii="宋体" w:hAnsi="宋体" w:eastAsia="宋体" w:cs="宋体"/>
          <w:color w:val="auto"/>
          <w:spacing w:val="1"/>
          <w:sz w:val="24"/>
          <w:szCs w:val="24"/>
          <w:highlight w:val="none"/>
        </w:rPr>
        <w:t>或拨打政采云服务热线95763获取热线服务帮助。</w:t>
      </w:r>
    </w:p>
    <w:p w14:paraId="17415DEE">
      <w:pPr>
        <w:spacing w:before="88" w:line="219" w:lineRule="auto"/>
        <w:ind w:left="29" w:leftChars="0"/>
        <w:outlineLvl w:val="1"/>
        <w:rPr>
          <w:rFonts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lang w:val="en-US" w:eastAsia="zh-CN"/>
        </w:rPr>
        <w:t>七、</w:t>
      </w:r>
      <w:r>
        <w:rPr>
          <w:rFonts w:ascii="宋体" w:hAnsi="宋体" w:eastAsia="宋体" w:cs="宋体"/>
          <w:b/>
          <w:bCs/>
          <w:color w:val="auto"/>
          <w:spacing w:val="-3"/>
          <w:sz w:val="24"/>
          <w:szCs w:val="24"/>
          <w:highlight w:val="none"/>
        </w:rPr>
        <w:t>对本次招标提出询问，请按以下方式联系</w:t>
      </w:r>
    </w:p>
    <w:p w14:paraId="5D2654D4">
      <w:pPr>
        <w:spacing w:before="92" w:line="219" w:lineRule="auto"/>
        <w:ind w:left="509" w:leftChars="0"/>
        <w:outlineLvl w:val="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1采购人信息</w:t>
      </w:r>
    </w:p>
    <w:p w14:paraId="2E165F66">
      <w:pPr>
        <w:spacing w:before="87" w:line="219" w:lineRule="auto"/>
        <w:ind w:left="509" w:leftChars="0"/>
        <w:outlineLvl w:val="2"/>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名  称：吉林交通职业技术学院</w:t>
      </w:r>
    </w:p>
    <w:p w14:paraId="586EF369">
      <w:pPr>
        <w:spacing w:before="87" w:line="219" w:lineRule="auto"/>
        <w:ind w:left="509" w:leftChars="0"/>
        <w:outlineLvl w:val="2"/>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地  址：长春市高新区电台街63号</w:t>
      </w:r>
    </w:p>
    <w:p w14:paraId="7457955D">
      <w:pPr>
        <w:spacing w:before="87" w:line="219" w:lineRule="auto"/>
        <w:ind w:left="509" w:leftChars="0"/>
        <w:outlineLvl w:val="2"/>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联系方式：刘冰0431-85541020　</w:t>
      </w:r>
    </w:p>
    <w:p w14:paraId="69DC42DD">
      <w:pPr>
        <w:spacing w:before="87" w:line="219" w:lineRule="auto"/>
        <w:ind w:left="509" w:leftChars="0"/>
        <w:outlineLvl w:val="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2采购代理机构信息</w:t>
      </w:r>
    </w:p>
    <w:p w14:paraId="17D6577B">
      <w:pPr>
        <w:spacing w:before="91" w:line="220" w:lineRule="auto"/>
        <w:ind w:left="506"/>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rPr>
        <w:t>吉林融鼎工程项目管理有限公司</w:t>
      </w:r>
    </w:p>
    <w:p w14:paraId="1CC51449">
      <w:pPr>
        <w:spacing w:before="87" w:line="219" w:lineRule="auto"/>
        <w:ind w:left="509"/>
        <w:rPr>
          <w:rFonts w:hint="default" w:ascii="宋体" w:hAnsi="宋体" w:eastAsia="宋体" w:cs="宋体"/>
          <w:color w:val="auto"/>
          <w:spacing w:val="-3"/>
          <w:sz w:val="24"/>
          <w:szCs w:val="24"/>
          <w:highlight w:val="none"/>
          <w:lang w:eastAsia="zh-CN"/>
        </w:rPr>
      </w:pPr>
      <w:r>
        <w:rPr>
          <w:rFonts w:ascii="宋体" w:hAnsi="宋体" w:eastAsia="宋体" w:cs="宋体"/>
          <w:color w:val="auto"/>
          <w:spacing w:val="-1"/>
          <w:sz w:val="24"/>
          <w:szCs w:val="24"/>
          <w:highlight w:val="none"/>
        </w:rPr>
        <w:t>地址：</w:t>
      </w:r>
      <w:r>
        <w:rPr>
          <w:rFonts w:ascii="宋体" w:hAnsi="宋体" w:eastAsia="宋体" w:cs="宋体"/>
          <w:b w:val="0"/>
          <w:bCs w:val="0"/>
          <w:i w:val="0"/>
          <w:iCs w:val="0"/>
          <w:caps w:val="0"/>
          <w:snapToGrid w:val="0"/>
          <w:color w:val="auto"/>
          <w:spacing w:val="-3"/>
          <w:kern w:val="0"/>
          <w:sz w:val="24"/>
          <w:szCs w:val="24"/>
          <w:highlight w:val="none"/>
          <w:u w:val="none"/>
          <w:shd w:val="clear" w:fill="auto"/>
          <w:lang w:val="en-US" w:eastAsia="zh-CN" w:bidi="ar"/>
        </w:rPr>
        <w:t>长春市高新区硅谷大街7111号13楼</w:t>
      </w:r>
    </w:p>
    <w:p w14:paraId="40F0E384">
      <w:pPr>
        <w:spacing w:before="87" w:line="219" w:lineRule="auto"/>
        <w:ind w:left="509"/>
        <w:rPr>
          <w:rFonts w:hint="default" w:ascii="宋体" w:hAnsi="宋体" w:eastAsia="宋体" w:cs="宋体"/>
          <w:color w:val="auto"/>
          <w:sz w:val="24"/>
          <w:szCs w:val="24"/>
          <w:highlight w:val="none"/>
        </w:rPr>
      </w:pPr>
      <w:r>
        <w:rPr>
          <w:rFonts w:ascii="宋体" w:hAnsi="宋体" w:eastAsia="宋体" w:cs="宋体"/>
          <w:color w:val="auto"/>
          <w:spacing w:val="-3"/>
          <w:sz w:val="24"/>
          <w:szCs w:val="24"/>
          <w:highlight w:val="none"/>
        </w:rPr>
        <w:t>联系方式：</w:t>
      </w:r>
      <w:r>
        <w:rPr>
          <w:rFonts w:ascii="宋体" w:hAnsi="宋体" w:eastAsia="宋体" w:cs="宋体"/>
          <w:b w:val="0"/>
          <w:bCs w:val="0"/>
          <w:i w:val="0"/>
          <w:iCs w:val="0"/>
          <w:caps w:val="0"/>
          <w:snapToGrid w:val="0"/>
          <w:color w:val="auto"/>
          <w:spacing w:val="-3"/>
          <w:kern w:val="0"/>
          <w:sz w:val="24"/>
          <w:szCs w:val="24"/>
          <w:highlight w:val="none"/>
          <w:u w:val="none"/>
          <w:shd w:val="clear" w:fill="auto"/>
          <w:lang w:val="en-US" w:eastAsia="zh-CN" w:bidi="ar"/>
        </w:rPr>
        <w:t>万金雪19917226969</w:t>
      </w:r>
    </w:p>
    <w:p w14:paraId="5DF78F9B">
      <w:pPr>
        <w:spacing w:before="90" w:line="221" w:lineRule="auto"/>
        <w:ind w:left="509" w:leftChars="0"/>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3项目联系方式</w:t>
      </w:r>
    </w:p>
    <w:p w14:paraId="1DC8B4A7">
      <w:pPr>
        <w:spacing w:before="87" w:line="219" w:lineRule="auto"/>
        <w:ind w:left="509"/>
        <w:rPr>
          <w:rFonts w:hint="default" w:ascii="宋体" w:hAnsi="宋体" w:eastAsia="宋体" w:cs="宋体"/>
          <w:color w:val="auto"/>
          <w:spacing w:val="-3"/>
          <w:sz w:val="24"/>
          <w:szCs w:val="24"/>
          <w:highlight w:val="none"/>
          <w:lang w:eastAsia="zh-CN"/>
        </w:rPr>
      </w:pPr>
      <w:r>
        <w:rPr>
          <w:rFonts w:ascii="宋体" w:hAnsi="宋体" w:eastAsia="宋体" w:cs="宋体"/>
          <w:color w:val="auto"/>
          <w:spacing w:val="-2"/>
          <w:sz w:val="24"/>
          <w:szCs w:val="24"/>
          <w:highlight w:val="none"/>
        </w:rPr>
        <w:t>项目</w:t>
      </w:r>
      <w:r>
        <w:rPr>
          <w:rFonts w:ascii="宋体" w:hAnsi="宋体" w:eastAsia="宋体" w:cs="宋体"/>
          <w:color w:val="auto"/>
          <w:spacing w:val="-3"/>
          <w:sz w:val="24"/>
          <w:szCs w:val="24"/>
          <w:highlight w:val="none"/>
        </w:rPr>
        <w:t>联系人：</w:t>
      </w:r>
      <w:r>
        <w:rPr>
          <w:rFonts w:ascii="宋体" w:hAnsi="宋体" w:eastAsia="宋体" w:cs="宋体"/>
          <w:b w:val="0"/>
          <w:bCs w:val="0"/>
          <w:i w:val="0"/>
          <w:iCs w:val="0"/>
          <w:caps w:val="0"/>
          <w:snapToGrid w:val="0"/>
          <w:color w:val="auto"/>
          <w:spacing w:val="-3"/>
          <w:kern w:val="0"/>
          <w:sz w:val="24"/>
          <w:szCs w:val="24"/>
          <w:highlight w:val="none"/>
          <w:u w:val="none"/>
          <w:shd w:val="clear" w:fill="auto"/>
          <w:lang w:val="en-US" w:eastAsia="zh-CN" w:bidi="ar"/>
        </w:rPr>
        <w:t>万金雪</w:t>
      </w:r>
    </w:p>
    <w:p w14:paraId="2A99EDFA">
      <w:pPr>
        <w:spacing w:before="87" w:line="219" w:lineRule="auto"/>
        <w:ind w:left="509"/>
        <w:rPr>
          <w:rFonts w:hint="default"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rPr>
        <w:t>电话：</w:t>
      </w:r>
      <w:r>
        <w:rPr>
          <w:rFonts w:ascii="宋体" w:hAnsi="宋体" w:eastAsia="宋体" w:cs="宋体"/>
          <w:b w:val="0"/>
          <w:bCs w:val="0"/>
          <w:i w:val="0"/>
          <w:iCs w:val="0"/>
          <w:caps w:val="0"/>
          <w:snapToGrid w:val="0"/>
          <w:color w:val="auto"/>
          <w:spacing w:val="-3"/>
          <w:kern w:val="0"/>
          <w:sz w:val="24"/>
          <w:szCs w:val="24"/>
          <w:highlight w:val="none"/>
          <w:u w:val="none"/>
          <w:shd w:val="clear" w:fill="auto"/>
          <w:lang w:val="en-US" w:eastAsia="zh-CN" w:bidi="ar"/>
        </w:rPr>
        <w:t>19917226969</w:t>
      </w:r>
    </w:p>
    <w:p w14:paraId="07360813">
      <w:pPr>
        <w:spacing w:before="78" w:line="219" w:lineRule="auto"/>
        <w:ind w:left="509" w:leftChars="0"/>
        <w:outlineLvl w:val="2"/>
        <w:rPr>
          <w:rFonts w:ascii="宋体" w:hAnsi="宋体" w:eastAsia="宋体" w:cs="宋体"/>
          <w:color w:val="auto"/>
          <w:sz w:val="24"/>
          <w:szCs w:val="24"/>
          <w:highlight w:val="none"/>
        </w:rPr>
      </w:pPr>
      <w:r>
        <w:rPr>
          <w:rFonts w:hint="default" w:ascii="宋体" w:hAnsi="宋体" w:eastAsia="宋体" w:cs="宋体"/>
          <w:color w:val="auto"/>
          <w:spacing w:val="-2"/>
          <w:sz w:val="24"/>
          <w:szCs w:val="24"/>
          <w:highlight w:val="none"/>
        </w:rPr>
        <w:t>4</w:t>
      </w:r>
      <w:r>
        <w:rPr>
          <w:rFonts w:ascii="宋体" w:hAnsi="宋体" w:eastAsia="宋体" w:cs="宋体"/>
          <w:color w:val="auto"/>
          <w:spacing w:val="-2"/>
          <w:sz w:val="24"/>
          <w:szCs w:val="24"/>
          <w:highlight w:val="none"/>
        </w:rPr>
        <w:t>监督机构：吉林省财政厅政府采购管理处</w:t>
      </w:r>
    </w:p>
    <w:p w14:paraId="2A9D9413">
      <w:pPr>
        <w:rPr>
          <w:rFonts w:ascii="宋体" w:hAnsi="宋体" w:eastAsia="宋体" w:cs="宋体"/>
          <w:b/>
          <w:bCs/>
          <w:color w:val="auto"/>
          <w:spacing w:val="5"/>
          <w:sz w:val="35"/>
          <w:szCs w:val="35"/>
          <w:highlight w:val="none"/>
        </w:rPr>
      </w:pPr>
      <w:r>
        <w:rPr>
          <w:rFonts w:ascii="宋体" w:hAnsi="宋体" w:eastAsia="宋体" w:cs="宋体"/>
          <w:b/>
          <w:bCs/>
          <w:color w:val="auto"/>
          <w:spacing w:val="5"/>
          <w:sz w:val="35"/>
          <w:szCs w:val="35"/>
          <w:highlight w:val="none"/>
        </w:rPr>
        <w:br w:type="page"/>
      </w:r>
    </w:p>
    <w:p w14:paraId="0509CAFA">
      <w:pPr>
        <w:spacing w:before="113" w:line="225" w:lineRule="auto"/>
        <w:ind w:left="2471"/>
        <w:outlineLvl w:val="0"/>
        <w:rPr>
          <w:rFonts w:ascii="宋体" w:hAnsi="宋体" w:eastAsia="宋体" w:cs="宋体"/>
          <w:color w:val="auto"/>
          <w:sz w:val="35"/>
          <w:szCs w:val="35"/>
          <w:highlight w:val="none"/>
        </w:rPr>
      </w:pPr>
      <w:bookmarkStart w:id="3" w:name="_Toc8732"/>
      <w:r>
        <w:rPr>
          <w:rFonts w:ascii="宋体" w:hAnsi="宋体" w:eastAsia="宋体" w:cs="宋体"/>
          <w:b/>
          <w:bCs/>
          <w:color w:val="auto"/>
          <w:spacing w:val="5"/>
          <w:sz w:val="35"/>
          <w:szCs w:val="35"/>
          <w:highlight w:val="none"/>
        </w:rPr>
        <w:t>第二部分供应商须知</w:t>
      </w:r>
      <w:bookmarkEnd w:id="3"/>
    </w:p>
    <w:p w14:paraId="7AAF136A">
      <w:pPr>
        <w:spacing w:before="78" w:line="219" w:lineRule="auto"/>
        <w:ind w:left="126" w:leftChars="0"/>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一、供应商须知前附表</w:t>
      </w:r>
    </w:p>
    <w:tbl>
      <w:tblPr>
        <w:tblStyle w:val="18"/>
        <w:tblW w:w="85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9"/>
        <w:gridCol w:w="1797"/>
        <w:gridCol w:w="6220"/>
      </w:tblGrid>
      <w:tr w14:paraId="38BF4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499" w:type="dxa"/>
            <w:noWrap w:val="0"/>
            <w:textDirection w:val="tbRlV"/>
            <w:vAlign w:val="top"/>
          </w:tcPr>
          <w:p w14:paraId="296D84CA">
            <w:pPr>
              <w:pStyle w:val="17"/>
              <w:spacing w:before="126" w:line="206" w:lineRule="auto"/>
              <w:ind w:left="40"/>
              <w:rPr>
                <w:color w:val="auto"/>
                <w:highlight w:val="none"/>
              </w:rPr>
            </w:pPr>
            <w:r>
              <w:rPr>
                <w:color w:val="auto"/>
                <w:highlight w:val="none"/>
              </w:rPr>
              <w:t>项号</w:t>
            </w:r>
          </w:p>
        </w:tc>
        <w:tc>
          <w:tcPr>
            <w:tcW w:w="1797" w:type="dxa"/>
            <w:noWrap w:val="0"/>
            <w:vAlign w:val="top"/>
          </w:tcPr>
          <w:p w14:paraId="1BA36554">
            <w:pPr>
              <w:pStyle w:val="17"/>
              <w:spacing w:before="227" w:line="220" w:lineRule="auto"/>
              <w:ind w:left="480"/>
              <w:rPr>
                <w:color w:val="auto"/>
                <w:highlight w:val="none"/>
              </w:rPr>
            </w:pPr>
            <w:r>
              <w:rPr>
                <w:color w:val="auto"/>
                <w:spacing w:val="-20"/>
                <w:highlight w:val="none"/>
              </w:rPr>
              <w:t>内容</w:t>
            </w:r>
          </w:p>
        </w:tc>
        <w:tc>
          <w:tcPr>
            <w:tcW w:w="6220" w:type="dxa"/>
            <w:noWrap w:val="0"/>
            <w:vAlign w:val="top"/>
          </w:tcPr>
          <w:p w14:paraId="23ACB1C3">
            <w:pPr>
              <w:pStyle w:val="17"/>
              <w:spacing w:before="227" w:line="220" w:lineRule="auto"/>
              <w:ind w:left="2491"/>
              <w:rPr>
                <w:color w:val="auto"/>
                <w:highlight w:val="none"/>
              </w:rPr>
            </w:pPr>
            <w:r>
              <w:rPr>
                <w:color w:val="auto"/>
                <w:spacing w:val="-3"/>
                <w:highlight w:val="none"/>
              </w:rPr>
              <w:t>说明与要求</w:t>
            </w:r>
          </w:p>
        </w:tc>
      </w:tr>
      <w:tr w14:paraId="3EE1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499" w:type="dxa"/>
            <w:vMerge w:val="restart"/>
            <w:tcBorders>
              <w:bottom w:val="nil"/>
            </w:tcBorders>
            <w:noWrap w:val="0"/>
            <w:vAlign w:val="top"/>
          </w:tcPr>
          <w:p w14:paraId="6627C4A3">
            <w:pPr>
              <w:pStyle w:val="17"/>
              <w:spacing w:before="78" w:line="242" w:lineRule="auto"/>
              <w:ind w:left="214"/>
              <w:rPr>
                <w:color w:val="auto"/>
                <w:highlight w:val="none"/>
              </w:rPr>
            </w:pPr>
            <w:r>
              <w:rPr>
                <w:color w:val="auto"/>
                <w:highlight w:val="none"/>
              </w:rPr>
              <w:t>1</w:t>
            </w:r>
          </w:p>
        </w:tc>
        <w:tc>
          <w:tcPr>
            <w:tcW w:w="1797" w:type="dxa"/>
            <w:noWrap w:val="0"/>
            <w:vAlign w:val="top"/>
          </w:tcPr>
          <w:p w14:paraId="4B209DCA">
            <w:pPr>
              <w:pStyle w:val="17"/>
              <w:spacing w:before="78" w:line="219" w:lineRule="auto"/>
              <w:ind w:left="570"/>
              <w:rPr>
                <w:color w:val="auto"/>
                <w:highlight w:val="none"/>
              </w:rPr>
            </w:pPr>
            <w:r>
              <w:rPr>
                <w:color w:val="auto"/>
                <w:spacing w:val="-3"/>
                <w:highlight w:val="none"/>
              </w:rPr>
              <w:t>采购人</w:t>
            </w:r>
          </w:p>
        </w:tc>
        <w:tc>
          <w:tcPr>
            <w:tcW w:w="6220" w:type="dxa"/>
            <w:noWrap w:val="0"/>
            <w:vAlign w:val="top"/>
          </w:tcPr>
          <w:p w14:paraId="45E57FEA">
            <w:pPr>
              <w:pStyle w:val="17"/>
              <w:spacing w:before="36" w:line="219"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名称：</w:t>
            </w:r>
            <w:r>
              <w:rPr>
                <w:rFonts w:hint="eastAsia" w:cs="宋体"/>
                <w:color w:val="auto"/>
                <w:spacing w:val="-1"/>
                <w:sz w:val="24"/>
                <w:szCs w:val="24"/>
                <w:highlight w:val="none"/>
                <w:lang w:eastAsia="zh-CN"/>
              </w:rPr>
              <w:t>吉林交通职业技术学院</w:t>
            </w:r>
          </w:p>
          <w:p w14:paraId="33901DD0">
            <w:pPr>
              <w:spacing w:before="0" w:line="240" w:lineRule="auto"/>
              <w:ind w:left="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地址：</w:t>
            </w:r>
            <w:r>
              <w:rPr>
                <w:rFonts w:hint="eastAsia" w:ascii="宋体" w:hAnsi="宋体" w:eastAsia="宋体" w:cs="宋体"/>
                <w:color w:val="auto"/>
                <w:spacing w:val="-3"/>
                <w:sz w:val="24"/>
                <w:szCs w:val="24"/>
                <w:highlight w:val="none"/>
              </w:rPr>
              <w:t>长春市高新区电台街63号</w:t>
            </w:r>
          </w:p>
          <w:p w14:paraId="543999CB">
            <w:pPr>
              <w:pStyle w:val="17"/>
              <w:spacing w:before="89" w:line="220" w:lineRule="auto"/>
              <w:jc w:val="both"/>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联系人：</w:t>
            </w:r>
            <w:r>
              <w:rPr>
                <w:rFonts w:hint="eastAsia" w:ascii="宋体" w:hAnsi="宋体" w:eastAsia="宋体" w:cs="宋体"/>
                <w:color w:val="auto"/>
                <w:spacing w:val="-3"/>
                <w:sz w:val="24"/>
                <w:szCs w:val="24"/>
                <w:highlight w:val="none"/>
              </w:rPr>
              <w:t>刘冰</w:t>
            </w:r>
          </w:p>
          <w:p w14:paraId="4A7B2755">
            <w:pPr>
              <w:pStyle w:val="17"/>
              <w:spacing w:before="88" w:line="220"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联系方式：</w:t>
            </w:r>
            <w:r>
              <w:rPr>
                <w:rFonts w:hint="eastAsia" w:ascii="宋体" w:hAnsi="宋体" w:eastAsia="宋体" w:cs="宋体"/>
                <w:color w:val="auto"/>
                <w:spacing w:val="-3"/>
                <w:sz w:val="24"/>
                <w:szCs w:val="24"/>
                <w:highlight w:val="none"/>
              </w:rPr>
              <w:t>0431-85541020</w:t>
            </w:r>
          </w:p>
        </w:tc>
      </w:tr>
      <w:tr w14:paraId="4614D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499" w:type="dxa"/>
            <w:vMerge w:val="continue"/>
            <w:tcBorders>
              <w:top w:val="nil"/>
            </w:tcBorders>
            <w:noWrap w:val="0"/>
            <w:vAlign w:val="top"/>
          </w:tcPr>
          <w:p w14:paraId="3142AB92">
            <w:pPr>
              <w:rPr>
                <w:rFonts w:ascii="Arial"/>
                <w:color w:val="auto"/>
                <w:sz w:val="21"/>
                <w:highlight w:val="none"/>
              </w:rPr>
            </w:pPr>
          </w:p>
        </w:tc>
        <w:tc>
          <w:tcPr>
            <w:tcW w:w="1797" w:type="dxa"/>
            <w:noWrap w:val="0"/>
            <w:vAlign w:val="top"/>
          </w:tcPr>
          <w:p w14:paraId="6F43C227">
            <w:pPr>
              <w:pStyle w:val="17"/>
              <w:spacing w:before="78" w:line="219" w:lineRule="auto"/>
              <w:ind w:left="210"/>
              <w:rPr>
                <w:color w:val="auto"/>
                <w:highlight w:val="none"/>
              </w:rPr>
            </w:pPr>
            <w:r>
              <w:rPr>
                <w:color w:val="auto"/>
                <w:spacing w:val="-2"/>
                <w:highlight w:val="none"/>
              </w:rPr>
              <w:t>采购代理机构</w:t>
            </w:r>
          </w:p>
        </w:tc>
        <w:tc>
          <w:tcPr>
            <w:tcW w:w="6220" w:type="dxa"/>
            <w:noWrap w:val="0"/>
            <w:vAlign w:val="top"/>
          </w:tcPr>
          <w:p w14:paraId="7927ED61">
            <w:pPr>
              <w:pStyle w:val="17"/>
              <w:spacing w:before="88" w:line="220" w:lineRule="auto"/>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名称：吉林融鼎工程项目管理有限公司</w:t>
            </w:r>
          </w:p>
          <w:p w14:paraId="4F48F21B">
            <w:pPr>
              <w:keepNext w:val="0"/>
              <w:keepLines w:val="0"/>
              <w:widowControl/>
              <w:suppressLineNumbers w:val="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地址：</w:t>
            </w:r>
            <w:r>
              <w:rPr>
                <w:rFonts w:hint="eastAsia" w:ascii="宋体" w:hAnsi="宋体" w:eastAsia="宋体" w:cs="宋体"/>
                <w:b w:val="0"/>
                <w:bCs w:val="0"/>
                <w:i w:val="0"/>
                <w:iCs w:val="0"/>
                <w:caps w:val="0"/>
                <w:snapToGrid w:val="0"/>
                <w:color w:val="auto"/>
                <w:spacing w:val="-1"/>
                <w:kern w:val="0"/>
                <w:sz w:val="24"/>
                <w:szCs w:val="24"/>
                <w:highlight w:val="none"/>
                <w:u w:val="none"/>
                <w:shd w:val="clear" w:fill="auto"/>
                <w:lang w:val="en-US" w:eastAsia="en-US" w:bidi="ar-SA"/>
              </w:rPr>
              <w:t>长春市高新区硅谷大街7111号13楼</w:t>
            </w:r>
          </w:p>
          <w:p w14:paraId="2828A24C">
            <w:pPr>
              <w:pStyle w:val="17"/>
              <w:spacing w:before="88" w:line="220" w:lineRule="auto"/>
              <w:jc w:val="both"/>
              <w:rPr>
                <w:rFonts w:hint="eastAsia"/>
                <w:color w:val="auto"/>
                <w:spacing w:val="-1"/>
                <w:highlight w:val="none"/>
              </w:rPr>
            </w:pPr>
            <w:r>
              <w:rPr>
                <w:rFonts w:hint="eastAsia"/>
                <w:color w:val="auto"/>
                <w:spacing w:val="-1"/>
                <w:highlight w:val="none"/>
                <w:lang w:val="en-US" w:eastAsia="en-US"/>
              </w:rPr>
              <w:t>联系人：</w:t>
            </w:r>
            <w:r>
              <w:rPr>
                <w:rFonts w:hint="eastAsia" w:ascii="宋体" w:hAnsi="宋体" w:eastAsia="宋体" w:cs="宋体"/>
                <w:b w:val="0"/>
                <w:bCs w:val="0"/>
                <w:i w:val="0"/>
                <w:iCs w:val="0"/>
                <w:caps w:val="0"/>
                <w:snapToGrid w:val="0"/>
                <w:color w:val="auto"/>
                <w:spacing w:val="-1"/>
                <w:kern w:val="0"/>
                <w:sz w:val="24"/>
                <w:szCs w:val="24"/>
                <w:highlight w:val="none"/>
                <w:u w:val="none"/>
                <w:shd w:val="clear" w:fill="auto"/>
                <w:lang w:val="en-US" w:eastAsia="en-US" w:bidi="ar-SA"/>
              </w:rPr>
              <w:t>万金雪</w:t>
            </w:r>
          </w:p>
          <w:p w14:paraId="7FCF73BB">
            <w:pPr>
              <w:pStyle w:val="17"/>
              <w:spacing w:before="88" w:line="220" w:lineRule="auto"/>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联系方式：</w:t>
            </w:r>
            <w:r>
              <w:rPr>
                <w:rFonts w:hint="eastAsia" w:ascii="宋体" w:hAnsi="宋体" w:eastAsia="宋体" w:cs="宋体"/>
                <w:b w:val="0"/>
                <w:bCs w:val="0"/>
                <w:i w:val="0"/>
                <w:iCs w:val="0"/>
                <w:caps w:val="0"/>
                <w:snapToGrid w:val="0"/>
                <w:color w:val="auto"/>
                <w:spacing w:val="-1"/>
                <w:kern w:val="0"/>
                <w:sz w:val="24"/>
                <w:szCs w:val="24"/>
                <w:highlight w:val="none"/>
                <w:u w:val="none"/>
                <w:shd w:val="clear" w:fill="auto"/>
                <w:lang w:val="en-US" w:eastAsia="en-US" w:bidi="ar-SA"/>
              </w:rPr>
              <w:t>19917226969</w:t>
            </w:r>
          </w:p>
        </w:tc>
      </w:tr>
      <w:tr w14:paraId="24E9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499" w:type="dxa"/>
            <w:noWrap w:val="0"/>
            <w:vAlign w:val="top"/>
          </w:tcPr>
          <w:p w14:paraId="15136D7F">
            <w:pPr>
              <w:pStyle w:val="17"/>
              <w:spacing w:before="94" w:line="242" w:lineRule="auto"/>
              <w:ind w:left="199"/>
              <w:rPr>
                <w:color w:val="auto"/>
                <w:highlight w:val="none"/>
              </w:rPr>
            </w:pPr>
            <w:r>
              <w:rPr>
                <w:color w:val="auto"/>
                <w:highlight w:val="none"/>
              </w:rPr>
              <w:t>2</w:t>
            </w:r>
          </w:p>
        </w:tc>
        <w:tc>
          <w:tcPr>
            <w:tcW w:w="1797" w:type="dxa"/>
            <w:noWrap w:val="0"/>
            <w:vAlign w:val="top"/>
          </w:tcPr>
          <w:p w14:paraId="0DEBFD7E">
            <w:pPr>
              <w:pStyle w:val="17"/>
              <w:spacing w:before="95" w:line="220" w:lineRule="auto"/>
              <w:ind w:left="454"/>
              <w:rPr>
                <w:b w:val="0"/>
                <w:bCs w:val="0"/>
                <w:color w:val="auto"/>
                <w:highlight w:val="none"/>
              </w:rPr>
            </w:pPr>
            <w:r>
              <w:rPr>
                <w:b w:val="0"/>
                <w:bCs w:val="0"/>
                <w:color w:val="auto"/>
                <w:spacing w:val="-4"/>
                <w:highlight w:val="none"/>
              </w:rPr>
              <w:t>项目编号</w:t>
            </w:r>
          </w:p>
        </w:tc>
        <w:tc>
          <w:tcPr>
            <w:tcW w:w="6220" w:type="dxa"/>
            <w:noWrap w:val="0"/>
            <w:vAlign w:val="top"/>
          </w:tcPr>
          <w:p w14:paraId="5605838A">
            <w:pPr>
              <w:pStyle w:val="17"/>
              <w:spacing w:before="88" w:line="220" w:lineRule="auto"/>
              <w:jc w:val="both"/>
              <w:rPr>
                <w:rFonts w:hint="default" w:ascii="宋体" w:hAnsi="宋体" w:eastAsia="宋体" w:cs="宋体"/>
                <w:color w:val="auto"/>
                <w:spacing w:val="-1"/>
                <w:sz w:val="24"/>
                <w:szCs w:val="24"/>
                <w:highlight w:val="none"/>
                <w:lang w:val="en-US" w:eastAsia="zh-CN"/>
              </w:rPr>
            </w:pPr>
            <w:r>
              <w:rPr>
                <w:rFonts w:hint="eastAsia" w:cs="宋体"/>
                <w:color w:val="auto"/>
                <w:spacing w:val="-1"/>
                <w:sz w:val="24"/>
                <w:szCs w:val="24"/>
                <w:highlight w:val="none"/>
                <w:lang w:val="en-US" w:eastAsia="zh-CN"/>
              </w:rPr>
              <w:t>采购计划备-[2026]-02010号</w:t>
            </w:r>
          </w:p>
        </w:tc>
      </w:tr>
      <w:tr w14:paraId="0833A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99" w:type="dxa"/>
            <w:noWrap w:val="0"/>
            <w:vAlign w:val="top"/>
          </w:tcPr>
          <w:p w14:paraId="6F4DB564">
            <w:pPr>
              <w:pStyle w:val="17"/>
              <w:spacing w:before="95"/>
              <w:ind w:left="201"/>
              <w:rPr>
                <w:color w:val="auto"/>
                <w:highlight w:val="none"/>
              </w:rPr>
            </w:pPr>
            <w:r>
              <w:rPr>
                <w:color w:val="auto"/>
                <w:highlight w:val="none"/>
              </w:rPr>
              <w:t>3</w:t>
            </w:r>
          </w:p>
        </w:tc>
        <w:tc>
          <w:tcPr>
            <w:tcW w:w="1797" w:type="dxa"/>
            <w:noWrap w:val="0"/>
            <w:vAlign w:val="top"/>
          </w:tcPr>
          <w:p w14:paraId="780CF944">
            <w:pPr>
              <w:pStyle w:val="17"/>
              <w:spacing w:before="94" w:line="221" w:lineRule="auto"/>
              <w:ind w:left="454"/>
              <w:rPr>
                <w:color w:val="auto"/>
                <w:highlight w:val="none"/>
              </w:rPr>
            </w:pPr>
            <w:r>
              <w:rPr>
                <w:color w:val="auto"/>
                <w:spacing w:val="-4"/>
                <w:highlight w:val="none"/>
              </w:rPr>
              <w:t>项目名称</w:t>
            </w:r>
          </w:p>
        </w:tc>
        <w:tc>
          <w:tcPr>
            <w:tcW w:w="6220" w:type="dxa"/>
            <w:noWrap w:val="0"/>
            <w:vAlign w:val="top"/>
          </w:tcPr>
          <w:p w14:paraId="71C5B4C4">
            <w:pPr>
              <w:pStyle w:val="17"/>
              <w:spacing w:before="88" w:line="220" w:lineRule="auto"/>
              <w:jc w:val="both"/>
              <w:rPr>
                <w:rFonts w:hint="default" w:ascii="宋体" w:hAnsi="宋体" w:eastAsia="宋体" w:cs="宋体"/>
                <w:color w:val="auto"/>
                <w:spacing w:val="-1"/>
                <w:sz w:val="24"/>
                <w:szCs w:val="24"/>
                <w:highlight w:val="none"/>
                <w:lang w:val="en-US" w:eastAsia="zh-CN"/>
              </w:rPr>
            </w:pPr>
            <w:r>
              <w:rPr>
                <w:rFonts w:hint="eastAsia" w:cs="宋体"/>
                <w:color w:val="auto"/>
                <w:spacing w:val="-1"/>
                <w:sz w:val="24"/>
                <w:szCs w:val="24"/>
                <w:highlight w:val="none"/>
                <w:lang w:val="en-US" w:eastAsia="zh-CN"/>
              </w:rPr>
              <w:t>智慧交通基础数据采集平台建设项目（二次）</w:t>
            </w:r>
          </w:p>
        </w:tc>
      </w:tr>
      <w:tr w14:paraId="012AC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499" w:type="dxa"/>
            <w:noWrap w:val="0"/>
            <w:vAlign w:val="top"/>
          </w:tcPr>
          <w:p w14:paraId="6C116595">
            <w:pPr>
              <w:pStyle w:val="17"/>
              <w:spacing w:before="135" w:line="242" w:lineRule="auto"/>
              <w:ind w:left="195"/>
              <w:rPr>
                <w:color w:val="auto"/>
                <w:highlight w:val="none"/>
              </w:rPr>
            </w:pPr>
            <w:r>
              <w:rPr>
                <w:color w:val="auto"/>
                <w:highlight w:val="none"/>
              </w:rPr>
              <w:t>4</w:t>
            </w:r>
          </w:p>
        </w:tc>
        <w:tc>
          <w:tcPr>
            <w:tcW w:w="1797" w:type="dxa"/>
            <w:noWrap w:val="0"/>
            <w:vAlign w:val="top"/>
          </w:tcPr>
          <w:p w14:paraId="39BB8DBD">
            <w:pPr>
              <w:pStyle w:val="17"/>
              <w:spacing w:before="136" w:line="220" w:lineRule="auto"/>
              <w:ind w:left="452"/>
              <w:rPr>
                <w:color w:val="auto"/>
                <w:highlight w:val="none"/>
              </w:rPr>
            </w:pPr>
            <w:r>
              <w:rPr>
                <w:color w:val="auto"/>
                <w:spacing w:val="-3"/>
                <w:highlight w:val="none"/>
              </w:rPr>
              <w:t>预算金额</w:t>
            </w:r>
          </w:p>
        </w:tc>
        <w:tc>
          <w:tcPr>
            <w:tcW w:w="6220" w:type="dxa"/>
            <w:noWrap w:val="0"/>
            <w:vAlign w:val="top"/>
          </w:tcPr>
          <w:p w14:paraId="6564F8F6">
            <w:pPr>
              <w:pStyle w:val="17"/>
              <w:spacing w:before="135" w:line="221" w:lineRule="auto"/>
              <w:ind w:left="130"/>
              <w:rPr>
                <w:rFonts w:hint="eastAsia"/>
                <w:color w:val="auto"/>
                <w:highlight w:val="none"/>
              </w:rPr>
            </w:pPr>
            <w:r>
              <w:rPr>
                <w:rFonts w:hint="eastAsia" w:ascii="宋体" w:hAnsi="宋体" w:eastAsia="宋体" w:cs="宋体"/>
                <w:b w:val="0"/>
                <w:bCs w:val="0"/>
                <w:color w:val="auto"/>
                <w:spacing w:val="-3"/>
                <w:sz w:val="24"/>
                <w:szCs w:val="24"/>
                <w:highlight w:val="none"/>
                <w:lang w:val="en-US" w:eastAsia="zh-CN"/>
              </w:rPr>
              <w:t>3,230,000.00元；</w:t>
            </w:r>
          </w:p>
        </w:tc>
      </w:tr>
      <w:tr w14:paraId="51C02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499" w:type="dxa"/>
            <w:noWrap w:val="0"/>
            <w:vAlign w:val="top"/>
          </w:tcPr>
          <w:p w14:paraId="534CFDDA">
            <w:pPr>
              <w:pStyle w:val="17"/>
              <w:spacing w:before="78"/>
              <w:ind w:left="201"/>
              <w:rPr>
                <w:color w:val="auto"/>
                <w:highlight w:val="none"/>
              </w:rPr>
            </w:pPr>
            <w:r>
              <w:rPr>
                <w:color w:val="auto"/>
                <w:highlight w:val="none"/>
              </w:rPr>
              <w:t>5</w:t>
            </w:r>
          </w:p>
        </w:tc>
        <w:tc>
          <w:tcPr>
            <w:tcW w:w="1797" w:type="dxa"/>
            <w:noWrap w:val="0"/>
            <w:vAlign w:val="top"/>
          </w:tcPr>
          <w:p w14:paraId="127B08AF">
            <w:pPr>
              <w:pStyle w:val="17"/>
              <w:spacing w:before="78" w:line="219" w:lineRule="auto"/>
              <w:ind w:left="449"/>
              <w:rPr>
                <w:color w:val="auto"/>
                <w:highlight w:val="none"/>
              </w:rPr>
            </w:pPr>
            <w:r>
              <w:rPr>
                <w:color w:val="auto"/>
                <w:spacing w:val="-2"/>
                <w:highlight w:val="none"/>
              </w:rPr>
              <w:t>报价方式</w:t>
            </w:r>
          </w:p>
        </w:tc>
        <w:tc>
          <w:tcPr>
            <w:tcW w:w="6220" w:type="dxa"/>
            <w:noWrap w:val="0"/>
            <w:vAlign w:val="top"/>
          </w:tcPr>
          <w:p w14:paraId="01AB2326">
            <w:pPr>
              <w:pStyle w:val="17"/>
              <w:spacing w:before="39" w:line="241" w:lineRule="auto"/>
              <w:ind w:left="113" w:right="106" w:hanging="1"/>
              <w:rPr>
                <w:rFonts w:hint="eastAsia" w:ascii="宋体" w:hAnsi="宋体" w:eastAsia="宋体" w:cs="宋体"/>
                <w:b w:val="0"/>
                <w:bCs w:val="0"/>
                <w:color w:val="auto"/>
                <w:spacing w:val="-3"/>
                <w:sz w:val="24"/>
                <w:szCs w:val="24"/>
                <w:highlight w:val="none"/>
                <w:lang w:val="en-US" w:eastAsia="zh-CN"/>
              </w:rPr>
            </w:pPr>
            <w:r>
              <w:rPr>
                <w:rFonts w:hint="eastAsia"/>
                <w:color w:val="auto"/>
                <w:spacing w:val="-3"/>
                <w:highlight w:val="none"/>
                <w:lang w:val="en-US" w:eastAsia="zh-CN"/>
              </w:rPr>
              <w:t>最高投标现价：</w:t>
            </w:r>
            <w:r>
              <w:rPr>
                <w:rFonts w:hint="eastAsia" w:ascii="宋体" w:hAnsi="宋体" w:eastAsia="宋体" w:cs="宋体"/>
                <w:b w:val="0"/>
                <w:bCs w:val="0"/>
                <w:color w:val="auto"/>
                <w:spacing w:val="-3"/>
                <w:sz w:val="24"/>
                <w:szCs w:val="24"/>
                <w:highlight w:val="none"/>
                <w:lang w:val="en-US" w:eastAsia="zh-CN"/>
              </w:rPr>
              <w:t>3,230,000.00元；</w:t>
            </w:r>
          </w:p>
          <w:p w14:paraId="10C459F8">
            <w:pPr>
              <w:pStyle w:val="17"/>
              <w:spacing w:before="39" w:line="241" w:lineRule="auto"/>
              <w:ind w:left="113" w:right="106" w:hanging="1"/>
              <w:rPr>
                <w:color w:val="auto"/>
                <w:highlight w:val="none"/>
              </w:rPr>
            </w:pPr>
            <w:r>
              <w:rPr>
                <w:color w:val="auto"/>
                <w:spacing w:val="-3"/>
                <w:highlight w:val="none"/>
              </w:rPr>
              <w:t>供应商须结合企业自身情况，根据采购需求业务清单填报</w:t>
            </w:r>
            <w:r>
              <w:rPr>
                <w:color w:val="auto"/>
                <w:spacing w:val="-1"/>
                <w:highlight w:val="none"/>
              </w:rPr>
              <w:t>单价及汇总单价，最终结算以实际供货量为准。</w:t>
            </w:r>
          </w:p>
          <w:p w14:paraId="0E4A81FD">
            <w:pPr>
              <w:pStyle w:val="17"/>
              <w:spacing w:before="115" w:line="242" w:lineRule="auto"/>
              <w:ind w:left="111" w:right="106" w:firstLine="2"/>
              <w:rPr>
                <w:color w:val="auto"/>
                <w:highlight w:val="none"/>
              </w:rPr>
            </w:pPr>
            <w:r>
              <w:rPr>
                <w:color w:val="auto"/>
                <w:spacing w:val="-3"/>
                <w:highlight w:val="none"/>
              </w:rPr>
              <w:t>单价不得超过采购需求单项最高限价及汇总单价，否则按</w:t>
            </w:r>
            <w:r>
              <w:rPr>
                <w:color w:val="auto"/>
                <w:spacing w:val="-2"/>
                <w:highlight w:val="none"/>
              </w:rPr>
              <w:t>废标处理。</w:t>
            </w:r>
          </w:p>
        </w:tc>
      </w:tr>
      <w:tr w14:paraId="4ACDF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99" w:type="dxa"/>
            <w:noWrap w:val="0"/>
            <w:vAlign w:val="top"/>
          </w:tcPr>
          <w:p w14:paraId="76FCEAD8">
            <w:pPr>
              <w:pStyle w:val="17"/>
              <w:spacing w:before="97"/>
              <w:ind w:left="198"/>
              <w:rPr>
                <w:color w:val="auto"/>
                <w:highlight w:val="none"/>
              </w:rPr>
            </w:pPr>
            <w:r>
              <w:rPr>
                <w:color w:val="auto"/>
                <w:highlight w:val="none"/>
              </w:rPr>
              <w:t>6</w:t>
            </w:r>
          </w:p>
        </w:tc>
        <w:tc>
          <w:tcPr>
            <w:tcW w:w="1797" w:type="dxa"/>
            <w:noWrap w:val="0"/>
            <w:vAlign w:val="top"/>
          </w:tcPr>
          <w:p w14:paraId="05AF71B1">
            <w:pPr>
              <w:pStyle w:val="17"/>
              <w:spacing w:before="97" w:line="219" w:lineRule="auto"/>
              <w:ind w:left="455"/>
              <w:rPr>
                <w:color w:val="auto"/>
                <w:highlight w:val="none"/>
              </w:rPr>
            </w:pPr>
            <w:r>
              <w:rPr>
                <w:color w:val="auto"/>
                <w:spacing w:val="-4"/>
                <w:highlight w:val="none"/>
              </w:rPr>
              <w:t>交货地点</w:t>
            </w:r>
          </w:p>
        </w:tc>
        <w:tc>
          <w:tcPr>
            <w:tcW w:w="6220" w:type="dxa"/>
            <w:noWrap w:val="0"/>
            <w:vAlign w:val="top"/>
          </w:tcPr>
          <w:p w14:paraId="14965047">
            <w:pPr>
              <w:pStyle w:val="17"/>
              <w:spacing w:before="97" w:line="220" w:lineRule="auto"/>
              <w:ind w:left="113"/>
              <w:rPr>
                <w:rFonts w:hint="default" w:eastAsia="宋体"/>
                <w:color w:val="auto"/>
                <w:highlight w:val="none"/>
                <w:lang w:val="en-US" w:eastAsia="zh-CN"/>
              </w:rPr>
            </w:pPr>
            <w:r>
              <w:rPr>
                <w:rFonts w:hint="eastAsia"/>
                <w:color w:val="auto"/>
                <w:highlight w:val="none"/>
                <w:lang w:val="en-US" w:eastAsia="zh-CN"/>
              </w:rPr>
              <w:t>甲方指定地点</w:t>
            </w:r>
          </w:p>
        </w:tc>
      </w:tr>
      <w:tr w14:paraId="27B23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99" w:type="dxa"/>
            <w:noWrap w:val="0"/>
            <w:vAlign w:val="top"/>
          </w:tcPr>
          <w:p w14:paraId="0C2D2A04">
            <w:pPr>
              <w:pStyle w:val="17"/>
              <w:spacing w:before="97"/>
              <w:ind w:left="202"/>
              <w:rPr>
                <w:color w:val="auto"/>
                <w:highlight w:val="none"/>
              </w:rPr>
            </w:pPr>
            <w:r>
              <w:rPr>
                <w:color w:val="auto"/>
                <w:highlight w:val="none"/>
              </w:rPr>
              <w:t>7</w:t>
            </w:r>
          </w:p>
        </w:tc>
        <w:tc>
          <w:tcPr>
            <w:tcW w:w="1797" w:type="dxa"/>
            <w:noWrap w:val="0"/>
            <w:vAlign w:val="top"/>
          </w:tcPr>
          <w:p w14:paraId="4DC1D04B">
            <w:pPr>
              <w:pStyle w:val="17"/>
              <w:spacing w:before="96" w:line="221" w:lineRule="auto"/>
              <w:ind w:left="451"/>
              <w:rPr>
                <w:color w:val="auto"/>
                <w:highlight w:val="none"/>
              </w:rPr>
            </w:pPr>
            <w:r>
              <w:rPr>
                <w:color w:val="auto"/>
                <w:spacing w:val="-3"/>
                <w:highlight w:val="none"/>
              </w:rPr>
              <w:t>质量标准</w:t>
            </w:r>
          </w:p>
        </w:tc>
        <w:tc>
          <w:tcPr>
            <w:tcW w:w="6220" w:type="dxa"/>
            <w:noWrap w:val="0"/>
            <w:vAlign w:val="top"/>
          </w:tcPr>
          <w:p w14:paraId="36A9516F">
            <w:pPr>
              <w:pStyle w:val="17"/>
              <w:spacing w:before="97" w:line="220" w:lineRule="auto"/>
              <w:ind w:left="114"/>
              <w:rPr>
                <w:color w:val="auto"/>
                <w:highlight w:val="none"/>
              </w:rPr>
            </w:pPr>
            <w:r>
              <w:rPr>
                <w:color w:val="auto"/>
                <w:spacing w:val="-1"/>
                <w:highlight w:val="none"/>
              </w:rPr>
              <w:t>符合国家及相关行业合格标准</w:t>
            </w:r>
          </w:p>
        </w:tc>
      </w:tr>
      <w:tr w14:paraId="3846C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99" w:type="dxa"/>
            <w:noWrap w:val="0"/>
            <w:vAlign w:val="top"/>
          </w:tcPr>
          <w:p w14:paraId="5E5BFB0D">
            <w:pPr>
              <w:pStyle w:val="17"/>
              <w:spacing w:before="97"/>
              <w:ind w:left="197"/>
              <w:rPr>
                <w:color w:val="auto"/>
                <w:highlight w:val="none"/>
              </w:rPr>
            </w:pPr>
            <w:r>
              <w:rPr>
                <w:color w:val="auto"/>
                <w:highlight w:val="none"/>
              </w:rPr>
              <w:t>8</w:t>
            </w:r>
          </w:p>
        </w:tc>
        <w:tc>
          <w:tcPr>
            <w:tcW w:w="1797" w:type="dxa"/>
            <w:noWrap w:val="0"/>
            <w:vAlign w:val="top"/>
          </w:tcPr>
          <w:p w14:paraId="441B88A1">
            <w:pPr>
              <w:pStyle w:val="17"/>
              <w:spacing w:before="97" w:line="221" w:lineRule="auto"/>
              <w:ind w:left="571"/>
              <w:rPr>
                <w:color w:val="auto"/>
                <w:highlight w:val="none"/>
              </w:rPr>
            </w:pPr>
            <w:r>
              <w:rPr>
                <w:color w:val="auto"/>
                <w:spacing w:val="-4"/>
                <w:highlight w:val="none"/>
              </w:rPr>
              <w:t>质保期</w:t>
            </w:r>
          </w:p>
        </w:tc>
        <w:tc>
          <w:tcPr>
            <w:tcW w:w="6220" w:type="dxa"/>
            <w:noWrap w:val="0"/>
            <w:vAlign w:val="top"/>
          </w:tcPr>
          <w:p w14:paraId="36EBC4F6">
            <w:pPr>
              <w:pStyle w:val="17"/>
              <w:spacing w:before="97" w:line="219" w:lineRule="auto"/>
              <w:ind w:left="115"/>
              <w:rPr>
                <w:rFonts w:hint="default" w:eastAsia="宋体"/>
                <w:color w:val="auto"/>
                <w:highlight w:val="none"/>
                <w:lang w:val="en-US" w:eastAsia="zh-CN"/>
              </w:rPr>
            </w:pPr>
            <w:r>
              <w:rPr>
                <w:rFonts w:hint="eastAsia"/>
                <w:color w:val="auto"/>
                <w:spacing w:val="-3"/>
                <w:highlight w:val="none"/>
                <w:lang w:val="en-US" w:eastAsia="zh-CN"/>
              </w:rPr>
              <w:t>3年</w:t>
            </w:r>
          </w:p>
        </w:tc>
      </w:tr>
      <w:tr w14:paraId="01B3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99" w:type="dxa"/>
            <w:noWrap w:val="0"/>
            <w:vAlign w:val="top"/>
          </w:tcPr>
          <w:p w14:paraId="490AF8FF">
            <w:pPr>
              <w:pStyle w:val="17"/>
              <w:spacing w:before="225"/>
              <w:ind w:left="197"/>
              <w:rPr>
                <w:color w:val="auto"/>
                <w:highlight w:val="none"/>
              </w:rPr>
            </w:pPr>
            <w:r>
              <w:rPr>
                <w:color w:val="auto"/>
                <w:highlight w:val="none"/>
              </w:rPr>
              <w:t>9</w:t>
            </w:r>
          </w:p>
        </w:tc>
        <w:tc>
          <w:tcPr>
            <w:tcW w:w="1797" w:type="dxa"/>
            <w:noWrap w:val="0"/>
            <w:vAlign w:val="top"/>
          </w:tcPr>
          <w:p w14:paraId="72203659">
            <w:pPr>
              <w:pStyle w:val="17"/>
              <w:spacing w:before="225" w:line="219" w:lineRule="auto"/>
              <w:ind w:left="450"/>
              <w:rPr>
                <w:color w:val="auto"/>
                <w:highlight w:val="none"/>
              </w:rPr>
            </w:pPr>
            <w:r>
              <w:rPr>
                <w:color w:val="auto"/>
                <w:spacing w:val="-3"/>
                <w:highlight w:val="none"/>
              </w:rPr>
              <w:t>采购需求</w:t>
            </w:r>
          </w:p>
        </w:tc>
        <w:tc>
          <w:tcPr>
            <w:tcW w:w="6220" w:type="dxa"/>
            <w:noWrap w:val="0"/>
            <w:vAlign w:val="center"/>
          </w:tcPr>
          <w:p w14:paraId="5791AADD">
            <w:pPr>
              <w:pStyle w:val="17"/>
              <w:spacing w:before="40" w:line="270" w:lineRule="auto"/>
              <w:ind w:left="112" w:right="106"/>
              <w:jc w:val="left"/>
              <w:rPr>
                <w:color w:val="auto"/>
                <w:highlight w:val="none"/>
              </w:rPr>
            </w:pPr>
            <w:r>
              <w:rPr>
                <w:rFonts w:hint="eastAsia"/>
                <w:color w:val="auto"/>
                <w:spacing w:val="-3"/>
                <w:highlight w:val="none"/>
                <w:lang w:eastAsia="zh-CN"/>
              </w:rPr>
              <w:t>智慧交通基础数据采集平台建设项目</w:t>
            </w:r>
            <w:r>
              <w:rPr>
                <w:color w:val="auto"/>
                <w:spacing w:val="-3"/>
                <w:highlight w:val="none"/>
              </w:rPr>
              <w:t>（具体详见招</w:t>
            </w:r>
            <w:r>
              <w:rPr>
                <w:color w:val="auto"/>
                <w:spacing w:val="-1"/>
                <w:highlight w:val="none"/>
              </w:rPr>
              <w:t>标文件第四部分采购需求</w:t>
            </w:r>
            <w:r>
              <w:rPr>
                <w:color w:val="auto"/>
                <w:highlight w:val="none"/>
              </w:rPr>
              <w:t>）</w:t>
            </w:r>
          </w:p>
        </w:tc>
      </w:tr>
      <w:tr w14:paraId="19B06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499" w:type="dxa"/>
            <w:noWrap w:val="0"/>
            <w:vAlign w:val="top"/>
          </w:tcPr>
          <w:p w14:paraId="4A607E3E">
            <w:pPr>
              <w:pStyle w:val="17"/>
              <w:spacing w:before="226"/>
              <w:ind w:left="154"/>
              <w:rPr>
                <w:color w:val="auto"/>
                <w:highlight w:val="none"/>
              </w:rPr>
            </w:pPr>
            <w:r>
              <w:rPr>
                <w:color w:val="auto"/>
                <w:spacing w:val="-14"/>
                <w:highlight w:val="none"/>
              </w:rPr>
              <w:t>10</w:t>
            </w:r>
          </w:p>
        </w:tc>
        <w:tc>
          <w:tcPr>
            <w:tcW w:w="1797" w:type="dxa"/>
            <w:noWrap w:val="0"/>
            <w:vAlign w:val="top"/>
          </w:tcPr>
          <w:p w14:paraId="40A4467F">
            <w:pPr>
              <w:pStyle w:val="17"/>
              <w:spacing w:before="38" w:line="221" w:lineRule="auto"/>
              <w:ind w:left="211"/>
              <w:rPr>
                <w:color w:val="auto"/>
                <w:highlight w:val="none"/>
              </w:rPr>
            </w:pPr>
            <w:r>
              <w:rPr>
                <w:color w:val="auto"/>
                <w:spacing w:val="-2"/>
                <w:highlight w:val="none"/>
              </w:rPr>
              <w:t>合同履行期限</w:t>
            </w:r>
          </w:p>
          <w:p w14:paraId="741203D9">
            <w:pPr>
              <w:pStyle w:val="17"/>
              <w:spacing w:before="87" w:line="219" w:lineRule="auto"/>
              <w:ind w:left="222"/>
              <w:rPr>
                <w:color w:val="auto"/>
                <w:highlight w:val="none"/>
              </w:rPr>
            </w:pPr>
            <w:r>
              <w:rPr>
                <w:color w:val="auto"/>
                <w:spacing w:val="-4"/>
                <w:highlight w:val="none"/>
              </w:rPr>
              <w:t>（交货时间）</w:t>
            </w:r>
          </w:p>
        </w:tc>
        <w:tc>
          <w:tcPr>
            <w:tcW w:w="6220" w:type="dxa"/>
            <w:noWrap w:val="0"/>
            <w:vAlign w:val="top"/>
          </w:tcPr>
          <w:p w14:paraId="5BD82AD9">
            <w:pPr>
              <w:pStyle w:val="17"/>
              <w:spacing w:before="226" w:line="219" w:lineRule="auto"/>
              <w:ind w:left="152"/>
              <w:rPr>
                <w:color w:val="auto"/>
                <w:highlight w:val="none"/>
              </w:rPr>
            </w:pPr>
            <w:r>
              <w:rPr>
                <w:rFonts w:hint="eastAsia"/>
                <w:color w:val="auto"/>
                <w:spacing w:val="-9"/>
                <w:highlight w:val="none"/>
              </w:rPr>
              <w:t>自签订合同之日起30天内完成</w:t>
            </w:r>
            <w:r>
              <w:rPr>
                <w:color w:val="auto"/>
                <w:spacing w:val="-9"/>
                <w:highlight w:val="none"/>
              </w:rPr>
              <w:t>；</w:t>
            </w:r>
          </w:p>
        </w:tc>
      </w:tr>
      <w:tr w14:paraId="26F44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99" w:type="dxa"/>
            <w:noWrap w:val="0"/>
            <w:vAlign w:val="top"/>
          </w:tcPr>
          <w:p w14:paraId="64E6EB41">
            <w:pPr>
              <w:pStyle w:val="17"/>
              <w:spacing w:before="96" w:line="242" w:lineRule="auto"/>
              <w:ind w:left="154"/>
              <w:rPr>
                <w:color w:val="auto"/>
                <w:highlight w:val="none"/>
              </w:rPr>
            </w:pPr>
            <w:r>
              <w:rPr>
                <w:color w:val="auto"/>
                <w:spacing w:val="-14"/>
                <w:highlight w:val="none"/>
              </w:rPr>
              <w:t>11</w:t>
            </w:r>
          </w:p>
        </w:tc>
        <w:tc>
          <w:tcPr>
            <w:tcW w:w="1797" w:type="dxa"/>
            <w:noWrap w:val="0"/>
            <w:vAlign w:val="top"/>
          </w:tcPr>
          <w:p w14:paraId="764AD8FA">
            <w:pPr>
              <w:pStyle w:val="17"/>
              <w:spacing w:before="96" w:line="220" w:lineRule="auto"/>
              <w:ind w:left="461"/>
              <w:rPr>
                <w:color w:val="auto"/>
                <w:highlight w:val="none"/>
              </w:rPr>
            </w:pPr>
            <w:r>
              <w:rPr>
                <w:color w:val="auto"/>
                <w:spacing w:val="-5"/>
                <w:highlight w:val="none"/>
              </w:rPr>
              <w:t>资金来源</w:t>
            </w:r>
          </w:p>
        </w:tc>
        <w:tc>
          <w:tcPr>
            <w:tcW w:w="6220" w:type="dxa"/>
            <w:noWrap w:val="0"/>
            <w:vAlign w:val="top"/>
          </w:tcPr>
          <w:p w14:paraId="3865AA8A">
            <w:pPr>
              <w:pStyle w:val="17"/>
              <w:spacing w:before="96" w:line="222" w:lineRule="auto"/>
              <w:ind w:left="113"/>
              <w:rPr>
                <w:color w:val="auto"/>
                <w:highlight w:val="none"/>
              </w:rPr>
            </w:pPr>
            <w:r>
              <w:rPr>
                <w:color w:val="auto"/>
                <w:spacing w:val="-3"/>
                <w:highlight w:val="none"/>
              </w:rPr>
              <w:t>财政资金</w:t>
            </w:r>
          </w:p>
        </w:tc>
      </w:tr>
      <w:tr w14:paraId="2C55F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2" w:hRule="atLeast"/>
        </w:trPr>
        <w:tc>
          <w:tcPr>
            <w:tcW w:w="499" w:type="dxa"/>
            <w:noWrap w:val="0"/>
            <w:vAlign w:val="top"/>
          </w:tcPr>
          <w:p w14:paraId="064DB77D">
            <w:pPr>
              <w:pStyle w:val="17"/>
              <w:spacing w:before="78" w:line="242" w:lineRule="auto"/>
              <w:ind w:left="154"/>
              <w:rPr>
                <w:color w:val="auto"/>
                <w:highlight w:val="none"/>
              </w:rPr>
            </w:pPr>
            <w:r>
              <w:rPr>
                <w:color w:val="auto"/>
                <w:spacing w:val="-14"/>
                <w:highlight w:val="none"/>
              </w:rPr>
              <w:t>12</w:t>
            </w:r>
          </w:p>
        </w:tc>
        <w:tc>
          <w:tcPr>
            <w:tcW w:w="1797" w:type="dxa"/>
            <w:noWrap w:val="0"/>
            <w:vAlign w:val="top"/>
          </w:tcPr>
          <w:p w14:paraId="3639404B">
            <w:pPr>
              <w:pStyle w:val="17"/>
              <w:spacing w:before="78" w:line="291" w:lineRule="auto"/>
              <w:ind w:left="811" w:right="203" w:hanging="601"/>
              <w:rPr>
                <w:color w:val="auto"/>
                <w:highlight w:val="none"/>
              </w:rPr>
            </w:pPr>
            <w:r>
              <w:rPr>
                <w:color w:val="auto"/>
                <w:spacing w:val="-2"/>
                <w:highlight w:val="none"/>
              </w:rPr>
              <w:t>供应商资格要</w:t>
            </w:r>
            <w:r>
              <w:rPr>
                <w:color w:val="auto"/>
                <w:highlight w:val="none"/>
              </w:rPr>
              <w:t>求</w:t>
            </w:r>
          </w:p>
        </w:tc>
        <w:tc>
          <w:tcPr>
            <w:tcW w:w="6220" w:type="dxa"/>
            <w:noWrap w:val="0"/>
            <w:vAlign w:val="top"/>
          </w:tcPr>
          <w:p w14:paraId="2C4E57F9">
            <w:pPr>
              <w:pStyle w:val="17"/>
              <w:spacing w:before="85" w:line="255" w:lineRule="auto"/>
              <w:ind w:left="113" w:right="106" w:firstLine="4"/>
              <w:rPr>
                <w:rFonts w:hint="eastAsia"/>
                <w:color w:val="auto"/>
                <w:highlight w:val="none"/>
              </w:rPr>
            </w:pPr>
            <w:r>
              <w:rPr>
                <w:rFonts w:hint="eastAsia"/>
                <w:color w:val="auto"/>
                <w:highlight w:val="none"/>
              </w:rPr>
              <w:t>3.1供应商须是具有独立的法人资格的企业或其他组织，具有有效的营业执照，并在人员、设备、资金等方面具有相应的能力；</w:t>
            </w:r>
          </w:p>
          <w:p w14:paraId="2BCF6E48">
            <w:pPr>
              <w:pStyle w:val="17"/>
              <w:spacing w:before="85" w:line="255" w:lineRule="auto"/>
              <w:ind w:left="113" w:right="106" w:firstLine="4"/>
              <w:rPr>
                <w:rFonts w:hint="eastAsia"/>
                <w:color w:val="auto"/>
                <w:highlight w:val="none"/>
              </w:rPr>
            </w:pPr>
            <w:r>
              <w:rPr>
                <w:rFonts w:hint="eastAsia"/>
                <w:color w:val="auto"/>
                <w:highlight w:val="none"/>
              </w:rPr>
              <w:t>3.2近三年（2022年、2023年、2024年）财务状况良好，具有健全的财务会计制度。</w:t>
            </w:r>
          </w:p>
          <w:p w14:paraId="3F21E1C4">
            <w:pPr>
              <w:pStyle w:val="17"/>
              <w:spacing w:before="85" w:line="255" w:lineRule="auto"/>
              <w:ind w:left="113" w:right="106" w:firstLine="4"/>
              <w:rPr>
                <w:rFonts w:hint="eastAsia"/>
                <w:color w:val="auto"/>
                <w:highlight w:val="none"/>
              </w:rPr>
            </w:pPr>
            <w:r>
              <w:rPr>
                <w:rFonts w:hint="eastAsia"/>
                <w:color w:val="auto"/>
                <w:highlight w:val="none"/>
              </w:rPr>
              <w:t>3.3拒绝列入政府取消投标资格记录期间的企业或个人投标；</w:t>
            </w:r>
          </w:p>
          <w:p w14:paraId="1DE49F0C">
            <w:pPr>
              <w:pStyle w:val="17"/>
              <w:spacing w:before="85" w:line="255" w:lineRule="auto"/>
              <w:ind w:left="113" w:right="106" w:firstLine="4"/>
              <w:rPr>
                <w:rFonts w:hint="eastAsia"/>
                <w:color w:val="auto"/>
                <w:highlight w:val="none"/>
              </w:rPr>
            </w:pPr>
            <w:r>
              <w:rPr>
                <w:rFonts w:hint="eastAsia"/>
                <w:color w:val="auto"/>
                <w:highlight w:val="none"/>
              </w:rPr>
              <w:t>3.4不得为“信用中国”网站（www.creditchina.gov.cn）中列入失信被执行人和重大税收违法失信主体供应商；不得为中国政府采购网</w:t>
            </w:r>
          </w:p>
          <w:p w14:paraId="4945093D">
            <w:pPr>
              <w:pStyle w:val="17"/>
              <w:spacing w:before="85" w:line="255" w:lineRule="auto"/>
              <w:ind w:left="113" w:right="106" w:firstLine="4"/>
              <w:rPr>
                <w:rFonts w:hint="eastAsia"/>
                <w:color w:val="auto"/>
                <w:highlight w:val="none"/>
              </w:rPr>
            </w:pPr>
            <w:r>
              <w:rPr>
                <w:rFonts w:hint="eastAsia"/>
                <w:color w:val="auto"/>
                <w:highlight w:val="none"/>
              </w:rPr>
              <w:t>（www.ccpg.gov.cn）政府采购严重违法失信行为记录名单中被财政部门禁止参加政府采购活动的供应商（在处罚决定规定的时间和地域范围内）（详见财库</w:t>
            </w:r>
          </w:p>
          <w:p w14:paraId="01CCA337">
            <w:pPr>
              <w:pStyle w:val="17"/>
              <w:spacing w:before="85" w:line="255" w:lineRule="auto"/>
              <w:ind w:left="113" w:right="106" w:firstLine="4"/>
              <w:rPr>
                <w:rFonts w:hint="eastAsia"/>
                <w:color w:val="auto"/>
                <w:highlight w:val="none"/>
              </w:rPr>
            </w:pPr>
            <w:r>
              <w:rPr>
                <w:rFonts w:hint="eastAsia"/>
                <w:color w:val="auto"/>
                <w:highlight w:val="none"/>
              </w:rPr>
              <w:t>[2016]125号）；在2022年至今供应商和其法定代表人在“中国裁判文书网”(wenshu.court.gov.cn)上无行贿犯罪行为；</w:t>
            </w:r>
          </w:p>
          <w:p w14:paraId="6AFDFA47">
            <w:pPr>
              <w:pStyle w:val="17"/>
              <w:spacing w:before="85" w:line="255" w:lineRule="auto"/>
              <w:ind w:left="113" w:right="106" w:firstLine="4"/>
              <w:rPr>
                <w:rFonts w:hint="eastAsia"/>
                <w:color w:val="auto"/>
                <w:highlight w:val="none"/>
              </w:rPr>
            </w:pPr>
            <w:r>
              <w:rPr>
                <w:rFonts w:hint="eastAsia"/>
                <w:color w:val="auto"/>
                <w:highlight w:val="none"/>
              </w:rPr>
              <w:t>3.5单位负责人为同一人或者存在直接控股、管理关系的不同供应商，不得参加同一合同项下的政府采购活动；为采购项目提供整体设计、规范编制或者项目管理、监理、检测等服务的供应商，不得再参加本采购项目的其他采购活动；</w:t>
            </w:r>
          </w:p>
          <w:p w14:paraId="271DD51F">
            <w:pPr>
              <w:pStyle w:val="17"/>
              <w:spacing w:before="85" w:line="255" w:lineRule="auto"/>
              <w:ind w:left="113" w:right="106" w:firstLine="4"/>
              <w:rPr>
                <w:color w:val="auto"/>
                <w:highlight w:val="none"/>
              </w:rPr>
            </w:pPr>
            <w:r>
              <w:rPr>
                <w:rFonts w:hint="eastAsia"/>
                <w:color w:val="auto"/>
                <w:highlight w:val="none"/>
              </w:rPr>
              <w:t>3.6参加政府采购活动前三年内，在经营活动中没有重大违法记录。</w:t>
            </w:r>
          </w:p>
        </w:tc>
      </w:tr>
      <w:tr w14:paraId="0D504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9" w:type="dxa"/>
            <w:noWrap w:val="0"/>
            <w:vAlign w:val="top"/>
          </w:tcPr>
          <w:p w14:paraId="29450E36">
            <w:pPr>
              <w:pStyle w:val="17"/>
              <w:spacing w:before="93"/>
              <w:ind w:left="154"/>
              <w:rPr>
                <w:rFonts w:hint="default" w:eastAsia="宋体"/>
                <w:color w:val="auto"/>
                <w:spacing w:val="-14"/>
                <w:highlight w:val="none"/>
                <w:lang w:val="en-US" w:eastAsia="zh-CN"/>
              </w:rPr>
            </w:pPr>
            <w:r>
              <w:rPr>
                <w:rFonts w:hint="eastAsia"/>
                <w:color w:val="auto"/>
                <w:spacing w:val="-14"/>
                <w:highlight w:val="none"/>
                <w:lang w:val="en-US" w:eastAsia="zh-CN"/>
              </w:rPr>
              <w:t>13</w:t>
            </w:r>
          </w:p>
        </w:tc>
        <w:tc>
          <w:tcPr>
            <w:tcW w:w="1797" w:type="dxa"/>
            <w:shd w:val="clear" w:color="auto" w:fill="auto"/>
            <w:noWrap w:val="0"/>
            <w:vAlign w:val="center"/>
          </w:tcPr>
          <w:p w14:paraId="3CF5BC9F">
            <w:pPr>
              <w:autoSpaceDE w:val="0"/>
              <w:autoSpaceDN w:val="0"/>
              <w:adjustRightInd w:val="0"/>
              <w:snapToGri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投标人要求澄清</w:t>
            </w:r>
          </w:p>
          <w:p w14:paraId="5CE5A8DF">
            <w:pPr>
              <w:autoSpaceDE w:val="0"/>
              <w:autoSpaceDN w:val="0"/>
              <w:adjustRightInd w:val="0"/>
              <w:snapToGrid w:val="0"/>
              <w:jc w:val="center"/>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color w:val="auto"/>
                <w:sz w:val="24"/>
                <w:highlight w:val="none"/>
                <w:lang w:val="zh-CN"/>
              </w:rPr>
              <w:t>招标文件的截止时间</w:t>
            </w:r>
          </w:p>
        </w:tc>
        <w:tc>
          <w:tcPr>
            <w:tcW w:w="6220" w:type="dxa"/>
            <w:shd w:val="clear" w:color="auto" w:fill="auto"/>
            <w:noWrap w:val="0"/>
            <w:vAlign w:val="center"/>
          </w:tcPr>
          <w:p w14:paraId="21CC5D28">
            <w:pPr>
              <w:autoSpaceDE w:val="0"/>
              <w:autoSpaceDN w:val="0"/>
              <w:adjustRightInd w:val="0"/>
              <w:snapToGrid w:val="0"/>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bCs/>
                <w:color w:val="auto"/>
                <w:sz w:val="24"/>
                <w:highlight w:val="none"/>
              </w:rPr>
              <w:t>递交投标文件截止之日</w:t>
            </w:r>
            <w:r>
              <w:rPr>
                <w:rFonts w:hint="eastAsia" w:ascii="宋体" w:hAnsi="宋体" w:cs="宋体"/>
                <w:bCs/>
                <w:color w:val="auto"/>
                <w:kern w:val="15"/>
                <w:sz w:val="24"/>
                <w:highlight w:val="none"/>
                <w:u w:val="single"/>
              </w:rPr>
              <w:t>1</w:t>
            </w:r>
            <w:r>
              <w:rPr>
                <w:rFonts w:hint="eastAsia" w:ascii="宋体" w:hAnsi="宋体" w:eastAsia="宋体" w:cs="宋体"/>
                <w:bCs/>
                <w:color w:val="auto"/>
                <w:kern w:val="15"/>
                <w:sz w:val="24"/>
                <w:highlight w:val="none"/>
                <w:u w:val="single"/>
                <w:lang w:val="en-US" w:eastAsia="zh-CN"/>
              </w:rPr>
              <w:t>5</w:t>
            </w:r>
            <w:r>
              <w:rPr>
                <w:rFonts w:hint="eastAsia" w:ascii="宋体" w:hAnsi="宋体" w:cs="宋体"/>
                <w:bCs/>
                <w:color w:val="auto"/>
                <w:sz w:val="24"/>
                <w:highlight w:val="none"/>
              </w:rPr>
              <w:t>天前</w:t>
            </w:r>
          </w:p>
        </w:tc>
      </w:tr>
      <w:tr w14:paraId="4149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9" w:type="dxa"/>
            <w:noWrap w:val="0"/>
            <w:vAlign w:val="top"/>
          </w:tcPr>
          <w:p w14:paraId="1EC4A414">
            <w:pPr>
              <w:pStyle w:val="17"/>
              <w:spacing w:before="93"/>
              <w:ind w:left="154"/>
              <w:rPr>
                <w:rFonts w:hint="default" w:eastAsia="宋体"/>
                <w:color w:val="auto"/>
                <w:spacing w:val="-14"/>
                <w:highlight w:val="none"/>
                <w:lang w:val="en-US" w:eastAsia="zh-CN"/>
              </w:rPr>
            </w:pPr>
            <w:r>
              <w:rPr>
                <w:rFonts w:hint="eastAsia"/>
                <w:color w:val="auto"/>
                <w:spacing w:val="-14"/>
                <w:highlight w:val="none"/>
                <w:lang w:val="en-US" w:eastAsia="zh-CN"/>
              </w:rPr>
              <w:t>14</w:t>
            </w:r>
          </w:p>
        </w:tc>
        <w:tc>
          <w:tcPr>
            <w:tcW w:w="1797" w:type="dxa"/>
            <w:shd w:val="clear" w:color="auto" w:fill="auto"/>
            <w:noWrap w:val="0"/>
            <w:vAlign w:val="center"/>
          </w:tcPr>
          <w:p w14:paraId="2589EC82">
            <w:pPr>
              <w:autoSpaceDE w:val="0"/>
              <w:autoSpaceDN w:val="0"/>
              <w:adjustRightInd w:val="0"/>
              <w:snapToGrid w:val="0"/>
              <w:jc w:val="center"/>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color w:val="auto"/>
                <w:sz w:val="24"/>
                <w:highlight w:val="none"/>
                <w:lang w:val="zh-CN"/>
              </w:rPr>
              <w:t>投标截止时间</w:t>
            </w:r>
          </w:p>
        </w:tc>
        <w:tc>
          <w:tcPr>
            <w:tcW w:w="6220" w:type="dxa"/>
            <w:shd w:val="clear" w:color="auto" w:fill="auto"/>
            <w:noWrap w:val="0"/>
            <w:vAlign w:val="center"/>
          </w:tcPr>
          <w:p w14:paraId="1CE8905F">
            <w:pPr>
              <w:autoSpaceDE w:val="0"/>
              <w:autoSpaceDN w:val="0"/>
              <w:adjustRightInd w:val="0"/>
              <w:snapToGrid w:val="0"/>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snapToGrid w:val="0"/>
                <w:color w:val="auto"/>
                <w:kern w:val="0"/>
                <w:sz w:val="24"/>
                <w:szCs w:val="21"/>
                <w:highlight w:val="none"/>
                <w:lang w:val="zh-CN" w:eastAsia="en-US" w:bidi="ar-SA"/>
              </w:rPr>
              <w:t>2026年4月20日09时30分</w:t>
            </w:r>
            <w:r>
              <w:rPr>
                <w:rFonts w:hint="eastAsia" w:ascii="宋体" w:hAnsi="宋体" w:eastAsia="Arial" w:cs="宋体"/>
                <w:snapToGrid w:val="0"/>
                <w:color w:val="auto"/>
                <w:kern w:val="0"/>
                <w:sz w:val="24"/>
                <w:szCs w:val="21"/>
                <w:highlight w:val="none"/>
                <w:lang w:val="zh-CN" w:eastAsia="en-US" w:bidi="ar-SA"/>
              </w:rPr>
              <w:t>（北京时间）</w:t>
            </w:r>
          </w:p>
        </w:tc>
      </w:tr>
      <w:tr w14:paraId="3EAC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9" w:type="dxa"/>
            <w:noWrap w:val="0"/>
            <w:vAlign w:val="top"/>
          </w:tcPr>
          <w:p w14:paraId="35318F3D">
            <w:pPr>
              <w:pStyle w:val="17"/>
              <w:spacing w:before="93"/>
              <w:ind w:left="154"/>
              <w:rPr>
                <w:rFonts w:hint="default" w:eastAsia="宋体"/>
                <w:color w:val="auto"/>
                <w:spacing w:val="-14"/>
                <w:highlight w:val="none"/>
                <w:lang w:val="en-US" w:eastAsia="zh-CN"/>
              </w:rPr>
            </w:pPr>
            <w:r>
              <w:rPr>
                <w:rFonts w:hint="eastAsia"/>
                <w:color w:val="auto"/>
                <w:spacing w:val="-14"/>
                <w:highlight w:val="none"/>
                <w:lang w:val="en-US" w:eastAsia="zh-CN"/>
              </w:rPr>
              <w:t>15</w:t>
            </w:r>
          </w:p>
        </w:tc>
        <w:tc>
          <w:tcPr>
            <w:tcW w:w="1797" w:type="dxa"/>
            <w:shd w:val="clear" w:color="auto" w:fill="auto"/>
            <w:noWrap w:val="0"/>
            <w:vAlign w:val="center"/>
          </w:tcPr>
          <w:p w14:paraId="467DEDD0">
            <w:pPr>
              <w:autoSpaceDE w:val="0"/>
              <w:autoSpaceDN w:val="0"/>
              <w:adjustRightInd w:val="0"/>
              <w:snapToGri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投标人确认收到</w:t>
            </w:r>
          </w:p>
          <w:p w14:paraId="580593DE">
            <w:pPr>
              <w:autoSpaceDE w:val="0"/>
              <w:autoSpaceDN w:val="0"/>
              <w:adjustRightInd w:val="0"/>
              <w:snapToGrid w:val="0"/>
              <w:jc w:val="center"/>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color w:val="auto"/>
                <w:sz w:val="24"/>
                <w:highlight w:val="none"/>
                <w:lang w:val="zh-CN"/>
              </w:rPr>
              <w:t>招标文件澄清的时间</w:t>
            </w:r>
          </w:p>
        </w:tc>
        <w:tc>
          <w:tcPr>
            <w:tcW w:w="6220" w:type="dxa"/>
            <w:shd w:val="clear" w:color="auto" w:fill="auto"/>
            <w:noWrap w:val="0"/>
            <w:vAlign w:val="center"/>
          </w:tcPr>
          <w:p w14:paraId="7A7DF77F">
            <w:pPr>
              <w:autoSpaceDE w:val="0"/>
              <w:autoSpaceDN w:val="0"/>
              <w:adjustRightInd w:val="0"/>
              <w:snapToGrid w:val="0"/>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bCs/>
                <w:color w:val="auto"/>
                <w:sz w:val="24"/>
                <w:highlight w:val="none"/>
                <w:lang w:val="zh-CN"/>
              </w:rPr>
              <w:t>24小时以内</w:t>
            </w:r>
          </w:p>
        </w:tc>
      </w:tr>
      <w:tr w14:paraId="01295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9" w:type="dxa"/>
            <w:noWrap w:val="0"/>
            <w:vAlign w:val="top"/>
          </w:tcPr>
          <w:p w14:paraId="67E59AEB">
            <w:pPr>
              <w:pStyle w:val="17"/>
              <w:spacing w:before="93"/>
              <w:ind w:left="154"/>
              <w:rPr>
                <w:rFonts w:hint="default" w:eastAsia="宋体"/>
                <w:color w:val="auto"/>
                <w:spacing w:val="-14"/>
                <w:highlight w:val="none"/>
                <w:lang w:val="en-US" w:eastAsia="zh-CN"/>
              </w:rPr>
            </w:pPr>
            <w:r>
              <w:rPr>
                <w:rFonts w:hint="eastAsia"/>
                <w:color w:val="auto"/>
                <w:spacing w:val="-14"/>
                <w:highlight w:val="none"/>
                <w:lang w:val="en-US" w:eastAsia="zh-CN"/>
              </w:rPr>
              <w:t>16</w:t>
            </w:r>
          </w:p>
        </w:tc>
        <w:tc>
          <w:tcPr>
            <w:tcW w:w="1797" w:type="dxa"/>
            <w:shd w:val="clear" w:color="auto" w:fill="auto"/>
            <w:noWrap w:val="0"/>
            <w:vAlign w:val="center"/>
          </w:tcPr>
          <w:p w14:paraId="3A395516">
            <w:pPr>
              <w:autoSpaceDE w:val="0"/>
              <w:autoSpaceDN w:val="0"/>
              <w:adjustRightInd w:val="0"/>
              <w:snapToGrid w:val="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投标人确认收到</w:t>
            </w:r>
          </w:p>
          <w:p w14:paraId="06AEFA23">
            <w:pPr>
              <w:autoSpaceDE w:val="0"/>
              <w:autoSpaceDN w:val="0"/>
              <w:adjustRightInd w:val="0"/>
              <w:snapToGrid w:val="0"/>
              <w:jc w:val="center"/>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color w:val="auto"/>
                <w:sz w:val="24"/>
                <w:highlight w:val="none"/>
                <w:lang w:val="zh-CN"/>
              </w:rPr>
              <w:t>招标文件修改的时间</w:t>
            </w:r>
          </w:p>
        </w:tc>
        <w:tc>
          <w:tcPr>
            <w:tcW w:w="6220" w:type="dxa"/>
            <w:shd w:val="clear" w:color="auto" w:fill="auto"/>
            <w:noWrap w:val="0"/>
            <w:vAlign w:val="center"/>
          </w:tcPr>
          <w:p w14:paraId="00EABCDF">
            <w:pPr>
              <w:autoSpaceDE w:val="0"/>
              <w:autoSpaceDN w:val="0"/>
              <w:adjustRightInd w:val="0"/>
              <w:snapToGrid w:val="0"/>
              <w:rPr>
                <w:rFonts w:hint="eastAsia" w:ascii="宋体" w:hAnsi="宋体" w:eastAsia="Arial" w:cs="宋体"/>
                <w:snapToGrid w:val="0"/>
                <w:color w:val="auto"/>
                <w:kern w:val="0"/>
                <w:sz w:val="24"/>
                <w:szCs w:val="21"/>
                <w:highlight w:val="none"/>
                <w:lang w:val="zh-CN" w:eastAsia="en-US" w:bidi="ar-SA"/>
              </w:rPr>
            </w:pPr>
            <w:r>
              <w:rPr>
                <w:rFonts w:hint="eastAsia" w:ascii="宋体" w:hAnsi="宋体" w:cs="宋体"/>
                <w:bCs/>
                <w:color w:val="auto"/>
                <w:sz w:val="24"/>
                <w:highlight w:val="none"/>
                <w:lang w:val="zh-CN"/>
              </w:rPr>
              <w:t>24小时以内</w:t>
            </w:r>
          </w:p>
        </w:tc>
      </w:tr>
      <w:tr w14:paraId="3EB9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9" w:type="dxa"/>
            <w:noWrap w:val="0"/>
            <w:vAlign w:val="top"/>
          </w:tcPr>
          <w:p w14:paraId="588DD628">
            <w:pPr>
              <w:pStyle w:val="17"/>
              <w:spacing w:before="93"/>
              <w:ind w:left="154"/>
              <w:rPr>
                <w:rFonts w:hint="eastAsia" w:eastAsia="宋体"/>
                <w:color w:val="auto"/>
                <w:highlight w:val="none"/>
                <w:lang w:val="en-US" w:eastAsia="zh-CN"/>
              </w:rPr>
            </w:pPr>
            <w:r>
              <w:rPr>
                <w:color w:val="auto"/>
                <w:spacing w:val="-14"/>
                <w:highlight w:val="none"/>
              </w:rPr>
              <w:t>1</w:t>
            </w:r>
            <w:r>
              <w:rPr>
                <w:rFonts w:hint="eastAsia"/>
                <w:color w:val="auto"/>
                <w:spacing w:val="-14"/>
                <w:highlight w:val="none"/>
                <w:lang w:val="en-US" w:eastAsia="zh-CN"/>
              </w:rPr>
              <w:t>7</w:t>
            </w:r>
          </w:p>
        </w:tc>
        <w:tc>
          <w:tcPr>
            <w:tcW w:w="1797" w:type="dxa"/>
            <w:noWrap w:val="0"/>
            <w:vAlign w:val="top"/>
          </w:tcPr>
          <w:p w14:paraId="3E875907">
            <w:pPr>
              <w:pStyle w:val="17"/>
              <w:spacing w:before="93" w:line="221" w:lineRule="auto"/>
              <w:ind w:left="333"/>
              <w:rPr>
                <w:color w:val="auto"/>
                <w:highlight w:val="none"/>
              </w:rPr>
            </w:pPr>
            <w:r>
              <w:rPr>
                <w:color w:val="auto"/>
                <w:spacing w:val="-3"/>
                <w:highlight w:val="none"/>
              </w:rPr>
              <w:t>投标有效期</w:t>
            </w:r>
          </w:p>
        </w:tc>
        <w:tc>
          <w:tcPr>
            <w:tcW w:w="6220" w:type="dxa"/>
            <w:noWrap w:val="0"/>
            <w:vAlign w:val="top"/>
          </w:tcPr>
          <w:p w14:paraId="2530EC8F">
            <w:pPr>
              <w:pStyle w:val="17"/>
              <w:tabs>
                <w:tab w:val="left" w:pos="181"/>
              </w:tabs>
              <w:spacing w:before="93" w:line="220" w:lineRule="auto"/>
              <w:ind w:left="50"/>
              <w:rPr>
                <w:color w:val="auto"/>
                <w:highlight w:val="none"/>
              </w:rPr>
            </w:pPr>
            <w:r>
              <w:rPr>
                <w:b/>
                <w:bCs/>
                <w:color w:val="auto"/>
                <w:spacing w:val="-4"/>
                <w:highlight w:val="none"/>
                <w:u w:val="single" w:color="auto"/>
              </w:rPr>
              <w:t>90</w:t>
            </w:r>
            <w:r>
              <w:rPr>
                <w:color w:val="auto"/>
                <w:spacing w:val="-4"/>
                <w:highlight w:val="none"/>
              </w:rPr>
              <w:t>日历天（从投标截止之日算起）</w:t>
            </w:r>
          </w:p>
        </w:tc>
      </w:tr>
      <w:tr w14:paraId="7F7C2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8" w:hRule="atLeast"/>
        </w:trPr>
        <w:tc>
          <w:tcPr>
            <w:tcW w:w="499" w:type="dxa"/>
            <w:noWrap w:val="0"/>
            <w:vAlign w:val="top"/>
          </w:tcPr>
          <w:p w14:paraId="622EDBD0">
            <w:pPr>
              <w:pStyle w:val="17"/>
              <w:spacing w:before="78" w:line="242" w:lineRule="auto"/>
              <w:ind w:left="154"/>
              <w:rPr>
                <w:rFonts w:hint="eastAsia" w:eastAsia="宋体"/>
                <w:color w:val="auto"/>
                <w:highlight w:val="none"/>
                <w:lang w:val="en-US" w:eastAsia="zh-CN"/>
              </w:rPr>
            </w:pPr>
            <w:r>
              <w:rPr>
                <w:color w:val="auto"/>
                <w:spacing w:val="-14"/>
                <w:highlight w:val="none"/>
              </w:rPr>
              <w:t>1</w:t>
            </w:r>
            <w:r>
              <w:rPr>
                <w:rFonts w:hint="eastAsia"/>
                <w:color w:val="auto"/>
                <w:spacing w:val="-14"/>
                <w:highlight w:val="none"/>
                <w:lang w:val="en-US" w:eastAsia="zh-CN"/>
              </w:rPr>
              <w:t>8</w:t>
            </w:r>
          </w:p>
        </w:tc>
        <w:tc>
          <w:tcPr>
            <w:tcW w:w="1797" w:type="dxa"/>
            <w:noWrap w:val="0"/>
            <w:vAlign w:val="top"/>
          </w:tcPr>
          <w:p w14:paraId="32722103">
            <w:pPr>
              <w:pStyle w:val="17"/>
              <w:spacing w:before="78" w:line="221" w:lineRule="auto"/>
              <w:ind w:left="333"/>
              <w:rPr>
                <w:color w:val="auto"/>
                <w:highlight w:val="none"/>
              </w:rPr>
            </w:pPr>
            <w:r>
              <w:rPr>
                <w:color w:val="auto"/>
                <w:spacing w:val="-3"/>
                <w:highlight w:val="none"/>
              </w:rPr>
              <w:t>投标保证金</w:t>
            </w:r>
          </w:p>
        </w:tc>
        <w:tc>
          <w:tcPr>
            <w:tcW w:w="6220" w:type="dxa"/>
            <w:noWrap w:val="0"/>
            <w:vAlign w:val="top"/>
          </w:tcPr>
          <w:p w14:paraId="330F118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投标保证金的形式：现金或现金支票、保兑支票、银行汇票及银行、专业担保公司出具的保函等形式，以现金或支票形式提交的投标保证金应当从投标单位的基本账户转出。</w:t>
            </w:r>
          </w:p>
          <w:p w14:paraId="2E3DE28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zh-CN"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投标保证金的金额：</w:t>
            </w:r>
            <w:r>
              <w:rPr>
                <w:rFonts w:hint="eastAsia" w:ascii="宋体" w:hAnsi="宋体" w:eastAsia="宋体" w:cs="宋体"/>
                <w:b w:val="0"/>
                <w:bCs w:val="0"/>
                <w:i w:val="0"/>
                <w:iCs w:val="0"/>
                <w:caps w:val="0"/>
                <w:snapToGrid w:val="0"/>
                <w:color w:val="auto"/>
                <w:spacing w:val="-3"/>
                <w:kern w:val="0"/>
                <w:sz w:val="24"/>
                <w:szCs w:val="24"/>
                <w:highlight w:val="none"/>
                <w:u w:val="none"/>
                <w:lang w:val="en-US" w:eastAsia="zh-CN" w:bidi="ar-SA"/>
              </w:rPr>
              <w:t>30000元</w:t>
            </w:r>
          </w:p>
          <w:p w14:paraId="50B082E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投标保证金缴纳日期：投标人须在投标截止时间日期1个工作日前将投标保证金存入采购代理机构指定账户，以到账时间为准。</w:t>
            </w:r>
          </w:p>
          <w:p w14:paraId="5CA7EAE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收款单位：吉林融鼎工程项目管理有限公司</w:t>
            </w:r>
          </w:p>
          <w:p w14:paraId="54158E7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开户银行：广发银行股份有限公司长春高新支行</w:t>
            </w:r>
          </w:p>
          <w:p w14:paraId="671D023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银行账号：9550880228068700173</w:t>
            </w:r>
          </w:p>
          <w:p w14:paraId="60BD837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其他要求：</w:t>
            </w:r>
          </w:p>
          <w:p w14:paraId="01150EB8">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注：</w:t>
            </w:r>
          </w:p>
          <w:p w14:paraId="6C372A7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以现金或支票形式提交的投标保证金应当从投标单位的基本账户一次性转出，否则视为投标保证金无效。</w:t>
            </w:r>
          </w:p>
          <w:p w14:paraId="7A4D465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以金融机构、担保机构出具的保函形式提交的投标保证金，其营业执照营业范围应包含保函业务。</w:t>
            </w:r>
          </w:p>
          <w:p w14:paraId="3822A54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color w:val="auto"/>
                <w:spacing w:val="-3"/>
                <w:sz w:val="24"/>
                <w:szCs w:val="24"/>
                <w:highlight w:val="none"/>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3、投标保证金以保函担保方式缴纳的，投标人需要在投标保证金递交截止时间1个工作日前携带保函原件到采购代理机构进行核验保函的真实有效性，以此换取相关证明，投标人应备份好保函扫描件，对不能查证属实的，采购代理机构可拒绝接收。对于伪造保函的，采购代理机构会及时向公安机关举报。</w:t>
            </w:r>
          </w:p>
          <w:p w14:paraId="442B699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4、投标人须在投标截止时间日期1个工作日前将投标保证金存入采购代理机构指定账户，以到账时间为准。</w:t>
            </w:r>
          </w:p>
          <w:p w14:paraId="070D043A">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注：</w:t>
            </w: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fldChar w:fldCharType="begin"/>
            </w: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instrText xml:space="preserve">HYPERLINK"mailto:投标人应在电汇或转账凭证上明确用途、投标项目名称及标段，并于投标截止时间1个工作日前将电汇或转账凭证、保函、开户许可证（完整清晰）以电子档扫描发送到采购代理机构邮箱215002875@qq.com。&lt;br/&gt;"</w:instrText>
            </w: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fldChar w:fldCharType="separate"/>
            </w:r>
            <w:r>
              <w:rPr>
                <w:rStyle w:val="15"/>
                <w:rFonts w:hint="default" w:ascii="宋体" w:hAnsi="宋体" w:eastAsia="宋体" w:cs="宋体"/>
                <w:b w:val="0"/>
                <w:bCs w:val="0"/>
                <w:i w:val="0"/>
                <w:iCs w:val="0"/>
                <w:caps w:val="0"/>
                <w:snapToGrid w:val="0"/>
                <w:color w:val="auto"/>
                <w:spacing w:val="-3"/>
                <w:kern w:val="0"/>
                <w:sz w:val="24"/>
                <w:szCs w:val="24"/>
                <w:highlight w:val="none"/>
                <w:lang w:val="en-US" w:eastAsia="en-US" w:bidi="ar-SA"/>
              </w:rPr>
              <w:t>投标人应在电汇或转账凭证上明确用途、投标项目名称及标段，并于投标截止时间1个工作日前将电汇或转账凭证、保函、开户许可证（完整清晰）以电子档扫描发送到采购代理机构邮箱215002875@qq.com。</w:t>
            </w: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fldChar w:fldCharType="end"/>
            </w:r>
          </w:p>
          <w:p w14:paraId="4B5C876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投标保证金是投标文件的组成部分，开标前未按以上相关要求提交投标保证金的和未按要求验证的投标单位，视为自愿放弃投标，其投标无效，初步评审不通过，不再进入详细评审，一切后果由投标单位自行承担。</w:t>
            </w:r>
          </w:p>
          <w:p w14:paraId="7EC12EB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firstLine="0"/>
              <w:jc w:val="left"/>
              <w:rPr>
                <w:color w:val="auto"/>
                <w:highlight w:val="none"/>
              </w:rPr>
            </w:pPr>
            <w:r>
              <w:rPr>
                <w:rFonts w:hint="default" w:ascii="宋体" w:hAnsi="宋体" w:eastAsia="宋体" w:cs="宋体"/>
                <w:b w:val="0"/>
                <w:bCs w:val="0"/>
                <w:i w:val="0"/>
                <w:iCs w:val="0"/>
                <w:caps w:val="0"/>
                <w:snapToGrid w:val="0"/>
                <w:color w:val="auto"/>
                <w:spacing w:val="-3"/>
                <w:kern w:val="0"/>
                <w:sz w:val="24"/>
                <w:szCs w:val="24"/>
                <w:highlight w:val="none"/>
                <w:u w:val="none"/>
                <w:lang w:val="en-US" w:eastAsia="en-US" w:bidi="ar-SA"/>
              </w:rPr>
              <w:t>注：各投标单位应在汇款时认真核对收款单位、开户行名称、账号准确无误，确保保证金按时到账，否则后果自负。</w:t>
            </w:r>
          </w:p>
        </w:tc>
      </w:tr>
      <w:tr w14:paraId="1871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99" w:type="dxa"/>
            <w:noWrap w:val="0"/>
            <w:vAlign w:val="top"/>
          </w:tcPr>
          <w:p w14:paraId="29E4257F">
            <w:pPr>
              <w:pStyle w:val="17"/>
              <w:spacing w:before="223"/>
              <w:ind w:left="154"/>
              <w:rPr>
                <w:rFonts w:hint="eastAsia" w:eastAsia="宋体"/>
                <w:color w:val="auto"/>
                <w:highlight w:val="none"/>
                <w:lang w:val="en-US" w:eastAsia="zh-CN"/>
              </w:rPr>
            </w:pPr>
            <w:r>
              <w:rPr>
                <w:color w:val="auto"/>
                <w:spacing w:val="-14"/>
                <w:highlight w:val="none"/>
              </w:rPr>
              <w:t>1</w:t>
            </w:r>
            <w:r>
              <w:rPr>
                <w:rFonts w:hint="eastAsia"/>
                <w:color w:val="auto"/>
                <w:spacing w:val="-14"/>
                <w:highlight w:val="none"/>
                <w:lang w:val="en-US" w:eastAsia="zh-CN"/>
              </w:rPr>
              <w:t>9</w:t>
            </w:r>
          </w:p>
        </w:tc>
        <w:tc>
          <w:tcPr>
            <w:tcW w:w="1797" w:type="dxa"/>
            <w:noWrap w:val="0"/>
            <w:vAlign w:val="top"/>
          </w:tcPr>
          <w:p w14:paraId="305BDB4A">
            <w:pPr>
              <w:pStyle w:val="17"/>
              <w:spacing w:before="37" w:line="271" w:lineRule="auto"/>
              <w:ind w:left="690" w:right="203" w:hanging="480"/>
              <w:rPr>
                <w:color w:val="auto"/>
                <w:highlight w:val="none"/>
              </w:rPr>
            </w:pPr>
            <w:r>
              <w:rPr>
                <w:color w:val="auto"/>
                <w:spacing w:val="-2"/>
                <w:highlight w:val="none"/>
              </w:rPr>
              <w:t>供应商的替代</w:t>
            </w:r>
            <w:r>
              <w:rPr>
                <w:color w:val="auto"/>
                <w:spacing w:val="-6"/>
                <w:highlight w:val="none"/>
              </w:rPr>
              <w:t>方案</w:t>
            </w:r>
          </w:p>
        </w:tc>
        <w:tc>
          <w:tcPr>
            <w:tcW w:w="6220" w:type="dxa"/>
            <w:noWrap w:val="0"/>
            <w:vAlign w:val="top"/>
          </w:tcPr>
          <w:p w14:paraId="7BBEEE34">
            <w:pPr>
              <w:pStyle w:val="17"/>
              <w:spacing w:before="223" w:line="220" w:lineRule="auto"/>
              <w:ind w:left="116"/>
              <w:rPr>
                <w:color w:val="auto"/>
                <w:highlight w:val="none"/>
              </w:rPr>
            </w:pPr>
            <w:r>
              <w:rPr>
                <w:color w:val="auto"/>
                <w:spacing w:val="-5"/>
                <w:highlight w:val="none"/>
              </w:rPr>
              <w:t>不允许</w:t>
            </w:r>
          </w:p>
        </w:tc>
      </w:tr>
      <w:tr w14:paraId="31F2E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99" w:type="dxa"/>
            <w:noWrap w:val="0"/>
            <w:vAlign w:val="top"/>
          </w:tcPr>
          <w:p w14:paraId="39A44662">
            <w:pPr>
              <w:pStyle w:val="17"/>
              <w:spacing w:before="222"/>
              <w:ind w:left="154"/>
              <w:rPr>
                <w:rFonts w:hint="default" w:eastAsia="宋体"/>
                <w:color w:val="auto"/>
                <w:highlight w:val="none"/>
                <w:lang w:val="en-US" w:eastAsia="zh-CN"/>
              </w:rPr>
            </w:pPr>
            <w:r>
              <w:rPr>
                <w:rFonts w:hint="eastAsia"/>
                <w:color w:val="auto"/>
                <w:highlight w:val="none"/>
                <w:lang w:val="en-US" w:eastAsia="zh-CN"/>
              </w:rPr>
              <w:t>20</w:t>
            </w:r>
          </w:p>
        </w:tc>
        <w:tc>
          <w:tcPr>
            <w:tcW w:w="1797" w:type="dxa"/>
            <w:noWrap w:val="0"/>
            <w:vAlign w:val="top"/>
          </w:tcPr>
          <w:p w14:paraId="1C9DF0A8">
            <w:pPr>
              <w:pStyle w:val="17"/>
              <w:spacing w:before="222" w:line="220" w:lineRule="auto"/>
              <w:ind w:left="213"/>
              <w:rPr>
                <w:color w:val="auto"/>
                <w:highlight w:val="none"/>
              </w:rPr>
            </w:pPr>
            <w:r>
              <w:rPr>
                <w:color w:val="auto"/>
                <w:spacing w:val="-3"/>
                <w:highlight w:val="none"/>
              </w:rPr>
              <w:t>投标文件份数</w:t>
            </w:r>
          </w:p>
        </w:tc>
        <w:tc>
          <w:tcPr>
            <w:tcW w:w="6220" w:type="dxa"/>
            <w:noWrap w:val="0"/>
            <w:vAlign w:val="top"/>
          </w:tcPr>
          <w:p w14:paraId="12FA747F">
            <w:pPr>
              <w:pStyle w:val="17"/>
              <w:spacing w:before="37" w:line="271" w:lineRule="auto"/>
              <w:ind w:left="112" w:right="25"/>
              <w:rPr>
                <w:color w:val="auto"/>
                <w:highlight w:val="none"/>
              </w:rPr>
            </w:pPr>
            <w:r>
              <w:rPr>
                <w:color w:val="auto"/>
                <w:highlight w:val="none"/>
              </w:rPr>
              <w:t>供应商在“政采云”平台（</w:t>
            </w:r>
            <w:r>
              <w:rPr>
                <w:color w:val="auto"/>
                <w:highlight w:val="none"/>
              </w:rPr>
              <w:fldChar w:fldCharType="begin"/>
            </w:r>
            <w:r>
              <w:rPr>
                <w:color w:val="auto"/>
                <w:highlight w:val="none"/>
              </w:rPr>
              <w:instrText xml:space="preserve">HYPERLINK"http：//www.zcygov.cn"</w:instrText>
            </w:r>
            <w:r>
              <w:rPr>
                <w:color w:val="auto"/>
                <w:highlight w:val="none"/>
              </w:rPr>
              <w:fldChar w:fldCharType="separate"/>
            </w:r>
            <w:r>
              <w:rPr>
                <w:color w:val="auto"/>
                <w:highlight w:val="none"/>
              </w:rPr>
              <w:t>http：//www.</w:t>
            </w:r>
            <w:r>
              <w:rPr>
                <w:color w:val="auto"/>
                <w:spacing w:val="-1"/>
                <w:highlight w:val="none"/>
              </w:rPr>
              <w:t>zcygov.cn</w:t>
            </w:r>
            <w:r>
              <w:rPr>
                <w:color w:val="auto"/>
                <w:spacing w:val="-1"/>
                <w:highlight w:val="none"/>
              </w:rPr>
              <w:fldChar w:fldCharType="end"/>
            </w:r>
            <w:r>
              <w:rPr>
                <w:color w:val="auto"/>
                <w:spacing w:val="-1"/>
                <w:highlight w:val="none"/>
              </w:rPr>
              <w:t>）上</w:t>
            </w:r>
            <w:r>
              <w:rPr>
                <w:color w:val="auto"/>
                <w:spacing w:val="-18"/>
                <w:highlight w:val="none"/>
              </w:rPr>
              <w:t>制作响应文件一份（此响应文件须上传至“政采云</w:t>
            </w:r>
            <w:r>
              <w:rPr>
                <w:color w:val="auto"/>
                <w:spacing w:val="-19"/>
                <w:highlight w:val="none"/>
              </w:rPr>
              <w:t>”平台）。</w:t>
            </w:r>
          </w:p>
        </w:tc>
      </w:tr>
      <w:tr w14:paraId="3DB78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499" w:type="dxa"/>
            <w:noWrap w:val="0"/>
            <w:vAlign w:val="top"/>
          </w:tcPr>
          <w:p w14:paraId="23120D75">
            <w:pPr>
              <w:pStyle w:val="17"/>
              <w:spacing w:before="78"/>
              <w:ind w:left="154"/>
              <w:rPr>
                <w:rFonts w:hint="default" w:eastAsia="宋体"/>
                <w:color w:val="auto"/>
                <w:highlight w:val="none"/>
                <w:lang w:val="en-US" w:eastAsia="zh-CN"/>
              </w:rPr>
            </w:pPr>
            <w:r>
              <w:rPr>
                <w:rFonts w:hint="eastAsia"/>
                <w:color w:val="auto"/>
                <w:highlight w:val="none"/>
                <w:lang w:val="en-US" w:eastAsia="zh-CN"/>
              </w:rPr>
              <w:t>21</w:t>
            </w:r>
          </w:p>
        </w:tc>
        <w:tc>
          <w:tcPr>
            <w:tcW w:w="1797" w:type="dxa"/>
            <w:noWrap w:val="0"/>
            <w:vAlign w:val="top"/>
          </w:tcPr>
          <w:p w14:paraId="6C45471D">
            <w:pPr>
              <w:pStyle w:val="17"/>
              <w:spacing w:before="36" w:line="220" w:lineRule="auto"/>
              <w:ind w:left="213"/>
              <w:rPr>
                <w:color w:val="auto"/>
                <w:highlight w:val="none"/>
              </w:rPr>
            </w:pPr>
            <w:r>
              <w:rPr>
                <w:color w:val="auto"/>
                <w:spacing w:val="-3"/>
                <w:highlight w:val="none"/>
              </w:rPr>
              <w:t>投标文件提交</w:t>
            </w:r>
          </w:p>
          <w:p w14:paraId="44ACA66D">
            <w:pPr>
              <w:pStyle w:val="17"/>
              <w:spacing w:before="85" w:line="221" w:lineRule="auto"/>
              <w:ind w:left="210"/>
              <w:rPr>
                <w:color w:val="auto"/>
                <w:highlight w:val="none"/>
              </w:rPr>
            </w:pPr>
            <w:r>
              <w:rPr>
                <w:color w:val="auto"/>
                <w:spacing w:val="-2"/>
                <w:highlight w:val="none"/>
              </w:rPr>
              <w:t>地点及截止时</w:t>
            </w:r>
          </w:p>
          <w:p w14:paraId="14506478">
            <w:pPr>
              <w:pStyle w:val="17"/>
              <w:spacing w:before="87" w:line="223" w:lineRule="auto"/>
              <w:ind w:left="829"/>
              <w:rPr>
                <w:color w:val="auto"/>
                <w:highlight w:val="none"/>
              </w:rPr>
            </w:pPr>
            <w:r>
              <w:rPr>
                <w:color w:val="auto"/>
                <w:highlight w:val="none"/>
              </w:rPr>
              <w:t>间</w:t>
            </w:r>
          </w:p>
        </w:tc>
        <w:tc>
          <w:tcPr>
            <w:tcW w:w="6220" w:type="dxa"/>
            <w:noWrap w:val="0"/>
            <w:vAlign w:val="top"/>
          </w:tcPr>
          <w:p w14:paraId="5BD5DF42">
            <w:pPr>
              <w:pStyle w:val="17"/>
              <w:spacing w:before="36" w:line="220" w:lineRule="auto"/>
              <w:ind w:left="124"/>
              <w:rPr>
                <w:color w:val="auto"/>
                <w:highlight w:val="none"/>
              </w:rPr>
            </w:pPr>
            <w:r>
              <w:rPr>
                <w:rFonts w:hint="eastAsia"/>
                <w:color w:val="auto"/>
                <w:highlight w:val="none"/>
                <w:lang w:eastAsia="zh-CN"/>
              </w:rPr>
              <w:t>2026年4月20日09时30分</w:t>
            </w:r>
            <w:r>
              <w:rPr>
                <w:rFonts w:hint="eastAsia"/>
                <w:color w:val="auto"/>
                <w:highlight w:val="none"/>
              </w:rPr>
              <w:t>（北京时间）</w:t>
            </w:r>
          </w:p>
          <w:p w14:paraId="13DC3B62">
            <w:pPr>
              <w:pStyle w:val="17"/>
              <w:spacing w:before="84" w:line="272" w:lineRule="auto"/>
              <w:ind w:left="104" w:right="418" w:firstLine="8"/>
              <w:rPr>
                <w:color w:val="auto"/>
                <w:highlight w:val="none"/>
              </w:rPr>
            </w:pPr>
            <w:r>
              <w:rPr>
                <w:color w:val="auto"/>
                <w:spacing w:val="-1"/>
                <w:highlight w:val="none"/>
              </w:rPr>
              <w:t>地点：电子版上传至政府采购云平台（网址：</w:t>
            </w:r>
            <w:r>
              <w:rPr>
                <w:color w:val="auto"/>
                <w:highlight w:val="none"/>
              </w:rPr>
              <w:fldChar w:fldCharType="begin"/>
            </w:r>
            <w:r>
              <w:rPr>
                <w:color w:val="auto"/>
                <w:highlight w:val="none"/>
              </w:rPr>
              <w:instrText xml:space="preserve">HYPERLINK"http://"</w:instrText>
            </w:r>
            <w:r>
              <w:rPr>
                <w:color w:val="auto"/>
                <w:highlight w:val="none"/>
              </w:rPr>
              <w:fldChar w:fldCharType="separate"/>
            </w:r>
            <w:r>
              <w:rPr>
                <w:color w:val="auto"/>
                <w:spacing w:val="-1"/>
                <w:highlight w:val="none"/>
              </w:rPr>
              <w:t>http://</w:t>
            </w:r>
            <w:r>
              <w:rPr>
                <w:color w:val="auto"/>
                <w:spacing w:val="-1"/>
                <w:highlight w:val="none"/>
              </w:rPr>
              <w:fldChar w:fldCharType="end"/>
            </w:r>
            <w:r>
              <w:rPr>
                <w:color w:val="auto"/>
                <w:highlight w:val="none"/>
              </w:rPr>
              <w:fldChar w:fldCharType="begin"/>
            </w:r>
            <w:r>
              <w:rPr>
                <w:color w:val="auto"/>
                <w:highlight w:val="none"/>
              </w:rPr>
              <w:instrText xml:space="preserve">HYPERLINK"http://www.zcygov.cn）"</w:instrText>
            </w:r>
            <w:r>
              <w:rPr>
                <w:color w:val="auto"/>
                <w:highlight w:val="none"/>
              </w:rPr>
              <w:fldChar w:fldCharType="separate"/>
            </w:r>
            <w:r>
              <w:rPr>
                <w:color w:val="auto"/>
                <w:spacing w:val="-1"/>
                <w:highlight w:val="none"/>
              </w:rPr>
              <w:t>www.zcygov.cn）</w:t>
            </w:r>
            <w:r>
              <w:rPr>
                <w:color w:val="auto"/>
                <w:spacing w:val="-1"/>
                <w:highlight w:val="none"/>
              </w:rPr>
              <w:fldChar w:fldCharType="end"/>
            </w:r>
          </w:p>
        </w:tc>
      </w:tr>
      <w:tr w14:paraId="2A06A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499" w:type="dxa"/>
            <w:noWrap w:val="0"/>
            <w:vAlign w:val="top"/>
          </w:tcPr>
          <w:p w14:paraId="0075935D">
            <w:pPr>
              <w:pStyle w:val="17"/>
              <w:spacing w:before="78"/>
              <w:ind w:left="154"/>
              <w:rPr>
                <w:rFonts w:hint="default" w:eastAsia="宋体"/>
                <w:color w:val="auto"/>
                <w:highlight w:val="none"/>
                <w:lang w:val="en-US" w:eastAsia="zh-CN"/>
              </w:rPr>
            </w:pPr>
            <w:r>
              <w:rPr>
                <w:rFonts w:hint="eastAsia"/>
                <w:color w:val="auto"/>
                <w:highlight w:val="none"/>
                <w:lang w:val="en-US" w:eastAsia="zh-CN"/>
              </w:rPr>
              <w:t>22</w:t>
            </w:r>
          </w:p>
        </w:tc>
        <w:tc>
          <w:tcPr>
            <w:tcW w:w="1797" w:type="dxa"/>
            <w:noWrap w:val="0"/>
            <w:vAlign w:val="top"/>
          </w:tcPr>
          <w:p w14:paraId="72C5CF1F">
            <w:pPr>
              <w:pStyle w:val="17"/>
              <w:spacing w:before="78" w:line="221" w:lineRule="auto"/>
              <w:ind w:left="691"/>
              <w:rPr>
                <w:color w:val="auto"/>
                <w:highlight w:val="none"/>
              </w:rPr>
            </w:pPr>
            <w:r>
              <w:rPr>
                <w:color w:val="auto"/>
                <w:spacing w:val="-6"/>
                <w:highlight w:val="none"/>
              </w:rPr>
              <w:t>开标</w:t>
            </w:r>
          </w:p>
        </w:tc>
        <w:tc>
          <w:tcPr>
            <w:tcW w:w="6220" w:type="dxa"/>
            <w:noWrap w:val="0"/>
            <w:vAlign w:val="top"/>
          </w:tcPr>
          <w:p w14:paraId="692D281D">
            <w:pPr>
              <w:pStyle w:val="17"/>
              <w:spacing w:before="37" w:line="220" w:lineRule="auto"/>
              <w:ind w:left="124"/>
              <w:rPr>
                <w:color w:val="auto"/>
                <w:highlight w:val="none"/>
              </w:rPr>
            </w:pPr>
            <w:r>
              <w:rPr>
                <w:rFonts w:hint="eastAsia"/>
                <w:color w:val="auto"/>
                <w:spacing w:val="8"/>
                <w:highlight w:val="none"/>
                <w:lang w:eastAsia="zh-CN"/>
              </w:rPr>
              <w:t>2026年4月20日09时30分</w:t>
            </w:r>
            <w:r>
              <w:rPr>
                <w:rFonts w:hint="eastAsia"/>
                <w:color w:val="auto"/>
                <w:spacing w:val="8"/>
                <w:highlight w:val="none"/>
              </w:rPr>
              <w:t>（北京时间）</w:t>
            </w:r>
            <w:r>
              <w:rPr>
                <w:color w:val="auto"/>
                <w:spacing w:val="8"/>
                <w:highlight w:val="none"/>
              </w:rPr>
              <w:t>；</w:t>
            </w:r>
          </w:p>
          <w:p w14:paraId="44F40EE7">
            <w:pPr>
              <w:pStyle w:val="17"/>
              <w:spacing w:before="88" w:line="276" w:lineRule="auto"/>
              <w:ind w:left="112" w:right="106"/>
              <w:rPr>
                <w:color w:val="auto"/>
                <w:highlight w:val="none"/>
              </w:rPr>
            </w:pPr>
            <w:r>
              <w:rPr>
                <w:b/>
                <w:bCs/>
                <w:color w:val="auto"/>
                <w:highlight w:val="none"/>
              </w:rPr>
              <w:t>地点：</w:t>
            </w:r>
            <w:r>
              <w:rPr>
                <w:rFonts w:hint="eastAsia" w:cs="宋体"/>
                <w:b/>
                <w:bCs/>
                <w:color w:val="auto"/>
                <w:spacing w:val="-3"/>
                <w:sz w:val="24"/>
                <w:szCs w:val="24"/>
                <w:highlight w:val="none"/>
                <w:lang w:eastAsia="zh-CN"/>
              </w:rPr>
              <w:t>长春市高新区鸿达街248号吉林日报副楼4楼第一开标室</w:t>
            </w:r>
            <w:r>
              <w:rPr>
                <w:color w:val="auto"/>
                <w:spacing w:val="-3"/>
                <w:highlight w:val="none"/>
              </w:rPr>
              <w:t>（本项目为全流程电子化项目，投标供应商无须</w:t>
            </w:r>
            <w:r>
              <w:rPr>
                <w:color w:val="auto"/>
                <w:spacing w:val="-2"/>
                <w:highlight w:val="none"/>
              </w:rPr>
              <w:t>到达开标现场</w:t>
            </w:r>
            <w:r>
              <w:rPr>
                <w:color w:val="auto"/>
                <w:highlight w:val="none"/>
              </w:rPr>
              <w:t>）；</w:t>
            </w:r>
          </w:p>
        </w:tc>
      </w:tr>
      <w:tr w14:paraId="3C7B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99" w:type="dxa"/>
            <w:shd w:val="clear" w:color="auto" w:fill="auto"/>
            <w:noWrap w:val="0"/>
            <w:vAlign w:val="top"/>
          </w:tcPr>
          <w:p w14:paraId="0DD81A25">
            <w:pPr>
              <w:pStyle w:val="17"/>
              <w:spacing w:before="224"/>
              <w:ind w:left="154" w:leftChars="0"/>
              <w:rPr>
                <w:rFonts w:hint="default" w:ascii="宋体" w:hAnsi="宋体" w:eastAsia="宋体" w:cs="宋体"/>
                <w:snapToGrid w:val="0"/>
                <w:color w:val="auto"/>
                <w:kern w:val="0"/>
                <w:sz w:val="24"/>
                <w:szCs w:val="24"/>
                <w:highlight w:val="none"/>
                <w:lang w:val="en-US" w:eastAsia="zh-CN" w:bidi="ar-SA"/>
              </w:rPr>
            </w:pPr>
            <w:r>
              <w:rPr>
                <w:rFonts w:hint="eastAsia"/>
                <w:color w:val="auto"/>
                <w:highlight w:val="none"/>
                <w:lang w:val="en-US" w:eastAsia="zh-CN"/>
              </w:rPr>
              <w:t>23</w:t>
            </w:r>
          </w:p>
        </w:tc>
        <w:tc>
          <w:tcPr>
            <w:tcW w:w="1797" w:type="dxa"/>
            <w:noWrap w:val="0"/>
            <w:vAlign w:val="center"/>
          </w:tcPr>
          <w:p w14:paraId="52096B9A">
            <w:pPr>
              <w:pStyle w:val="17"/>
              <w:spacing w:before="40" w:line="270" w:lineRule="auto"/>
              <w:ind w:right="203"/>
              <w:jc w:val="center"/>
              <w:rPr>
                <w:rFonts w:hint="eastAsia" w:eastAsia="宋体"/>
                <w:color w:val="auto"/>
                <w:spacing w:val="-2"/>
                <w:highlight w:val="none"/>
                <w:lang w:val="en-US" w:eastAsia="zh-CN"/>
              </w:rPr>
            </w:pPr>
            <w:r>
              <w:rPr>
                <w:rFonts w:hint="eastAsia"/>
                <w:color w:val="auto"/>
                <w:spacing w:val="-2"/>
                <w:highlight w:val="none"/>
                <w:lang w:val="en-US" w:eastAsia="zh-CN"/>
              </w:rPr>
              <w:t>审查方式</w:t>
            </w:r>
          </w:p>
        </w:tc>
        <w:tc>
          <w:tcPr>
            <w:tcW w:w="6220" w:type="dxa"/>
            <w:noWrap w:val="0"/>
            <w:vAlign w:val="top"/>
          </w:tcPr>
          <w:p w14:paraId="1F81416E">
            <w:pPr>
              <w:pStyle w:val="17"/>
              <w:spacing w:before="223" w:line="221" w:lineRule="auto"/>
              <w:ind w:left="115"/>
              <w:rPr>
                <w:rFonts w:hint="default" w:eastAsia="宋体"/>
                <w:color w:val="auto"/>
                <w:spacing w:val="-3"/>
                <w:highlight w:val="none"/>
                <w:lang w:val="en-US" w:eastAsia="zh-CN"/>
              </w:rPr>
            </w:pPr>
            <w:r>
              <w:rPr>
                <w:rFonts w:hint="eastAsia"/>
                <w:color w:val="auto"/>
                <w:spacing w:val="-3"/>
                <w:highlight w:val="none"/>
                <w:lang w:val="en-US" w:eastAsia="zh-CN"/>
              </w:rPr>
              <w:t>资格后审</w:t>
            </w:r>
          </w:p>
        </w:tc>
      </w:tr>
      <w:tr w14:paraId="1EB58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99" w:type="dxa"/>
            <w:shd w:val="clear" w:color="auto" w:fill="auto"/>
            <w:noWrap w:val="0"/>
            <w:vAlign w:val="top"/>
          </w:tcPr>
          <w:p w14:paraId="5335B8C0">
            <w:pPr>
              <w:pStyle w:val="17"/>
              <w:spacing w:before="78"/>
              <w:ind w:left="139" w:leftChars="0"/>
              <w:rPr>
                <w:rFonts w:hint="default" w:ascii="宋体" w:hAnsi="宋体" w:eastAsia="宋体" w:cs="宋体"/>
                <w:snapToGrid w:val="0"/>
                <w:color w:val="auto"/>
                <w:kern w:val="0"/>
                <w:sz w:val="24"/>
                <w:szCs w:val="24"/>
                <w:highlight w:val="none"/>
                <w:lang w:val="en-US" w:eastAsia="zh-CN" w:bidi="ar-SA"/>
              </w:rPr>
            </w:pPr>
            <w:r>
              <w:rPr>
                <w:rFonts w:hint="eastAsia"/>
                <w:color w:val="auto"/>
                <w:spacing w:val="-7"/>
                <w:highlight w:val="none"/>
                <w:lang w:val="en-US" w:eastAsia="zh-CN"/>
              </w:rPr>
              <w:t>24</w:t>
            </w:r>
          </w:p>
        </w:tc>
        <w:tc>
          <w:tcPr>
            <w:tcW w:w="1797" w:type="dxa"/>
            <w:noWrap w:val="0"/>
            <w:vAlign w:val="top"/>
          </w:tcPr>
          <w:p w14:paraId="76E50FC2">
            <w:pPr>
              <w:pStyle w:val="17"/>
              <w:spacing w:before="40" w:line="270" w:lineRule="auto"/>
              <w:ind w:left="811" w:right="203" w:hanging="602"/>
              <w:rPr>
                <w:color w:val="auto"/>
                <w:highlight w:val="none"/>
              </w:rPr>
            </w:pPr>
            <w:r>
              <w:rPr>
                <w:color w:val="auto"/>
                <w:spacing w:val="-2"/>
                <w:highlight w:val="none"/>
              </w:rPr>
              <w:t>评标方法及标</w:t>
            </w:r>
            <w:r>
              <w:rPr>
                <w:color w:val="auto"/>
                <w:highlight w:val="none"/>
              </w:rPr>
              <w:t>准</w:t>
            </w:r>
          </w:p>
        </w:tc>
        <w:tc>
          <w:tcPr>
            <w:tcW w:w="6220" w:type="dxa"/>
            <w:noWrap w:val="0"/>
            <w:vAlign w:val="top"/>
          </w:tcPr>
          <w:p w14:paraId="41645B10">
            <w:pPr>
              <w:pStyle w:val="17"/>
              <w:spacing w:before="223" w:line="221" w:lineRule="auto"/>
              <w:ind w:left="115"/>
              <w:rPr>
                <w:color w:val="auto"/>
                <w:highlight w:val="none"/>
              </w:rPr>
            </w:pPr>
            <w:r>
              <w:rPr>
                <w:color w:val="auto"/>
                <w:spacing w:val="-3"/>
                <w:highlight w:val="none"/>
              </w:rPr>
              <w:t>综合评分法</w:t>
            </w:r>
          </w:p>
        </w:tc>
      </w:tr>
      <w:tr w14:paraId="2C569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499" w:type="dxa"/>
            <w:shd w:val="clear" w:color="auto" w:fill="auto"/>
            <w:noWrap w:val="0"/>
            <w:vAlign w:val="top"/>
          </w:tcPr>
          <w:p w14:paraId="0B9CEC94">
            <w:pPr>
              <w:pStyle w:val="17"/>
              <w:spacing w:before="226"/>
              <w:ind w:left="139" w:leftChars="0"/>
              <w:rPr>
                <w:rFonts w:hint="default" w:ascii="宋体" w:hAnsi="宋体" w:eastAsia="宋体" w:cs="宋体"/>
                <w:snapToGrid w:val="0"/>
                <w:color w:val="auto"/>
                <w:kern w:val="0"/>
                <w:sz w:val="24"/>
                <w:szCs w:val="24"/>
                <w:highlight w:val="none"/>
                <w:lang w:val="en-US" w:eastAsia="zh-CN" w:bidi="ar-SA"/>
              </w:rPr>
            </w:pPr>
            <w:r>
              <w:rPr>
                <w:color w:val="auto"/>
                <w:spacing w:val="-7"/>
                <w:highlight w:val="none"/>
              </w:rPr>
              <w:t>25</w:t>
            </w:r>
          </w:p>
        </w:tc>
        <w:tc>
          <w:tcPr>
            <w:tcW w:w="1797" w:type="dxa"/>
            <w:noWrap w:val="0"/>
            <w:vAlign w:val="top"/>
          </w:tcPr>
          <w:p w14:paraId="185A4EC8">
            <w:pPr>
              <w:pStyle w:val="17"/>
              <w:spacing w:before="78" w:line="289" w:lineRule="auto"/>
              <w:ind w:left="693" w:right="203" w:hanging="483"/>
              <w:rPr>
                <w:color w:val="auto"/>
                <w:highlight w:val="none"/>
              </w:rPr>
            </w:pPr>
            <w:r>
              <w:rPr>
                <w:color w:val="auto"/>
                <w:spacing w:val="-2"/>
                <w:highlight w:val="none"/>
              </w:rPr>
              <w:t>评标委员会的</w:t>
            </w:r>
            <w:r>
              <w:rPr>
                <w:color w:val="auto"/>
                <w:spacing w:val="-7"/>
                <w:highlight w:val="none"/>
              </w:rPr>
              <w:t>组建</w:t>
            </w:r>
          </w:p>
        </w:tc>
        <w:tc>
          <w:tcPr>
            <w:tcW w:w="6220" w:type="dxa"/>
            <w:noWrap w:val="0"/>
            <w:vAlign w:val="top"/>
          </w:tcPr>
          <w:p w14:paraId="47D422F4">
            <w:pPr>
              <w:pStyle w:val="17"/>
              <w:spacing w:before="1" w:line="269" w:lineRule="auto"/>
              <w:ind w:left="114" w:right="298" w:hanging="3"/>
              <w:rPr>
                <w:color w:val="auto"/>
                <w:highlight w:val="none"/>
              </w:rPr>
            </w:pPr>
            <w:r>
              <w:rPr>
                <w:color w:val="auto"/>
                <w:spacing w:val="-4"/>
                <w:highlight w:val="none"/>
              </w:rPr>
              <w:t>评标委员会构成：</w:t>
            </w:r>
            <w:r>
              <w:rPr>
                <w:rFonts w:hint="eastAsia"/>
                <w:color w:val="auto"/>
                <w:spacing w:val="-4"/>
                <w:highlight w:val="none"/>
              </w:rPr>
              <w:t>由</w:t>
            </w:r>
            <w:r>
              <w:rPr>
                <w:rFonts w:hint="eastAsia"/>
                <w:color w:val="auto"/>
                <w:spacing w:val="-4"/>
                <w:highlight w:val="none"/>
                <w:lang w:val="en-US" w:eastAsia="zh-CN"/>
              </w:rPr>
              <w:t>5</w:t>
            </w:r>
            <w:r>
              <w:rPr>
                <w:rFonts w:hint="eastAsia"/>
                <w:color w:val="auto"/>
                <w:spacing w:val="-4"/>
                <w:highlight w:val="none"/>
              </w:rPr>
              <w:t>人组成，采购人代表1人，有关技术、经济等方面专家</w:t>
            </w:r>
            <w:r>
              <w:rPr>
                <w:rFonts w:hint="eastAsia"/>
                <w:color w:val="auto"/>
                <w:spacing w:val="-4"/>
                <w:highlight w:val="none"/>
                <w:lang w:val="en-US" w:eastAsia="zh-CN"/>
              </w:rPr>
              <w:t>4</w:t>
            </w:r>
            <w:r>
              <w:rPr>
                <w:rFonts w:hint="eastAsia"/>
                <w:color w:val="auto"/>
                <w:spacing w:val="-4"/>
                <w:highlight w:val="none"/>
              </w:rPr>
              <w:t>人共同组成。在监督部门的监督下从依法设立的评标专家库中随机抽取。</w:t>
            </w:r>
          </w:p>
        </w:tc>
      </w:tr>
      <w:tr w14:paraId="5C426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499" w:type="dxa"/>
            <w:shd w:val="clear" w:color="auto" w:fill="auto"/>
            <w:noWrap w:val="0"/>
            <w:vAlign w:val="top"/>
          </w:tcPr>
          <w:p w14:paraId="1F3205F4">
            <w:pPr>
              <w:pStyle w:val="17"/>
              <w:spacing w:before="304"/>
              <w:ind w:left="139" w:leftChars="0"/>
              <w:rPr>
                <w:rFonts w:ascii="宋体" w:hAnsi="宋体" w:eastAsia="宋体" w:cs="宋体"/>
                <w:snapToGrid w:val="0"/>
                <w:color w:val="auto"/>
                <w:kern w:val="0"/>
                <w:sz w:val="24"/>
                <w:szCs w:val="24"/>
                <w:highlight w:val="none"/>
                <w:lang w:val="en-US" w:eastAsia="en-US" w:bidi="ar-SA"/>
              </w:rPr>
            </w:pPr>
            <w:r>
              <w:rPr>
                <w:color w:val="auto"/>
                <w:spacing w:val="-7"/>
                <w:highlight w:val="none"/>
              </w:rPr>
              <w:t>26</w:t>
            </w:r>
          </w:p>
        </w:tc>
        <w:tc>
          <w:tcPr>
            <w:tcW w:w="1797" w:type="dxa"/>
            <w:noWrap w:val="0"/>
            <w:vAlign w:val="top"/>
          </w:tcPr>
          <w:p w14:paraId="056C1FA5">
            <w:pPr>
              <w:pStyle w:val="17"/>
              <w:spacing w:before="39" w:line="220" w:lineRule="auto"/>
              <w:ind w:left="214"/>
              <w:rPr>
                <w:color w:val="auto"/>
                <w:highlight w:val="none"/>
              </w:rPr>
            </w:pPr>
            <w:r>
              <w:rPr>
                <w:color w:val="auto"/>
                <w:spacing w:val="-3"/>
                <w:highlight w:val="none"/>
              </w:rPr>
              <w:t>是否授权评标</w:t>
            </w:r>
          </w:p>
          <w:p w14:paraId="1CDFC382">
            <w:pPr>
              <w:pStyle w:val="17"/>
              <w:spacing w:before="86" w:line="219" w:lineRule="auto"/>
              <w:ind w:left="210"/>
              <w:rPr>
                <w:color w:val="auto"/>
                <w:highlight w:val="none"/>
              </w:rPr>
            </w:pPr>
            <w:r>
              <w:rPr>
                <w:color w:val="auto"/>
                <w:spacing w:val="-2"/>
                <w:highlight w:val="none"/>
              </w:rPr>
              <w:t>委员会确定中</w:t>
            </w:r>
          </w:p>
          <w:p w14:paraId="5BE84078">
            <w:pPr>
              <w:pStyle w:val="17"/>
              <w:spacing w:before="88" w:line="221" w:lineRule="auto"/>
              <w:ind w:left="691"/>
              <w:rPr>
                <w:color w:val="auto"/>
                <w:highlight w:val="none"/>
              </w:rPr>
            </w:pPr>
            <w:r>
              <w:rPr>
                <w:color w:val="auto"/>
                <w:spacing w:val="-6"/>
                <w:highlight w:val="none"/>
              </w:rPr>
              <w:t>标人</w:t>
            </w:r>
          </w:p>
        </w:tc>
        <w:tc>
          <w:tcPr>
            <w:tcW w:w="6220" w:type="dxa"/>
            <w:noWrap w:val="0"/>
            <w:vAlign w:val="top"/>
          </w:tcPr>
          <w:p w14:paraId="74AF57D7">
            <w:pPr>
              <w:pStyle w:val="17"/>
              <w:spacing w:before="78" w:line="219" w:lineRule="auto"/>
              <w:ind w:left="120"/>
              <w:rPr>
                <w:color w:val="auto"/>
                <w:highlight w:val="none"/>
              </w:rPr>
            </w:pPr>
            <w:r>
              <w:rPr>
                <w:color w:val="auto"/>
                <w:spacing w:val="-4"/>
                <w:highlight w:val="none"/>
              </w:rPr>
              <w:t>否，推荐3名中标候选人</w:t>
            </w:r>
          </w:p>
        </w:tc>
      </w:tr>
      <w:tr w14:paraId="71D4F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499" w:type="dxa"/>
            <w:shd w:val="clear" w:color="auto" w:fill="auto"/>
            <w:noWrap w:val="0"/>
            <w:vAlign w:val="top"/>
          </w:tcPr>
          <w:p w14:paraId="5C41E7EB">
            <w:pPr>
              <w:pStyle w:val="17"/>
              <w:spacing w:before="209"/>
              <w:ind w:left="139" w:leftChars="0"/>
              <w:rPr>
                <w:rFonts w:ascii="宋体" w:hAnsi="宋体" w:eastAsia="宋体" w:cs="宋体"/>
                <w:snapToGrid w:val="0"/>
                <w:color w:val="auto"/>
                <w:kern w:val="0"/>
                <w:sz w:val="24"/>
                <w:szCs w:val="24"/>
                <w:highlight w:val="none"/>
                <w:lang w:val="en-US" w:eastAsia="en-US" w:bidi="ar-SA"/>
              </w:rPr>
            </w:pPr>
            <w:r>
              <w:rPr>
                <w:color w:val="auto"/>
                <w:spacing w:val="-7"/>
                <w:highlight w:val="none"/>
              </w:rPr>
              <w:t>27</w:t>
            </w:r>
          </w:p>
        </w:tc>
        <w:tc>
          <w:tcPr>
            <w:tcW w:w="1797" w:type="dxa"/>
            <w:noWrap w:val="0"/>
            <w:vAlign w:val="top"/>
          </w:tcPr>
          <w:p w14:paraId="4D34DB5C">
            <w:pPr>
              <w:pStyle w:val="17"/>
              <w:spacing w:before="64" w:line="222" w:lineRule="auto"/>
              <w:ind w:left="450"/>
              <w:rPr>
                <w:color w:val="auto"/>
                <w:highlight w:val="none"/>
              </w:rPr>
            </w:pPr>
            <w:r>
              <w:rPr>
                <w:color w:val="auto"/>
                <w:spacing w:val="-3"/>
                <w:highlight w:val="none"/>
              </w:rPr>
              <w:t>签订合同</w:t>
            </w:r>
          </w:p>
        </w:tc>
        <w:tc>
          <w:tcPr>
            <w:tcW w:w="6220" w:type="dxa"/>
            <w:noWrap w:val="0"/>
            <w:vAlign w:val="top"/>
          </w:tcPr>
          <w:p w14:paraId="1D5826A6">
            <w:pPr>
              <w:pStyle w:val="17"/>
              <w:spacing w:before="64" w:line="219" w:lineRule="auto"/>
              <w:ind w:left="135"/>
              <w:rPr>
                <w:color w:val="auto"/>
                <w:highlight w:val="none"/>
              </w:rPr>
            </w:pPr>
            <w:r>
              <w:rPr>
                <w:color w:val="auto"/>
                <w:spacing w:val="-2"/>
                <w:highlight w:val="none"/>
              </w:rPr>
              <w:t>中标人应在中标结果确定后</w:t>
            </w:r>
            <w:r>
              <w:rPr>
                <w:color w:val="auto"/>
                <w:spacing w:val="-2"/>
                <w:highlight w:val="none"/>
                <w:u w:val="single" w:color="auto"/>
              </w:rPr>
              <w:t>30</w:t>
            </w:r>
            <w:r>
              <w:rPr>
                <w:color w:val="auto"/>
                <w:spacing w:val="-2"/>
                <w:highlight w:val="none"/>
              </w:rPr>
              <w:t>天内签订采购合同。</w:t>
            </w:r>
          </w:p>
        </w:tc>
      </w:tr>
      <w:tr w14:paraId="1EC86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499" w:type="dxa"/>
            <w:shd w:val="clear" w:color="auto" w:fill="auto"/>
            <w:noWrap w:val="0"/>
            <w:vAlign w:val="center"/>
          </w:tcPr>
          <w:p w14:paraId="5EFA387A">
            <w:pPr>
              <w:autoSpaceDE w:val="0"/>
              <w:autoSpaceDN w:val="0"/>
              <w:adjustRightInd w:val="0"/>
              <w:snapToGrid w:val="0"/>
              <w:jc w:val="center"/>
              <w:rPr>
                <w:rFonts w:hint="default" w:ascii="宋体" w:hAnsi="宋体" w:eastAsia="Arial" w:cs="宋体"/>
                <w:bCs/>
                <w:snapToGrid w:val="0"/>
                <w:color w:val="auto"/>
                <w:kern w:val="0"/>
                <w:sz w:val="21"/>
                <w:szCs w:val="21"/>
                <w:highlight w:val="none"/>
                <w:lang w:val="en-US" w:eastAsia="en-US" w:bidi="ar-SA"/>
              </w:rPr>
            </w:pPr>
            <w:r>
              <w:rPr>
                <w:rFonts w:hint="eastAsia" w:ascii="宋体" w:hAnsi="宋体" w:cs="宋体"/>
                <w:bCs/>
                <w:color w:val="auto"/>
                <w:szCs w:val="21"/>
                <w:highlight w:val="none"/>
                <w:lang w:val="en-US" w:eastAsia="zh-CN"/>
              </w:rPr>
              <w:t>28</w:t>
            </w:r>
          </w:p>
        </w:tc>
        <w:tc>
          <w:tcPr>
            <w:tcW w:w="1797" w:type="dxa"/>
            <w:noWrap w:val="0"/>
            <w:vAlign w:val="top"/>
          </w:tcPr>
          <w:p w14:paraId="7D087C53">
            <w:pPr>
              <w:pStyle w:val="17"/>
              <w:spacing w:before="120" w:line="220" w:lineRule="auto"/>
              <w:ind w:left="450"/>
              <w:rPr>
                <w:color w:val="auto"/>
                <w:highlight w:val="none"/>
              </w:rPr>
            </w:pPr>
            <w:r>
              <w:rPr>
                <w:color w:val="auto"/>
                <w:spacing w:val="-3"/>
                <w:highlight w:val="none"/>
              </w:rPr>
              <w:t>付款方式</w:t>
            </w:r>
          </w:p>
        </w:tc>
        <w:tc>
          <w:tcPr>
            <w:tcW w:w="6220" w:type="dxa"/>
            <w:noWrap w:val="0"/>
            <w:vAlign w:val="top"/>
          </w:tcPr>
          <w:p w14:paraId="4EFFB145">
            <w:pPr>
              <w:pStyle w:val="17"/>
              <w:spacing w:before="120" w:line="220" w:lineRule="auto"/>
              <w:ind w:left="111"/>
              <w:rPr>
                <w:color w:val="auto"/>
                <w:highlight w:val="none"/>
              </w:rPr>
            </w:pPr>
            <w:r>
              <w:rPr>
                <w:rFonts w:hint="eastAsia" w:ascii="宋体" w:hAnsi="宋体"/>
                <w:color w:val="auto"/>
                <w:szCs w:val="21"/>
                <w:highlight w:val="none"/>
                <w:lang w:val="en-US" w:eastAsia="zh-CN"/>
              </w:rPr>
              <w:t>按照实际与采购人签订的合同要求为准。（以实际签订合同为准）</w:t>
            </w:r>
          </w:p>
        </w:tc>
      </w:tr>
      <w:tr w14:paraId="6879A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499" w:type="dxa"/>
            <w:shd w:val="clear" w:color="auto" w:fill="auto"/>
            <w:noWrap w:val="0"/>
            <w:vAlign w:val="top"/>
          </w:tcPr>
          <w:p w14:paraId="145A4721">
            <w:pPr>
              <w:pStyle w:val="17"/>
              <w:spacing w:before="226"/>
              <w:ind w:left="139" w:leftChars="0"/>
              <w:rPr>
                <w:rFonts w:hint="default" w:ascii="宋体" w:hAnsi="宋体" w:eastAsia="宋体" w:cs="宋体"/>
                <w:snapToGrid w:val="0"/>
                <w:color w:val="auto"/>
                <w:kern w:val="0"/>
                <w:sz w:val="24"/>
                <w:szCs w:val="24"/>
                <w:highlight w:val="none"/>
                <w:lang w:val="en-US" w:eastAsia="zh-CN" w:bidi="ar-SA"/>
              </w:rPr>
            </w:pPr>
            <w:r>
              <w:rPr>
                <w:rFonts w:hint="eastAsia"/>
                <w:color w:val="auto"/>
                <w:highlight w:val="none"/>
                <w:lang w:val="en-US" w:eastAsia="zh-CN"/>
              </w:rPr>
              <w:t>29</w:t>
            </w:r>
          </w:p>
        </w:tc>
        <w:tc>
          <w:tcPr>
            <w:tcW w:w="1797" w:type="dxa"/>
            <w:noWrap w:val="0"/>
            <w:vAlign w:val="top"/>
          </w:tcPr>
          <w:p w14:paraId="28DBB6FD">
            <w:pPr>
              <w:pStyle w:val="17"/>
              <w:spacing w:before="39" w:line="221" w:lineRule="auto"/>
              <w:ind w:left="334"/>
              <w:rPr>
                <w:color w:val="auto"/>
                <w:highlight w:val="none"/>
              </w:rPr>
            </w:pPr>
            <w:r>
              <w:rPr>
                <w:color w:val="auto"/>
                <w:spacing w:val="-3"/>
                <w:highlight w:val="none"/>
              </w:rPr>
              <w:t>履约保证金</w:t>
            </w:r>
          </w:p>
        </w:tc>
        <w:tc>
          <w:tcPr>
            <w:tcW w:w="6220" w:type="dxa"/>
            <w:noWrap w:val="0"/>
            <w:vAlign w:val="top"/>
          </w:tcPr>
          <w:p w14:paraId="36F9E691">
            <w:pPr>
              <w:pStyle w:val="17"/>
              <w:spacing w:before="39" w:line="221" w:lineRule="auto"/>
              <w:ind w:left="114"/>
              <w:rPr>
                <w:rFonts w:hint="default" w:eastAsia="宋体"/>
                <w:color w:val="auto"/>
                <w:highlight w:val="none"/>
                <w:lang w:val="en-US" w:eastAsia="zh-CN"/>
              </w:rPr>
            </w:pPr>
            <w:r>
              <w:rPr>
                <w:rFonts w:hint="eastAsia"/>
                <w:color w:val="auto"/>
                <w:highlight w:val="none"/>
                <w:lang w:val="en-US" w:eastAsia="zh-CN"/>
              </w:rPr>
              <w:t>甲乙双方合同约定</w:t>
            </w:r>
          </w:p>
        </w:tc>
      </w:tr>
      <w:tr w14:paraId="35F4D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99" w:type="dxa"/>
            <w:shd w:val="clear" w:color="auto" w:fill="auto"/>
            <w:noWrap w:val="0"/>
            <w:vAlign w:val="top"/>
          </w:tcPr>
          <w:p w14:paraId="5B97405C">
            <w:pPr>
              <w:pStyle w:val="17"/>
              <w:spacing w:before="304"/>
              <w:ind w:left="139" w:leftChars="0"/>
              <w:rPr>
                <w:rFonts w:hint="default" w:ascii="宋体" w:hAnsi="宋体" w:eastAsia="宋体" w:cs="宋体"/>
                <w:snapToGrid w:val="0"/>
                <w:color w:val="auto"/>
                <w:kern w:val="0"/>
                <w:sz w:val="24"/>
                <w:szCs w:val="24"/>
                <w:highlight w:val="none"/>
                <w:lang w:val="en-US" w:eastAsia="zh-CN" w:bidi="ar-SA"/>
              </w:rPr>
            </w:pPr>
            <w:r>
              <w:rPr>
                <w:rFonts w:hint="eastAsia"/>
                <w:color w:val="auto"/>
                <w:highlight w:val="none"/>
                <w:lang w:val="en-US" w:eastAsia="zh-CN"/>
              </w:rPr>
              <w:t>30</w:t>
            </w:r>
          </w:p>
        </w:tc>
        <w:tc>
          <w:tcPr>
            <w:tcW w:w="1797" w:type="dxa"/>
            <w:noWrap w:val="0"/>
            <w:vAlign w:val="top"/>
          </w:tcPr>
          <w:p w14:paraId="31D16BCE">
            <w:pPr>
              <w:pStyle w:val="17"/>
              <w:spacing w:before="225" w:line="220" w:lineRule="auto"/>
              <w:ind w:left="451"/>
              <w:rPr>
                <w:color w:val="auto"/>
                <w:highlight w:val="none"/>
              </w:rPr>
            </w:pPr>
            <w:r>
              <w:rPr>
                <w:color w:val="auto"/>
                <w:spacing w:val="-3"/>
                <w:highlight w:val="none"/>
              </w:rPr>
              <w:t>合同存档</w:t>
            </w:r>
          </w:p>
        </w:tc>
        <w:tc>
          <w:tcPr>
            <w:tcW w:w="6220" w:type="dxa"/>
            <w:noWrap w:val="0"/>
            <w:vAlign w:val="top"/>
          </w:tcPr>
          <w:p w14:paraId="602C1B03">
            <w:pPr>
              <w:pStyle w:val="17"/>
              <w:spacing w:before="39" w:line="270" w:lineRule="auto"/>
              <w:ind w:left="131" w:right="108" w:firstLine="3"/>
              <w:rPr>
                <w:color w:val="auto"/>
                <w:highlight w:val="none"/>
              </w:rPr>
            </w:pPr>
            <w:r>
              <w:rPr>
                <w:color w:val="auto"/>
                <w:spacing w:val="1"/>
                <w:highlight w:val="none"/>
              </w:rPr>
              <w:t>中标人与采购人签订合同后</w:t>
            </w:r>
            <w:r>
              <w:rPr>
                <w:color w:val="auto"/>
                <w:spacing w:val="1"/>
                <w:highlight w:val="none"/>
                <w:u w:val="single" w:color="auto"/>
              </w:rPr>
              <w:t>2</w:t>
            </w:r>
            <w:r>
              <w:rPr>
                <w:color w:val="auto"/>
                <w:spacing w:val="1"/>
                <w:highlight w:val="none"/>
              </w:rPr>
              <w:t>个工作日内将采购合同复</w:t>
            </w:r>
            <w:r>
              <w:rPr>
                <w:color w:val="auto"/>
                <w:spacing w:val="-3"/>
                <w:highlight w:val="none"/>
              </w:rPr>
              <w:t>印件送至采购代理机构存档。</w:t>
            </w:r>
          </w:p>
        </w:tc>
      </w:tr>
      <w:tr w14:paraId="0D01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499" w:type="dxa"/>
            <w:shd w:val="clear" w:color="auto" w:fill="auto"/>
            <w:noWrap w:val="0"/>
            <w:vAlign w:val="top"/>
          </w:tcPr>
          <w:p w14:paraId="3F84402B">
            <w:pPr>
              <w:pStyle w:val="17"/>
              <w:spacing w:before="209"/>
              <w:ind w:left="139" w:leftChars="0"/>
              <w:rPr>
                <w:rFonts w:hint="default" w:ascii="宋体" w:hAnsi="宋体" w:eastAsia="宋体" w:cs="宋体"/>
                <w:snapToGrid w:val="0"/>
                <w:color w:val="auto"/>
                <w:kern w:val="0"/>
                <w:sz w:val="24"/>
                <w:szCs w:val="24"/>
                <w:highlight w:val="none"/>
                <w:lang w:val="en-US" w:eastAsia="zh-CN" w:bidi="ar-SA"/>
              </w:rPr>
            </w:pPr>
            <w:r>
              <w:rPr>
                <w:rFonts w:hint="eastAsia"/>
                <w:color w:val="auto"/>
                <w:spacing w:val="-7"/>
                <w:highlight w:val="none"/>
                <w:lang w:val="en-US" w:eastAsia="zh-CN"/>
              </w:rPr>
              <w:t>31</w:t>
            </w:r>
          </w:p>
        </w:tc>
        <w:tc>
          <w:tcPr>
            <w:tcW w:w="1797" w:type="dxa"/>
            <w:noWrap w:val="0"/>
            <w:vAlign w:val="top"/>
          </w:tcPr>
          <w:p w14:paraId="369C4447">
            <w:pPr>
              <w:pStyle w:val="17"/>
              <w:spacing w:before="118" w:line="289" w:lineRule="auto"/>
              <w:ind w:left="823" w:right="203" w:hanging="612"/>
              <w:rPr>
                <w:color w:val="auto"/>
                <w:highlight w:val="none"/>
              </w:rPr>
            </w:pPr>
            <w:r>
              <w:rPr>
                <w:color w:val="auto"/>
                <w:spacing w:val="-2"/>
                <w:highlight w:val="none"/>
              </w:rPr>
              <w:t>招标代理服务</w:t>
            </w:r>
            <w:r>
              <w:rPr>
                <w:color w:val="auto"/>
                <w:highlight w:val="none"/>
              </w:rPr>
              <w:t>费</w:t>
            </w:r>
          </w:p>
        </w:tc>
        <w:tc>
          <w:tcPr>
            <w:tcW w:w="6220" w:type="dxa"/>
            <w:noWrap w:val="0"/>
            <w:vAlign w:val="top"/>
          </w:tcPr>
          <w:p w14:paraId="4284978B">
            <w:pPr>
              <w:pStyle w:val="17"/>
              <w:spacing w:before="120" w:line="287" w:lineRule="auto"/>
              <w:ind w:left="113" w:right="106"/>
              <w:rPr>
                <w:color w:val="auto"/>
                <w:highlight w:val="none"/>
              </w:rPr>
            </w:pPr>
            <w:r>
              <w:rPr>
                <w:rFonts w:hint="eastAsia" w:ascii="宋体" w:hAnsi="宋体" w:eastAsia="宋体" w:cs="宋体"/>
                <w:bCs/>
                <w:color w:val="auto"/>
                <w:kern w:val="0"/>
                <w:szCs w:val="21"/>
                <w:highlight w:val="none"/>
              </w:rPr>
              <w:t>执行国家发展计划委员会计价格〔2015〕299号文件的取费标准</w:t>
            </w:r>
            <w:r>
              <w:rPr>
                <w:rFonts w:hint="eastAsia" w:ascii="宋体" w:hAnsi="宋体" w:eastAsia="宋体" w:cs="宋体"/>
                <w:color w:val="auto"/>
                <w:szCs w:val="21"/>
                <w:highlight w:val="none"/>
                <w:lang w:val="zh-CN"/>
              </w:rPr>
              <w:t>进行计算。</w:t>
            </w:r>
          </w:p>
        </w:tc>
      </w:tr>
      <w:tr w14:paraId="460D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499" w:type="dxa"/>
            <w:shd w:val="clear" w:color="auto" w:fill="auto"/>
            <w:noWrap w:val="0"/>
            <w:vAlign w:val="center"/>
          </w:tcPr>
          <w:p w14:paraId="1EBDCDDF">
            <w:pPr>
              <w:autoSpaceDE w:val="0"/>
              <w:autoSpaceDN w:val="0"/>
              <w:adjustRightInd w:val="0"/>
              <w:snapToGrid w:val="0"/>
              <w:jc w:val="center"/>
              <w:rPr>
                <w:rFonts w:hint="default" w:ascii="宋体" w:hAnsi="宋体" w:eastAsia="Arial" w:cs="宋体"/>
                <w:bCs/>
                <w:snapToGrid w:val="0"/>
                <w:color w:val="auto"/>
                <w:kern w:val="0"/>
                <w:sz w:val="21"/>
                <w:szCs w:val="21"/>
                <w:highlight w:val="none"/>
                <w:lang w:val="en-US" w:eastAsia="zh-CN" w:bidi="ar-SA"/>
              </w:rPr>
            </w:pPr>
            <w:r>
              <w:rPr>
                <w:rFonts w:hint="eastAsia" w:ascii="宋体" w:hAnsi="宋体" w:cs="宋体"/>
                <w:bCs/>
                <w:color w:val="auto"/>
                <w:szCs w:val="21"/>
                <w:highlight w:val="none"/>
                <w:lang w:val="en-US" w:eastAsia="zh-CN"/>
              </w:rPr>
              <w:t>32</w:t>
            </w:r>
          </w:p>
        </w:tc>
        <w:tc>
          <w:tcPr>
            <w:tcW w:w="1797" w:type="dxa"/>
            <w:shd w:val="clear" w:color="auto" w:fill="auto"/>
            <w:noWrap w:val="0"/>
            <w:vAlign w:val="top"/>
          </w:tcPr>
          <w:p w14:paraId="3F757D2D">
            <w:pPr>
              <w:pStyle w:val="17"/>
              <w:spacing w:before="263" w:line="219" w:lineRule="auto"/>
              <w:ind w:left="473" w:leftChars="0"/>
              <w:rPr>
                <w:rFonts w:ascii="宋体" w:hAnsi="宋体" w:eastAsia="宋体" w:cs="宋体"/>
                <w:snapToGrid w:val="0"/>
                <w:color w:val="auto"/>
                <w:kern w:val="0"/>
                <w:sz w:val="24"/>
                <w:szCs w:val="24"/>
                <w:highlight w:val="none"/>
                <w:lang w:val="en-US" w:eastAsia="en-US" w:bidi="ar-SA"/>
              </w:rPr>
            </w:pPr>
            <w:r>
              <w:rPr>
                <w:color w:val="auto"/>
                <w:spacing w:val="-8"/>
                <w:highlight w:val="none"/>
              </w:rPr>
              <w:t>中标公告</w:t>
            </w:r>
          </w:p>
        </w:tc>
        <w:tc>
          <w:tcPr>
            <w:tcW w:w="6220" w:type="dxa"/>
            <w:shd w:val="clear" w:color="auto" w:fill="auto"/>
            <w:noWrap w:val="0"/>
            <w:vAlign w:val="top"/>
          </w:tcPr>
          <w:p w14:paraId="3BF3A48C">
            <w:pPr>
              <w:pStyle w:val="17"/>
              <w:spacing w:before="83" w:line="219" w:lineRule="auto"/>
              <w:ind w:left="120"/>
              <w:rPr>
                <w:color w:val="auto"/>
                <w:highlight w:val="none"/>
              </w:rPr>
            </w:pPr>
            <w:r>
              <w:rPr>
                <w:color w:val="auto"/>
                <w:spacing w:val="-2"/>
                <w:highlight w:val="none"/>
              </w:rPr>
              <w:t>公示媒介：同发布招标公告媒体。</w:t>
            </w:r>
          </w:p>
          <w:p w14:paraId="64994B4B">
            <w:pPr>
              <w:pStyle w:val="17"/>
              <w:spacing w:before="76" w:line="208" w:lineRule="auto"/>
              <w:ind w:left="120" w:leftChars="0"/>
              <w:rPr>
                <w:rFonts w:hint="eastAsia" w:ascii="宋体" w:hAnsi="宋体" w:eastAsia="宋体" w:cs="宋体"/>
                <w:snapToGrid w:val="0"/>
                <w:color w:val="auto"/>
                <w:kern w:val="0"/>
                <w:sz w:val="24"/>
                <w:szCs w:val="24"/>
                <w:highlight w:val="none"/>
                <w:lang w:val="en-US" w:eastAsia="en-US" w:bidi="ar-SA"/>
              </w:rPr>
            </w:pPr>
            <w:r>
              <w:rPr>
                <w:color w:val="auto"/>
                <w:spacing w:val="-3"/>
                <w:highlight w:val="none"/>
              </w:rPr>
              <w:t>公示期限：1个工作日</w:t>
            </w:r>
          </w:p>
        </w:tc>
      </w:tr>
      <w:tr w14:paraId="3646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499" w:type="dxa"/>
            <w:shd w:val="clear" w:color="auto" w:fill="auto"/>
            <w:noWrap w:val="0"/>
            <w:vAlign w:val="center"/>
          </w:tcPr>
          <w:p w14:paraId="6AB1FAFB">
            <w:pPr>
              <w:autoSpaceDE w:val="0"/>
              <w:autoSpaceDN w:val="0"/>
              <w:adjustRightInd w:val="0"/>
              <w:snapToGrid w:val="0"/>
              <w:jc w:val="center"/>
              <w:rPr>
                <w:rFonts w:hint="default" w:ascii="宋体" w:hAnsi="宋体" w:eastAsia="Arial" w:cs="宋体"/>
                <w:bCs/>
                <w:snapToGrid w:val="0"/>
                <w:color w:val="auto"/>
                <w:kern w:val="0"/>
                <w:sz w:val="21"/>
                <w:szCs w:val="21"/>
                <w:highlight w:val="none"/>
                <w:lang w:val="en-US" w:eastAsia="zh-CN" w:bidi="ar-SA"/>
              </w:rPr>
            </w:pPr>
            <w:r>
              <w:rPr>
                <w:rFonts w:hint="eastAsia" w:ascii="宋体" w:hAnsi="宋体" w:cs="宋体"/>
                <w:bCs/>
                <w:color w:val="auto"/>
                <w:szCs w:val="21"/>
                <w:highlight w:val="none"/>
                <w:lang w:val="en-US" w:eastAsia="zh-CN"/>
              </w:rPr>
              <w:t>33</w:t>
            </w:r>
          </w:p>
        </w:tc>
        <w:tc>
          <w:tcPr>
            <w:tcW w:w="1797" w:type="dxa"/>
            <w:shd w:val="clear" w:color="auto" w:fill="auto"/>
            <w:noWrap w:val="0"/>
            <w:vAlign w:val="center"/>
          </w:tcPr>
          <w:p w14:paraId="02A1F146">
            <w:pPr>
              <w:jc w:val="left"/>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zh-CN" w:bidi="ar-SA"/>
              </w:rPr>
              <w:t>电子文件及报送要求</w:t>
            </w:r>
            <w:r>
              <w:rPr>
                <w:rFonts w:hint="eastAsia" w:ascii="宋体" w:hAnsi="宋体" w:eastAsia="宋体" w:cs="宋体"/>
                <w:snapToGrid w:val="0"/>
                <w:color w:val="auto"/>
                <w:spacing w:val="-8"/>
                <w:kern w:val="0"/>
                <w:sz w:val="24"/>
                <w:szCs w:val="24"/>
                <w:highlight w:val="none"/>
                <w:lang w:val="en-US" w:eastAsia="en-US" w:bidi="ar-SA"/>
              </w:rPr>
              <w:t>“双盲”评审</w:t>
            </w:r>
          </w:p>
        </w:tc>
        <w:tc>
          <w:tcPr>
            <w:tcW w:w="6220" w:type="dxa"/>
            <w:shd w:val="clear" w:color="auto" w:fill="auto"/>
            <w:noWrap w:val="0"/>
            <w:vAlign w:val="center"/>
          </w:tcPr>
          <w:p w14:paraId="665FB201">
            <w:pPr>
              <w:adjustRightInd w:val="0"/>
              <w:snapToGrid w:val="0"/>
              <w:spacing w:line="288" w:lineRule="auto"/>
              <w:jc w:val="left"/>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按监管部门要求，使用综合评分法的项目需要按“双盲”评审</w:t>
            </w:r>
          </w:p>
          <w:p w14:paraId="6F6ACBC3">
            <w:pPr>
              <w:adjustRightInd w:val="0"/>
              <w:snapToGrid w:val="0"/>
              <w:spacing w:line="288" w:lineRule="auto"/>
              <w:jc w:val="left"/>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暗标评审：</w:t>
            </w:r>
          </w:p>
          <w:p w14:paraId="1699FE80">
            <w:pPr>
              <w:adjustRightInd w:val="0"/>
              <w:snapToGrid w:val="0"/>
              <w:spacing w:line="288" w:lineRule="auto"/>
              <w:jc w:val="left"/>
              <w:rPr>
                <w:rFonts w:hint="eastAsia" w:ascii="宋体" w:hAnsi="宋体" w:eastAsia="宋体" w:cs="宋体"/>
                <w:snapToGrid w:val="0"/>
                <w:color w:val="auto"/>
                <w:spacing w:val="-8"/>
                <w:kern w:val="0"/>
                <w:sz w:val="24"/>
                <w:szCs w:val="24"/>
                <w:highlight w:val="none"/>
                <w:lang w:val="en-US" w:eastAsia="en-US" w:bidi="ar-SA"/>
              </w:rPr>
            </w:pPr>
            <w:r>
              <w:rPr>
                <w:rFonts w:hint="eastAsia" w:ascii="宋体" w:hAnsi="宋体" w:eastAsia="宋体" w:cs="宋体"/>
                <w:snapToGrid w:val="0"/>
                <w:color w:val="auto"/>
                <w:spacing w:val="-8"/>
                <w:kern w:val="0"/>
                <w:sz w:val="24"/>
                <w:szCs w:val="24"/>
                <w:highlight w:val="none"/>
                <w:lang w:val="en-US" w:eastAsia="en-US" w:bidi="ar-SA"/>
              </w:rPr>
              <w:t>技术部分采用“暗标”评审方式，投标人应严格按照第三章“评标办法”中“吉林省开展“双盲”评审投标人暗标部分排版要求”进行编制</w:t>
            </w:r>
            <w:r>
              <w:rPr>
                <w:rFonts w:hint="eastAsia" w:ascii="宋体" w:hAnsi="宋体" w:eastAsia="宋体" w:cs="宋体"/>
                <w:snapToGrid w:val="0"/>
                <w:color w:val="auto"/>
                <w:spacing w:val="-8"/>
                <w:kern w:val="0"/>
                <w:sz w:val="24"/>
                <w:szCs w:val="24"/>
                <w:highlight w:val="none"/>
                <w:lang w:val="en-US" w:eastAsia="zh-CN" w:bidi="ar-SA"/>
              </w:rPr>
              <w:t>。</w:t>
            </w:r>
            <w:r>
              <w:rPr>
                <w:rFonts w:hint="eastAsia" w:ascii="宋体" w:hAnsi="宋体" w:eastAsia="宋体" w:cs="宋体"/>
                <w:snapToGrid w:val="0"/>
                <w:color w:val="auto"/>
                <w:spacing w:val="-8"/>
                <w:kern w:val="0"/>
                <w:sz w:val="24"/>
                <w:szCs w:val="24"/>
                <w:highlight w:val="none"/>
                <w:lang w:val="en-US" w:eastAsia="en-US" w:bidi="ar-SA"/>
              </w:rPr>
              <w:t>如果技术部分没有按照技术暗标部分编制要求编制，技术部分得0分。</w:t>
            </w:r>
          </w:p>
        </w:tc>
      </w:tr>
      <w:tr w14:paraId="62A4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8516" w:type="dxa"/>
            <w:gridSpan w:val="3"/>
            <w:noWrap w:val="0"/>
            <w:vAlign w:val="top"/>
          </w:tcPr>
          <w:p w14:paraId="237D1844">
            <w:pPr>
              <w:pStyle w:val="17"/>
              <w:spacing w:before="120" w:line="287" w:lineRule="auto"/>
              <w:ind w:left="113" w:right="106"/>
              <w:rPr>
                <w:rFonts w:hint="eastAsia" w:ascii="宋体" w:hAnsi="宋体" w:eastAsia="宋体" w:cs="宋体"/>
                <w:bCs/>
                <w:color w:val="auto"/>
                <w:kern w:val="0"/>
                <w:szCs w:val="21"/>
                <w:highlight w:val="none"/>
              </w:rPr>
            </w:pPr>
            <w:r>
              <w:rPr>
                <w:color w:val="auto"/>
                <w:highlight w:val="none"/>
              </w:rPr>
              <w:t>本项目招标公告与招标文件中内容有不符之处，</w:t>
            </w:r>
            <w:r>
              <w:rPr>
                <w:color w:val="auto"/>
                <w:spacing w:val="-1"/>
                <w:highlight w:val="none"/>
              </w:rPr>
              <w:t>以本招标文件中内容为准。</w:t>
            </w:r>
          </w:p>
        </w:tc>
      </w:tr>
    </w:tbl>
    <w:p w14:paraId="42E18618">
      <w:pPr>
        <w:rPr>
          <w:color w:val="auto"/>
          <w:highlight w:val="none"/>
        </w:rPr>
        <w:sectPr>
          <w:footerReference r:id="rId5" w:type="default"/>
          <w:pgSz w:w="11906" w:h="16839"/>
          <w:pgMar w:top="1431" w:right="1697" w:bottom="1149" w:left="1687" w:header="0" w:footer="989" w:gutter="0"/>
          <w:pgNumType w:fmt="decimal" w:start="1"/>
          <w:cols w:space="720" w:num="1"/>
        </w:sectPr>
      </w:pPr>
    </w:p>
    <w:p w14:paraId="5F0FF627">
      <w:pPr>
        <w:spacing w:before="77" w:line="219" w:lineRule="auto"/>
        <w:ind w:left="27" w:leftChars="0"/>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二、供应商须知</w:t>
      </w:r>
    </w:p>
    <w:p w14:paraId="441F458C">
      <w:pPr>
        <w:spacing w:before="151" w:line="220" w:lineRule="auto"/>
        <w:ind w:left="3808" w:leftChars="0"/>
        <w:outlineLvl w:val="2"/>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A说明</w:t>
      </w:r>
    </w:p>
    <w:p w14:paraId="0E513AC0">
      <w:pPr>
        <w:spacing w:before="88" w:line="221"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1.适用范围</w:t>
      </w:r>
    </w:p>
    <w:p w14:paraId="23E41402">
      <w:pPr>
        <w:spacing w:before="87" w:line="288" w:lineRule="auto"/>
        <w:ind w:left="27" w:right="37" w:firstLine="56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本文件是受采购人委托，对采购人委托采购项目的规范性招标文件，适用</w:t>
      </w:r>
      <w:r>
        <w:rPr>
          <w:rFonts w:ascii="宋体" w:hAnsi="宋体" w:eastAsia="宋体" w:cs="宋体"/>
          <w:color w:val="auto"/>
          <w:spacing w:val="-1"/>
          <w:sz w:val="24"/>
          <w:szCs w:val="24"/>
          <w:highlight w:val="none"/>
        </w:rPr>
        <w:t>于本项目招标公告所述的标的采购及服务，是供应商编制投标文件的依据。</w:t>
      </w:r>
    </w:p>
    <w:p w14:paraId="6E18B1AC">
      <w:pPr>
        <w:spacing w:line="220"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2.法律适用</w:t>
      </w:r>
    </w:p>
    <w:p w14:paraId="71DC41E4">
      <w:pPr>
        <w:spacing w:before="88" w:line="288" w:lineRule="auto"/>
        <w:ind w:left="24" w:right="37" w:firstLine="566"/>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本招标文件及由本次招标产生的合同适用《中华人民共和国政府采购法》</w:t>
      </w:r>
      <w:r>
        <w:rPr>
          <w:rFonts w:ascii="宋体" w:hAnsi="宋体" w:eastAsia="宋体" w:cs="宋体"/>
          <w:color w:val="auto"/>
          <w:spacing w:val="-3"/>
          <w:sz w:val="24"/>
          <w:szCs w:val="24"/>
          <w:highlight w:val="none"/>
        </w:rPr>
        <w:t>《中华人民共和国政府采购法实施条例》《政府采购货物和服务招标投标管理办</w:t>
      </w:r>
      <w:r>
        <w:rPr>
          <w:rFonts w:ascii="宋体" w:hAnsi="宋体" w:eastAsia="宋体" w:cs="宋体"/>
          <w:color w:val="auto"/>
          <w:spacing w:val="-1"/>
          <w:sz w:val="24"/>
          <w:szCs w:val="24"/>
          <w:highlight w:val="none"/>
        </w:rPr>
        <w:t>法》及政府采购其它相关法规。</w:t>
      </w:r>
    </w:p>
    <w:p w14:paraId="5FC9B536">
      <w:pPr>
        <w:spacing w:before="1" w:line="220" w:lineRule="auto"/>
        <w:ind w:left="28"/>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3.定义</w:t>
      </w:r>
    </w:p>
    <w:p w14:paraId="423D6C40">
      <w:pPr>
        <w:spacing w:before="88" w:line="219" w:lineRule="auto"/>
        <w:ind w:left="3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“招标机构”系指组织本次招标的代理机构；</w:t>
      </w:r>
    </w:p>
    <w:p w14:paraId="4AE7115C">
      <w:pPr>
        <w:spacing w:before="89" w:line="219" w:lineRule="auto"/>
        <w:ind w:left="3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“供应商”系指向招标机构提交投标文件的投标商；</w:t>
      </w:r>
    </w:p>
    <w:p w14:paraId="24432B75">
      <w:pPr>
        <w:spacing w:before="90" w:line="219" w:lineRule="auto"/>
        <w:ind w:left="3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“买方”系指采购人，合同一方当事人；</w:t>
      </w:r>
    </w:p>
    <w:p w14:paraId="4CFE50FC">
      <w:pPr>
        <w:spacing w:before="89" w:line="220" w:lineRule="auto"/>
        <w:ind w:left="36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“服务”系指招标文件规定须完成的服务和其他的类似义</w:t>
      </w:r>
      <w:r>
        <w:rPr>
          <w:rFonts w:ascii="宋体" w:hAnsi="宋体" w:eastAsia="宋体" w:cs="宋体"/>
          <w:color w:val="auto"/>
          <w:spacing w:val="-2"/>
          <w:sz w:val="24"/>
          <w:szCs w:val="24"/>
          <w:highlight w:val="none"/>
        </w:rPr>
        <w:t>务；</w:t>
      </w:r>
    </w:p>
    <w:p w14:paraId="2FF81E5E">
      <w:pPr>
        <w:spacing w:before="88" w:line="221" w:lineRule="auto"/>
        <w:ind w:left="360"/>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“日”、“天”系指日历日；</w:t>
      </w:r>
    </w:p>
    <w:p w14:paraId="088442DF">
      <w:pPr>
        <w:spacing w:before="88" w:line="288" w:lineRule="auto"/>
        <w:ind w:left="24" w:right="37" w:firstLine="345"/>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“合同”是买方与中标人共同以招标文件、投标文件为依据，经过协商签订</w:t>
      </w:r>
      <w:r>
        <w:rPr>
          <w:rFonts w:ascii="宋体" w:hAnsi="宋体" w:eastAsia="宋体" w:cs="宋体"/>
          <w:color w:val="auto"/>
          <w:spacing w:val="-3"/>
          <w:sz w:val="24"/>
          <w:szCs w:val="24"/>
          <w:highlight w:val="none"/>
        </w:rPr>
        <w:t>的具备法律效力的文件。招标文件、投标文件及其共同确定的补充文件是合同的</w:t>
      </w:r>
      <w:r>
        <w:rPr>
          <w:rFonts w:ascii="宋体" w:hAnsi="宋体" w:eastAsia="宋体" w:cs="宋体"/>
          <w:color w:val="auto"/>
          <w:spacing w:val="-1"/>
          <w:sz w:val="24"/>
          <w:szCs w:val="24"/>
          <w:highlight w:val="none"/>
        </w:rPr>
        <w:t>有效组成部分，与合同具备同等的法律效力。</w:t>
      </w:r>
    </w:p>
    <w:p w14:paraId="60EC2547">
      <w:pPr>
        <w:spacing w:line="219" w:lineRule="auto"/>
        <w:ind w:left="22"/>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4.合格的供应商</w:t>
      </w:r>
    </w:p>
    <w:p w14:paraId="0D535B5C">
      <w:pPr>
        <w:spacing w:before="90" w:line="219" w:lineRule="auto"/>
        <w:ind w:left="502" w:leftChars="0"/>
        <w:outlineLvl w:val="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4.1合格供应商必须符合供应商须知前附表第11项下各项要求；</w:t>
      </w:r>
    </w:p>
    <w:p w14:paraId="268ACD89">
      <w:pPr>
        <w:spacing w:before="88" w:line="271" w:lineRule="auto"/>
        <w:ind w:left="22"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4.2供应商应仔细阅读招标文件的所有内容，按招标文件的要求提供投标文件，并保证所提供的全部资料的真实性，使其投标对招标文件做出实质性响应，</w:t>
      </w:r>
      <w:r>
        <w:rPr>
          <w:rFonts w:ascii="宋体" w:hAnsi="宋体" w:eastAsia="宋体" w:cs="宋体"/>
          <w:color w:val="auto"/>
          <w:spacing w:val="-3"/>
          <w:sz w:val="24"/>
          <w:szCs w:val="24"/>
          <w:highlight w:val="none"/>
        </w:rPr>
        <w:t>否则，其投标将被拒绝。招标机构保留进一步要求供应商补充提供有关材料的权</w:t>
      </w:r>
      <w:r>
        <w:rPr>
          <w:rFonts w:ascii="宋体" w:hAnsi="宋体" w:eastAsia="宋体" w:cs="宋体"/>
          <w:color w:val="auto"/>
          <w:sz w:val="24"/>
          <w:szCs w:val="24"/>
          <w:highlight w:val="none"/>
        </w:rPr>
        <w:t>利，拒绝补充材料或提供材料不真实，将被视</w:t>
      </w:r>
      <w:r>
        <w:rPr>
          <w:rFonts w:ascii="宋体" w:hAnsi="宋体" w:eastAsia="宋体" w:cs="宋体"/>
          <w:color w:val="auto"/>
          <w:spacing w:val="-1"/>
          <w:sz w:val="24"/>
          <w:szCs w:val="24"/>
          <w:highlight w:val="none"/>
        </w:rPr>
        <w:t>为自动放弃投标资格。</w:t>
      </w:r>
    </w:p>
    <w:p w14:paraId="53A3D6C5">
      <w:pPr>
        <w:spacing w:before="89" w:line="221" w:lineRule="auto"/>
        <w:ind w:left="28" w:leftChars="0"/>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5．投标费用</w:t>
      </w:r>
    </w:p>
    <w:p w14:paraId="5E2D57DD">
      <w:pPr>
        <w:spacing w:before="88" w:line="288" w:lineRule="auto"/>
        <w:ind w:left="24" w:right="37" w:firstLine="47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供应商应承担其在投标准备、编制、递交投标文件和签订合同协</w:t>
      </w:r>
      <w:r>
        <w:rPr>
          <w:rFonts w:ascii="宋体" w:hAnsi="宋体" w:eastAsia="宋体" w:cs="宋体"/>
          <w:color w:val="auto"/>
          <w:spacing w:val="-4"/>
          <w:sz w:val="24"/>
          <w:szCs w:val="24"/>
          <w:highlight w:val="none"/>
        </w:rPr>
        <w:t>议书的整个</w:t>
      </w:r>
      <w:r>
        <w:rPr>
          <w:rFonts w:ascii="宋体" w:hAnsi="宋体" w:eastAsia="宋体" w:cs="宋体"/>
          <w:color w:val="auto"/>
          <w:spacing w:val="-1"/>
          <w:sz w:val="24"/>
          <w:szCs w:val="24"/>
          <w:highlight w:val="none"/>
        </w:rPr>
        <w:t>过程中发生的一切费用而不论其投标结果如何。</w:t>
      </w:r>
    </w:p>
    <w:p w14:paraId="23588339">
      <w:pPr>
        <w:spacing w:line="220" w:lineRule="auto"/>
        <w:ind w:left="3327" w:leftChars="0"/>
        <w:outlineLvl w:val="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B.招标文件说明</w:t>
      </w:r>
    </w:p>
    <w:p w14:paraId="3B4391B1">
      <w:pPr>
        <w:spacing w:before="88" w:line="220" w:lineRule="auto"/>
        <w:ind w:left="25"/>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6.招标文件</w:t>
      </w:r>
    </w:p>
    <w:p w14:paraId="18342C05">
      <w:pPr>
        <w:spacing w:before="90" w:line="269" w:lineRule="auto"/>
        <w:ind w:left="22" w:right="37"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招标文件用以阐明所需货物及服务、招标投标程序和投标文件</w:t>
      </w:r>
      <w:r>
        <w:rPr>
          <w:rFonts w:ascii="宋体" w:hAnsi="宋体" w:eastAsia="宋体" w:cs="宋体"/>
          <w:color w:val="auto"/>
          <w:spacing w:val="-4"/>
          <w:sz w:val="24"/>
          <w:szCs w:val="24"/>
          <w:highlight w:val="none"/>
        </w:rPr>
        <w:t>格式。招标文</w:t>
      </w:r>
      <w:r>
        <w:rPr>
          <w:rFonts w:ascii="宋体" w:hAnsi="宋体" w:eastAsia="宋体" w:cs="宋体"/>
          <w:color w:val="auto"/>
          <w:spacing w:val="-1"/>
          <w:sz w:val="24"/>
          <w:szCs w:val="24"/>
          <w:highlight w:val="none"/>
        </w:rPr>
        <w:t>件由以下部分组成：</w:t>
      </w:r>
    </w:p>
    <w:p w14:paraId="7C4355B7">
      <w:pPr>
        <w:spacing w:line="269" w:lineRule="auto"/>
        <w:rPr>
          <w:rFonts w:ascii="宋体" w:hAnsi="宋体" w:eastAsia="宋体" w:cs="宋体"/>
          <w:color w:val="auto"/>
          <w:sz w:val="24"/>
          <w:szCs w:val="24"/>
          <w:highlight w:val="none"/>
        </w:rPr>
        <w:sectPr>
          <w:footerReference r:id="rId6" w:type="default"/>
          <w:pgSz w:w="11906" w:h="16839"/>
          <w:pgMar w:top="1431" w:right="1762" w:bottom="1209" w:left="1785" w:header="0" w:footer="973" w:gutter="0"/>
          <w:pgNumType w:fmt="decimal"/>
          <w:cols w:space="720" w:num="1"/>
        </w:sectPr>
      </w:pPr>
    </w:p>
    <w:p w14:paraId="56CF7146">
      <w:pPr>
        <w:spacing w:before="48" w:line="288" w:lineRule="auto"/>
        <w:ind w:left="731" w:right="26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第一部分第二部分</w:t>
      </w:r>
    </w:p>
    <w:p w14:paraId="49C024CA">
      <w:pPr>
        <w:spacing w:line="288" w:lineRule="auto"/>
        <w:ind w:left="731" w:right="26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第三部分第四部分</w:t>
      </w:r>
    </w:p>
    <w:p w14:paraId="7E990EAB">
      <w:pPr>
        <w:spacing w:line="220" w:lineRule="auto"/>
        <w:ind w:left="73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第五部分</w:t>
      </w:r>
    </w:p>
    <w:p w14:paraId="0EDB84E7">
      <w:pPr>
        <w:spacing w:before="88" w:line="185" w:lineRule="auto"/>
        <w:ind w:left="73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第六部分</w:t>
      </w:r>
    </w:p>
    <w:p w14:paraId="57868FDC">
      <w:pPr>
        <w:pStyle w:val="2"/>
        <w:spacing w:line="14" w:lineRule="auto"/>
        <w:rPr>
          <w:color w:val="auto"/>
          <w:sz w:val="2"/>
          <w:highlight w:val="none"/>
        </w:rPr>
      </w:pPr>
      <w:r>
        <w:rPr>
          <w:color w:val="auto"/>
          <w:sz w:val="2"/>
          <w:szCs w:val="2"/>
          <w:highlight w:val="none"/>
        </w:rPr>
        <w:br w:type="column"/>
      </w:r>
    </w:p>
    <w:p w14:paraId="7454F230">
      <w:pPr>
        <w:spacing w:before="46" w:line="219" w:lineRule="auto"/>
        <w:ind w:left="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招标公告</w:t>
      </w:r>
    </w:p>
    <w:p w14:paraId="716DDF9D">
      <w:pPr>
        <w:spacing w:before="91" w:line="219" w:lineRule="auto"/>
        <w:outlineLvl w:val="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供应商须知</w:t>
      </w:r>
    </w:p>
    <w:p w14:paraId="3E5D5644">
      <w:pPr>
        <w:spacing w:before="89" w:line="220"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评标办法</w:t>
      </w:r>
    </w:p>
    <w:p w14:paraId="7D7C8559">
      <w:pPr>
        <w:spacing w:before="89" w:line="219"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采购需求</w:t>
      </w:r>
    </w:p>
    <w:p w14:paraId="5B74ED79">
      <w:pPr>
        <w:spacing w:before="89" w:line="220" w:lineRule="auto"/>
        <w:ind w:left="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合同格式</w:t>
      </w:r>
    </w:p>
    <w:p w14:paraId="21C9015C">
      <w:pPr>
        <w:spacing w:before="89" w:line="185" w:lineRule="auto"/>
        <w:ind w:left="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投标文件格式</w:t>
      </w:r>
    </w:p>
    <w:p w14:paraId="038BA76D">
      <w:pPr>
        <w:spacing w:line="185" w:lineRule="auto"/>
        <w:rPr>
          <w:rFonts w:ascii="宋体" w:hAnsi="宋体" w:eastAsia="宋体" w:cs="宋体"/>
          <w:color w:val="auto"/>
          <w:sz w:val="24"/>
          <w:szCs w:val="24"/>
          <w:highlight w:val="none"/>
        </w:rPr>
        <w:sectPr>
          <w:type w:val="continuous"/>
          <w:pgSz w:w="11906" w:h="16839"/>
          <w:pgMar w:top="1431" w:right="1762" w:bottom="1209" w:left="1785" w:header="0" w:footer="973" w:gutter="0"/>
          <w:pgNumType w:fmt="decimal"/>
          <w:cols w:equalWidth="0" w:num="2">
            <w:col w:w="1951" w:space="100"/>
            <w:col w:w="6308"/>
          </w:cols>
        </w:sectPr>
      </w:pPr>
    </w:p>
    <w:p w14:paraId="025AB14E">
      <w:pPr>
        <w:spacing w:before="77" w:line="220" w:lineRule="auto"/>
        <w:ind w:left="29"/>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7.招标文件的澄清</w:t>
      </w:r>
    </w:p>
    <w:p w14:paraId="440724F2">
      <w:pPr>
        <w:spacing w:before="88" w:line="288" w:lineRule="auto"/>
        <w:ind w:left="23" w:right="13"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供应商对本次招标文件的内容有疑问时，可要求澄清，但应在距</w:t>
      </w:r>
      <w:r>
        <w:rPr>
          <w:rFonts w:ascii="宋体" w:hAnsi="宋体" w:eastAsia="宋体" w:cs="宋体"/>
          <w:color w:val="auto"/>
          <w:spacing w:val="-4"/>
          <w:sz w:val="24"/>
          <w:szCs w:val="24"/>
          <w:highlight w:val="none"/>
        </w:rPr>
        <w:t>投标截止日</w:t>
      </w:r>
      <w:r>
        <w:rPr>
          <w:rFonts w:ascii="宋体" w:hAnsi="宋体" w:eastAsia="宋体" w:cs="宋体"/>
          <w:color w:val="auto"/>
          <w:sz w:val="24"/>
          <w:szCs w:val="24"/>
          <w:highlight w:val="none"/>
        </w:rPr>
        <w:t>10日前，按供应商须知注明的联系地址以书面形式（包括信函、传真，下同）</w:t>
      </w:r>
      <w:r>
        <w:rPr>
          <w:rFonts w:ascii="宋体" w:hAnsi="宋体" w:eastAsia="宋体" w:cs="宋体"/>
          <w:color w:val="auto"/>
          <w:spacing w:val="-3"/>
          <w:sz w:val="24"/>
          <w:szCs w:val="24"/>
          <w:highlight w:val="none"/>
        </w:rPr>
        <w:t>通知到招标机构。招标机构将视情况确定采用其认为适当的方式予以澄清或以书面形式予以答复，并在其认为必要时，将不标明查询来源的书面答复发给所有获</w:t>
      </w:r>
      <w:r>
        <w:rPr>
          <w:rFonts w:ascii="宋体" w:hAnsi="宋体" w:eastAsia="宋体" w:cs="宋体"/>
          <w:color w:val="auto"/>
          <w:spacing w:val="-1"/>
          <w:sz w:val="24"/>
          <w:szCs w:val="24"/>
          <w:highlight w:val="none"/>
        </w:rPr>
        <w:t>取招标文件的每一供应商。</w:t>
      </w:r>
    </w:p>
    <w:p w14:paraId="5140A3B0">
      <w:pPr>
        <w:spacing w:line="220" w:lineRule="auto"/>
        <w:ind w:left="24"/>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8.招标文件的修改</w:t>
      </w:r>
    </w:p>
    <w:p w14:paraId="4053DBA4">
      <w:pPr>
        <w:spacing w:before="86" w:line="265" w:lineRule="auto"/>
        <w:ind w:left="22" w:right="13"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8.1在投标截止时间前，招标机构可根据需要和（或）依据供应商要求澄清</w:t>
      </w:r>
      <w:r>
        <w:rPr>
          <w:rFonts w:ascii="宋体" w:hAnsi="宋体" w:eastAsia="宋体" w:cs="宋体"/>
          <w:color w:val="auto"/>
          <w:spacing w:val="-3"/>
          <w:sz w:val="24"/>
          <w:szCs w:val="24"/>
          <w:highlight w:val="none"/>
        </w:rPr>
        <w:t>的问题而修改招标文件，并以书面形式通知所有购买招标文件的供应商，供应商</w:t>
      </w:r>
      <w:r>
        <w:rPr>
          <w:rFonts w:ascii="宋体" w:hAnsi="宋体" w:eastAsia="宋体" w:cs="宋体"/>
          <w:color w:val="auto"/>
          <w:spacing w:val="-1"/>
          <w:sz w:val="24"/>
          <w:szCs w:val="24"/>
          <w:highlight w:val="none"/>
        </w:rPr>
        <w:t>在收到该通知后应立即以传真的形式予以确认；</w:t>
      </w:r>
    </w:p>
    <w:p w14:paraId="4E99939D">
      <w:pPr>
        <w:spacing w:before="89" w:line="255" w:lineRule="auto"/>
        <w:ind w:left="27" w:right="13"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8.2招标文件的修改书将构成招标文件的一部分，对供应商具有同样的约束</w:t>
      </w:r>
      <w:r>
        <w:rPr>
          <w:rFonts w:ascii="宋体" w:hAnsi="宋体" w:eastAsia="宋体" w:cs="宋体"/>
          <w:color w:val="auto"/>
          <w:spacing w:val="-7"/>
          <w:sz w:val="24"/>
          <w:szCs w:val="24"/>
          <w:highlight w:val="none"/>
        </w:rPr>
        <w:t>力。</w:t>
      </w:r>
    </w:p>
    <w:p w14:paraId="05DE89A5">
      <w:pPr>
        <w:spacing w:before="85" w:line="220" w:lineRule="auto"/>
        <w:ind w:left="3239" w:leftChars="0"/>
        <w:outlineLvl w:val="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C投标文件的编写</w:t>
      </w:r>
    </w:p>
    <w:p w14:paraId="2CC96772">
      <w:pPr>
        <w:spacing w:before="90" w:line="221" w:lineRule="auto"/>
        <w:ind w:left="24"/>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9.投标语言及计量单位</w:t>
      </w:r>
    </w:p>
    <w:p w14:paraId="56BF7942">
      <w:pPr>
        <w:spacing w:before="85" w:line="254" w:lineRule="auto"/>
        <w:ind w:left="29" w:right="13"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9.1投标文件及供应商和招标机构就投标交换的文件和来往信件，以中文书写（专有名词除外</w:t>
      </w:r>
      <w:r>
        <w:rPr>
          <w:rFonts w:ascii="宋体" w:hAnsi="宋体" w:eastAsia="宋体" w:cs="宋体"/>
          <w:color w:val="auto"/>
          <w:sz w:val="24"/>
          <w:szCs w:val="24"/>
          <w:highlight w:val="none"/>
        </w:rPr>
        <w:t>）；</w:t>
      </w:r>
    </w:p>
    <w:p w14:paraId="73EF3C27">
      <w:pPr>
        <w:spacing w:before="91" w:line="253" w:lineRule="auto"/>
        <w:ind w:left="46" w:right="16" w:firstLine="457"/>
        <w:rPr>
          <w:rFonts w:ascii="宋体" w:hAnsi="宋体" w:eastAsia="宋体" w:cs="宋体"/>
          <w:color w:val="auto"/>
          <w:sz w:val="24"/>
          <w:szCs w:val="24"/>
          <w:highlight w:val="none"/>
        </w:rPr>
      </w:pPr>
      <w:r>
        <w:rPr>
          <w:rFonts w:ascii="宋体" w:hAnsi="宋体" w:eastAsia="宋体" w:cs="宋体"/>
          <w:color w:val="auto"/>
          <w:sz w:val="24"/>
          <w:szCs w:val="24"/>
          <w:highlight w:val="none"/>
        </w:rPr>
        <w:t>9.2除在招标文件的“技术要求”中另有规定外，计量单位应使用中华人</w:t>
      </w:r>
      <w:r>
        <w:rPr>
          <w:rFonts w:ascii="宋体" w:hAnsi="宋体" w:eastAsia="宋体" w:cs="宋体"/>
          <w:color w:val="auto"/>
          <w:spacing w:val="-1"/>
          <w:sz w:val="24"/>
          <w:szCs w:val="24"/>
          <w:highlight w:val="none"/>
        </w:rPr>
        <w:t>民共和国法定计量单位（国际单位制和国家选定的其他计量</w:t>
      </w:r>
      <w:r>
        <w:rPr>
          <w:rFonts w:ascii="宋体" w:hAnsi="宋体" w:eastAsia="宋体" w:cs="宋体"/>
          <w:color w:val="auto"/>
          <w:spacing w:val="-2"/>
          <w:sz w:val="24"/>
          <w:szCs w:val="24"/>
          <w:highlight w:val="none"/>
        </w:rPr>
        <w:t>单位）。</w:t>
      </w:r>
    </w:p>
    <w:p w14:paraId="29F31702">
      <w:pPr>
        <w:spacing w:before="91" w:line="220"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10．投标文件的组成</w:t>
      </w:r>
    </w:p>
    <w:p w14:paraId="04101AC7">
      <w:pPr>
        <w:spacing w:before="86" w:line="220" w:lineRule="auto"/>
        <w:ind w:left="5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详见第六部分：投标文件格式。</w:t>
      </w:r>
    </w:p>
    <w:p w14:paraId="020BC3C9">
      <w:pPr>
        <w:spacing w:before="88" w:line="220"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11.投标文件内容填写说明</w:t>
      </w:r>
    </w:p>
    <w:p w14:paraId="31C0B682">
      <w:pPr>
        <w:spacing w:before="90" w:line="253" w:lineRule="auto"/>
        <w:ind w:left="42" w:right="16" w:hanging="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11.1供应商应严格按招标文件要求的内容逐项填写编制投标文件，有规定格式</w:t>
      </w:r>
      <w:r>
        <w:rPr>
          <w:rFonts w:ascii="宋体" w:hAnsi="宋体" w:eastAsia="宋体" w:cs="宋体"/>
          <w:color w:val="auto"/>
          <w:spacing w:val="-2"/>
          <w:sz w:val="24"/>
          <w:szCs w:val="24"/>
          <w:highlight w:val="none"/>
        </w:rPr>
        <w:t>的按规定格式填写，无规定格式的由供应商自拟。</w:t>
      </w:r>
    </w:p>
    <w:p w14:paraId="10EA7BB7">
      <w:pPr>
        <w:spacing w:before="92" w:line="253" w:lineRule="auto"/>
        <w:ind w:left="24" w:right="13" w:firstLine="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11.2开标一览表为在开标仪式上唱标的内容，要求按格式填写、统一规范，不</w:t>
      </w:r>
      <w:r>
        <w:rPr>
          <w:rFonts w:ascii="宋体" w:hAnsi="宋体" w:eastAsia="宋体" w:cs="宋体"/>
          <w:color w:val="auto"/>
          <w:sz w:val="24"/>
          <w:szCs w:val="24"/>
          <w:highlight w:val="none"/>
        </w:rPr>
        <w:t>得自行增减内容。投标文件不得漏项或虚报，否则</w:t>
      </w:r>
      <w:r>
        <w:rPr>
          <w:rFonts w:ascii="宋体" w:hAnsi="宋体" w:eastAsia="宋体" w:cs="宋体"/>
          <w:color w:val="auto"/>
          <w:spacing w:val="-1"/>
          <w:sz w:val="24"/>
          <w:szCs w:val="24"/>
          <w:highlight w:val="none"/>
        </w:rPr>
        <w:t>将可能导致其投标被拒绝。</w:t>
      </w:r>
    </w:p>
    <w:p w14:paraId="7E9133D9">
      <w:pPr>
        <w:spacing w:before="91" w:line="254" w:lineRule="auto"/>
        <w:ind w:left="10" w:right="13" w:firstLine="15"/>
        <w:rPr>
          <w:rFonts w:ascii="宋体" w:hAnsi="宋体" w:eastAsia="宋体" w:cs="宋体"/>
          <w:color w:val="auto"/>
          <w:sz w:val="24"/>
          <w:szCs w:val="24"/>
          <w:highlight w:val="none"/>
        </w:rPr>
      </w:pPr>
      <w:r>
        <w:rPr>
          <w:rFonts w:ascii="宋体" w:hAnsi="宋体" w:eastAsia="宋体" w:cs="宋体"/>
          <w:color w:val="auto"/>
          <w:sz w:val="24"/>
          <w:szCs w:val="24"/>
          <w:highlight w:val="none"/>
        </w:rPr>
        <w:t>11.3供应商应保证其所提供文件的真实性，并应对招标文件的实质性要求作出</w:t>
      </w:r>
      <w:r>
        <w:rPr>
          <w:rFonts w:ascii="宋体" w:hAnsi="宋体" w:eastAsia="宋体" w:cs="宋体"/>
          <w:color w:val="auto"/>
          <w:spacing w:val="-1"/>
          <w:sz w:val="24"/>
          <w:szCs w:val="24"/>
          <w:highlight w:val="none"/>
        </w:rPr>
        <w:t>完全响应，否则其投标可能被拒绝。</w:t>
      </w:r>
    </w:p>
    <w:p w14:paraId="14788FF8">
      <w:pPr>
        <w:spacing w:before="86" w:line="255" w:lineRule="auto"/>
        <w:ind w:left="27" w:right="16" w:firstLine="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11.4供应商视需要自行编制技术文件的补充附件。规格幅面应与正文一致，附</w:t>
      </w:r>
      <w:r>
        <w:rPr>
          <w:rFonts w:ascii="宋体" w:hAnsi="宋体" w:eastAsia="宋体" w:cs="宋体"/>
          <w:color w:val="auto"/>
          <w:spacing w:val="-2"/>
          <w:sz w:val="24"/>
          <w:szCs w:val="24"/>
          <w:highlight w:val="none"/>
        </w:rPr>
        <w:t>于正文之后，与正文页码</w:t>
      </w:r>
      <w:r>
        <w:rPr>
          <w:rFonts w:ascii="宋体" w:hAnsi="宋体" w:eastAsia="宋体" w:cs="宋体"/>
          <w:b/>
          <w:bCs/>
          <w:color w:val="auto"/>
          <w:spacing w:val="-2"/>
          <w:sz w:val="24"/>
          <w:szCs w:val="24"/>
          <w:highlight w:val="none"/>
        </w:rPr>
        <w:t>统一编目编码</w:t>
      </w:r>
      <w:r>
        <w:rPr>
          <w:rFonts w:ascii="宋体" w:hAnsi="宋体" w:eastAsia="宋体" w:cs="宋体"/>
          <w:color w:val="auto"/>
          <w:spacing w:val="-2"/>
          <w:sz w:val="24"/>
          <w:szCs w:val="24"/>
          <w:highlight w:val="none"/>
        </w:rPr>
        <w:t>。</w:t>
      </w:r>
    </w:p>
    <w:p w14:paraId="258056E5">
      <w:pPr>
        <w:spacing w:before="85" w:line="219"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12.投标报价</w:t>
      </w:r>
    </w:p>
    <w:p w14:paraId="40751779">
      <w:pPr>
        <w:spacing w:before="93" w:line="219" w:lineRule="auto"/>
        <w:ind w:left="41" w:leftChars="0"/>
        <w:outlineLvl w:val="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12.1所有投标均以人民币报价；</w:t>
      </w:r>
    </w:p>
    <w:p w14:paraId="5722258D">
      <w:pPr>
        <w:spacing w:before="91" w:line="265" w:lineRule="auto"/>
        <w:ind w:left="22" w:right="13" w:firstLine="1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12.2供应商应在填写分项报价表时注明各项单价、总价。如果单价与总价有出</w:t>
      </w:r>
      <w:r>
        <w:rPr>
          <w:rFonts w:ascii="宋体" w:hAnsi="宋体" w:eastAsia="宋体" w:cs="宋体"/>
          <w:color w:val="auto"/>
          <w:spacing w:val="-3"/>
          <w:sz w:val="24"/>
          <w:szCs w:val="24"/>
          <w:highlight w:val="none"/>
        </w:rPr>
        <w:t>入，以单价为准。招标机构不接受有任何选择的报价；报价须有法人代表或授权</w:t>
      </w:r>
      <w:r>
        <w:rPr>
          <w:rFonts w:ascii="宋体" w:hAnsi="宋体" w:eastAsia="宋体" w:cs="宋体"/>
          <w:color w:val="auto"/>
          <w:spacing w:val="-2"/>
          <w:sz w:val="24"/>
          <w:szCs w:val="24"/>
          <w:highlight w:val="none"/>
        </w:rPr>
        <w:t>代表签署。</w:t>
      </w:r>
    </w:p>
    <w:p w14:paraId="5D8D5A6F">
      <w:pPr>
        <w:spacing w:before="87" w:line="254" w:lineRule="auto"/>
        <w:ind w:left="22" w:right="16" w:firstLine="18"/>
        <w:rPr>
          <w:rFonts w:ascii="宋体" w:hAnsi="宋体" w:eastAsia="宋体" w:cs="宋体"/>
          <w:color w:val="auto"/>
          <w:sz w:val="24"/>
          <w:szCs w:val="24"/>
          <w:highlight w:val="none"/>
        </w:rPr>
      </w:pPr>
      <w:r>
        <w:rPr>
          <w:rFonts w:ascii="宋体" w:hAnsi="宋体" w:eastAsia="宋体" w:cs="宋体"/>
          <w:color w:val="auto"/>
          <w:sz w:val="24"/>
          <w:szCs w:val="24"/>
          <w:highlight w:val="none"/>
        </w:rPr>
        <w:t>12.3供应商应按上述12.1-12.3条款要求填写投标报价，以供评标委员会比较</w:t>
      </w:r>
      <w:r>
        <w:rPr>
          <w:rFonts w:ascii="宋体" w:hAnsi="宋体" w:eastAsia="宋体" w:cs="宋体"/>
          <w:color w:val="auto"/>
          <w:spacing w:val="-3"/>
          <w:sz w:val="24"/>
          <w:szCs w:val="24"/>
          <w:highlight w:val="none"/>
        </w:rPr>
        <w:t>评价。</w:t>
      </w:r>
    </w:p>
    <w:p w14:paraId="691F5491">
      <w:pPr>
        <w:spacing w:line="254" w:lineRule="auto"/>
        <w:rPr>
          <w:rFonts w:ascii="宋体" w:hAnsi="宋体" w:eastAsia="宋体" w:cs="宋体"/>
          <w:color w:val="auto"/>
          <w:sz w:val="24"/>
          <w:szCs w:val="24"/>
          <w:highlight w:val="none"/>
        </w:rPr>
        <w:sectPr>
          <w:footerReference r:id="rId7" w:type="default"/>
          <w:pgSz w:w="11906" w:h="16839"/>
          <w:pgMar w:top="1431" w:right="1785" w:bottom="1209" w:left="1785" w:header="0" w:footer="973" w:gutter="0"/>
          <w:pgNumType w:fmt="decimal"/>
          <w:cols w:space="720" w:num="1"/>
        </w:sectPr>
      </w:pPr>
    </w:p>
    <w:p w14:paraId="36C8EB22">
      <w:pPr>
        <w:spacing w:before="76" w:line="288" w:lineRule="auto"/>
        <w:ind w:left="26" w:right="63" w:firstLine="14"/>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12.5供应商因承包本项目需支付的一切费用如：制作、拼装、检验、税金、运</w:t>
      </w:r>
      <w:r>
        <w:rPr>
          <w:rFonts w:ascii="宋体" w:hAnsi="宋体" w:eastAsia="宋体" w:cs="宋体"/>
          <w:color w:val="auto"/>
          <w:spacing w:val="-3"/>
          <w:sz w:val="24"/>
          <w:szCs w:val="24"/>
          <w:highlight w:val="none"/>
        </w:rPr>
        <w:t>费、安装费、保险费、调试验收等费用均由供应商承担，并包含在所报的单</w:t>
      </w:r>
      <w:r>
        <w:rPr>
          <w:rFonts w:ascii="宋体" w:hAnsi="宋体" w:eastAsia="宋体" w:cs="宋体"/>
          <w:color w:val="auto"/>
          <w:spacing w:val="-4"/>
          <w:sz w:val="24"/>
          <w:szCs w:val="24"/>
          <w:highlight w:val="none"/>
        </w:rPr>
        <w:t>价或</w:t>
      </w:r>
      <w:r>
        <w:rPr>
          <w:rFonts w:ascii="宋体" w:hAnsi="宋体" w:eastAsia="宋体" w:cs="宋体"/>
          <w:color w:val="auto"/>
          <w:spacing w:val="-3"/>
          <w:sz w:val="24"/>
          <w:szCs w:val="24"/>
          <w:highlight w:val="none"/>
        </w:rPr>
        <w:t>总额价内。</w:t>
      </w:r>
    </w:p>
    <w:p w14:paraId="4B995821">
      <w:pPr>
        <w:spacing w:before="1" w:line="220" w:lineRule="auto"/>
        <w:ind w:left="41" w:leftChars="0"/>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13.投标保证金</w:t>
      </w:r>
    </w:p>
    <w:p w14:paraId="05AB760C">
      <w:pPr>
        <w:spacing w:before="85" w:line="219" w:lineRule="auto"/>
        <w:ind w:left="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13.1投标保证金的形式：见供应商须知前附表第1</w:t>
      </w:r>
      <w:r>
        <w:rPr>
          <w:rFonts w:hint="default" w:ascii="宋体" w:hAnsi="宋体" w:eastAsia="宋体" w:cs="宋体"/>
          <w:color w:val="auto"/>
          <w:spacing w:val="-3"/>
          <w:sz w:val="24"/>
          <w:szCs w:val="24"/>
          <w:highlight w:val="none"/>
        </w:rPr>
        <w:t>4</w:t>
      </w:r>
      <w:r>
        <w:rPr>
          <w:rFonts w:ascii="宋体" w:hAnsi="宋体" w:eastAsia="宋体" w:cs="宋体"/>
          <w:color w:val="auto"/>
          <w:spacing w:val="-3"/>
          <w:sz w:val="24"/>
          <w:szCs w:val="24"/>
          <w:highlight w:val="none"/>
        </w:rPr>
        <w:t>项。</w:t>
      </w:r>
    </w:p>
    <w:p w14:paraId="72D4FBC3">
      <w:pPr>
        <w:spacing w:before="92" w:line="219" w:lineRule="auto"/>
        <w:ind w:left="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13.2投标保证金的金额：见供应商须知前附表第1</w:t>
      </w:r>
      <w:r>
        <w:rPr>
          <w:rFonts w:hint="default" w:ascii="宋体" w:hAnsi="宋体" w:eastAsia="宋体" w:cs="宋体"/>
          <w:color w:val="auto"/>
          <w:spacing w:val="-3"/>
          <w:sz w:val="24"/>
          <w:szCs w:val="24"/>
          <w:highlight w:val="none"/>
        </w:rPr>
        <w:t>4</w:t>
      </w:r>
      <w:r>
        <w:rPr>
          <w:rFonts w:ascii="宋体" w:hAnsi="宋体" w:eastAsia="宋体" w:cs="宋体"/>
          <w:color w:val="auto"/>
          <w:spacing w:val="-3"/>
          <w:sz w:val="24"/>
          <w:szCs w:val="24"/>
          <w:highlight w:val="none"/>
        </w:rPr>
        <w:t>项；</w:t>
      </w:r>
    </w:p>
    <w:p w14:paraId="0B8CC654">
      <w:pPr>
        <w:spacing w:before="89" w:line="219" w:lineRule="auto"/>
        <w:ind w:left="4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13.3递交方式：见供应商须知前附表第1</w:t>
      </w:r>
      <w:r>
        <w:rPr>
          <w:rFonts w:hint="default" w:ascii="宋体" w:hAnsi="宋体" w:eastAsia="宋体" w:cs="宋体"/>
          <w:color w:val="auto"/>
          <w:spacing w:val="-4"/>
          <w:sz w:val="24"/>
          <w:szCs w:val="24"/>
          <w:highlight w:val="none"/>
        </w:rPr>
        <w:t>4</w:t>
      </w:r>
      <w:r>
        <w:rPr>
          <w:rFonts w:ascii="宋体" w:hAnsi="宋体" w:eastAsia="宋体" w:cs="宋体"/>
          <w:color w:val="auto"/>
          <w:spacing w:val="-4"/>
          <w:sz w:val="24"/>
          <w:szCs w:val="24"/>
          <w:highlight w:val="none"/>
        </w:rPr>
        <w:t>项；</w:t>
      </w:r>
    </w:p>
    <w:p w14:paraId="125E7376">
      <w:pPr>
        <w:spacing w:before="88" w:line="255" w:lineRule="auto"/>
        <w:ind w:left="24" w:right="149" w:firstLine="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13.4投标保证金用于保护本次招标免受因供应商不履行投标承诺及</w:t>
      </w:r>
      <w:r>
        <w:rPr>
          <w:rFonts w:ascii="宋体" w:hAnsi="宋体" w:eastAsia="宋体" w:cs="宋体"/>
          <w:color w:val="auto"/>
          <w:spacing w:val="-2"/>
          <w:sz w:val="24"/>
          <w:szCs w:val="24"/>
          <w:highlight w:val="none"/>
        </w:rPr>
        <w:t>合同等行为而引起的风险；</w:t>
      </w:r>
    </w:p>
    <w:p w14:paraId="772D300F">
      <w:pPr>
        <w:spacing w:before="85" w:line="220" w:lineRule="auto"/>
        <w:ind w:left="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13.5未按13.1和13.2条款要求提交投标保证金的投标将被视为投</w:t>
      </w:r>
      <w:r>
        <w:rPr>
          <w:rFonts w:ascii="宋体" w:hAnsi="宋体" w:eastAsia="宋体" w:cs="宋体"/>
          <w:color w:val="auto"/>
          <w:spacing w:val="-4"/>
          <w:sz w:val="24"/>
          <w:szCs w:val="24"/>
          <w:highlight w:val="none"/>
        </w:rPr>
        <w:t>标无效；</w:t>
      </w:r>
    </w:p>
    <w:p w14:paraId="2C371210">
      <w:pPr>
        <w:spacing w:before="86" w:line="272" w:lineRule="auto"/>
        <w:ind w:left="23" w:right="63" w:firstLine="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13.6未中标供应商的投标保证金将在中标通知书发出之日暨中标结果公告公布</w:t>
      </w:r>
      <w:r>
        <w:rPr>
          <w:rFonts w:ascii="宋体" w:hAnsi="宋体" w:eastAsia="宋体" w:cs="宋体"/>
          <w:color w:val="auto"/>
          <w:spacing w:val="-4"/>
          <w:sz w:val="24"/>
          <w:szCs w:val="24"/>
          <w:highlight w:val="none"/>
        </w:rPr>
        <w:t>之日起5个工作日内，及时联系采购人或采购代理机构办理无息退还投标保证金</w:t>
      </w:r>
      <w:r>
        <w:rPr>
          <w:rFonts w:ascii="宋体" w:hAnsi="宋体" w:eastAsia="宋体" w:cs="宋体"/>
          <w:color w:val="auto"/>
          <w:spacing w:val="-3"/>
          <w:sz w:val="24"/>
          <w:szCs w:val="24"/>
          <w:highlight w:val="none"/>
        </w:rPr>
        <w:t>手续因供应商自身原因导致无法及时退还的，采购人或采购代理机构将不承担资</w:t>
      </w:r>
      <w:r>
        <w:rPr>
          <w:rFonts w:ascii="宋体" w:hAnsi="宋体" w:eastAsia="宋体" w:cs="宋体"/>
          <w:color w:val="auto"/>
          <w:spacing w:val="-2"/>
          <w:sz w:val="24"/>
          <w:szCs w:val="24"/>
          <w:highlight w:val="none"/>
        </w:rPr>
        <w:t>金占用费。；</w:t>
      </w:r>
    </w:p>
    <w:p w14:paraId="42B0E3B3">
      <w:pPr>
        <w:spacing w:before="85" w:line="254" w:lineRule="auto"/>
        <w:ind w:left="28" w:right="63" w:firstLine="12"/>
        <w:rPr>
          <w:rFonts w:ascii="宋体" w:hAnsi="宋体" w:eastAsia="宋体" w:cs="宋体"/>
          <w:color w:val="auto"/>
          <w:sz w:val="24"/>
          <w:szCs w:val="24"/>
          <w:highlight w:val="none"/>
        </w:rPr>
      </w:pPr>
      <w:r>
        <w:rPr>
          <w:rFonts w:ascii="宋体" w:hAnsi="宋体" w:eastAsia="宋体" w:cs="宋体"/>
          <w:color w:val="auto"/>
          <w:sz w:val="24"/>
          <w:szCs w:val="24"/>
          <w:highlight w:val="none"/>
        </w:rPr>
        <w:t>13.7中标人应在与采购人签订合同之日起5个工作日内及时联系采</w:t>
      </w:r>
      <w:r>
        <w:rPr>
          <w:rFonts w:ascii="宋体" w:hAnsi="宋体" w:eastAsia="宋体" w:cs="宋体"/>
          <w:color w:val="auto"/>
          <w:spacing w:val="-1"/>
          <w:sz w:val="24"/>
          <w:szCs w:val="24"/>
          <w:highlight w:val="none"/>
        </w:rPr>
        <w:t>购代理机构</w:t>
      </w:r>
      <w:r>
        <w:rPr>
          <w:rFonts w:ascii="宋体" w:hAnsi="宋体" w:eastAsia="宋体" w:cs="宋体"/>
          <w:color w:val="auto"/>
          <w:spacing w:val="-2"/>
          <w:sz w:val="24"/>
          <w:szCs w:val="24"/>
          <w:highlight w:val="none"/>
        </w:rPr>
        <w:t>办理投标保证金无息退还手续；</w:t>
      </w:r>
    </w:p>
    <w:p w14:paraId="14DEC65A">
      <w:pPr>
        <w:spacing w:before="91" w:line="220" w:lineRule="auto"/>
        <w:ind w:left="41"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13.8发生下列情况之一，投标保证金</w:t>
      </w:r>
      <w:r>
        <w:rPr>
          <w:rFonts w:ascii="宋体" w:hAnsi="宋体" w:eastAsia="宋体" w:cs="宋体"/>
          <w:color w:val="auto"/>
          <w:spacing w:val="-2"/>
          <w:sz w:val="24"/>
          <w:szCs w:val="24"/>
          <w:highlight w:val="none"/>
        </w:rPr>
        <w:t>将被没收：</w:t>
      </w:r>
    </w:p>
    <w:p w14:paraId="3AAF8389">
      <w:pPr>
        <w:spacing w:before="86" w:line="219" w:lineRule="auto"/>
        <w:ind w:left="5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（1）开标后在投标有效期间，供应商撤回其投标文件；</w:t>
      </w:r>
    </w:p>
    <w:p w14:paraId="1E025229">
      <w:pPr>
        <w:spacing w:before="93" w:line="219" w:lineRule="auto"/>
        <w:ind w:left="5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（2）中标人不按本须知第26条规定签约；</w:t>
      </w:r>
    </w:p>
    <w:p w14:paraId="425FA112">
      <w:pPr>
        <w:spacing w:before="87" w:line="219" w:lineRule="auto"/>
        <w:ind w:left="5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（3）中标人不按本须知第28条规定缴付中标服务费。</w:t>
      </w:r>
    </w:p>
    <w:p w14:paraId="2FAB1927">
      <w:pPr>
        <w:spacing w:before="89" w:line="221"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14.投标有效期</w:t>
      </w:r>
    </w:p>
    <w:p w14:paraId="14EEE3BE">
      <w:pPr>
        <w:spacing w:before="90" w:line="254" w:lineRule="auto"/>
        <w:ind w:left="25" w:right="63" w:firstLine="1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14.1从开标之日起，投标有效期为90天。不能满足投标有效期的投标，将被拒</w:t>
      </w:r>
      <w:r>
        <w:rPr>
          <w:rFonts w:ascii="宋体" w:hAnsi="宋体" w:eastAsia="宋体" w:cs="宋体"/>
          <w:color w:val="auto"/>
          <w:spacing w:val="-6"/>
          <w:sz w:val="24"/>
          <w:szCs w:val="24"/>
          <w:highlight w:val="none"/>
        </w:rPr>
        <w:t>绝；</w:t>
      </w:r>
    </w:p>
    <w:p w14:paraId="38BDA0D0">
      <w:pPr>
        <w:spacing w:before="88" w:line="265" w:lineRule="auto"/>
        <w:ind w:left="554" w:hanging="5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14.2特殊情况下，招标机构可于投标有效</w:t>
      </w:r>
      <w:r>
        <w:rPr>
          <w:rFonts w:ascii="宋体" w:hAnsi="宋体" w:eastAsia="宋体" w:cs="宋体"/>
          <w:color w:val="auto"/>
          <w:spacing w:val="-4"/>
          <w:sz w:val="24"/>
          <w:szCs w:val="24"/>
          <w:highlight w:val="none"/>
        </w:rPr>
        <w:t>期满之前要求供应商延长投标有效期，</w:t>
      </w:r>
      <w:r>
        <w:rPr>
          <w:rFonts w:ascii="宋体" w:hAnsi="宋体" w:eastAsia="宋体" w:cs="宋体"/>
          <w:color w:val="auto"/>
          <w:spacing w:val="3"/>
          <w:sz w:val="24"/>
          <w:szCs w:val="24"/>
          <w:highlight w:val="none"/>
        </w:rPr>
        <w:t>这种要求和答复都应以书面、传真的形式进行</w:t>
      </w:r>
      <w:r>
        <w:rPr>
          <w:rFonts w:ascii="宋体" w:hAnsi="宋体" w:eastAsia="宋体" w:cs="宋体"/>
          <w:color w:val="auto"/>
          <w:spacing w:val="2"/>
          <w:sz w:val="24"/>
          <w:szCs w:val="24"/>
          <w:highlight w:val="none"/>
        </w:rPr>
        <w:t>。供应商可以拒绝接受延期</w:t>
      </w:r>
      <w:r>
        <w:rPr>
          <w:rFonts w:ascii="宋体" w:hAnsi="宋体" w:eastAsia="宋体" w:cs="宋体"/>
          <w:color w:val="auto"/>
          <w:spacing w:val="-1"/>
          <w:sz w:val="24"/>
          <w:szCs w:val="24"/>
          <w:highlight w:val="none"/>
        </w:rPr>
        <w:t>要求。同意延长有效期的供应商不能修改投标文件。</w:t>
      </w:r>
    </w:p>
    <w:p w14:paraId="662F5ABC">
      <w:pPr>
        <w:spacing w:before="90" w:line="220"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15.投标文件的签署及规定</w:t>
      </w:r>
    </w:p>
    <w:p w14:paraId="64FBAB77">
      <w:pPr>
        <w:spacing w:before="86" w:line="219" w:lineRule="auto"/>
        <w:ind w:left="4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15.1组成投标文件的各项资料均应遵守本须知第10条中所规定的内容。</w:t>
      </w:r>
    </w:p>
    <w:p w14:paraId="140BC41A">
      <w:pPr>
        <w:spacing w:before="92" w:line="219" w:lineRule="auto"/>
        <w:ind w:left="4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15.2供应商应填写单位全称，同时加盖印章。</w:t>
      </w:r>
    </w:p>
    <w:p w14:paraId="09900183">
      <w:pPr>
        <w:spacing w:before="87" w:line="220" w:lineRule="auto"/>
        <w:ind w:left="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15.3投标文件必须由法人代表或法人授权代表</w:t>
      </w:r>
      <w:r>
        <w:rPr>
          <w:rFonts w:ascii="宋体" w:hAnsi="宋体" w:eastAsia="宋体" w:cs="宋体"/>
          <w:color w:val="auto"/>
          <w:spacing w:val="-2"/>
          <w:sz w:val="24"/>
          <w:szCs w:val="24"/>
          <w:highlight w:val="none"/>
        </w:rPr>
        <w:t>签署。</w:t>
      </w:r>
    </w:p>
    <w:p w14:paraId="5215CFBF">
      <w:pPr>
        <w:spacing w:before="91" w:line="219" w:lineRule="auto"/>
        <w:ind w:left="4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15.4投标文件的正本必须用不退色的墨水填写或打印，注明“正本”字样。</w:t>
      </w:r>
    </w:p>
    <w:p w14:paraId="412070FA">
      <w:pPr>
        <w:spacing w:before="89" w:line="253" w:lineRule="auto"/>
        <w:ind w:left="31" w:right="89" w:firstLine="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15.5投标文件不得涂改和增删，如有修改错漏处，必须由同一签署人签字或盖</w:t>
      </w:r>
      <w:r>
        <w:rPr>
          <w:rFonts w:ascii="宋体" w:hAnsi="宋体" w:eastAsia="宋体" w:cs="宋体"/>
          <w:color w:val="auto"/>
          <w:spacing w:val="-9"/>
          <w:sz w:val="24"/>
          <w:szCs w:val="24"/>
          <w:highlight w:val="none"/>
        </w:rPr>
        <w:t>章。</w:t>
      </w:r>
    </w:p>
    <w:p w14:paraId="6F4A2B56">
      <w:pPr>
        <w:spacing w:before="92" w:line="219" w:lineRule="auto"/>
        <w:ind w:left="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15.6投标文件因字迹潦草或表达不清所引起的后果由供应商负责。</w:t>
      </w:r>
    </w:p>
    <w:p w14:paraId="24320C45">
      <w:pPr>
        <w:spacing w:before="87" w:line="219" w:lineRule="auto"/>
        <w:ind w:left="41" w:leftChars="0"/>
        <w:outlineLvl w:val="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15.7招标机构概不接受以电话、传真形式的投标。</w:t>
      </w:r>
    </w:p>
    <w:p w14:paraId="6111656D">
      <w:pPr>
        <w:spacing w:line="219" w:lineRule="auto"/>
        <w:rPr>
          <w:rFonts w:ascii="宋体" w:hAnsi="宋体" w:eastAsia="宋体" w:cs="宋体"/>
          <w:color w:val="auto"/>
          <w:sz w:val="24"/>
          <w:szCs w:val="24"/>
          <w:highlight w:val="none"/>
        </w:rPr>
        <w:sectPr>
          <w:footerReference r:id="rId8" w:type="default"/>
          <w:pgSz w:w="11906" w:h="16839"/>
          <w:pgMar w:top="1431" w:right="1736" w:bottom="1209" w:left="1785" w:header="0" w:footer="973" w:gutter="0"/>
          <w:pgNumType w:fmt="decimal"/>
          <w:cols w:space="720" w:num="1"/>
        </w:sectPr>
      </w:pPr>
    </w:p>
    <w:p w14:paraId="7F7020F9">
      <w:pPr>
        <w:spacing w:before="77" w:line="220" w:lineRule="auto"/>
        <w:ind w:left="3237" w:leftChars="0"/>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D投标文件的递交</w:t>
      </w:r>
    </w:p>
    <w:p w14:paraId="7E47D125">
      <w:pPr>
        <w:spacing w:before="88" w:line="220"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16.投标文件的密封和标记</w:t>
      </w:r>
    </w:p>
    <w:p w14:paraId="55E527A2">
      <w:pPr>
        <w:spacing w:before="85" w:line="288" w:lineRule="auto"/>
        <w:ind w:left="26" w:right="81" w:hanging="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纸质版投标文件在中标公示结束后，送至采购代理机构，其他内容见申请人须知</w:t>
      </w:r>
      <w:r>
        <w:rPr>
          <w:rFonts w:ascii="宋体" w:hAnsi="宋体" w:eastAsia="宋体" w:cs="宋体"/>
          <w:color w:val="auto"/>
          <w:spacing w:val="-4"/>
          <w:sz w:val="24"/>
          <w:szCs w:val="24"/>
          <w:highlight w:val="none"/>
        </w:rPr>
        <w:t>前附表。</w:t>
      </w:r>
    </w:p>
    <w:p w14:paraId="27E21301">
      <w:pPr>
        <w:spacing w:line="220"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17.递交投标文件的截止时间</w:t>
      </w:r>
    </w:p>
    <w:p w14:paraId="5EE8C39E">
      <w:pPr>
        <w:spacing w:before="91" w:line="219" w:lineRule="auto"/>
        <w:ind w:left="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17.1供应商应在供应商须知前附表规定的投标截止时间前递交投</w:t>
      </w:r>
      <w:r>
        <w:rPr>
          <w:rFonts w:ascii="宋体" w:hAnsi="宋体" w:eastAsia="宋体" w:cs="宋体"/>
          <w:color w:val="auto"/>
          <w:spacing w:val="-2"/>
          <w:sz w:val="24"/>
          <w:szCs w:val="24"/>
          <w:highlight w:val="none"/>
        </w:rPr>
        <w:t>标文件。</w:t>
      </w:r>
    </w:p>
    <w:p w14:paraId="36BB4CBF">
      <w:pPr>
        <w:spacing w:before="88" w:line="253" w:lineRule="auto"/>
        <w:ind w:left="23" w:right="107" w:firstLine="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17.2招标机构推迟投标截止时间时，应以书面的形式，通知所有供应商。在这</w:t>
      </w:r>
      <w:r>
        <w:rPr>
          <w:rFonts w:ascii="宋体" w:hAnsi="宋体" w:eastAsia="宋体" w:cs="宋体"/>
          <w:color w:val="auto"/>
          <w:sz w:val="24"/>
          <w:szCs w:val="24"/>
          <w:highlight w:val="none"/>
        </w:rPr>
        <w:t>种情况下，招标机构和供应商的权利和义务将</w:t>
      </w:r>
      <w:r>
        <w:rPr>
          <w:rFonts w:ascii="宋体" w:hAnsi="宋体" w:eastAsia="宋体" w:cs="宋体"/>
          <w:color w:val="auto"/>
          <w:spacing w:val="-1"/>
          <w:sz w:val="24"/>
          <w:szCs w:val="24"/>
          <w:highlight w:val="none"/>
        </w:rPr>
        <w:t>受到新的截止期的约束。</w:t>
      </w:r>
    </w:p>
    <w:p w14:paraId="59819918">
      <w:pPr>
        <w:spacing w:before="92" w:line="220" w:lineRule="auto"/>
        <w:ind w:left="41"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18.投标文件修改和撤消</w:t>
      </w:r>
    </w:p>
    <w:p w14:paraId="42ADB94B">
      <w:pPr>
        <w:spacing w:before="85" w:line="254" w:lineRule="auto"/>
        <w:ind w:left="24" w:right="107" w:firstLine="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18.1投标以后，如果供应商提出书面修改和撤标要求，在投标截止时间前送达招标机构者，招标机构可以予以接受。但不退还投标文件。</w:t>
      </w:r>
    </w:p>
    <w:p w14:paraId="3A9C85FF">
      <w:pPr>
        <w:spacing w:before="92" w:line="265" w:lineRule="auto"/>
        <w:ind w:left="27" w:right="81" w:firstLine="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18.2撤消投标应以书面的形式通知招标机构。如采取传真形式撤回投标，随后</w:t>
      </w:r>
      <w:r>
        <w:rPr>
          <w:rFonts w:ascii="宋体" w:hAnsi="宋体" w:eastAsia="宋体" w:cs="宋体"/>
          <w:color w:val="auto"/>
          <w:spacing w:val="-3"/>
          <w:sz w:val="24"/>
          <w:szCs w:val="24"/>
          <w:highlight w:val="none"/>
        </w:rPr>
        <w:t>必须补充有法人代表或授权代表签署的要求撤消投标的正式文件。撤消投</w:t>
      </w:r>
      <w:r>
        <w:rPr>
          <w:rFonts w:ascii="宋体" w:hAnsi="宋体" w:eastAsia="宋体" w:cs="宋体"/>
          <w:color w:val="auto"/>
          <w:spacing w:val="-4"/>
          <w:sz w:val="24"/>
          <w:szCs w:val="24"/>
          <w:highlight w:val="none"/>
        </w:rPr>
        <w:t>标的时</w:t>
      </w:r>
      <w:r>
        <w:rPr>
          <w:rFonts w:ascii="宋体" w:hAnsi="宋体" w:eastAsia="宋体" w:cs="宋体"/>
          <w:color w:val="auto"/>
          <w:spacing w:val="-1"/>
          <w:sz w:val="24"/>
          <w:szCs w:val="24"/>
          <w:highlight w:val="none"/>
        </w:rPr>
        <w:t>间以送达招标机构或邮电到达日戳为准。</w:t>
      </w:r>
    </w:p>
    <w:p w14:paraId="48FB041C">
      <w:pPr>
        <w:spacing w:before="87" w:line="220" w:lineRule="auto"/>
        <w:ind w:left="4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18.3投标截止时间以后不得修改投标文件；</w:t>
      </w:r>
    </w:p>
    <w:p w14:paraId="5B71EE42">
      <w:pPr>
        <w:spacing w:before="89" w:line="219" w:lineRule="auto"/>
        <w:ind w:left="4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18.4开标后供应商不得撤回投标。</w:t>
      </w:r>
    </w:p>
    <w:p w14:paraId="24A847EF">
      <w:pPr>
        <w:spacing w:before="91" w:line="221" w:lineRule="auto"/>
        <w:ind w:left="3481" w:leftChars="0"/>
        <w:outlineLvl w:val="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E开标及评标</w:t>
      </w:r>
    </w:p>
    <w:p w14:paraId="6B325DAE">
      <w:pPr>
        <w:spacing w:before="85" w:line="221" w:lineRule="auto"/>
        <w:ind w:left="41"/>
        <w:outlineLvl w:val="2"/>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19.开标</w:t>
      </w:r>
    </w:p>
    <w:p w14:paraId="684ADA95">
      <w:pPr>
        <w:spacing w:before="89" w:line="253" w:lineRule="auto"/>
        <w:ind w:left="21" w:right="107" w:firstLine="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19.1采购代理机构按招标文件规定的时间、地点主持公开开标。开标仪式由采购代理机构主持，采购人代表及有关工作人员参加。</w:t>
      </w:r>
    </w:p>
    <w:p w14:paraId="56869751">
      <w:pPr>
        <w:spacing w:before="89" w:line="219" w:lineRule="auto"/>
        <w:ind w:left="41"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19.2供应商派代表参加开标仪式（视</w:t>
      </w:r>
      <w:r>
        <w:rPr>
          <w:rFonts w:ascii="宋体" w:hAnsi="宋体" w:eastAsia="宋体" w:cs="宋体"/>
          <w:color w:val="auto"/>
          <w:spacing w:val="-2"/>
          <w:sz w:val="24"/>
          <w:szCs w:val="24"/>
          <w:highlight w:val="none"/>
        </w:rPr>
        <w:t>频会议）。</w:t>
      </w:r>
    </w:p>
    <w:p w14:paraId="3718BD39">
      <w:pPr>
        <w:spacing w:before="93" w:line="219" w:lineRule="auto"/>
        <w:ind w:left="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19.3投标文件的解密，按照供应商须知前附表规定的开标顺序当众开标。</w:t>
      </w:r>
    </w:p>
    <w:p w14:paraId="00A4166C">
      <w:pPr>
        <w:spacing w:before="85" w:line="255" w:lineRule="auto"/>
        <w:ind w:left="26" w:right="107" w:firstLine="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19.4采购代理机构在开标仪式上，将公开唱出所有供应商的“开标一览表”内</w:t>
      </w:r>
      <w:r>
        <w:rPr>
          <w:rFonts w:ascii="宋体" w:hAnsi="宋体" w:eastAsia="宋体" w:cs="宋体"/>
          <w:color w:val="auto"/>
          <w:spacing w:val="-1"/>
          <w:sz w:val="24"/>
          <w:szCs w:val="24"/>
          <w:highlight w:val="none"/>
        </w:rPr>
        <w:t>容及投标声明，以及采购机构认为合适的其它内容并记录。</w:t>
      </w:r>
    </w:p>
    <w:p w14:paraId="0B21DBD1">
      <w:pPr>
        <w:spacing w:before="86" w:line="254" w:lineRule="auto"/>
        <w:ind w:left="26" w:right="167" w:firstLine="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19.5开标后,直到宣布授予中标单位合同为止,凡属于审查、澄清、评价和</w:t>
      </w:r>
      <w:r>
        <w:rPr>
          <w:rFonts w:ascii="宋体" w:hAnsi="宋体" w:eastAsia="宋体" w:cs="宋体"/>
          <w:color w:val="auto"/>
          <w:spacing w:val="-2"/>
          <w:sz w:val="24"/>
          <w:szCs w:val="24"/>
          <w:highlight w:val="none"/>
        </w:rPr>
        <w:t>比较</w:t>
      </w:r>
      <w:r>
        <w:rPr>
          <w:rFonts w:ascii="宋体" w:hAnsi="宋体" w:eastAsia="宋体" w:cs="宋体"/>
          <w:color w:val="auto"/>
          <w:sz w:val="24"/>
          <w:szCs w:val="24"/>
          <w:highlight w:val="none"/>
        </w:rPr>
        <w:t>投标的所有质料,有关授予合同的信息,都不</w:t>
      </w:r>
      <w:r>
        <w:rPr>
          <w:rFonts w:ascii="宋体" w:hAnsi="宋体" w:eastAsia="宋体" w:cs="宋体"/>
          <w:color w:val="auto"/>
          <w:spacing w:val="-1"/>
          <w:sz w:val="24"/>
          <w:szCs w:val="24"/>
          <w:highlight w:val="none"/>
        </w:rPr>
        <w:t>应该向投标无关的其他人泄露。</w:t>
      </w:r>
    </w:p>
    <w:p w14:paraId="7C226D61">
      <w:pPr>
        <w:spacing w:before="92" w:line="220"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20.对投标文件的初审</w:t>
      </w:r>
    </w:p>
    <w:p w14:paraId="4E327E77">
      <w:pPr>
        <w:spacing w:before="86" w:line="288" w:lineRule="auto"/>
        <w:ind w:left="24" w:leftChars="0" w:right="107" w:rightChars="0" w:firstLine="1" w:firstLineChars="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20.1采购人根据招标项目特点组建评标委员会</w:t>
      </w:r>
      <w:r>
        <w:rPr>
          <w:rFonts w:ascii="宋体" w:hAnsi="宋体" w:eastAsia="宋体" w:cs="宋体"/>
          <w:color w:val="auto"/>
          <w:spacing w:val="-1"/>
          <w:sz w:val="24"/>
          <w:szCs w:val="24"/>
          <w:highlight w:val="none"/>
        </w:rPr>
        <w:t>，采购人代表和技术经济及其他</w:t>
      </w:r>
      <w:r>
        <w:rPr>
          <w:rFonts w:ascii="宋体" w:hAnsi="宋体" w:eastAsia="宋体" w:cs="宋体"/>
          <w:color w:val="auto"/>
          <w:spacing w:val="-2"/>
          <w:sz w:val="24"/>
          <w:szCs w:val="24"/>
          <w:highlight w:val="none"/>
        </w:rPr>
        <w:t>有关方面的专家组成。</w:t>
      </w:r>
    </w:p>
    <w:p w14:paraId="04F226D9">
      <w:pPr>
        <w:spacing w:before="4" w:line="287" w:lineRule="auto"/>
        <w:ind w:left="25" w:right="81" w:firstLine="477"/>
        <w:rPr>
          <w:rFonts w:ascii="宋体" w:hAnsi="宋体" w:eastAsia="宋体" w:cs="宋体"/>
          <w:color w:val="auto"/>
          <w:sz w:val="24"/>
          <w:szCs w:val="24"/>
          <w:highlight w:val="none"/>
        </w:rPr>
      </w:pPr>
      <w:r>
        <w:rPr>
          <w:rFonts w:ascii="宋体" w:hAnsi="宋体" w:eastAsia="宋体" w:cs="宋体"/>
          <w:color w:val="auto"/>
          <w:sz w:val="24"/>
          <w:szCs w:val="24"/>
          <w:highlight w:val="none"/>
        </w:rPr>
        <w:t>采购人或者采购代理机构将审查每个投标人提交的</w:t>
      </w:r>
      <w:r>
        <w:rPr>
          <w:rFonts w:ascii="宋体" w:hAnsi="宋体" w:eastAsia="宋体" w:cs="宋体"/>
          <w:color w:val="auto"/>
          <w:spacing w:val="-1"/>
          <w:sz w:val="24"/>
          <w:szCs w:val="24"/>
          <w:highlight w:val="none"/>
        </w:rPr>
        <w:t>资格审查文件是否齐全</w:t>
      </w:r>
      <w:r>
        <w:rPr>
          <w:rFonts w:ascii="宋体" w:hAnsi="宋体" w:eastAsia="宋体" w:cs="宋体"/>
          <w:color w:val="auto"/>
          <w:spacing w:val="-3"/>
          <w:sz w:val="24"/>
          <w:szCs w:val="24"/>
          <w:highlight w:val="none"/>
        </w:rPr>
        <w:t>完整，是否合法有效，是否有重大偏离和保留，是否符合招标文件要求。投标人</w:t>
      </w:r>
      <w:r>
        <w:rPr>
          <w:rFonts w:ascii="宋体" w:hAnsi="宋体" w:eastAsia="宋体" w:cs="宋体"/>
          <w:color w:val="auto"/>
          <w:spacing w:val="-1"/>
          <w:sz w:val="24"/>
          <w:szCs w:val="24"/>
          <w:highlight w:val="none"/>
        </w:rPr>
        <w:t>资格审查不符合招标文件要求的投标文件将被拒绝。</w:t>
      </w:r>
    </w:p>
    <w:p w14:paraId="32DBE1D4">
      <w:pPr>
        <w:spacing w:before="2" w:line="288" w:lineRule="auto"/>
        <w:ind w:left="24" w:firstLine="478"/>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对于资格审查合格的投标人，评标委员会将审查其投标文件商务</w:t>
      </w:r>
      <w:r>
        <w:rPr>
          <w:rFonts w:ascii="宋体" w:hAnsi="宋体" w:eastAsia="宋体" w:cs="宋体"/>
          <w:color w:val="auto"/>
          <w:spacing w:val="-4"/>
          <w:sz w:val="24"/>
          <w:szCs w:val="24"/>
          <w:highlight w:val="none"/>
        </w:rPr>
        <w:t>和技术部分</w:t>
      </w:r>
      <w:r>
        <w:rPr>
          <w:rFonts w:ascii="宋体" w:hAnsi="宋体" w:eastAsia="宋体" w:cs="宋体"/>
          <w:color w:val="auto"/>
          <w:spacing w:val="-7"/>
          <w:sz w:val="24"/>
          <w:szCs w:val="24"/>
          <w:highlight w:val="none"/>
        </w:rPr>
        <w:t>是否对招标文件规定的事项、格式、条款和技术规格等</w:t>
      </w:r>
      <w:r>
        <w:rPr>
          <w:rFonts w:ascii="宋体" w:hAnsi="宋体" w:eastAsia="宋体" w:cs="宋体"/>
          <w:color w:val="auto"/>
          <w:spacing w:val="-8"/>
          <w:sz w:val="24"/>
          <w:szCs w:val="24"/>
          <w:highlight w:val="none"/>
        </w:rPr>
        <w:t>要求都做出了实质性响应。</w:t>
      </w:r>
      <w:r>
        <w:rPr>
          <w:rFonts w:ascii="宋体" w:hAnsi="宋体" w:eastAsia="宋体" w:cs="宋体"/>
          <w:color w:val="auto"/>
          <w:spacing w:val="-3"/>
          <w:sz w:val="24"/>
          <w:szCs w:val="24"/>
          <w:highlight w:val="none"/>
        </w:rPr>
        <w:t>实质性响应的投标是指与招标文件规定的事项、条款、条件和技术规格相符，没</w:t>
      </w:r>
      <w:r>
        <w:rPr>
          <w:rFonts w:ascii="宋体" w:hAnsi="宋体" w:eastAsia="宋体" w:cs="宋体"/>
          <w:color w:val="auto"/>
          <w:spacing w:val="-1"/>
          <w:sz w:val="24"/>
          <w:szCs w:val="24"/>
          <w:highlight w:val="none"/>
        </w:rPr>
        <w:t>有重大偏离和保留。没有实质性响应招标文件要求的投标将被拒绝。</w:t>
      </w:r>
    </w:p>
    <w:p w14:paraId="470341F6">
      <w:pPr>
        <w:spacing w:before="1" w:line="218" w:lineRule="auto"/>
        <w:ind w:left="26"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20.2初审中，对价格的计算错误按下述原则修正：</w:t>
      </w:r>
    </w:p>
    <w:p w14:paraId="7B8245AD">
      <w:pPr>
        <w:spacing w:line="218" w:lineRule="auto"/>
        <w:rPr>
          <w:rFonts w:ascii="宋体" w:hAnsi="宋体" w:eastAsia="宋体" w:cs="宋体"/>
          <w:color w:val="auto"/>
          <w:sz w:val="24"/>
          <w:szCs w:val="24"/>
          <w:highlight w:val="none"/>
        </w:rPr>
        <w:sectPr>
          <w:footerReference r:id="rId9" w:type="default"/>
          <w:pgSz w:w="11906" w:h="16839"/>
          <w:pgMar w:top="1431" w:right="1718" w:bottom="1209" w:left="1785" w:header="0" w:footer="973" w:gutter="0"/>
          <w:pgNumType w:fmt="decimal"/>
          <w:cols w:space="720" w:num="1"/>
        </w:sectPr>
      </w:pPr>
    </w:p>
    <w:p w14:paraId="47A9B37D">
      <w:pPr>
        <w:spacing w:before="76" w:line="219" w:lineRule="auto"/>
        <w:ind w:firstLine="472" w:firstLineChars="200"/>
        <w:outlineLvl w:val="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(1)如果单价乘数量不等于总价，应以单价为准修正总价。</w:t>
      </w:r>
    </w:p>
    <w:p w14:paraId="4157D5BF">
      <w:pPr>
        <w:spacing w:before="90" w:line="220"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(2)如果以文字表示的数据与数字表示的有差别，应以文字为准修正数字。</w:t>
      </w:r>
    </w:p>
    <w:p w14:paraId="37BBE5E2">
      <w:pPr>
        <w:spacing w:before="86" w:line="219" w:lineRule="auto"/>
        <w:ind w:firstLine="472" w:firstLineChars="200"/>
        <w:outlineLvl w:val="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(3)供应商不同意以上修正，则其投标</w:t>
      </w:r>
      <w:r>
        <w:rPr>
          <w:rFonts w:ascii="宋体" w:hAnsi="宋体" w:eastAsia="宋体" w:cs="宋体"/>
          <w:color w:val="auto"/>
          <w:spacing w:val="-3"/>
          <w:sz w:val="24"/>
          <w:szCs w:val="24"/>
          <w:highlight w:val="none"/>
        </w:rPr>
        <w:t>将被拒绝。</w:t>
      </w:r>
    </w:p>
    <w:p w14:paraId="04D6D58F">
      <w:pPr>
        <w:spacing w:before="91" w:line="288" w:lineRule="auto"/>
        <w:ind w:left="24" w:leftChars="0" w:right="106" w:rightChars="0" w:firstLine="1" w:firstLineChars="0"/>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20.3与招标文件有重大偏离的投标文件将被视</w:t>
      </w:r>
      <w:r>
        <w:rPr>
          <w:rFonts w:ascii="宋体" w:hAnsi="宋体" w:eastAsia="宋体" w:cs="宋体"/>
          <w:color w:val="auto"/>
          <w:spacing w:val="-1"/>
          <w:sz w:val="24"/>
          <w:szCs w:val="24"/>
          <w:highlight w:val="none"/>
        </w:rPr>
        <w:t>为具有非实质响应性的投标文件</w:t>
      </w:r>
      <w:r>
        <w:rPr>
          <w:rFonts w:ascii="宋体" w:hAnsi="宋体" w:eastAsia="宋体" w:cs="宋体"/>
          <w:color w:val="auto"/>
          <w:spacing w:val="-3"/>
          <w:sz w:val="24"/>
          <w:szCs w:val="24"/>
          <w:highlight w:val="none"/>
        </w:rPr>
        <w:t>而被拒绝。</w:t>
      </w:r>
    </w:p>
    <w:p w14:paraId="4F6CF4F0">
      <w:pPr>
        <w:spacing w:line="288" w:lineRule="auto"/>
        <w:ind w:left="22" w:firstLine="481"/>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重大偏离系指投标项目的服务范围、质量、数量及交货期明显</w:t>
      </w:r>
      <w:r>
        <w:rPr>
          <w:rFonts w:ascii="宋体" w:hAnsi="宋体" w:eastAsia="宋体" w:cs="宋体"/>
          <w:color w:val="auto"/>
          <w:spacing w:val="-4"/>
          <w:sz w:val="24"/>
          <w:szCs w:val="24"/>
          <w:highlight w:val="none"/>
        </w:rPr>
        <w:t>不能满足招标</w:t>
      </w:r>
      <w:r>
        <w:rPr>
          <w:rFonts w:ascii="宋体" w:hAnsi="宋体" w:eastAsia="宋体" w:cs="宋体"/>
          <w:color w:val="auto"/>
          <w:spacing w:val="-3"/>
          <w:sz w:val="24"/>
          <w:szCs w:val="24"/>
          <w:highlight w:val="none"/>
        </w:rPr>
        <w:t>文件的要求，或限制了采购人的权力和供应商的义务的规定，而纠正这些偏离将影响到其它提交实质性响应投标的供应商的公平竞争地位。这些偏离不允许在开</w:t>
      </w:r>
      <w:r>
        <w:rPr>
          <w:rFonts w:ascii="宋体" w:hAnsi="宋体" w:eastAsia="宋体" w:cs="宋体"/>
          <w:color w:val="auto"/>
          <w:spacing w:val="-7"/>
          <w:sz w:val="24"/>
          <w:szCs w:val="24"/>
          <w:highlight w:val="none"/>
        </w:rPr>
        <w:t>标后修正。但招标机构将允许修改投标中不构成重大偏离</w:t>
      </w:r>
      <w:r>
        <w:rPr>
          <w:rFonts w:ascii="宋体" w:hAnsi="宋体" w:eastAsia="宋体" w:cs="宋体"/>
          <w:color w:val="auto"/>
          <w:spacing w:val="-8"/>
          <w:sz w:val="24"/>
          <w:szCs w:val="24"/>
          <w:highlight w:val="none"/>
        </w:rPr>
        <w:t>的、微小的、非正规的、</w:t>
      </w:r>
      <w:r>
        <w:rPr>
          <w:rFonts w:ascii="宋体" w:hAnsi="宋体" w:eastAsia="宋体" w:cs="宋体"/>
          <w:color w:val="auto"/>
          <w:spacing w:val="-3"/>
          <w:sz w:val="24"/>
          <w:szCs w:val="24"/>
          <w:highlight w:val="none"/>
        </w:rPr>
        <w:t>不一致或不规则的地方。评委会对投标文件的判定，只依据投标内容本身，不依</w:t>
      </w:r>
      <w:r>
        <w:rPr>
          <w:rFonts w:ascii="宋体" w:hAnsi="宋体" w:eastAsia="宋体" w:cs="宋体"/>
          <w:color w:val="auto"/>
          <w:spacing w:val="-1"/>
          <w:sz w:val="24"/>
          <w:szCs w:val="24"/>
          <w:highlight w:val="none"/>
        </w:rPr>
        <w:t>据开标后的任何外来证明。</w:t>
      </w:r>
    </w:p>
    <w:p w14:paraId="320B8073">
      <w:pPr>
        <w:spacing w:line="220" w:lineRule="auto"/>
        <w:ind w:left="26" w:leftChars="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20.4投标有下列情况之一者，</w:t>
      </w:r>
      <w:r>
        <w:rPr>
          <w:rFonts w:ascii="宋体" w:hAnsi="宋体" w:eastAsia="宋体" w:cs="宋体"/>
          <w:b/>
          <w:bCs/>
          <w:color w:val="auto"/>
          <w:spacing w:val="-1"/>
          <w:sz w:val="24"/>
          <w:szCs w:val="24"/>
          <w:highlight w:val="none"/>
        </w:rPr>
        <w:t>将被视为非实质</w:t>
      </w:r>
      <w:r>
        <w:rPr>
          <w:rFonts w:ascii="宋体" w:hAnsi="宋体" w:eastAsia="宋体" w:cs="宋体"/>
          <w:b/>
          <w:bCs/>
          <w:color w:val="auto"/>
          <w:spacing w:val="-2"/>
          <w:sz w:val="24"/>
          <w:szCs w:val="24"/>
          <w:highlight w:val="none"/>
        </w:rPr>
        <w:t>性响应的投标而被拒绝：</w:t>
      </w:r>
    </w:p>
    <w:p w14:paraId="75E548A3">
      <w:pPr>
        <w:spacing w:before="86" w:line="220" w:lineRule="auto"/>
        <w:ind w:left="34" w:leftChars="0"/>
        <w:outlineLvl w:val="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（1）资格条件及证明文件不符合招标文件要求的；</w:t>
      </w:r>
    </w:p>
    <w:p w14:paraId="310D0CDA">
      <w:pPr>
        <w:spacing w:before="90" w:line="253" w:lineRule="auto"/>
        <w:ind w:left="42" w:right="80" w:hanging="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（2）投标文件无公章或无法定代表人签字，或签字人无法定</w:t>
      </w:r>
      <w:r>
        <w:rPr>
          <w:rFonts w:ascii="宋体" w:hAnsi="宋体" w:eastAsia="宋体" w:cs="宋体"/>
          <w:color w:val="auto"/>
          <w:spacing w:val="-4"/>
          <w:sz w:val="24"/>
          <w:szCs w:val="24"/>
          <w:highlight w:val="none"/>
        </w:rPr>
        <w:t>代表人有效授权书</w:t>
      </w:r>
      <w:r>
        <w:rPr>
          <w:rFonts w:ascii="宋体" w:hAnsi="宋体" w:eastAsia="宋体" w:cs="宋体"/>
          <w:color w:val="auto"/>
          <w:spacing w:val="-2"/>
          <w:sz w:val="24"/>
          <w:szCs w:val="24"/>
          <w:highlight w:val="none"/>
        </w:rPr>
        <w:t>的，或未按要求签字、盖公章的；</w:t>
      </w:r>
    </w:p>
    <w:p w14:paraId="32FE08C3">
      <w:pPr>
        <w:spacing w:before="89" w:line="220" w:lineRule="auto"/>
        <w:ind w:left="3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（3）不能满足投标有效期的；</w:t>
      </w:r>
    </w:p>
    <w:p w14:paraId="52543C77">
      <w:pPr>
        <w:spacing w:before="91" w:line="220" w:lineRule="auto"/>
        <w:ind w:left="3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（4）投标明显不符合技术规格、技术标准的要求；</w:t>
      </w:r>
    </w:p>
    <w:p w14:paraId="3C4A9C0B">
      <w:pPr>
        <w:spacing w:before="86" w:line="219" w:lineRule="auto"/>
        <w:ind w:left="3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（5）投标文件附有买方不能接受的条件；</w:t>
      </w:r>
    </w:p>
    <w:p w14:paraId="0C94AA78">
      <w:pPr>
        <w:spacing w:before="91" w:line="219" w:lineRule="auto"/>
        <w:ind w:left="3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（6）投标报价超过预算金额的；</w:t>
      </w:r>
    </w:p>
    <w:p w14:paraId="52B83846">
      <w:pPr>
        <w:spacing w:before="88" w:line="220" w:lineRule="auto"/>
        <w:ind w:left="3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（7）未响应招标文件规定的其它实质性条款。</w:t>
      </w:r>
    </w:p>
    <w:p w14:paraId="20AD71F6">
      <w:pPr>
        <w:spacing w:before="88" w:line="221"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21.投标的澄清</w:t>
      </w:r>
    </w:p>
    <w:p w14:paraId="0C5DF9F5">
      <w:pPr>
        <w:spacing w:before="88" w:line="266" w:lineRule="auto"/>
        <w:ind w:left="25" w:right="80"/>
        <w:rPr>
          <w:rFonts w:ascii="宋体" w:hAnsi="宋体" w:eastAsia="宋体" w:cs="宋体"/>
          <w:color w:val="auto"/>
          <w:sz w:val="24"/>
          <w:szCs w:val="24"/>
          <w:highlight w:val="none"/>
        </w:rPr>
      </w:pPr>
      <w:r>
        <w:rPr>
          <w:rFonts w:ascii="宋体" w:hAnsi="宋体" w:eastAsia="宋体" w:cs="宋体"/>
          <w:color w:val="auto"/>
          <w:sz w:val="24"/>
          <w:szCs w:val="24"/>
          <w:highlight w:val="none"/>
        </w:rPr>
        <w:t>21.1招标机构有权就投标文件中含混之处向供</w:t>
      </w:r>
      <w:r>
        <w:rPr>
          <w:rFonts w:ascii="宋体" w:hAnsi="宋体" w:eastAsia="宋体" w:cs="宋体"/>
          <w:color w:val="auto"/>
          <w:spacing w:val="-1"/>
          <w:sz w:val="24"/>
          <w:szCs w:val="24"/>
          <w:highlight w:val="none"/>
        </w:rPr>
        <w:t>应商提出询问或澄清要求，或要</w:t>
      </w:r>
      <w:r>
        <w:rPr>
          <w:rFonts w:ascii="宋体" w:hAnsi="宋体" w:eastAsia="宋体" w:cs="宋体"/>
          <w:color w:val="auto"/>
          <w:spacing w:val="-3"/>
          <w:sz w:val="24"/>
          <w:szCs w:val="24"/>
          <w:highlight w:val="none"/>
        </w:rPr>
        <w:t>求其补充某些材料。供应商必须按照招标机构通知的时间、地点派技术和商务人</w:t>
      </w:r>
      <w:r>
        <w:rPr>
          <w:rFonts w:ascii="宋体" w:hAnsi="宋体" w:eastAsia="宋体" w:cs="宋体"/>
          <w:color w:val="auto"/>
          <w:spacing w:val="-2"/>
          <w:sz w:val="24"/>
          <w:szCs w:val="24"/>
          <w:highlight w:val="none"/>
        </w:rPr>
        <w:t>员进行答疑和澄清。</w:t>
      </w:r>
    </w:p>
    <w:p w14:paraId="3F4EAE04">
      <w:pPr>
        <w:spacing w:before="84" w:line="255" w:lineRule="auto"/>
        <w:ind w:left="26" w:right="106"/>
        <w:rPr>
          <w:rFonts w:ascii="宋体" w:hAnsi="宋体" w:eastAsia="宋体" w:cs="宋体"/>
          <w:color w:val="auto"/>
          <w:sz w:val="24"/>
          <w:szCs w:val="24"/>
          <w:highlight w:val="none"/>
        </w:rPr>
      </w:pPr>
      <w:r>
        <w:rPr>
          <w:rFonts w:ascii="宋体" w:hAnsi="宋体" w:eastAsia="宋体" w:cs="宋体"/>
          <w:color w:val="auto"/>
          <w:sz w:val="24"/>
          <w:szCs w:val="24"/>
          <w:highlight w:val="none"/>
        </w:rPr>
        <w:t>21.2必要时招标机构可要求供应商就澄清的问</w:t>
      </w:r>
      <w:r>
        <w:rPr>
          <w:rFonts w:ascii="宋体" w:hAnsi="宋体" w:eastAsia="宋体" w:cs="宋体"/>
          <w:color w:val="auto"/>
          <w:spacing w:val="-1"/>
          <w:sz w:val="24"/>
          <w:szCs w:val="24"/>
          <w:highlight w:val="none"/>
        </w:rPr>
        <w:t>题作书面回答，该书面回答应有投标全权代表的签章，并将作为投标内容的一部分。</w:t>
      </w:r>
    </w:p>
    <w:p w14:paraId="289B11EE">
      <w:pPr>
        <w:spacing w:before="89" w:line="219" w:lineRule="auto"/>
        <w:ind w:left="26"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21.3供应商对投标文件的澄清不得改变投标价格及实质内容。</w:t>
      </w:r>
    </w:p>
    <w:p w14:paraId="6E25F70C">
      <w:pPr>
        <w:spacing w:before="88" w:line="221"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22.评标</w:t>
      </w:r>
    </w:p>
    <w:p w14:paraId="6778975F">
      <w:pPr>
        <w:spacing w:before="87" w:line="219" w:lineRule="auto"/>
        <w:ind w:left="2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22.1原则：对所有供应商的投标评估，都采用相同的程序和标准。</w:t>
      </w:r>
    </w:p>
    <w:p w14:paraId="32745B76">
      <w:pPr>
        <w:spacing w:before="90" w:line="220" w:lineRule="auto"/>
        <w:ind w:left="26"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22.2标准：评标严格按照招标文件的要求和条件进行。</w:t>
      </w:r>
    </w:p>
    <w:p w14:paraId="276B4D39">
      <w:pPr>
        <w:spacing w:before="90" w:line="221"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23.评标过程保密</w:t>
      </w:r>
    </w:p>
    <w:p w14:paraId="5963A267">
      <w:pPr>
        <w:spacing w:before="87" w:line="253" w:lineRule="auto"/>
        <w:ind w:left="541" w:right="80" w:hanging="5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23.1有关投标文件的审查、澄清、评估和比较以及</w:t>
      </w:r>
      <w:r>
        <w:rPr>
          <w:rFonts w:ascii="宋体" w:hAnsi="宋体" w:eastAsia="宋体" w:cs="宋体"/>
          <w:color w:val="auto"/>
          <w:spacing w:val="1"/>
          <w:sz w:val="24"/>
          <w:szCs w:val="24"/>
          <w:highlight w:val="none"/>
        </w:rPr>
        <w:t>有关授予合同意向的一切情</w:t>
      </w:r>
      <w:r>
        <w:rPr>
          <w:rFonts w:ascii="宋体" w:hAnsi="宋体" w:eastAsia="宋体" w:cs="宋体"/>
          <w:color w:val="auto"/>
          <w:spacing w:val="-1"/>
          <w:sz w:val="24"/>
          <w:szCs w:val="24"/>
          <w:highlight w:val="none"/>
        </w:rPr>
        <w:t>况均不得透露给任一供应商或与上述评标工作无关的人员；</w:t>
      </w:r>
    </w:p>
    <w:p w14:paraId="12BE6029">
      <w:pPr>
        <w:spacing w:before="92" w:line="253" w:lineRule="auto"/>
        <w:ind w:left="539" w:right="166" w:hanging="5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23.2在评标期间，供应商企图影响招标方的任何活动，将导致投标被拒绝，并承担相应的法律责任。</w:t>
      </w:r>
    </w:p>
    <w:p w14:paraId="583B431F">
      <w:pPr>
        <w:spacing w:before="90" w:line="221" w:lineRule="auto"/>
        <w:ind w:left="3509" w:leftChars="0"/>
        <w:outlineLvl w:val="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F确定中标</w:t>
      </w:r>
    </w:p>
    <w:p w14:paraId="6F888FF1">
      <w:pPr>
        <w:spacing w:line="221" w:lineRule="auto"/>
        <w:rPr>
          <w:rFonts w:ascii="宋体" w:hAnsi="宋体" w:eastAsia="宋体" w:cs="宋体"/>
          <w:color w:val="auto"/>
          <w:sz w:val="24"/>
          <w:szCs w:val="24"/>
          <w:highlight w:val="none"/>
        </w:rPr>
        <w:sectPr>
          <w:footerReference r:id="rId10" w:type="default"/>
          <w:pgSz w:w="11906" w:h="16839"/>
          <w:pgMar w:top="1431" w:right="1719" w:bottom="1209" w:left="1785" w:header="0" w:footer="973" w:gutter="0"/>
          <w:pgNumType w:fmt="decimal"/>
          <w:cols w:space="720" w:num="1"/>
        </w:sectPr>
      </w:pPr>
    </w:p>
    <w:p w14:paraId="5CDA4F49">
      <w:pPr>
        <w:spacing w:before="77" w:line="220"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24.最终审查</w:t>
      </w:r>
    </w:p>
    <w:p w14:paraId="636ED091">
      <w:pPr>
        <w:spacing w:before="88" w:line="265" w:lineRule="auto"/>
        <w:ind w:left="596" w:right="63" w:hanging="54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24.1评标委员会按照招标文件确定的评标标准和方法，对投标文件进行评审，并提出书面评标报告，推荐中标候选人。最终审查的对象是招标项目的合</w:t>
      </w:r>
      <w:r>
        <w:rPr>
          <w:rFonts w:ascii="宋体" w:hAnsi="宋体" w:eastAsia="宋体" w:cs="宋体"/>
          <w:color w:val="auto"/>
          <w:spacing w:val="-2"/>
          <w:sz w:val="24"/>
          <w:szCs w:val="24"/>
          <w:highlight w:val="none"/>
        </w:rPr>
        <w:t>格的供应商。</w:t>
      </w:r>
    </w:p>
    <w:p w14:paraId="1879FD26">
      <w:pPr>
        <w:spacing w:before="86" w:line="266" w:lineRule="auto"/>
        <w:ind w:left="567" w:right="89" w:hanging="541"/>
        <w:rPr>
          <w:rFonts w:ascii="宋体" w:hAnsi="宋体" w:eastAsia="宋体" w:cs="宋体"/>
          <w:color w:val="auto"/>
          <w:sz w:val="24"/>
          <w:szCs w:val="24"/>
          <w:highlight w:val="none"/>
        </w:rPr>
      </w:pPr>
      <w:r>
        <w:rPr>
          <w:rFonts w:ascii="宋体" w:hAnsi="宋体" w:eastAsia="宋体" w:cs="宋体"/>
          <w:color w:val="auto"/>
          <w:sz w:val="24"/>
          <w:szCs w:val="24"/>
          <w:highlight w:val="none"/>
        </w:rPr>
        <w:t>24.2最终审查的内容是对合格的供应商的产品</w:t>
      </w:r>
      <w:r>
        <w:rPr>
          <w:rFonts w:ascii="宋体" w:hAnsi="宋体" w:eastAsia="宋体" w:cs="宋体"/>
          <w:color w:val="auto"/>
          <w:spacing w:val="-1"/>
          <w:sz w:val="24"/>
          <w:szCs w:val="24"/>
          <w:highlight w:val="none"/>
        </w:rPr>
        <w:t>进行产品性能、技术状况、生产</w:t>
      </w:r>
      <w:r>
        <w:rPr>
          <w:rFonts w:ascii="宋体" w:hAnsi="宋体" w:eastAsia="宋体" w:cs="宋体"/>
          <w:color w:val="auto"/>
          <w:sz w:val="24"/>
          <w:szCs w:val="24"/>
          <w:highlight w:val="none"/>
        </w:rPr>
        <w:t>条件、产品质量、财务状况、资格、信誉以及采</w:t>
      </w:r>
      <w:r>
        <w:rPr>
          <w:rFonts w:ascii="宋体" w:hAnsi="宋体" w:eastAsia="宋体" w:cs="宋体"/>
          <w:color w:val="auto"/>
          <w:spacing w:val="-1"/>
          <w:sz w:val="24"/>
          <w:szCs w:val="24"/>
          <w:highlight w:val="none"/>
        </w:rPr>
        <w:t>购人认为有必要了解的其他问题作进一步的审查。</w:t>
      </w:r>
    </w:p>
    <w:p w14:paraId="35F2CFE6">
      <w:pPr>
        <w:spacing w:before="84" w:line="255" w:lineRule="auto"/>
        <w:ind w:left="573" w:hanging="54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24.3接受最终审查的合格的供应商，必须如实回答和</w:t>
      </w:r>
      <w:r>
        <w:rPr>
          <w:rFonts w:ascii="宋体" w:hAnsi="宋体" w:eastAsia="宋体" w:cs="宋体"/>
          <w:color w:val="auto"/>
          <w:spacing w:val="-5"/>
          <w:sz w:val="24"/>
          <w:szCs w:val="24"/>
          <w:highlight w:val="none"/>
        </w:rPr>
        <w:t>受理采购人的询问或考查，</w:t>
      </w:r>
      <w:r>
        <w:rPr>
          <w:rFonts w:ascii="宋体" w:hAnsi="宋体" w:eastAsia="宋体" w:cs="宋体"/>
          <w:color w:val="auto"/>
          <w:spacing w:val="-2"/>
          <w:sz w:val="24"/>
          <w:szCs w:val="24"/>
          <w:highlight w:val="none"/>
        </w:rPr>
        <w:t>并提供所需的有关资料。</w:t>
      </w:r>
    </w:p>
    <w:p w14:paraId="4608D609">
      <w:pPr>
        <w:spacing w:before="87" w:line="219" w:lineRule="auto"/>
        <w:ind w:left="2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24.4评标委员会从合格的供应商中评出中标人，并写出完整的评标报告。</w:t>
      </w:r>
    </w:p>
    <w:p w14:paraId="19EE553C">
      <w:pPr>
        <w:spacing w:before="89" w:line="221"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25.中标通知</w:t>
      </w:r>
    </w:p>
    <w:p w14:paraId="4FBCD8BC">
      <w:pPr>
        <w:spacing w:before="90" w:line="253" w:lineRule="auto"/>
        <w:ind w:left="580" w:right="149" w:hanging="55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25.1在投标有效期内，采购机构以书面形式通知所选定的中标人。通知也可以</w:t>
      </w:r>
      <w:r>
        <w:rPr>
          <w:rFonts w:ascii="宋体" w:hAnsi="宋体" w:eastAsia="宋体" w:cs="宋体"/>
          <w:color w:val="auto"/>
          <w:spacing w:val="-2"/>
          <w:sz w:val="24"/>
          <w:szCs w:val="24"/>
          <w:highlight w:val="none"/>
        </w:rPr>
        <w:t>以传真的形式发出，但需要随以书面形式最终确认。</w:t>
      </w:r>
    </w:p>
    <w:p w14:paraId="6D0FD7B3">
      <w:pPr>
        <w:spacing w:before="92" w:line="256" w:lineRule="auto"/>
        <w:ind w:left="569" w:right="63" w:hanging="54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25.2当中标人按第26条规定与买方签定合同后，在5个工作</w:t>
      </w:r>
      <w:r>
        <w:rPr>
          <w:rFonts w:ascii="宋体" w:hAnsi="宋体" w:eastAsia="宋体" w:cs="宋体"/>
          <w:color w:val="auto"/>
          <w:spacing w:val="-4"/>
          <w:sz w:val="24"/>
          <w:szCs w:val="24"/>
          <w:highlight w:val="none"/>
        </w:rPr>
        <w:t>日内退还投标保证</w:t>
      </w:r>
      <w:r>
        <w:rPr>
          <w:rFonts w:ascii="宋体" w:hAnsi="宋体" w:eastAsia="宋体" w:cs="宋体"/>
          <w:color w:val="auto"/>
          <w:spacing w:val="-6"/>
          <w:sz w:val="24"/>
          <w:szCs w:val="24"/>
          <w:highlight w:val="none"/>
        </w:rPr>
        <w:t>金。</w:t>
      </w:r>
    </w:p>
    <w:p w14:paraId="6B765D72">
      <w:pPr>
        <w:spacing w:before="80" w:line="221" w:lineRule="auto"/>
        <w:ind w:left="26"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26.签定合同</w:t>
      </w:r>
    </w:p>
    <w:p w14:paraId="5C003C69">
      <w:pPr>
        <w:spacing w:before="90" w:line="288" w:lineRule="auto"/>
        <w:ind w:left="22" w:right="63" w:firstLine="50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中标人应按中标通知书中规定的时间、地点与买方签定合同，否则按开标后</w:t>
      </w:r>
      <w:r>
        <w:rPr>
          <w:rFonts w:ascii="宋体" w:hAnsi="宋体" w:eastAsia="宋体" w:cs="宋体"/>
          <w:color w:val="auto"/>
          <w:spacing w:val="-2"/>
          <w:sz w:val="24"/>
          <w:szCs w:val="24"/>
          <w:highlight w:val="none"/>
        </w:rPr>
        <w:t>撤回投标处理。</w:t>
      </w:r>
    </w:p>
    <w:p w14:paraId="07BA67ED">
      <w:pPr>
        <w:spacing w:line="287" w:lineRule="auto"/>
        <w:ind w:left="25" w:right="63"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供货合同采用工商管理部门制定的标准格式合同。招标文件、中</w:t>
      </w:r>
      <w:r>
        <w:rPr>
          <w:rFonts w:ascii="宋体" w:hAnsi="宋体" w:eastAsia="宋体" w:cs="宋体"/>
          <w:color w:val="auto"/>
          <w:spacing w:val="-4"/>
          <w:sz w:val="24"/>
          <w:szCs w:val="24"/>
          <w:highlight w:val="none"/>
        </w:rPr>
        <w:t>标人的投标</w:t>
      </w:r>
      <w:r>
        <w:rPr>
          <w:rFonts w:ascii="宋体" w:hAnsi="宋体" w:eastAsia="宋体" w:cs="宋体"/>
          <w:color w:val="auto"/>
          <w:spacing w:val="-1"/>
          <w:sz w:val="24"/>
          <w:szCs w:val="24"/>
          <w:highlight w:val="none"/>
        </w:rPr>
        <w:t>文件及评标过程中有关澄清文件均应作为合同组成部分。</w:t>
      </w:r>
    </w:p>
    <w:p w14:paraId="78A57081">
      <w:pPr>
        <w:spacing w:line="220" w:lineRule="auto"/>
        <w:ind w:left="26"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27.数量变更</w:t>
      </w:r>
    </w:p>
    <w:p w14:paraId="76ADA7D6">
      <w:pPr>
        <w:spacing w:before="91" w:line="219"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采购人有权根据项目实际需要部分变更数量和服务的内容。</w:t>
      </w:r>
    </w:p>
    <w:p w14:paraId="52BD50AE">
      <w:pPr>
        <w:spacing w:before="87" w:line="220" w:lineRule="auto"/>
        <w:ind w:left="3481" w:leftChars="0"/>
        <w:outlineLvl w:val="3"/>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G中标服务费</w:t>
      </w:r>
    </w:p>
    <w:p w14:paraId="374C57FD">
      <w:pPr>
        <w:spacing w:before="91" w:line="220" w:lineRule="auto"/>
        <w:ind w:left="26"/>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28.中标服务费</w:t>
      </w:r>
    </w:p>
    <w:p w14:paraId="7973CCCF">
      <w:pPr>
        <w:spacing w:before="86" w:line="255" w:lineRule="auto"/>
        <w:ind w:left="36" w:right="63" w:hanging="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28.1中标人须按招标文件中标服务费收取规定的标准向代理机构缴纳中标服务</w:t>
      </w:r>
      <w:r>
        <w:rPr>
          <w:rFonts w:ascii="宋体" w:hAnsi="宋体" w:eastAsia="宋体" w:cs="宋体"/>
          <w:color w:val="auto"/>
          <w:spacing w:val="-12"/>
          <w:sz w:val="24"/>
          <w:szCs w:val="24"/>
          <w:highlight w:val="none"/>
        </w:rPr>
        <w:t>费。</w:t>
      </w:r>
    </w:p>
    <w:p w14:paraId="6A4DDDA6">
      <w:pPr>
        <w:spacing w:before="88" w:line="253" w:lineRule="auto"/>
        <w:ind w:left="25" w:right="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28.2中标人在收到《中标通知书》后向招标机构一次性缴纳中标服务费。可采</w:t>
      </w:r>
      <w:r>
        <w:rPr>
          <w:rFonts w:ascii="宋体" w:hAnsi="宋体" w:eastAsia="宋体" w:cs="宋体"/>
          <w:color w:val="auto"/>
          <w:spacing w:val="-1"/>
          <w:sz w:val="24"/>
          <w:szCs w:val="24"/>
          <w:highlight w:val="none"/>
        </w:rPr>
        <w:t>用以下方式之一交付中标服务费：现金、汇票及电汇。</w:t>
      </w:r>
    </w:p>
    <w:p w14:paraId="68081EFD">
      <w:pPr>
        <w:spacing w:before="91" w:line="220" w:lineRule="auto"/>
        <w:ind w:left="26"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28.3其他费用遵照国家、地方有关规定执行。</w:t>
      </w:r>
    </w:p>
    <w:p w14:paraId="2ECB78C4">
      <w:pPr>
        <w:spacing w:line="220" w:lineRule="auto"/>
        <w:rPr>
          <w:rFonts w:ascii="宋体" w:hAnsi="宋体" w:eastAsia="宋体" w:cs="宋体"/>
          <w:color w:val="auto"/>
          <w:sz w:val="24"/>
          <w:szCs w:val="24"/>
          <w:highlight w:val="none"/>
        </w:rPr>
        <w:sectPr>
          <w:footerReference r:id="rId11" w:type="default"/>
          <w:pgSz w:w="11906" w:h="16839"/>
          <w:pgMar w:top="1431" w:right="1736" w:bottom="1209" w:left="1785" w:header="0" w:footer="973" w:gutter="0"/>
          <w:pgNumType w:fmt="decimal"/>
          <w:cols w:space="720" w:num="1"/>
        </w:sectPr>
      </w:pPr>
    </w:p>
    <w:p w14:paraId="4D314C54">
      <w:pPr>
        <w:spacing w:before="139" w:line="224" w:lineRule="auto"/>
        <w:ind w:left="2196"/>
        <w:outlineLvl w:val="0"/>
        <w:rPr>
          <w:rFonts w:ascii="宋体" w:hAnsi="宋体" w:eastAsia="宋体" w:cs="宋体"/>
          <w:color w:val="auto"/>
          <w:sz w:val="43"/>
          <w:szCs w:val="43"/>
          <w:highlight w:val="none"/>
        </w:rPr>
      </w:pPr>
      <w:bookmarkStart w:id="4" w:name="_Toc2778"/>
      <w:r>
        <w:rPr>
          <w:rFonts w:ascii="宋体" w:hAnsi="宋体" w:eastAsia="宋体" w:cs="宋体"/>
          <w:b/>
          <w:bCs/>
          <w:color w:val="auto"/>
          <w:spacing w:val="4"/>
          <w:sz w:val="43"/>
          <w:szCs w:val="43"/>
          <w:highlight w:val="none"/>
        </w:rPr>
        <w:t>第三部分评标办法</w:t>
      </w:r>
      <w:bookmarkEnd w:id="4"/>
    </w:p>
    <w:p w14:paraId="5DCF4B5C">
      <w:pPr>
        <w:spacing w:before="158" w:line="324" w:lineRule="auto"/>
        <w:ind w:left="24" w:right="105"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按照国家相关部门的规定，遵循公开、公平、公正和诚实信</w:t>
      </w:r>
      <w:r>
        <w:rPr>
          <w:rFonts w:ascii="宋体" w:hAnsi="宋体" w:eastAsia="宋体" w:cs="宋体"/>
          <w:color w:val="auto"/>
          <w:spacing w:val="-4"/>
          <w:sz w:val="24"/>
          <w:szCs w:val="24"/>
          <w:highlight w:val="none"/>
        </w:rPr>
        <w:t>用的原则，结合</w:t>
      </w:r>
      <w:r>
        <w:rPr>
          <w:rFonts w:ascii="宋体" w:hAnsi="宋体" w:eastAsia="宋体" w:cs="宋体"/>
          <w:color w:val="auto"/>
          <w:spacing w:val="-1"/>
          <w:sz w:val="24"/>
          <w:szCs w:val="24"/>
          <w:highlight w:val="none"/>
        </w:rPr>
        <w:t>本招标项目的实际情况，制定本招标项目评标办法。</w:t>
      </w:r>
    </w:p>
    <w:p w14:paraId="01A87103">
      <w:pPr>
        <w:spacing w:line="221" w:lineRule="auto"/>
        <w:ind w:left="29" w:leftChars="0"/>
        <w:outlineLvl w:val="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一、评标程序</w:t>
      </w:r>
    </w:p>
    <w:p w14:paraId="12DB9149">
      <w:pPr>
        <w:spacing w:before="141" w:line="219" w:lineRule="auto"/>
        <w:ind w:left="34"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（一）组成评标委员会</w:t>
      </w:r>
    </w:p>
    <w:p w14:paraId="2F97D11C">
      <w:pPr>
        <w:spacing w:before="156" w:line="338" w:lineRule="auto"/>
        <w:ind w:left="24" w:right="105" w:firstLine="480"/>
        <w:jc w:val="both"/>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按照国家有关部委及省、市的相关规定，由相关技术、经济相关专业专家共5人组成。</w:t>
      </w:r>
      <w:r>
        <w:rPr>
          <w:rFonts w:ascii="宋体" w:hAnsi="宋体" w:eastAsia="宋体" w:cs="宋体"/>
          <w:color w:val="auto"/>
          <w:spacing w:val="-4"/>
          <w:sz w:val="24"/>
          <w:szCs w:val="24"/>
          <w:highlight w:val="none"/>
        </w:rPr>
        <w:t>为保证评标工作的</w:t>
      </w:r>
      <w:r>
        <w:rPr>
          <w:rFonts w:ascii="宋体" w:hAnsi="宋体" w:eastAsia="宋体" w:cs="宋体"/>
          <w:color w:val="auto"/>
          <w:spacing w:val="-5"/>
          <w:sz w:val="24"/>
          <w:szCs w:val="24"/>
          <w:highlight w:val="none"/>
        </w:rPr>
        <w:t>顺利进行，推荐一名评委</w:t>
      </w:r>
      <w:r>
        <w:rPr>
          <w:rFonts w:ascii="宋体" w:hAnsi="宋体" w:eastAsia="宋体" w:cs="宋体"/>
          <w:color w:val="auto"/>
          <w:spacing w:val="-1"/>
          <w:sz w:val="24"/>
          <w:szCs w:val="24"/>
          <w:highlight w:val="none"/>
        </w:rPr>
        <w:t>担任评委会主任，负责评标全面工作。</w:t>
      </w:r>
    </w:p>
    <w:p w14:paraId="05EB16ED">
      <w:pPr>
        <w:spacing w:before="1" w:line="220" w:lineRule="auto"/>
        <w:ind w:left="34"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（二）评审方法：综合评分法</w:t>
      </w:r>
    </w:p>
    <w:p w14:paraId="10CDF4B3">
      <w:pPr>
        <w:spacing w:before="152" w:line="339" w:lineRule="auto"/>
        <w:ind w:left="43" w:right="105" w:firstLine="46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综合评分法，是指投标文件满足招标文件全部实质性要求</w:t>
      </w:r>
      <w:r>
        <w:rPr>
          <w:rFonts w:ascii="宋体" w:hAnsi="宋体" w:eastAsia="宋体" w:cs="宋体"/>
          <w:color w:val="auto"/>
          <w:spacing w:val="-4"/>
          <w:sz w:val="24"/>
          <w:szCs w:val="24"/>
          <w:highlight w:val="none"/>
        </w:rPr>
        <w:t>，且按照评审因素</w:t>
      </w:r>
      <w:r>
        <w:rPr>
          <w:rFonts w:ascii="宋体" w:hAnsi="宋体" w:eastAsia="宋体" w:cs="宋体"/>
          <w:color w:val="auto"/>
          <w:spacing w:val="-1"/>
          <w:sz w:val="24"/>
          <w:szCs w:val="24"/>
          <w:highlight w:val="none"/>
        </w:rPr>
        <w:t>的量化指标评审得分最高的供应商为中标候选人的评</w:t>
      </w:r>
      <w:r>
        <w:rPr>
          <w:rFonts w:ascii="宋体" w:hAnsi="宋体" w:eastAsia="宋体" w:cs="宋体"/>
          <w:color w:val="auto"/>
          <w:spacing w:val="-2"/>
          <w:sz w:val="24"/>
          <w:szCs w:val="24"/>
          <w:highlight w:val="none"/>
        </w:rPr>
        <w:t>标方法。</w:t>
      </w:r>
    </w:p>
    <w:p w14:paraId="7A7870F3">
      <w:pPr>
        <w:spacing w:before="1" w:line="220" w:lineRule="auto"/>
        <w:ind w:left="34" w:leftChars="0"/>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（三）评标工作</w:t>
      </w:r>
    </w:p>
    <w:p w14:paraId="3BC5867E">
      <w:pPr>
        <w:spacing w:before="151" w:line="339" w:lineRule="auto"/>
        <w:ind w:left="26" w:right="105" w:firstLine="47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评标本着客观公正、公平竞争、择优推荐、规范合法的原则进行</w:t>
      </w:r>
      <w:r>
        <w:rPr>
          <w:rFonts w:ascii="宋体" w:hAnsi="宋体" w:eastAsia="宋体" w:cs="宋体"/>
          <w:color w:val="auto"/>
          <w:spacing w:val="-4"/>
          <w:sz w:val="24"/>
          <w:szCs w:val="24"/>
          <w:highlight w:val="none"/>
        </w:rPr>
        <w:t>。评标工作</w:t>
      </w:r>
      <w:r>
        <w:rPr>
          <w:rFonts w:ascii="宋体" w:hAnsi="宋体" w:eastAsia="宋体" w:cs="宋体"/>
          <w:color w:val="auto"/>
          <w:spacing w:val="-1"/>
          <w:sz w:val="24"/>
          <w:szCs w:val="24"/>
          <w:highlight w:val="none"/>
        </w:rPr>
        <w:t>分为资格审查、符合性审查和详细评审三个步骤。</w:t>
      </w:r>
    </w:p>
    <w:p w14:paraId="3EAEEC32">
      <w:pPr>
        <w:spacing w:before="4" w:line="298" w:lineRule="auto"/>
        <w:ind w:left="24" w:right="24" w:firstLine="49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1.资格审查。采购人或代理机构对各供应商的资格进行审查。资格审查合格</w:t>
      </w:r>
      <w:r>
        <w:rPr>
          <w:rFonts w:ascii="宋体" w:hAnsi="宋体" w:eastAsia="宋体" w:cs="宋体"/>
          <w:color w:val="auto"/>
          <w:spacing w:val="-7"/>
          <w:sz w:val="24"/>
          <w:szCs w:val="24"/>
          <w:highlight w:val="none"/>
        </w:rPr>
        <w:t>的供应商方可进入符合性审查。不具备招标文件中规定</w:t>
      </w:r>
      <w:r>
        <w:rPr>
          <w:rFonts w:ascii="宋体" w:hAnsi="宋体" w:eastAsia="宋体" w:cs="宋体"/>
          <w:color w:val="auto"/>
          <w:spacing w:val="-8"/>
          <w:sz w:val="24"/>
          <w:szCs w:val="24"/>
          <w:highlight w:val="none"/>
        </w:rPr>
        <w:t>的资格要求的，投标无效。</w:t>
      </w:r>
      <w:r>
        <w:rPr>
          <w:rFonts w:ascii="宋体" w:hAnsi="宋体" w:eastAsia="宋体" w:cs="宋体"/>
          <w:color w:val="auto"/>
          <w:spacing w:val="-3"/>
          <w:sz w:val="24"/>
          <w:szCs w:val="24"/>
          <w:highlight w:val="none"/>
        </w:rPr>
        <w:t>合格供应商不足3家的，不得评标。</w:t>
      </w:r>
    </w:p>
    <w:p w14:paraId="24F0D6CA">
      <w:pPr>
        <w:spacing w:before="153" w:line="279" w:lineRule="auto"/>
        <w:ind w:left="23" w:right="105"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2.符合性审查。评委会对供应商的投标文件进行符合性审查。符</w:t>
      </w:r>
      <w:r>
        <w:rPr>
          <w:rFonts w:ascii="宋体" w:hAnsi="宋体" w:eastAsia="宋体" w:cs="宋体"/>
          <w:color w:val="auto"/>
          <w:spacing w:val="-4"/>
          <w:sz w:val="24"/>
          <w:szCs w:val="24"/>
          <w:highlight w:val="none"/>
        </w:rPr>
        <w:t>合性审查合</w:t>
      </w:r>
      <w:r>
        <w:rPr>
          <w:rFonts w:ascii="宋体" w:hAnsi="宋体" w:eastAsia="宋体" w:cs="宋体"/>
          <w:color w:val="auto"/>
          <w:spacing w:val="-1"/>
          <w:sz w:val="24"/>
          <w:szCs w:val="24"/>
          <w:highlight w:val="none"/>
        </w:rPr>
        <w:t>格的供应商方可进入详细评审。有一项不符合的，投标无效。</w:t>
      </w:r>
    </w:p>
    <w:p w14:paraId="1C020AB9">
      <w:pPr>
        <w:spacing w:before="154" w:line="315" w:lineRule="auto"/>
        <w:ind w:left="24" w:firstLine="48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2.1政府采购应当采购本国货物。按照财政</w:t>
      </w:r>
      <w:r>
        <w:rPr>
          <w:rFonts w:ascii="宋体" w:hAnsi="宋体" w:eastAsia="宋体" w:cs="宋体"/>
          <w:color w:val="auto"/>
          <w:spacing w:val="-6"/>
          <w:sz w:val="24"/>
          <w:szCs w:val="24"/>
          <w:highlight w:val="none"/>
        </w:rPr>
        <w:t>部《政府采购进口产品管理办法》</w:t>
      </w:r>
      <w:r>
        <w:rPr>
          <w:rFonts w:ascii="宋体" w:hAnsi="宋体" w:eastAsia="宋体" w:cs="宋体"/>
          <w:color w:val="auto"/>
          <w:spacing w:val="-3"/>
          <w:sz w:val="24"/>
          <w:szCs w:val="24"/>
          <w:highlight w:val="none"/>
        </w:rPr>
        <w:t>规定确需采购进口产品的，实行审核管理。经审核允许采购进口产品的，不得排斥符合要求的本国产品。在招标文件中未标明采购进口产品的，均为采购本国产品。供应商必须投标本国产品，投标进口产品的，投标无效。进口产品是指通过</w:t>
      </w:r>
      <w:r>
        <w:rPr>
          <w:rFonts w:ascii="宋体" w:hAnsi="宋体" w:eastAsia="宋体" w:cs="宋体"/>
          <w:color w:val="auto"/>
          <w:spacing w:val="-1"/>
          <w:sz w:val="24"/>
          <w:szCs w:val="24"/>
          <w:highlight w:val="none"/>
        </w:rPr>
        <w:t>中国海关报关验放进入中国境内且产自关境外的产品。</w:t>
      </w:r>
    </w:p>
    <w:p w14:paraId="34FC05B2">
      <w:pPr>
        <w:spacing w:before="151" w:line="319" w:lineRule="auto"/>
        <w:ind w:left="23" w:right="105"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2.2核心产品提供相同品牌、相同型号且通过资格审查、符合性审查的不同</w:t>
      </w:r>
      <w:r>
        <w:rPr>
          <w:rFonts w:ascii="宋体" w:hAnsi="宋体" w:eastAsia="宋体" w:cs="宋体"/>
          <w:color w:val="auto"/>
          <w:spacing w:val="-3"/>
          <w:sz w:val="24"/>
          <w:szCs w:val="24"/>
          <w:highlight w:val="none"/>
        </w:rPr>
        <w:t>投标供应商参加同一合同项下投标的，按一家投标供应商计算，评审后得分最高</w:t>
      </w:r>
      <w:r>
        <w:rPr>
          <w:rFonts w:ascii="宋体" w:hAnsi="宋体" w:eastAsia="宋体" w:cs="宋体"/>
          <w:color w:val="auto"/>
          <w:spacing w:val="-1"/>
          <w:sz w:val="24"/>
          <w:szCs w:val="24"/>
          <w:highlight w:val="none"/>
        </w:rPr>
        <w:t>的同品牌同型号投标供应商获得中标人推荐资格；评审得分相同的，参照5.1</w:t>
      </w:r>
      <w:r>
        <w:rPr>
          <w:rFonts w:ascii="宋体" w:hAnsi="宋体" w:eastAsia="宋体" w:cs="宋体"/>
          <w:color w:val="auto"/>
          <w:spacing w:val="-3"/>
          <w:sz w:val="24"/>
          <w:szCs w:val="24"/>
          <w:highlight w:val="none"/>
        </w:rPr>
        <w:t>规定确定一个投标供应商获得中标人推荐资格，其他同品牌同型号投标供应商不作为中标候选人。符合性审查后，因提供相同品牌、相同型号产品的不同投标供</w:t>
      </w:r>
      <w:r>
        <w:rPr>
          <w:rFonts w:ascii="宋体" w:hAnsi="宋体" w:eastAsia="宋体" w:cs="宋体"/>
          <w:color w:val="auto"/>
          <w:spacing w:val="-1"/>
          <w:sz w:val="24"/>
          <w:szCs w:val="24"/>
          <w:highlight w:val="none"/>
        </w:rPr>
        <w:t>应商按一家计算而导致有效投标供应商不足3</w:t>
      </w:r>
      <w:r>
        <w:rPr>
          <w:rFonts w:ascii="宋体" w:hAnsi="宋体" w:eastAsia="宋体" w:cs="宋体"/>
          <w:color w:val="auto"/>
          <w:spacing w:val="-2"/>
          <w:sz w:val="24"/>
          <w:szCs w:val="24"/>
          <w:highlight w:val="none"/>
        </w:rPr>
        <w:t>家的，应予废标。</w:t>
      </w:r>
    </w:p>
    <w:p w14:paraId="13F8D279">
      <w:pPr>
        <w:spacing w:line="319" w:lineRule="auto"/>
        <w:rPr>
          <w:rFonts w:ascii="宋体" w:hAnsi="宋体" w:eastAsia="宋体" w:cs="宋体"/>
          <w:color w:val="auto"/>
          <w:sz w:val="24"/>
          <w:szCs w:val="24"/>
          <w:highlight w:val="none"/>
        </w:rPr>
        <w:sectPr>
          <w:footerReference r:id="rId12" w:type="default"/>
          <w:pgSz w:w="11906" w:h="16839"/>
          <w:pgMar w:top="1431" w:right="1693" w:bottom="1209" w:left="1785" w:header="0" w:footer="973" w:gutter="0"/>
          <w:pgNumType w:fmt="decimal"/>
          <w:cols w:space="720" w:num="1"/>
        </w:sectPr>
      </w:pPr>
    </w:p>
    <w:p w14:paraId="2214E467">
      <w:pPr>
        <w:spacing w:before="158" w:line="338" w:lineRule="auto"/>
        <w:ind w:left="28"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3.详细评审。详细评审采用综合评分法。评委依据评标办法</w:t>
      </w:r>
      <w:r>
        <w:rPr>
          <w:rFonts w:ascii="宋体" w:hAnsi="宋体" w:eastAsia="宋体" w:cs="宋体"/>
          <w:color w:val="auto"/>
          <w:spacing w:val="-4"/>
          <w:sz w:val="24"/>
          <w:szCs w:val="24"/>
          <w:highlight w:val="none"/>
        </w:rPr>
        <w:t>分别对各供应商</w:t>
      </w:r>
      <w:r>
        <w:rPr>
          <w:rFonts w:ascii="宋体" w:hAnsi="宋体" w:eastAsia="宋体" w:cs="宋体"/>
          <w:color w:val="auto"/>
          <w:spacing w:val="-8"/>
          <w:sz w:val="24"/>
          <w:szCs w:val="24"/>
          <w:highlight w:val="none"/>
        </w:rPr>
        <w:t>的投标文件进行评审、赋分。如果通过资格审查和符合性审查的供应商不足三家，</w:t>
      </w:r>
      <w:r>
        <w:rPr>
          <w:rFonts w:ascii="宋体" w:hAnsi="宋体" w:eastAsia="宋体" w:cs="宋体"/>
          <w:color w:val="auto"/>
          <w:spacing w:val="-2"/>
          <w:sz w:val="24"/>
          <w:szCs w:val="24"/>
          <w:highlight w:val="none"/>
        </w:rPr>
        <w:t>则采购人重新招标。</w:t>
      </w:r>
    </w:p>
    <w:p w14:paraId="1DF7BA6A">
      <w:pPr>
        <w:spacing w:before="1" w:line="220" w:lineRule="auto"/>
        <w:ind w:left="34"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（四）询标（必要时）</w:t>
      </w:r>
    </w:p>
    <w:p w14:paraId="02BB1976">
      <w:pPr>
        <w:spacing w:before="152" w:line="219" w:lineRule="auto"/>
        <w:ind w:left="502"/>
        <w:rPr>
          <w:rFonts w:ascii="宋体" w:hAnsi="宋体" w:eastAsia="宋体" w:cs="宋体"/>
          <w:color w:val="auto"/>
          <w:sz w:val="24"/>
          <w:szCs w:val="24"/>
          <w:highlight w:val="none"/>
        </w:rPr>
      </w:pPr>
      <w:r>
        <w:rPr>
          <w:rFonts w:ascii="宋体" w:hAnsi="宋体" w:eastAsia="宋体" w:cs="宋体"/>
          <w:color w:val="auto"/>
          <w:sz w:val="24"/>
          <w:szCs w:val="24"/>
          <w:highlight w:val="none"/>
        </w:rPr>
        <w:t>评标委员会对投标文件需要澄清的问题，采</w:t>
      </w:r>
      <w:r>
        <w:rPr>
          <w:rFonts w:ascii="宋体" w:hAnsi="宋体" w:eastAsia="宋体" w:cs="宋体"/>
          <w:color w:val="auto"/>
          <w:spacing w:val="-1"/>
          <w:sz w:val="24"/>
          <w:szCs w:val="24"/>
          <w:highlight w:val="none"/>
        </w:rPr>
        <w:t>用集体询标方式进行。</w:t>
      </w:r>
    </w:p>
    <w:p w14:paraId="0AF6CF49">
      <w:pPr>
        <w:spacing w:before="154" w:line="219" w:lineRule="auto"/>
        <w:ind w:left="34"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（五）推荐中标候选人</w:t>
      </w:r>
    </w:p>
    <w:p w14:paraId="5092AA55">
      <w:pPr>
        <w:spacing w:before="159" w:line="318" w:lineRule="auto"/>
        <w:ind w:left="22" w:right="63"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5.1汇总各评委得分,投标供应商最终得分按各位评委打分平均值计取,保</w:t>
      </w:r>
      <w:r>
        <w:rPr>
          <w:rFonts w:ascii="宋体" w:hAnsi="宋体" w:eastAsia="宋体" w:cs="宋体"/>
          <w:color w:val="auto"/>
          <w:spacing w:val="-3"/>
          <w:sz w:val="24"/>
          <w:szCs w:val="24"/>
          <w:highlight w:val="none"/>
        </w:rPr>
        <w:t>留小数点后两位。评标结果按评审后得分由高到低顺序排列。得分相同的，按投标报价由低到高顺序排列。得分且投标报价相同的并列。投标文件满足招标文件全部实质性要求，且按照评审因素的量化指标评审得分最高的投标供应商为排名第一的中标候选人。评标委员会根据综合评审结果，按照综合得分由高到低的顺</w:t>
      </w:r>
      <w:r>
        <w:rPr>
          <w:rFonts w:ascii="宋体" w:hAnsi="宋体" w:eastAsia="宋体" w:cs="宋体"/>
          <w:color w:val="auto"/>
          <w:sz w:val="24"/>
          <w:szCs w:val="24"/>
          <w:highlight w:val="none"/>
        </w:rPr>
        <w:t>序，推荐三名中标候选人，由采购人确定排名第</w:t>
      </w:r>
      <w:r>
        <w:rPr>
          <w:rFonts w:ascii="宋体" w:hAnsi="宋体" w:eastAsia="宋体" w:cs="宋体"/>
          <w:color w:val="auto"/>
          <w:spacing w:val="-1"/>
          <w:sz w:val="24"/>
          <w:szCs w:val="24"/>
          <w:highlight w:val="none"/>
        </w:rPr>
        <w:t>一的供应商为中标人。</w:t>
      </w:r>
    </w:p>
    <w:p w14:paraId="3D9F426F">
      <w:pPr>
        <w:spacing w:before="156" w:line="298" w:lineRule="auto"/>
        <w:ind w:left="29" w:right="63"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5.2评标委员会成员对需要共同认定的事项存在争议的，应当按照少数服从</w:t>
      </w:r>
      <w:r>
        <w:rPr>
          <w:rFonts w:ascii="宋体" w:hAnsi="宋体" w:eastAsia="宋体" w:cs="宋体"/>
          <w:color w:val="auto"/>
          <w:spacing w:val="-3"/>
          <w:sz w:val="24"/>
          <w:szCs w:val="24"/>
          <w:highlight w:val="none"/>
        </w:rPr>
        <w:t>多数的原则作出结论。持不同意见的评标委员会成员应当在评标报</w:t>
      </w:r>
      <w:r>
        <w:rPr>
          <w:rFonts w:ascii="宋体" w:hAnsi="宋体" w:eastAsia="宋体" w:cs="宋体"/>
          <w:color w:val="auto"/>
          <w:spacing w:val="-4"/>
          <w:sz w:val="24"/>
          <w:szCs w:val="24"/>
          <w:highlight w:val="none"/>
        </w:rPr>
        <w:t>告上签署不同</w:t>
      </w:r>
      <w:r>
        <w:rPr>
          <w:rFonts w:ascii="宋体" w:hAnsi="宋体" w:eastAsia="宋体" w:cs="宋体"/>
          <w:color w:val="auto"/>
          <w:spacing w:val="-1"/>
          <w:sz w:val="24"/>
          <w:szCs w:val="24"/>
          <w:highlight w:val="none"/>
        </w:rPr>
        <w:t>意见及理由，否则视为同意评标报告。</w:t>
      </w:r>
    </w:p>
    <w:p w14:paraId="419131B9">
      <w:pPr>
        <w:spacing w:line="298" w:lineRule="auto"/>
        <w:rPr>
          <w:rFonts w:ascii="宋体" w:hAnsi="宋体" w:eastAsia="宋体" w:cs="宋体"/>
          <w:color w:val="auto"/>
          <w:sz w:val="24"/>
          <w:szCs w:val="24"/>
          <w:highlight w:val="none"/>
        </w:rPr>
        <w:sectPr>
          <w:footerReference r:id="rId13" w:type="default"/>
          <w:pgSz w:w="11906" w:h="16839"/>
          <w:pgMar w:top="1431" w:right="1736" w:bottom="1209" w:left="1785" w:header="0" w:footer="973" w:gutter="0"/>
          <w:pgNumType w:fmt="decimal"/>
          <w:cols w:space="720" w:num="1"/>
        </w:sectPr>
      </w:pPr>
    </w:p>
    <w:p w14:paraId="3D58F223">
      <w:pPr>
        <w:spacing w:before="155" w:line="282" w:lineRule="auto"/>
        <w:ind w:left="131" w:leftChars="0" w:right="6248" w:rightChars="0" w:hanging="7" w:firstLineChars="0"/>
        <w:outlineLvl w:val="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二、评标办法和标准</w:t>
      </w:r>
      <w:r>
        <w:rPr>
          <w:rFonts w:ascii="宋体" w:hAnsi="宋体" w:eastAsia="宋体" w:cs="宋体"/>
          <w:b/>
          <w:bCs/>
          <w:color w:val="auto"/>
          <w:spacing w:val="-5"/>
          <w:sz w:val="24"/>
          <w:szCs w:val="24"/>
          <w:highlight w:val="none"/>
        </w:rPr>
        <w:t>（一）资格审查</w:t>
      </w:r>
    </w:p>
    <w:tbl>
      <w:tblPr>
        <w:tblStyle w:val="18"/>
        <w:tblW w:w="8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290"/>
        <w:gridCol w:w="6672"/>
      </w:tblGrid>
      <w:tr w14:paraId="47859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59" w:type="dxa"/>
            <w:noWrap w:val="0"/>
            <w:textDirection w:val="tbRlV"/>
            <w:vAlign w:val="top"/>
          </w:tcPr>
          <w:p w14:paraId="5DBCFB9F">
            <w:pPr>
              <w:pStyle w:val="17"/>
              <w:spacing w:before="157" w:line="210" w:lineRule="auto"/>
              <w:ind w:left="45"/>
              <w:rPr>
                <w:color w:val="auto"/>
                <w:highlight w:val="none"/>
              </w:rPr>
            </w:pPr>
            <w:r>
              <w:rPr>
                <w:color w:val="auto"/>
                <w:highlight w:val="none"/>
              </w:rPr>
              <w:t>序号</w:t>
            </w:r>
          </w:p>
        </w:tc>
        <w:tc>
          <w:tcPr>
            <w:tcW w:w="1290" w:type="dxa"/>
            <w:noWrap w:val="0"/>
            <w:vAlign w:val="top"/>
          </w:tcPr>
          <w:p w14:paraId="68FE9F7B">
            <w:pPr>
              <w:pStyle w:val="17"/>
              <w:spacing w:before="232" w:line="220" w:lineRule="auto"/>
              <w:ind w:left="169"/>
              <w:rPr>
                <w:color w:val="auto"/>
                <w:highlight w:val="none"/>
              </w:rPr>
            </w:pPr>
            <w:r>
              <w:rPr>
                <w:color w:val="auto"/>
                <w:spacing w:val="-3"/>
                <w:highlight w:val="none"/>
              </w:rPr>
              <w:t>评审因素</w:t>
            </w:r>
          </w:p>
        </w:tc>
        <w:tc>
          <w:tcPr>
            <w:tcW w:w="6672" w:type="dxa"/>
            <w:noWrap w:val="0"/>
            <w:vAlign w:val="top"/>
          </w:tcPr>
          <w:p w14:paraId="02844A72">
            <w:pPr>
              <w:pStyle w:val="17"/>
              <w:spacing w:before="231" w:line="221" w:lineRule="auto"/>
              <w:ind w:left="2861"/>
              <w:rPr>
                <w:color w:val="auto"/>
                <w:highlight w:val="none"/>
              </w:rPr>
            </w:pPr>
            <w:r>
              <w:rPr>
                <w:color w:val="auto"/>
                <w:spacing w:val="-3"/>
                <w:highlight w:val="none"/>
              </w:rPr>
              <w:t>评审标准</w:t>
            </w:r>
          </w:p>
        </w:tc>
      </w:tr>
      <w:tr w14:paraId="00CE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559" w:type="dxa"/>
            <w:noWrap w:val="0"/>
            <w:vAlign w:val="top"/>
          </w:tcPr>
          <w:p w14:paraId="5FB38F5C">
            <w:pPr>
              <w:pStyle w:val="17"/>
              <w:spacing w:before="78" w:line="242" w:lineRule="auto"/>
              <w:ind w:left="243"/>
              <w:rPr>
                <w:color w:val="auto"/>
                <w:highlight w:val="none"/>
              </w:rPr>
            </w:pPr>
            <w:r>
              <w:rPr>
                <w:color w:val="auto"/>
                <w:highlight w:val="none"/>
              </w:rPr>
              <w:t>1</w:t>
            </w:r>
          </w:p>
        </w:tc>
        <w:tc>
          <w:tcPr>
            <w:tcW w:w="1290" w:type="dxa"/>
            <w:noWrap w:val="0"/>
            <w:vAlign w:val="top"/>
          </w:tcPr>
          <w:p w14:paraId="3279CAFE">
            <w:pPr>
              <w:pStyle w:val="17"/>
              <w:spacing w:before="78" w:line="220" w:lineRule="auto"/>
              <w:ind w:left="177"/>
              <w:rPr>
                <w:color w:val="auto"/>
                <w:highlight w:val="none"/>
              </w:rPr>
            </w:pPr>
            <w:r>
              <w:rPr>
                <w:color w:val="auto"/>
                <w:spacing w:val="-5"/>
                <w:highlight w:val="none"/>
              </w:rPr>
              <w:t>营业执照</w:t>
            </w:r>
          </w:p>
        </w:tc>
        <w:tc>
          <w:tcPr>
            <w:tcW w:w="6672" w:type="dxa"/>
            <w:noWrap w:val="0"/>
            <w:vAlign w:val="top"/>
          </w:tcPr>
          <w:p w14:paraId="1A302F93">
            <w:pPr>
              <w:pStyle w:val="17"/>
              <w:spacing w:before="36" w:line="287" w:lineRule="auto"/>
              <w:ind w:left="133" w:right="106" w:hanging="19"/>
              <w:rPr>
                <w:color w:val="auto"/>
                <w:highlight w:val="none"/>
              </w:rPr>
            </w:pPr>
            <w:r>
              <w:rPr>
                <w:color w:val="auto"/>
                <w:spacing w:val="-1"/>
                <w:highlight w:val="none"/>
              </w:rPr>
              <w:t>供应商须是具有独立的法人资格的企业或其</w:t>
            </w:r>
            <w:r>
              <w:rPr>
                <w:color w:val="auto"/>
                <w:spacing w:val="-2"/>
                <w:highlight w:val="none"/>
              </w:rPr>
              <w:t>他组织，具有有效</w:t>
            </w:r>
            <w:r>
              <w:rPr>
                <w:color w:val="auto"/>
                <w:spacing w:val="-3"/>
                <w:highlight w:val="none"/>
              </w:rPr>
              <w:t>的营业执照，并在人员、设备、资金等方面具有相应的能力。</w:t>
            </w:r>
          </w:p>
          <w:p w14:paraId="5E4B8C3E">
            <w:pPr>
              <w:pStyle w:val="17"/>
              <w:spacing w:line="219" w:lineRule="auto"/>
              <w:ind w:left="117"/>
              <w:rPr>
                <w:color w:val="auto"/>
                <w:highlight w:val="none"/>
              </w:rPr>
            </w:pPr>
            <w:r>
              <w:rPr>
                <w:b/>
                <w:bCs/>
                <w:color w:val="auto"/>
                <w:spacing w:val="-3"/>
                <w:highlight w:val="none"/>
              </w:rPr>
              <w:t>投标文件内附营业执照扫描件加盖公章。</w:t>
            </w:r>
          </w:p>
        </w:tc>
      </w:tr>
      <w:tr w14:paraId="0662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559" w:type="dxa"/>
            <w:shd w:val="clear" w:color="auto" w:fill="auto"/>
            <w:noWrap w:val="0"/>
            <w:vAlign w:val="top"/>
          </w:tcPr>
          <w:p w14:paraId="460C751E">
            <w:pPr>
              <w:pStyle w:val="17"/>
              <w:spacing w:before="78" w:line="242" w:lineRule="auto"/>
              <w:ind w:left="228" w:leftChars="0"/>
              <w:rPr>
                <w:rFonts w:ascii="宋体" w:hAnsi="宋体" w:eastAsia="宋体" w:cs="宋体"/>
                <w:snapToGrid w:val="0"/>
                <w:color w:val="auto"/>
                <w:kern w:val="0"/>
                <w:sz w:val="24"/>
                <w:szCs w:val="24"/>
                <w:highlight w:val="none"/>
                <w:lang w:val="en-US" w:eastAsia="en-US" w:bidi="ar-SA"/>
              </w:rPr>
            </w:pPr>
            <w:r>
              <w:rPr>
                <w:color w:val="auto"/>
                <w:highlight w:val="none"/>
              </w:rPr>
              <w:t>2</w:t>
            </w:r>
          </w:p>
        </w:tc>
        <w:tc>
          <w:tcPr>
            <w:tcW w:w="1290" w:type="dxa"/>
            <w:noWrap w:val="0"/>
            <w:vAlign w:val="top"/>
          </w:tcPr>
          <w:p w14:paraId="34D533A4">
            <w:pPr>
              <w:pStyle w:val="17"/>
              <w:spacing w:before="78" w:line="220" w:lineRule="auto"/>
              <w:ind w:left="116"/>
              <w:rPr>
                <w:color w:val="auto"/>
                <w:highlight w:val="none"/>
              </w:rPr>
            </w:pPr>
            <w:r>
              <w:rPr>
                <w:color w:val="auto"/>
                <w:spacing w:val="-4"/>
                <w:highlight w:val="none"/>
              </w:rPr>
              <w:t>履约能力</w:t>
            </w:r>
          </w:p>
        </w:tc>
        <w:tc>
          <w:tcPr>
            <w:tcW w:w="6672" w:type="dxa"/>
            <w:noWrap w:val="0"/>
            <w:vAlign w:val="top"/>
          </w:tcPr>
          <w:p w14:paraId="1217A5C7">
            <w:pPr>
              <w:pStyle w:val="17"/>
              <w:spacing w:before="37" w:line="220" w:lineRule="auto"/>
              <w:ind w:left="118"/>
              <w:rPr>
                <w:color w:val="auto"/>
                <w:highlight w:val="none"/>
              </w:rPr>
            </w:pPr>
            <w:r>
              <w:rPr>
                <w:color w:val="auto"/>
                <w:spacing w:val="-1"/>
                <w:highlight w:val="none"/>
              </w:rPr>
              <w:t>具有履行合同所必需的设备和专业技术能力。</w:t>
            </w:r>
          </w:p>
          <w:p w14:paraId="402539B7">
            <w:pPr>
              <w:pStyle w:val="17"/>
              <w:spacing w:before="85" w:line="271" w:lineRule="auto"/>
              <w:ind w:left="122" w:right="108" w:hanging="5"/>
              <w:rPr>
                <w:color w:val="auto"/>
                <w:highlight w:val="none"/>
              </w:rPr>
            </w:pPr>
            <w:r>
              <w:rPr>
                <w:b/>
                <w:bCs/>
                <w:color w:val="auto"/>
                <w:spacing w:val="5"/>
                <w:highlight w:val="none"/>
              </w:rPr>
              <w:t>投标文件内附由法定代表人或授权代表签字或盖章并加盖公</w:t>
            </w:r>
            <w:r>
              <w:rPr>
                <w:b/>
                <w:bCs/>
                <w:color w:val="auto"/>
                <w:spacing w:val="-5"/>
                <w:highlight w:val="none"/>
              </w:rPr>
              <w:t>章的承诺书。</w:t>
            </w:r>
          </w:p>
        </w:tc>
      </w:tr>
      <w:tr w14:paraId="2E94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8" w:hRule="atLeast"/>
        </w:trPr>
        <w:tc>
          <w:tcPr>
            <w:tcW w:w="559" w:type="dxa"/>
            <w:shd w:val="clear" w:color="auto" w:fill="auto"/>
            <w:noWrap w:val="0"/>
            <w:vAlign w:val="top"/>
          </w:tcPr>
          <w:p w14:paraId="7CB355FC">
            <w:pPr>
              <w:pStyle w:val="17"/>
              <w:spacing w:before="78"/>
              <w:ind w:left="230" w:leftChars="0"/>
              <w:rPr>
                <w:rFonts w:ascii="宋体" w:hAnsi="宋体" w:eastAsia="宋体" w:cs="宋体"/>
                <w:snapToGrid w:val="0"/>
                <w:color w:val="auto"/>
                <w:kern w:val="0"/>
                <w:sz w:val="24"/>
                <w:szCs w:val="24"/>
                <w:highlight w:val="none"/>
                <w:lang w:val="en-US" w:eastAsia="en-US" w:bidi="ar-SA"/>
              </w:rPr>
            </w:pPr>
            <w:r>
              <w:rPr>
                <w:color w:val="auto"/>
                <w:highlight w:val="none"/>
              </w:rPr>
              <w:t>3</w:t>
            </w:r>
          </w:p>
        </w:tc>
        <w:tc>
          <w:tcPr>
            <w:tcW w:w="1290" w:type="dxa"/>
            <w:noWrap w:val="0"/>
            <w:vAlign w:val="top"/>
          </w:tcPr>
          <w:p w14:paraId="1D677CD0">
            <w:pPr>
              <w:pStyle w:val="17"/>
              <w:spacing w:before="78" w:line="220" w:lineRule="auto"/>
              <w:ind w:left="171"/>
              <w:rPr>
                <w:color w:val="auto"/>
                <w:highlight w:val="none"/>
              </w:rPr>
            </w:pPr>
            <w:r>
              <w:rPr>
                <w:color w:val="auto"/>
                <w:spacing w:val="-3"/>
                <w:highlight w:val="none"/>
              </w:rPr>
              <w:t>财务状况</w:t>
            </w:r>
          </w:p>
        </w:tc>
        <w:tc>
          <w:tcPr>
            <w:tcW w:w="6672" w:type="dxa"/>
            <w:noWrap w:val="0"/>
            <w:vAlign w:val="top"/>
          </w:tcPr>
          <w:p w14:paraId="2032B249">
            <w:pPr>
              <w:pStyle w:val="17"/>
              <w:spacing w:before="39" w:line="239" w:lineRule="auto"/>
              <w:ind w:left="113" w:right="108"/>
              <w:rPr>
                <w:color w:val="auto"/>
                <w:highlight w:val="none"/>
              </w:rPr>
            </w:pPr>
            <w:r>
              <w:rPr>
                <w:color w:val="auto"/>
                <w:highlight w:val="none"/>
              </w:rPr>
              <w:t>近三年（2022年、2023年、2024</w:t>
            </w:r>
            <w:r>
              <w:rPr>
                <w:color w:val="auto"/>
                <w:spacing w:val="-1"/>
                <w:highlight w:val="none"/>
              </w:rPr>
              <w:t>年）财务状况良好，具有健</w:t>
            </w:r>
            <w:r>
              <w:rPr>
                <w:color w:val="auto"/>
                <w:spacing w:val="-2"/>
                <w:highlight w:val="none"/>
              </w:rPr>
              <w:t>全的财务会计制度。</w:t>
            </w:r>
          </w:p>
          <w:p w14:paraId="59E81F5D">
            <w:pPr>
              <w:pStyle w:val="17"/>
              <w:spacing w:before="5" w:line="281" w:lineRule="auto"/>
              <w:ind w:left="113" w:right="108" w:firstLine="3"/>
              <w:jc w:val="both"/>
              <w:rPr>
                <w:color w:val="auto"/>
                <w:highlight w:val="none"/>
              </w:rPr>
            </w:pPr>
            <w:r>
              <w:rPr>
                <w:b/>
                <w:bCs/>
                <w:color w:val="auto"/>
                <w:spacing w:val="-3"/>
                <w:highlight w:val="none"/>
              </w:rPr>
              <w:t>投标文件内附近三年（2022年、2023年、2024年）经会计师</w:t>
            </w:r>
            <w:r>
              <w:rPr>
                <w:b/>
                <w:bCs/>
                <w:color w:val="auto"/>
                <w:spacing w:val="5"/>
                <w:highlight w:val="none"/>
              </w:rPr>
              <w:t>事务所或审计机构审计的财务审计报告扫描件及财务会计制</w:t>
            </w:r>
            <w:r>
              <w:rPr>
                <w:b/>
                <w:bCs/>
                <w:color w:val="auto"/>
                <w:spacing w:val="-7"/>
                <w:highlight w:val="none"/>
              </w:rPr>
              <w:t>度加盖公章。（成立日期在2022年-2024年之间的，提供从成</w:t>
            </w:r>
            <w:r>
              <w:rPr>
                <w:b/>
                <w:bCs/>
                <w:color w:val="auto"/>
                <w:spacing w:val="-3"/>
                <w:highlight w:val="none"/>
              </w:rPr>
              <w:t>立日期起至2024年之间的审计报告，2025年以后新成立的公</w:t>
            </w:r>
            <w:r>
              <w:rPr>
                <w:b/>
                <w:bCs/>
                <w:color w:val="auto"/>
                <w:spacing w:val="-4"/>
                <w:highlight w:val="none"/>
              </w:rPr>
              <w:t>司无审计报告的，提供由法定代表人或授权代表签字或盖章并</w:t>
            </w:r>
            <w:r>
              <w:rPr>
                <w:b/>
                <w:bCs/>
                <w:color w:val="auto"/>
                <w:spacing w:val="-2"/>
                <w:highlight w:val="none"/>
              </w:rPr>
              <w:t>加盖公章财务状况良好承诺书及财务会计制度加盖公章</w:t>
            </w:r>
            <w:r>
              <w:rPr>
                <w:b/>
                <w:bCs/>
                <w:color w:val="auto"/>
                <w:spacing w:val="-3"/>
                <w:highlight w:val="none"/>
              </w:rPr>
              <w:t>）。</w:t>
            </w:r>
          </w:p>
        </w:tc>
      </w:tr>
      <w:tr w14:paraId="0171A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559" w:type="dxa"/>
            <w:shd w:val="clear" w:color="auto" w:fill="auto"/>
            <w:noWrap w:val="0"/>
            <w:vAlign w:val="top"/>
          </w:tcPr>
          <w:p w14:paraId="4C0C196A">
            <w:pPr>
              <w:pStyle w:val="17"/>
              <w:spacing w:before="78" w:line="242" w:lineRule="auto"/>
              <w:ind w:left="224" w:leftChars="0"/>
              <w:rPr>
                <w:rFonts w:ascii="宋体" w:hAnsi="宋体" w:eastAsia="宋体" w:cs="宋体"/>
                <w:snapToGrid w:val="0"/>
                <w:color w:val="auto"/>
                <w:kern w:val="0"/>
                <w:sz w:val="24"/>
                <w:szCs w:val="24"/>
                <w:highlight w:val="none"/>
                <w:lang w:val="en-US" w:eastAsia="en-US" w:bidi="ar-SA"/>
              </w:rPr>
            </w:pPr>
            <w:r>
              <w:rPr>
                <w:color w:val="auto"/>
                <w:highlight w:val="none"/>
              </w:rPr>
              <w:t>4</w:t>
            </w:r>
          </w:p>
        </w:tc>
        <w:tc>
          <w:tcPr>
            <w:tcW w:w="1290" w:type="dxa"/>
            <w:noWrap w:val="0"/>
            <w:vAlign w:val="top"/>
          </w:tcPr>
          <w:p w14:paraId="60499089">
            <w:pPr>
              <w:pStyle w:val="17"/>
              <w:spacing w:before="78" w:line="220" w:lineRule="auto"/>
              <w:ind w:left="172"/>
              <w:rPr>
                <w:color w:val="auto"/>
                <w:highlight w:val="none"/>
              </w:rPr>
            </w:pPr>
            <w:r>
              <w:rPr>
                <w:color w:val="auto"/>
                <w:spacing w:val="-3"/>
                <w:highlight w:val="none"/>
              </w:rPr>
              <w:t>纳税及社</w:t>
            </w:r>
          </w:p>
          <w:p w14:paraId="2124D63A">
            <w:pPr>
              <w:pStyle w:val="17"/>
              <w:spacing w:before="85" w:line="221" w:lineRule="auto"/>
              <w:ind w:left="531"/>
              <w:rPr>
                <w:color w:val="auto"/>
                <w:highlight w:val="none"/>
              </w:rPr>
            </w:pPr>
            <w:r>
              <w:rPr>
                <w:color w:val="auto"/>
                <w:highlight w:val="none"/>
              </w:rPr>
              <w:t>保</w:t>
            </w:r>
          </w:p>
        </w:tc>
        <w:tc>
          <w:tcPr>
            <w:tcW w:w="6672" w:type="dxa"/>
            <w:noWrap w:val="0"/>
            <w:vAlign w:val="top"/>
          </w:tcPr>
          <w:p w14:paraId="4F92216E">
            <w:pPr>
              <w:pStyle w:val="17"/>
              <w:spacing w:before="39" w:line="219" w:lineRule="auto"/>
              <w:ind w:left="118"/>
              <w:rPr>
                <w:color w:val="auto"/>
                <w:highlight w:val="none"/>
              </w:rPr>
            </w:pPr>
            <w:r>
              <w:rPr>
                <w:color w:val="auto"/>
                <w:spacing w:val="-1"/>
                <w:highlight w:val="none"/>
              </w:rPr>
              <w:t>具有依法缴纳税收和社会保障金的良好记录。</w:t>
            </w:r>
          </w:p>
          <w:p w14:paraId="4D867575">
            <w:pPr>
              <w:pStyle w:val="17"/>
              <w:spacing w:before="28" w:line="275" w:lineRule="auto"/>
              <w:ind w:left="114" w:right="108" w:firstLine="2"/>
              <w:rPr>
                <w:color w:val="auto"/>
                <w:highlight w:val="none"/>
              </w:rPr>
            </w:pPr>
            <w:r>
              <w:rPr>
                <w:b/>
                <w:bCs/>
                <w:color w:val="auto"/>
                <w:spacing w:val="-1"/>
                <w:highlight w:val="none"/>
              </w:rPr>
              <w:t>投标文件内附2025年</w:t>
            </w:r>
            <w:r>
              <w:rPr>
                <w:rFonts w:hint="eastAsia"/>
                <w:b/>
                <w:bCs/>
                <w:color w:val="auto"/>
                <w:spacing w:val="-1"/>
                <w:highlight w:val="none"/>
                <w:lang w:val="en-US" w:eastAsia="zh-CN"/>
              </w:rPr>
              <w:t>1月</w:t>
            </w:r>
            <w:r>
              <w:rPr>
                <w:b/>
                <w:bCs/>
                <w:color w:val="auto"/>
                <w:spacing w:val="-1"/>
                <w:highlight w:val="none"/>
              </w:rPr>
              <w:t>至今任意一个月纳税证明及社会保障资</w:t>
            </w:r>
            <w:r>
              <w:rPr>
                <w:b/>
                <w:bCs/>
                <w:color w:val="auto"/>
                <w:spacing w:val="-4"/>
                <w:highlight w:val="none"/>
              </w:rPr>
              <w:t>金缴纳证明复印件加盖公章。依法免税的，应提供其依法免税</w:t>
            </w:r>
            <w:r>
              <w:rPr>
                <w:b/>
                <w:bCs/>
                <w:color w:val="auto"/>
                <w:spacing w:val="-6"/>
                <w:highlight w:val="none"/>
              </w:rPr>
              <w:t>证明。</w:t>
            </w:r>
          </w:p>
        </w:tc>
      </w:tr>
      <w:tr w14:paraId="52EFD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59" w:type="dxa"/>
            <w:shd w:val="clear" w:color="auto" w:fill="auto"/>
            <w:noWrap w:val="0"/>
            <w:vAlign w:val="top"/>
          </w:tcPr>
          <w:p w14:paraId="542E5D9B">
            <w:pPr>
              <w:pStyle w:val="17"/>
              <w:spacing w:before="78"/>
              <w:ind w:left="230" w:leftChars="0"/>
              <w:rPr>
                <w:rFonts w:ascii="宋体" w:hAnsi="宋体" w:eastAsia="宋体" w:cs="宋体"/>
                <w:snapToGrid w:val="0"/>
                <w:color w:val="auto"/>
                <w:kern w:val="0"/>
                <w:sz w:val="24"/>
                <w:szCs w:val="24"/>
                <w:highlight w:val="none"/>
                <w:lang w:val="en-US" w:eastAsia="en-US" w:bidi="ar-SA"/>
              </w:rPr>
            </w:pPr>
            <w:r>
              <w:rPr>
                <w:color w:val="auto"/>
                <w:highlight w:val="none"/>
              </w:rPr>
              <w:t>5</w:t>
            </w:r>
          </w:p>
        </w:tc>
        <w:tc>
          <w:tcPr>
            <w:tcW w:w="1290" w:type="dxa"/>
            <w:noWrap w:val="0"/>
            <w:vAlign w:val="top"/>
          </w:tcPr>
          <w:p w14:paraId="07C0C9B7">
            <w:pPr>
              <w:pStyle w:val="17"/>
              <w:spacing w:before="41" w:line="219" w:lineRule="auto"/>
              <w:ind w:left="170"/>
              <w:rPr>
                <w:color w:val="auto"/>
                <w:highlight w:val="none"/>
              </w:rPr>
            </w:pPr>
            <w:r>
              <w:rPr>
                <w:color w:val="auto"/>
                <w:spacing w:val="-3"/>
                <w:highlight w:val="none"/>
              </w:rPr>
              <w:t>信誉要求</w:t>
            </w:r>
          </w:p>
        </w:tc>
        <w:tc>
          <w:tcPr>
            <w:tcW w:w="6672" w:type="dxa"/>
            <w:noWrap w:val="0"/>
            <w:vAlign w:val="top"/>
          </w:tcPr>
          <w:p w14:paraId="6D440E53">
            <w:pPr>
              <w:pStyle w:val="17"/>
              <w:numPr>
                <w:ilvl w:val="0"/>
                <w:numId w:val="2"/>
              </w:numPr>
              <w:spacing w:before="41" w:line="234" w:lineRule="auto"/>
              <w:ind w:left="114" w:right="106" w:firstLine="2"/>
              <w:rPr>
                <w:color w:val="auto"/>
                <w:spacing w:val="-2"/>
                <w:highlight w:val="none"/>
              </w:rPr>
            </w:pPr>
            <w:r>
              <w:rPr>
                <w:color w:val="auto"/>
                <w:spacing w:val="-1"/>
                <w:highlight w:val="none"/>
              </w:rPr>
              <w:t>拒绝列入政府取消投标资格记录期间的企业或个人投</w:t>
            </w:r>
            <w:r>
              <w:rPr>
                <w:color w:val="auto"/>
                <w:spacing w:val="-2"/>
                <w:highlight w:val="none"/>
              </w:rPr>
              <w:t>标；</w:t>
            </w:r>
          </w:p>
          <w:p w14:paraId="05539951">
            <w:pPr>
              <w:pStyle w:val="17"/>
              <w:numPr>
                <w:ilvl w:val="0"/>
                <w:numId w:val="2"/>
              </w:numPr>
              <w:spacing w:before="41" w:line="234" w:lineRule="auto"/>
              <w:ind w:left="114" w:right="106" w:firstLine="2"/>
              <w:rPr>
                <w:color w:val="auto"/>
                <w:highlight w:val="none"/>
              </w:rPr>
            </w:pPr>
            <w:r>
              <w:rPr>
                <w:color w:val="auto"/>
                <w:spacing w:val="-2"/>
                <w:highlight w:val="none"/>
              </w:rPr>
              <w:t>2.单位负责人为同一人或者存在直接控股、管理关系的不同供</w:t>
            </w:r>
            <w:r>
              <w:rPr>
                <w:color w:val="auto"/>
                <w:spacing w:val="-1"/>
                <w:highlight w:val="none"/>
              </w:rPr>
              <w:t>应商，不得参加同一合同项下的政府采购活</w:t>
            </w:r>
            <w:r>
              <w:rPr>
                <w:color w:val="auto"/>
                <w:spacing w:val="-2"/>
                <w:highlight w:val="none"/>
              </w:rPr>
              <w:t>动；为采购项目提</w:t>
            </w:r>
            <w:r>
              <w:rPr>
                <w:color w:val="auto"/>
                <w:spacing w:val="-1"/>
                <w:highlight w:val="none"/>
              </w:rPr>
              <w:t>供整体设计、规范编制或者项目管理、监理</w:t>
            </w:r>
            <w:r>
              <w:rPr>
                <w:color w:val="auto"/>
                <w:spacing w:val="-2"/>
                <w:highlight w:val="none"/>
              </w:rPr>
              <w:t>、检测等服务的供</w:t>
            </w:r>
            <w:r>
              <w:rPr>
                <w:color w:val="auto"/>
                <w:spacing w:val="-1"/>
                <w:highlight w:val="none"/>
              </w:rPr>
              <w:t>应商，不得再参加本采购项目的其他采购活动；</w:t>
            </w:r>
          </w:p>
          <w:p w14:paraId="4CE4C791">
            <w:pPr>
              <w:pStyle w:val="17"/>
              <w:spacing w:before="27" w:line="231" w:lineRule="auto"/>
              <w:ind w:left="115" w:right="106" w:firstLine="3"/>
              <w:rPr>
                <w:color w:val="auto"/>
                <w:highlight w:val="none"/>
              </w:rPr>
            </w:pPr>
            <w:r>
              <w:rPr>
                <w:color w:val="auto"/>
                <w:spacing w:val="-2"/>
                <w:highlight w:val="none"/>
              </w:rPr>
              <w:t>3.参加政府采购活动前三年内，在经营活动中没有重大违法记</w:t>
            </w:r>
            <w:r>
              <w:rPr>
                <w:color w:val="auto"/>
                <w:spacing w:val="-6"/>
                <w:highlight w:val="none"/>
              </w:rPr>
              <w:t>录；</w:t>
            </w:r>
          </w:p>
          <w:p w14:paraId="3164B99A">
            <w:pPr>
              <w:pStyle w:val="17"/>
              <w:spacing w:before="21" w:line="236" w:lineRule="auto"/>
              <w:ind w:left="113"/>
              <w:rPr>
                <w:color w:val="auto"/>
                <w:highlight w:val="none"/>
              </w:rPr>
            </w:pPr>
            <w:r>
              <w:rPr>
                <w:color w:val="auto"/>
                <w:spacing w:val="-1"/>
                <w:highlight w:val="none"/>
              </w:rPr>
              <w:t>4.不得为“信用中国”网站（</w:t>
            </w:r>
            <w:r>
              <w:rPr>
                <w:color w:val="auto"/>
                <w:highlight w:val="none"/>
              </w:rPr>
              <w:fldChar w:fldCharType="begin"/>
            </w:r>
            <w:r>
              <w:rPr>
                <w:color w:val="auto"/>
                <w:highlight w:val="none"/>
              </w:rPr>
              <w:instrText xml:space="preserve">HYPERLINK"https://www.creditchina.gov.cn"</w:instrText>
            </w:r>
            <w:r>
              <w:rPr>
                <w:color w:val="auto"/>
                <w:highlight w:val="none"/>
              </w:rPr>
              <w:fldChar w:fldCharType="separate"/>
            </w:r>
            <w:r>
              <w:rPr>
                <w:color w:val="auto"/>
                <w:spacing w:val="-1"/>
                <w:highlight w:val="none"/>
              </w:rPr>
              <w:t>www.creditchina.gov.c</w:t>
            </w:r>
            <w:r>
              <w:rPr>
                <w:color w:val="auto"/>
                <w:spacing w:val="-2"/>
                <w:highlight w:val="none"/>
              </w:rPr>
              <w:t>n</w:t>
            </w:r>
            <w:r>
              <w:rPr>
                <w:color w:val="auto"/>
                <w:spacing w:val="-2"/>
                <w:highlight w:val="none"/>
              </w:rPr>
              <w:fldChar w:fldCharType="end"/>
            </w:r>
            <w:r>
              <w:rPr>
                <w:color w:val="auto"/>
                <w:spacing w:val="-2"/>
                <w:highlight w:val="none"/>
              </w:rPr>
              <w:t>）中列入失信被执行人和重大税收违法失信主体供应商；不得为中国</w:t>
            </w:r>
            <w:r>
              <w:rPr>
                <w:color w:val="auto"/>
                <w:spacing w:val="3"/>
                <w:highlight w:val="none"/>
              </w:rPr>
              <w:t>政府采购网（</w:t>
            </w:r>
            <w:r>
              <w:rPr>
                <w:color w:val="auto"/>
                <w:highlight w:val="none"/>
              </w:rPr>
              <w:fldChar w:fldCharType="begin"/>
            </w:r>
            <w:r>
              <w:rPr>
                <w:color w:val="auto"/>
                <w:highlight w:val="none"/>
              </w:rPr>
              <w:instrText xml:space="preserve">HYPERLINK"https://www.ccpg.gov.cn"</w:instrText>
            </w:r>
            <w:r>
              <w:rPr>
                <w:color w:val="auto"/>
                <w:highlight w:val="none"/>
              </w:rPr>
              <w:fldChar w:fldCharType="separate"/>
            </w:r>
            <w:r>
              <w:rPr>
                <w:color w:val="auto"/>
                <w:highlight w:val="none"/>
              </w:rPr>
              <w:t>www</w:t>
            </w:r>
            <w:r>
              <w:rPr>
                <w:color w:val="auto"/>
                <w:spacing w:val="3"/>
                <w:highlight w:val="none"/>
              </w:rPr>
              <w:t>.</w:t>
            </w:r>
            <w:r>
              <w:rPr>
                <w:color w:val="auto"/>
                <w:highlight w:val="none"/>
              </w:rPr>
              <w:t>ccpg</w:t>
            </w:r>
            <w:r>
              <w:rPr>
                <w:color w:val="auto"/>
                <w:spacing w:val="3"/>
                <w:highlight w:val="none"/>
              </w:rPr>
              <w:t>.</w:t>
            </w:r>
            <w:r>
              <w:rPr>
                <w:color w:val="auto"/>
                <w:highlight w:val="none"/>
              </w:rPr>
              <w:t>gov</w:t>
            </w:r>
            <w:r>
              <w:rPr>
                <w:color w:val="auto"/>
                <w:spacing w:val="3"/>
                <w:highlight w:val="none"/>
              </w:rPr>
              <w:t>.</w:t>
            </w:r>
            <w:r>
              <w:rPr>
                <w:color w:val="auto"/>
                <w:highlight w:val="none"/>
              </w:rPr>
              <w:t>cn</w:t>
            </w:r>
            <w:r>
              <w:rPr>
                <w:color w:val="auto"/>
                <w:highlight w:val="none"/>
              </w:rPr>
              <w:fldChar w:fldCharType="end"/>
            </w:r>
            <w:r>
              <w:rPr>
                <w:color w:val="auto"/>
                <w:spacing w:val="3"/>
                <w:highlight w:val="none"/>
              </w:rPr>
              <w:t>）政府采购严重违法失信行为</w:t>
            </w:r>
            <w:r>
              <w:rPr>
                <w:color w:val="auto"/>
                <w:spacing w:val="-2"/>
                <w:highlight w:val="none"/>
              </w:rPr>
              <w:t>记录名单中被财政部门禁止参加政府采购活动的供应商（在处</w:t>
            </w:r>
            <w:r>
              <w:rPr>
                <w:color w:val="auto"/>
                <w:highlight w:val="none"/>
              </w:rPr>
              <w:t>罚决定规定的时间和地域范围内</w:t>
            </w:r>
            <w:r>
              <w:rPr>
                <w:color w:val="auto"/>
                <w:spacing w:val="-31"/>
                <w:highlight w:val="none"/>
              </w:rPr>
              <w:t>）（</w:t>
            </w:r>
            <w:r>
              <w:rPr>
                <w:color w:val="auto"/>
                <w:highlight w:val="none"/>
              </w:rPr>
              <w:t>详见财库[2016]125号</w:t>
            </w:r>
            <w:r>
              <w:rPr>
                <w:color w:val="auto"/>
                <w:spacing w:val="-31"/>
                <w:highlight w:val="none"/>
              </w:rPr>
              <w:t>）；</w:t>
            </w:r>
            <w:r>
              <w:rPr>
                <w:color w:val="auto"/>
                <w:spacing w:val="3"/>
                <w:highlight w:val="none"/>
              </w:rPr>
              <w:t>在2022年至今供应商和其法定代表人在“中国裁判文书网”</w:t>
            </w:r>
            <w:r>
              <w:rPr>
                <w:color w:val="auto"/>
                <w:spacing w:val="-1"/>
                <w:highlight w:val="none"/>
              </w:rPr>
              <w:t>(wenshu.court.gov.cn)上无行贿犯罪行为。</w:t>
            </w:r>
          </w:p>
          <w:p w14:paraId="3E7955F1">
            <w:pPr>
              <w:pStyle w:val="17"/>
              <w:spacing w:before="73" w:line="219" w:lineRule="auto"/>
              <w:ind w:left="131"/>
              <w:rPr>
                <w:color w:val="auto"/>
                <w:highlight w:val="none"/>
              </w:rPr>
            </w:pPr>
            <w:r>
              <w:rPr>
                <w:b/>
                <w:bCs/>
                <w:color w:val="auto"/>
                <w:highlight w:val="none"/>
              </w:rPr>
              <w:t>投标文件内（1）、（2）、（3）项附由法定代表人或其授权</w:t>
            </w:r>
            <w:r>
              <w:rPr>
                <w:b/>
                <w:bCs/>
                <w:color w:val="auto"/>
                <w:spacing w:val="2"/>
                <w:highlight w:val="none"/>
              </w:rPr>
              <w:t>委托人签字并加盖公章的承诺书</w:t>
            </w:r>
            <w:r>
              <w:rPr>
                <w:b/>
                <w:bCs/>
                <w:color w:val="auto"/>
                <w:spacing w:val="-16"/>
                <w:highlight w:val="none"/>
              </w:rPr>
              <w:t>；（</w:t>
            </w:r>
            <w:r>
              <w:rPr>
                <w:b/>
                <w:bCs/>
                <w:color w:val="auto"/>
                <w:spacing w:val="2"/>
                <w:highlight w:val="none"/>
              </w:rPr>
              <w:t>4）项附相关网站截</w:t>
            </w:r>
            <w:r>
              <w:rPr>
                <w:b/>
                <w:bCs/>
                <w:color w:val="auto"/>
                <w:spacing w:val="1"/>
                <w:highlight w:val="none"/>
              </w:rPr>
              <w:t>图加</w:t>
            </w:r>
            <w:r>
              <w:rPr>
                <w:b/>
                <w:bCs/>
                <w:color w:val="auto"/>
                <w:spacing w:val="-5"/>
                <w:highlight w:val="none"/>
              </w:rPr>
              <w:t>盖公章。</w:t>
            </w:r>
          </w:p>
        </w:tc>
      </w:tr>
      <w:tr w14:paraId="76354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559" w:type="dxa"/>
            <w:noWrap w:val="0"/>
            <w:vAlign w:val="top"/>
          </w:tcPr>
          <w:p w14:paraId="0D253543">
            <w:pPr>
              <w:pStyle w:val="17"/>
              <w:spacing w:before="78"/>
              <w:ind w:left="231"/>
              <w:rPr>
                <w:rFonts w:hint="eastAsia" w:eastAsia="宋体"/>
                <w:color w:val="auto"/>
                <w:highlight w:val="none"/>
                <w:lang w:eastAsia="zh-CN"/>
              </w:rPr>
            </w:pPr>
            <w:r>
              <w:rPr>
                <w:rFonts w:hint="eastAsia"/>
                <w:color w:val="auto"/>
                <w:highlight w:val="none"/>
                <w:lang w:val="en-US" w:eastAsia="zh-CN"/>
              </w:rPr>
              <w:t>6</w:t>
            </w:r>
          </w:p>
        </w:tc>
        <w:tc>
          <w:tcPr>
            <w:tcW w:w="1290" w:type="dxa"/>
            <w:noWrap w:val="0"/>
            <w:vAlign w:val="top"/>
          </w:tcPr>
          <w:p w14:paraId="003AC57D">
            <w:pPr>
              <w:pStyle w:val="17"/>
              <w:spacing w:before="78" w:line="242" w:lineRule="auto"/>
              <w:ind w:left="290" w:right="163" w:hanging="120"/>
              <w:rPr>
                <w:color w:val="auto"/>
                <w:highlight w:val="none"/>
              </w:rPr>
            </w:pPr>
            <w:r>
              <w:rPr>
                <w:color w:val="auto"/>
                <w:spacing w:val="-3"/>
                <w:highlight w:val="none"/>
              </w:rPr>
              <w:t>售后服务</w:t>
            </w:r>
            <w:r>
              <w:rPr>
                <w:color w:val="auto"/>
                <w:spacing w:val="-4"/>
                <w:highlight w:val="none"/>
              </w:rPr>
              <w:t>承诺书</w:t>
            </w:r>
          </w:p>
        </w:tc>
        <w:tc>
          <w:tcPr>
            <w:tcW w:w="6672" w:type="dxa"/>
            <w:noWrap w:val="0"/>
            <w:vAlign w:val="top"/>
          </w:tcPr>
          <w:p w14:paraId="5BDB29C5">
            <w:pPr>
              <w:pStyle w:val="17"/>
              <w:spacing w:before="39" w:line="239" w:lineRule="auto"/>
              <w:ind w:left="114" w:right="106"/>
              <w:jc w:val="both"/>
              <w:rPr>
                <w:color w:val="auto"/>
                <w:highlight w:val="none"/>
              </w:rPr>
            </w:pPr>
            <w:r>
              <w:rPr>
                <w:color w:val="auto"/>
                <w:spacing w:val="-1"/>
                <w:highlight w:val="none"/>
              </w:rPr>
              <w:t>供应商应承诺售后服务由中标成交单位提供</w:t>
            </w:r>
            <w:r>
              <w:rPr>
                <w:color w:val="auto"/>
                <w:spacing w:val="-2"/>
                <w:highlight w:val="none"/>
              </w:rPr>
              <w:t>（即中标成交单位</w:t>
            </w:r>
            <w:r>
              <w:rPr>
                <w:color w:val="auto"/>
                <w:spacing w:val="-1"/>
                <w:highlight w:val="none"/>
              </w:rPr>
              <w:t>为代理商由代理商提供，中标成交单位为生</w:t>
            </w:r>
            <w:r>
              <w:rPr>
                <w:color w:val="auto"/>
                <w:spacing w:val="-2"/>
                <w:highlight w:val="none"/>
              </w:rPr>
              <w:t>产商，由生产商提</w:t>
            </w:r>
            <w:r>
              <w:rPr>
                <w:color w:val="auto"/>
                <w:spacing w:val="-5"/>
                <w:highlight w:val="none"/>
              </w:rPr>
              <w:t>供）</w:t>
            </w:r>
          </w:p>
          <w:p w14:paraId="4B90A26D">
            <w:pPr>
              <w:pStyle w:val="17"/>
              <w:spacing w:line="222" w:lineRule="auto"/>
              <w:ind w:left="122" w:right="108" w:hanging="5"/>
              <w:rPr>
                <w:color w:val="auto"/>
                <w:highlight w:val="none"/>
              </w:rPr>
            </w:pPr>
            <w:r>
              <w:rPr>
                <w:b/>
                <w:bCs/>
                <w:color w:val="auto"/>
                <w:spacing w:val="5"/>
                <w:highlight w:val="none"/>
              </w:rPr>
              <w:t>投标文件内附由法定代表人或授权代表签字或盖章并加盖公</w:t>
            </w:r>
            <w:r>
              <w:rPr>
                <w:b/>
                <w:bCs/>
                <w:color w:val="auto"/>
                <w:spacing w:val="-5"/>
                <w:highlight w:val="none"/>
              </w:rPr>
              <w:t>章的承诺书。</w:t>
            </w:r>
          </w:p>
        </w:tc>
      </w:tr>
      <w:tr w14:paraId="5BFD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849" w:type="dxa"/>
            <w:gridSpan w:val="2"/>
            <w:noWrap w:val="0"/>
            <w:vAlign w:val="top"/>
          </w:tcPr>
          <w:p w14:paraId="6B1EC1B3">
            <w:pPr>
              <w:pStyle w:val="17"/>
              <w:spacing w:before="136" w:line="220" w:lineRule="auto"/>
              <w:ind w:left="124"/>
              <w:rPr>
                <w:color w:val="auto"/>
                <w:highlight w:val="none"/>
              </w:rPr>
            </w:pPr>
            <w:r>
              <w:rPr>
                <w:color w:val="auto"/>
                <w:spacing w:val="-4"/>
                <w:highlight w:val="none"/>
              </w:rPr>
              <w:t>审查人签字</w:t>
            </w:r>
          </w:p>
        </w:tc>
        <w:tc>
          <w:tcPr>
            <w:tcW w:w="6672" w:type="dxa"/>
            <w:noWrap w:val="0"/>
            <w:vAlign w:val="top"/>
          </w:tcPr>
          <w:p w14:paraId="575F8453">
            <w:pPr>
              <w:pStyle w:val="17"/>
              <w:spacing w:before="136" w:line="221" w:lineRule="auto"/>
              <w:ind w:left="2861"/>
              <w:rPr>
                <w:color w:val="auto"/>
                <w:highlight w:val="none"/>
              </w:rPr>
            </w:pPr>
            <w:r>
              <w:rPr>
                <w:color w:val="auto"/>
                <w:spacing w:val="-3"/>
                <w:highlight w:val="none"/>
              </w:rPr>
              <w:t>评审结论</w:t>
            </w:r>
          </w:p>
        </w:tc>
      </w:tr>
    </w:tbl>
    <w:p w14:paraId="2ED54438">
      <w:pPr>
        <w:rPr>
          <w:color w:val="auto"/>
          <w:highlight w:val="none"/>
        </w:rPr>
        <w:sectPr>
          <w:footerReference r:id="rId14" w:type="default"/>
          <w:pgSz w:w="11906" w:h="16839"/>
          <w:pgMar w:top="1431" w:right="1690" w:bottom="1209" w:left="1689" w:header="0" w:footer="973" w:gutter="0"/>
          <w:pgNumType w:fmt="decimal"/>
          <w:cols w:space="720" w:num="1"/>
        </w:sectPr>
      </w:pPr>
    </w:p>
    <w:p w14:paraId="0177F082">
      <w:pPr>
        <w:spacing w:before="156" w:line="220" w:lineRule="auto"/>
        <w:ind w:left="132" w:leftChars="0"/>
        <w:outlineLvl w:val="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（二）符合性审查</w:t>
      </w:r>
    </w:p>
    <w:tbl>
      <w:tblPr>
        <w:tblStyle w:val="18"/>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6"/>
        <w:gridCol w:w="1524"/>
        <w:gridCol w:w="4058"/>
        <w:gridCol w:w="1955"/>
      </w:tblGrid>
      <w:tr w14:paraId="4F20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86" w:type="dxa"/>
            <w:noWrap w:val="0"/>
            <w:vAlign w:val="top"/>
          </w:tcPr>
          <w:p w14:paraId="0700D93F">
            <w:pPr>
              <w:pStyle w:val="17"/>
              <w:spacing w:before="78" w:line="222" w:lineRule="auto"/>
              <w:ind w:left="259"/>
              <w:rPr>
                <w:color w:val="auto"/>
                <w:highlight w:val="none"/>
              </w:rPr>
            </w:pPr>
            <w:r>
              <w:rPr>
                <w:color w:val="auto"/>
                <w:spacing w:val="-5"/>
                <w:highlight w:val="none"/>
              </w:rPr>
              <w:t>序号</w:t>
            </w:r>
          </w:p>
        </w:tc>
        <w:tc>
          <w:tcPr>
            <w:tcW w:w="7537" w:type="dxa"/>
            <w:gridSpan w:val="3"/>
            <w:noWrap w:val="0"/>
            <w:vAlign w:val="top"/>
          </w:tcPr>
          <w:p w14:paraId="4B63F236">
            <w:pPr>
              <w:pStyle w:val="17"/>
              <w:spacing w:before="78" w:line="220" w:lineRule="auto"/>
              <w:ind w:left="3293"/>
              <w:rPr>
                <w:color w:val="auto"/>
                <w:highlight w:val="none"/>
              </w:rPr>
            </w:pPr>
            <w:r>
              <w:rPr>
                <w:color w:val="auto"/>
                <w:spacing w:val="-3"/>
                <w:highlight w:val="none"/>
              </w:rPr>
              <w:t>评审内容</w:t>
            </w:r>
          </w:p>
        </w:tc>
      </w:tr>
      <w:tr w14:paraId="7B915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0AF72C10">
            <w:pPr>
              <w:pStyle w:val="17"/>
              <w:spacing w:before="35" w:line="242" w:lineRule="auto"/>
              <w:ind w:left="457" w:leftChars="0"/>
              <w:rPr>
                <w:rFonts w:ascii="宋体" w:hAnsi="宋体" w:eastAsia="宋体" w:cs="宋体"/>
                <w:snapToGrid w:val="0"/>
                <w:color w:val="auto"/>
                <w:kern w:val="0"/>
                <w:sz w:val="24"/>
                <w:szCs w:val="24"/>
                <w:highlight w:val="none"/>
                <w:lang w:val="en-US" w:eastAsia="en-US" w:bidi="ar-SA"/>
              </w:rPr>
            </w:pPr>
            <w:r>
              <w:rPr>
                <w:color w:val="auto"/>
                <w:highlight w:val="none"/>
              </w:rPr>
              <w:t>1</w:t>
            </w:r>
          </w:p>
        </w:tc>
        <w:tc>
          <w:tcPr>
            <w:tcW w:w="7537" w:type="dxa"/>
            <w:gridSpan w:val="3"/>
            <w:noWrap w:val="0"/>
            <w:vAlign w:val="top"/>
          </w:tcPr>
          <w:p w14:paraId="3B687BD5">
            <w:pPr>
              <w:pStyle w:val="17"/>
              <w:spacing w:before="144" w:line="219" w:lineRule="auto"/>
              <w:ind w:left="114"/>
              <w:rPr>
                <w:rFonts w:hint="eastAsia"/>
                <w:color w:val="auto"/>
                <w:spacing w:val="-1"/>
                <w:highlight w:val="none"/>
              </w:rPr>
            </w:pPr>
            <w:r>
              <w:rPr>
                <w:rFonts w:hint="eastAsia"/>
                <w:color w:val="auto"/>
                <w:spacing w:val="-1"/>
                <w:highlight w:val="none"/>
              </w:rPr>
              <w:t>投标文件技术标必须遵守的统一格式和规范。</w:t>
            </w:r>
          </w:p>
          <w:p w14:paraId="6DA2E75A">
            <w:pPr>
              <w:pStyle w:val="17"/>
              <w:spacing w:before="144" w:line="219" w:lineRule="auto"/>
              <w:ind w:left="114"/>
              <w:rPr>
                <w:rFonts w:hint="eastAsia"/>
                <w:color w:val="auto"/>
                <w:spacing w:val="-1"/>
                <w:highlight w:val="none"/>
              </w:rPr>
            </w:pPr>
            <w:r>
              <w:rPr>
                <w:rFonts w:hint="eastAsia"/>
                <w:color w:val="auto"/>
                <w:spacing w:val="-1"/>
                <w:highlight w:val="none"/>
              </w:rPr>
              <w:t>技术标文件(暗标)未按以下“盲评”要求制作的，为无效投标，除下述要求外，不得因暗标格式问题认定为无效投标:</w:t>
            </w:r>
          </w:p>
          <w:p w14:paraId="5806DAC5">
            <w:pPr>
              <w:pStyle w:val="17"/>
              <w:spacing w:before="144" w:line="219" w:lineRule="auto"/>
              <w:ind w:left="114"/>
              <w:rPr>
                <w:rFonts w:hint="eastAsia"/>
                <w:color w:val="auto"/>
                <w:spacing w:val="-1"/>
                <w:highlight w:val="none"/>
              </w:rPr>
            </w:pPr>
            <w:r>
              <w:rPr>
                <w:rFonts w:hint="eastAsia"/>
                <w:color w:val="auto"/>
                <w:spacing w:val="-1"/>
                <w:highlight w:val="none"/>
              </w:rPr>
              <w:t>1.版面要求:A4纸张大小;</w:t>
            </w:r>
          </w:p>
          <w:p w14:paraId="0B8DE59F">
            <w:pPr>
              <w:pStyle w:val="17"/>
              <w:spacing w:before="144" w:line="219" w:lineRule="auto"/>
              <w:ind w:left="114"/>
              <w:rPr>
                <w:rFonts w:hint="eastAsia"/>
                <w:color w:val="auto"/>
                <w:spacing w:val="-1"/>
                <w:highlight w:val="none"/>
              </w:rPr>
            </w:pPr>
            <w:r>
              <w:rPr>
                <w:rFonts w:hint="eastAsia"/>
                <w:color w:val="auto"/>
                <w:spacing w:val="-1"/>
                <w:highlight w:val="none"/>
              </w:rPr>
              <w:t>2.颜色要求:所有文字、图表均为黑色;</w:t>
            </w:r>
          </w:p>
          <w:p w14:paraId="328B56BA">
            <w:pPr>
              <w:pStyle w:val="17"/>
              <w:spacing w:before="144" w:line="219" w:lineRule="auto"/>
              <w:ind w:left="114"/>
              <w:rPr>
                <w:rFonts w:hint="eastAsia"/>
                <w:color w:val="auto"/>
                <w:spacing w:val="-1"/>
                <w:highlight w:val="none"/>
              </w:rPr>
            </w:pPr>
            <w:r>
              <w:rPr>
                <w:rFonts w:hint="eastAsia"/>
                <w:color w:val="auto"/>
                <w:spacing w:val="-1"/>
                <w:highlight w:val="none"/>
              </w:rPr>
              <w:t>3.字体要求:标题及正文部分所用文字均采用“宋体”四号“常规”字;图、表内的字体及字号不作要求;全部使用中文标点符号:所有字体均不得出现加粗、加色、倾斜、下划线等标记;</w:t>
            </w:r>
          </w:p>
          <w:p w14:paraId="38999115">
            <w:pPr>
              <w:pStyle w:val="17"/>
              <w:spacing w:before="144" w:line="219" w:lineRule="auto"/>
              <w:ind w:left="114"/>
              <w:rPr>
                <w:rFonts w:hint="eastAsia"/>
                <w:color w:val="auto"/>
                <w:spacing w:val="-1"/>
                <w:highlight w:val="none"/>
              </w:rPr>
            </w:pPr>
            <w:r>
              <w:rPr>
                <w:rFonts w:hint="eastAsia"/>
                <w:color w:val="auto"/>
                <w:spacing w:val="-1"/>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0B57F072">
            <w:pPr>
              <w:pStyle w:val="17"/>
              <w:spacing w:before="144" w:line="219" w:lineRule="auto"/>
              <w:ind w:left="114"/>
              <w:rPr>
                <w:color w:val="auto"/>
                <w:spacing w:val="-1"/>
                <w:highlight w:val="none"/>
              </w:rPr>
            </w:pPr>
            <w:r>
              <w:rPr>
                <w:rFonts w:hint="eastAsia"/>
                <w:color w:val="auto"/>
                <w:spacing w:val="-1"/>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14:paraId="589A0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22486AD0">
            <w:pPr>
              <w:pStyle w:val="17"/>
              <w:spacing w:before="142" w:line="242" w:lineRule="auto"/>
              <w:ind w:left="443" w:leftChars="0"/>
              <w:rPr>
                <w:rFonts w:ascii="宋体" w:hAnsi="宋体" w:eastAsia="宋体" w:cs="宋体"/>
                <w:snapToGrid w:val="0"/>
                <w:color w:val="auto"/>
                <w:kern w:val="0"/>
                <w:sz w:val="24"/>
                <w:szCs w:val="24"/>
                <w:highlight w:val="none"/>
                <w:lang w:val="en-US" w:eastAsia="en-US" w:bidi="ar-SA"/>
              </w:rPr>
            </w:pPr>
            <w:r>
              <w:rPr>
                <w:color w:val="auto"/>
                <w:highlight w:val="none"/>
              </w:rPr>
              <w:t>2</w:t>
            </w:r>
          </w:p>
        </w:tc>
        <w:tc>
          <w:tcPr>
            <w:tcW w:w="7537" w:type="dxa"/>
            <w:gridSpan w:val="3"/>
            <w:noWrap w:val="0"/>
            <w:vAlign w:val="top"/>
          </w:tcPr>
          <w:p w14:paraId="78947D50">
            <w:pPr>
              <w:pStyle w:val="17"/>
              <w:spacing w:before="144" w:line="219" w:lineRule="auto"/>
              <w:ind w:left="114"/>
              <w:rPr>
                <w:color w:val="auto"/>
                <w:highlight w:val="none"/>
              </w:rPr>
            </w:pPr>
            <w:r>
              <w:rPr>
                <w:color w:val="auto"/>
                <w:spacing w:val="-1"/>
                <w:highlight w:val="none"/>
              </w:rPr>
              <w:t>供应商名称与企业法人营业执照名称一致</w:t>
            </w:r>
          </w:p>
        </w:tc>
      </w:tr>
      <w:tr w14:paraId="14AD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33C9BE05">
            <w:pPr>
              <w:pStyle w:val="17"/>
              <w:spacing w:before="144"/>
              <w:ind w:left="444" w:leftChars="0"/>
              <w:rPr>
                <w:rFonts w:ascii="宋体" w:hAnsi="宋体" w:eastAsia="宋体" w:cs="宋体"/>
                <w:snapToGrid w:val="0"/>
                <w:color w:val="auto"/>
                <w:kern w:val="0"/>
                <w:sz w:val="24"/>
                <w:szCs w:val="24"/>
                <w:highlight w:val="none"/>
                <w:lang w:val="en-US" w:eastAsia="en-US" w:bidi="ar-SA"/>
              </w:rPr>
            </w:pPr>
            <w:r>
              <w:rPr>
                <w:color w:val="auto"/>
                <w:highlight w:val="none"/>
              </w:rPr>
              <w:t>3</w:t>
            </w:r>
          </w:p>
        </w:tc>
        <w:tc>
          <w:tcPr>
            <w:tcW w:w="7537" w:type="dxa"/>
            <w:gridSpan w:val="3"/>
            <w:noWrap w:val="0"/>
            <w:vAlign w:val="top"/>
          </w:tcPr>
          <w:p w14:paraId="47222C46">
            <w:pPr>
              <w:pStyle w:val="17"/>
              <w:spacing w:before="142" w:line="220" w:lineRule="auto"/>
              <w:ind w:left="117"/>
              <w:rPr>
                <w:color w:val="auto"/>
                <w:highlight w:val="none"/>
              </w:rPr>
            </w:pPr>
            <w:r>
              <w:rPr>
                <w:color w:val="auto"/>
                <w:spacing w:val="-1"/>
                <w:highlight w:val="none"/>
              </w:rPr>
              <w:t>投标文件的签署及填写符合招标文件的要求</w:t>
            </w:r>
          </w:p>
        </w:tc>
      </w:tr>
      <w:tr w14:paraId="17696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86" w:type="dxa"/>
            <w:shd w:val="clear" w:color="auto" w:fill="auto"/>
            <w:noWrap w:val="0"/>
            <w:vAlign w:val="top"/>
          </w:tcPr>
          <w:p w14:paraId="42C45D44">
            <w:pPr>
              <w:pStyle w:val="17"/>
              <w:spacing w:before="145" w:line="242" w:lineRule="auto"/>
              <w:ind w:left="439" w:leftChars="0"/>
              <w:rPr>
                <w:rFonts w:ascii="宋体" w:hAnsi="宋体" w:eastAsia="宋体" w:cs="宋体"/>
                <w:snapToGrid w:val="0"/>
                <w:color w:val="auto"/>
                <w:kern w:val="0"/>
                <w:sz w:val="24"/>
                <w:szCs w:val="24"/>
                <w:highlight w:val="none"/>
                <w:lang w:val="en-US" w:eastAsia="en-US" w:bidi="ar-SA"/>
              </w:rPr>
            </w:pPr>
            <w:r>
              <w:rPr>
                <w:color w:val="auto"/>
                <w:highlight w:val="none"/>
              </w:rPr>
              <w:t>4</w:t>
            </w:r>
          </w:p>
        </w:tc>
        <w:tc>
          <w:tcPr>
            <w:tcW w:w="7537" w:type="dxa"/>
            <w:gridSpan w:val="3"/>
            <w:noWrap w:val="0"/>
            <w:vAlign w:val="top"/>
          </w:tcPr>
          <w:p w14:paraId="6D43FDC5">
            <w:pPr>
              <w:pStyle w:val="17"/>
              <w:spacing w:before="144" w:line="219" w:lineRule="auto"/>
              <w:ind w:left="116"/>
              <w:rPr>
                <w:color w:val="auto"/>
                <w:highlight w:val="none"/>
              </w:rPr>
            </w:pPr>
            <w:r>
              <w:rPr>
                <w:color w:val="auto"/>
                <w:spacing w:val="-1"/>
                <w:highlight w:val="none"/>
              </w:rPr>
              <w:t>按照招标文件的规定提供投标保证金</w:t>
            </w:r>
          </w:p>
        </w:tc>
      </w:tr>
      <w:tr w14:paraId="7748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6395BE6F">
            <w:pPr>
              <w:pStyle w:val="17"/>
              <w:spacing w:before="144"/>
              <w:ind w:left="444" w:leftChars="0"/>
              <w:rPr>
                <w:rFonts w:ascii="宋体" w:hAnsi="宋体" w:eastAsia="宋体" w:cs="宋体"/>
                <w:snapToGrid w:val="0"/>
                <w:color w:val="auto"/>
                <w:kern w:val="0"/>
                <w:sz w:val="24"/>
                <w:szCs w:val="24"/>
                <w:highlight w:val="none"/>
                <w:lang w:val="en-US" w:eastAsia="en-US" w:bidi="ar-SA"/>
              </w:rPr>
            </w:pPr>
            <w:r>
              <w:rPr>
                <w:color w:val="auto"/>
                <w:highlight w:val="none"/>
              </w:rPr>
              <w:t>5</w:t>
            </w:r>
          </w:p>
        </w:tc>
        <w:tc>
          <w:tcPr>
            <w:tcW w:w="7537" w:type="dxa"/>
            <w:gridSpan w:val="3"/>
            <w:noWrap w:val="0"/>
            <w:vAlign w:val="top"/>
          </w:tcPr>
          <w:p w14:paraId="514E1563">
            <w:pPr>
              <w:pStyle w:val="17"/>
              <w:spacing w:before="145" w:line="220" w:lineRule="auto"/>
              <w:ind w:left="117"/>
              <w:rPr>
                <w:color w:val="auto"/>
                <w:highlight w:val="none"/>
              </w:rPr>
            </w:pPr>
            <w:r>
              <w:rPr>
                <w:color w:val="auto"/>
                <w:spacing w:val="-1"/>
                <w:highlight w:val="none"/>
              </w:rPr>
              <w:t>投标有效期满足招标文件要求</w:t>
            </w:r>
          </w:p>
        </w:tc>
      </w:tr>
      <w:tr w14:paraId="41BFA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86" w:type="dxa"/>
            <w:shd w:val="clear" w:color="auto" w:fill="auto"/>
            <w:noWrap w:val="0"/>
            <w:vAlign w:val="top"/>
          </w:tcPr>
          <w:p w14:paraId="34ED1213">
            <w:pPr>
              <w:pStyle w:val="17"/>
              <w:spacing w:before="146"/>
              <w:ind w:left="442" w:leftChars="0"/>
              <w:rPr>
                <w:rFonts w:ascii="宋体" w:hAnsi="宋体" w:eastAsia="宋体" w:cs="宋体"/>
                <w:snapToGrid w:val="0"/>
                <w:color w:val="auto"/>
                <w:kern w:val="0"/>
                <w:sz w:val="24"/>
                <w:szCs w:val="24"/>
                <w:highlight w:val="none"/>
                <w:lang w:val="en-US" w:eastAsia="en-US" w:bidi="ar-SA"/>
              </w:rPr>
            </w:pPr>
            <w:r>
              <w:rPr>
                <w:color w:val="auto"/>
                <w:highlight w:val="none"/>
              </w:rPr>
              <w:t>6</w:t>
            </w:r>
          </w:p>
        </w:tc>
        <w:tc>
          <w:tcPr>
            <w:tcW w:w="7537" w:type="dxa"/>
            <w:gridSpan w:val="3"/>
            <w:noWrap w:val="0"/>
            <w:vAlign w:val="top"/>
          </w:tcPr>
          <w:p w14:paraId="28A2BC84">
            <w:pPr>
              <w:pStyle w:val="17"/>
              <w:spacing w:before="144" w:line="219" w:lineRule="auto"/>
              <w:ind w:left="115"/>
              <w:rPr>
                <w:color w:val="auto"/>
                <w:highlight w:val="none"/>
              </w:rPr>
            </w:pPr>
            <w:r>
              <w:rPr>
                <w:color w:val="auto"/>
                <w:spacing w:val="-1"/>
                <w:highlight w:val="none"/>
              </w:rPr>
              <w:t>合同履行期限（交货时间）满足招标文件要求</w:t>
            </w:r>
          </w:p>
        </w:tc>
      </w:tr>
      <w:tr w14:paraId="7AE22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13846D13">
            <w:pPr>
              <w:pStyle w:val="17"/>
              <w:spacing w:before="145"/>
              <w:ind w:left="445" w:leftChars="0"/>
              <w:rPr>
                <w:rFonts w:ascii="宋体" w:hAnsi="宋体" w:eastAsia="宋体" w:cs="宋体"/>
                <w:snapToGrid w:val="0"/>
                <w:color w:val="auto"/>
                <w:kern w:val="0"/>
                <w:sz w:val="24"/>
                <w:szCs w:val="24"/>
                <w:highlight w:val="none"/>
                <w:lang w:val="en-US" w:eastAsia="en-US" w:bidi="ar-SA"/>
              </w:rPr>
            </w:pPr>
            <w:r>
              <w:rPr>
                <w:color w:val="auto"/>
                <w:highlight w:val="none"/>
              </w:rPr>
              <w:t>7</w:t>
            </w:r>
          </w:p>
        </w:tc>
        <w:tc>
          <w:tcPr>
            <w:tcW w:w="7537" w:type="dxa"/>
            <w:gridSpan w:val="3"/>
            <w:noWrap w:val="0"/>
            <w:vAlign w:val="top"/>
          </w:tcPr>
          <w:p w14:paraId="4D4F01F5">
            <w:pPr>
              <w:pStyle w:val="17"/>
              <w:spacing w:before="145" w:line="219" w:lineRule="auto"/>
              <w:ind w:left="117"/>
              <w:rPr>
                <w:color w:val="auto"/>
                <w:highlight w:val="none"/>
              </w:rPr>
            </w:pPr>
            <w:r>
              <w:rPr>
                <w:color w:val="auto"/>
                <w:spacing w:val="-1"/>
                <w:highlight w:val="none"/>
              </w:rPr>
              <w:t>投标报价不超过采购需求单项最高限价及汇总单价</w:t>
            </w:r>
          </w:p>
        </w:tc>
      </w:tr>
      <w:tr w14:paraId="2496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86" w:type="dxa"/>
            <w:shd w:val="clear" w:color="auto" w:fill="auto"/>
            <w:noWrap w:val="0"/>
            <w:vAlign w:val="top"/>
          </w:tcPr>
          <w:p w14:paraId="7874E776">
            <w:pPr>
              <w:pStyle w:val="17"/>
              <w:spacing w:before="226"/>
              <w:ind w:left="441" w:leftChars="0"/>
              <w:rPr>
                <w:rFonts w:ascii="宋体" w:hAnsi="宋体" w:eastAsia="宋体" w:cs="宋体"/>
                <w:snapToGrid w:val="0"/>
                <w:color w:val="auto"/>
                <w:kern w:val="0"/>
                <w:sz w:val="24"/>
                <w:szCs w:val="24"/>
                <w:highlight w:val="none"/>
                <w:lang w:val="en-US" w:eastAsia="en-US" w:bidi="ar-SA"/>
              </w:rPr>
            </w:pPr>
            <w:r>
              <w:rPr>
                <w:color w:val="auto"/>
                <w:highlight w:val="none"/>
              </w:rPr>
              <w:t>8</w:t>
            </w:r>
          </w:p>
        </w:tc>
        <w:tc>
          <w:tcPr>
            <w:tcW w:w="7537" w:type="dxa"/>
            <w:gridSpan w:val="3"/>
            <w:noWrap w:val="0"/>
            <w:vAlign w:val="top"/>
          </w:tcPr>
          <w:p w14:paraId="7EA19993">
            <w:pPr>
              <w:pStyle w:val="17"/>
              <w:spacing w:before="145" w:line="220" w:lineRule="auto"/>
              <w:ind w:left="117"/>
              <w:rPr>
                <w:color w:val="auto"/>
                <w:highlight w:val="none"/>
              </w:rPr>
            </w:pPr>
            <w:r>
              <w:rPr>
                <w:color w:val="auto"/>
                <w:spacing w:val="-1"/>
                <w:highlight w:val="none"/>
              </w:rPr>
              <w:t>投标文件没有买方不能接受的条件</w:t>
            </w:r>
          </w:p>
        </w:tc>
      </w:tr>
      <w:tr w14:paraId="096E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986" w:type="dxa"/>
            <w:shd w:val="clear" w:color="auto" w:fill="auto"/>
            <w:noWrap w:val="0"/>
            <w:vAlign w:val="top"/>
          </w:tcPr>
          <w:p w14:paraId="5B9E8DAF">
            <w:pPr>
              <w:pStyle w:val="17"/>
              <w:spacing w:before="147"/>
              <w:ind w:left="441" w:leftChars="0"/>
              <w:rPr>
                <w:rFonts w:ascii="宋体" w:hAnsi="宋体" w:eastAsia="宋体" w:cs="宋体"/>
                <w:snapToGrid w:val="0"/>
                <w:color w:val="auto"/>
                <w:kern w:val="0"/>
                <w:sz w:val="24"/>
                <w:szCs w:val="24"/>
                <w:highlight w:val="none"/>
                <w:lang w:val="en-US" w:eastAsia="en-US" w:bidi="ar-SA"/>
              </w:rPr>
            </w:pPr>
            <w:r>
              <w:rPr>
                <w:color w:val="auto"/>
                <w:highlight w:val="none"/>
              </w:rPr>
              <w:t>9</w:t>
            </w:r>
          </w:p>
        </w:tc>
        <w:tc>
          <w:tcPr>
            <w:tcW w:w="7537" w:type="dxa"/>
            <w:gridSpan w:val="3"/>
            <w:noWrap w:val="0"/>
            <w:vAlign w:val="center"/>
          </w:tcPr>
          <w:p w14:paraId="4844841D">
            <w:pPr>
              <w:pStyle w:val="17"/>
              <w:spacing w:before="38" w:line="270" w:lineRule="auto"/>
              <w:ind w:left="115" w:right="107" w:firstLine="1"/>
              <w:jc w:val="both"/>
              <w:rPr>
                <w:rFonts w:hint="eastAsia" w:eastAsia="宋体"/>
                <w:color w:val="auto"/>
                <w:highlight w:val="none"/>
                <w:lang w:val="en-US" w:eastAsia="zh-CN"/>
              </w:rPr>
            </w:pPr>
            <w:r>
              <w:rPr>
                <w:color w:val="auto"/>
                <w:spacing w:val="-4"/>
                <w:highlight w:val="none"/>
              </w:rPr>
              <w:t>投标文件技术条款满足采购需求中技术规格参数</w:t>
            </w:r>
            <w:r>
              <w:rPr>
                <w:color w:val="auto"/>
                <w:spacing w:val="-5"/>
                <w:highlight w:val="none"/>
              </w:rPr>
              <w:t>标准的要求</w:t>
            </w:r>
          </w:p>
        </w:tc>
      </w:tr>
      <w:tr w14:paraId="24782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5DB2B496">
            <w:pPr>
              <w:pStyle w:val="17"/>
              <w:spacing w:before="148"/>
              <w:ind w:left="397" w:leftChars="0"/>
              <w:rPr>
                <w:rFonts w:ascii="宋体" w:hAnsi="宋体" w:eastAsia="宋体" w:cs="宋体"/>
                <w:snapToGrid w:val="0"/>
                <w:color w:val="auto"/>
                <w:kern w:val="0"/>
                <w:sz w:val="24"/>
                <w:szCs w:val="24"/>
                <w:highlight w:val="none"/>
                <w:lang w:val="en-US" w:eastAsia="en-US" w:bidi="ar-SA"/>
              </w:rPr>
            </w:pPr>
            <w:r>
              <w:rPr>
                <w:color w:val="auto"/>
                <w:spacing w:val="-14"/>
                <w:highlight w:val="none"/>
              </w:rPr>
              <w:t>10</w:t>
            </w:r>
          </w:p>
        </w:tc>
        <w:tc>
          <w:tcPr>
            <w:tcW w:w="7537" w:type="dxa"/>
            <w:gridSpan w:val="3"/>
            <w:noWrap w:val="0"/>
            <w:vAlign w:val="top"/>
          </w:tcPr>
          <w:p w14:paraId="357558EC">
            <w:pPr>
              <w:pStyle w:val="17"/>
              <w:spacing w:before="147" w:line="220" w:lineRule="auto"/>
              <w:ind w:left="126"/>
              <w:rPr>
                <w:color w:val="auto"/>
                <w:highlight w:val="none"/>
              </w:rPr>
            </w:pPr>
            <w:r>
              <w:rPr>
                <w:color w:val="auto"/>
                <w:spacing w:val="-2"/>
                <w:highlight w:val="none"/>
              </w:rPr>
              <w:t>响应招标文件规定的全部实质性条款</w:t>
            </w:r>
          </w:p>
        </w:tc>
      </w:tr>
      <w:tr w14:paraId="76869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114E5E67">
            <w:pPr>
              <w:pStyle w:val="17"/>
              <w:spacing w:before="146" w:line="242" w:lineRule="auto"/>
              <w:ind w:left="397" w:leftChars="0"/>
              <w:rPr>
                <w:rFonts w:ascii="宋体" w:hAnsi="宋体" w:eastAsia="宋体" w:cs="宋体"/>
                <w:snapToGrid w:val="0"/>
                <w:color w:val="auto"/>
                <w:kern w:val="0"/>
                <w:sz w:val="24"/>
                <w:szCs w:val="24"/>
                <w:highlight w:val="none"/>
                <w:lang w:val="en-US" w:eastAsia="en-US" w:bidi="ar-SA"/>
              </w:rPr>
            </w:pPr>
            <w:r>
              <w:rPr>
                <w:color w:val="auto"/>
                <w:spacing w:val="-14"/>
                <w:highlight w:val="none"/>
              </w:rPr>
              <w:t>11</w:t>
            </w:r>
          </w:p>
        </w:tc>
        <w:tc>
          <w:tcPr>
            <w:tcW w:w="7537" w:type="dxa"/>
            <w:gridSpan w:val="3"/>
            <w:noWrap w:val="0"/>
            <w:vAlign w:val="top"/>
          </w:tcPr>
          <w:p w14:paraId="0099B4BD">
            <w:pPr>
              <w:pStyle w:val="17"/>
              <w:spacing w:before="148" w:line="220" w:lineRule="auto"/>
              <w:ind w:left="117"/>
              <w:rPr>
                <w:color w:val="auto"/>
                <w:highlight w:val="none"/>
              </w:rPr>
            </w:pPr>
            <w:r>
              <w:rPr>
                <w:color w:val="auto"/>
                <w:spacing w:val="-1"/>
                <w:highlight w:val="none"/>
              </w:rPr>
              <w:t>投标文件关键内容无不全、字迹模糊、无法辨认</w:t>
            </w:r>
          </w:p>
        </w:tc>
      </w:tr>
      <w:tr w14:paraId="05A2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shd w:val="clear" w:color="auto" w:fill="auto"/>
            <w:noWrap w:val="0"/>
            <w:vAlign w:val="top"/>
          </w:tcPr>
          <w:p w14:paraId="7316054B">
            <w:pPr>
              <w:pStyle w:val="17"/>
              <w:spacing w:before="147" w:line="242" w:lineRule="auto"/>
              <w:ind w:left="397" w:leftChars="0"/>
              <w:rPr>
                <w:rFonts w:ascii="宋体" w:hAnsi="宋体" w:eastAsia="宋体" w:cs="宋体"/>
                <w:snapToGrid w:val="0"/>
                <w:color w:val="auto"/>
                <w:kern w:val="0"/>
                <w:sz w:val="24"/>
                <w:szCs w:val="24"/>
                <w:highlight w:val="none"/>
                <w:lang w:val="en-US" w:eastAsia="en-US" w:bidi="ar-SA"/>
              </w:rPr>
            </w:pPr>
            <w:r>
              <w:rPr>
                <w:color w:val="auto"/>
                <w:spacing w:val="-14"/>
                <w:highlight w:val="none"/>
              </w:rPr>
              <w:t>12</w:t>
            </w:r>
          </w:p>
        </w:tc>
        <w:tc>
          <w:tcPr>
            <w:tcW w:w="7537" w:type="dxa"/>
            <w:gridSpan w:val="3"/>
            <w:noWrap w:val="0"/>
            <w:vAlign w:val="top"/>
          </w:tcPr>
          <w:p w14:paraId="6659D35E">
            <w:pPr>
              <w:pStyle w:val="17"/>
              <w:spacing w:before="146" w:line="219" w:lineRule="auto"/>
              <w:ind w:left="114"/>
              <w:rPr>
                <w:color w:val="auto"/>
                <w:highlight w:val="none"/>
              </w:rPr>
            </w:pPr>
            <w:r>
              <w:rPr>
                <w:color w:val="auto"/>
                <w:spacing w:val="-1"/>
                <w:highlight w:val="none"/>
              </w:rPr>
              <w:t>供应商报一个有效报价</w:t>
            </w:r>
          </w:p>
        </w:tc>
      </w:tr>
      <w:tr w14:paraId="64D04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986" w:type="dxa"/>
            <w:noWrap w:val="0"/>
            <w:vAlign w:val="top"/>
          </w:tcPr>
          <w:p w14:paraId="62B0E9E8">
            <w:pPr>
              <w:pStyle w:val="17"/>
              <w:spacing w:before="147" w:line="242" w:lineRule="auto"/>
              <w:ind w:left="397"/>
              <w:rPr>
                <w:rFonts w:hint="default" w:eastAsia="宋体"/>
                <w:color w:val="auto"/>
                <w:highlight w:val="none"/>
                <w:lang w:val="en-US" w:eastAsia="zh-CN"/>
              </w:rPr>
            </w:pPr>
            <w:r>
              <w:rPr>
                <w:rFonts w:hint="eastAsia"/>
                <w:color w:val="auto"/>
                <w:spacing w:val="-14"/>
                <w:highlight w:val="none"/>
                <w:lang w:val="en-US" w:eastAsia="zh-CN"/>
              </w:rPr>
              <w:t>13</w:t>
            </w:r>
          </w:p>
        </w:tc>
        <w:tc>
          <w:tcPr>
            <w:tcW w:w="7537" w:type="dxa"/>
            <w:gridSpan w:val="3"/>
            <w:noWrap w:val="0"/>
            <w:vAlign w:val="top"/>
          </w:tcPr>
          <w:p w14:paraId="49EF4CC9">
            <w:pPr>
              <w:pStyle w:val="17"/>
              <w:spacing w:before="147" w:line="220" w:lineRule="auto"/>
              <w:ind w:left="115"/>
              <w:rPr>
                <w:color w:val="auto"/>
                <w:highlight w:val="none"/>
              </w:rPr>
            </w:pPr>
            <w:r>
              <w:rPr>
                <w:color w:val="auto"/>
                <w:spacing w:val="-1"/>
                <w:highlight w:val="none"/>
              </w:rPr>
              <w:t>招标文件规定的其他内容</w:t>
            </w:r>
          </w:p>
        </w:tc>
      </w:tr>
      <w:tr w14:paraId="411F5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510" w:type="dxa"/>
            <w:gridSpan w:val="2"/>
            <w:noWrap w:val="0"/>
            <w:vAlign w:val="top"/>
          </w:tcPr>
          <w:p w14:paraId="552826B1">
            <w:pPr>
              <w:pStyle w:val="17"/>
              <w:spacing w:before="148" w:line="220" w:lineRule="auto"/>
              <w:ind w:left="779"/>
              <w:rPr>
                <w:color w:val="auto"/>
                <w:highlight w:val="none"/>
              </w:rPr>
            </w:pPr>
            <w:r>
              <w:rPr>
                <w:color w:val="auto"/>
                <w:spacing w:val="-3"/>
                <w:highlight w:val="none"/>
              </w:rPr>
              <w:t>评委签字</w:t>
            </w:r>
          </w:p>
        </w:tc>
        <w:tc>
          <w:tcPr>
            <w:tcW w:w="4058" w:type="dxa"/>
            <w:noWrap w:val="0"/>
            <w:vAlign w:val="top"/>
          </w:tcPr>
          <w:p w14:paraId="2A703745">
            <w:pPr>
              <w:rPr>
                <w:rFonts w:ascii="Arial"/>
                <w:color w:val="auto"/>
                <w:sz w:val="21"/>
                <w:highlight w:val="none"/>
              </w:rPr>
            </w:pPr>
          </w:p>
        </w:tc>
        <w:tc>
          <w:tcPr>
            <w:tcW w:w="1955" w:type="dxa"/>
            <w:noWrap w:val="0"/>
            <w:vAlign w:val="top"/>
          </w:tcPr>
          <w:p w14:paraId="509E287F">
            <w:pPr>
              <w:pStyle w:val="17"/>
              <w:spacing w:before="148" w:line="221" w:lineRule="auto"/>
              <w:ind w:left="502"/>
              <w:rPr>
                <w:color w:val="auto"/>
                <w:highlight w:val="none"/>
              </w:rPr>
            </w:pPr>
            <w:r>
              <w:rPr>
                <w:color w:val="auto"/>
                <w:spacing w:val="-3"/>
                <w:highlight w:val="none"/>
              </w:rPr>
              <w:t>评审结论</w:t>
            </w:r>
          </w:p>
        </w:tc>
      </w:tr>
    </w:tbl>
    <w:p w14:paraId="3304128C">
      <w:pPr>
        <w:rPr>
          <w:color w:val="auto"/>
          <w:highlight w:val="none"/>
        </w:rPr>
        <w:sectPr>
          <w:footerReference r:id="rId15" w:type="default"/>
          <w:pgSz w:w="11906" w:h="16839"/>
          <w:pgMar w:top="1431" w:right="1689" w:bottom="1209" w:left="1688" w:header="0" w:footer="973" w:gutter="0"/>
          <w:pgNumType w:fmt="decimal"/>
          <w:cols w:space="720" w:num="1"/>
        </w:sectPr>
      </w:pPr>
    </w:p>
    <w:p w14:paraId="4AF038F4">
      <w:pPr>
        <w:numPr>
          <w:ilvl w:val="0"/>
          <w:numId w:val="3"/>
        </w:numPr>
        <w:spacing w:before="156" w:line="221" w:lineRule="auto"/>
        <w:ind w:left="214" w:leftChars="0"/>
        <w:outlineLvl w:val="9"/>
        <w:rPr>
          <w:rFonts w:hint="eastAsia" w:ascii="宋体" w:hAnsi="宋体" w:eastAsia="宋体" w:cs="宋体"/>
          <w:b/>
          <w:bCs/>
          <w:color w:val="auto"/>
          <w:spacing w:val="-5"/>
          <w:sz w:val="24"/>
          <w:szCs w:val="24"/>
          <w:highlight w:val="none"/>
          <w:lang w:val="zh-CN"/>
        </w:rPr>
      </w:pPr>
      <w:r>
        <w:rPr>
          <w:rFonts w:ascii="宋体" w:hAnsi="宋体" w:eastAsia="宋体" w:cs="宋体"/>
          <w:b/>
          <w:bCs/>
          <w:color w:val="auto"/>
          <w:spacing w:val="-5"/>
          <w:sz w:val="24"/>
          <w:szCs w:val="24"/>
          <w:highlight w:val="none"/>
        </w:rPr>
        <w:t>详细评审</w:t>
      </w:r>
      <w:r>
        <w:rPr>
          <w:rFonts w:hint="eastAsia" w:ascii="宋体" w:hAnsi="宋体" w:eastAsia="宋体" w:cs="宋体"/>
          <w:b/>
          <w:bCs/>
          <w:color w:val="auto"/>
          <w:spacing w:val="-5"/>
          <w:sz w:val="24"/>
          <w:szCs w:val="24"/>
          <w:highlight w:val="none"/>
          <w:lang w:val="zh-CN"/>
        </w:rPr>
        <w:t>（计算结果精确到小数点后两位）</w:t>
      </w:r>
    </w:p>
    <w:tbl>
      <w:tblPr>
        <w:tblStyle w:val="14"/>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1006"/>
        <w:gridCol w:w="5721"/>
        <w:gridCol w:w="1012"/>
      </w:tblGrid>
      <w:tr w14:paraId="07A7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tblHeader/>
          <w:jc w:val="center"/>
        </w:trPr>
        <w:tc>
          <w:tcPr>
            <w:tcW w:w="1020" w:type="dxa"/>
            <w:tcMar>
              <w:top w:w="15" w:type="dxa"/>
              <w:left w:w="15" w:type="dxa"/>
              <w:right w:w="15" w:type="dxa"/>
            </w:tcMar>
            <w:vAlign w:val="center"/>
          </w:tcPr>
          <w:p w14:paraId="7C2C7B7A">
            <w:pPr>
              <w:spacing w:line="240" w:lineRule="auto"/>
              <w:jc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bookmarkStart w:id="5" w:name="_Toc19890"/>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评审内容</w:t>
            </w:r>
          </w:p>
        </w:tc>
        <w:tc>
          <w:tcPr>
            <w:tcW w:w="1006" w:type="dxa"/>
            <w:tcMar>
              <w:top w:w="15" w:type="dxa"/>
              <w:left w:w="15" w:type="dxa"/>
              <w:right w:w="15" w:type="dxa"/>
            </w:tcMar>
            <w:vAlign w:val="center"/>
          </w:tcPr>
          <w:p w14:paraId="6964523B">
            <w:pPr>
              <w:spacing w:line="240" w:lineRule="auto"/>
              <w:jc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评审项目</w:t>
            </w:r>
          </w:p>
        </w:tc>
        <w:tc>
          <w:tcPr>
            <w:tcW w:w="5721" w:type="dxa"/>
            <w:tcMar>
              <w:top w:w="15" w:type="dxa"/>
              <w:left w:w="15" w:type="dxa"/>
              <w:right w:w="15" w:type="dxa"/>
            </w:tcMar>
            <w:vAlign w:val="center"/>
          </w:tcPr>
          <w:p w14:paraId="10A4FB73">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评审标准说明</w:t>
            </w:r>
          </w:p>
        </w:tc>
        <w:tc>
          <w:tcPr>
            <w:tcW w:w="1012" w:type="dxa"/>
            <w:tcMar>
              <w:top w:w="15" w:type="dxa"/>
              <w:left w:w="15" w:type="dxa"/>
              <w:right w:w="15" w:type="dxa"/>
            </w:tcMar>
            <w:vAlign w:val="center"/>
          </w:tcPr>
          <w:p w14:paraId="702D5780">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分值</w:t>
            </w:r>
          </w:p>
        </w:tc>
      </w:tr>
      <w:tr w14:paraId="4D7D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1020" w:type="dxa"/>
            <w:tcMar>
              <w:top w:w="15" w:type="dxa"/>
              <w:left w:w="15" w:type="dxa"/>
              <w:right w:w="15" w:type="dxa"/>
            </w:tcMar>
            <w:vAlign w:val="center"/>
          </w:tcPr>
          <w:p w14:paraId="63DFFC42">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投标报价30分</w:t>
            </w:r>
          </w:p>
        </w:tc>
        <w:tc>
          <w:tcPr>
            <w:tcW w:w="1006" w:type="dxa"/>
            <w:tcMar>
              <w:top w:w="15" w:type="dxa"/>
              <w:left w:w="15" w:type="dxa"/>
              <w:right w:w="15" w:type="dxa"/>
            </w:tcMar>
            <w:vAlign w:val="center"/>
          </w:tcPr>
          <w:p w14:paraId="282DB079">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投标报价</w:t>
            </w:r>
          </w:p>
        </w:tc>
        <w:tc>
          <w:tcPr>
            <w:tcW w:w="5721" w:type="dxa"/>
            <w:tcMar>
              <w:top w:w="15" w:type="dxa"/>
              <w:left w:w="15" w:type="dxa"/>
              <w:right w:w="15" w:type="dxa"/>
            </w:tcMar>
            <w:vAlign w:val="center"/>
          </w:tcPr>
          <w:p w14:paraId="7F3C47E8">
            <w:pPr>
              <w:widowControl/>
              <w:spacing w:line="240" w:lineRule="auto"/>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价格分统一采用低价优先法，即满足招标文件要求且投标价格最低的投标报价为评标基准价，其价格分为满分   分。其他投标人的价格分统一按照下列公式计算：</w:t>
            </w:r>
          </w:p>
          <w:p w14:paraId="6585CF45">
            <w:pPr>
              <w:widowControl/>
              <w:spacing w:line="240" w:lineRule="auto"/>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投标报价得分＝（评标基准价/投标报价）× 30 ％×100</w:t>
            </w:r>
          </w:p>
        </w:tc>
        <w:tc>
          <w:tcPr>
            <w:tcW w:w="1012" w:type="dxa"/>
            <w:tcMar>
              <w:top w:w="15" w:type="dxa"/>
              <w:left w:w="15" w:type="dxa"/>
              <w:right w:w="15" w:type="dxa"/>
            </w:tcMar>
            <w:vAlign w:val="center"/>
          </w:tcPr>
          <w:p w14:paraId="65537954">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30</w:t>
            </w:r>
          </w:p>
        </w:tc>
      </w:tr>
      <w:tr w14:paraId="34D0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1020" w:type="dxa"/>
            <w:vMerge w:val="restart"/>
            <w:tcMar>
              <w:top w:w="15" w:type="dxa"/>
              <w:left w:w="15" w:type="dxa"/>
              <w:right w:w="15" w:type="dxa"/>
            </w:tcMar>
            <w:vAlign w:val="center"/>
          </w:tcPr>
          <w:p w14:paraId="48ACD34F">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商务部分</w:t>
            </w:r>
          </w:p>
          <w:p w14:paraId="76107E59">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zh-CN" w:bidi="ar-SA"/>
              </w:rPr>
              <w:t>8</w:t>
            </w: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分</w:t>
            </w:r>
          </w:p>
        </w:tc>
        <w:tc>
          <w:tcPr>
            <w:tcW w:w="1006" w:type="dxa"/>
            <w:tcMar>
              <w:top w:w="15" w:type="dxa"/>
              <w:left w:w="15" w:type="dxa"/>
              <w:right w:w="15" w:type="dxa"/>
            </w:tcMar>
            <w:vAlign w:val="center"/>
          </w:tcPr>
          <w:p w14:paraId="0DBABD7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人员证书</w:t>
            </w:r>
          </w:p>
        </w:tc>
        <w:tc>
          <w:tcPr>
            <w:tcW w:w="5721" w:type="dxa"/>
            <w:tcMar>
              <w:top w:w="15" w:type="dxa"/>
              <w:left w:w="15" w:type="dxa"/>
              <w:right w:w="15" w:type="dxa"/>
            </w:tcMar>
            <w:vAlign w:val="center"/>
          </w:tcPr>
          <w:p w14:paraId="252B520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投标人拟投入本项目的服务人员具备地理信息方面中级工程师及以上职业资格的，每有一人得1分，最高得3分。投标文件附以上人员职业资格证书复印件加盖投标人公章。</w:t>
            </w:r>
          </w:p>
        </w:tc>
        <w:tc>
          <w:tcPr>
            <w:tcW w:w="1012" w:type="dxa"/>
            <w:tcMar>
              <w:top w:w="15" w:type="dxa"/>
              <w:left w:w="15" w:type="dxa"/>
              <w:right w:w="15" w:type="dxa"/>
            </w:tcMar>
            <w:vAlign w:val="center"/>
          </w:tcPr>
          <w:p w14:paraId="5B12ECA1">
            <w:pPr>
              <w:widowControl/>
              <w:spacing w:line="240" w:lineRule="auto"/>
              <w:jc w:val="center"/>
              <w:textAlignment w:val="center"/>
              <w:rPr>
                <w:rFonts w:hint="default" w:asciiTheme="minorEastAsia" w:hAnsiTheme="minorEastAsia" w:eastAsiaTheme="minorEastAsia" w:cstheme="minorEastAsia"/>
                <w:snapToGrid w:val="0"/>
                <w:color w:val="auto"/>
                <w:spacing w:val="-1"/>
                <w:kern w:val="0"/>
                <w:sz w:val="22"/>
                <w:szCs w:val="22"/>
                <w:highlight w:val="none"/>
                <w:lang w:val="en-US" w:eastAsia="zh-CN"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zh-CN" w:bidi="ar-SA"/>
              </w:rPr>
              <w:t>3</w:t>
            </w:r>
          </w:p>
        </w:tc>
      </w:tr>
      <w:tr w14:paraId="069A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1020" w:type="dxa"/>
            <w:vMerge w:val="continue"/>
            <w:tcMar>
              <w:top w:w="15" w:type="dxa"/>
              <w:left w:w="15" w:type="dxa"/>
              <w:right w:w="15" w:type="dxa"/>
            </w:tcMar>
            <w:vAlign w:val="center"/>
          </w:tcPr>
          <w:p w14:paraId="3F5FD24F">
            <w:pPr>
              <w:widowControl/>
              <w:spacing w:line="240" w:lineRule="auto"/>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tcMar>
              <w:top w:w="15" w:type="dxa"/>
              <w:left w:w="15" w:type="dxa"/>
              <w:right w:w="15" w:type="dxa"/>
            </w:tcMar>
            <w:vAlign w:val="center"/>
          </w:tcPr>
          <w:p w14:paraId="2E2074A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类似业绩</w:t>
            </w:r>
          </w:p>
        </w:tc>
        <w:tc>
          <w:tcPr>
            <w:tcW w:w="5721" w:type="dxa"/>
            <w:tcMar>
              <w:top w:w="15" w:type="dxa"/>
              <w:left w:w="15" w:type="dxa"/>
              <w:right w:w="15" w:type="dxa"/>
            </w:tcMar>
            <w:vAlign w:val="center"/>
          </w:tcPr>
          <w:p w14:paraId="43E277B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Style w:val="20"/>
                <w:rFonts w:hint="eastAsia" w:asciiTheme="minorEastAsia" w:hAnsiTheme="minorEastAsia" w:eastAsiaTheme="minorEastAsia" w:cstheme="minorEastAsia"/>
                <w:snapToGrid w:val="0"/>
                <w:color w:val="auto"/>
                <w:sz w:val="22"/>
                <w:szCs w:val="22"/>
                <w:highlight w:val="none"/>
                <w:lang w:val="en-US" w:eastAsia="zh-CN" w:bidi="ar"/>
              </w:rPr>
              <w:t>投标人2022年至今（以中标通知书日期或合同签订时间为准）承揽过的与本项目类似的项目业绩，每提供一项得1分，满分为4分。投标文件附中标通知书或合同协议加盖投标人公章的复印件。符合上述条件的得分，否则不得分。</w:t>
            </w:r>
          </w:p>
        </w:tc>
        <w:tc>
          <w:tcPr>
            <w:tcW w:w="1012" w:type="dxa"/>
            <w:tcMar>
              <w:top w:w="15" w:type="dxa"/>
              <w:left w:w="15" w:type="dxa"/>
              <w:right w:w="15" w:type="dxa"/>
            </w:tcMar>
            <w:vAlign w:val="center"/>
          </w:tcPr>
          <w:p w14:paraId="03F42C0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4</w:t>
            </w:r>
          </w:p>
        </w:tc>
      </w:tr>
      <w:tr w14:paraId="0821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020" w:type="dxa"/>
            <w:vMerge w:val="restart"/>
            <w:tcMar>
              <w:top w:w="15" w:type="dxa"/>
              <w:left w:w="15" w:type="dxa"/>
              <w:right w:w="15" w:type="dxa"/>
            </w:tcMar>
            <w:vAlign w:val="center"/>
          </w:tcPr>
          <w:p w14:paraId="517A4D7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zh-CN" w:bidi="ar-SA"/>
              </w:rPr>
              <w:t>技术</w:t>
            </w: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部分</w:t>
            </w:r>
            <w:r>
              <w:rPr>
                <w:rFonts w:hint="eastAsia" w:asciiTheme="minorEastAsia" w:hAnsiTheme="minorEastAsia" w:eastAsiaTheme="minorEastAsia" w:cstheme="minorEastAsia"/>
                <w:snapToGrid w:val="0"/>
                <w:color w:val="auto"/>
                <w:spacing w:val="-1"/>
                <w:kern w:val="0"/>
                <w:sz w:val="22"/>
                <w:szCs w:val="22"/>
                <w:highlight w:val="none"/>
                <w:lang w:val="en-US" w:eastAsia="zh-CN" w:bidi="ar-SA"/>
              </w:rPr>
              <w:t>52</w:t>
            </w: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分</w:t>
            </w:r>
          </w:p>
        </w:tc>
        <w:tc>
          <w:tcPr>
            <w:tcW w:w="1006" w:type="dxa"/>
            <w:vMerge w:val="restart"/>
            <w:tcMar>
              <w:top w:w="15" w:type="dxa"/>
              <w:left w:w="15" w:type="dxa"/>
              <w:right w:w="15" w:type="dxa"/>
            </w:tcMar>
            <w:vAlign w:val="center"/>
          </w:tcPr>
          <w:p w14:paraId="3D1F2C02">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技术指标功能截图</w:t>
            </w:r>
          </w:p>
        </w:tc>
        <w:tc>
          <w:tcPr>
            <w:tcW w:w="5721" w:type="dxa"/>
            <w:tcMar>
              <w:top w:w="15" w:type="dxa"/>
              <w:left w:w="15" w:type="dxa"/>
              <w:right w:w="15" w:type="dxa"/>
            </w:tcMar>
            <w:vAlign w:val="center"/>
          </w:tcPr>
          <w:p w14:paraId="69FE1272">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第一项（移动式SLAM彩色三维激光扫描仪）设备定位方式①：支持基于 SLAM 技术定位扫描，支持RTK，拥有RTK-SLAM®紧耦合互补滤波技术。</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5CC76C5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5C00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1666997F">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3A9C054D">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77F9458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Style w:val="21"/>
                <w:rFonts w:hint="eastAsia" w:asciiTheme="minorEastAsia" w:hAnsiTheme="minorEastAsia" w:eastAsiaTheme="minorEastAsia" w:cstheme="minorEastAsia"/>
                <w:snapToGrid w:val="0"/>
                <w:color w:val="auto"/>
                <w:sz w:val="22"/>
                <w:szCs w:val="22"/>
                <w:highlight w:val="none"/>
                <w:lang w:val="en-US" w:eastAsia="zh-CN" w:bidi="ar"/>
              </w:rPr>
              <w:t xml:space="preserve">第一项（移动式SLAM彩色三维激光扫描仪）设备定位方式②：支持基于 </w:t>
            </w:r>
            <w:r>
              <w:rPr>
                <w:rStyle w:val="22"/>
                <w:rFonts w:hint="eastAsia" w:asciiTheme="minorEastAsia" w:hAnsiTheme="minorEastAsia" w:eastAsiaTheme="minorEastAsia" w:cstheme="minorEastAsia"/>
                <w:snapToGrid w:val="0"/>
                <w:color w:val="auto"/>
                <w:sz w:val="22"/>
                <w:szCs w:val="22"/>
                <w:highlight w:val="none"/>
                <w:lang w:val="en-US" w:eastAsia="zh-CN" w:bidi="ar"/>
              </w:rPr>
              <w:t xml:space="preserve">SLAM </w:t>
            </w:r>
            <w:r>
              <w:rPr>
                <w:rStyle w:val="21"/>
                <w:rFonts w:hint="eastAsia" w:asciiTheme="minorEastAsia" w:hAnsiTheme="minorEastAsia" w:eastAsiaTheme="minorEastAsia" w:cstheme="minorEastAsia"/>
                <w:snapToGrid w:val="0"/>
                <w:color w:val="auto"/>
                <w:sz w:val="22"/>
                <w:szCs w:val="22"/>
                <w:highlight w:val="none"/>
                <w:lang w:val="en-US" w:eastAsia="zh-CN" w:bidi="ar"/>
              </w:rPr>
              <w:t>技术定位扫描，支持</w:t>
            </w:r>
            <w:r>
              <w:rPr>
                <w:rStyle w:val="22"/>
                <w:rFonts w:hint="eastAsia" w:asciiTheme="minorEastAsia" w:hAnsiTheme="minorEastAsia" w:eastAsiaTheme="minorEastAsia" w:cstheme="minorEastAsia"/>
                <w:snapToGrid w:val="0"/>
                <w:color w:val="auto"/>
                <w:sz w:val="22"/>
                <w:szCs w:val="22"/>
                <w:highlight w:val="none"/>
                <w:lang w:val="en-US" w:eastAsia="zh-CN" w:bidi="ar"/>
              </w:rPr>
              <w:t>PPK</w:t>
            </w:r>
            <w:r>
              <w:rPr>
                <w:rStyle w:val="21"/>
                <w:rFonts w:hint="eastAsia" w:asciiTheme="minorEastAsia" w:hAnsiTheme="minorEastAsia" w:eastAsiaTheme="minorEastAsia" w:cstheme="minorEastAsia"/>
                <w:snapToGrid w:val="0"/>
                <w:color w:val="auto"/>
                <w:sz w:val="22"/>
                <w:szCs w:val="22"/>
                <w:highlight w:val="none"/>
                <w:lang w:val="en-US" w:eastAsia="zh-CN" w:bidi="ar"/>
              </w:rPr>
              <w:t>，实现</w:t>
            </w:r>
            <w:r>
              <w:rPr>
                <w:rStyle w:val="22"/>
                <w:rFonts w:hint="eastAsia" w:asciiTheme="minorEastAsia" w:hAnsiTheme="minorEastAsia" w:eastAsiaTheme="minorEastAsia" w:cstheme="minorEastAsia"/>
                <w:snapToGrid w:val="0"/>
                <w:color w:val="auto"/>
                <w:sz w:val="22"/>
                <w:szCs w:val="22"/>
                <w:highlight w:val="none"/>
                <w:lang w:val="en-US" w:eastAsia="zh-CN" w:bidi="ar"/>
              </w:rPr>
              <w:t>PPK-SLAM</w:t>
            </w:r>
            <w:r>
              <w:rPr>
                <w:rStyle w:val="21"/>
                <w:rFonts w:hint="eastAsia" w:asciiTheme="minorEastAsia" w:hAnsiTheme="minorEastAsia" w:eastAsiaTheme="minorEastAsia" w:cstheme="minorEastAsia"/>
                <w:snapToGrid w:val="0"/>
                <w:color w:val="auto"/>
                <w:sz w:val="22"/>
                <w:szCs w:val="22"/>
                <w:highlight w:val="none"/>
                <w:lang w:val="en-US" w:eastAsia="zh-CN" w:bidi="ar"/>
              </w:rPr>
              <w:t>技术定位扫描。</w:t>
            </w:r>
            <w:r>
              <w:rPr>
                <w:rStyle w:val="21"/>
                <w:rFonts w:hint="eastAsia" w:asciiTheme="minorEastAsia" w:hAnsiTheme="minorEastAsia" w:eastAsiaTheme="minorEastAsia" w:cstheme="minorEastAsia"/>
                <w:snapToGrid w:val="0"/>
                <w:color w:val="auto"/>
                <w:sz w:val="22"/>
                <w:szCs w:val="22"/>
                <w:highlight w:val="none"/>
                <w:lang w:val="en-US" w:eastAsia="zh-CN" w:bidi="ar"/>
              </w:rPr>
              <w:br w:type="textWrapping"/>
            </w:r>
            <w:r>
              <w:rPr>
                <w:rStyle w:val="21"/>
                <w:rFonts w:hint="eastAsia" w:asciiTheme="minorEastAsia" w:hAnsiTheme="minorEastAsia" w:eastAsiaTheme="minorEastAsia" w:cstheme="minorEastAsia"/>
                <w:snapToGrid w:val="0"/>
                <w:color w:val="auto"/>
                <w:sz w:val="22"/>
                <w:szCs w:val="22"/>
                <w:highlight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295206D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691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51DE2F20">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7A548785">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6A657A29">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第七项（点云地理要素矢量对象化协同处理系统）依据分块快速加载点云，点云数据源支持移动测量车、激光雷达、三维激光静态扫描点云数据。</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12CD825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2EAD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71409CD1">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38D5CA0E">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7EF15F0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第七项（点云地理要素矢量对象化协同处理系统）支持测量车Lidar点云与全景影像叠加，工作平面实现无点云测图。</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01B9C87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35F3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5AD2EADE">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6DF2A91F">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1E49647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第七项（点云地理要素矢量对象化协同处理系统）支持支持点云分块显示，可以改变点云颗粒的大小。</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5BCDF1A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0C1C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54DF695D">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57C9781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6199ABC1">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第七项（点云地理要素矢量对象化协同处理系统）支持自动生成白模，构建的白模支持转换到3DMAX中，矢量数据支持转换到通用数据格式中。</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4F76470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4E83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35DF851B">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20DD51A7">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3A171025">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第八项（地理信息高级版桌面软件）支持全动态视频数据，支持视频与地图位置进行实时交互，并支持在视频中直接量算,包括：长度及面积，支持在视频中进行数据采集。</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62292B5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2DB3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2ECA5CFF">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37D422B7">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0E59FE8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八项（地理信息高级版桌面软件）提供深度学习完整的工作流，能够无需切换到第三方工作环境（如第三方的深度学习框架）中即可实现深度学习的全部流程，包括样本标注和样本制作，模型训练及推理等过程。</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57F4B91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7E37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5779F4D9">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7B0263CE">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5E1F0C5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第八项（地理信息高级版桌面软件）支持在模型构建器中使用地统计扩展模块工具，对采样点数据进行插值，插值结果输出地统计图层，并且对该地统计图层进行等值线转换显示。</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4AAE09D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245D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600B2113">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1680F47B">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164EC07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第八项（地理信息高级版桌面软件）支持OGC 三维数据格式SLPK，提供场景图层升级工具，支持将场景图层升级为最新的I3S版本SLPK文件,支持对SLPK进行裁剪。</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296E182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6416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36BBB8B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03F05112">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086BFCE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八项（地理信息高级版桌面软件）产品遵循无障碍设计原则，提供诸如主题皮肤切换、界面缩放等功能，提供色觉模拟器支持制图者为色觉障碍者设计更好的地图，提供鼠标和键盘快捷键组合方式导航用户界面和执行命令。</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41E7811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0DBE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2776B19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7AD945B5">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37B406BD">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第八项（地理信息高级版桌面软件）支持定向影像，支持通过无人机影像、近距离检查影像及移动设备拍摄的街道级影像创建定向影像数据集，内置定向影像查看器查看用户点击位置的最佳可用图像。</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42BEB8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3EC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150DDA2C">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3740DFEC">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02A4E06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第八项（地理信息高级版桌面软件）提供SLPK数据平移工具，支持使用第三方程序编辑三维模型。</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2D7898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2D62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1A7B0A8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7A9D758A">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00BD487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第九项（遥感影像处理软件）要求提供基于参考影像自动采集控制点的RPC正射校正功能。能够自动从参考影像中采集控制点，用于优化和纠正RPC参数，从而生成精度更高的正射影像产品。</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评审依据：提供以上功能截图或承诺函，提供得3分，满分3分。</w:t>
            </w:r>
          </w:p>
        </w:tc>
        <w:tc>
          <w:tcPr>
            <w:tcW w:w="1012" w:type="dxa"/>
            <w:tcMar>
              <w:top w:w="15" w:type="dxa"/>
              <w:left w:w="15" w:type="dxa"/>
              <w:right w:w="15" w:type="dxa"/>
            </w:tcMar>
            <w:vAlign w:val="center"/>
          </w:tcPr>
          <w:p w14:paraId="2D8882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36E1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32148775">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5B34754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4DD7794C">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十一项（数据解算软件）精度报告书需提供不限于多视角精度热力图分析：精度热力图以颜色光谱的形式给出了点云成果中不同区域的绝对误差的精度水平。根据颜色刻度图示，可以对数据的精度进行综合评估。精度热力图点云：数据成果中含有精度热力图点云las文件。</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742D42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10E1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6A3CE325">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2DB03C83">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2AFF9AD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第十一项（数据解算软件）批量处理：支持多个工程文件批量处理方式。</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528B386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1518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1020" w:type="dxa"/>
            <w:vMerge w:val="continue"/>
            <w:tcMar>
              <w:top w:w="15" w:type="dxa"/>
              <w:left w:w="15" w:type="dxa"/>
              <w:right w:w="15" w:type="dxa"/>
            </w:tcMar>
            <w:vAlign w:val="center"/>
          </w:tcPr>
          <w:p w14:paraId="2A1C2B29">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171CBA74">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4276E5A8">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第十一项（数据解算软件）精度报告：点云预处理后自动生成精度报告，精度报告中需包含点云平均绝对误差、绝对误差范围所占百分比、点云精度热力图等。</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23D4814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7786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20" w:type="dxa"/>
            <w:vMerge w:val="continue"/>
            <w:tcMar>
              <w:top w:w="15" w:type="dxa"/>
              <w:left w:w="15" w:type="dxa"/>
              <w:right w:w="15" w:type="dxa"/>
            </w:tcMar>
            <w:vAlign w:val="center"/>
          </w:tcPr>
          <w:p w14:paraId="337FE860">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144032AB">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5F83BD14">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第十一项（数据解算软件）控制点规划工作建议书：建议书中需给出对于不满足项目精度标准的点云建议补打的控制点的位置和数量。</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1BF4352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7723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20" w:type="dxa"/>
            <w:vMerge w:val="continue"/>
            <w:tcMar>
              <w:top w:w="15" w:type="dxa"/>
              <w:left w:w="15" w:type="dxa"/>
              <w:right w:w="15" w:type="dxa"/>
            </w:tcMar>
            <w:vAlign w:val="center"/>
          </w:tcPr>
          <w:p w14:paraId="598E5DD2">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0C4E8B49">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69F9A3F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第十二项（数据浏览软件）支持沿轨迹线的前进方向浏览点云模型和全景图像，支持点云漫游功能。</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7FB8BF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5634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0" w:type="dxa"/>
            <w:vMerge w:val="continue"/>
            <w:tcMar>
              <w:top w:w="15" w:type="dxa"/>
              <w:left w:w="15" w:type="dxa"/>
              <w:right w:w="15" w:type="dxa"/>
            </w:tcMar>
            <w:vAlign w:val="center"/>
          </w:tcPr>
          <w:p w14:paraId="3DACB311">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274027F3">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11BD0647">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第十二项（数据浏览软件）支持点云测量、裁剪盒、颜色强度高程显示模式、EDL显示模式等功能。</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20D03A9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7E1B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20" w:type="dxa"/>
            <w:vMerge w:val="continue"/>
            <w:tcMar>
              <w:top w:w="15" w:type="dxa"/>
              <w:left w:w="15" w:type="dxa"/>
              <w:right w:w="15" w:type="dxa"/>
            </w:tcMar>
            <w:vAlign w:val="center"/>
          </w:tcPr>
          <w:p w14:paraId="4E53E877">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vMerge w:val="continue"/>
            <w:tcMar>
              <w:top w:w="15" w:type="dxa"/>
              <w:left w:w="15" w:type="dxa"/>
              <w:right w:w="15" w:type="dxa"/>
            </w:tcMar>
            <w:vAlign w:val="center"/>
          </w:tcPr>
          <w:p w14:paraId="252C823F">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5721" w:type="dxa"/>
            <w:tcMar>
              <w:top w:w="15" w:type="dxa"/>
              <w:left w:w="15" w:type="dxa"/>
              <w:right w:w="15" w:type="dxa"/>
            </w:tcMar>
            <w:vAlign w:val="center"/>
          </w:tcPr>
          <w:p w14:paraId="22E9582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第十二项（数据浏览软件）3DGS模式设置里功能包括“显示轨迹”，“显示点云”，“显示环境”。支持行进轨迹、透明度可调节的全景图片与点云数据的套合浏览。</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评审依据：提供以上功能截图或承诺函，提供得2分，满分2分。</w:t>
            </w:r>
          </w:p>
        </w:tc>
        <w:tc>
          <w:tcPr>
            <w:tcW w:w="1012" w:type="dxa"/>
            <w:tcMar>
              <w:top w:w="15" w:type="dxa"/>
              <w:left w:w="15" w:type="dxa"/>
              <w:right w:w="15" w:type="dxa"/>
            </w:tcMar>
            <w:vAlign w:val="center"/>
          </w:tcPr>
          <w:p w14:paraId="69C2C67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503C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20" w:type="dxa"/>
            <w:vMerge w:val="continue"/>
            <w:tcMar>
              <w:top w:w="15" w:type="dxa"/>
              <w:left w:w="15" w:type="dxa"/>
              <w:right w:w="15" w:type="dxa"/>
            </w:tcMar>
            <w:vAlign w:val="center"/>
          </w:tcPr>
          <w:p w14:paraId="34500AC2">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tcMar>
              <w:top w:w="15" w:type="dxa"/>
              <w:left w:w="15" w:type="dxa"/>
              <w:right w:w="15" w:type="dxa"/>
            </w:tcMar>
            <w:vAlign w:val="center"/>
          </w:tcPr>
          <w:p w14:paraId="0BA4D0A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检验报告</w:t>
            </w:r>
          </w:p>
        </w:tc>
        <w:tc>
          <w:tcPr>
            <w:tcW w:w="5721" w:type="dxa"/>
            <w:tcMar>
              <w:top w:w="15" w:type="dxa"/>
              <w:left w:w="15" w:type="dxa"/>
              <w:right w:w="15" w:type="dxa"/>
            </w:tcMar>
            <w:vAlign w:val="center"/>
          </w:tcPr>
          <w:p w14:paraId="46ECACB3">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第一项（移动式SLAM彩色三维激光扫描仪），提供由有资质的第三方检测机构出具的精度检验报告复印件（相对精度为1cm的精度检验报告）或承诺函并加盖投标单位公章。提供得3分，满分3分。</w:t>
            </w:r>
          </w:p>
        </w:tc>
        <w:tc>
          <w:tcPr>
            <w:tcW w:w="1012" w:type="dxa"/>
            <w:tcMar>
              <w:top w:w="15" w:type="dxa"/>
              <w:left w:w="15" w:type="dxa"/>
              <w:right w:w="15" w:type="dxa"/>
            </w:tcMar>
            <w:vAlign w:val="center"/>
          </w:tcPr>
          <w:p w14:paraId="648273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302F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20" w:type="dxa"/>
            <w:vMerge w:val="restart"/>
            <w:tcMar>
              <w:top w:w="15" w:type="dxa"/>
              <w:left w:w="15" w:type="dxa"/>
              <w:right w:w="15" w:type="dxa"/>
            </w:tcMar>
            <w:vAlign w:val="center"/>
          </w:tcPr>
          <w:p w14:paraId="769DBCF6">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snapToGrid w:val="0"/>
                <w:color w:val="auto"/>
                <w:spacing w:val="-1"/>
                <w:kern w:val="0"/>
                <w:sz w:val="22"/>
                <w:szCs w:val="22"/>
                <w:highlight w:val="none"/>
                <w:lang w:val="en-US" w:eastAsia="zh-CN" w:bidi="ar-SA"/>
              </w:rPr>
              <w:t>（暗标）技术</w:t>
            </w: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部分</w:t>
            </w:r>
            <w:r>
              <w:rPr>
                <w:rFonts w:hint="eastAsia" w:asciiTheme="minorEastAsia" w:hAnsiTheme="minorEastAsia" w:eastAsiaTheme="minorEastAsia" w:cstheme="minorEastAsia"/>
                <w:snapToGrid w:val="0"/>
                <w:color w:val="auto"/>
                <w:spacing w:val="-1"/>
                <w:kern w:val="0"/>
                <w:sz w:val="22"/>
                <w:szCs w:val="22"/>
                <w:highlight w:val="none"/>
                <w:lang w:val="en-US" w:eastAsia="zh-CN" w:bidi="ar-SA"/>
              </w:rPr>
              <w:t>10</w:t>
            </w:r>
            <w:r>
              <w:rPr>
                <w:rFonts w:hint="eastAsia" w:asciiTheme="minorEastAsia" w:hAnsiTheme="minorEastAsia" w:eastAsiaTheme="minorEastAsia" w:cstheme="minorEastAsia"/>
                <w:snapToGrid w:val="0"/>
                <w:color w:val="auto"/>
                <w:spacing w:val="-1"/>
                <w:kern w:val="0"/>
                <w:sz w:val="22"/>
                <w:szCs w:val="22"/>
                <w:highlight w:val="none"/>
                <w:lang w:val="en-US" w:eastAsia="en-US" w:bidi="ar-SA"/>
              </w:rPr>
              <w:t>分</w:t>
            </w:r>
          </w:p>
        </w:tc>
        <w:tc>
          <w:tcPr>
            <w:tcW w:w="1006" w:type="dxa"/>
            <w:tcMar>
              <w:top w:w="15" w:type="dxa"/>
              <w:left w:w="15" w:type="dxa"/>
              <w:right w:w="15" w:type="dxa"/>
            </w:tcMar>
            <w:vAlign w:val="center"/>
          </w:tcPr>
          <w:p w14:paraId="305E3A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售后服务因素</w:t>
            </w:r>
          </w:p>
        </w:tc>
        <w:tc>
          <w:tcPr>
            <w:tcW w:w="5721" w:type="dxa"/>
            <w:tcMar>
              <w:top w:w="15" w:type="dxa"/>
              <w:left w:w="15" w:type="dxa"/>
              <w:right w:w="15" w:type="dxa"/>
            </w:tcMar>
            <w:vAlign w:val="center"/>
          </w:tcPr>
          <w:p w14:paraId="73E24CEE">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备用机及技术支持服务：</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投标人可以在全国范围内提供移动式SLAM彩色三维激光扫描仪的备用机</w:t>
            </w:r>
            <w:r>
              <w:rPr>
                <w:rFonts w:hint="eastAsia" w:eastAsia="宋体"/>
                <w:color w:val="auto"/>
                <w:highlight w:val="none"/>
                <w:lang w:eastAsia="zh-CN"/>
              </w:rPr>
              <w:t>（</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不限制使用时间</w:t>
            </w:r>
            <w:r>
              <w:rPr>
                <w:rFonts w:hint="eastAsia" w:eastAsia="宋体"/>
                <w:color w:val="auto"/>
                <w:highlight w:val="none"/>
                <w:lang w:eastAsia="zh-CN"/>
              </w:rPr>
              <w:t>）</w:t>
            </w: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及技术支持服务得2分。</w:t>
            </w:r>
          </w:p>
        </w:tc>
        <w:tc>
          <w:tcPr>
            <w:tcW w:w="1012" w:type="dxa"/>
            <w:tcMar>
              <w:top w:w="15" w:type="dxa"/>
              <w:left w:w="15" w:type="dxa"/>
              <w:right w:w="15" w:type="dxa"/>
            </w:tcMar>
            <w:vAlign w:val="center"/>
          </w:tcPr>
          <w:p w14:paraId="5742CAF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2</w:t>
            </w:r>
          </w:p>
        </w:tc>
      </w:tr>
      <w:tr w14:paraId="3FD8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20" w:type="dxa"/>
            <w:vMerge w:val="continue"/>
            <w:tcMar>
              <w:top w:w="15" w:type="dxa"/>
              <w:left w:w="15" w:type="dxa"/>
              <w:right w:w="15" w:type="dxa"/>
            </w:tcMar>
            <w:vAlign w:val="center"/>
          </w:tcPr>
          <w:p w14:paraId="3CEACD58">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tcMar>
              <w:top w:w="15" w:type="dxa"/>
              <w:left w:w="15" w:type="dxa"/>
              <w:right w:w="15" w:type="dxa"/>
            </w:tcMar>
            <w:vAlign w:val="center"/>
          </w:tcPr>
          <w:p w14:paraId="5E5F397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售后服务因素</w:t>
            </w:r>
          </w:p>
        </w:tc>
        <w:tc>
          <w:tcPr>
            <w:tcW w:w="5721" w:type="dxa"/>
            <w:tcMar>
              <w:top w:w="15" w:type="dxa"/>
              <w:left w:w="15" w:type="dxa"/>
              <w:right w:w="15" w:type="dxa"/>
            </w:tcMar>
            <w:vAlign w:val="center"/>
          </w:tcPr>
          <w:p w14:paraId="381C0341">
            <w:pPr>
              <w:keepNext w:val="0"/>
              <w:keepLines w:val="0"/>
              <w:widowControl/>
              <w:suppressLineNumbers w:val="0"/>
              <w:spacing w:line="240" w:lineRule="auto"/>
              <w:jc w:val="left"/>
              <w:textAlignment w:val="center"/>
              <w:rPr>
                <w:rFonts w:hint="default"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根据投标人提供的技术培训方案，包括但不限于：培训时间计划、培训内容设计安排、培训人员安排、培训内容重点难点、培训结果保障措施，提供得3分，不提供不得分。</w:t>
            </w:r>
          </w:p>
        </w:tc>
        <w:tc>
          <w:tcPr>
            <w:tcW w:w="1012" w:type="dxa"/>
            <w:tcMar>
              <w:top w:w="15" w:type="dxa"/>
              <w:left w:w="15" w:type="dxa"/>
              <w:right w:w="15" w:type="dxa"/>
            </w:tcMar>
            <w:vAlign w:val="center"/>
          </w:tcPr>
          <w:p w14:paraId="5B07D40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tr w14:paraId="769D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20" w:type="dxa"/>
            <w:vMerge w:val="continue"/>
            <w:tcMar>
              <w:top w:w="15" w:type="dxa"/>
              <w:left w:w="15" w:type="dxa"/>
              <w:right w:w="15" w:type="dxa"/>
            </w:tcMar>
            <w:vAlign w:val="center"/>
          </w:tcPr>
          <w:p w14:paraId="19EFFD07">
            <w:pPr>
              <w:widowControl/>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p>
        </w:tc>
        <w:tc>
          <w:tcPr>
            <w:tcW w:w="1006" w:type="dxa"/>
            <w:tcMar>
              <w:top w:w="15" w:type="dxa"/>
              <w:left w:w="15" w:type="dxa"/>
              <w:right w:w="15" w:type="dxa"/>
            </w:tcMar>
            <w:vAlign w:val="center"/>
          </w:tcPr>
          <w:p w14:paraId="7984399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售后服务因素</w:t>
            </w:r>
          </w:p>
        </w:tc>
        <w:tc>
          <w:tcPr>
            <w:tcW w:w="5721" w:type="dxa"/>
            <w:tcMar>
              <w:top w:w="15" w:type="dxa"/>
              <w:left w:w="15" w:type="dxa"/>
              <w:right w:w="15" w:type="dxa"/>
            </w:tcMar>
            <w:vAlign w:val="center"/>
          </w:tcPr>
          <w:p w14:paraId="6000FE70">
            <w:pPr>
              <w:keepNext w:val="0"/>
              <w:keepLines w:val="0"/>
              <w:widowControl/>
              <w:suppressLineNumbers w:val="0"/>
              <w:spacing w:line="240" w:lineRule="auto"/>
              <w:jc w:val="left"/>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延保服务：点云地理要素矢量对象化协同处理系统3年质保期内免费升级，每超出1年得1分，最高得3分。</w:t>
            </w:r>
          </w:p>
        </w:tc>
        <w:tc>
          <w:tcPr>
            <w:tcW w:w="1012" w:type="dxa"/>
            <w:tcMar>
              <w:top w:w="15" w:type="dxa"/>
              <w:left w:w="15" w:type="dxa"/>
              <w:right w:w="15" w:type="dxa"/>
            </w:tcMar>
            <w:vAlign w:val="center"/>
          </w:tcPr>
          <w:p w14:paraId="1ECF98B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snapToGrid w:val="0"/>
                <w:color w:val="auto"/>
                <w:spacing w:val="-1"/>
                <w:kern w:val="0"/>
                <w:sz w:val="22"/>
                <w:szCs w:val="22"/>
                <w:highlight w:val="none"/>
                <w:lang w:val="en-US" w:eastAsia="en-US" w:bidi="ar-SA"/>
              </w:rPr>
            </w:pPr>
            <w:r>
              <w:rPr>
                <w:rFonts w:hint="eastAsia" w:asciiTheme="minorEastAsia" w:hAnsiTheme="minorEastAsia" w:eastAsiaTheme="minorEastAsia" w:cstheme="minorEastAsia"/>
                <w:i w:val="0"/>
                <w:iCs w:val="0"/>
                <w:snapToGrid w:val="0"/>
                <w:color w:val="auto"/>
                <w:kern w:val="0"/>
                <w:sz w:val="22"/>
                <w:szCs w:val="22"/>
                <w:highlight w:val="none"/>
                <w:u w:val="none"/>
                <w:lang w:val="en-US" w:eastAsia="zh-CN" w:bidi="ar"/>
              </w:rPr>
              <w:t>3</w:t>
            </w:r>
          </w:p>
        </w:tc>
      </w:tr>
      <w:bookmarkEnd w:id="5"/>
    </w:tbl>
    <w:p w14:paraId="1C8411A5">
      <w:pPr>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br w:type="page"/>
      </w:r>
    </w:p>
    <w:p w14:paraId="1C234F76">
      <w:pPr>
        <w:rPr>
          <w:rFonts w:hint="default" w:ascii="宋体" w:hAnsi="宋体" w:eastAsia="宋体" w:cs="Times New Roman"/>
          <w:b w:val="0"/>
          <w:bCs/>
          <w:color w:val="auto"/>
          <w:sz w:val="30"/>
          <w:szCs w:val="30"/>
          <w:highlight w:val="none"/>
          <w:lang w:val="en-US" w:eastAsia="zh-CN"/>
        </w:rPr>
      </w:pPr>
      <w:r>
        <w:rPr>
          <w:rFonts w:hint="eastAsia" w:ascii="宋体" w:hAnsi="宋体" w:eastAsia="宋体" w:cs="Times New Roman"/>
          <w:b w:val="0"/>
          <w:bCs/>
          <w:color w:val="auto"/>
          <w:sz w:val="30"/>
          <w:szCs w:val="30"/>
          <w:highlight w:val="none"/>
          <w:lang w:val="en-US" w:eastAsia="zh-CN"/>
        </w:rPr>
        <w:t>暗标部分，要求见下列：</w:t>
      </w:r>
    </w:p>
    <w:p w14:paraId="16CC3814">
      <w:pPr>
        <w:spacing w:line="360" w:lineRule="auto"/>
        <w:rPr>
          <w:rFonts w:hint="eastAsia"/>
          <w:color w:val="auto"/>
          <w:highlight w:val="none"/>
        </w:rPr>
      </w:pPr>
    </w:p>
    <w:p w14:paraId="77770F03">
      <w:pPr>
        <w:pStyle w:val="3"/>
        <w:snapToGrid w:val="0"/>
        <w:spacing w:line="360" w:lineRule="auto"/>
        <w:ind w:left="0" w:leftChars="0" w:firstLine="0" w:firstLineChars="0"/>
        <w:jc w:val="left"/>
        <w:textAlignment w:val="baseline"/>
        <w:rPr>
          <w:rFonts w:ascii="宋体" w:hAnsi="宋体" w:eastAsia="宋体"/>
          <w:b w:val="0"/>
          <w:color w:val="auto"/>
          <w:sz w:val="28"/>
          <w:szCs w:val="28"/>
          <w:highlight w:val="none"/>
        </w:rPr>
      </w:pPr>
      <w:r>
        <w:rPr>
          <w:rFonts w:hint="eastAsia" w:ascii="宋体" w:hAnsi="宋体" w:eastAsia="宋体"/>
          <w:b w:val="0"/>
          <w:color w:val="auto"/>
          <w:sz w:val="28"/>
          <w:szCs w:val="28"/>
          <w:highlight w:val="none"/>
        </w:rPr>
        <w:t>注解：投标文件技术标必须遵守的统一格式和规范。</w:t>
      </w:r>
    </w:p>
    <w:p w14:paraId="016B6FDF">
      <w:pPr>
        <w:pStyle w:val="3"/>
        <w:snapToGrid w:val="0"/>
        <w:spacing w:line="360" w:lineRule="auto"/>
        <w:ind w:left="0" w:leftChars="0" w:firstLine="0" w:firstLineChars="0"/>
        <w:jc w:val="left"/>
        <w:textAlignment w:val="baseline"/>
        <w:rPr>
          <w:rFonts w:ascii="宋体" w:hAnsi="宋体" w:eastAsia="宋体"/>
          <w:b w:val="0"/>
          <w:color w:val="auto"/>
          <w:sz w:val="28"/>
          <w:szCs w:val="28"/>
          <w:highlight w:val="none"/>
        </w:rPr>
      </w:pPr>
      <w:r>
        <w:rPr>
          <w:rFonts w:hint="eastAsia" w:ascii="宋体" w:hAnsi="宋体" w:eastAsia="宋体"/>
          <w:b w:val="0"/>
          <w:color w:val="auto"/>
          <w:sz w:val="28"/>
          <w:szCs w:val="28"/>
          <w:highlight w:val="none"/>
        </w:rPr>
        <w:t>技术标文件（暗标）未按以下“盲评”要求制作的，为无效投标，除下述要求外，不得因暗标格式问题认定为无效投标：</w:t>
      </w:r>
    </w:p>
    <w:p w14:paraId="60255B34">
      <w:pPr>
        <w:pStyle w:val="3"/>
        <w:snapToGrid w:val="0"/>
        <w:spacing w:line="360" w:lineRule="auto"/>
        <w:ind w:left="0" w:leftChars="0" w:firstLine="0" w:firstLineChars="0"/>
        <w:jc w:val="left"/>
        <w:textAlignment w:val="baseline"/>
        <w:rPr>
          <w:rFonts w:ascii="宋体" w:hAnsi="宋体" w:eastAsia="宋体"/>
          <w:b w:val="0"/>
          <w:color w:val="auto"/>
          <w:sz w:val="28"/>
          <w:szCs w:val="28"/>
          <w:highlight w:val="none"/>
        </w:rPr>
      </w:pPr>
      <w:r>
        <w:rPr>
          <w:rFonts w:hint="eastAsia" w:ascii="宋体" w:hAnsi="宋体" w:eastAsia="宋体"/>
          <w:b w:val="0"/>
          <w:color w:val="auto"/>
          <w:sz w:val="28"/>
          <w:szCs w:val="28"/>
          <w:highlight w:val="none"/>
        </w:rPr>
        <w:t>1.版面要求：A4纸张大小；</w:t>
      </w:r>
    </w:p>
    <w:p w14:paraId="6840EA00">
      <w:pPr>
        <w:pStyle w:val="3"/>
        <w:snapToGrid w:val="0"/>
        <w:spacing w:line="360" w:lineRule="auto"/>
        <w:ind w:left="0" w:leftChars="0" w:firstLine="0" w:firstLineChars="0"/>
        <w:jc w:val="left"/>
        <w:textAlignment w:val="baseline"/>
        <w:rPr>
          <w:rFonts w:ascii="宋体" w:hAnsi="宋体" w:eastAsia="宋体"/>
          <w:b w:val="0"/>
          <w:color w:val="auto"/>
          <w:sz w:val="28"/>
          <w:szCs w:val="28"/>
          <w:highlight w:val="none"/>
        </w:rPr>
      </w:pPr>
      <w:r>
        <w:rPr>
          <w:rFonts w:hint="eastAsia" w:ascii="宋体" w:hAnsi="宋体" w:eastAsia="宋体"/>
          <w:b w:val="0"/>
          <w:color w:val="auto"/>
          <w:sz w:val="28"/>
          <w:szCs w:val="28"/>
          <w:highlight w:val="none"/>
        </w:rPr>
        <w:t>2.颜色要求：所有文字、图表均为黑色；</w:t>
      </w:r>
    </w:p>
    <w:p w14:paraId="15A03C43">
      <w:pPr>
        <w:pStyle w:val="3"/>
        <w:snapToGrid w:val="0"/>
        <w:spacing w:line="360" w:lineRule="auto"/>
        <w:ind w:left="0" w:leftChars="0" w:firstLine="0" w:firstLineChars="0"/>
        <w:jc w:val="left"/>
        <w:textAlignment w:val="baseline"/>
        <w:rPr>
          <w:rFonts w:ascii="宋体" w:hAnsi="宋体" w:eastAsia="宋体"/>
          <w:b w:val="0"/>
          <w:color w:val="auto"/>
          <w:sz w:val="28"/>
          <w:szCs w:val="28"/>
          <w:highlight w:val="none"/>
        </w:rPr>
      </w:pPr>
      <w:r>
        <w:rPr>
          <w:rFonts w:hint="eastAsia" w:ascii="宋体" w:hAnsi="宋体" w:eastAsia="宋体"/>
          <w:b w:val="0"/>
          <w:color w:val="auto"/>
          <w:sz w:val="28"/>
          <w:szCs w:val="28"/>
          <w:highlight w:val="none"/>
        </w:rPr>
        <w:t>3.字体要求：标题及正文部分所用文字均采用“宋体”四号“常规”字；图、表内的字体及字号不作要求；全部使用中文标点符号；所有字体均不得出现加粗、加色、倾斜、下划线等标记；</w:t>
      </w:r>
    </w:p>
    <w:p w14:paraId="05D31D14">
      <w:pPr>
        <w:pStyle w:val="3"/>
        <w:snapToGrid w:val="0"/>
        <w:spacing w:line="360" w:lineRule="auto"/>
        <w:ind w:left="0" w:leftChars="0" w:firstLine="0" w:firstLineChars="0"/>
        <w:jc w:val="left"/>
        <w:textAlignment w:val="baseline"/>
        <w:rPr>
          <w:rFonts w:hint="eastAsia" w:ascii="宋体" w:hAnsi="宋体" w:eastAsia="宋体" w:cs="Times New Roman"/>
          <w:b w:val="0"/>
          <w:color w:val="auto"/>
          <w:sz w:val="28"/>
          <w:szCs w:val="28"/>
          <w:highlight w:val="none"/>
        </w:rPr>
      </w:pPr>
      <w:r>
        <w:rPr>
          <w:rFonts w:hint="eastAsia" w:ascii="宋体" w:hAnsi="宋体" w:eastAsia="宋体"/>
          <w:b w:val="0"/>
          <w:color w:val="auto"/>
          <w:sz w:val="28"/>
          <w:szCs w:val="28"/>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w:t>
      </w:r>
      <w:r>
        <w:rPr>
          <w:rFonts w:hint="eastAsia" w:ascii="宋体" w:hAnsi="宋体" w:eastAsia="宋体" w:cs="Times New Roman"/>
          <w:b w:val="0"/>
          <w:color w:val="auto"/>
          <w:sz w:val="28"/>
          <w:szCs w:val="28"/>
          <w:highlight w:val="none"/>
        </w:rPr>
        <w:t>一设为居中对齐；</w:t>
      </w:r>
    </w:p>
    <w:p w14:paraId="72A94C1D">
      <w:pPr>
        <w:spacing w:line="360" w:lineRule="auto"/>
        <w:rPr>
          <w:rFonts w:ascii="楷体"/>
          <w:color w:val="auto"/>
          <w:sz w:val="21"/>
          <w:highlight w:val="none"/>
        </w:rPr>
      </w:pPr>
      <w:r>
        <w:rPr>
          <w:rFonts w:hint="eastAsia" w:ascii="宋体" w:hAnsi="宋体" w:eastAsia="宋体" w:cs="Times New Roman"/>
          <w:b w:val="0"/>
          <w:color w:val="auto"/>
          <w:sz w:val="28"/>
          <w:szCs w:val="28"/>
          <w:highlight w:val="none"/>
          <w:lang w:val="en-US" w:eastAsia="zh-CN"/>
        </w:rPr>
        <w:t>5.</w:t>
      </w:r>
      <w:r>
        <w:rPr>
          <w:rFonts w:hint="eastAsia" w:ascii="宋体" w:hAnsi="宋体" w:eastAsia="宋体" w:cs="Times New Roman"/>
          <w:b w:val="0"/>
          <w:color w:val="auto"/>
          <w:sz w:val="28"/>
          <w:szCs w:val="28"/>
          <w:highlight w:val="none"/>
        </w:rPr>
        <w:t>其它：除满足上述各项要求外，构成投标文件的“技术暗标”的正文中均不得出现供应商的名称和其它可识别供应商身份的字符、徽标、人员名称以及其他可能被辨别出供应商身份的任何标记。</w:t>
      </w:r>
    </w:p>
    <w:p w14:paraId="07680EA2">
      <w:pPr>
        <w:rPr>
          <w:rFonts w:hint="eastAsia"/>
          <w:color w:val="auto"/>
          <w:highlight w:val="none"/>
          <w:lang w:eastAsia="zh-CN"/>
        </w:rPr>
      </w:pPr>
    </w:p>
    <w:p w14:paraId="2DA0E578">
      <w:pPr>
        <w:pStyle w:val="4"/>
        <w:bidi w:val="0"/>
        <w:spacing w:line="240" w:lineRule="auto"/>
        <w:rPr>
          <w:rFonts w:hint="eastAsia"/>
          <w:color w:val="auto"/>
          <w:sz w:val="24"/>
          <w:szCs w:val="24"/>
          <w:highlight w:val="none"/>
        </w:rPr>
        <w:sectPr>
          <w:pgSz w:w="11906" w:h="16838"/>
          <w:pgMar w:top="1460" w:right="1803" w:bottom="1440" w:left="1800" w:header="851" w:footer="992" w:gutter="0"/>
          <w:pgNumType w:fmt="decimal"/>
          <w:cols w:space="720" w:num="1"/>
          <w:rtlGutter w:val="1"/>
          <w:docGrid w:type="lines" w:linePitch="312" w:charSpace="0"/>
        </w:sectPr>
      </w:pPr>
    </w:p>
    <w:p w14:paraId="7595D1D5">
      <w:pPr>
        <w:spacing w:before="156" w:line="219" w:lineRule="auto"/>
        <w:ind w:left="23" w:leftChars="0"/>
        <w:outlineLvl w:val="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三、政府采购政策</w:t>
      </w:r>
    </w:p>
    <w:p w14:paraId="70A83ED1">
      <w:pPr>
        <w:spacing w:before="151" w:line="339" w:lineRule="auto"/>
        <w:ind w:left="24" w:right="1" w:firstLine="496"/>
        <w:jc w:val="both"/>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1.根据《政府采购促进中小企业发展管理办</w:t>
      </w:r>
      <w:r>
        <w:rPr>
          <w:rFonts w:ascii="宋体" w:hAnsi="宋体" w:eastAsia="宋体" w:cs="宋体"/>
          <w:color w:val="auto"/>
          <w:spacing w:val="-8"/>
          <w:sz w:val="24"/>
          <w:szCs w:val="24"/>
          <w:highlight w:val="none"/>
        </w:rPr>
        <w:t>法》（财库〔2020〕46号文件）、</w:t>
      </w:r>
      <w:r>
        <w:rPr>
          <w:rFonts w:ascii="宋体" w:hAnsi="宋体" w:eastAsia="宋体" w:cs="宋体"/>
          <w:color w:val="auto"/>
          <w:spacing w:val="-3"/>
          <w:sz w:val="24"/>
          <w:szCs w:val="24"/>
          <w:highlight w:val="none"/>
        </w:rPr>
        <w:t>《关于进一步加大政府采购支持中小企业力度的通知》（财库〔2022〕19号）的</w:t>
      </w:r>
      <w:r>
        <w:rPr>
          <w:rFonts w:ascii="宋体" w:hAnsi="宋体" w:eastAsia="宋体" w:cs="宋体"/>
          <w:color w:val="auto"/>
          <w:spacing w:val="-1"/>
          <w:sz w:val="24"/>
          <w:szCs w:val="24"/>
          <w:highlight w:val="none"/>
        </w:rPr>
        <w:t>规定</w:t>
      </w:r>
      <w:r>
        <w:rPr>
          <w:rFonts w:ascii="宋体" w:hAnsi="宋体" w:eastAsia="宋体" w:cs="宋体"/>
          <w:b/>
          <w:bCs/>
          <w:color w:val="auto"/>
          <w:spacing w:val="-1"/>
          <w:sz w:val="24"/>
          <w:szCs w:val="24"/>
          <w:highlight w:val="none"/>
        </w:rPr>
        <w:t>，执行价格评审优惠的扶持政策</w:t>
      </w:r>
      <w:r>
        <w:rPr>
          <w:rFonts w:ascii="宋体" w:hAnsi="宋体" w:eastAsia="宋体" w:cs="宋体"/>
          <w:color w:val="auto"/>
          <w:spacing w:val="-1"/>
          <w:sz w:val="24"/>
          <w:szCs w:val="24"/>
          <w:highlight w:val="none"/>
        </w:rPr>
        <w:t>，对小型和微型企业承接主体给予10%的扣</w:t>
      </w:r>
      <w:r>
        <w:rPr>
          <w:rFonts w:ascii="宋体" w:hAnsi="宋体" w:eastAsia="宋体" w:cs="宋体"/>
          <w:color w:val="auto"/>
          <w:spacing w:val="-5"/>
          <w:sz w:val="24"/>
          <w:szCs w:val="24"/>
          <w:highlight w:val="none"/>
        </w:rPr>
        <w:t>除，用扣除后的价格参与评审。</w:t>
      </w:r>
      <w:r>
        <w:rPr>
          <w:rFonts w:ascii="宋体" w:hAnsi="宋体" w:eastAsia="宋体" w:cs="宋体"/>
          <w:b/>
          <w:bCs/>
          <w:color w:val="auto"/>
          <w:spacing w:val="-5"/>
          <w:sz w:val="24"/>
          <w:szCs w:val="24"/>
          <w:highlight w:val="none"/>
        </w:rPr>
        <w:t>中小企业参加政府采购活动，应当出具本办法规</w:t>
      </w:r>
      <w:r>
        <w:rPr>
          <w:rFonts w:ascii="宋体" w:hAnsi="宋体" w:eastAsia="宋体" w:cs="宋体"/>
          <w:b/>
          <w:bCs/>
          <w:color w:val="auto"/>
          <w:spacing w:val="-3"/>
          <w:sz w:val="24"/>
          <w:szCs w:val="24"/>
          <w:highlight w:val="none"/>
        </w:rPr>
        <w:t>定的《中小企业声明函》。</w:t>
      </w:r>
    </w:p>
    <w:p w14:paraId="4B8DFA19">
      <w:pPr>
        <w:spacing w:before="1" w:line="338" w:lineRule="auto"/>
        <w:ind w:left="26" w:right="79" w:firstLine="478"/>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提供本企业制造的货物、承担的工程或者服务，或者提供其他</w:t>
      </w:r>
      <w:r>
        <w:rPr>
          <w:rFonts w:ascii="宋体" w:hAnsi="宋体" w:eastAsia="宋体" w:cs="宋体"/>
          <w:color w:val="auto"/>
          <w:spacing w:val="-4"/>
          <w:sz w:val="24"/>
          <w:szCs w:val="24"/>
          <w:highlight w:val="none"/>
        </w:rPr>
        <w:t>中小企业制造</w:t>
      </w:r>
      <w:r>
        <w:rPr>
          <w:rFonts w:ascii="宋体" w:hAnsi="宋体" w:eastAsia="宋体" w:cs="宋体"/>
          <w:color w:val="auto"/>
          <w:sz w:val="24"/>
          <w:szCs w:val="24"/>
          <w:highlight w:val="none"/>
        </w:rPr>
        <w:t>的货物。本项所称货物不包括使用大型企业注</w:t>
      </w:r>
      <w:r>
        <w:rPr>
          <w:rFonts w:ascii="宋体" w:hAnsi="宋体" w:eastAsia="宋体" w:cs="宋体"/>
          <w:color w:val="auto"/>
          <w:spacing w:val="-1"/>
          <w:sz w:val="24"/>
          <w:szCs w:val="24"/>
          <w:highlight w:val="none"/>
        </w:rPr>
        <w:t>册商标的货物。所称中小企业划</w:t>
      </w:r>
      <w:r>
        <w:rPr>
          <w:rFonts w:ascii="宋体" w:hAnsi="宋体" w:eastAsia="宋体" w:cs="宋体"/>
          <w:color w:val="auto"/>
          <w:spacing w:val="-3"/>
          <w:sz w:val="24"/>
          <w:szCs w:val="24"/>
          <w:highlight w:val="none"/>
        </w:rPr>
        <w:t>分标准，是指国务院有关部门根据企业从业人员、营业收入、资产总额等指</w:t>
      </w:r>
      <w:r>
        <w:rPr>
          <w:rFonts w:ascii="宋体" w:hAnsi="宋体" w:eastAsia="宋体" w:cs="宋体"/>
          <w:color w:val="auto"/>
          <w:spacing w:val="-4"/>
          <w:sz w:val="24"/>
          <w:szCs w:val="24"/>
          <w:highlight w:val="none"/>
        </w:rPr>
        <w:t>标制</w:t>
      </w:r>
      <w:r>
        <w:rPr>
          <w:rFonts w:ascii="宋体" w:hAnsi="宋体" w:eastAsia="宋体" w:cs="宋体"/>
          <w:color w:val="auto"/>
          <w:spacing w:val="-3"/>
          <w:sz w:val="24"/>
          <w:szCs w:val="24"/>
          <w:highlight w:val="none"/>
        </w:rPr>
        <w:t>定的中小企业划型标准。小型、微型企业提供中型企业制造的货物的，视同</w:t>
      </w:r>
      <w:r>
        <w:rPr>
          <w:rFonts w:ascii="宋体" w:hAnsi="宋体" w:eastAsia="宋体" w:cs="宋体"/>
          <w:color w:val="auto"/>
          <w:spacing w:val="-4"/>
          <w:sz w:val="24"/>
          <w:szCs w:val="24"/>
          <w:highlight w:val="none"/>
        </w:rPr>
        <w:t>为中型企业。</w:t>
      </w:r>
    </w:p>
    <w:p w14:paraId="3596E166">
      <w:pPr>
        <w:spacing w:before="2" w:line="326" w:lineRule="auto"/>
        <w:ind w:left="29" w:right="79" w:firstLine="4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如果一个采购项目或采购包含有多个采购标的的，则每</w:t>
      </w:r>
      <w:r>
        <w:rPr>
          <w:rFonts w:ascii="宋体" w:hAnsi="宋体" w:eastAsia="宋体" w:cs="宋体"/>
          <w:color w:val="auto"/>
          <w:spacing w:val="-4"/>
          <w:sz w:val="24"/>
          <w:szCs w:val="24"/>
          <w:highlight w:val="none"/>
        </w:rPr>
        <w:t>个采购标的均应由中</w:t>
      </w:r>
      <w:r>
        <w:rPr>
          <w:rFonts w:ascii="宋体" w:hAnsi="宋体" w:eastAsia="宋体" w:cs="宋体"/>
          <w:color w:val="auto"/>
          <w:spacing w:val="-1"/>
          <w:sz w:val="24"/>
          <w:szCs w:val="24"/>
          <w:highlight w:val="none"/>
        </w:rPr>
        <w:t>小企业制造,才享受中小微企业政策。</w:t>
      </w:r>
    </w:p>
    <w:p w14:paraId="18BB4A9F">
      <w:pPr>
        <w:spacing w:line="219" w:lineRule="auto"/>
        <w:ind w:left="50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按照财政部《关于政府采购支持监狱企业发展有关问题的通知》（财库</w:t>
      </w:r>
    </w:p>
    <w:p w14:paraId="088C9899">
      <w:pPr>
        <w:spacing w:before="112" w:line="308" w:lineRule="auto"/>
        <w:ind w:left="24" w:right="79" w:firstLine="3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[2014]68号）的规定，在政府采购活动中，监狱企业视同小型、微型企业，享受</w:t>
      </w:r>
      <w:r>
        <w:rPr>
          <w:rFonts w:ascii="宋体" w:hAnsi="宋体" w:eastAsia="宋体" w:cs="宋体"/>
          <w:color w:val="auto"/>
          <w:spacing w:val="-3"/>
          <w:sz w:val="24"/>
          <w:szCs w:val="24"/>
          <w:highlight w:val="none"/>
        </w:rPr>
        <w:t>预留份额、评审中价格扣除等政府采购促进中小企业发展的政</w:t>
      </w:r>
      <w:r>
        <w:rPr>
          <w:rFonts w:ascii="宋体" w:hAnsi="宋体" w:eastAsia="宋体" w:cs="宋体"/>
          <w:color w:val="auto"/>
          <w:spacing w:val="-4"/>
          <w:sz w:val="24"/>
          <w:szCs w:val="24"/>
          <w:highlight w:val="none"/>
        </w:rPr>
        <w:t>府采购政策。</w:t>
      </w:r>
      <w:r>
        <w:rPr>
          <w:rFonts w:ascii="宋体" w:hAnsi="宋体" w:eastAsia="宋体" w:cs="宋体"/>
          <w:b/>
          <w:bCs/>
          <w:color w:val="auto"/>
          <w:spacing w:val="-4"/>
          <w:sz w:val="24"/>
          <w:szCs w:val="24"/>
          <w:highlight w:val="none"/>
        </w:rPr>
        <w:t>监狱</w:t>
      </w:r>
      <w:r>
        <w:rPr>
          <w:rFonts w:ascii="宋体" w:hAnsi="宋体" w:eastAsia="宋体" w:cs="宋体"/>
          <w:b/>
          <w:bCs/>
          <w:color w:val="auto"/>
          <w:spacing w:val="-2"/>
          <w:sz w:val="24"/>
          <w:szCs w:val="24"/>
          <w:highlight w:val="none"/>
        </w:rPr>
        <w:t>企业参加政府采购活动时，应当提供由省级以上监狱管理局、戒毒管理局（含新疆生产建设兵团）出具的属于监狱企业的证明</w:t>
      </w:r>
      <w:r>
        <w:rPr>
          <w:rFonts w:ascii="宋体" w:hAnsi="宋体" w:eastAsia="宋体" w:cs="宋体"/>
          <w:b/>
          <w:bCs/>
          <w:color w:val="auto"/>
          <w:spacing w:val="-3"/>
          <w:sz w:val="24"/>
          <w:szCs w:val="24"/>
          <w:highlight w:val="none"/>
        </w:rPr>
        <w:t>文件。</w:t>
      </w:r>
    </w:p>
    <w:p w14:paraId="44D1E302">
      <w:pPr>
        <w:spacing w:before="3" w:line="307" w:lineRule="auto"/>
        <w:ind w:left="30" w:right="24" w:firstLine="474"/>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按照《三部门联合发布关于促进残疾人就业</w:t>
      </w:r>
      <w:r>
        <w:rPr>
          <w:rFonts w:ascii="宋体" w:hAnsi="宋体" w:eastAsia="宋体" w:cs="宋体"/>
          <w:color w:val="auto"/>
          <w:spacing w:val="-1"/>
          <w:sz w:val="24"/>
          <w:szCs w:val="24"/>
          <w:highlight w:val="none"/>
        </w:rPr>
        <w:t>政府采购政策的通知》（财库</w:t>
      </w:r>
      <w:r>
        <w:rPr>
          <w:rFonts w:ascii="宋体" w:hAnsi="宋体" w:eastAsia="宋体" w:cs="宋体"/>
          <w:color w:val="auto"/>
          <w:sz w:val="24"/>
          <w:szCs w:val="24"/>
          <w:highlight w:val="none"/>
        </w:rPr>
        <w:t>〔2017〕141号）的规定，在政府采购</w:t>
      </w:r>
      <w:r>
        <w:rPr>
          <w:rFonts w:ascii="宋体" w:hAnsi="宋体" w:eastAsia="宋体" w:cs="宋体"/>
          <w:color w:val="auto"/>
          <w:spacing w:val="-1"/>
          <w:sz w:val="24"/>
          <w:szCs w:val="24"/>
          <w:highlight w:val="none"/>
        </w:rPr>
        <w:t>活动中，残疾人福利性单位视同小型、微</w:t>
      </w:r>
      <w:r>
        <w:rPr>
          <w:rFonts w:ascii="宋体" w:hAnsi="宋体" w:eastAsia="宋体" w:cs="宋体"/>
          <w:color w:val="auto"/>
          <w:spacing w:val="-2"/>
          <w:sz w:val="24"/>
          <w:szCs w:val="24"/>
          <w:highlight w:val="none"/>
        </w:rPr>
        <w:t>型企业，享受预留份额、评审中价格扣除等促进中小企业发展的政府采购政策。</w:t>
      </w:r>
    </w:p>
    <w:p w14:paraId="25673603">
      <w:pPr>
        <w:spacing w:line="219" w:lineRule="auto"/>
        <w:ind w:left="25"/>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符合条件的残疾人福利性单位在参加政府采购活动时，应当提供财库〔2017〕</w:t>
      </w:r>
    </w:p>
    <w:p w14:paraId="1E7A3616">
      <w:pPr>
        <w:spacing w:before="117" w:line="307" w:lineRule="auto"/>
        <w:ind w:left="22" w:right="79" w:firstLine="18"/>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141号文规定的《残疾人福利性单位声明函》，并</w:t>
      </w:r>
      <w:r>
        <w:rPr>
          <w:rFonts w:ascii="宋体" w:hAnsi="宋体" w:eastAsia="宋体" w:cs="宋体"/>
          <w:b/>
          <w:bCs/>
          <w:color w:val="auto"/>
          <w:spacing w:val="-3"/>
          <w:sz w:val="24"/>
          <w:szCs w:val="24"/>
          <w:highlight w:val="none"/>
        </w:rPr>
        <w:t>对声明的真实性负责。</w:t>
      </w:r>
      <w:r>
        <w:rPr>
          <w:rFonts w:ascii="宋体" w:hAnsi="宋体" w:eastAsia="宋体" w:cs="宋体"/>
          <w:color w:val="auto"/>
          <w:spacing w:val="-3"/>
          <w:sz w:val="24"/>
          <w:szCs w:val="24"/>
          <w:highlight w:val="none"/>
        </w:rPr>
        <w:t>残疾人</w:t>
      </w:r>
      <w:r>
        <w:rPr>
          <w:rFonts w:ascii="宋体" w:hAnsi="宋体" w:eastAsia="宋体" w:cs="宋体"/>
          <w:color w:val="auto"/>
          <w:spacing w:val="-1"/>
          <w:sz w:val="24"/>
          <w:szCs w:val="24"/>
          <w:highlight w:val="none"/>
        </w:rPr>
        <w:t>福利性单位属于小型、微型企业的，不重复享受政策。</w:t>
      </w:r>
    </w:p>
    <w:p w14:paraId="45C50C35">
      <w:pPr>
        <w:spacing w:before="9" w:line="294" w:lineRule="auto"/>
        <w:ind w:left="22"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2.对于列入财政部、生态环境部发布的《环境标志产品政府采购品目清单》要求的产品，对其投标价格给予3%的价格扣除，并按照扣除后的价格参加排序。</w:t>
      </w:r>
      <w:r>
        <w:rPr>
          <w:rFonts w:ascii="宋体" w:hAnsi="宋体" w:eastAsia="宋体" w:cs="宋体"/>
          <w:color w:val="auto"/>
          <w:sz w:val="24"/>
          <w:szCs w:val="24"/>
          <w:highlight w:val="none"/>
        </w:rPr>
        <w:t>采购项目或者分包中既包含环境标志产品也包含非环境</w:t>
      </w:r>
      <w:r>
        <w:rPr>
          <w:rFonts w:ascii="宋体" w:hAnsi="宋体" w:eastAsia="宋体" w:cs="宋体"/>
          <w:color w:val="auto"/>
          <w:spacing w:val="-1"/>
          <w:sz w:val="24"/>
          <w:szCs w:val="24"/>
          <w:highlight w:val="none"/>
        </w:rPr>
        <w:t>标志产品的，只对列入</w:t>
      </w:r>
      <w:r>
        <w:rPr>
          <w:rFonts w:ascii="宋体" w:hAnsi="宋体" w:eastAsia="宋体" w:cs="宋体"/>
          <w:color w:val="auto"/>
          <w:spacing w:val="-3"/>
          <w:sz w:val="24"/>
          <w:szCs w:val="24"/>
          <w:highlight w:val="none"/>
        </w:rPr>
        <w:t>《环境标志产品政府采购品目清单》要求的产品按其在总报价中所占的比例给予价格扣除，投标文件中需提供认证证明，认证机构须在市场监管总局公布的名录内《详见市场监管总局关于发布参与实施政府采购节能产品、环境标志产品认证</w:t>
      </w:r>
      <w:r>
        <w:rPr>
          <w:rFonts w:ascii="宋体" w:hAnsi="宋体" w:eastAsia="宋体" w:cs="宋体"/>
          <w:color w:val="auto"/>
          <w:spacing w:val="-1"/>
          <w:sz w:val="24"/>
          <w:szCs w:val="24"/>
          <w:highlight w:val="none"/>
        </w:rPr>
        <w:t>机构名录的公告（2019年第16号文件）》；</w:t>
      </w:r>
    </w:p>
    <w:p w14:paraId="5EA20398">
      <w:pPr>
        <w:spacing w:before="115" w:line="263" w:lineRule="auto"/>
        <w:ind w:left="25" w:right="79"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3.对财政部、发展改革委发布的《节能产品政府采购品目清</w:t>
      </w:r>
      <w:r>
        <w:rPr>
          <w:rFonts w:ascii="宋体" w:hAnsi="宋体" w:eastAsia="宋体" w:cs="宋体"/>
          <w:color w:val="auto"/>
          <w:spacing w:val="-4"/>
          <w:sz w:val="24"/>
          <w:szCs w:val="24"/>
          <w:highlight w:val="none"/>
        </w:rPr>
        <w:t>单》但不属于国</w:t>
      </w:r>
      <w:r>
        <w:rPr>
          <w:rFonts w:ascii="宋体" w:hAnsi="宋体" w:eastAsia="宋体" w:cs="宋体"/>
          <w:color w:val="auto"/>
          <w:spacing w:val="-3"/>
          <w:sz w:val="24"/>
          <w:szCs w:val="24"/>
          <w:highlight w:val="none"/>
        </w:rPr>
        <w:t>家强制采购的产品，对其投标价格给予3%的价格扣除，并按照扣除后的价格参加</w:t>
      </w:r>
    </w:p>
    <w:p w14:paraId="0E979CB7">
      <w:pPr>
        <w:spacing w:line="263" w:lineRule="auto"/>
        <w:rPr>
          <w:rFonts w:ascii="宋体" w:hAnsi="宋体" w:eastAsia="宋体" w:cs="宋体"/>
          <w:color w:val="auto"/>
          <w:sz w:val="24"/>
          <w:szCs w:val="24"/>
          <w:highlight w:val="none"/>
        </w:rPr>
        <w:sectPr>
          <w:footerReference r:id="rId16" w:type="default"/>
          <w:pgSz w:w="11906" w:h="16839"/>
          <w:pgMar w:top="1431" w:right="1720" w:bottom="1209" w:left="1785" w:header="0" w:footer="973" w:gutter="0"/>
          <w:pgNumType w:fmt="decimal"/>
          <w:cols w:space="720" w:num="1"/>
        </w:sectPr>
      </w:pPr>
    </w:p>
    <w:p w14:paraId="00BFE90D">
      <w:pPr>
        <w:spacing w:before="122" w:line="308" w:lineRule="auto"/>
        <w:ind w:left="23" w:right="13"/>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排序。采购项目或者分包中既包含节能产品也包含非节能产品的，只对列入《节能产品政府采购品目清单》但不属于国家强制采购的产品按其在总报价中所占的比例给予价格扣除，投标文件中需提供认证证明，认证机构须在市场监管总局公布的名录内《详见市场监管总局关于发布参与实施政府采购节能产品、环境标志</w:t>
      </w:r>
      <w:r>
        <w:rPr>
          <w:rFonts w:ascii="宋体" w:hAnsi="宋体" w:eastAsia="宋体" w:cs="宋体"/>
          <w:color w:val="auto"/>
          <w:spacing w:val="2"/>
          <w:sz w:val="24"/>
          <w:szCs w:val="24"/>
          <w:highlight w:val="none"/>
        </w:rPr>
        <w:t>产品认证机构名录的公告（2019年第16号文件）》。”</w:t>
      </w:r>
    </w:p>
    <w:p w14:paraId="0B674FEC">
      <w:pPr>
        <w:spacing w:before="2" w:line="285" w:lineRule="auto"/>
        <w:ind w:left="22" w:right="13"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4.对于列入财政部、国家发改委、信息产业部发布的《无线局域网</w:t>
      </w:r>
      <w:r>
        <w:rPr>
          <w:rFonts w:ascii="宋体" w:hAnsi="宋体" w:eastAsia="宋体" w:cs="宋体"/>
          <w:color w:val="auto"/>
          <w:spacing w:val="-4"/>
          <w:sz w:val="24"/>
          <w:szCs w:val="24"/>
          <w:highlight w:val="none"/>
        </w:rPr>
        <w:t>认证产品</w:t>
      </w:r>
      <w:r>
        <w:rPr>
          <w:rFonts w:ascii="宋体" w:hAnsi="宋体" w:eastAsia="宋体" w:cs="宋体"/>
          <w:color w:val="auto"/>
          <w:spacing w:val="-3"/>
          <w:sz w:val="24"/>
          <w:szCs w:val="24"/>
          <w:highlight w:val="none"/>
        </w:rPr>
        <w:t>政府采购清单》的产品，对其投标价格给予3%的价格扣除，并按扣除后的价格参加排序。采购项目或者分包中既包含清单中产品也包含非清单中产品的，只对列</w:t>
      </w:r>
      <w:r>
        <w:rPr>
          <w:rFonts w:ascii="宋体" w:hAnsi="宋体" w:eastAsia="宋体" w:cs="宋体"/>
          <w:color w:val="auto"/>
          <w:spacing w:val="-1"/>
          <w:sz w:val="24"/>
          <w:szCs w:val="24"/>
          <w:highlight w:val="none"/>
        </w:rPr>
        <w:t>入清单的产品按其在总报价中所占的比例给予价格扣除。</w:t>
      </w:r>
    </w:p>
    <w:p w14:paraId="594B7F18">
      <w:pPr>
        <w:spacing w:before="148" w:line="278" w:lineRule="auto"/>
        <w:ind w:left="25" w:right="13" w:firstLine="48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5.投标产品同时列入上述多个清单的，将上述规定的价格扣</w:t>
      </w:r>
      <w:r>
        <w:rPr>
          <w:rFonts w:ascii="宋体" w:hAnsi="宋体" w:eastAsia="宋体" w:cs="宋体"/>
          <w:color w:val="auto"/>
          <w:spacing w:val="-4"/>
          <w:sz w:val="24"/>
          <w:szCs w:val="24"/>
          <w:highlight w:val="none"/>
        </w:rPr>
        <w:t>除比例叠加后计</w:t>
      </w:r>
      <w:r>
        <w:rPr>
          <w:rFonts w:ascii="宋体" w:hAnsi="宋体" w:eastAsia="宋体" w:cs="宋体"/>
          <w:color w:val="auto"/>
          <w:spacing w:val="-2"/>
          <w:sz w:val="24"/>
          <w:szCs w:val="24"/>
          <w:highlight w:val="none"/>
        </w:rPr>
        <w:t>算价格扣除。</w:t>
      </w:r>
    </w:p>
    <w:p w14:paraId="3F1D0C49">
      <w:pPr>
        <w:spacing w:before="154" w:line="280" w:lineRule="auto"/>
        <w:ind w:left="24" w:right="40"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6、采购项目中如含有计算机，必须预装正版</w:t>
      </w:r>
      <w:r>
        <w:rPr>
          <w:rFonts w:ascii="宋体" w:hAnsi="宋体" w:eastAsia="宋体" w:cs="宋体"/>
          <w:color w:val="auto"/>
          <w:spacing w:val="-1"/>
          <w:sz w:val="24"/>
          <w:szCs w:val="24"/>
          <w:highlight w:val="none"/>
        </w:rPr>
        <w:t>操作系统软件产品，所采购的其他软件必须为正版软件，否则投标无效。</w:t>
      </w:r>
    </w:p>
    <w:p w14:paraId="356DAFFD">
      <w:pPr>
        <w:spacing w:before="152" w:line="299" w:lineRule="auto"/>
        <w:ind w:left="27" w:right="13"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7、采购货物中含信息安全产品，必须是列入财政部会同有关部门制定下发</w:t>
      </w:r>
      <w:r>
        <w:rPr>
          <w:rFonts w:ascii="宋体" w:hAnsi="宋体" w:eastAsia="宋体" w:cs="宋体"/>
          <w:color w:val="auto"/>
          <w:spacing w:val="-3"/>
          <w:sz w:val="24"/>
          <w:szCs w:val="24"/>
          <w:highlight w:val="none"/>
        </w:rPr>
        <w:t>的《信息安全产品强制性认证目录》的产品，承接主体须附中国信息安全</w:t>
      </w:r>
      <w:r>
        <w:rPr>
          <w:rFonts w:ascii="宋体" w:hAnsi="宋体" w:eastAsia="宋体" w:cs="宋体"/>
          <w:color w:val="auto"/>
          <w:spacing w:val="-4"/>
          <w:sz w:val="24"/>
          <w:szCs w:val="24"/>
          <w:highlight w:val="none"/>
        </w:rPr>
        <w:t>认证中</w:t>
      </w:r>
      <w:r>
        <w:rPr>
          <w:rFonts w:ascii="宋体" w:hAnsi="宋体" w:eastAsia="宋体" w:cs="宋体"/>
          <w:color w:val="auto"/>
          <w:spacing w:val="-1"/>
          <w:sz w:val="24"/>
          <w:szCs w:val="24"/>
          <w:highlight w:val="none"/>
        </w:rPr>
        <w:t>心按国家标准认证颁发的有效认证证书，否则投标无效。</w:t>
      </w:r>
    </w:p>
    <w:p w14:paraId="50FA510D">
      <w:pPr>
        <w:spacing w:before="155" w:line="219" w:lineRule="auto"/>
        <w:ind w:left="50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本项目所属行业为</w:t>
      </w:r>
      <w:r>
        <w:rPr>
          <w:rFonts w:ascii="宋体" w:hAnsi="宋体" w:eastAsia="宋体" w:cs="宋体"/>
          <w:b/>
          <w:bCs/>
          <w:color w:val="auto"/>
          <w:spacing w:val="-3"/>
          <w:sz w:val="24"/>
          <w:szCs w:val="24"/>
          <w:highlight w:val="none"/>
          <w:u w:val="single" w:color="auto"/>
        </w:rPr>
        <w:t>工业</w:t>
      </w:r>
      <w:r>
        <w:rPr>
          <w:rFonts w:ascii="宋体" w:hAnsi="宋体" w:eastAsia="宋体" w:cs="宋体"/>
          <w:b/>
          <w:bCs/>
          <w:color w:val="auto"/>
          <w:spacing w:val="-3"/>
          <w:sz w:val="24"/>
          <w:szCs w:val="24"/>
          <w:highlight w:val="none"/>
        </w:rPr>
        <w:t>。</w:t>
      </w:r>
    </w:p>
    <w:p w14:paraId="3E0F4C02">
      <w:pPr>
        <w:spacing w:before="154" w:line="219" w:lineRule="auto"/>
        <w:ind w:left="530" w:leftChars="0"/>
        <w:outlineLvl w:val="0"/>
        <w:rPr>
          <w:rFonts w:ascii="宋体" w:hAnsi="宋体" w:eastAsia="宋体" w:cs="宋体"/>
          <w:color w:val="auto"/>
          <w:sz w:val="24"/>
          <w:szCs w:val="24"/>
          <w:highlight w:val="none"/>
        </w:rPr>
      </w:pPr>
      <w:bookmarkStart w:id="6" w:name="_Toc6509"/>
      <w:r>
        <w:rPr>
          <w:rFonts w:ascii="宋体" w:hAnsi="宋体" w:eastAsia="宋体" w:cs="宋体"/>
          <w:b/>
          <w:bCs/>
          <w:color w:val="auto"/>
          <w:spacing w:val="-3"/>
          <w:sz w:val="24"/>
          <w:szCs w:val="24"/>
          <w:highlight w:val="none"/>
        </w:rPr>
        <w:t>以联合体形式参加政府采购活动，联合体各方均为中小企业的，联合体视</w:t>
      </w:r>
      <w:bookmarkEnd w:id="6"/>
    </w:p>
    <w:p w14:paraId="5B66D3AD">
      <w:pPr>
        <w:spacing w:before="157" w:line="220" w:lineRule="auto"/>
        <w:ind w:left="4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同中小企业。其中，联合体各方均为小微企业的，联合体视同小微企业。</w:t>
      </w:r>
    </w:p>
    <w:p w14:paraId="285B7F4C">
      <w:pPr>
        <w:spacing w:line="220" w:lineRule="auto"/>
        <w:rPr>
          <w:rFonts w:ascii="宋体" w:hAnsi="宋体" w:eastAsia="宋体" w:cs="宋体"/>
          <w:color w:val="auto"/>
          <w:sz w:val="24"/>
          <w:szCs w:val="24"/>
          <w:highlight w:val="none"/>
        </w:rPr>
        <w:sectPr>
          <w:footerReference r:id="rId17" w:type="default"/>
          <w:pgSz w:w="11906" w:h="16839"/>
          <w:pgMar w:top="1431" w:right="1785" w:bottom="1209" w:left="1785" w:header="0" w:footer="973" w:gutter="0"/>
          <w:pgNumType w:fmt="decimal"/>
          <w:cols w:space="720" w:num="1"/>
        </w:sectPr>
      </w:pPr>
    </w:p>
    <w:p w14:paraId="48A4C759">
      <w:pPr>
        <w:numPr>
          <w:ilvl w:val="0"/>
          <w:numId w:val="4"/>
        </w:numPr>
        <w:spacing w:before="113" w:line="225" w:lineRule="auto"/>
        <w:ind w:left="2832"/>
        <w:outlineLvl w:val="0"/>
        <w:rPr>
          <w:rFonts w:ascii="宋体" w:hAnsi="宋体" w:eastAsia="宋体" w:cs="宋体"/>
          <w:b/>
          <w:bCs/>
          <w:color w:val="auto"/>
          <w:spacing w:val="5"/>
          <w:sz w:val="35"/>
          <w:szCs w:val="35"/>
          <w:highlight w:val="none"/>
        </w:rPr>
      </w:pPr>
      <w:bookmarkStart w:id="7" w:name="_Toc17273"/>
      <w:r>
        <w:rPr>
          <w:rFonts w:ascii="宋体" w:hAnsi="宋体" w:eastAsia="宋体" w:cs="宋体"/>
          <w:b/>
          <w:bCs/>
          <w:color w:val="auto"/>
          <w:spacing w:val="5"/>
          <w:sz w:val="35"/>
          <w:szCs w:val="35"/>
          <w:highlight w:val="none"/>
        </w:rPr>
        <w:t>采购需求</w:t>
      </w:r>
      <w:bookmarkEnd w:id="7"/>
    </w:p>
    <w:tbl>
      <w:tblPr>
        <w:tblStyle w:val="14"/>
        <w:tblW w:w="7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50"/>
        <w:gridCol w:w="5207"/>
        <w:gridCol w:w="922"/>
      </w:tblGrid>
      <w:tr w14:paraId="7F86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653" w:type="dxa"/>
            <w:vAlign w:val="center"/>
          </w:tcPr>
          <w:p w14:paraId="2E7E8F28">
            <w:pPr>
              <w:spacing w:line="240" w:lineRule="auto"/>
              <w:rPr>
                <w:rFonts w:hint="eastAsia" w:asciiTheme="minorEastAsia" w:hAnsiTheme="minorEastAsia" w:eastAsiaTheme="minorEastAsia" w:cstheme="minorEastAsia"/>
                <w:b/>
                <w:bCs/>
                <w:color w:val="auto"/>
                <w:sz w:val="21"/>
                <w:szCs w:val="21"/>
                <w:highlight w:val="none"/>
              </w:rPr>
            </w:pPr>
            <w:bookmarkStart w:id="8" w:name="_Toc29558"/>
            <w:r>
              <w:rPr>
                <w:rFonts w:hint="eastAsia" w:asciiTheme="minorEastAsia" w:hAnsiTheme="minorEastAsia" w:eastAsiaTheme="minorEastAsia" w:cstheme="minorEastAsia"/>
                <w:b/>
                <w:bCs/>
                <w:color w:val="auto"/>
                <w:spacing w:val="5"/>
                <w:sz w:val="21"/>
                <w:szCs w:val="21"/>
                <w:highlight w:val="none"/>
              </w:rPr>
              <w:br w:type="page"/>
            </w:r>
            <w:r>
              <w:rPr>
                <w:rFonts w:hint="eastAsia" w:asciiTheme="minorEastAsia" w:hAnsiTheme="minorEastAsia" w:eastAsiaTheme="minorEastAsia" w:cstheme="minorEastAsia"/>
                <w:b/>
                <w:bCs/>
                <w:color w:val="auto"/>
                <w:sz w:val="21"/>
                <w:szCs w:val="21"/>
                <w:highlight w:val="none"/>
              </w:rPr>
              <w:t>序号</w:t>
            </w:r>
          </w:p>
        </w:tc>
        <w:tc>
          <w:tcPr>
            <w:tcW w:w="1150" w:type="dxa"/>
            <w:vAlign w:val="center"/>
          </w:tcPr>
          <w:p w14:paraId="42A5A44C">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货物名称</w:t>
            </w:r>
          </w:p>
        </w:tc>
        <w:tc>
          <w:tcPr>
            <w:tcW w:w="5207" w:type="dxa"/>
            <w:vAlign w:val="center"/>
          </w:tcPr>
          <w:p w14:paraId="47452318">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技术参数及要求</w:t>
            </w:r>
          </w:p>
        </w:tc>
        <w:tc>
          <w:tcPr>
            <w:tcW w:w="922" w:type="dxa"/>
            <w:vAlign w:val="center"/>
          </w:tcPr>
          <w:p w14:paraId="780DFB63">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数量（单位）</w:t>
            </w:r>
          </w:p>
        </w:tc>
      </w:tr>
      <w:tr w14:paraId="4208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653" w:type="dxa"/>
            <w:vAlign w:val="center"/>
          </w:tcPr>
          <w:p w14:paraId="442D27C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50" w:type="dxa"/>
            <w:vAlign w:val="center"/>
          </w:tcPr>
          <w:p w14:paraId="5ACC0119">
            <w:pPr>
              <w:tabs>
                <w:tab w:val="left" w:pos="246"/>
              </w:tabs>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移动式SLAM彩色三维激光扫描仪</w:t>
            </w:r>
          </w:p>
        </w:tc>
        <w:tc>
          <w:tcPr>
            <w:tcW w:w="5207" w:type="dxa"/>
            <w:shd w:val="clear" w:color="auto" w:fill="auto"/>
            <w:vAlign w:val="center"/>
          </w:tcPr>
          <w:p w14:paraId="51AEAA98">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1.激光雷达线束：≥32 线*3。</w:t>
            </w:r>
          </w:p>
          <w:p w14:paraId="14B8D332">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2.采集速度：≥1920000 点/秒。</w:t>
            </w:r>
          </w:p>
          <w:p w14:paraId="1891A9C8">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3.激光雷达扫描距离：≥120 米。</w:t>
            </w:r>
          </w:p>
          <w:p w14:paraId="08DEDD3E">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4.设备支持至少两种定位方式。</w:t>
            </w:r>
          </w:p>
          <w:p w14:paraId="78807D4D">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5.激光雷达固定方式：水平方向*1、竖直方向*2，共三个固定式激光雷达。</w:t>
            </w:r>
          </w:p>
          <w:p w14:paraId="37360757">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6.数据存储：主机内置固态硬盘≥2TB，非SD卡。</w:t>
            </w:r>
          </w:p>
          <w:p w14:paraId="77EB26BF">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7.最大时速：70km/h。</w:t>
            </w:r>
          </w:p>
          <w:p w14:paraId="40C92621">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8.供电方式：支持电池和户外电源自由切换，户外电源220v交流电源供电，同时支持设备配套电池直流供电。</w:t>
            </w:r>
          </w:p>
          <w:p w14:paraId="55AE9828">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9.供电时长：1块电池不少于30分钟，同时使用2块电池不少于60 分钟，支持热插拔更换电池实现连续供电。</w:t>
            </w:r>
          </w:p>
          <w:p w14:paraId="0374FB77">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10.控制方式：手机浏览器通过wifi控制设备运行</w:t>
            </w:r>
          </w:p>
          <w:p w14:paraId="513BF786">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11.参数设置：支持调整点云拼接的特征密度等参数，支持弱纹理模式数据解算，支持车载模式解算支持厘米级、5毫米级、2毫米级数据解算模式；。</w:t>
            </w:r>
          </w:p>
          <w:p w14:paraId="6ECA6BCF">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12.点云相对坐标精度：两点间的独立坐标距离精度满足≤2毫米。 </w:t>
            </w:r>
          </w:p>
          <w:p w14:paraId="3772E224">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13.点云绝对坐标精度：在大于20000平方米面积的区域内，点云CGCS2000坐标精度满足≤3 厘米。</w:t>
            </w:r>
          </w:p>
          <w:p w14:paraId="373300A5">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14.点云水平度精度：水平距离大于120米条件下的点云模型的底面点云模型绝对水平，底面点云模型与水平线夹角的水平度精度小于 0.005 度。 </w:t>
            </w:r>
          </w:p>
          <w:p w14:paraId="39B13AF2">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15.点云垂直度精度： 垂直距离大于60米条件下的点云模型的立面点云模型绝对垂直，立面点云模型与垂直线夹角的垂直度精度小于 0.005 度。</w:t>
            </w:r>
          </w:p>
          <w:p w14:paraId="3D5EEACC">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16.点云唯一性精度：不同人员分别三次测量10000平方米的场景，三次测得的点云模型套合后，距轨迹线25米两侧的点云重复扫描重合度精度小于2厘米。</w:t>
            </w:r>
          </w:p>
          <w:p w14:paraId="5134366A">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17.作业模式：支持车载扫描，可改装骑摩托车背负模式作业。</w:t>
            </w:r>
          </w:p>
          <w:p w14:paraId="32E7B5AC">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18.激光等级：一级人眼安全激光。</w:t>
            </w:r>
          </w:p>
          <w:p w14:paraId="19B8BCC7">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19.点云数据格式：直出.LAS、.LAZ、.E57。</w:t>
            </w:r>
          </w:p>
          <w:p w14:paraId="2811503D">
            <w:pPr>
              <w:pStyle w:val="23"/>
              <w:numPr>
                <w:ilvl w:val="0"/>
                <w:numId w:val="0"/>
              </w:numPr>
              <w:spacing w:line="24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bidi="ar-SA"/>
              </w:rPr>
              <w:t>20.点云密度：距轨迹线30米两侧内点云，点数量每平方米不低于10000点。</w:t>
            </w:r>
          </w:p>
        </w:tc>
        <w:tc>
          <w:tcPr>
            <w:tcW w:w="922" w:type="dxa"/>
            <w:shd w:val="clear" w:color="auto" w:fill="auto"/>
            <w:vAlign w:val="center"/>
          </w:tcPr>
          <w:p w14:paraId="7531365F">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3563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504D1A3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50" w:type="dxa"/>
            <w:vAlign w:val="center"/>
          </w:tcPr>
          <w:p w14:paraId="529180F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相机模块</w:t>
            </w:r>
          </w:p>
        </w:tc>
        <w:tc>
          <w:tcPr>
            <w:tcW w:w="5207" w:type="dxa"/>
            <w:shd w:val="clear" w:color="auto" w:fill="auto"/>
            <w:vAlign w:val="center"/>
          </w:tcPr>
          <w:p w14:paraId="1B867DB7">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1.≥2个鱼眼镜头，高级防抖，单个镜头像素≥2100万，视场角≥360°的6K高清全景相机。</w:t>
            </w:r>
          </w:p>
          <w:p w14:paraId="73D75948">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2.拥有激光雷达与全景相机多模态融合在线赋色算法，最终得到高质量的RGB彩色点云。</w:t>
            </w:r>
          </w:p>
          <w:p w14:paraId="13CEE0AC">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3.传感器尺寸：≥1英寸。</w:t>
            </w:r>
          </w:p>
          <w:p w14:paraId="1C46F00F">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4.最大像素数：4800万。</w:t>
            </w:r>
          </w:p>
          <w:p w14:paraId="0638012E">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5.光学变焦：2.7倍。</w:t>
            </w:r>
          </w:p>
          <w:p w14:paraId="12693A3A">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6.镜头特点：等效35mm焦距16.4。</w:t>
            </w:r>
          </w:p>
          <w:p w14:paraId="3919859A">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7.镜头说明：5.7K，360°，全景镜头。</w:t>
            </w:r>
          </w:p>
          <w:p w14:paraId="327B1312">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8.最大光圈：F2.8光圈越大越好。</w:t>
            </w:r>
          </w:p>
          <w:p w14:paraId="664D5AA3">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9.快门速度：拍照：1/8000 - 120s；录像：1/8000 - 帧率限制快门。</w:t>
            </w:r>
          </w:p>
          <w:p w14:paraId="406140FB">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10.曝光补偿：±4EV。</w:t>
            </w:r>
          </w:p>
          <w:p w14:paraId="012C9C79">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11.白平衡：2000K~10000K。</w:t>
            </w:r>
          </w:p>
          <w:p w14:paraId="240AF5A9">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14=2.感光度ISO 范围：</w:t>
            </w:r>
          </w:p>
          <w:p w14:paraId="225D45DF">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拍照：100-6400</w:t>
            </w:r>
          </w:p>
          <w:p w14:paraId="405734D6">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录像：100-6400。</w:t>
            </w:r>
          </w:p>
          <w:p w14:paraId="022C1A0D">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13.拍摄模式：普通录像、HDR视频、Timelapse延时摄影、TimeShift移动延时摄影基础防抖模式（摄像机内防抖)，Pro防抖模式（使用Insta360 app/Studio或支持的插件导出以实现FlowState防抖)。</w:t>
            </w:r>
          </w:p>
          <w:p w14:paraId="2ADB93CF">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14.照片格式：jpg.RAW(dng)(RAW照片仅支持在PC/Mac端编辑)。</w:t>
            </w:r>
          </w:p>
          <w:p w14:paraId="35120CE6">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15.视频格式：insv(可通过APP或Studio导出)，mp4(开启机内Basic Stabilization防抖)。</w:t>
            </w:r>
          </w:p>
          <w:p w14:paraId="0A4550AA">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16.蓝牙5.0，WiFi5（标准通信范围约20 米，最大传输速率20MB/s）。</w:t>
            </w:r>
          </w:p>
          <w:p w14:paraId="0738126B">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17.视频编码：H.264/H.265可选。</w:t>
            </w:r>
          </w:p>
          <w:p w14:paraId="0AA54839">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18.视频上限码率：100MbP。</w:t>
            </w:r>
          </w:p>
          <w:p w14:paraId="161C29C0">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19.蓝牙-工作频率：Bluetooth: 2402 - 2480MHz。</w:t>
            </w:r>
          </w:p>
          <w:p w14:paraId="3A895E40">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20.蓝牙-输出功率(E.I.R.P)</w:t>
            </w:r>
            <w:r>
              <w:rPr>
                <w:rFonts w:hint="eastAsia" w:asciiTheme="minorEastAsia" w:hAnsiTheme="minorEastAsia" w:eastAsiaTheme="minorEastAsia" w:cstheme="minorEastAsia"/>
                <w:color w:val="auto"/>
                <w:kern w:val="2"/>
                <w:sz w:val="21"/>
                <w:szCs w:val="21"/>
                <w:highlight w:val="none"/>
                <w:lang w:val="en-US" w:eastAsia="zh-CN" w:bidi="ar-SA"/>
              </w:rPr>
              <w:tab/>
            </w:r>
            <w:r>
              <w:rPr>
                <w:rFonts w:hint="eastAsia" w:asciiTheme="minorEastAsia" w:hAnsiTheme="minorEastAsia" w:eastAsiaTheme="minorEastAsia" w:cstheme="minorEastAsia"/>
                <w:color w:val="auto"/>
                <w:kern w:val="2"/>
                <w:sz w:val="21"/>
                <w:szCs w:val="21"/>
                <w:highlight w:val="none"/>
                <w:lang w:val="en-US" w:eastAsia="zh-CN" w:bidi="ar-SA"/>
              </w:rPr>
              <w:t>&lt;10dbm。</w:t>
            </w:r>
          </w:p>
          <w:p w14:paraId="3FB0B4F1">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21.无线-工作频率5.1GHz WIFI: 5150 - 5250MHz；5.8GHz WIFI: 5725 - 5850MHz。</w:t>
            </w:r>
          </w:p>
          <w:p w14:paraId="1D98D736">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22.无线-输出功率(E.I.R.P)5.1GHz WIFI: &lt;13dbm；5.8GHz WIFI: &lt;13dbm。</w:t>
            </w:r>
          </w:p>
          <w:p w14:paraId="24687D8D">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23.无线-协议：802.11n/ac。</w:t>
            </w:r>
          </w:p>
          <w:p w14:paraId="79ABB694">
            <w:pPr>
              <w:pStyle w:val="23"/>
              <w:numPr>
                <w:ilvl w:val="0"/>
                <w:numId w:val="0"/>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24.工作温度：-20℃ - 40℃。</w:t>
            </w:r>
          </w:p>
          <w:p w14:paraId="06503BD7">
            <w:pPr>
              <w:pStyle w:val="23"/>
              <w:numPr>
                <w:ilvl w:val="0"/>
                <w:numId w:val="0"/>
              </w:numPr>
              <w:spacing w:line="240" w:lineRule="auto"/>
              <w:ind w:left="0" w:leftChars="0" w:firstLine="0" w:firstLineChars="0"/>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25.可以与</w:t>
            </w:r>
            <w:r>
              <w:rPr>
                <w:rFonts w:hint="eastAsia" w:asciiTheme="minorEastAsia" w:hAnsiTheme="minorEastAsia" w:eastAsiaTheme="minorEastAsia" w:cstheme="minorEastAsia"/>
                <w:bCs/>
                <w:color w:val="auto"/>
                <w:sz w:val="21"/>
                <w:szCs w:val="21"/>
                <w:highlight w:val="none"/>
                <w:lang w:eastAsia="zh-CN"/>
              </w:rPr>
              <w:t>移动式SLAM彩色三维激光扫描仪</w:t>
            </w:r>
            <w:r>
              <w:rPr>
                <w:rFonts w:hint="eastAsia" w:asciiTheme="minorEastAsia" w:hAnsiTheme="minorEastAsia" w:eastAsiaTheme="minorEastAsia" w:cstheme="minorEastAsia"/>
                <w:bCs/>
                <w:color w:val="auto"/>
                <w:sz w:val="21"/>
                <w:szCs w:val="21"/>
                <w:highlight w:val="none"/>
                <w:lang w:val="en-US" w:eastAsia="zh-CN"/>
              </w:rPr>
              <w:t>进行组装。</w:t>
            </w:r>
          </w:p>
        </w:tc>
        <w:tc>
          <w:tcPr>
            <w:tcW w:w="922" w:type="dxa"/>
            <w:shd w:val="clear" w:color="auto" w:fill="auto"/>
            <w:vAlign w:val="center"/>
          </w:tcPr>
          <w:p w14:paraId="5BE8DAA5">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7CF3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653" w:type="dxa"/>
            <w:vAlign w:val="center"/>
          </w:tcPr>
          <w:p w14:paraId="6E1BD61B">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150" w:type="dxa"/>
            <w:vAlign w:val="center"/>
          </w:tcPr>
          <w:p w14:paraId="4F8155B1">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全星座GNSS模块</w:t>
            </w:r>
          </w:p>
        </w:tc>
        <w:tc>
          <w:tcPr>
            <w:tcW w:w="5207" w:type="dxa"/>
            <w:shd w:val="clear" w:color="auto" w:fill="auto"/>
            <w:vAlign w:val="center"/>
          </w:tcPr>
          <w:p w14:paraId="251C4785">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1.支持单北斗，兼容RTK功能，支持连接千寻位置CORS、中国移动CORS基站等。</w:t>
            </w:r>
          </w:p>
          <w:p w14:paraId="53E9CDC2">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2.涵盖 GPS 、GLONASS、BDS、GALILEO 的四系统全频外置测量天线，满足目前测量设备多系统兼容的需求。</w:t>
            </w:r>
          </w:p>
          <w:p w14:paraId="2963A2B3">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3.GNSS天线 ：GPS1000</w:t>
            </w:r>
          </w:p>
          <w:p w14:paraId="7CAB07A6">
            <w:pPr>
              <w:pStyle w:val="23"/>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网络:GNSS, GPS, GLONASS, 伽利略式, 卫星。</w:t>
            </w:r>
          </w:p>
          <w:p w14:paraId="260CC3A2">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4.其他特性:室外用, 紧凑型, IP67, 便携式。</w:t>
            </w:r>
          </w:p>
          <w:p w14:paraId="7FD68283">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5.应用测量：追踪式。</w:t>
            </w:r>
          </w:p>
          <w:p w14:paraId="65B7B3EE">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6.频率:最少: 1,164 Hz；最多: 1,615 Hz。</w:t>
            </w:r>
          </w:p>
          <w:p w14:paraId="10ABCA62">
            <w:pPr>
              <w:pStyle w:val="23"/>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7.增益：5.5 dB。</w:t>
            </w:r>
          </w:p>
          <w:p w14:paraId="07205AA8">
            <w:pPr>
              <w:pStyle w:val="23"/>
              <w:numPr>
                <w:ilvl w:val="0"/>
                <w:numId w:val="0"/>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8.室外环境作业，RTK接收到卫星和基站信号后，直线路径下无需闭合，一次解算即可获得绝对坐标，1000米的直线路径下点云精度优于5cm。</w:t>
            </w:r>
          </w:p>
          <w:p w14:paraId="0A6B8466">
            <w:pPr>
              <w:pStyle w:val="23"/>
              <w:numPr>
                <w:ilvl w:val="0"/>
                <w:numId w:val="0"/>
              </w:numPr>
              <w:spacing w:line="240" w:lineRule="auto"/>
              <w:ind w:left="0" w:leftChars="0" w:firstLine="0" w:firstLineChars="0"/>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9.可以与</w:t>
            </w:r>
            <w:r>
              <w:rPr>
                <w:rFonts w:hint="eastAsia" w:asciiTheme="minorEastAsia" w:hAnsiTheme="minorEastAsia" w:eastAsiaTheme="minorEastAsia" w:cstheme="minorEastAsia"/>
                <w:bCs/>
                <w:color w:val="auto"/>
                <w:sz w:val="21"/>
                <w:szCs w:val="21"/>
                <w:highlight w:val="none"/>
                <w:lang w:eastAsia="zh-CN"/>
              </w:rPr>
              <w:t>移动式SLAM彩色三维激光扫描仪</w:t>
            </w:r>
            <w:r>
              <w:rPr>
                <w:rFonts w:hint="eastAsia" w:asciiTheme="minorEastAsia" w:hAnsiTheme="minorEastAsia" w:eastAsiaTheme="minorEastAsia" w:cstheme="minorEastAsia"/>
                <w:bCs/>
                <w:color w:val="auto"/>
                <w:sz w:val="21"/>
                <w:szCs w:val="21"/>
                <w:highlight w:val="none"/>
                <w:lang w:val="en-US" w:eastAsia="zh-CN"/>
              </w:rPr>
              <w:t>进行组装。</w:t>
            </w:r>
          </w:p>
        </w:tc>
        <w:tc>
          <w:tcPr>
            <w:tcW w:w="922" w:type="dxa"/>
            <w:shd w:val="clear" w:color="auto" w:fill="auto"/>
            <w:vAlign w:val="center"/>
          </w:tcPr>
          <w:p w14:paraId="6D803EFE">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0249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53" w:type="dxa"/>
            <w:vAlign w:val="center"/>
          </w:tcPr>
          <w:p w14:paraId="039B081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150" w:type="dxa"/>
            <w:vAlign w:val="center"/>
          </w:tcPr>
          <w:p w14:paraId="5053F2EE">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控制模块</w:t>
            </w:r>
          </w:p>
        </w:tc>
        <w:tc>
          <w:tcPr>
            <w:tcW w:w="5207" w:type="dxa"/>
            <w:shd w:val="clear" w:color="auto" w:fill="auto"/>
            <w:vAlign w:val="center"/>
          </w:tcPr>
          <w:p w14:paraId="6D055BE7">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1.支持手机、平板电脑、笔记本电脑、车机设备等移动终端使用浏览器通过WIFI控制设备运行，连接使用。</w:t>
            </w:r>
          </w:p>
          <w:p w14:paraId="70B61AA6">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2.屏幕尺寸：≥6.8英寸。</w:t>
            </w:r>
          </w:p>
          <w:p w14:paraId="3BA84B4D">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3.屏幕分辨率：2412*1080。</w:t>
            </w:r>
          </w:p>
          <w:p w14:paraId="03944774">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4.屏幕类型：TFT LCD。</w:t>
            </w:r>
          </w:p>
          <w:p w14:paraId="36F9D519">
            <w:pPr>
              <w:numPr>
                <w:ilvl w:val="0"/>
                <w:numId w:val="0"/>
              </w:numPr>
              <w:spacing w:line="240" w:lineRule="auto"/>
              <w:ind w:leftChars="0"/>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5.屏幕亮度：850nit(HBM)/700nit(Typical)。</w:t>
            </w:r>
          </w:p>
          <w:p w14:paraId="5F35AD33">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6.屏幕护眼：护眼模式、类自然光护眼。</w:t>
            </w:r>
          </w:p>
          <w:p w14:paraId="7378C61B">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7.屏幕触控：多点触控，最多支持10点触控。</w:t>
            </w:r>
          </w:p>
          <w:p w14:paraId="1D942354">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8.电池容量：7000mAh（典型值）。</w:t>
            </w:r>
          </w:p>
          <w:p w14:paraId="4D32500A">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9.WLAN功能：802.11 a/b/g/n/ac，支持2.4GHz和5GHz WLAN。</w:t>
            </w:r>
          </w:p>
          <w:p w14:paraId="736C3FC0">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10.支持WLAN热点、WLAN直连。</w:t>
            </w:r>
          </w:p>
          <w:p w14:paraId="329DFE60">
            <w:pPr>
              <w:numPr>
                <w:ilvl w:val="0"/>
                <w:numId w:val="0"/>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11.蓝牙：BT5.1协议。</w:t>
            </w:r>
          </w:p>
          <w:p w14:paraId="065265B2">
            <w:pPr>
              <w:pStyle w:val="2"/>
              <w:rPr>
                <w:rFonts w:hint="default"/>
                <w:color w:val="auto"/>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12.可以与</w:t>
            </w:r>
            <w:r>
              <w:rPr>
                <w:rFonts w:hint="eastAsia" w:asciiTheme="minorEastAsia" w:hAnsiTheme="minorEastAsia" w:eastAsiaTheme="minorEastAsia" w:cstheme="minorEastAsia"/>
                <w:bCs/>
                <w:color w:val="auto"/>
                <w:sz w:val="21"/>
                <w:szCs w:val="21"/>
                <w:highlight w:val="none"/>
                <w:lang w:eastAsia="zh-CN"/>
              </w:rPr>
              <w:t>移动式SLAM彩色三维激光扫描仪</w:t>
            </w:r>
            <w:r>
              <w:rPr>
                <w:rFonts w:hint="eastAsia" w:asciiTheme="minorEastAsia" w:hAnsiTheme="minorEastAsia" w:eastAsiaTheme="minorEastAsia" w:cstheme="minorEastAsia"/>
                <w:bCs/>
                <w:color w:val="auto"/>
                <w:sz w:val="21"/>
                <w:szCs w:val="21"/>
                <w:highlight w:val="none"/>
                <w:lang w:val="en-US" w:eastAsia="zh-CN"/>
              </w:rPr>
              <w:t>进行</w:t>
            </w:r>
            <w:r>
              <w:rPr>
                <w:rFonts w:hint="eastAsia" w:asciiTheme="minorEastAsia" w:hAnsiTheme="minorEastAsia" w:eastAsiaTheme="minorEastAsia" w:cstheme="minorEastAsia"/>
                <w:color w:val="auto"/>
                <w:kern w:val="2"/>
                <w:sz w:val="21"/>
                <w:szCs w:val="21"/>
                <w:highlight w:val="none"/>
                <w:lang w:val="en-US" w:eastAsia="zh-CN" w:bidi="ar-SA"/>
              </w:rPr>
              <w:t>WIFI</w:t>
            </w:r>
            <w:r>
              <w:rPr>
                <w:rFonts w:hint="eastAsia" w:asciiTheme="minorEastAsia" w:hAnsiTheme="minorEastAsia" w:eastAsiaTheme="minorEastAsia" w:cstheme="minorEastAsia"/>
                <w:bCs/>
                <w:color w:val="auto"/>
                <w:sz w:val="21"/>
                <w:szCs w:val="21"/>
                <w:highlight w:val="none"/>
                <w:lang w:val="en-US" w:eastAsia="zh-CN"/>
              </w:rPr>
              <w:t>连接。</w:t>
            </w:r>
          </w:p>
        </w:tc>
        <w:tc>
          <w:tcPr>
            <w:tcW w:w="922" w:type="dxa"/>
            <w:shd w:val="clear" w:color="auto" w:fill="auto"/>
            <w:vAlign w:val="center"/>
          </w:tcPr>
          <w:p w14:paraId="6C775DD9">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1C5E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0B9B6B3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150" w:type="dxa"/>
            <w:vAlign w:val="center"/>
          </w:tcPr>
          <w:p w14:paraId="4C678321">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电池及充电器</w:t>
            </w:r>
            <w:r>
              <w:rPr>
                <w:rFonts w:hint="eastAsia" w:asciiTheme="minorEastAsia" w:hAnsiTheme="minorEastAsia" w:eastAsiaTheme="minorEastAsia" w:cstheme="minorEastAsia"/>
                <w:bCs/>
                <w:color w:val="auto"/>
                <w:sz w:val="21"/>
                <w:szCs w:val="21"/>
                <w:highlight w:val="none"/>
                <w:lang w:val="en-US" w:eastAsia="zh-CN"/>
              </w:rPr>
              <w:t xml:space="preserve">  </w:t>
            </w:r>
          </w:p>
        </w:tc>
        <w:tc>
          <w:tcPr>
            <w:tcW w:w="5207" w:type="dxa"/>
            <w:shd w:val="clear" w:color="auto" w:fill="auto"/>
            <w:vAlign w:val="center"/>
          </w:tcPr>
          <w:p w14:paraId="0D57A6BF">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1.充电器：液晶屏幕显示充电时间、电池电量，满足两块电池同时独立充电，两块电池充电互不影响。</w:t>
            </w:r>
          </w:p>
          <w:p w14:paraId="399631A7">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2.电池：V 型卡扣电池，具有电量按键，带有液晶屏幕数字显示电压、电流和电量。</w:t>
            </w:r>
          </w:p>
          <w:p w14:paraId="53F46707">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3.电池至少具有2个USB接口。</w:t>
            </w:r>
          </w:p>
          <w:p w14:paraId="2A9181B5">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4.电压：14.4V。</w:t>
            </w:r>
          </w:p>
          <w:p w14:paraId="3C86147C">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5.容量：99Wh，6875mAh。</w:t>
            </w:r>
          </w:p>
          <w:p w14:paraId="6BF2CBE0">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6.输出BP电极接口：14.4V 15A（Max）最大输出功率216瓦。</w:t>
            </w:r>
          </w:p>
          <w:p w14:paraId="215BE8D8">
            <w:pPr>
              <w:numPr>
                <w:ilvl w:val="0"/>
                <w:numId w:val="0"/>
              </w:numPr>
              <w:spacing w:line="240" w:lineRule="auto"/>
              <w:ind w:left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7.输出D-TAP接口:14.4V 15A（Max）最大输出功率216瓦。</w:t>
            </w:r>
          </w:p>
          <w:p w14:paraId="26B3BB76">
            <w:pPr>
              <w:numPr>
                <w:ilvl w:val="0"/>
                <w:numId w:val="0"/>
              </w:numPr>
              <w:spacing w:line="240" w:lineRule="auto"/>
              <w:ind w:left="0" w:leftChars="0" w:firstLine="0" w:firstLineChars="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8.输出USB接口：5V 2.1A。</w:t>
            </w:r>
          </w:p>
          <w:p w14:paraId="49D49FEB">
            <w:pPr>
              <w:pStyle w:val="2"/>
              <w:rPr>
                <w:rFonts w:hint="default"/>
                <w:color w:val="auto"/>
                <w:highlight w:val="none"/>
                <w:lang w:val="en-US"/>
              </w:rPr>
            </w:pPr>
            <w:r>
              <w:rPr>
                <w:rFonts w:hint="eastAsia" w:asciiTheme="minorEastAsia" w:hAnsiTheme="minorEastAsia" w:eastAsiaTheme="minorEastAsia" w:cstheme="minorEastAsia"/>
                <w:color w:val="auto"/>
                <w:kern w:val="2"/>
                <w:sz w:val="21"/>
                <w:szCs w:val="21"/>
                <w:highlight w:val="none"/>
                <w:lang w:val="en-US" w:eastAsia="zh-CN" w:bidi="ar-SA"/>
              </w:rPr>
              <w:t>9.支持为</w:t>
            </w:r>
            <w:r>
              <w:rPr>
                <w:rFonts w:hint="eastAsia" w:asciiTheme="minorEastAsia" w:hAnsiTheme="minorEastAsia" w:eastAsiaTheme="minorEastAsia" w:cstheme="minorEastAsia"/>
                <w:bCs/>
                <w:color w:val="auto"/>
                <w:sz w:val="21"/>
                <w:szCs w:val="21"/>
                <w:highlight w:val="none"/>
                <w:lang w:eastAsia="zh-CN"/>
              </w:rPr>
              <w:t>移动式SLAM彩色三维激光扫描仪</w:t>
            </w:r>
            <w:r>
              <w:rPr>
                <w:rFonts w:hint="eastAsia" w:asciiTheme="minorEastAsia" w:hAnsiTheme="minorEastAsia" w:eastAsiaTheme="minorEastAsia" w:cstheme="minorEastAsia"/>
                <w:bCs/>
                <w:color w:val="auto"/>
                <w:sz w:val="21"/>
                <w:szCs w:val="21"/>
                <w:highlight w:val="none"/>
                <w:lang w:val="en-US" w:eastAsia="zh-CN"/>
              </w:rPr>
              <w:t>进行供电。</w:t>
            </w:r>
          </w:p>
        </w:tc>
        <w:tc>
          <w:tcPr>
            <w:tcW w:w="922" w:type="dxa"/>
            <w:shd w:val="clear" w:color="auto" w:fill="auto"/>
            <w:vAlign w:val="center"/>
          </w:tcPr>
          <w:p w14:paraId="08AC68E4">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656F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62DB5F5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150" w:type="dxa"/>
            <w:vAlign w:val="center"/>
          </w:tcPr>
          <w:p w14:paraId="650DA11C">
            <w:pPr>
              <w:spacing w:line="24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系统</w:t>
            </w:r>
            <w:r>
              <w:rPr>
                <w:rFonts w:hint="eastAsia" w:asciiTheme="minorEastAsia" w:hAnsiTheme="minorEastAsia" w:eastAsiaTheme="minorEastAsia" w:cstheme="minorEastAsia"/>
                <w:bCs/>
                <w:color w:val="auto"/>
                <w:sz w:val="21"/>
                <w:szCs w:val="21"/>
                <w:highlight w:val="none"/>
                <w:lang w:val="en-US" w:eastAsia="zh-CN"/>
              </w:rPr>
              <w:t>支撑平台</w:t>
            </w:r>
          </w:p>
        </w:tc>
        <w:tc>
          <w:tcPr>
            <w:tcW w:w="5207" w:type="dxa"/>
            <w:shd w:val="clear" w:color="auto" w:fill="auto"/>
            <w:vAlign w:val="center"/>
          </w:tcPr>
          <w:p w14:paraId="6D1E768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机型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标准机架式服务器，高度≥2U，标配原厂导轨</w:t>
            </w:r>
            <w:r>
              <w:rPr>
                <w:rFonts w:hint="eastAsia" w:asciiTheme="minorEastAsia" w:hAnsiTheme="minorEastAsia" w:eastAsiaTheme="minorEastAsia" w:cstheme="minorEastAsia"/>
                <w:color w:val="auto"/>
                <w:sz w:val="21"/>
                <w:szCs w:val="21"/>
                <w:highlight w:val="none"/>
                <w:lang w:eastAsia="zh-CN"/>
              </w:rPr>
              <w:t>。</w:t>
            </w:r>
          </w:p>
          <w:p w14:paraId="248BDD9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CPU</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配置≥2颗C86架构处理器，单颗CPU≥16核，主频≥2.5 GHz。支持两颗CPU，单颗CPU内核高达32核、最高主频2.9GHz、64MB缓存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级别1级</w:t>
            </w:r>
            <w:r>
              <w:rPr>
                <w:rFonts w:hint="eastAsia" w:asciiTheme="minorEastAsia" w:hAnsiTheme="minorEastAsia" w:eastAsiaTheme="minorEastAsia" w:cstheme="minorEastAsia"/>
                <w:color w:val="auto"/>
                <w:sz w:val="21"/>
                <w:szCs w:val="21"/>
                <w:highlight w:val="none"/>
                <w:lang w:eastAsia="zh-CN"/>
              </w:rPr>
              <w:t>。</w:t>
            </w:r>
          </w:p>
          <w:p w14:paraId="034F5219">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内存</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配置≥32个内存插槽，≥4个32GB 3200MHz DDR4内存模块，支持最大容量4.0TB，支持高级ECC</w:t>
            </w:r>
            <w:r>
              <w:rPr>
                <w:rFonts w:hint="eastAsia" w:asciiTheme="minorEastAsia" w:hAnsiTheme="minorEastAsia" w:eastAsiaTheme="minorEastAsia" w:cstheme="minorEastAsia"/>
                <w:color w:val="auto"/>
                <w:sz w:val="21"/>
                <w:szCs w:val="21"/>
                <w:highlight w:val="none"/>
                <w:lang w:eastAsia="zh-CN"/>
              </w:rPr>
              <w:t>。</w:t>
            </w:r>
          </w:p>
          <w:p w14:paraId="30D5A83C">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存储扩展</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配置≥8个LFF热插拔硬盘槽位，≥2个4TB SATA硬盘。最大支持12个LFF硬盘，后置：2个LFF硬盘+4个SFF硬盘，支持NVMe硬盘，支持2个M.2扩展</w:t>
            </w:r>
            <w:r>
              <w:rPr>
                <w:rFonts w:hint="eastAsia" w:asciiTheme="minorEastAsia" w:hAnsiTheme="minorEastAsia" w:eastAsiaTheme="minorEastAsia" w:cstheme="minorEastAsia"/>
                <w:color w:val="auto"/>
                <w:sz w:val="21"/>
                <w:szCs w:val="21"/>
                <w:highlight w:val="none"/>
                <w:lang w:eastAsia="zh-CN"/>
              </w:rPr>
              <w:t>。</w:t>
            </w:r>
          </w:p>
          <w:p w14:paraId="72F448F7">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阵列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配置≥1块8口  12Gbps SAS RAID阵列卡，支持RAID0/1/10可更换支持缓存数据保护，且后备保护时间不受限制</w:t>
            </w:r>
            <w:r>
              <w:rPr>
                <w:rFonts w:hint="eastAsia" w:asciiTheme="minorEastAsia" w:hAnsiTheme="minorEastAsia" w:eastAsiaTheme="minorEastAsia" w:cstheme="minorEastAsia"/>
                <w:color w:val="auto"/>
                <w:sz w:val="21"/>
                <w:szCs w:val="21"/>
                <w:highlight w:val="none"/>
                <w:lang w:eastAsia="zh-CN"/>
              </w:rPr>
              <w:t>。</w:t>
            </w:r>
          </w:p>
          <w:p w14:paraId="3E23A9FE">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PCIE插槽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支持≥10个标准PCIe 3.0插槽，1个OCP 3.0网卡插槽，支持≥8块单宽显卡</w:t>
            </w:r>
            <w:r>
              <w:rPr>
                <w:rFonts w:hint="eastAsia" w:asciiTheme="minorEastAsia" w:hAnsiTheme="minorEastAsia" w:eastAsiaTheme="minorEastAsia" w:cstheme="minorEastAsia"/>
                <w:color w:val="auto"/>
                <w:sz w:val="21"/>
                <w:szCs w:val="21"/>
                <w:highlight w:val="none"/>
                <w:lang w:eastAsia="zh-CN"/>
              </w:rPr>
              <w:t>。</w:t>
            </w:r>
          </w:p>
          <w:p w14:paraId="3042E58E">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网络</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配置≥4个千兆电口</w:t>
            </w:r>
            <w:r>
              <w:rPr>
                <w:rFonts w:hint="eastAsia" w:asciiTheme="minorEastAsia" w:hAnsiTheme="minorEastAsia" w:eastAsiaTheme="minorEastAsia" w:cstheme="minorEastAsia"/>
                <w:color w:val="auto"/>
                <w:sz w:val="21"/>
                <w:szCs w:val="21"/>
                <w:highlight w:val="none"/>
                <w:lang w:eastAsia="zh-CN"/>
              </w:rPr>
              <w:t>。</w:t>
            </w:r>
          </w:p>
          <w:p w14:paraId="0232AFDF">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冗余电源</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配置≥2个800w白金版热插拔冗余电源，支持94%能效比的白金级电源选件，配置热插拔冗余风扇</w:t>
            </w:r>
            <w:r>
              <w:rPr>
                <w:rFonts w:hint="eastAsia" w:asciiTheme="minorEastAsia" w:hAnsiTheme="minorEastAsia" w:eastAsiaTheme="minorEastAsia" w:cstheme="minorEastAsia"/>
                <w:color w:val="auto"/>
                <w:sz w:val="21"/>
                <w:szCs w:val="21"/>
                <w:highlight w:val="none"/>
                <w:lang w:eastAsia="zh-CN"/>
              </w:rPr>
              <w:t>。</w:t>
            </w:r>
          </w:p>
          <w:p w14:paraId="5A8125C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安全性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支持基于硬件的加密，可以加密虚拟机和内存，保护数据安全</w:t>
            </w:r>
            <w:r>
              <w:rPr>
                <w:rFonts w:hint="eastAsia" w:asciiTheme="minorEastAsia" w:hAnsiTheme="minorEastAsia" w:eastAsiaTheme="minorEastAsia" w:cstheme="minorEastAsia"/>
                <w:color w:val="auto"/>
                <w:sz w:val="21"/>
                <w:szCs w:val="21"/>
                <w:highlight w:val="none"/>
                <w:lang w:eastAsia="zh-CN"/>
              </w:rPr>
              <w:t>。</w:t>
            </w:r>
          </w:p>
          <w:p w14:paraId="665A3485">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管理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配置≥1Gb独立的远程管理控制端口配置虚拟KVM功能, 可实现与操作系统无关的远程对服务器的完全控制，包括远程的开机、关机、重启、更新Firmware、虚拟光驱、虚拟文件夹等操作，提供服务器健康日记、服务器控制台录屏/回放功能，能够提供电源监控，支持3D图形化的机箱内部温度拓扑图显示</w:t>
            </w:r>
            <w:r>
              <w:rPr>
                <w:rFonts w:hint="eastAsia" w:asciiTheme="minorEastAsia" w:hAnsiTheme="minorEastAsia" w:eastAsiaTheme="minorEastAsia" w:cstheme="minorEastAsia"/>
                <w:color w:val="auto"/>
                <w:sz w:val="21"/>
                <w:szCs w:val="21"/>
                <w:highlight w:val="none"/>
                <w:lang w:eastAsia="zh-CN"/>
              </w:rPr>
              <w:t>。</w:t>
            </w:r>
          </w:p>
        </w:tc>
        <w:tc>
          <w:tcPr>
            <w:tcW w:w="922" w:type="dxa"/>
            <w:shd w:val="clear" w:color="auto" w:fill="auto"/>
            <w:vAlign w:val="center"/>
          </w:tcPr>
          <w:p w14:paraId="08FEE6B4">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6D7E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53" w:type="dxa"/>
            <w:vAlign w:val="center"/>
          </w:tcPr>
          <w:p w14:paraId="12BBF76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150" w:type="dxa"/>
            <w:vAlign w:val="center"/>
          </w:tcPr>
          <w:p w14:paraId="759B29CF">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点云地理要素矢量对象化协同处理系统</w:t>
            </w:r>
          </w:p>
        </w:tc>
        <w:tc>
          <w:tcPr>
            <w:tcW w:w="5207" w:type="dxa"/>
            <w:shd w:val="clear" w:color="auto" w:fill="auto"/>
            <w:vAlign w:val="center"/>
          </w:tcPr>
          <w:p w14:paraId="5AC0ACE1">
            <w:pPr>
              <w:numPr>
                <w:ilvl w:val="0"/>
                <w:numId w:val="5"/>
              </w:num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自主版权平台，不依赖第三方平台</w:t>
            </w:r>
            <w:r>
              <w:rPr>
                <w:rFonts w:hint="eastAsia" w:asciiTheme="minorEastAsia" w:hAnsiTheme="minorEastAsia" w:eastAsiaTheme="minorEastAsia" w:cstheme="minorEastAsia"/>
                <w:color w:val="auto"/>
                <w:sz w:val="21"/>
                <w:szCs w:val="21"/>
                <w:highlight w:val="none"/>
                <w:lang w:eastAsia="zh-CN"/>
              </w:rPr>
              <w:t>。</w:t>
            </w:r>
          </w:p>
          <w:p w14:paraId="69031428">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.采用开放的模板技术，支持对转换的空间要素与空间属性的用户自定义</w:t>
            </w:r>
            <w:r>
              <w:rPr>
                <w:rFonts w:hint="eastAsia" w:asciiTheme="minorEastAsia" w:hAnsiTheme="minorEastAsia" w:eastAsiaTheme="minorEastAsia" w:cstheme="minorEastAsia"/>
                <w:color w:val="auto"/>
                <w:sz w:val="21"/>
                <w:szCs w:val="21"/>
                <w:highlight w:val="none"/>
                <w:lang w:val="en-US" w:eastAsia="zh-CN"/>
              </w:rPr>
              <w:t>.</w:t>
            </w:r>
          </w:p>
          <w:p w14:paraId="4E97F4C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.根据转换模版，提供外业采集系统自有格式向ArcGIS Pdb、Shp、DWG、MAPGIS、SuperMap、DGN等的无损转换；具有常规的平面坐标、经纬度坐标与高程基准的转换功能</w:t>
            </w:r>
            <w:r>
              <w:rPr>
                <w:rFonts w:hint="eastAsia" w:asciiTheme="minorEastAsia" w:hAnsiTheme="minorEastAsia" w:eastAsiaTheme="minorEastAsia" w:cstheme="minorEastAsia"/>
                <w:color w:val="auto"/>
                <w:sz w:val="21"/>
                <w:szCs w:val="21"/>
                <w:highlight w:val="none"/>
                <w:lang w:eastAsia="zh-CN"/>
              </w:rPr>
              <w:t>。</w:t>
            </w:r>
          </w:p>
          <w:p w14:paraId="4A97A39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.针对DLG数据，完善采购软件自有格式与ArcGIS Personal Geodatabase\ Shapefile、DWG等格式之间的双向无损转换，输出满足已有数据库标准ArcGIS Personal Geodatabase\ Shapefile、已有供图标准的DWG转换。</w:t>
            </w:r>
          </w:p>
          <w:p w14:paraId="6881C07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.支持软件界面、功能、菜单可定制</w:t>
            </w:r>
            <w:r>
              <w:rPr>
                <w:rFonts w:hint="eastAsia" w:asciiTheme="minorEastAsia" w:hAnsiTheme="minorEastAsia" w:eastAsiaTheme="minorEastAsia" w:cstheme="minorEastAsia"/>
                <w:color w:val="auto"/>
                <w:sz w:val="21"/>
                <w:szCs w:val="21"/>
                <w:highlight w:val="none"/>
                <w:lang w:eastAsia="zh-CN"/>
              </w:rPr>
              <w:t>。</w:t>
            </w:r>
          </w:p>
          <w:p w14:paraId="5151B6AD">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6.依据分块快速加载点云，点云数据源支持移动测量车扫描点云数据。</w:t>
            </w:r>
          </w:p>
          <w:p w14:paraId="3EC4159F">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7.支持测量车Lidar点云与全景影像叠加。</w:t>
            </w:r>
          </w:p>
          <w:p w14:paraId="681ACFC5">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.支持GIS数据采集、编辑、入库一体化，二维三维四维一体化，内业外业一体化</w:t>
            </w:r>
            <w:r>
              <w:rPr>
                <w:rFonts w:hint="eastAsia" w:asciiTheme="minorEastAsia" w:hAnsiTheme="minorEastAsia" w:eastAsiaTheme="minorEastAsia" w:cstheme="minorEastAsia"/>
                <w:color w:val="auto"/>
                <w:sz w:val="21"/>
                <w:szCs w:val="21"/>
                <w:highlight w:val="none"/>
                <w:lang w:eastAsia="zh-CN"/>
              </w:rPr>
              <w:t>。</w:t>
            </w:r>
          </w:p>
          <w:p w14:paraId="36863270">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.支持数据采集编辑时，自动维护对象的创建时间、修改时间和全球唯一GUID信息</w:t>
            </w:r>
            <w:r>
              <w:rPr>
                <w:rFonts w:hint="eastAsia" w:asciiTheme="minorEastAsia" w:hAnsiTheme="minorEastAsia" w:eastAsiaTheme="minorEastAsia" w:cstheme="minorEastAsia"/>
                <w:color w:val="auto"/>
                <w:sz w:val="21"/>
                <w:szCs w:val="21"/>
                <w:highlight w:val="none"/>
                <w:lang w:eastAsia="zh-CN"/>
              </w:rPr>
              <w:t>。</w:t>
            </w:r>
          </w:p>
          <w:p w14:paraId="0F7F4E57">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.支持比例尺、分幅、投影等信息自定义</w:t>
            </w:r>
            <w:r>
              <w:rPr>
                <w:rFonts w:hint="eastAsia" w:asciiTheme="minorEastAsia" w:hAnsiTheme="minorEastAsia" w:eastAsiaTheme="minorEastAsia" w:cstheme="minorEastAsia"/>
                <w:color w:val="auto"/>
                <w:sz w:val="21"/>
                <w:szCs w:val="21"/>
                <w:highlight w:val="none"/>
                <w:lang w:eastAsia="zh-CN"/>
              </w:rPr>
              <w:t>。</w:t>
            </w:r>
          </w:p>
          <w:p w14:paraId="20B41099">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.支持数据分幅批量打印，可打印条形码、二维码</w:t>
            </w:r>
            <w:r>
              <w:rPr>
                <w:rFonts w:hint="eastAsia" w:asciiTheme="minorEastAsia" w:hAnsiTheme="minorEastAsia" w:eastAsiaTheme="minorEastAsia" w:cstheme="minorEastAsia"/>
                <w:color w:val="auto"/>
                <w:sz w:val="21"/>
                <w:szCs w:val="21"/>
                <w:highlight w:val="none"/>
                <w:lang w:val="en-US" w:eastAsia="zh-CN"/>
              </w:rPr>
              <w:t>.</w:t>
            </w:r>
          </w:p>
          <w:p w14:paraId="71C4B64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.支持二次开发技术（提供C++开发包和脚本两种模式），用户可独立完成所需的技术改造</w:t>
            </w:r>
            <w:r>
              <w:rPr>
                <w:rFonts w:hint="eastAsia" w:asciiTheme="minorEastAsia" w:hAnsiTheme="minorEastAsia" w:eastAsiaTheme="minorEastAsia" w:cstheme="minorEastAsia"/>
                <w:color w:val="auto"/>
                <w:sz w:val="21"/>
                <w:szCs w:val="21"/>
                <w:highlight w:val="none"/>
                <w:lang w:eastAsia="zh-CN"/>
              </w:rPr>
              <w:t>。</w:t>
            </w:r>
          </w:p>
          <w:p w14:paraId="04F9350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.工程文件直接存入ACCESS数据库，支持实时存盘，自动备份</w:t>
            </w:r>
            <w:r>
              <w:rPr>
                <w:rFonts w:hint="eastAsia" w:asciiTheme="minorEastAsia" w:hAnsiTheme="minorEastAsia" w:eastAsiaTheme="minorEastAsia" w:cstheme="minorEastAsia"/>
                <w:color w:val="auto"/>
                <w:sz w:val="21"/>
                <w:szCs w:val="21"/>
                <w:highlight w:val="none"/>
                <w:lang w:eastAsia="zh-CN"/>
              </w:rPr>
              <w:t>。</w:t>
            </w:r>
          </w:p>
          <w:p w14:paraId="24E9547D">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.数据能直接进入数据库管理系统，能够通过ArcSDE访问Geodatabase数据库，具有大容量数据管理功能</w:t>
            </w:r>
            <w:r>
              <w:rPr>
                <w:rFonts w:hint="eastAsia" w:asciiTheme="minorEastAsia" w:hAnsiTheme="minorEastAsia" w:eastAsiaTheme="minorEastAsia" w:cstheme="minorEastAsia"/>
                <w:color w:val="auto"/>
                <w:sz w:val="21"/>
                <w:szCs w:val="21"/>
                <w:highlight w:val="none"/>
                <w:lang w:val="en-US" w:eastAsia="zh-CN"/>
              </w:rPr>
              <w:t>.</w:t>
            </w:r>
          </w:p>
          <w:p w14:paraId="62443B0E">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.支持输出ArcGIS成果后，在ArcGIS软件平台中支持ArcSymI插件进行符号显示</w:t>
            </w:r>
            <w:r>
              <w:rPr>
                <w:rFonts w:hint="eastAsia" w:asciiTheme="minorEastAsia" w:hAnsiTheme="minorEastAsia" w:eastAsiaTheme="minorEastAsia" w:cstheme="minorEastAsia"/>
                <w:color w:val="auto"/>
                <w:sz w:val="21"/>
                <w:szCs w:val="21"/>
                <w:highlight w:val="none"/>
                <w:lang w:eastAsia="zh-CN"/>
              </w:rPr>
              <w:t>。</w:t>
            </w:r>
          </w:p>
          <w:p w14:paraId="5C2D5DD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.支持完全开放的摸板控制技术，实现数据的标准化与规范化生产，成果满足整体性、一致性、安全性</w:t>
            </w:r>
            <w:r>
              <w:rPr>
                <w:rFonts w:hint="eastAsia" w:asciiTheme="minorEastAsia" w:hAnsiTheme="minorEastAsia" w:eastAsiaTheme="minorEastAsia" w:cstheme="minorEastAsia"/>
                <w:color w:val="auto"/>
                <w:sz w:val="21"/>
                <w:szCs w:val="21"/>
                <w:highlight w:val="none"/>
                <w:lang w:eastAsia="zh-CN"/>
              </w:rPr>
              <w:t>。</w:t>
            </w:r>
          </w:p>
          <w:p w14:paraId="17F5F0B5">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.支持具备完善的符号库系统，支持国标1：500、1：2000、1：5000、1：10000各种比例尺的图式符号，用户能根据一定规则编制符号；符号库应支持信息映射机制，支持数据一对多的对照转换</w:t>
            </w:r>
            <w:r>
              <w:rPr>
                <w:rFonts w:hint="eastAsia" w:asciiTheme="minorEastAsia" w:hAnsiTheme="minorEastAsia" w:eastAsiaTheme="minorEastAsia" w:cstheme="minorEastAsia"/>
                <w:color w:val="auto"/>
                <w:sz w:val="21"/>
                <w:szCs w:val="21"/>
                <w:highlight w:val="none"/>
                <w:lang w:val="en-US" w:eastAsia="zh-CN"/>
              </w:rPr>
              <w:t>.</w:t>
            </w:r>
          </w:p>
          <w:p w14:paraId="6EBFDE9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支持对空间要素、空间属性及空间关系等检查内容的用户自定义。根据检查模板，对外业采集的数据，提供数据精度、数据空间合法性、拓扑关系合法性、属性合法性和图形与属性一致性等方面的检查、错误定位功能。提供自动或半自动的错误自动修复、矫正功能，可自定义修复参数。具有检查报表与质量评估报告输出功能。</w:t>
            </w:r>
          </w:p>
          <w:p w14:paraId="18494BFA">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.支持加载TIF、BMP、JPG、PCX、GIF等图像格式，提供影像压缩技术，支持影像瞬间调入，生产过程不占内存</w:t>
            </w:r>
            <w:r>
              <w:rPr>
                <w:rFonts w:hint="eastAsia" w:asciiTheme="minorEastAsia" w:hAnsiTheme="minorEastAsia" w:eastAsiaTheme="minorEastAsia" w:cstheme="minorEastAsia"/>
                <w:color w:val="auto"/>
                <w:sz w:val="21"/>
                <w:szCs w:val="21"/>
                <w:highlight w:val="none"/>
                <w:lang w:val="en-US" w:eastAsia="zh-CN"/>
              </w:rPr>
              <w:t>.</w:t>
            </w:r>
          </w:p>
          <w:p w14:paraId="42F6779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.点云数据格式支持*.txt、*.xyz、*.las等；</w:t>
            </w:r>
          </w:p>
          <w:p w14:paraId="0B4C1041">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.支持二三维采编建库一体化，实现信息化与动态符号化</w:t>
            </w:r>
            <w:r>
              <w:rPr>
                <w:rFonts w:hint="eastAsia" w:asciiTheme="minorEastAsia" w:hAnsiTheme="minorEastAsia" w:eastAsiaTheme="minorEastAsia" w:cstheme="minorEastAsia"/>
                <w:color w:val="auto"/>
                <w:sz w:val="21"/>
                <w:szCs w:val="21"/>
                <w:highlight w:val="none"/>
                <w:lang w:val="en-US" w:eastAsia="zh-CN"/>
              </w:rPr>
              <w:t>.</w:t>
            </w:r>
          </w:p>
          <w:p w14:paraId="675AC7EF">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.三维采、编、质检与平台二维功能一致，并提供直观的三维专用功能</w:t>
            </w:r>
            <w:r>
              <w:rPr>
                <w:rFonts w:hint="eastAsia" w:asciiTheme="minorEastAsia" w:hAnsiTheme="minorEastAsia" w:eastAsiaTheme="minorEastAsia" w:cstheme="minorEastAsia"/>
                <w:color w:val="auto"/>
                <w:sz w:val="21"/>
                <w:szCs w:val="21"/>
                <w:highlight w:val="none"/>
                <w:lang w:eastAsia="zh-CN"/>
              </w:rPr>
              <w:t>。</w:t>
            </w:r>
          </w:p>
          <w:p w14:paraId="2ACC7314">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.提供所采地物根据指定位置快速升降高程信息</w:t>
            </w:r>
            <w:r>
              <w:rPr>
                <w:rFonts w:hint="eastAsia" w:asciiTheme="minorEastAsia" w:hAnsiTheme="minorEastAsia" w:eastAsiaTheme="minorEastAsia" w:cstheme="minorEastAsia"/>
                <w:color w:val="auto"/>
                <w:sz w:val="21"/>
                <w:szCs w:val="21"/>
                <w:highlight w:val="none"/>
                <w:lang w:eastAsia="zh-CN"/>
              </w:rPr>
              <w:t>。</w:t>
            </w:r>
          </w:p>
          <w:p w14:paraId="54C61820">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.支持网络化生产，数据统一管理</w:t>
            </w:r>
            <w:r>
              <w:rPr>
                <w:rFonts w:hint="eastAsia" w:asciiTheme="minorEastAsia" w:hAnsiTheme="minorEastAsia" w:eastAsiaTheme="minorEastAsia" w:cstheme="minorEastAsia"/>
                <w:color w:val="auto"/>
                <w:sz w:val="21"/>
                <w:szCs w:val="21"/>
                <w:highlight w:val="none"/>
                <w:lang w:eastAsia="zh-CN"/>
              </w:rPr>
              <w:t>。</w:t>
            </w:r>
          </w:p>
          <w:p w14:paraId="28E193DC">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.支持多数据源多窗口多视角协同作业</w:t>
            </w:r>
            <w:r>
              <w:rPr>
                <w:rFonts w:hint="eastAsia" w:asciiTheme="minorEastAsia" w:hAnsiTheme="minorEastAsia" w:eastAsiaTheme="minorEastAsia" w:cstheme="minorEastAsia"/>
                <w:color w:val="auto"/>
                <w:sz w:val="21"/>
                <w:szCs w:val="21"/>
                <w:highlight w:val="none"/>
                <w:lang w:eastAsia="zh-CN"/>
              </w:rPr>
              <w:t>。</w:t>
            </w:r>
          </w:p>
          <w:p w14:paraId="7C0D1E49">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.支持点云分块显示</w:t>
            </w:r>
            <w:r>
              <w:rPr>
                <w:rFonts w:hint="eastAsia" w:asciiTheme="minorEastAsia" w:hAnsiTheme="minorEastAsia" w:eastAsiaTheme="minorEastAsia" w:cstheme="minorEastAsia"/>
                <w:color w:val="auto"/>
                <w:sz w:val="21"/>
                <w:szCs w:val="21"/>
                <w:highlight w:val="none"/>
                <w:lang w:eastAsia="zh-CN"/>
              </w:rPr>
              <w:t>。</w:t>
            </w:r>
          </w:p>
          <w:p w14:paraId="2637C125">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27.支持自动生成白模。</w:t>
            </w:r>
          </w:p>
          <w:p w14:paraId="7A776CBB">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28</w:t>
            </w:r>
            <w:r>
              <w:rPr>
                <w:rFonts w:hint="eastAsia" w:asciiTheme="minorEastAsia" w:hAnsiTheme="minorEastAsia" w:eastAsiaTheme="minorEastAsia" w:cstheme="minorEastAsia"/>
                <w:color w:val="auto"/>
                <w:sz w:val="21"/>
                <w:szCs w:val="21"/>
                <w:highlight w:val="none"/>
              </w:rPr>
              <w:t>.支持点云高程着色</w:t>
            </w:r>
            <w:r>
              <w:rPr>
                <w:rFonts w:hint="eastAsia" w:asciiTheme="minorEastAsia" w:hAnsiTheme="minorEastAsia" w:eastAsiaTheme="minorEastAsia" w:cstheme="minorEastAsia"/>
                <w:color w:val="auto"/>
                <w:sz w:val="21"/>
                <w:szCs w:val="21"/>
                <w:highlight w:val="none"/>
                <w:lang w:eastAsia="zh-CN"/>
              </w:rPr>
              <w:t>。</w:t>
            </w:r>
          </w:p>
          <w:p w14:paraId="0FD255C7">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29</w:t>
            </w:r>
            <w:r>
              <w:rPr>
                <w:rFonts w:hint="eastAsia" w:asciiTheme="minorEastAsia" w:hAnsiTheme="minorEastAsia" w:eastAsiaTheme="minorEastAsia" w:cstheme="minorEastAsia"/>
                <w:color w:val="auto"/>
                <w:sz w:val="21"/>
                <w:szCs w:val="21"/>
                <w:highlight w:val="none"/>
              </w:rPr>
              <w:t>.支持反射强度灰度图显示</w:t>
            </w:r>
            <w:r>
              <w:rPr>
                <w:rFonts w:hint="eastAsia" w:asciiTheme="minorEastAsia" w:hAnsiTheme="minorEastAsia" w:eastAsiaTheme="minorEastAsia" w:cstheme="minorEastAsia"/>
                <w:color w:val="auto"/>
                <w:sz w:val="21"/>
                <w:szCs w:val="21"/>
                <w:highlight w:val="none"/>
                <w:lang w:eastAsia="zh-CN"/>
              </w:rPr>
              <w:t>。</w:t>
            </w:r>
          </w:p>
          <w:p w14:paraId="19564EB2">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.支持显示高程注释</w:t>
            </w:r>
            <w:r>
              <w:rPr>
                <w:rFonts w:hint="eastAsia" w:asciiTheme="minorEastAsia" w:hAnsiTheme="minorEastAsia" w:eastAsiaTheme="minorEastAsia" w:cstheme="minorEastAsia"/>
                <w:color w:val="auto"/>
                <w:sz w:val="21"/>
                <w:szCs w:val="21"/>
                <w:highlight w:val="none"/>
                <w:lang w:eastAsia="zh-CN"/>
              </w:rPr>
              <w:t>。</w:t>
            </w:r>
          </w:p>
          <w:p w14:paraId="5C6FD6B3">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31</w:t>
            </w:r>
            <w:r>
              <w:rPr>
                <w:rFonts w:hint="eastAsia" w:asciiTheme="minorEastAsia" w:hAnsiTheme="minorEastAsia" w:eastAsiaTheme="minorEastAsia" w:cstheme="minorEastAsia"/>
                <w:color w:val="auto"/>
                <w:sz w:val="21"/>
                <w:szCs w:val="21"/>
                <w:highlight w:val="none"/>
              </w:rPr>
              <w:t>.支持剖面显示</w:t>
            </w:r>
            <w:r>
              <w:rPr>
                <w:rFonts w:hint="eastAsia" w:asciiTheme="minorEastAsia" w:hAnsiTheme="minorEastAsia" w:eastAsiaTheme="minorEastAsia" w:cstheme="minorEastAsia"/>
                <w:color w:val="auto"/>
                <w:sz w:val="21"/>
                <w:szCs w:val="21"/>
                <w:highlight w:val="none"/>
                <w:lang w:eastAsia="zh-CN"/>
              </w:rPr>
              <w:t>。</w:t>
            </w:r>
          </w:p>
          <w:p w14:paraId="42A3ED84">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32</w:t>
            </w:r>
            <w:r>
              <w:rPr>
                <w:rFonts w:hint="eastAsia" w:asciiTheme="minorEastAsia" w:hAnsiTheme="minorEastAsia" w:eastAsiaTheme="minorEastAsia" w:cstheme="minorEastAsia"/>
                <w:color w:val="auto"/>
                <w:sz w:val="21"/>
                <w:szCs w:val="21"/>
                <w:highlight w:val="none"/>
              </w:rPr>
              <w:t>.支持显示或隐藏依据高程筛选的点云</w:t>
            </w:r>
            <w:r>
              <w:rPr>
                <w:rFonts w:hint="eastAsia" w:asciiTheme="minorEastAsia" w:hAnsiTheme="minorEastAsia" w:eastAsiaTheme="minorEastAsia" w:cstheme="minorEastAsia"/>
                <w:color w:val="auto"/>
                <w:sz w:val="21"/>
                <w:szCs w:val="21"/>
                <w:highlight w:val="none"/>
                <w:lang w:eastAsia="zh-CN"/>
              </w:rPr>
              <w:t>、</w:t>
            </w:r>
          </w:p>
          <w:p w14:paraId="33A2A189">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.支持点云数据根据反射率等进行点云分色显示，便于特征线的采集</w:t>
            </w:r>
            <w:r>
              <w:rPr>
                <w:rFonts w:hint="eastAsia" w:asciiTheme="minorEastAsia" w:hAnsiTheme="minorEastAsia" w:eastAsiaTheme="minorEastAsia" w:cstheme="minorEastAsia"/>
                <w:color w:val="auto"/>
                <w:sz w:val="21"/>
                <w:szCs w:val="21"/>
                <w:highlight w:val="none"/>
                <w:lang w:eastAsia="zh-CN"/>
              </w:rPr>
              <w:t>。</w:t>
            </w:r>
          </w:p>
          <w:p w14:paraId="4B078D0C">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.支持点云数据三维浏览</w:t>
            </w:r>
            <w:r>
              <w:rPr>
                <w:rFonts w:hint="eastAsia" w:asciiTheme="minorEastAsia" w:hAnsiTheme="minorEastAsia" w:eastAsiaTheme="minorEastAsia" w:cstheme="minorEastAsia"/>
                <w:color w:val="auto"/>
                <w:sz w:val="21"/>
                <w:szCs w:val="21"/>
                <w:highlight w:val="none"/>
                <w:lang w:eastAsia="zh-CN"/>
              </w:rPr>
              <w:t>。</w:t>
            </w:r>
          </w:p>
          <w:p w14:paraId="0E8B1533">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.支持高程点筛选</w:t>
            </w:r>
            <w:r>
              <w:rPr>
                <w:rFonts w:hint="eastAsia" w:asciiTheme="minorEastAsia" w:hAnsiTheme="minorEastAsia" w:eastAsiaTheme="minorEastAsia" w:cstheme="minorEastAsia"/>
                <w:color w:val="auto"/>
                <w:sz w:val="21"/>
                <w:szCs w:val="21"/>
                <w:highlight w:val="none"/>
                <w:lang w:eastAsia="zh-CN"/>
              </w:rPr>
              <w:t>。</w:t>
            </w:r>
          </w:p>
          <w:p w14:paraId="15EA577A">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.支持点云生成等高线</w:t>
            </w:r>
            <w:r>
              <w:rPr>
                <w:rFonts w:hint="eastAsia" w:asciiTheme="minorEastAsia" w:hAnsiTheme="minorEastAsia" w:eastAsiaTheme="minorEastAsia" w:cstheme="minorEastAsia"/>
                <w:color w:val="auto"/>
                <w:sz w:val="21"/>
                <w:szCs w:val="21"/>
                <w:highlight w:val="none"/>
                <w:lang w:eastAsia="zh-CN"/>
              </w:rPr>
              <w:t>。</w:t>
            </w:r>
          </w:p>
          <w:p w14:paraId="4215BF4E">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37</w:t>
            </w:r>
            <w:r>
              <w:rPr>
                <w:rFonts w:hint="eastAsia" w:asciiTheme="minorEastAsia" w:hAnsiTheme="minorEastAsia" w:eastAsiaTheme="minorEastAsia" w:cstheme="minorEastAsia"/>
                <w:color w:val="auto"/>
                <w:sz w:val="21"/>
                <w:szCs w:val="21"/>
                <w:highlight w:val="none"/>
              </w:rPr>
              <w:t>.支持单点提取高程点</w:t>
            </w:r>
            <w:r>
              <w:rPr>
                <w:rFonts w:hint="eastAsia" w:asciiTheme="minorEastAsia" w:hAnsiTheme="minorEastAsia" w:eastAsiaTheme="minorEastAsia" w:cstheme="minorEastAsia"/>
                <w:color w:val="auto"/>
                <w:sz w:val="21"/>
                <w:szCs w:val="21"/>
                <w:highlight w:val="none"/>
                <w:lang w:eastAsia="zh-CN"/>
              </w:rPr>
              <w:t>。</w:t>
            </w:r>
          </w:p>
          <w:p w14:paraId="5BA1AABE">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38</w:t>
            </w:r>
            <w:r>
              <w:rPr>
                <w:rFonts w:hint="eastAsia" w:asciiTheme="minorEastAsia" w:hAnsiTheme="minorEastAsia" w:eastAsiaTheme="minorEastAsia" w:cstheme="minorEastAsia"/>
                <w:color w:val="auto"/>
                <w:sz w:val="21"/>
                <w:szCs w:val="21"/>
                <w:highlight w:val="none"/>
              </w:rPr>
              <w:t>.支持设置选择提取高点、低点、平均点</w:t>
            </w:r>
            <w:r>
              <w:rPr>
                <w:rFonts w:hint="eastAsia" w:asciiTheme="minorEastAsia" w:hAnsiTheme="minorEastAsia" w:eastAsiaTheme="minorEastAsia" w:cstheme="minorEastAsia"/>
                <w:color w:val="auto"/>
                <w:sz w:val="21"/>
                <w:szCs w:val="21"/>
                <w:highlight w:val="none"/>
                <w:lang w:eastAsia="zh-CN"/>
              </w:rPr>
              <w:t>。</w:t>
            </w:r>
          </w:p>
          <w:p w14:paraId="4B3051C9">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39</w:t>
            </w:r>
            <w:r>
              <w:rPr>
                <w:rFonts w:hint="eastAsia" w:asciiTheme="minorEastAsia" w:hAnsiTheme="minorEastAsia" w:eastAsiaTheme="minorEastAsia" w:cstheme="minorEastAsia"/>
                <w:color w:val="auto"/>
                <w:sz w:val="21"/>
                <w:szCs w:val="21"/>
                <w:highlight w:val="none"/>
              </w:rPr>
              <w:t>.支持通过点云生成DEM或DSM</w:t>
            </w:r>
            <w:r>
              <w:rPr>
                <w:rFonts w:hint="eastAsia" w:asciiTheme="minorEastAsia" w:hAnsiTheme="minorEastAsia" w:eastAsiaTheme="minorEastAsia" w:cstheme="minorEastAsia"/>
                <w:color w:val="auto"/>
                <w:sz w:val="21"/>
                <w:szCs w:val="21"/>
                <w:highlight w:val="none"/>
                <w:lang w:eastAsia="zh-CN"/>
              </w:rPr>
              <w:t>。</w:t>
            </w:r>
          </w:p>
          <w:p w14:paraId="34483E6F">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.支持叠加点云、全景影像进行点、线、面、注记、属性采集与编辑</w:t>
            </w:r>
            <w:r>
              <w:rPr>
                <w:rFonts w:hint="eastAsia" w:asciiTheme="minorEastAsia" w:hAnsiTheme="minorEastAsia" w:eastAsiaTheme="minorEastAsia" w:cstheme="minorEastAsia"/>
                <w:color w:val="auto"/>
                <w:sz w:val="21"/>
                <w:szCs w:val="21"/>
                <w:highlight w:val="none"/>
                <w:lang w:eastAsia="zh-CN"/>
              </w:rPr>
              <w:t>。</w:t>
            </w:r>
          </w:p>
          <w:p w14:paraId="61B03CAE">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color w:val="auto"/>
                <w:sz w:val="21"/>
                <w:szCs w:val="21"/>
                <w:highlight w:val="none"/>
              </w:rPr>
              <w:t>.支持点云、倾斜联合及联动测图。系统既可以进行纯点云测图，又可以与全景影像、倾斜模型等其他数据源进行多窗口联合测图</w:t>
            </w:r>
            <w:r>
              <w:rPr>
                <w:rFonts w:hint="eastAsia" w:asciiTheme="minorEastAsia" w:hAnsiTheme="minorEastAsia" w:eastAsiaTheme="minorEastAsia" w:cstheme="minorEastAsia"/>
                <w:color w:val="auto"/>
                <w:sz w:val="21"/>
                <w:szCs w:val="21"/>
                <w:highlight w:val="none"/>
                <w:lang w:eastAsia="zh-CN"/>
              </w:rPr>
              <w:t>。</w:t>
            </w:r>
          </w:p>
          <w:p w14:paraId="185EBD46">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color w:val="auto"/>
                <w:sz w:val="21"/>
                <w:szCs w:val="21"/>
                <w:highlight w:val="none"/>
              </w:rPr>
              <w:t>.参数化自动识别，如：车道线、路灯，牌类，停车位</w:t>
            </w:r>
            <w:r>
              <w:rPr>
                <w:rFonts w:hint="eastAsia" w:asciiTheme="minorEastAsia" w:hAnsiTheme="minorEastAsia" w:eastAsiaTheme="minorEastAsia" w:cstheme="minorEastAsia"/>
                <w:color w:val="auto"/>
                <w:sz w:val="21"/>
                <w:szCs w:val="21"/>
                <w:highlight w:val="none"/>
                <w:lang w:eastAsia="zh-CN"/>
              </w:rPr>
              <w:t>。</w:t>
            </w:r>
          </w:p>
          <w:p w14:paraId="6EFA7F6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.成果直接对接地形，不动产，立面，导航高精地图、土方等等专业应用解决方案。</w:t>
            </w:r>
          </w:p>
        </w:tc>
        <w:tc>
          <w:tcPr>
            <w:tcW w:w="922" w:type="dxa"/>
            <w:shd w:val="clear" w:color="auto" w:fill="auto"/>
            <w:vAlign w:val="center"/>
          </w:tcPr>
          <w:p w14:paraId="598313CA">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50节点</w:t>
            </w:r>
          </w:p>
        </w:tc>
      </w:tr>
      <w:tr w14:paraId="4A99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653" w:type="dxa"/>
            <w:vAlign w:val="center"/>
          </w:tcPr>
          <w:p w14:paraId="2712701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150" w:type="dxa"/>
            <w:vAlign w:val="center"/>
          </w:tcPr>
          <w:p w14:paraId="54998AFA">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地理信息高级版桌面软件</w:t>
            </w:r>
          </w:p>
        </w:tc>
        <w:tc>
          <w:tcPr>
            <w:tcW w:w="5207" w:type="dxa"/>
            <w:shd w:val="clear" w:color="auto" w:fill="auto"/>
            <w:vAlign w:val="center"/>
          </w:tcPr>
          <w:p w14:paraId="19DAFD6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支持Windows 64位操作系统环境，包括Windows 11、Windows 10、Windows Server 2022、Windows Server 2019、Windows Server 2016。</w:t>
            </w:r>
          </w:p>
          <w:p w14:paraId="3774668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支持Shapefile格式数据，无需格式转换，可直接进行编辑，比如新建、删除、修改矢量要素等操作。</w:t>
            </w:r>
          </w:p>
          <w:p w14:paraId="2CC8A04E">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支持多种类型的地理坐标系和投影坐标系，并支持自定义投影。支持定义投影和进行投影转换。支持动态投影，即不改变原始数据投影情况下，动态显示在其他投影坐标系下。</w:t>
            </w:r>
          </w:p>
          <w:p w14:paraId="799C026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支持基本的地图浏览、图层管理、空间和属性查询、统计图表和报表生成、地图符号化、地图整饰以及地图打印。</w:t>
            </w:r>
          </w:p>
          <w:p w14:paraId="7D81AC3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支持表达式方式组织要素属性内容对要素进行标注，支持使用Arcade、Python、VBScript 或 JScript四种脚本语言编辑标注表达式，实现复杂标注内容形式的表达。</w:t>
            </w:r>
          </w:p>
          <w:p w14:paraId="2F566FB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支持制图综合，提供简化线、简化面、简化共享边、平滑线、平滑面、平滑共享边等工具。</w:t>
            </w:r>
          </w:p>
          <w:p w14:paraId="0772F8F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提供3D临近性分析工具、3D相交工具、TIN数据集工具。</w:t>
            </w:r>
          </w:p>
          <w:p w14:paraId="17D19CD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提供可见性分析工具,</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如：视域分析、可见性分析、太阳阴影体、太阳阴影频率、天际线、通视分析等可见性分析操作。</w:t>
            </w:r>
          </w:p>
          <w:p w14:paraId="1C3E0A3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提供表面分析工具，支持对栅格要素计算坡度、坡向、曲率、山体阴影、等值线、等值线列表、含障碍的等值线等表面计算。</w:t>
            </w:r>
          </w:p>
          <w:p w14:paraId="0136156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支持三维差值分析，支持3D要素插值Shape、更新要素Z值。</w:t>
            </w:r>
          </w:p>
          <w:p w14:paraId="227E123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提供多种差值算法，例如IDW、克里金、自然邻域、样条、趋势面等。</w:t>
            </w:r>
          </w:p>
          <w:p w14:paraId="7DD1285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支持进行核密度分析、时空核密度分析、线密度分析、点密度分析等密度分析操作。</w:t>
            </w:r>
          </w:p>
          <w:p w14:paraId="60AE00F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要求支持I3S、3D Tiles、S3M之间的格式转换。</w:t>
            </w:r>
          </w:p>
          <w:p w14:paraId="3B8DFE0E">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14.支持全动态视频数据，支持视频与地图位置进行实时交互。</w:t>
            </w:r>
          </w:p>
          <w:p w14:paraId="2610256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提供OSGB处理工具，支持OSGB转换为SLPK。</w:t>
            </w:r>
          </w:p>
          <w:p w14:paraId="0826E366">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提供I3S数据处理与优化工具</w:t>
            </w:r>
            <w:r>
              <w:rPr>
                <w:rFonts w:hint="eastAsia" w:asciiTheme="minorEastAsia" w:hAnsiTheme="minorEastAsia" w:eastAsiaTheme="minorEastAsia" w:cstheme="minorEastAsia"/>
                <w:color w:val="auto"/>
                <w:sz w:val="21"/>
                <w:szCs w:val="21"/>
                <w:highlight w:val="none"/>
                <w:lang w:eastAsia="zh-CN"/>
              </w:rPr>
              <w:t>。</w:t>
            </w:r>
          </w:p>
          <w:p w14:paraId="5196D97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提供SLPK数据平移工具。</w:t>
            </w:r>
          </w:p>
          <w:p w14:paraId="4375A54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可对各种用于构建交通网模型的网络数据集进行维护。提供创建网络及网络数据集的工具。</w:t>
            </w:r>
          </w:p>
          <w:p w14:paraId="28C7B737">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19.提供深度学习完整的工作流，能够无需切换到第三方工作环境（如第三方的深度学习框架）中即可实现深度学习的全部流程。</w:t>
            </w:r>
          </w:p>
          <w:p w14:paraId="72345A4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支持最短路径分析。</w:t>
            </w:r>
          </w:p>
          <w:p w14:paraId="683A936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支持服务区分析。</w:t>
            </w:r>
          </w:p>
          <w:p w14:paraId="65382AC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支持最近设施分析。</w:t>
            </w:r>
          </w:p>
          <w:p w14:paraId="7E6A87A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提供多种可输出地统计图层结果的差值工具，如反距离权重、克里金差值等。</w:t>
            </w:r>
          </w:p>
          <w:p w14:paraId="27A099C0">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24.支持OGC 三维数据格式SLPK，提供场景图层升级工具。</w:t>
            </w:r>
          </w:p>
          <w:p w14:paraId="576E5F1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提供地统计图层转等值线工具。</w:t>
            </w:r>
          </w:p>
          <w:p w14:paraId="0BEDEBD6">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26.支持在模型构建器中使用地统计扩展模块工具。</w:t>
            </w:r>
          </w:p>
          <w:p w14:paraId="1F53D18E">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27.支持定向影像，支持通过无人机影像、近距离检查影像及移动设备拍摄的街道级影像创建定向影像数据集。</w:t>
            </w:r>
          </w:p>
          <w:p w14:paraId="37C9C2DB">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28.产品遵循无障碍设计原则，提供诸如主题皮肤切换、界面缩放等功能。</w:t>
            </w:r>
          </w:p>
        </w:tc>
        <w:tc>
          <w:tcPr>
            <w:tcW w:w="922" w:type="dxa"/>
            <w:shd w:val="clear" w:color="auto" w:fill="auto"/>
            <w:vAlign w:val="center"/>
          </w:tcPr>
          <w:p w14:paraId="0F22694F">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50节点</w:t>
            </w:r>
          </w:p>
        </w:tc>
      </w:tr>
      <w:tr w14:paraId="1A6E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6199D296">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150" w:type="dxa"/>
            <w:vAlign w:val="center"/>
          </w:tcPr>
          <w:p w14:paraId="5F83B9D8">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遥感影像处理软件</w:t>
            </w:r>
          </w:p>
        </w:tc>
        <w:tc>
          <w:tcPr>
            <w:tcW w:w="5207" w:type="dxa"/>
            <w:shd w:val="clear" w:color="auto" w:fill="auto"/>
            <w:vAlign w:val="center"/>
          </w:tcPr>
          <w:p w14:paraId="3374B21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要求支持跨平台，包括Window、Macintosh和Linux 。</w:t>
            </w:r>
          </w:p>
          <w:p w14:paraId="2F6BDCD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要求提供基本图像处理功能，包括图像运算和统计功能，包括主成分变换，独立成分分析，色度－饱和度－值变换，各种空间滤波等。</w:t>
            </w:r>
          </w:p>
          <w:p w14:paraId="2C2E905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要求原生支持国产资源一号02C、资源三号、高分一号数据处理，包括数据打开、图像融合、正射校正、图像定标。</w:t>
            </w:r>
          </w:p>
          <w:p w14:paraId="772D412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要求提供NNDiffuse图像融合方法，能高度保留色彩、纹理和光谱信息。提供高保真融合方法—Gram-Schmidt融合，保持融合前后影像波谱信息的一致性。</w:t>
            </w:r>
          </w:p>
          <w:p w14:paraId="6FD4C30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应提供图像镶嵌和裁剪功能，支持基于像素和基于地理坐标图像镶嵌功能，并提供效率较高的快速镶嵌功能；支持图像规则分幅裁剪和不规则裁剪，可以用矢量对图像进行裁剪。</w:t>
            </w:r>
          </w:p>
          <w:p w14:paraId="27741EE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要求提供植被指数分析工具，包括农作物胁迫分析(Agricultural Stress)，易燃性分布分析工具(Fire Fuel)、林木健康分析(Forest Health)和植被抑制工具(Vegetation Suppression)。</w:t>
            </w:r>
          </w:p>
          <w:p w14:paraId="71DBE15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要求提供灵活的数据打开管理和数据显示功能，能够打开大多数格式的数据，浏览有地理坐标和无坐标的图像，并提供大量交互式功能。</w:t>
            </w:r>
          </w:p>
          <w:p w14:paraId="486D3EB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要求提供矢量坐标转换功能。并且支持国内北京54、西安80和CGCS2000坐标系，支持自定义坐标系。</w:t>
            </w:r>
          </w:p>
          <w:p w14:paraId="7D250AA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要求提供光谱指数计算工具，能自动根据输入波段中心波长信息列出可计算的光谱指数，可计算指数是经过业内验证的指数模型，包含植被、地质、人工地物、燃烧和水体等多种指数。</w:t>
            </w:r>
          </w:p>
          <w:p w14:paraId="49307779">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10.要求提供基于参考影像自动采集控制点的RPC正射校正功能。</w:t>
            </w:r>
          </w:p>
          <w:p w14:paraId="79A8C9F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要求基于目前精度较高的大气辐射校正模型，专门对多光谱和高光谱数据进行大气校正。</w:t>
            </w:r>
          </w:p>
        </w:tc>
        <w:tc>
          <w:tcPr>
            <w:tcW w:w="922" w:type="dxa"/>
            <w:shd w:val="clear" w:color="auto" w:fill="auto"/>
            <w:vAlign w:val="center"/>
          </w:tcPr>
          <w:p w14:paraId="0FB215E4">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50节点</w:t>
            </w:r>
          </w:p>
        </w:tc>
      </w:tr>
      <w:tr w14:paraId="364F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653" w:type="dxa"/>
            <w:vAlign w:val="center"/>
          </w:tcPr>
          <w:p w14:paraId="3E40CF64">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150" w:type="dxa"/>
            <w:vAlign w:val="center"/>
          </w:tcPr>
          <w:p w14:paraId="777A0A4D">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数据采集软件</w:t>
            </w:r>
          </w:p>
        </w:tc>
        <w:tc>
          <w:tcPr>
            <w:tcW w:w="5207" w:type="dxa"/>
            <w:shd w:val="clear" w:color="auto" w:fill="auto"/>
            <w:vAlign w:val="center"/>
          </w:tcPr>
          <w:p w14:paraId="45A74CB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1.支持利用移动终端的网页界面实时查看采集作业时长、电池电量、存储容量、数据大小等。</w:t>
            </w:r>
          </w:p>
          <w:p w14:paraId="7E46A729">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2.支持利用移动终端的网页界面在获得卫星信号时实时查看作业时行进轨迹等。</w:t>
            </w:r>
          </w:p>
          <w:p w14:paraId="0967DDC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3.支持利用移动终端的网页界面进行数据拷贝及人机交互等。</w:t>
            </w:r>
          </w:p>
          <w:p w14:paraId="5969D0A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4.支持利用移动终端的网页界面设置RTK连接方式，包括千寻位置和省级CORS等。</w:t>
            </w:r>
          </w:p>
          <w:p w14:paraId="1C4DD74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5.支持利用移动终端的网页界面设置工程文件名称等。</w:t>
            </w:r>
          </w:p>
          <w:p w14:paraId="3892A63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6.支持利用移动终端的网页界面连接WIFI热点。</w:t>
            </w:r>
          </w:p>
          <w:p w14:paraId="21F6933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7.支持利用移动终端的网页界面设置RTK参数，包括地址、端口、账号、密码等。</w:t>
            </w:r>
          </w:p>
          <w:p w14:paraId="0668F2A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8.支持利用移动终端的网页界面选择CORS系统的接入点。</w:t>
            </w:r>
          </w:p>
          <w:p w14:paraId="12C3A9C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9.支持利用移动终端的网页界面开启或关闭全景相机或GNSS系统的数据采集。</w:t>
            </w:r>
          </w:p>
          <w:p w14:paraId="6EFF7C2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10.支持利用移动终端的网页界面控制设备进行系统自检。</w:t>
            </w:r>
          </w:p>
          <w:p w14:paraId="2FDBDA8E">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11.支持利用移动终端的网页界面控制设备开始或停止数据采集作业。</w:t>
            </w:r>
          </w:p>
          <w:p w14:paraId="0BE2012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12.支持利用移动终端的网页界面设置全景相机的拍摄时间间隔。</w:t>
            </w:r>
          </w:p>
          <w:p w14:paraId="3F885A9D">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13.支持利用移动终端的网页界面点按图标采集控制点。 </w:t>
            </w:r>
          </w:p>
        </w:tc>
        <w:tc>
          <w:tcPr>
            <w:tcW w:w="922" w:type="dxa"/>
            <w:shd w:val="clear" w:color="auto" w:fill="auto"/>
            <w:vAlign w:val="center"/>
          </w:tcPr>
          <w:p w14:paraId="62159262">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258D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53" w:type="dxa"/>
            <w:vAlign w:val="center"/>
          </w:tcPr>
          <w:p w14:paraId="2A9B1810">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1150" w:type="dxa"/>
            <w:vAlign w:val="center"/>
          </w:tcPr>
          <w:p w14:paraId="7EF8C393">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数据解算软件</w:t>
            </w:r>
          </w:p>
        </w:tc>
        <w:tc>
          <w:tcPr>
            <w:tcW w:w="5207" w:type="dxa"/>
            <w:shd w:val="clear" w:color="auto" w:fill="auto"/>
            <w:vAlign w:val="center"/>
          </w:tcPr>
          <w:p w14:paraId="392B81C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界面清晰明了：打开、创建、批量创建、批量处理、日志显示</w:t>
            </w:r>
          </w:p>
          <w:p w14:paraId="138424E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可以输出高斯泼溅数据</w:t>
            </w:r>
          </w:p>
          <w:p w14:paraId="775E0F9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处理高斯泼溅数据可以进行高亮优化设置</w:t>
            </w:r>
          </w:p>
          <w:p w14:paraId="0797DF9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可根据客户需求的数据成果，勾选“影像”，“着色点云”；</w:t>
            </w:r>
          </w:p>
          <w:p w14:paraId="1F8D2A1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用户改变某些设置参数后可以采用继续处理来减少数据处理时间；</w:t>
            </w:r>
          </w:p>
          <w:p w14:paraId="7A45CDC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处理模式：可选择常规模式、优化模式、车载模式；</w:t>
            </w:r>
          </w:p>
          <w:p w14:paraId="7FFEF0F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 xml:space="preserve">特征密度设定 </w:t>
            </w:r>
          </w:p>
          <w:p w14:paraId="295A54C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IMU置信度设定</w:t>
            </w:r>
          </w:p>
          <w:p w14:paraId="03F4051E">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精度报告书需提供不限于多视角精度热力图分析：精度热力图以颜色光谱的形式给出了点云成果中不同区域的绝对误差的精度水平。根据颜色刻度图示，可以对数据的精度进行综合评估</w:t>
            </w:r>
            <w:r>
              <w:rPr>
                <w:rFonts w:hint="eastAsia" w:asciiTheme="minorEastAsia" w:hAnsiTheme="minorEastAsia" w:eastAsiaTheme="minorEastAsia" w:cstheme="minorEastAsia"/>
                <w:color w:val="auto"/>
                <w:sz w:val="21"/>
                <w:szCs w:val="21"/>
                <w:highlight w:val="none"/>
                <w:lang w:eastAsia="zh-CN"/>
              </w:rPr>
              <w:t>。</w:t>
            </w:r>
          </w:p>
          <w:p w14:paraId="5F57786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精度报告书中需提供多传感器轨迹及分布分析：多传感器数据包括GNSS数据和手持采集的控制点数据，此两类数据绘制在俯视视角下的点云图中。</w:t>
            </w:r>
          </w:p>
          <w:p w14:paraId="0332023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 xml:space="preserve">示意图中手持采集的控制点GCP显示为红色圈，GNSS显示为黄色点。 </w:t>
            </w:r>
          </w:p>
          <w:p w14:paraId="09546A3A">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噪点滤除：支持自动删除移动的车辆、行人引起的噪点，电动车作业模式下支持自动删除电动车引起的噪点</w:t>
            </w:r>
            <w:r>
              <w:rPr>
                <w:rFonts w:hint="eastAsia" w:asciiTheme="minorEastAsia" w:hAnsiTheme="minorEastAsia" w:eastAsiaTheme="minorEastAsia" w:cstheme="minorEastAsia"/>
                <w:color w:val="auto"/>
                <w:sz w:val="21"/>
                <w:szCs w:val="21"/>
                <w:highlight w:val="none"/>
                <w:lang w:eastAsia="zh-CN"/>
              </w:rPr>
              <w:t>。</w:t>
            </w:r>
          </w:p>
          <w:p w14:paraId="3A338D9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处理范围：支持调整数据采集路线的终点，截断处理。</w:t>
            </w:r>
          </w:p>
          <w:p w14:paraId="09C40F3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点云模型：支持点云抽稀、设置滤波半径、设置点间隔、删除噪点等功能。</w:t>
            </w:r>
          </w:p>
          <w:p w14:paraId="00C88D8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高程拟合：支持依据经纬度进行高程拟合。</w:t>
            </w:r>
          </w:p>
          <w:p w14:paraId="2E076BA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地面控制点：支持导入控制点坐标进行坐标转换。</w:t>
            </w:r>
          </w:p>
          <w:p w14:paraId="3F50FB8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CORS坐标：支持选择CORS系统的坐标系、中央子午线、东向加常数、北向加常数、纬度原点、长度比进行坐标转换。</w:t>
            </w:r>
          </w:p>
          <w:p w14:paraId="28B5FE6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坐标转换：支持利用七参数将点云模型的坐标转换为北京1954、西安1980等坐标系统下的坐标，支持一键转换为CGCS2000、WGS84、本地坐标等绝对坐标系统下的点云数据。</w:t>
            </w:r>
          </w:p>
          <w:p w14:paraId="67D0A869">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数据处理：支持实时显示数据处理过程状态，包括以高程着色方式实时显示点云拼接过程，激光雷达扫描过程，行走路线过程，数据处理所用的时间；</w:t>
            </w:r>
          </w:p>
          <w:p w14:paraId="047C644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闭环设置：无法自动闭环条件下支持手动闭环进行数据解算；</w:t>
            </w:r>
          </w:p>
          <w:p w14:paraId="49ADE6AA">
            <w:pPr>
              <w:numPr>
                <w:ilvl w:val="0"/>
                <w:numId w:val="6"/>
              </w:num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参数设置：支持调整点云拼接的特征密度、特征质量等参数，支持弱纹理模式数据解算；</w:t>
            </w:r>
          </w:p>
          <w:p w14:paraId="10A6DA75">
            <w:pPr>
              <w:numPr>
                <w:ilvl w:val="0"/>
                <w:numId w:val="6"/>
              </w:num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精度报告：点云预处理后自动生成精度报告</w:t>
            </w:r>
            <w:r>
              <w:rPr>
                <w:rFonts w:hint="eastAsia" w:asciiTheme="minorEastAsia" w:hAnsiTheme="minorEastAsia" w:eastAsiaTheme="minorEastAsia" w:cstheme="minorEastAsia"/>
                <w:color w:val="auto"/>
                <w:sz w:val="21"/>
                <w:szCs w:val="21"/>
                <w:highlight w:val="none"/>
                <w:lang w:eastAsia="zh-CN"/>
              </w:rPr>
              <w:t>。</w:t>
            </w:r>
          </w:p>
          <w:p w14:paraId="2A1EAAE8">
            <w:pPr>
              <w:numPr>
                <w:ilvl w:val="0"/>
                <w:numId w:val="6"/>
              </w:numPr>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手动GCP功能：支持利用点云刺点的坐标进行坐标转换；</w:t>
            </w:r>
          </w:p>
          <w:p w14:paraId="657A7C7C">
            <w:pPr>
              <w:numPr>
                <w:ilvl w:val="0"/>
                <w:numId w:val="6"/>
              </w:numPr>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可生产</w:t>
            </w:r>
            <w:r>
              <w:rPr>
                <w:rFonts w:hint="eastAsia" w:asciiTheme="minorEastAsia" w:hAnsiTheme="minorEastAsia" w:eastAsiaTheme="minorEastAsia" w:cstheme="minorEastAsia"/>
                <w:color w:val="auto"/>
                <w:sz w:val="21"/>
                <w:szCs w:val="21"/>
                <w:highlight w:val="none"/>
              </w:rPr>
              <w:t>控制点规划工作建议书</w:t>
            </w:r>
            <w:r>
              <w:rPr>
                <w:rFonts w:hint="eastAsia" w:asciiTheme="minorEastAsia" w:hAnsiTheme="minorEastAsia" w:eastAsiaTheme="minorEastAsia" w:cstheme="minorEastAsia"/>
                <w:color w:val="auto"/>
                <w:sz w:val="21"/>
                <w:szCs w:val="21"/>
                <w:highlight w:val="none"/>
                <w:lang w:eastAsia="zh-CN"/>
              </w:rPr>
              <w:t>。</w:t>
            </w:r>
          </w:p>
          <w:p w14:paraId="32D868E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用户可以把项目参数设置保存成模板，在创建项目和批量创建项目时，加载该模板项目，可以自动将项目参数设置为该模板项目的参数，提高效率。</w:t>
            </w:r>
          </w:p>
          <w:p w14:paraId="507AEB6E">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rPr>
              <w:t>解算软件交付的许可必须是加密狗，且为永久许可，且不能绑定固定计算机。</w:t>
            </w:r>
          </w:p>
        </w:tc>
        <w:tc>
          <w:tcPr>
            <w:tcW w:w="922" w:type="dxa"/>
            <w:shd w:val="clear" w:color="auto" w:fill="auto"/>
            <w:vAlign w:val="center"/>
          </w:tcPr>
          <w:p w14:paraId="1E2090B9">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58C9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5B625EB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w:t>
            </w:r>
          </w:p>
        </w:tc>
        <w:tc>
          <w:tcPr>
            <w:tcW w:w="1150" w:type="dxa"/>
            <w:vAlign w:val="center"/>
          </w:tcPr>
          <w:p w14:paraId="3271FB8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数据浏览软件</w:t>
            </w:r>
          </w:p>
        </w:tc>
        <w:tc>
          <w:tcPr>
            <w:tcW w:w="5207" w:type="dxa"/>
            <w:shd w:val="clear" w:color="auto" w:fill="auto"/>
            <w:vAlign w:val="center"/>
          </w:tcPr>
          <w:p w14:paraId="45B0B15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具有打开高斯泼溅项目功能</w:t>
            </w:r>
          </w:p>
          <w:p w14:paraId="5F4AC19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具有打开点云项目功能</w:t>
            </w:r>
          </w:p>
          <w:p w14:paraId="04AFBF3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点云显示模式可选择：intensity（黑白强度点云）、colored intensity（彩色强度点云）、classification（分类点云）、rgba（真彩色点云）、elevation（高程点云）</w:t>
            </w:r>
          </w:p>
          <w:p w14:paraId="1692390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软件设有角度测量：可以测量出角度值；</w:t>
            </w:r>
          </w:p>
          <w:p w14:paraId="1C88E9B7">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软件设有点测量：单击鼠标左键，即可测量出点坐标</w:t>
            </w:r>
            <w:r>
              <w:rPr>
                <w:rFonts w:hint="eastAsia" w:asciiTheme="minorEastAsia" w:hAnsiTheme="minorEastAsia" w:eastAsiaTheme="minorEastAsia" w:cstheme="minorEastAsia"/>
                <w:color w:val="auto"/>
                <w:sz w:val="21"/>
                <w:szCs w:val="21"/>
                <w:highlight w:val="none"/>
                <w:lang w:eastAsia="zh-CN"/>
              </w:rPr>
              <w:t>。</w:t>
            </w:r>
          </w:p>
          <w:p w14:paraId="45CDD4B5">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6.支持点云测量。</w:t>
            </w:r>
          </w:p>
          <w:p w14:paraId="16CAC771">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软件设有距离量测：支持绘制多段线，单击鼠标右键即可结束量测</w:t>
            </w:r>
          </w:p>
          <w:p w14:paraId="735A0F3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软件设有高度量测：单击鼠标左键，选择两点，即可测量出高度值。</w:t>
            </w:r>
          </w:p>
          <w:p w14:paraId="59030A4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3DGS模式下，可使用键盘 WASD 键移动，鼠标左键双击跳转位移，左键长按转动切换视角</w:t>
            </w:r>
          </w:p>
          <w:p w14:paraId="18353FA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3DGS模式设置里功能包括“显示轨迹”，“显示点云”，“显示环境”。</w:t>
            </w:r>
          </w:p>
          <w:p w14:paraId="28B664C9">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3DGS模式下漫游功能可以根据采集轨迹进行漫游，根据设置速度浏览采集路线的高斯结果。</w:t>
            </w:r>
          </w:p>
          <w:p w14:paraId="2660BCC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高斯泼溅文件夹下 gaussian_splatting 文件夹，设有轨迹文件 camera_gs_trajectory.csv，环境高斯 environment.ogs，高斯本体文件 splat.ogs。</w:t>
            </w:r>
          </w:p>
        </w:tc>
        <w:tc>
          <w:tcPr>
            <w:tcW w:w="922" w:type="dxa"/>
            <w:shd w:val="clear" w:color="auto" w:fill="auto"/>
            <w:vAlign w:val="center"/>
          </w:tcPr>
          <w:p w14:paraId="32DBF10D">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7176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28AD11BB">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1150" w:type="dxa"/>
            <w:vAlign w:val="center"/>
          </w:tcPr>
          <w:p w14:paraId="7F242EB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建模软件</w:t>
            </w:r>
          </w:p>
        </w:tc>
        <w:tc>
          <w:tcPr>
            <w:tcW w:w="5207" w:type="dxa"/>
            <w:shd w:val="clear" w:color="auto" w:fill="auto"/>
            <w:vAlign w:val="center"/>
          </w:tcPr>
          <w:p w14:paraId="49B54EF0">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利用毫米级点云自动生成Mesh模型</w:t>
            </w:r>
            <w:r>
              <w:rPr>
                <w:rFonts w:hint="eastAsia" w:asciiTheme="minorEastAsia" w:hAnsiTheme="minorEastAsia" w:eastAsiaTheme="minorEastAsia" w:cstheme="minorEastAsia"/>
                <w:color w:val="auto"/>
                <w:sz w:val="21"/>
                <w:szCs w:val="21"/>
                <w:highlight w:val="none"/>
                <w:lang w:eastAsia="zh-CN"/>
              </w:rPr>
              <w:t>。</w:t>
            </w:r>
          </w:p>
          <w:p w14:paraId="0DD69DE0">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可生成obj/osgb等通用格式模型文件</w:t>
            </w:r>
            <w:r>
              <w:rPr>
                <w:rFonts w:hint="eastAsia" w:asciiTheme="minorEastAsia" w:hAnsiTheme="minorEastAsia" w:eastAsiaTheme="minorEastAsia" w:cstheme="minorEastAsia"/>
                <w:color w:val="auto"/>
                <w:sz w:val="21"/>
                <w:szCs w:val="21"/>
                <w:highlight w:val="none"/>
                <w:lang w:eastAsia="zh-CN"/>
              </w:rPr>
              <w:t>。</w:t>
            </w:r>
          </w:p>
          <w:p w14:paraId="760EF044">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支持导入第三方修模软件处理</w:t>
            </w:r>
            <w:r>
              <w:rPr>
                <w:rFonts w:hint="eastAsia" w:asciiTheme="minorEastAsia" w:hAnsiTheme="minorEastAsia" w:eastAsiaTheme="minorEastAsia" w:cstheme="minorEastAsia"/>
                <w:color w:val="auto"/>
                <w:sz w:val="21"/>
                <w:szCs w:val="21"/>
                <w:highlight w:val="none"/>
                <w:lang w:eastAsia="zh-CN"/>
              </w:rPr>
              <w:t>。</w:t>
            </w:r>
          </w:p>
          <w:p w14:paraId="2E1391D0">
            <w:pPr>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支持实时显示建模过程、显示整体建模进度</w:t>
            </w:r>
            <w:r>
              <w:rPr>
                <w:rFonts w:hint="eastAsia" w:asciiTheme="minorEastAsia" w:hAnsiTheme="minorEastAsia" w:eastAsiaTheme="minorEastAsia" w:cstheme="minorEastAsia"/>
                <w:color w:val="auto"/>
                <w:sz w:val="21"/>
                <w:szCs w:val="21"/>
                <w:highlight w:val="none"/>
                <w:lang w:eastAsia="zh-CN"/>
              </w:rPr>
              <w:t>。</w:t>
            </w:r>
          </w:p>
          <w:p w14:paraId="33C612A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文本驱动：自动输出 OBJ/GLB 网格，无需任何中间交互 。</w:t>
            </w:r>
          </w:p>
          <w:p w14:paraId="599B716A">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点云秒级重建：千万级 LAS/LAZ 导入后 1-3 min 完成水密 mesh 。</w:t>
            </w:r>
          </w:p>
          <w:p w14:paraId="6BCFD5A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面数可控：可在 UI 中直接设定三角面或四边面数量，软件自动简化或加密 。</w:t>
            </w:r>
          </w:p>
          <w:p w14:paraId="5BA6EB2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四边拓扑优先：自动生成流向对齐的四边网格，方便雕刻、绑定与细分 。</w:t>
            </w:r>
          </w:p>
          <w:p w14:paraId="307C1ED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奇点自动消除：场内奇点数量最小化，避免星点造成的贴图拉伸 。</w:t>
            </w:r>
          </w:p>
          <w:p w14:paraId="4A2F8D9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锐边/硬边保持：识别原模型折痕，重建后仍保留锋利轮廓 。</w:t>
            </w:r>
          </w:p>
          <w:p w14:paraId="0A5AE1C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边界精准贴合：输出网格边缘与输入轮廓误差&lt;1 pixel 。</w:t>
            </w:r>
          </w:p>
          <w:p w14:paraId="6C51CDF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12.</w:t>
            </w:r>
            <w:r>
              <w:rPr>
                <w:rFonts w:hint="eastAsia" w:asciiTheme="minorEastAsia" w:hAnsiTheme="minorEastAsia" w:eastAsiaTheme="minorEastAsia" w:cstheme="minorEastAsia"/>
                <w:color w:val="auto"/>
                <w:sz w:val="21"/>
                <w:szCs w:val="21"/>
                <w:highlight w:val="none"/>
              </w:rPr>
              <w:t>支持彩色纹理映射：同步生成漫反射贴图、法线贴图与金属度贴图 。</w:t>
            </w:r>
          </w:p>
          <w:p w14:paraId="5ECB863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13.</w:t>
            </w:r>
            <w:r>
              <w:rPr>
                <w:rFonts w:hint="eastAsia" w:asciiTheme="minorEastAsia" w:hAnsiTheme="minorEastAsia" w:eastAsiaTheme="minorEastAsia" w:cstheme="minorEastAsia"/>
                <w:color w:val="auto"/>
                <w:sz w:val="21"/>
                <w:szCs w:val="21"/>
                <w:highlight w:val="none"/>
              </w:rPr>
              <w:t>多分辨率 LOD：一次计算导出高/中/低三档 mesh。</w:t>
            </w:r>
          </w:p>
          <w:p w14:paraId="269DEE9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14.</w:t>
            </w:r>
            <w:r>
              <w:rPr>
                <w:rFonts w:hint="eastAsia" w:asciiTheme="minorEastAsia" w:hAnsiTheme="minorEastAsia" w:eastAsiaTheme="minorEastAsia" w:cstheme="minorEastAsia"/>
                <w:color w:val="auto"/>
                <w:sz w:val="21"/>
                <w:szCs w:val="21"/>
                <w:highlight w:val="none"/>
              </w:rPr>
              <w:t>孔洞自动修补：点云缺失区域智能插值，保证模型水密 。</w:t>
            </w:r>
          </w:p>
          <w:p w14:paraId="4DC62C5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大规模并行：采用滑窗注意力或 GPT 式序列生成，可一次性处理 1 km² 城市场景 。</w:t>
            </w:r>
          </w:p>
          <w:p w14:paraId="19541BC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创成式细节：在点云稀疏区可“脑补”合理几何，提高视觉保真 。</w:t>
            </w:r>
          </w:p>
          <w:p w14:paraId="1EA31D2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17.</w:t>
            </w:r>
            <w:r>
              <w:rPr>
                <w:rFonts w:hint="eastAsia" w:asciiTheme="minorEastAsia" w:hAnsiTheme="minorEastAsia" w:eastAsiaTheme="minorEastAsia" w:cstheme="minorEastAsia"/>
                <w:color w:val="auto"/>
                <w:sz w:val="21"/>
                <w:szCs w:val="21"/>
                <w:highlight w:val="none"/>
              </w:rPr>
              <w:t>场对齐算法：方向场+位置场双场优化，网格流向与模型特征一致 。</w:t>
            </w:r>
          </w:p>
          <w:p w14:paraId="6CAC045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实时预览：Gradio/WebGL 窗口内边算边看，参数改动即时刷新 。</w:t>
            </w:r>
          </w:p>
          <w:p w14:paraId="7F46669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19.</w:t>
            </w:r>
            <w:r>
              <w:rPr>
                <w:rFonts w:hint="eastAsia" w:asciiTheme="minorEastAsia" w:hAnsiTheme="minorEastAsia" w:eastAsiaTheme="minorEastAsia" w:cstheme="minorEastAsia"/>
                <w:color w:val="auto"/>
                <w:sz w:val="21"/>
                <w:szCs w:val="21"/>
                <w:highlight w:val="none"/>
              </w:rPr>
              <w:t>多源输入：兼容激光点云、无人机影像、单张 RGB、语义分割图等 。</w:t>
            </w:r>
          </w:p>
          <w:p w14:paraId="67813A5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脚本批处理：提供 Python / CLI 接口，无人值守一夜跑完整个项目 。</w:t>
            </w:r>
          </w:p>
          <w:p w14:paraId="2CBA607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21.</w:t>
            </w:r>
            <w:r>
              <w:rPr>
                <w:rFonts w:hint="eastAsia" w:asciiTheme="minorEastAsia" w:hAnsiTheme="minorEastAsia" w:eastAsiaTheme="minorEastAsia" w:cstheme="minorEastAsia"/>
                <w:color w:val="auto"/>
                <w:sz w:val="21"/>
                <w:szCs w:val="21"/>
                <w:highlight w:val="none"/>
              </w:rPr>
              <w:t>本地轻量化：安装包&lt;200 MB，普通笔记本 GPU 即可推理 。</w:t>
            </w:r>
          </w:p>
          <w:p w14:paraId="3BA8343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22.</w:t>
            </w:r>
            <w:r>
              <w:rPr>
                <w:rFonts w:hint="eastAsia" w:asciiTheme="minorEastAsia" w:hAnsiTheme="minorEastAsia" w:eastAsiaTheme="minorEastAsia" w:cstheme="minorEastAsia"/>
                <w:color w:val="auto"/>
                <w:sz w:val="21"/>
                <w:szCs w:val="21"/>
                <w:highlight w:val="none"/>
              </w:rPr>
              <w:t>在线云部署：上传数据后 SaaS 返回 3DTiles / glb 链接，无需本地算力 。</w:t>
            </w:r>
          </w:p>
          <w:p w14:paraId="5EE2147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23.</w:t>
            </w:r>
            <w:r>
              <w:rPr>
                <w:rFonts w:hint="eastAsia" w:asciiTheme="minorEastAsia" w:hAnsiTheme="minorEastAsia" w:eastAsiaTheme="minorEastAsia" w:cstheme="minorEastAsia"/>
                <w:color w:val="auto"/>
                <w:sz w:val="21"/>
                <w:szCs w:val="21"/>
                <w:highlight w:val="none"/>
              </w:rPr>
              <w:t>可编辑性输出：生成网格保留边缘环流，方便导入 Maya/Blender 继续造型 。</w:t>
            </w:r>
          </w:p>
          <w:p w14:paraId="7C5BF3B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持续学习升级：基于 ShapeNet/Objaverse 持续预训练，新类别模型即插即用</w:t>
            </w:r>
            <w:r>
              <w:rPr>
                <w:rFonts w:hint="eastAsia" w:asciiTheme="minorEastAsia" w:hAnsiTheme="minorEastAsia" w:eastAsiaTheme="minorEastAsia" w:cstheme="minorEastAsia"/>
                <w:color w:val="auto"/>
                <w:sz w:val="21"/>
                <w:szCs w:val="21"/>
                <w:highlight w:val="none"/>
                <w:lang w:eastAsia="zh-CN"/>
              </w:rPr>
              <w:t>。</w:t>
            </w:r>
          </w:p>
        </w:tc>
        <w:tc>
          <w:tcPr>
            <w:tcW w:w="922" w:type="dxa"/>
            <w:shd w:val="clear" w:color="auto" w:fill="auto"/>
            <w:vAlign w:val="center"/>
          </w:tcPr>
          <w:p w14:paraId="0112725F">
            <w:pPr>
              <w:spacing w:line="240" w:lineRule="auto"/>
              <w:jc w:val="center"/>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1套</w:t>
            </w:r>
          </w:p>
        </w:tc>
      </w:tr>
      <w:tr w14:paraId="3378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0E134EA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w:t>
            </w:r>
          </w:p>
        </w:tc>
        <w:tc>
          <w:tcPr>
            <w:tcW w:w="1150" w:type="dxa"/>
            <w:shd w:val="clear" w:color="auto" w:fill="auto"/>
            <w:vAlign w:val="top"/>
          </w:tcPr>
          <w:p w14:paraId="6EE3CDFD">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电子水准仪</w:t>
            </w:r>
          </w:p>
        </w:tc>
        <w:tc>
          <w:tcPr>
            <w:tcW w:w="5207" w:type="dxa"/>
            <w:shd w:val="clear" w:color="auto" w:fill="auto"/>
            <w:vAlign w:val="center"/>
          </w:tcPr>
          <w:p w14:paraId="763AF00B">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1、高程测量精度：±0.7mm（每公里往返闭合差）</w:t>
            </w:r>
          </w:p>
          <w:p w14:paraId="64B8E65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2、距离测量精度：D≤10m:10mm;D&gt;10m:D*0.001</w:t>
            </w:r>
          </w:p>
          <w:p w14:paraId="4500F17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3、测程：1.8m∽105m</w:t>
            </w:r>
          </w:p>
          <w:p w14:paraId="7F0AB1C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4、高差最小显示：0.01mm</w:t>
            </w:r>
          </w:p>
          <w:p w14:paraId="40142B5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5、距离最小显示：0.1cm</w:t>
            </w:r>
          </w:p>
          <w:p w14:paraId="5197649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6、望远镜放大倍率：32倍</w:t>
            </w:r>
          </w:p>
          <w:p w14:paraId="15CDE56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7、分辨率：3″</w:t>
            </w:r>
          </w:p>
          <w:p w14:paraId="1F99B08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8、视场角：1°30′</w:t>
            </w:r>
          </w:p>
          <w:p w14:paraId="1F512D3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9、补偿器补偿范围：＞±12′，补偿精度：0.30″/1′</w:t>
            </w:r>
          </w:p>
          <w:p w14:paraId="18A2174F">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10、屏幕：带白色照明160×64</w:t>
            </w:r>
          </w:p>
          <w:p w14:paraId="23A5EE71">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11、观测尺：2米/3米玻璃钢条码尺</w:t>
            </w:r>
          </w:p>
          <w:p w14:paraId="0AE376C1">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12、存储器:16M内存</w:t>
            </w:r>
          </w:p>
          <w:p w14:paraId="43387E41">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13、外部存储器：Micro SD卡</w:t>
            </w:r>
          </w:p>
          <w:p w14:paraId="2379FC5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14、通讯接口：miniUSB</w:t>
            </w:r>
          </w:p>
          <w:p w14:paraId="6145595B">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15、标准测量模式：标准测量、高程放样、高差放样、视距放样</w:t>
            </w:r>
          </w:p>
          <w:p w14:paraId="131DB8BB">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16、线路测量程序：二等、三四等水准测量线路程序</w:t>
            </w:r>
          </w:p>
          <w:p w14:paraId="33126C3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17、自定义限差输入项</w:t>
            </w:r>
          </w:p>
          <w:p w14:paraId="0ADCAB0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18、数据输出表格格式与外业手簿一样</w:t>
            </w:r>
          </w:p>
          <w:p w14:paraId="7F2FFEB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图形化平差及数据处理系统软件：支持直接读取徕卡、南方、拓普康、天宝等电子水准仪原始数据，把各种电子水准仪的原始水准线路记录格式转换为国家规范要求的等级水准线路记录格式，并完成计算和统计工作，直接进行平差并生成报表，也对各种类型水准网进行平差。数据后处理软件可以形成原始记录表，沉降报表及变化曲线图。(收费软件、提供软件著作权证书)</w:t>
            </w:r>
          </w:p>
          <w:p w14:paraId="6B5535BF">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20、具备虚拟仿真模拟器、提供全方位多角度的真实体验，新时代课程教学一大利器（收费）</w:t>
            </w:r>
          </w:p>
        </w:tc>
        <w:tc>
          <w:tcPr>
            <w:tcW w:w="922" w:type="dxa"/>
            <w:shd w:val="clear" w:color="auto" w:fill="auto"/>
            <w:vAlign w:val="center"/>
          </w:tcPr>
          <w:p w14:paraId="781EFFD9">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20</w:t>
            </w:r>
          </w:p>
        </w:tc>
      </w:tr>
      <w:tr w14:paraId="52FB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32FD618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w:t>
            </w:r>
          </w:p>
        </w:tc>
        <w:tc>
          <w:tcPr>
            <w:tcW w:w="1150" w:type="dxa"/>
            <w:shd w:val="clear" w:color="auto" w:fill="auto"/>
            <w:vAlign w:val="top"/>
          </w:tcPr>
          <w:p w14:paraId="62B9CF40">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智能全站</w:t>
            </w:r>
            <w:r>
              <w:rPr>
                <w:rFonts w:hint="eastAsia" w:asciiTheme="minorEastAsia" w:hAnsiTheme="minorEastAsia" w:eastAsiaTheme="minorEastAsia" w:cstheme="minorEastAsia"/>
                <w:bCs/>
                <w:color w:val="auto"/>
                <w:sz w:val="21"/>
                <w:szCs w:val="21"/>
                <w:highlight w:val="none"/>
                <w:lang w:val="en-US" w:eastAsia="zh-CN"/>
              </w:rPr>
              <w:t>仪</w:t>
            </w:r>
          </w:p>
        </w:tc>
        <w:tc>
          <w:tcPr>
            <w:tcW w:w="5207" w:type="dxa"/>
            <w:shd w:val="clear" w:color="auto" w:fill="auto"/>
            <w:vAlign w:val="center"/>
          </w:tcPr>
          <w:p w14:paraId="297558FE">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1、测角精度：±2″。</w:t>
            </w:r>
          </w:p>
          <w:p w14:paraId="0ECA7D1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2、测角最小读数：0.1″ /1″ /5″ （可选）。</w:t>
            </w:r>
          </w:p>
          <w:p w14:paraId="16B231E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3、测角方式：绝对编码。</w:t>
            </w:r>
          </w:p>
          <w:p w14:paraId="7A0FB16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4、探测方式：水平盘：对径   垂直盘：对径。</w:t>
            </w:r>
          </w:p>
          <w:p w14:paraId="5E1E6AEF">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5、测距最小显示：0.1mm / 1mm（可选）。</w:t>
            </w:r>
          </w:p>
          <w:p w14:paraId="0A7EA2E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6、测距精度：有棱镜±(2mm + 2 x 10^-6 · D)，无合作±(3mm + 2 x 10^-6 · D)。</w:t>
            </w:r>
          </w:p>
          <w:p w14:paraId="4F55706E">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7、免棱镜测程（柯达灰90%反射率）：1000m。</w:t>
            </w:r>
          </w:p>
          <w:p w14:paraId="2F970E4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8、气象修正：温度气压值自动改正。</w:t>
            </w:r>
          </w:p>
          <w:p w14:paraId="7BD0EF7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9、补偿系统：双轴液体光电式电子补偿器（补偿范围：±4′，分辨率：1″），可电子校正。</w:t>
            </w:r>
          </w:p>
          <w:p w14:paraId="7BE537EC">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10、按键：单面17键×2。</w:t>
            </w:r>
          </w:p>
          <w:p w14:paraId="46D7625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11、电子气泡：图形显示，能够显示电子气泡和X-Y轴补偿值。</w:t>
            </w:r>
          </w:p>
          <w:p w14:paraId="5A8CAF9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12、屏幕类型：TFT液晶屏，分辨率：720*1280，屏幕尺寸：5.5英寸×2。</w:t>
            </w:r>
          </w:p>
          <w:p w14:paraId="355E4D8D">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13、操作系统：Android 11系统，处理器：MT6762</w:t>
            </w:r>
          </w:p>
          <w:p w14:paraId="689680A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14、内存：运行内存（RAM）4GB，机身内存（ROM）64GB。</w:t>
            </w:r>
          </w:p>
          <w:p w14:paraId="4741F29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15、网络：4G全网通，可用作电话短信通讯等手机功能；WLAN：2.4G WiFi。</w:t>
            </w:r>
          </w:p>
          <w:p w14:paraId="11E7184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16、内置蓝牙，支持蓝牙传数据，可通过手机客户端与全站仪进行数据交互，实时通讯。</w:t>
            </w:r>
          </w:p>
          <w:p w14:paraId="57B5D05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17、投屏显示：仪器能够与电脑连接做到界面同步操作。</w:t>
            </w:r>
          </w:p>
          <w:p w14:paraId="08DB481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18、数据通讯接口：支持SD卡、U盘、USB Type-C接口。</w:t>
            </w:r>
          </w:p>
          <w:p w14:paraId="6D94726F">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测绘之星软件（标配软件）：</w:t>
            </w:r>
          </w:p>
          <w:p w14:paraId="1A1ED3BE">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1、导线平差：具备导线测量及导线平差功能，能实现各等级导线观测记录及精度判断，可以导出原始测量表数据或平差结果数据。</w:t>
            </w:r>
          </w:p>
          <w:p w14:paraId="27717BCB">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2、数据导入导出：可导入*.txt/*.dat点数据格式文件。可导出原始数据、边角数据、坐标数据（导出格式为*.txt/*.dxf/*.dat/*.csv）。</w:t>
            </w:r>
          </w:p>
          <w:p w14:paraId="43B3DD3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3、具备参考线和参考弧放样功能。并具有放样罗盘指针显示，并显示放样偏差值。</w:t>
            </w:r>
          </w:p>
          <w:p w14:paraId="3639C9C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支持*.dwg/*.dxf格式数据导入，实现CAD放样功能。CAD放样能够在图上选中独立点及线上点直接放样，支持背景色调整、炸开实体、线地物逐桩放样、间隔放样、偏距放样等。且可将图上的放样点坐标值提取到测绘之星数据库中。</w:t>
            </w:r>
          </w:p>
          <w:p w14:paraId="7B8BABA5">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5、具备道路设计和放样功能，支持导入工程之星道路格式文件以及*.xlsx格式道路文件。</w:t>
            </w:r>
          </w:p>
          <w:p w14:paraId="663A113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6、具备实体按键，按键可自定义快捷功能。</w:t>
            </w:r>
          </w:p>
          <w:p w14:paraId="3C517BF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7、第三方软件：可支持安装第三方测量软件，例如MSMT，管网之星等第三方软件。</w:t>
            </w:r>
          </w:p>
          <w:p w14:paraId="1070BCE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8、建站方式：支持任意建站和免控建站。</w:t>
            </w:r>
          </w:p>
          <w:p w14:paraId="7973BB5D">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9、测量：多种测量方法，包括：平面偏心、距离偏心、圆柱中心点、对边测量、线和延长点、线和角点测量、悬高测量。</w:t>
            </w:r>
          </w:p>
          <w:p w14:paraId="34A47DC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10、可在线加载二维地图、导入*.map/*.mbtiles两种离线底图或*.kml/*.kmz/*.shp/*.dwg/*.tif/*.tiff/*.dxf多种格式图形数据文件，可在地图中显示测量点和测站点。</w:t>
            </w:r>
          </w:p>
          <w:p w14:paraId="1254D6E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11、内置计算器：坐标正反算、面积周长计算、夹角换算、求平均值、计算等距点、三角形计算等计算器功能。</w:t>
            </w:r>
          </w:p>
          <w:p w14:paraId="731EFC5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12、可提供二次开发接口，定制程序功能。</w:t>
            </w:r>
          </w:p>
          <w:p w14:paraId="4CD3FD5D">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13、软件在线更新：联网自动提醒软件更新，一键更新并保留原有的工程文件。</w:t>
            </w:r>
          </w:p>
        </w:tc>
        <w:tc>
          <w:tcPr>
            <w:tcW w:w="922" w:type="dxa"/>
            <w:shd w:val="clear" w:color="auto" w:fill="auto"/>
            <w:vAlign w:val="center"/>
          </w:tcPr>
          <w:p w14:paraId="3F3BE311">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8</w:t>
            </w:r>
          </w:p>
        </w:tc>
      </w:tr>
      <w:tr w14:paraId="333A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52F26175">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w:t>
            </w:r>
          </w:p>
        </w:tc>
        <w:tc>
          <w:tcPr>
            <w:tcW w:w="1150" w:type="dxa"/>
            <w:shd w:val="clear" w:color="auto" w:fill="auto"/>
            <w:vAlign w:val="top"/>
          </w:tcPr>
          <w:p w14:paraId="5B970B47">
            <w:pPr>
              <w:spacing w:line="240" w:lineRule="auto"/>
              <w:jc w:val="left"/>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影像RTK</w:t>
            </w:r>
          </w:p>
          <w:p w14:paraId="5F2FAFD3">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p>
        </w:tc>
        <w:tc>
          <w:tcPr>
            <w:tcW w:w="5207" w:type="dxa"/>
            <w:shd w:val="clear" w:color="auto" w:fill="auto"/>
            <w:vAlign w:val="center"/>
          </w:tcPr>
          <w:p w14:paraId="24169024">
            <w:pPr>
              <w:spacing w:line="240" w:lineRule="auto"/>
              <w:jc w:val="both"/>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A主机部分：</w:t>
            </w:r>
          </w:p>
          <w:p w14:paraId="7A4D8DC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1、仅支持纯北斗卫星信号接收与解算；接收解算频点：B1I、B2I、B3I、B1C、B2a、B2b，且有工信部出具的单北斗检测报告与单北斗终端检测认证，主板通道数：≥1598通道</w:t>
            </w:r>
          </w:p>
          <w:p w14:paraId="4878BE9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2、全星全频，瞬时搜星总数50+，支持5星21频信号解算；</w:t>
            </w:r>
          </w:p>
          <w:p w14:paraId="200586A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3、超级无感惯导：倾斜角度0°～60°，1.8米杆，晃动一下对中杆或者行径过程中自动完成校正，比传统测量效率提升30%；</w:t>
            </w:r>
          </w:p>
          <w:p w14:paraId="4B2C1ED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4、实景放样摄像头：视场角75度，RTK与影像结合，放样点在影像中实地标出，不用来回挪杆，一杆即放；</w:t>
            </w:r>
          </w:p>
          <w:p w14:paraId="308CC8B4">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5、影像测量和建模：</w:t>
            </w:r>
          </w:p>
          <w:p w14:paraId="681BA373">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（1）影像测量：主机侧面内置800万像素高清摄像头，通过近景摄影测量技术，完成对拍摄相片的解算，获得目标点坐标，典型作业场景，拍摄距离2-15米，精度10cm以内；</w:t>
            </w:r>
          </w:p>
          <w:p w14:paraId="6A389EAE">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（2）影像建模：通过RTK主机对目标物体进行拍摄，所拍摄的照片可导入PC端软件（CC/Smart3D等）进行三维建模。</w:t>
            </w:r>
          </w:p>
          <w:p w14:paraId="775B678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6、双指示灯</w:t>
            </w:r>
          </w:p>
          <w:p w14:paraId="2C4B9703">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一个开关机键及差分信号指示灯和电源指示灯</w:t>
            </w:r>
          </w:p>
          <w:p w14:paraId="5045D8FB">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7、内置接收电台：</w:t>
            </w:r>
          </w:p>
          <w:p w14:paraId="61C0EE91">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强大Farlink接收电台，大数据量不卡顿，实现内置电台10KM远距离收发。</w:t>
            </w:r>
          </w:p>
          <w:p w14:paraId="0C61FA8B">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工作频率：410-470MHz；</w:t>
            </w:r>
          </w:p>
          <w:p w14:paraId="30BB17E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8、长续航：内置6800mah锂电池，移动站作业续航时间大于15小时，相比较传统RTK，续航提升30%，Type-C+PD 30W极速闪充，支持充电宝供电方案，满足更高强度作业需求（充电一小时、作业一整天）；</w:t>
            </w:r>
          </w:p>
          <w:p w14:paraId="4661F76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9、电量一键显示：无需开机，一键显示当前电量，方便提前做好施工安排；</w:t>
            </w:r>
          </w:p>
          <w:p w14:paraId="67B4281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10、基站智能锁定：移动站输入基站ID，可智能锁定基站，避免串频；</w:t>
            </w:r>
          </w:p>
          <w:p w14:paraId="6B2C2583">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11、内置16GB固态存储，支持内存扩展； 自动循环存储(存储空间不够时自动删除最早数据)； 丰富的采样间隔，最高支持20Hz的原始观测数据采集；</w:t>
            </w:r>
          </w:p>
          <w:p w14:paraId="6A13C308">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作业云协同：从内业到外业，数据文件云端共享；从终端软件到PC端处理软件，一键分享，无需数据导出，无需格式转换；一键导入道路直曲表，道路曲线图自动生成；Map导入道路数据直接生成道路横、纵断面，无需手动绘制断面图；</w:t>
            </w:r>
          </w:p>
          <w:p w14:paraId="45EFFD1D">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13、数据双备份：外业测量数据除了存储在手簿里面，同时也会存在主机里面，多重备份，有效避免数据丢失。</w:t>
            </w:r>
          </w:p>
          <w:p w14:paraId="426426F6">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14、支持WiFi数据链功能，接收机可接入WIFI，通过WIFI进行差分数据播发或接收；</w:t>
            </w:r>
          </w:p>
          <w:p w14:paraId="0577A0A9">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15、内置WebUI网络用户管理后台，支持WIFI和USB模式访问接收机内置Web管理页面，实时监控主机状态，自由配置主机；</w:t>
            </w:r>
          </w:p>
          <w:p w14:paraId="5D896AAB">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16、采用NFC无线通信技术，手簿与主机触碰即可实现蓝牙自动配对；</w:t>
            </w:r>
          </w:p>
          <w:p w14:paraId="625B37D4">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17、智能语音一键播报主机模式，智能提醒主机状态，配合按键使用，操作更简单。默认支持7门语言（中文、英语、韩语、俄语、葡萄牙语、西班牙语、土耳其语）。</w:t>
            </w:r>
          </w:p>
          <w:p w14:paraId="12E6053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18、北斗精度：支持北斗PPP功能，基于北斗三号GEO卫星播发的改正数， 采用精密单点定位技术，实现在无电台、网络信号下单机高精度作业           </w:t>
            </w:r>
          </w:p>
          <w:p w14:paraId="3D43A220">
            <w:pPr>
              <w:spacing w:line="240" w:lineRule="auto"/>
              <w:jc w:val="left"/>
              <w:rPr>
                <w:rFonts w:hint="eastAsia" w:asciiTheme="minorEastAsia" w:hAnsiTheme="minorEastAsia" w:eastAsiaTheme="minorEastAsia" w:cstheme="minorEastAsia"/>
                <w:bCs/>
                <w:color w:val="auto"/>
                <w:sz w:val="21"/>
                <w:szCs w:val="21"/>
                <w:highlight w:val="none"/>
              </w:rPr>
            </w:pPr>
            <w:bookmarkStart w:id="11" w:name="_GoBack"/>
            <w:bookmarkEnd w:id="11"/>
            <w:r>
              <w:rPr>
                <w:rFonts w:hint="eastAsia" w:asciiTheme="minorEastAsia" w:hAnsiTheme="minorEastAsia" w:eastAsiaTheme="minorEastAsia" w:cstheme="minorEastAsia"/>
                <w:b/>
                <w:bCs w:val="0"/>
                <w:color w:val="auto"/>
                <w:sz w:val="21"/>
                <w:szCs w:val="21"/>
                <w:highlight w:val="none"/>
              </w:rPr>
              <w:t>B、手簿控制器部分</w:t>
            </w:r>
            <w:r>
              <w:rPr>
                <w:rFonts w:hint="eastAsia" w:asciiTheme="minorEastAsia" w:hAnsiTheme="minorEastAsia" w:eastAsiaTheme="minorEastAsia" w:cstheme="minorEastAsia"/>
                <w:bCs/>
                <w:color w:val="auto"/>
                <w:sz w:val="21"/>
                <w:szCs w:val="21"/>
                <w:highlight w:val="none"/>
              </w:rPr>
              <w:t>：</w:t>
            </w:r>
          </w:p>
          <w:p w14:paraId="33F3AFC4">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操作系统        Android 12.0</w:t>
            </w:r>
          </w:p>
          <w:p w14:paraId="13022B5A">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CPU               MTK 8核处理器</w:t>
            </w:r>
          </w:p>
          <w:p w14:paraId="758BD75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存储               3GB+32GB</w:t>
            </w:r>
          </w:p>
          <w:p w14:paraId="5046D45F">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尺寸               228*81.8*15.7mm</w:t>
            </w:r>
          </w:p>
          <w:p w14:paraId="22404AF1">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重量               365g</w:t>
            </w:r>
          </w:p>
          <w:p w14:paraId="682CE813">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物理键盘          九宫格键盘设计，南方定制输入法</w:t>
            </w:r>
          </w:p>
          <w:p w14:paraId="4328E2DE">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显示屏尺寸         5.5英寸</w:t>
            </w:r>
          </w:p>
          <w:p w14:paraId="7086A85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显示屏分辨率      720*1440</w:t>
            </w:r>
          </w:p>
          <w:p w14:paraId="26931A6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显示屏触控类型    电容屏，多点触控，湿手触控，支持电容笔，支持戴手套触控</w:t>
            </w:r>
          </w:p>
          <w:p w14:paraId="52894C8A">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电池续航           内置7000mAh电池，常温25℃下可连续工作15小时</w:t>
            </w:r>
          </w:p>
          <w:p w14:paraId="00999A0D">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充电适配器        支持Type-C快充，充满电时间4小时</w:t>
            </w:r>
          </w:p>
          <w:p w14:paraId="199E02E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卡槽               SD卡座：最高256G；SIM卡座</w:t>
            </w:r>
          </w:p>
          <w:p w14:paraId="2250C3BE">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三防等级           IP68；抗1.5m跌落</w:t>
            </w:r>
          </w:p>
          <w:p w14:paraId="5C89A11F">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网络               4G全网通；GSM（B2/3/5/8）；CDMA (BC0)WCDMA（B1/2/5/8）；TD-SCDMA（B34/B39）；EVDO (BC0)；TDD-LTE（B38/B39/B40/B41）；FDD-LTE（B1/B2/B3/B4/B5/B7/B8/B12/B13/B17/B20/B25/B28）；内置ESIM卡，3年测绘流量</w:t>
            </w:r>
          </w:p>
          <w:p w14:paraId="6E0472B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蓝牙                BT5.0</w:t>
            </w:r>
          </w:p>
          <w:p w14:paraId="2E1513E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WIFI               支持双频2.4G/5G</w:t>
            </w:r>
          </w:p>
          <w:p w14:paraId="2BB135B3">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温度               工作温度：-20℃~+60℃</w:t>
            </w:r>
          </w:p>
          <w:p w14:paraId="08B965DB">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存储温度：-30℃~+70℃</w:t>
            </w:r>
          </w:p>
          <w:p w14:paraId="2F8DDFB3">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USB                Type-C接口，支持OTG</w:t>
            </w:r>
          </w:p>
          <w:p w14:paraId="2A7AE30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摄像头             后置1300万像素</w:t>
            </w:r>
          </w:p>
          <w:p w14:paraId="220EC941">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NFC                 支持</w:t>
            </w:r>
          </w:p>
          <w:p w14:paraId="4CDADE5F">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陀螺仪             支持</w:t>
            </w:r>
          </w:p>
          <w:p w14:paraId="531D2A1F">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地磁感应           支持</w:t>
            </w:r>
          </w:p>
          <w:p w14:paraId="1BAF8F04">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重力传感器         支持</w:t>
            </w:r>
          </w:p>
          <w:p w14:paraId="732F018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闪光灯             支持</w:t>
            </w:r>
          </w:p>
          <w:p w14:paraId="71576E5E">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MIC                支持</w:t>
            </w:r>
          </w:p>
          <w:p w14:paraId="464F415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喇叭               </w:t>
            </w:r>
            <w:r>
              <w:rPr>
                <w:rFonts w:hint="eastAsia" w:asciiTheme="minorEastAsia" w:hAnsiTheme="minorEastAsia" w:eastAsiaTheme="minorEastAsia" w:cstheme="minorEastAsia"/>
                <w:b/>
                <w:bCs w:val="0"/>
                <w:color w:val="auto"/>
                <w:sz w:val="21"/>
                <w:szCs w:val="21"/>
                <w:highlight w:val="none"/>
              </w:rPr>
              <w:t>支持C、手簿软件部分：</w:t>
            </w:r>
          </w:p>
          <w:p w14:paraId="7D00F2EC">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1、厂家应提供功能强大的手簿软件，一个软件内集成包含碎部采集、道路、电力等专业功能模块，可方便的进行使用；</w:t>
            </w:r>
          </w:p>
          <w:p w14:paraId="7C24EA6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2、RTK手簿软件支持DXF、SHP等矢量数据的导入，可直接作为底图使用；</w:t>
            </w:r>
          </w:p>
          <w:p w14:paraId="48707899">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3、放样时具有语音提示功能；</w:t>
            </w:r>
          </w:p>
          <w:p w14:paraId="5A9C4F8F">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4、在测量及放样界面可加载地图做为底图，并支持离线地图下载；</w:t>
            </w:r>
          </w:p>
          <w:p w14:paraId="12AD3F24">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5、可以将道路文件通过二维码方式分享；</w:t>
            </w:r>
          </w:p>
          <w:p w14:paraId="65DABAF7">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6、可将坐标系及转换参数保存为二维码，方便在不同作业小组间进行共享；</w:t>
            </w:r>
          </w:p>
          <w:p w14:paraId="4A831A16">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7、软件支持在测量过程中通过“文件管理”里面直接修改工程名称而不影响测量软件打开该工程；</w:t>
            </w:r>
          </w:p>
          <w:p w14:paraId="35641D72">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8、软件需自带有快速达到固定解的快捷设置；</w:t>
            </w:r>
          </w:p>
          <w:p w14:paraId="1359EB11">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9、软件在国外使用不需要单独注册解除电子围栏；</w:t>
            </w:r>
          </w:p>
        </w:tc>
        <w:tc>
          <w:tcPr>
            <w:tcW w:w="922" w:type="dxa"/>
            <w:shd w:val="clear" w:color="auto" w:fill="auto"/>
            <w:vAlign w:val="center"/>
          </w:tcPr>
          <w:p w14:paraId="3C1A8FF2">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8</w:t>
            </w:r>
          </w:p>
        </w:tc>
      </w:tr>
      <w:tr w14:paraId="00F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544F193E">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w:t>
            </w:r>
          </w:p>
        </w:tc>
        <w:tc>
          <w:tcPr>
            <w:tcW w:w="1150" w:type="dxa"/>
            <w:shd w:val="clear" w:color="auto" w:fill="auto"/>
            <w:vAlign w:val="top"/>
          </w:tcPr>
          <w:p w14:paraId="7CE468BA">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负压筛析仪</w:t>
            </w:r>
          </w:p>
        </w:tc>
        <w:tc>
          <w:tcPr>
            <w:tcW w:w="5207" w:type="dxa"/>
            <w:shd w:val="clear" w:color="auto" w:fill="auto"/>
            <w:vAlign w:val="center"/>
          </w:tcPr>
          <w:p w14:paraId="4D5181A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一、主要技术参数：</w:t>
            </w:r>
          </w:p>
          <w:p w14:paraId="2390D52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1、筛析测试细度：0.08mm、0.045mm。</w:t>
            </w:r>
          </w:p>
          <w:p w14:paraId="74DD294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2、工作负压：-4000Pa-6000Pa。</w:t>
            </w:r>
          </w:p>
          <w:p w14:paraId="0CD714A5">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3、喷咀转速：30±2rpm。</w:t>
            </w:r>
          </w:p>
          <w:p w14:paraId="55A0362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4、喷咀与筛网距离：2-8mm。</w:t>
            </w:r>
          </w:p>
          <w:p w14:paraId="7E1675B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5、水泥试验重量：25g（误差范围±2%）。</w:t>
            </w:r>
          </w:p>
          <w:p w14:paraId="54C990F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6、电压：220V。</w:t>
            </w:r>
          </w:p>
          <w:p w14:paraId="5A3C853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7、功率：约800W。</w:t>
            </w:r>
          </w:p>
          <w:p w14:paraId="20F240EC">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二、工作原理</w:t>
            </w:r>
          </w:p>
          <w:p w14:paraId="616CC90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水泥细度负压筛析仪利用气流作为筛分的动力介质工作时，整个系统保持负压状态，筛网里的待测精粉末物料在旋转的喷气嘴喷出的气流作用下呈流态状，并随气流一起运动，其中粒径小于筛网孔径的细颗粒由气流带动通过筛网被抽走，而粒径大于筛网孔的粗颗粒则留在筛网里从而达到筛分的目的。若筛分系统中联用一只小型旋风收尘筒，则可把通过筛网的细颗粒从气流中收集，收集率可达90℅以上，从而减少了吸尘器清灰次数。</w:t>
            </w:r>
          </w:p>
          <w:p w14:paraId="33BDF38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三、使用说明：</w:t>
            </w:r>
          </w:p>
          <w:p w14:paraId="5315498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1、将仪器安放在水平的地面上，打开后门检查所有零部件是否正常安装。</w:t>
            </w:r>
          </w:p>
          <w:p w14:paraId="481CEB5B">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2、称取水泥试料约25g，倒入试料筛内并盖上筛盖，然后启动仪器，待停机后取下试样筛，将筛余物件倒入天平称量，得出筛析结果。</w:t>
            </w:r>
          </w:p>
          <w:p w14:paraId="15A6D3E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3、操作时应调整工作负压在-4000~-6000Pa范围内。仪器在2min内自动停止。</w:t>
            </w:r>
          </w:p>
          <w:p w14:paraId="5AD3739D">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每次使用后，应用刷子将试验筛网两面轻轻刷清，并把筛网对着光线，检查筛孔后把试验筛保存在干燥容器或塑料袋内当试验筛堵塞时，可将其反置在筛座上，盖上筛盖反吸，再用刷子刷清，若筛网堵塞严重，可先将试验筛放在水中浸泡一段时间再刷洗。</w:t>
            </w:r>
          </w:p>
          <w:p w14:paraId="2A0BEEA4">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5、若发现收尘瓶内水泥细粉快满时，应将收尘瓶从旋风筒上拔下来倒净后再重新装上。</w:t>
            </w:r>
          </w:p>
        </w:tc>
        <w:tc>
          <w:tcPr>
            <w:tcW w:w="922" w:type="dxa"/>
            <w:shd w:val="clear" w:color="auto" w:fill="auto"/>
            <w:vAlign w:val="center"/>
          </w:tcPr>
          <w:p w14:paraId="0476A1EE">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4</w:t>
            </w:r>
          </w:p>
        </w:tc>
      </w:tr>
      <w:tr w14:paraId="32ED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5A4874D3">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w:t>
            </w:r>
          </w:p>
        </w:tc>
        <w:tc>
          <w:tcPr>
            <w:tcW w:w="1150" w:type="dxa"/>
            <w:shd w:val="clear" w:color="auto" w:fill="auto"/>
            <w:vAlign w:val="top"/>
          </w:tcPr>
          <w:p w14:paraId="1FCCB8BE">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渗水仪</w:t>
            </w:r>
          </w:p>
        </w:tc>
        <w:tc>
          <w:tcPr>
            <w:tcW w:w="5207" w:type="dxa"/>
            <w:shd w:val="clear" w:color="auto" w:fill="auto"/>
            <w:vAlign w:val="center"/>
          </w:tcPr>
          <w:p w14:paraId="6AB6F50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1、量筒：有机玻璃制成，装于仪器的上部，容积约为600ml，上面标有刻度，在100ml～500ml标线，分辨率约为2ml。</w:t>
            </w:r>
          </w:p>
          <w:p w14:paraId="418FAB5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2、上盘：有机玻璃管严密安装在上盘上。</w:t>
            </w:r>
          </w:p>
          <w:p w14:paraId="213652E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3、接头管：连接量筒与底座，中间装有不锈钢阀门，用于试验的开停。</w:t>
            </w:r>
          </w:p>
          <w:p w14:paraId="6208A4CD">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4、底座：：￠220mm，底座的下部有槽，安装随带的胶圈。</w:t>
            </w:r>
          </w:p>
          <w:p w14:paraId="14CFEBBE">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5、支架：由立柱组成，起连接上盘与底座的作用。</w:t>
            </w:r>
          </w:p>
          <w:p w14:paraId="698AA8E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6、压重块：共2块，2.5Kg/块（误差范围±2%）。</w:t>
            </w:r>
          </w:p>
          <w:p w14:paraId="2C502E5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7、配件：标记环。</w:t>
            </w:r>
          </w:p>
          <w:p w14:paraId="11301E6E">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8、符合JTG 3410-2025，该仪器适用于测定沥青混合料路面及碾压成型的沥青混合料试件的渗水系数。</w:t>
            </w:r>
          </w:p>
          <w:p w14:paraId="0BB50CA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9、大屏显示，触摸屏操作，人机交换界面。</w:t>
            </w:r>
          </w:p>
          <w:p w14:paraId="3D27BF49">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10、自动计算数据，配备打印功能。</w:t>
            </w:r>
          </w:p>
        </w:tc>
        <w:tc>
          <w:tcPr>
            <w:tcW w:w="922" w:type="dxa"/>
            <w:shd w:val="clear" w:color="auto" w:fill="auto"/>
            <w:vAlign w:val="center"/>
          </w:tcPr>
          <w:p w14:paraId="5D0ADAAD">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4</w:t>
            </w:r>
          </w:p>
        </w:tc>
      </w:tr>
      <w:tr w14:paraId="082D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749B3E37">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w:t>
            </w:r>
          </w:p>
        </w:tc>
        <w:tc>
          <w:tcPr>
            <w:tcW w:w="1150" w:type="dxa"/>
            <w:shd w:val="clear" w:color="auto" w:fill="auto"/>
            <w:vAlign w:val="top"/>
          </w:tcPr>
          <w:p w14:paraId="1EC5390E">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泥浆三件套</w:t>
            </w:r>
          </w:p>
        </w:tc>
        <w:tc>
          <w:tcPr>
            <w:tcW w:w="5207" w:type="dxa"/>
            <w:shd w:val="clear" w:color="auto" w:fill="auto"/>
            <w:vAlign w:val="center"/>
          </w:tcPr>
          <w:p w14:paraId="4DB2957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一、泥浆比重计：</w:t>
            </w:r>
          </w:p>
          <w:p w14:paraId="60AF3B5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1、用于井场或实验室内测量泥浆的重量，单位为g/cm3。</w:t>
            </w:r>
          </w:p>
          <w:p w14:paraId="5D9AE7BB">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2、主要技术特性：</w:t>
            </w:r>
          </w:p>
          <w:p w14:paraId="0F148C7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1）测量范围:0.96～3g/cm3。</w:t>
            </w:r>
          </w:p>
          <w:p w14:paraId="47E527BC">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2）测量精度:0.01g/cm3。</w:t>
            </w:r>
          </w:p>
          <w:p w14:paraId="770B802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3）泥浆杯容量:140cm3。</w:t>
            </w:r>
          </w:p>
          <w:p w14:paraId="69A7875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二、泥浆粘度计：</w:t>
            </w:r>
          </w:p>
          <w:p w14:paraId="4E39620C">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1、流出管约为孔径 5mm，长100 mm的铜管，清洁的水注入粘度计，流出500 ml所需的时间约为 15 秒，有隔层的量杯其一端的容量约为 500 立方厘米，另一端的容量约为 200 立方厘米 ，泥浆粘度计是一个漏斗状容器，末端为一个流出管，仪器装有手柄，泥浆粘度计手柄上有不少于二个钥匙孔，使挂在墙上钉子上时，仪器保持垂直，一只圆筒状隔成两部的量杯，正反两面都可以使用,一面的容量约为 500 毫升,另一面的容量约为 200 毫升,另外随仪器附有盛泥浆的筛网和圆筒，泥浆筒的容量约 1000 毫升,其直径与粘度计上口相同，所以筛可以复在两者之上，筛网为滤泥浆之用，筛孔约为每寸16 孔 。</w:t>
            </w:r>
          </w:p>
          <w:p w14:paraId="08CA2F5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2、泥浆含砂量计由一只装有200目筛网的滤筒和与滤筒直径相应的漏斗及一只具有0～100﹪刻度的玻璃测管组成。</w:t>
            </w:r>
          </w:p>
          <w:p w14:paraId="22EBCA3C">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三、泥浆含砂量计：</w:t>
            </w:r>
          </w:p>
          <w:p w14:paraId="465E5B9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1、把泥浆充至测管上标有“泥浆”字样的刻线处，加清水至标有“水”的刻线处，堵管口并摇振。</w:t>
            </w:r>
          </w:p>
          <w:p w14:paraId="005B18F1">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2、倾倒该混合物于滤筒中，丢弃通过滤筛的液态，再加清水于测管中，摇振后再倒入滤筒中，反复之，直至测管内清洁为止。</w:t>
            </w:r>
          </w:p>
          <w:p w14:paraId="7D2A61B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3、用清水冲洗筛网上所得的砂子，剔除残留泥浆。</w:t>
            </w:r>
          </w:p>
          <w:p w14:paraId="4C23085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4、把漏斗套进滤筒，然后慢慢翻转过来，并把漏斗嘴插入测管内，用清水把附在筛网上的砂子全部冲入管内。</w:t>
            </w:r>
          </w:p>
          <w:p w14:paraId="29AEF47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5、待砂子沉淀后，读出砂子的百分含量。</w:t>
            </w:r>
          </w:p>
          <w:p w14:paraId="7BFB0AEF">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6、将仪器清洗并擦干，收入箱。</w:t>
            </w:r>
          </w:p>
        </w:tc>
        <w:tc>
          <w:tcPr>
            <w:tcW w:w="922" w:type="dxa"/>
            <w:shd w:val="clear" w:color="auto" w:fill="auto"/>
            <w:vAlign w:val="center"/>
          </w:tcPr>
          <w:p w14:paraId="6CB9956B">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4</w:t>
            </w:r>
          </w:p>
        </w:tc>
      </w:tr>
      <w:tr w14:paraId="11DA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14C756BA">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1150" w:type="dxa"/>
            <w:shd w:val="clear" w:color="auto" w:fill="auto"/>
            <w:vAlign w:val="top"/>
          </w:tcPr>
          <w:p w14:paraId="08E25A7A">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摆式摩擦系数测定仪</w:t>
            </w:r>
          </w:p>
        </w:tc>
        <w:tc>
          <w:tcPr>
            <w:tcW w:w="5207" w:type="dxa"/>
            <w:shd w:val="clear" w:color="auto" w:fill="auto"/>
            <w:vAlign w:val="center"/>
          </w:tcPr>
          <w:p w14:paraId="3A78D60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1、底座：由T型腿，调平螺丝和水准泡组成，对仪器起调平支撑作用。</w:t>
            </w:r>
          </w:p>
          <w:p w14:paraId="61630211">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2、立柱：由立柱、升降机构，导向杆及仪器把手组成。用于升降和固定摆头的位置。</w:t>
            </w:r>
          </w:p>
          <w:p w14:paraId="43A4C7B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3、释放开关：安装于悬臂上的开关，用于保持摆杆水平位置和释放摆杆落下的作用。</w:t>
            </w:r>
          </w:p>
          <w:p w14:paraId="55FAB31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4、摆头：由紧固把手，摆轴，转向节，轴承等组成，起连接摆，固定位置，保证在摆动平面内自由摆动的作用。</w:t>
            </w:r>
          </w:p>
          <w:p w14:paraId="0AEF794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5、示数系统：由指针、毛毡圈、法兰、紧固螺母及度盘组成，指针可直接指示出磨擦系数值。</w:t>
            </w:r>
          </w:p>
          <w:p w14:paraId="4D30731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6、摆：由上、下部接头、摆杆、弹簧、杠杆、举升柄、外壳、滑溜块及橡胶片组成。它对摆动中心有规定力矩,对路面有规定压力，本身前与后，左与右的力矩平衡，它是度量路面的摩擦系数的尺度。</w:t>
            </w:r>
          </w:p>
          <w:p w14:paraId="7190B4D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7、摆式摩擦系数测定仪技术参数：</w:t>
            </w:r>
          </w:p>
          <w:p w14:paraId="3BDE6EA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1）摆动的力矩：615000g.mm。</w:t>
            </w:r>
          </w:p>
          <w:p w14:paraId="5FC3E64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2）其中摆重量：1500±30g。</w:t>
            </w:r>
          </w:p>
          <w:p w14:paraId="01B665F5">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3）摆重心矩： 410±5mm。</w:t>
            </w:r>
          </w:p>
          <w:p w14:paraId="490DDA45">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8、橡胶片对路面的正向静压力：≥2263g。</w:t>
            </w:r>
          </w:p>
          <w:p w14:paraId="1905C791">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9、摆头倾斜5°处自由放下到摆动停止的次数，不少于70次。</w:t>
            </w:r>
          </w:p>
          <w:p w14:paraId="7575D1D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10、橡胶片外边缘距摆动中心距离≤510mm。</w:t>
            </w:r>
          </w:p>
          <w:p w14:paraId="04D75F79">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11、仪器总重约14Kg左（误差范围±2%）。</w:t>
            </w:r>
          </w:p>
        </w:tc>
        <w:tc>
          <w:tcPr>
            <w:tcW w:w="922" w:type="dxa"/>
            <w:shd w:val="clear" w:color="auto" w:fill="auto"/>
            <w:vAlign w:val="center"/>
          </w:tcPr>
          <w:p w14:paraId="173A5EB0">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2</w:t>
            </w:r>
          </w:p>
        </w:tc>
      </w:tr>
      <w:tr w14:paraId="48B0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7CD66512">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21</w:t>
            </w:r>
          </w:p>
        </w:tc>
        <w:tc>
          <w:tcPr>
            <w:tcW w:w="1150" w:type="dxa"/>
            <w:shd w:val="clear" w:color="auto" w:fill="auto"/>
            <w:vAlign w:val="top"/>
          </w:tcPr>
          <w:p w14:paraId="63FE9551">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旋转薄膜烘箱</w:t>
            </w:r>
          </w:p>
        </w:tc>
        <w:tc>
          <w:tcPr>
            <w:tcW w:w="5207" w:type="dxa"/>
            <w:shd w:val="clear" w:color="auto" w:fill="auto"/>
            <w:vAlign w:val="center"/>
          </w:tcPr>
          <w:p w14:paraId="2112546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1、符合JTG3410-2025(T0610-2011)要求，用于测定沥青旋转薄膜加热前后的质量变化。</w:t>
            </w:r>
          </w:p>
          <w:p w14:paraId="1323BAB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2、满足163℃±0.5℃和175℃±0.5℃的试验温度，且试样装好后烘箱温度在10分钟内可恢复到目标温度。</w:t>
            </w:r>
          </w:p>
          <w:p w14:paraId="1D8399A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3、烘箱内置空气泵，供应试验所需空气，空气通过面板上流量计计量控制后，进入烘箱通风道内的铜管预热，然后由喷嘴喷入转盘上的试样瓶中，喷嘴孔径为1.0mm±0.1mm。</w:t>
            </w:r>
          </w:p>
          <w:p w14:paraId="290DFA2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4、风扇转速满足1725r/min±100r/min。</w:t>
            </w:r>
          </w:p>
          <w:p w14:paraId="053FB6DE">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5、配备冷却架(用于试样瓶置于空气中冷却用)。</w:t>
            </w:r>
          </w:p>
          <w:p w14:paraId="30DC80C4">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6、转盘转速(15±0.2)r/min。</w:t>
            </w:r>
          </w:p>
          <w:p w14:paraId="56651102">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7、带有计时装置，试验时间结束时带有蜂鸣器提醒功能，保证样品不过分老化。</w:t>
            </w:r>
          </w:p>
        </w:tc>
        <w:tc>
          <w:tcPr>
            <w:tcW w:w="922" w:type="dxa"/>
            <w:shd w:val="clear" w:color="auto" w:fill="auto"/>
            <w:vAlign w:val="center"/>
          </w:tcPr>
          <w:p w14:paraId="5529952E">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1</w:t>
            </w:r>
          </w:p>
        </w:tc>
      </w:tr>
      <w:tr w14:paraId="015D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3CB3507B">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22</w:t>
            </w:r>
          </w:p>
        </w:tc>
        <w:tc>
          <w:tcPr>
            <w:tcW w:w="1150" w:type="dxa"/>
            <w:shd w:val="clear" w:color="auto" w:fill="auto"/>
            <w:vAlign w:val="top"/>
          </w:tcPr>
          <w:p w14:paraId="76963E9B">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车辙试验仪</w:t>
            </w:r>
          </w:p>
        </w:tc>
        <w:tc>
          <w:tcPr>
            <w:tcW w:w="5207" w:type="dxa"/>
            <w:shd w:val="clear" w:color="auto" w:fill="auto"/>
            <w:vAlign w:val="center"/>
          </w:tcPr>
          <w:p w14:paraId="1E948B0A">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1、符合JTG 3410-2025 T0719-2025的标准。用于测定沥青混合料试件的动稳定度。</w:t>
            </w:r>
          </w:p>
          <w:p w14:paraId="30B48AF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2、三轮结构轮动方式，具有浸水与非浸水工作模式。</w:t>
            </w:r>
          </w:p>
          <w:p w14:paraId="746083E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3、具有自动检测技术，能够在轮压为(0.7±0.03)MPa，总载荷 780N±20N 下进行车辙试验。</w:t>
            </w:r>
          </w:p>
          <w:p w14:paraId="4013D4D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4、碾轮的橡胶硬度满足3410规范要求的80IRHD±5IRHD（23℃时），保障数据的稳定性。</w:t>
            </w:r>
          </w:p>
          <w:p w14:paraId="0324F1EF">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5、仪器配套传感器，采用不少于七点检测模式。</w:t>
            </w:r>
          </w:p>
          <w:p w14:paraId="030D43AF">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6、实现智能人机交互，配置安卓系统，配备手机端APP操控，实现系统远程升级、远程控制、实现数据实时上传。</w:t>
            </w:r>
          </w:p>
          <w:p w14:paraId="26FD2B1D">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7、测试过程自动控制，具备试验过程语音播报功能；标配打印机，测试结果自动打印。</w:t>
            </w:r>
          </w:p>
          <w:p w14:paraId="5BC8027F">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8、试验室采用外循环加热、顶部风机及散热孔空气交流工作方式，确保试验场温度均匀、稳定。</w:t>
            </w:r>
          </w:p>
          <w:p w14:paraId="6A8BA186">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9、采用气缸提升和下降碾压轮，碾压轮带有锁止功能，提升试样安装操作安全性。</w:t>
            </w:r>
          </w:p>
          <w:p w14:paraId="4A3FB590">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10、具有供电自保、故障自检、异常报警等功能，且处理和解决方案的屏显提示，便于后续维护。</w:t>
            </w:r>
          </w:p>
          <w:p w14:paraId="41990EF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11、载荷要求：780N±20N</w:t>
            </w:r>
          </w:p>
          <w:p w14:paraId="28C559C2">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12、位移的测量范围：(0～30)mm，位移的测量精度：±0.01mm。</w:t>
            </w:r>
          </w:p>
          <w:p w14:paraId="7CD85B4F">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13、行走次数：1890 次 (t₁) 和 2520 次 (t₂)。(符合3410标准)，结果表示：&gt; 18000次/mm。</w:t>
            </w:r>
          </w:p>
          <w:p w14:paraId="3A7ACEC5">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14、在试件中部及中部±7.5，±22.5，±37.5mm共不少于7个位置采集数据取算术平均值。</w:t>
            </w:r>
          </w:p>
        </w:tc>
        <w:tc>
          <w:tcPr>
            <w:tcW w:w="922" w:type="dxa"/>
            <w:shd w:val="clear" w:color="auto" w:fill="auto"/>
            <w:vAlign w:val="center"/>
          </w:tcPr>
          <w:p w14:paraId="3D650A36">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1</w:t>
            </w:r>
          </w:p>
        </w:tc>
      </w:tr>
      <w:tr w14:paraId="4D21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089B860A">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150" w:type="dxa"/>
            <w:shd w:val="clear" w:color="auto" w:fill="auto"/>
            <w:vAlign w:val="top"/>
          </w:tcPr>
          <w:p w14:paraId="7425FB22">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车辙试样成型机</w:t>
            </w:r>
          </w:p>
        </w:tc>
        <w:tc>
          <w:tcPr>
            <w:tcW w:w="5207" w:type="dxa"/>
            <w:shd w:val="clear" w:color="auto" w:fill="auto"/>
            <w:vAlign w:val="center"/>
          </w:tcPr>
          <w:p w14:paraId="550892C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1、符合JTG 3410-2025标准，它集机械、电气、气动为一体，和同类产品相比具有体积小、自动化程度高、功能强、操作方便等特点，在国内处于领先水平。</w:t>
            </w:r>
          </w:p>
          <w:p w14:paraId="6D241FE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2、主要用于车辙试验时对沥青混合料试验做碾压成型，也适用于沥青混合料其他物理、力学性能试验的碾轮法试样制作。本机及试验法完全符合2025新标准的要求。</w:t>
            </w:r>
          </w:p>
          <w:p w14:paraId="507E98F8">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3、实时显示碾轮温度、碾轮压力、碾压次数等各项 参数。PWM调制方式，碾轮温度任意设定。          </w:t>
            </w:r>
          </w:p>
          <w:p w14:paraId="46611F99">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4、有自诊断功能，设备有故障时自动停机，自动判断各项故障，自动显示故障码。</w:t>
            </w:r>
          </w:p>
          <w:p w14:paraId="76047B07">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5、气压控制技术，碾轮压力在范围内可任意设定和调整。试模的高度可在范围内任意设定和调整。具有压力校准功能，用户可在仪器上自行校准碾轮的压力。</w:t>
            </w:r>
          </w:p>
          <w:p w14:paraId="7005588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6、仪器的操作、数据的显示、参数的输入等均能触摸屏上完成。</w:t>
            </w:r>
          </w:p>
          <w:p w14:paraId="558E3BC1">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7、PID调节算法使控温精度达到±3℃,开启控温40分钟后，温度控制波动小于±1.5℃。</w:t>
            </w:r>
          </w:p>
          <w:p w14:paraId="1ECB135D">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8、内置PID自整定功能。可自动优化控温参数至最佳状态。</w:t>
            </w:r>
          </w:p>
          <w:p w14:paraId="478F7313">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9、特有的可设置的温度补偿功能，避免了温度测量点不能反映实际温度而导致温度偏低的现象。</w:t>
            </w:r>
          </w:p>
          <w:p w14:paraId="01718CF3">
            <w:pPr>
              <w:spacing w:line="240" w:lineRule="auto"/>
              <w:jc w:val="left"/>
              <w:rPr>
                <w:rFonts w:hint="eastAsia" w:asciiTheme="minorEastAsia" w:hAnsiTheme="minorEastAsia" w:eastAsiaTheme="minorEastAsia" w:cstheme="minorEastAsia"/>
                <w:bCs/>
                <w:snapToGrid w:val="0"/>
                <w:color w:val="auto"/>
                <w:kern w:val="0"/>
                <w:sz w:val="21"/>
                <w:szCs w:val="21"/>
                <w:highlight w:val="none"/>
                <w:lang w:val="en-US" w:eastAsia="en-US" w:bidi="ar-SA"/>
              </w:rPr>
            </w:pPr>
            <w:r>
              <w:rPr>
                <w:rFonts w:hint="eastAsia" w:asciiTheme="minorEastAsia" w:hAnsiTheme="minorEastAsia" w:eastAsiaTheme="minorEastAsia" w:cstheme="minorEastAsia"/>
                <w:bCs/>
                <w:color w:val="auto"/>
                <w:sz w:val="21"/>
                <w:szCs w:val="21"/>
                <w:highlight w:val="none"/>
              </w:rPr>
              <w:t>10、采用高精度气压传感器及高精度比例阀，可做到试验过程中的精准控制且系统简单易维护。</w:t>
            </w:r>
          </w:p>
        </w:tc>
        <w:tc>
          <w:tcPr>
            <w:tcW w:w="922" w:type="dxa"/>
            <w:shd w:val="clear" w:color="auto" w:fill="auto"/>
            <w:vAlign w:val="center"/>
          </w:tcPr>
          <w:p w14:paraId="5BF3E60C">
            <w:pPr>
              <w:spacing w:line="240" w:lineRule="auto"/>
              <w:jc w:val="center"/>
              <w:rPr>
                <w:rFonts w:hint="eastAsia" w:asciiTheme="minorEastAsia" w:hAnsiTheme="minorEastAsia" w:eastAsiaTheme="minorEastAsia" w:cstheme="minorEastAsia"/>
                <w:bCs/>
                <w:snapToGrid w:val="0"/>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1</w:t>
            </w:r>
          </w:p>
        </w:tc>
      </w:tr>
      <w:tr w14:paraId="05BC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731C8DF6">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24</w:t>
            </w:r>
          </w:p>
        </w:tc>
        <w:tc>
          <w:tcPr>
            <w:tcW w:w="1150" w:type="dxa"/>
            <w:shd w:val="clear" w:color="auto" w:fill="auto"/>
            <w:vAlign w:val="center"/>
          </w:tcPr>
          <w:p w14:paraId="7E5BE186">
            <w:pPr>
              <w:bidi w:val="0"/>
              <w:spacing w:line="24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lang w:val="en-US" w:eastAsia="zh-CN"/>
              </w:rPr>
              <w:t>AI 助教与评估系统</w:t>
            </w:r>
          </w:p>
        </w:tc>
        <w:tc>
          <w:tcPr>
            <w:tcW w:w="5207" w:type="dxa"/>
            <w:shd w:val="clear" w:color="auto" w:fill="auto"/>
            <w:vAlign w:val="center"/>
          </w:tcPr>
          <w:p w14:paraId="449549C3">
            <w:p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5.1个性化定制支持 AI 助教形象、语音的个性化定制，增强教学沉浸感。</w:t>
            </w:r>
          </w:p>
          <w:p w14:paraId="60DE0974">
            <w:pPr>
              <w:bidi w:val="0"/>
              <w:spacing w:line="240" w:lineRule="auto"/>
              <w:rPr>
                <w:rFonts w:hint="eastAsia" w:ascii="宋体" w:hAnsi="宋体" w:eastAsia="宋体" w:cs="宋体"/>
                <w:color w:val="auto"/>
                <w:sz w:val="21"/>
                <w:szCs w:val="21"/>
                <w:highlight w:val="none"/>
                <w:lang w:val="en-US" w:eastAsia="zh-CN"/>
              </w:rPr>
            </w:pPr>
          </w:p>
          <w:p w14:paraId="06E53770">
            <w:p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5.2专业知识库挂载：教师可上传《城轨电源维护规范》等资料进行专项训练，提升 AI 回答的专业深度。</w:t>
            </w:r>
          </w:p>
          <w:p w14:paraId="56D03B58">
            <w:pPr>
              <w:bidi w:val="0"/>
              <w:spacing w:line="240" w:lineRule="auto"/>
              <w:rPr>
                <w:rFonts w:hint="eastAsia" w:ascii="宋体" w:hAnsi="宋体" w:eastAsia="宋体" w:cs="宋体"/>
                <w:color w:val="auto"/>
                <w:sz w:val="21"/>
                <w:szCs w:val="21"/>
                <w:highlight w:val="none"/>
                <w:lang w:val="en-US" w:eastAsia="zh-CN"/>
              </w:rPr>
            </w:pPr>
          </w:p>
          <w:p w14:paraId="275233C8">
            <w:p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5.3回答溯源功能：AI 在提供解答或步骤引导时，必须自动关联并展示参考资料的来源文档，方便学生查阅。</w:t>
            </w:r>
          </w:p>
          <w:p w14:paraId="59C6D1C5">
            <w:pPr>
              <w:bidi w:val="0"/>
              <w:spacing w:line="240" w:lineRule="auto"/>
              <w:rPr>
                <w:rFonts w:hint="eastAsia" w:ascii="宋体" w:hAnsi="宋体" w:eastAsia="宋体" w:cs="宋体"/>
                <w:color w:val="auto"/>
                <w:sz w:val="21"/>
                <w:szCs w:val="21"/>
                <w:highlight w:val="none"/>
                <w:lang w:val="en-US" w:eastAsia="zh-CN"/>
              </w:rPr>
            </w:pPr>
          </w:p>
          <w:p w14:paraId="54DAED71">
            <w:pPr>
              <w:bidi w:val="0"/>
              <w:spacing w:line="240"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color w:val="auto"/>
                <w:sz w:val="21"/>
                <w:szCs w:val="21"/>
                <w:highlight w:val="none"/>
                <w:lang w:val="en-US" w:eastAsia="zh-CN"/>
              </w:rPr>
              <w:t>5.4实时引导服务：支持 7×24 小时在线，在仿真操作出现错误时，AI 需实时弹出错误提示并给出正确引导建议。</w:t>
            </w:r>
          </w:p>
        </w:tc>
        <w:tc>
          <w:tcPr>
            <w:tcW w:w="922" w:type="dxa"/>
            <w:shd w:val="clear" w:color="auto" w:fill="auto"/>
            <w:vAlign w:val="center"/>
          </w:tcPr>
          <w:p w14:paraId="3AD68096">
            <w:pPr>
              <w:spacing w:line="240" w:lineRule="auto"/>
              <w:jc w:val="center"/>
              <w:rPr>
                <w:rFonts w:hint="eastAsia" w:ascii="宋体" w:hAnsi="宋体" w:eastAsia="宋体" w:cs="宋体"/>
                <w:bCs/>
                <w:snapToGrid w:val="0"/>
                <w:color w:val="auto"/>
                <w:kern w:val="0"/>
                <w:sz w:val="21"/>
                <w:szCs w:val="21"/>
                <w:highlight w:val="none"/>
                <w:lang w:val="en-US" w:eastAsia="zh-CN" w:bidi="ar-SA"/>
              </w:rPr>
            </w:pPr>
            <w:r>
              <w:rPr>
                <w:rFonts w:hint="eastAsia" w:ascii="宋体" w:hAnsi="宋体" w:eastAsia="宋体" w:cs="宋体"/>
                <w:bCs/>
                <w:color w:val="auto"/>
                <w:sz w:val="21"/>
                <w:szCs w:val="21"/>
                <w:highlight w:val="none"/>
                <w:lang w:val="en-US" w:eastAsia="zh-CN"/>
              </w:rPr>
              <w:t>1</w:t>
            </w:r>
          </w:p>
        </w:tc>
      </w:tr>
      <w:tr w14:paraId="7D75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14:paraId="101836B3">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w:t>
            </w:r>
          </w:p>
        </w:tc>
        <w:tc>
          <w:tcPr>
            <w:tcW w:w="1150" w:type="dxa"/>
            <w:shd w:val="clear" w:color="auto" w:fill="auto"/>
            <w:vAlign w:val="center"/>
          </w:tcPr>
          <w:p w14:paraId="1A7C15B3">
            <w:pPr>
              <w:numPr>
                <w:ilvl w:val="0"/>
                <w:numId w:val="0"/>
              </w:numPr>
              <w:bidi w:val="0"/>
              <w:spacing w:line="240" w:lineRule="auto"/>
              <w:ind w:left="0" w:leftChars="0" w:firstLine="0" w:firstLineChars="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通用机修工具车组套</w:t>
            </w:r>
          </w:p>
        </w:tc>
        <w:tc>
          <w:tcPr>
            <w:tcW w:w="5207" w:type="dxa"/>
            <w:shd w:val="clear" w:color="auto" w:fill="auto"/>
            <w:vAlign w:val="center"/>
          </w:tcPr>
          <w:p w14:paraId="2A905D44">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1.基本要求：尺寸≥770*530*980毫米（长×宽×高）；</w:t>
            </w:r>
          </w:p>
          <w:p w14:paraId="73998D6F">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2.工具清单：</w:t>
            </w:r>
          </w:p>
          <w:p w14:paraId="33764572">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20件12.5MM系列6角套筒（8,9,10,11,12,13,14,15,16,17,18,19,20,21,22,23,24,27,30,32MM）；</w:t>
            </w:r>
          </w:p>
          <w:p w14:paraId="6FE776DD">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14件12.5MM系列6角长套筒（10,11,12,13,14,15,16,17,18,19,20,21,22,24MM）；</w:t>
            </w:r>
          </w:p>
          <w:p w14:paraId="09368299">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20件12.5MM系列12角套筒（8,9,10,11,12,13,14,15,16,17,18,19,20,21,22,23,24,27,30,32MM）；</w:t>
            </w:r>
          </w:p>
          <w:p w14:paraId="26168C24">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4件12.5MM系列12角长套筒；(10,12,13,14MM)；</w:t>
            </w:r>
          </w:p>
          <w:p w14:paraId="0385A15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4件1/2"系列六角风动套筒；(17,19,21,23MM)；</w:t>
            </w:r>
          </w:p>
          <w:p w14:paraId="48C24E33">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1件12.5MM系列专业快速脱落棘轮扳手-10"；</w:t>
            </w:r>
          </w:p>
          <w:p w14:paraId="596A8437">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1件12.5MM系列L形扳手10"；</w:t>
            </w:r>
          </w:p>
          <w:p w14:paraId="7D4D2856">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1件12.5MM系列滑行杆10"；</w:t>
            </w:r>
          </w:p>
          <w:p w14:paraId="3A00AD86">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1件12.5MM系列万向接头；</w:t>
            </w:r>
          </w:p>
          <w:p w14:paraId="6C1463C0">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1件12.5MM系列转接头(1/2"方孔X3/8"方头)；</w:t>
            </w:r>
          </w:p>
          <w:p w14:paraId="5899EBC7">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1件12.5MM系列三用接头(1/2"方孔X3/8"方头)；</w:t>
            </w:r>
          </w:p>
          <w:p w14:paraId="16888864">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2件12.5MM系列转向接杆(5",10")；</w:t>
            </w:r>
          </w:p>
          <w:p w14:paraId="3B8044FB">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1件12.5MM系列旋具头接头5/16；</w:t>
            </w:r>
          </w:p>
          <w:p w14:paraId="5C9BC90F">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23件全抛光两用扳手(6,7,8,9,10,11,12,13,14,15,16,17,18,19,20,21,22,23,24,25,27,30,32MM)；</w:t>
            </w:r>
          </w:p>
          <w:p w14:paraId="20E65BF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13件全抛光双开口扳手(6X7,8X10,10X12,12X14,13X15,13X16,14X17,16X18,17X19,19X21,22X24,24X27,30X32MM)；</w:t>
            </w:r>
          </w:p>
          <w:p w14:paraId="0DC9870C">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1件德式轴用直口卡簧钳7"；</w:t>
            </w:r>
          </w:p>
          <w:p w14:paraId="697233ED">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1件德式轴用曲口卡簧钳7"；</w:t>
            </w:r>
          </w:p>
          <w:p w14:paraId="0DEBE525">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1件德式穴用直口卡簧钳7"；</w:t>
            </w:r>
          </w:p>
          <w:p w14:paraId="6C1DB495">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1件德式穴用曲口卡簧钳7"；</w:t>
            </w:r>
          </w:p>
          <w:p w14:paraId="7DD7DC09">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1件尖嘴钳6"；</w:t>
            </w:r>
          </w:p>
          <w:p w14:paraId="3848666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1件斜嘴钳6"；</w:t>
            </w:r>
          </w:p>
          <w:p w14:paraId="76617F67">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1件钢丝钳8"；</w:t>
            </w:r>
          </w:p>
          <w:p w14:paraId="3C92D23C">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1件鲤鱼钳8"；</w:t>
            </w:r>
          </w:p>
          <w:p w14:paraId="2F8A71B4">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1件圆口带刃大力钳10"；</w:t>
            </w:r>
          </w:p>
          <w:p w14:paraId="394F1A52">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1件A系列一字穿心螺丝刀6X150MM；</w:t>
            </w:r>
          </w:p>
          <w:p w14:paraId="7AC73DEA">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1件A系列十字穿心螺丝刀#2X150MM；</w:t>
            </w:r>
          </w:p>
          <w:p w14:paraId="1B0CE3B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14件A系列一字形螺丝批(3.2X75,5X100,6X38,6X100MM)；</w:t>
            </w:r>
          </w:p>
          <w:p w14:paraId="69947DA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14件A系列十字形螺丝批(#0X75,#1X75,#2X38,#2X100MM)；</w:t>
            </w:r>
          </w:p>
          <w:p w14:paraId="2ED43616">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11件凯锐系列钢卷尺5MX19MM；</w:t>
            </w:r>
          </w:p>
          <w:p w14:paraId="14273A60">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7件8MM系列70MM长六角旋具头(4,5,6,7,8,10,12MM)；</w:t>
            </w:r>
          </w:p>
          <w:p w14:paraId="5942C220">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5件8MM系列70MM长12角旋具头(M5,M6,M8,M10,M12)；</w:t>
            </w:r>
          </w:p>
          <w:p w14:paraId="5D6A6DCC">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8件8MM系列70MM长花形旋具头(T20,T25,T27,T30,T40,T45,T50,T55)；</w:t>
            </w:r>
          </w:p>
          <w:p w14:paraId="23841C2D">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7件8MM系列30MM长六角旋具头(4,5,6,7,8,10,12MM)；</w:t>
            </w:r>
          </w:p>
          <w:p w14:paraId="5B96AEBC">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5件8MM系列30MM长12角旋具头(M5,M6,M8,M10,M12)；</w:t>
            </w:r>
          </w:p>
          <w:p w14:paraId="2F00FC2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6件8MM系列30MM长中孔花形旋具头(TT20,TT25,TT30,TT40,TT45,TT50)；</w:t>
            </w:r>
          </w:p>
          <w:p w14:paraId="7948E24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1件10MM系列旋具头接头5/16；</w:t>
            </w:r>
          </w:p>
          <w:p w14:paraId="425CE017">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12件10MM系列6角套筒(8,9,10,11,12,13,14,15,16,17,18,19MM)；</w:t>
            </w:r>
          </w:p>
          <w:p w14:paraId="258661FC">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10件10MM系列6角长套筒(8,9,10,11,12,13,14,15,17,19MM)；</w:t>
            </w:r>
          </w:p>
          <w:p w14:paraId="02E61F3C">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8件10MM系列6角花形套筒(E8,E10,E11,E12,E14,E16,E18,E20)；</w:t>
            </w:r>
          </w:p>
          <w:p w14:paraId="7F43467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9件10MM系列花形旋具套筒(T10,T15,T20,T25,T27,T30,T40,T45,T50)；</w:t>
            </w:r>
          </w:p>
          <w:p w14:paraId="2D47ED23">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7件10MM系列六角旋具套筒(3,4,5,6,7,8,10MM)；</w:t>
            </w:r>
          </w:p>
          <w:p w14:paraId="404AF06B">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3件10MM系列十字形旋具套筒(#1,#2,#3)；</w:t>
            </w:r>
          </w:p>
          <w:p w14:paraId="7F3AC0B7">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2件10MM系列一字形旋具套筒(5,5.5MM)；</w:t>
            </w:r>
          </w:p>
          <w:p w14:paraId="28B16E29">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13件6.3MM系列6角套筒(4,4.5,5,5.5,6,7,8,9,10,11,12,13,14MM)；</w:t>
            </w:r>
          </w:p>
          <w:p w14:paraId="6DE60F66">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10件6.3MM系列6角长套筒(4,5,6,7,8,9,10,11,12,13MM)；</w:t>
            </w:r>
          </w:p>
          <w:p w14:paraId="7A98C60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6件6.3MM系列六角旋具套筒(3,4,5,6,7,8MM)；</w:t>
            </w:r>
          </w:p>
          <w:p w14:paraId="2ADD867F">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3件6.3MM系列十字形旋具套筒(#1,#2,#3)；</w:t>
            </w:r>
          </w:p>
          <w:p w14:paraId="470E338A">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3件6.3MM系列米字形旋具套筒(#1,#2,#3)；</w:t>
            </w:r>
          </w:p>
          <w:p w14:paraId="08E9642A">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3件6.3MM系列一字形旋具套筒(4,5,5.5MM)；</w:t>
            </w:r>
          </w:p>
          <w:p w14:paraId="0A7A3DF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7件6.3MM系列花形旋具套筒(T8,T10,T15,T20,T25,T30,T40)；</w:t>
            </w:r>
          </w:p>
          <w:p w14:paraId="7473431E">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1件10MM系列专业快速脱落棘轮扳手8"；</w:t>
            </w:r>
          </w:p>
          <w:p w14:paraId="382AAECD">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3件10MM系列转向接杆(3",6",10")；</w:t>
            </w:r>
          </w:p>
          <w:p w14:paraId="79D0ED6A">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1件10MM系列滑行杆8"；</w:t>
            </w:r>
          </w:p>
          <w:p w14:paraId="62444134">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1件10MM系列万向接头；</w:t>
            </w:r>
          </w:p>
          <w:p w14:paraId="5C1228A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1件10MM系列转接头(3/8"方孔X1/4"方头)；</w:t>
            </w:r>
          </w:p>
          <w:p w14:paraId="052436BE">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1件10MM系列转接头(3/8"方孔X1/2"方头)；</w:t>
            </w:r>
          </w:p>
          <w:p w14:paraId="7A8D2F9A">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2件10MM系列火花塞套筒(16,21MM)；</w:t>
            </w:r>
          </w:p>
          <w:p w14:paraId="72FDBEE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1件10MM系列12角薄壁火花塞套筒14MM；</w:t>
            </w:r>
          </w:p>
          <w:p w14:paraId="46F26E62">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1件10MM系列三用接头(3/8"方孔X1/2"方头)；</w:t>
            </w:r>
          </w:p>
          <w:p w14:paraId="46DC530E">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1件6.3MM系列专业快速脱落棘轮扳手5"；</w:t>
            </w:r>
          </w:p>
          <w:p w14:paraId="4CB58A2A">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2件6.3MM系列转向接杆(2",4")；</w:t>
            </w:r>
          </w:p>
          <w:p w14:paraId="24D7FF82">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1件6.3MM系列滑行杆4"；</w:t>
            </w:r>
          </w:p>
          <w:p w14:paraId="79C98C63">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1件6.3MM系列旋柄；</w:t>
            </w:r>
          </w:p>
          <w:p w14:paraId="7C8A689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1件6.3MM系列万向接头；</w:t>
            </w:r>
          </w:p>
          <w:p w14:paraId="6BDDDDD9">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1件6.3MM系列转接头(1/4"方孔X3/8"方头)；</w:t>
            </w:r>
          </w:p>
          <w:p w14:paraId="2B171E86">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1件6.3MM系列可弯式接头6"；</w:t>
            </w:r>
          </w:p>
          <w:p w14:paraId="6F400C9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1件M16油底壳放油旋具套筒（带孔）；</w:t>
            </w:r>
          </w:p>
          <w:p w14:paraId="725BA2A3">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1件H17油底壳旋具套筒；</w:t>
            </w:r>
          </w:p>
          <w:p w14:paraId="3CE064F1">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1件T52发动机缸盖螺丝专用旋具套筒；</w:t>
            </w:r>
          </w:p>
          <w:p w14:paraId="5F0FE60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11件全抛光双梅花扳手；(10X12,12X14,13X15,13X16,14X17,16X18,17X19,19X21,19X22,22X24,24X27MM)；</w:t>
            </w:r>
          </w:p>
          <w:p w14:paraId="356D1EC6">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2件T系列一字穿心螺丝刀(8X150,8X200MM)；</w:t>
            </w:r>
          </w:p>
          <w:p w14:paraId="3261FB88">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2件T系列十字穿心螺丝刀(#3X150,#3X200MM)；</w:t>
            </w:r>
          </w:p>
          <w:p w14:paraId="1C038346">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12件全抛光烟斗扳手(6,7,8,9,10,11,12,13,14,15,16,17MM)；</w:t>
            </w:r>
          </w:p>
          <w:p w14:paraId="3CE68D03">
            <w:pPr>
              <w:numPr>
                <w:ilvl w:val="0"/>
                <w:numId w:val="0"/>
              </w:numPr>
              <w:bidi w:val="0"/>
              <w:spacing w:line="240" w:lineRule="auto"/>
              <w:ind w:left="0" w:leftChars="0" w:firstLine="0" w:firstLineChars="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1件活动扳手10"。</w:t>
            </w:r>
          </w:p>
        </w:tc>
        <w:tc>
          <w:tcPr>
            <w:tcW w:w="922" w:type="dxa"/>
            <w:shd w:val="clear" w:color="auto" w:fill="auto"/>
            <w:vAlign w:val="center"/>
          </w:tcPr>
          <w:p w14:paraId="14B6129F">
            <w:pPr>
              <w:numPr>
                <w:ilvl w:val="0"/>
                <w:numId w:val="0"/>
              </w:numPr>
              <w:bidi w:val="0"/>
              <w:spacing w:line="240" w:lineRule="auto"/>
              <w:ind w:left="0" w:leftChars="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套</w:t>
            </w:r>
          </w:p>
        </w:tc>
      </w:tr>
      <w:tr w14:paraId="1F3F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1D7E8996">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26</w:t>
            </w:r>
          </w:p>
        </w:tc>
        <w:tc>
          <w:tcPr>
            <w:tcW w:w="0" w:type="auto"/>
            <w:vAlign w:val="center"/>
          </w:tcPr>
          <w:p w14:paraId="13F166DC">
            <w:pPr>
              <w:numPr>
                <w:ilvl w:val="0"/>
                <w:numId w:val="0"/>
              </w:numPr>
              <w:bidi w:val="0"/>
              <w:spacing w:line="240" w:lineRule="auto"/>
              <w:ind w:left="0" w:leftChars="0" w:firstLine="0" w:firstLineChars="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汽车多用无损检测接线盒</w:t>
            </w:r>
          </w:p>
        </w:tc>
        <w:tc>
          <w:tcPr>
            <w:tcW w:w="0" w:type="auto"/>
            <w:vAlign w:val="center"/>
          </w:tcPr>
          <w:p w14:paraId="5F7A8C30">
            <w:pPr>
              <w:numPr>
                <w:ilvl w:val="0"/>
                <w:numId w:val="0"/>
              </w:numPr>
              <w:bidi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产品简介：配有多种型号的探针、接头以及接线，宽窄厚薄不一的片状、圆形接头或探针以及凸凹配对的连接器，可以满足各型汽车接插头引线的需求，而且可以很好的配合万用表以及示波器等测量工具使用。</w:t>
            </w:r>
          </w:p>
          <w:p w14:paraId="4072392F">
            <w:pPr>
              <w:numPr>
                <w:ilvl w:val="0"/>
                <w:numId w:val="0"/>
              </w:numPr>
              <w:bidi w:val="0"/>
              <w:spacing w:line="240" w:lineRule="auto"/>
              <w:ind w:left="0" w:leftChars="0" w:firstLine="0" w:firstLineChars="0"/>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2、产品特点：多种汽车信号测量套线。套线类型：79种型号，共100个探针、接头和接线。接头形状：宽窄不一的片状，圆形接头。</w:t>
            </w:r>
          </w:p>
        </w:tc>
        <w:tc>
          <w:tcPr>
            <w:tcW w:w="0" w:type="auto"/>
            <w:vAlign w:val="center"/>
          </w:tcPr>
          <w:p w14:paraId="1091C180">
            <w:pPr>
              <w:numPr>
                <w:ilvl w:val="0"/>
                <w:numId w:val="0"/>
              </w:numPr>
              <w:bidi w:val="0"/>
              <w:spacing w:line="240" w:lineRule="auto"/>
              <w:ind w:left="0" w:leftChars="0"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4套</w:t>
            </w:r>
          </w:p>
        </w:tc>
      </w:tr>
      <w:tr w14:paraId="2919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040814B5">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27</w:t>
            </w:r>
          </w:p>
        </w:tc>
        <w:tc>
          <w:tcPr>
            <w:tcW w:w="0" w:type="auto"/>
            <w:vAlign w:val="center"/>
          </w:tcPr>
          <w:p w14:paraId="607AD898">
            <w:pPr>
              <w:spacing w:line="240" w:lineRule="auto"/>
              <w:jc w:val="center"/>
              <w:rPr>
                <w:rFonts w:hint="eastAsia" w:ascii="宋体" w:hAnsi="宋体" w:eastAsia="宋体" w:cs="宋体"/>
                <w:bCs/>
                <w:snapToGrid w:val="0"/>
                <w:color w:val="auto"/>
                <w:kern w:val="0"/>
                <w:sz w:val="18"/>
                <w:szCs w:val="18"/>
                <w:highlight w:val="none"/>
                <w:lang w:val="en-US" w:eastAsia="zh-CN" w:bidi="ar-SA"/>
              </w:rPr>
            </w:pPr>
            <w:r>
              <w:rPr>
                <w:rFonts w:hint="eastAsia" w:ascii="宋体" w:hAnsi="宋体" w:eastAsia="宋体" w:cs="宋体"/>
                <w:bCs/>
                <w:color w:val="auto"/>
                <w:sz w:val="18"/>
                <w:szCs w:val="18"/>
                <w:highlight w:val="none"/>
                <w:lang w:val="en-US" w:eastAsia="zh-CN"/>
              </w:rPr>
              <w:t>数据输出终端</w:t>
            </w:r>
          </w:p>
        </w:tc>
        <w:tc>
          <w:tcPr>
            <w:tcW w:w="0" w:type="auto"/>
            <w:vAlign w:val="center"/>
          </w:tcPr>
          <w:p w14:paraId="034FD93E">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（一）打印性能</w:t>
            </w:r>
          </w:p>
          <w:p w14:paraId="1F3D845C">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产品类型：A4黑白激光打印机</w:t>
            </w:r>
          </w:p>
          <w:p w14:paraId="01A380A8">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打印速度：A4≥18页/分钟，首页输出≤8.5秒</w:t>
            </w:r>
          </w:p>
          <w:p w14:paraId="01818A2A">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分辨率：有效输出≥1200dpi</w:t>
            </w:r>
          </w:p>
          <w:p w14:paraId="0AC1EAF4">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处理器：266MHz，标配内存2MB</w:t>
            </w:r>
          </w:p>
          <w:p w14:paraId="72B99391">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（二）纸张与处理</w:t>
            </w:r>
          </w:p>
          <w:p w14:paraId="6F984CE8">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 最大幅面：A4；支持A5/A6/16K/信封/标签/透明胶片</w:t>
            </w:r>
          </w:p>
          <w:p w14:paraId="03A3842B">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输入容量：主纸盒150页，输出容量125页</w:t>
            </w:r>
          </w:p>
          <w:p w14:paraId="5384A2BE">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纸张克重：60–163g/㎡，支持手动双面打印 </w:t>
            </w:r>
          </w:p>
          <w:p w14:paraId="14EEAFA6">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（三）接口与兼容性 </w:t>
            </w:r>
          </w:p>
          <w:p w14:paraId="01C8E57A">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接口：高速USB 2.0，无无线/网络（确保涉密与办公安全）</w:t>
            </w:r>
          </w:p>
          <w:p w14:paraId="3664804E">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兼容系统：Windows 7/8/10/11、Linux、macOS </w:t>
            </w:r>
          </w:p>
          <w:p w14:paraId="4554A650">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（四）耗材与功耗 </w:t>
            </w:r>
          </w:p>
          <w:p w14:paraId="487D8247">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耗材：黑色硒鼓（88A/CC388A），单支装</w:t>
            </w:r>
          </w:p>
          <w:p w14:paraId="03D4CCBA">
            <w:pPr>
              <w:spacing w:line="240" w:lineRule="auto"/>
              <w:jc w:val="left"/>
              <w:rPr>
                <w:rFonts w:hint="eastAsia" w:ascii="宋体" w:hAnsi="宋体" w:eastAsia="宋体" w:cs="宋体"/>
                <w:bCs/>
                <w:snapToGrid w:val="0"/>
                <w:color w:val="auto"/>
                <w:kern w:val="0"/>
                <w:sz w:val="18"/>
                <w:szCs w:val="18"/>
                <w:highlight w:val="none"/>
                <w:lang w:val="en-US" w:eastAsia="zh-CN" w:bidi="ar-SA"/>
              </w:rPr>
            </w:pPr>
            <w:r>
              <w:rPr>
                <w:rFonts w:hint="eastAsia" w:ascii="宋体" w:hAnsi="宋体" w:eastAsia="宋体" w:cs="宋体"/>
                <w:bCs/>
                <w:color w:val="auto"/>
                <w:sz w:val="18"/>
                <w:szCs w:val="18"/>
                <w:highlight w:val="none"/>
              </w:rPr>
              <w:t>功耗：打印≤360W；就绪≤1.4W；休眠≤0.9W；关机≤0.6W</w:t>
            </w:r>
          </w:p>
        </w:tc>
        <w:tc>
          <w:tcPr>
            <w:tcW w:w="0" w:type="auto"/>
            <w:vAlign w:val="center"/>
          </w:tcPr>
          <w:p w14:paraId="3297FA25">
            <w:pPr>
              <w:spacing w:line="240" w:lineRule="auto"/>
              <w:jc w:val="center"/>
              <w:rPr>
                <w:rFonts w:hint="eastAsia" w:ascii="宋体" w:hAnsi="宋体" w:eastAsia="宋体" w:cs="宋体"/>
                <w:bCs/>
                <w:snapToGrid w:val="0"/>
                <w:color w:val="auto"/>
                <w:kern w:val="0"/>
                <w:sz w:val="18"/>
                <w:szCs w:val="18"/>
                <w:highlight w:val="none"/>
                <w:lang w:val="en-US" w:eastAsia="zh-CN" w:bidi="ar-SA"/>
              </w:rPr>
            </w:pPr>
            <w:r>
              <w:rPr>
                <w:rFonts w:hint="eastAsia" w:ascii="宋体" w:hAnsi="宋体" w:eastAsia="宋体" w:cs="宋体"/>
                <w:bCs/>
                <w:color w:val="auto"/>
                <w:sz w:val="18"/>
                <w:szCs w:val="18"/>
                <w:highlight w:val="none"/>
                <w:lang w:val="en-US" w:eastAsia="zh-CN"/>
              </w:rPr>
              <w:t>2台</w:t>
            </w:r>
          </w:p>
        </w:tc>
      </w:tr>
      <w:tr w14:paraId="6489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7CFC9C2E">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28</w:t>
            </w:r>
          </w:p>
        </w:tc>
        <w:tc>
          <w:tcPr>
            <w:tcW w:w="0" w:type="auto"/>
            <w:vAlign w:val="center"/>
          </w:tcPr>
          <w:p w14:paraId="62F03A20">
            <w:pPr>
              <w:spacing w:line="240" w:lineRule="auto"/>
              <w:jc w:val="left"/>
              <w:rPr>
                <w:rFonts w:hint="eastAsia" w:ascii="宋体" w:hAnsi="宋体" w:eastAsia="宋体" w:cs="宋体"/>
                <w:bCs/>
                <w:snapToGrid w:val="0"/>
                <w:color w:val="auto"/>
                <w:kern w:val="0"/>
                <w:sz w:val="18"/>
                <w:szCs w:val="18"/>
                <w:highlight w:val="none"/>
                <w:lang w:val="en-US" w:eastAsia="zh-CN" w:bidi="ar-SA"/>
              </w:rPr>
            </w:pPr>
            <w:r>
              <w:rPr>
                <w:rFonts w:hint="eastAsia" w:ascii="宋体" w:hAnsi="宋体" w:eastAsia="宋体" w:cs="宋体"/>
                <w:bCs/>
                <w:color w:val="auto"/>
                <w:sz w:val="18"/>
                <w:szCs w:val="18"/>
                <w:highlight w:val="none"/>
                <w:lang w:val="en-US" w:eastAsia="zh-CN"/>
              </w:rPr>
              <w:t>数据处理器</w:t>
            </w:r>
          </w:p>
        </w:tc>
        <w:tc>
          <w:tcPr>
            <w:tcW w:w="0" w:type="auto"/>
            <w:vAlign w:val="center"/>
          </w:tcPr>
          <w:p w14:paraId="6F182564">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（一）处理器</w:t>
            </w:r>
          </w:p>
          <w:p w14:paraId="0EFBF9A9">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线程：20核28线程（8性能核+12能效核）</w:t>
            </w:r>
          </w:p>
          <w:p w14:paraId="16BC82C1">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基准频率：2.1GHz，最大睿频：5.4GHz</w:t>
            </w:r>
          </w:p>
          <w:p w14:paraId="01E8B7A3">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缓存：33MB Intel Smart Cache</w:t>
            </w:r>
          </w:p>
          <w:p w14:paraId="6548F5EC">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插槽：LGA 1700</w:t>
            </w:r>
          </w:p>
          <w:p w14:paraId="73628421">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核显：Intel UHD Graphics 770，支持4K@60Hz输出</w:t>
            </w:r>
          </w:p>
          <w:p w14:paraId="12FB3877">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（二）内存</w:t>
            </w:r>
          </w:p>
          <w:p w14:paraId="59AF5F85">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 容量：≥16GB DDR5（可升级至32GB及以上）</w:t>
            </w:r>
          </w:p>
          <w:p w14:paraId="74BF9C21">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频率：≥4800MHz，双通道架构</w:t>
            </w:r>
          </w:p>
          <w:p w14:paraId="01C7F787">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插槽：≥2个DIMM插槽，支持后续扩展</w:t>
            </w:r>
          </w:p>
          <w:p w14:paraId="61837D40">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兼容性：支持ECC </w:t>
            </w:r>
          </w:p>
          <w:p w14:paraId="203FB33B">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（三）存储</w:t>
            </w:r>
          </w:p>
          <w:p w14:paraId="7B8D7603">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硬盘：≥512GB NVMe M.2 SSD</w:t>
            </w:r>
          </w:p>
          <w:p w14:paraId="1957A94F">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可选扩展：支持2.5英寸/3.5英寸SATA硬盘位</w:t>
            </w:r>
          </w:p>
          <w:p w14:paraId="0AD8236A">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性能：开机≤10秒，文件读写快速稳定</w:t>
            </w:r>
          </w:p>
          <w:p w14:paraId="70C18D80">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（四）主板与扩展</w:t>
            </w:r>
          </w:p>
          <w:p w14:paraId="3D5C631C">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 芯片组：Intel B760/W680及以上商用级芯片组</w:t>
            </w:r>
          </w:p>
          <w:p w14:paraId="1F877A47">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接口：</w:t>
            </w:r>
          </w:p>
          <w:p w14:paraId="4A06BA0B">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前置：USB3.2 Gen1×2、Audio×1</w:t>
            </w:r>
          </w:p>
          <w:p w14:paraId="6B99EE88">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后置：USB3.2 Gen1×4、USB2.0×2、HDMI×1、VGA×1、RJ45千兆网口×1、Audio×1</w:t>
            </w:r>
          </w:p>
          <w:p w14:paraId="10F3967E">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总USB接口≥8个，USB3.0及以上≥4个</w:t>
            </w:r>
          </w:p>
          <w:p w14:paraId="1122A30E">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网络：千兆有线网卡，可选WiFi 6/蓝牙5.2</w:t>
            </w:r>
          </w:p>
          <w:p w14:paraId="2B8D0BCA">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音频：高保真音频，支持前后音频输出</w:t>
            </w:r>
          </w:p>
          <w:p w14:paraId="275841D3">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（五）电源与散热</w:t>
            </w:r>
          </w:p>
          <w:p w14:paraId="48BBDEEA">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电源：节能电源，效率≥85%，额定功率≥300W</w:t>
            </w:r>
          </w:p>
          <w:p w14:paraId="2126AF3D">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散热：原厂高效风冷散热，静音稳定，7×24小时可靠运行</w:t>
            </w:r>
          </w:p>
          <w:p w14:paraId="3A5AE1BE">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功耗：TDP 65W，节能环保</w:t>
            </w:r>
          </w:p>
          <w:p w14:paraId="745267EC">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（六）显示器</w:t>
            </w:r>
          </w:p>
          <w:p w14:paraId="2301A63A">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尺寸：≥23.8英寸</w:t>
            </w:r>
          </w:p>
          <w:p w14:paraId="3AAB2883">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分辨率：1920×1080，IPS广视角</w:t>
            </w:r>
          </w:p>
          <w:p w14:paraId="6EC9A869">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接口：HDMI+VGA，低蓝光护眼认证</w:t>
            </w:r>
          </w:p>
          <w:p w14:paraId="6D341A74">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 </w:t>
            </w:r>
          </w:p>
          <w:p w14:paraId="19328FC1">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（七）输入输出</w:t>
            </w:r>
          </w:p>
          <w:p w14:paraId="0B98C369">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键盘：商用防水键盘</w:t>
            </w:r>
          </w:p>
          <w:p w14:paraId="375E568A">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鼠标：商用光电鼠标</w:t>
            </w:r>
          </w:p>
          <w:p w14:paraId="13A2D7D5">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接口支持：支持双屏显示，兼容打印机、扫描仪、高拍仪等外设</w:t>
            </w:r>
          </w:p>
          <w:p w14:paraId="737FE069">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（八）操作系统与安全</w:t>
            </w:r>
          </w:p>
          <w:p w14:paraId="56C04E90">
            <w:pPr>
              <w:spacing w:line="240" w:lineRule="auto"/>
              <w:jc w:val="left"/>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预装：Windows 11 专业版 64位（正版授权）</w:t>
            </w:r>
            <w:r>
              <w:rPr>
                <w:rFonts w:hint="eastAsia" w:ascii="宋体" w:hAnsi="宋体" w:eastAsia="宋体" w:cs="宋体"/>
                <w:bCs/>
                <w:color w:val="auto"/>
                <w:sz w:val="18"/>
                <w:szCs w:val="18"/>
                <w:highlight w:val="none"/>
                <w:lang w:val="en-US" w:eastAsia="zh-CN"/>
              </w:rPr>
              <w:t>或以上</w:t>
            </w:r>
          </w:p>
          <w:p w14:paraId="265B8FCD">
            <w:pPr>
              <w:spacing w:line="240" w:lineRule="auto"/>
              <w:jc w:val="left"/>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安全：机箱防盗锁、BIOS USB屏蔽、一键恢复、硬盘保护</w:t>
            </w:r>
          </w:p>
          <w:p w14:paraId="1A1CE5A3">
            <w:pPr>
              <w:spacing w:line="240" w:lineRule="auto"/>
              <w:jc w:val="left"/>
              <w:rPr>
                <w:rFonts w:hint="eastAsia" w:ascii="宋体" w:hAnsi="宋体" w:eastAsia="宋体" w:cs="宋体"/>
                <w:bCs/>
                <w:snapToGrid w:val="0"/>
                <w:color w:val="auto"/>
                <w:kern w:val="0"/>
                <w:sz w:val="18"/>
                <w:szCs w:val="18"/>
                <w:highlight w:val="none"/>
                <w:lang w:val="en-US" w:eastAsia="zh-CN" w:bidi="ar-SA"/>
              </w:rPr>
            </w:pPr>
            <w:r>
              <w:rPr>
                <w:rFonts w:hint="eastAsia" w:ascii="宋体" w:hAnsi="宋体" w:eastAsia="宋体" w:cs="宋体"/>
                <w:bCs/>
                <w:color w:val="auto"/>
                <w:sz w:val="18"/>
                <w:szCs w:val="18"/>
                <w:highlight w:val="none"/>
              </w:rPr>
              <w:t>兼容：支持国产操作系统</w:t>
            </w:r>
          </w:p>
        </w:tc>
        <w:tc>
          <w:tcPr>
            <w:tcW w:w="0" w:type="auto"/>
            <w:vAlign w:val="center"/>
          </w:tcPr>
          <w:p w14:paraId="0E36B7BC">
            <w:pPr>
              <w:spacing w:line="240" w:lineRule="auto"/>
              <w:jc w:val="left"/>
              <w:rPr>
                <w:rFonts w:hint="eastAsia" w:ascii="宋体" w:hAnsi="宋体" w:eastAsia="宋体" w:cs="宋体"/>
                <w:bCs/>
                <w:snapToGrid w:val="0"/>
                <w:color w:val="auto"/>
                <w:kern w:val="0"/>
                <w:sz w:val="18"/>
                <w:szCs w:val="18"/>
                <w:highlight w:val="none"/>
                <w:lang w:val="en-US" w:eastAsia="zh-CN" w:bidi="ar-SA"/>
              </w:rPr>
            </w:pPr>
            <w:r>
              <w:rPr>
                <w:rFonts w:hint="eastAsia" w:ascii="宋体" w:hAnsi="宋体" w:eastAsia="宋体" w:cs="宋体"/>
                <w:bCs/>
                <w:color w:val="auto"/>
                <w:sz w:val="18"/>
                <w:szCs w:val="18"/>
                <w:highlight w:val="none"/>
                <w:lang w:val="en-US" w:eastAsia="zh-CN"/>
              </w:rPr>
              <w:t>8台</w:t>
            </w:r>
          </w:p>
        </w:tc>
      </w:tr>
    </w:tbl>
    <w:p w14:paraId="6C2E0F9E">
      <w:pPr>
        <w:rPr>
          <w:rFonts w:ascii="宋体" w:hAnsi="宋体" w:eastAsia="宋体" w:cs="宋体"/>
          <w:b/>
          <w:bCs/>
          <w:color w:val="auto"/>
          <w:spacing w:val="5"/>
          <w:sz w:val="35"/>
          <w:szCs w:val="35"/>
          <w:highlight w:val="none"/>
        </w:rPr>
      </w:pPr>
    </w:p>
    <w:p w14:paraId="2BFB0DB7">
      <w:pPr>
        <w:pStyle w:val="8"/>
        <w:rPr>
          <w:color w:val="auto"/>
          <w:highlight w:val="none"/>
        </w:rPr>
      </w:pPr>
    </w:p>
    <w:p w14:paraId="7D7E6865">
      <w:pPr>
        <w:rPr>
          <w:rFonts w:ascii="宋体" w:hAnsi="宋体" w:eastAsia="宋体" w:cs="宋体"/>
          <w:b/>
          <w:bCs/>
          <w:color w:val="auto"/>
          <w:spacing w:val="5"/>
          <w:sz w:val="35"/>
          <w:szCs w:val="35"/>
          <w:highlight w:val="none"/>
        </w:rPr>
      </w:pPr>
      <w:r>
        <w:rPr>
          <w:rFonts w:ascii="宋体" w:hAnsi="宋体" w:eastAsia="宋体" w:cs="宋体"/>
          <w:b/>
          <w:bCs/>
          <w:color w:val="auto"/>
          <w:spacing w:val="5"/>
          <w:sz w:val="35"/>
          <w:szCs w:val="35"/>
          <w:highlight w:val="none"/>
        </w:rPr>
        <w:br w:type="page"/>
      </w:r>
    </w:p>
    <w:p w14:paraId="0A9F4938">
      <w:pPr>
        <w:spacing w:before="140" w:line="225" w:lineRule="auto"/>
        <w:ind w:left="2552"/>
        <w:outlineLvl w:val="0"/>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第五部分合同格式</w:t>
      </w:r>
      <w:bookmarkEnd w:id="8"/>
    </w:p>
    <w:p w14:paraId="452387A9">
      <w:pPr>
        <w:spacing w:before="153" w:line="223" w:lineRule="auto"/>
        <w:ind w:left="1974" w:leftChars="0"/>
        <w:outlineLvl w:val="1"/>
        <w:rPr>
          <w:rFonts w:ascii="宋体" w:hAnsi="宋体" w:eastAsia="宋体" w:cs="宋体"/>
          <w:color w:val="auto"/>
          <w:sz w:val="47"/>
          <w:szCs w:val="47"/>
          <w:highlight w:val="none"/>
        </w:rPr>
      </w:pPr>
      <w:r>
        <w:rPr>
          <w:rFonts w:ascii="宋体" w:hAnsi="宋体" w:eastAsia="宋体" w:cs="宋体"/>
          <w:b/>
          <w:bCs/>
          <w:color w:val="auto"/>
          <w:spacing w:val="-29"/>
          <w:sz w:val="47"/>
          <w:szCs w:val="47"/>
          <w:highlight w:val="none"/>
        </w:rPr>
        <w:t>政府采购货物买卖合同</w:t>
      </w:r>
    </w:p>
    <w:p w14:paraId="0B0B592D">
      <w:pPr>
        <w:spacing w:before="386" w:line="225" w:lineRule="auto"/>
        <w:ind w:left="3319"/>
        <w:rPr>
          <w:rFonts w:ascii="宋体" w:hAnsi="宋体" w:eastAsia="宋体" w:cs="宋体"/>
          <w:color w:val="auto"/>
          <w:sz w:val="47"/>
          <w:szCs w:val="47"/>
          <w:highlight w:val="none"/>
        </w:rPr>
      </w:pPr>
      <w:r>
        <w:rPr>
          <w:rFonts w:ascii="宋体" w:hAnsi="宋体" w:eastAsia="宋体" w:cs="宋体"/>
          <w:b/>
          <w:bCs/>
          <w:color w:val="auto"/>
          <w:spacing w:val="-26"/>
          <w:sz w:val="47"/>
          <w:szCs w:val="47"/>
          <w:highlight w:val="none"/>
        </w:rPr>
        <w:t>（试行）</w:t>
      </w:r>
    </w:p>
    <w:p w14:paraId="353AAD44">
      <w:pPr>
        <w:spacing w:before="101" w:line="226" w:lineRule="auto"/>
        <w:ind w:left="432"/>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项目名称：</w:t>
      </w:r>
    </w:p>
    <w:p w14:paraId="2FC91438">
      <w:pPr>
        <w:spacing w:before="244" w:line="225" w:lineRule="auto"/>
        <w:ind w:left="428"/>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合同编号：</w:t>
      </w:r>
    </w:p>
    <w:p w14:paraId="431BD324">
      <w:pPr>
        <w:spacing w:before="245" w:line="227" w:lineRule="auto"/>
        <w:ind w:left="468"/>
        <w:rPr>
          <w:rFonts w:ascii="宋体" w:hAnsi="宋体" w:eastAsia="宋体" w:cs="宋体"/>
          <w:color w:val="auto"/>
          <w:sz w:val="31"/>
          <w:szCs w:val="31"/>
          <w:highlight w:val="none"/>
        </w:rPr>
      </w:pPr>
      <w:r>
        <w:rPr>
          <w:rFonts w:ascii="宋体" w:hAnsi="宋体" w:eastAsia="宋体" w:cs="宋体"/>
          <w:color w:val="auto"/>
          <w:spacing w:val="-27"/>
          <w:sz w:val="31"/>
          <w:szCs w:val="31"/>
          <w:highlight w:val="none"/>
        </w:rPr>
        <w:t>甲方：</w:t>
      </w:r>
    </w:p>
    <w:p w14:paraId="63B3AE99">
      <w:pPr>
        <w:spacing w:before="243" w:line="227" w:lineRule="auto"/>
        <w:ind w:left="453"/>
        <w:rPr>
          <w:rFonts w:ascii="宋体" w:hAnsi="宋体" w:eastAsia="宋体" w:cs="宋体"/>
          <w:color w:val="auto"/>
          <w:sz w:val="31"/>
          <w:szCs w:val="31"/>
          <w:highlight w:val="none"/>
        </w:rPr>
      </w:pPr>
      <w:r>
        <w:rPr>
          <w:rFonts w:ascii="宋体" w:hAnsi="宋体" w:eastAsia="宋体" w:cs="宋体"/>
          <w:color w:val="auto"/>
          <w:spacing w:val="-22"/>
          <w:sz w:val="31"/>
          <w:szCs w:val="31"/>
          <w:highlight w:val="none"/>
        </w:rPr>
        <w:t>乙方：</w:t>
      </w:r>
    </w:p>
    <w:p w14:paraId="4B1F2B0F">
      <w:pPr>
        <w:spacing w:before="242" w:line="228" w:lineRule="auto"/>
        <w:ind w:left="42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签订时间：</w:t>
      </w:r>
    </w:p>
    <w:p w14:paraId="692C6A9C">
      <w:pPr>
        <w:spacing w:line="228" w:lineRule="auto"/>
        <w:rPr>
          <w:rFonts w:ascii="宋体" w:hAnsi="宋体" w:eastAsia="宋体" w:cs="宋体"/>
          <w:color w:val="auto"/>
          <w:sz w:val="31"/>
          <w:szCs w:val="31"/>
          <w:highlight w:val="none"/>
        </w:rPr>
        <w:sectPr>
          <w:footerReference r:id="rId18" w:type="default"/>
          <w:pgSz w:w="11906" w:h="16839"/>
          <w:pgMar w:top="1431" w:right="1785" w:bottom="1209" w:left="1785" w:header="0" w:footer="973" w:gutter="0"/>
          <w:pgNumType w:fmt="decimal"/>
          <w:cols w:space="720" w:num="1"/>
        </w:sectPr>
      </w:pPr>
    </w:p>
    <w:p w14:paraId="7878FF01">
      <w:pPr>
        <w:spacing w:before="140" w:line="225" w:lineRule="auto"/>
        <w:ind w:left="2971" w:leftChars="0"/>
        <w:outlineLvl w:val="9"/>
        <w:rPr>
          <w:rFonts w:ascii="黑体" w:hAnsi="黑体" w:eastAsia="黑体" w:cs="黑体"/>
          <w:color w:val="auto"/>
          <w:sz w:val="43"/>
          <w:szCs w:val="43"/>
          <w:highlight w:val="none"/>
        </w:rPr>
      </w:pPr>
      <w:r>
        <w:rPr>
          <w:rFonts w:ascii="黑体" w:hAnsi="黑体" w:eastAsia="黑体" w:cs="黑体"/>
          <w:color w:val="auto"/>
          <w:spacing w:val="-10"/>
          <w:sz w:val="43"/>
          <w:szCs w:val="43"/>
          <w:highlight w:val="none"/>
        </w:rPr>
        <w:t>使用说明</w:t>
      </w:r>
    </w:p>
    <w:p w14:paraId="369AA877">
      <w:pPr>
        <w:spacing w:before="101" w:line="299" w:lineRule="auto"/>
        <w:ind w:left="47" w:right="16" w:firstLine="642"/>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1.本合同标准文本适用于购买现成货物的采购项目，不</w:t>
      </w:r>
      <w:r>
        <w:rPr>
          <w:rFonts w:ascii="仿宋" w:hAnsi="仿宋" w:eastAsia="仿宋" w:cs="仿宋"/>
          <w:color w:val="auto"/>
          <w:spacing w:val="8"/>
          <w:sz w:val="31"/>
          <w:szCs w:val="31"/>
          <w:highlight w:val="none"/>
        </w:rPr>
        <w:t>包括需要供应商定制开发、创新研发的货物采购项目。</w:t>
      </w:r>
    </w:p>
    <w:p w14:paraId="334FB519">
      <w:pPr>
        <w:spacing w:before="242" w:line="324" w:lineRule="auto"/>
        <w:ind w:left="36" w:right="16" w:firstLine="652"/>
        <w:rPr>
          <w:rFonts w:ascii="仿宋" w:hAnsi="仿宋" w:eastAsia="仿宋" w:cs="仿宋"/>
          <w:color w:val="auto"/>
          <w:sz w:val="31"/>
          <w:szCs w:val="31"/>
          <w:highlight w:val="none"/>
        </w:rPr>
      </w:pPr>
      <w:r>
        <w:rPr>
          <w:rFonts w:ascii="仿宋" w:hAnsi="仿宋" w:eastAsia="仿宋" w:cs="仿宋"/>
          <w:color w:val="auto"/>
          <w:spacing w:val="9"/>
          <w:sz w:val="31"/>
          <w:szCs w:val="31"/>
          <w:highlight w:val="none"/>
        </w:rPr>
        <w:t>2.本合同标准文本为政府采购货物买卖合</w:t>
      </w:r>
      <w:r>
        <w:rPr>
          <w:rFonts w:ascii="仿宋" w:hAnsi="仿宋" w:eastAsia="仿宋" w:cs="仿宋"/>
          <w:color w:val="auto"/>
          <w:spacing w:val="8"/>
          <w:sz w:val="31"/>
          <w:szCs w:val="31"/>
          <w:highlight w:val="none"/>
        </w:rPr>
        <w:t>同编制提供参考，可以结合采购项目具体情况，对文本作必要的调整修</w:t>
      </w:r>
      <w:r>
        <w:rPr>
          <w:rFonts w:ascii="仿宋" w:hAnsi="仿宋" w:eastAsia="仿宋" w:cs="仿宋"/>
          <w:color w:val="auto"/>
          <w:spacing w:val="3"/>
          <w:sz w:val="31"/>
          <w:szCs w:val="31"/>
          <w:highlight w:val="none"/>
        </w:rPr>
        <w:t>订后使用。</w:t>
      </w:r>
    </w:p>
    <w:p w14:paraId="77185103">
      <w:pPr>
        <w:spacing w:before="243" w:line="323" w:lineRule="auto"/>
        <w:ind w:left="35" w:right="16" w:firstLine="637"/>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3.本合同标准文本各条款中，如涉及填写多家供应商、制造商，多种采购标的、分包主要内容等信息的，可根据采</w:t>
      </w:r>
      <w:r>
        <w:rPr>
          <w:rFonts w:ascii="仿宋" w:hAnsi="仿宋" w:eastAsia="仿宋" w:cs="仿宋"/>
          <w:color w:val="auto"/>
          <w:spacing w:val="7"/>
          <w:sz w:val="31"/>
          <w:szCs w:val="31"/>
          <w:highlight w:val="none"/>
        </w:rPr>
        <w:t>购项目具体情况添加信息项。</w:t>
      </w:r>
    </w:p>
    <w:p w14:paraId="57A41DEB">
      <w:pPr>
        <w:spacing w:line="323" w:lineRule="auto"/>
        <w:rPr>
          <w:rFonts w:ascii="仿宋" w:hAnsi="仿宋" w:eastAsia="仿宋" w:cs="仿宋"/>
          <w:color w:val="auto"/>
          <w:sz w:val="31"/>
          <w:szCs w:val="31"/>
          <w:highlight w:val="none"/>
        </w:rPr>
        <w:sectPr>
          <w:footerReference r:id="rId19" w:type="default"/>
          <w:pgSz w:w="11906" w:h="16839"/>
          <w:pgMar w:top="1431" w:right="1785" w:bottom="1209" w:left="1785" w:header="0" w:footer="973" w:gutter="0"/>
          <w:pgNumType w:fmt="decimal"/>
          <w:cols w:space="720" w:num="1"/>
        </w:sectPr>
      </w:pPr>
    </w:p>
    <w:p w14:paraId="1CDC59E1">
      <w:pPr>
        <w:spacing w:before="91" w:line="222" w:lineRule="auto"/>
        <w:ind w:left="2873" w:leftChars="0"/>
        <w:outlineLvl w:val="1"/>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第一节政府采购合同协议书</w:t>
      </w:r>
    </w:p>
    <w:p w14:paraId="4159F3A7">
      <w:pPr>
        <w:spacing w:before="62" w:line="389" w:lineRule="auto"/>
        <w:ind w:left="1" w:right="1240" w:firstLine="24"/>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甲方（全称</w:t>
      </w:r>
      <w:r>
        <w:rPr>
          <w:rFonts w:ascii="宋体" w:hAnsi="宋体" w:eastAsia="宋体" w:cs="宋体"/>
          <w:color w:val="auto"/>
          <w:spacing w:val="6"/>
          <w:sz w:val="19"/>
          <w:szCs w:val="19"/>
          <w:highlight w:val="none"/>
        </w:rPr>
        <w:t>）：（</w:t>
      </w:r>
      <w:r>
        <w:rPr>
          <w:rFonts w:ascii="宋体" w:hAnsi="宋体" w:eastAsia="宋体" w:cs="宋体"/>
          <w:color w:val="auto"/>
          <w:spacing w:val="9"/>
          <w:sz w:val="19"/>
          <w:szCs w:val="19"/>
          <w:highlight w:val="none"/>
        </w:rPr>
        <w:t>采购人、受采购人委托签订合同的单位或采购</w:t>
      </w:r>
      <w:r>
        <w:rPr>
          <w:rFonts w:ascii="宋体" w:hAnsi="宋体" w:eastAsia="宋体" w:cs="宋体"/>
          <w:color w:val="auto"/>
          <w:spacing w:val="8"/>
          <w:sz w:val="19"/>
          <w:szCs w:val="19"/>
          <w:highlight w:val="none"/>
        </w:rPr>
        <w:t>文件约定的合同甲方）</w:t>
      </w:r>
    </w:p>
    <w:p w14:paraId="39AE8583">
      <w:pPr>
        <w:spacing w:line="228" w:lineRule="auto"/>
        <w:ind w:left="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乙方1（全称</w:t>
      </w:r>
      <w:r>
        <w:rPr>
          <w:rFonts w:ascii="宋体" w:hAnsi="宋体" w:eastAsia="宋体" w:cs="宋体"/>
          <w:color w:val="auto"/>
          <w:spacing w:val="1"/>
          <w:sz w:val="19"/>
          <w:szCs w:val="19"/>
          <w:highlight w:val="none"/>
        </w:rPr>
        <w:t>）：（</w:t>
      </w:r>
      <w:r>
        <w:rPr>
          <w:rFonts w:ascii="宋体" w:hAnsi="宋体" w:eastAsia="宋体" w:cs="宋体"/>
          <w:color w:val="auto"/>
          <w:spacing w:val="6"/>
          <w:sz w:val="19"/>
          <w:szCs w:val="19"/>
          <w:highlight w:val="none"/>
        </w:rPr>
        <w:t>供应商）</w:t>
      </w:r>
    </w:p>
    <w:p w14:paraId="35C118F0">
      <w:pPr>
        <w:spacing w:before="163" w:line="228" w:lineRule="auto"/>
        <w:ind w:left="16"/>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乙方2（全称</w:t>
      </w:r>
      <w:r>
        <w:rPr>
          <w:rFonts w:ascii="宋体" w:hAnsi="宋体" w:eastAsia="宋体" w:cs="宋体"/>
          <w:color w:val="auto"/>
          <w:spacing w:val="-1"/>
          <w:sz w:val="19"/>
          <w:szCs w:val="19"/>
          <w:highlight w:val="none"/>
        </w:rPr>
        <w:t>）：（</w:t>
      </w:r>
      <w:r>
        <w:rPr>
          <w:rFonts w:ascii="宋体" w:hAnsi="宋体" w:eastAsia="宋体" w:cs="宋体"/>
          <w:color w:val="auto"/>
          <w:spacing w:val="10"/>
          <w:sz w:val="19"/>
          <w:szCs w:val="19"/>
          <w:highlight w:val="none"/>
        </w:rPr>
        <w:t>联合体成员供应商或其他合同主体</w:t>
      </w:r>
      <w:r>
        <w:rPr>
          <w:rFonts w:ascii="宋体" w:hAnsi="宋体" w:eastAsia="宋体" w:cs="宋体"/>
          <w:color w:val="auto"/>
          <w:spacing w:val="-1"/>
          <w:sz w:val="19"/>
          <w:szCs w:val="19"/>
          <w:highlight w:val="none"/>
        </w:rPr>
        <w:t>）（</w:t>
      </w:r>
      <w:r>
        <w:rPr>
          <w:rFonts w:ascii="宋体" w:hAnsi="宋体" w:eastAsia="宋体" w:cs="宋体"/>
          <w:color w:val="auto"/>
          <w:spacing w:val="10"/>
          <w:sz w:val="19"/>
          <w:szCs w:val="19"/>
          <w:highlight w:val="none"/>
        </w:rPr>
        <w:t>如有）</w:t>
      </w:r>
    </w:p>
    <w:p w14:paraId="66D7B3AE">
      <w:pPr>
        <w:spacing w:before="166" w:line="228" w:lineRule="auto"/>
        <w:ind w:left="16"/>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乙方3（全称</w:t>
      </w:r>
      <w:r>
        <w:rPr>
          <w:rFonts w:ascii="宋体" w:hAnsi="宋体" w:eastAsia="宋体" w:cs="宋体"/>
          <w:color w:val="auto"/>
          <w:spacing w:val="-4"/>
          <w:sz w:val="19"/>
          <w:szCs w:val="19"/>
          <w:highlight w:val="none"/>
        </w:rPr>
        <w:t>）（</w:t>
      </w:r>
      <w:r>
        <w:rPr>
          <w:rFonts w:ascii="宋体" w:hAnsi="宋体" w:eastAsia="宋体" w:cs="宋体"/>
          <w:color w:val="auto"/>
          <w:spacing w:val="10"/>
          <w:sz w:val="19"/>
          <w:szCs w:val="19"/>
          <w:highlight w:val="none"/>
        </w:rPr>
        <w:t>联合体成员供应商或其他合同主体</w:t>
      </w:r>
      <w:r>
        <w:rPr>
          <w:rFonts w:ascii="宋体" w:hAnsi="宋体" w:eastAsia="宋体" w:cs="宋体"/>
          <w:color w:val="auto"/>
          <w:spacing w:val="-4"/>
          <w:sz w:val="19"/>
          <w:szCs w:val="19"/>
          <w:highlight w:val="none"/>
        </w:rPr>
        <w:t>）（</w:t>
      </w:r>
      <w:r>
        <w:rPr>
          <w:rFonts w:ascii="宋体" w:hAnsi="宋体" w:eastAsia="宋体" w:cs="宋体"/>
          <w:color w:val="auto"/>
          <w:spacing w:val="10"/>
          <w:sz w:val="19"/>
          <w:szCs w:val="19"/>
          <w:highlight w:val="none"/>
        </w:rPr>
        <w:t>如有）</w:t>
      </w:r>
    </w:p>
    <w:p w14:paraId="5A93F6BC">
      <w:pPr>
        <w:spacing w:before="62" w:line="389" w:lineRule="auto"/>
        <w:ind w:firstLine="399"/>
        <w:jc w:val="both"/>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依据《中华人民共和国民法典》、《中华人民共和国政府采购法》等有关的法</w:t>
      </w:r>
      <w:r>
        <w:rPr>
          <w:rFonts w:ascii="宋体" w:hAnsi="宋体" w:eastAsia="宋体" w:cs="宋体"/>
          <w:color w:val="auto"/>
          <w:spacing w:val="9"/>
          <w:sz w:val="19"/>
          <w:szCs w:val="19"/>
          <w:highlight w:val="none"/>
        </w:rPr>
        <w:t>律法规，以及本采购项目的招标/谈判文件等采购文件、乙方的《</w:t>
      </w:r>
      <w:r>
        <w:rPr>
          <w:rFonts w:ascii="宋体" w:hAnsi="宋体" w:eastAsia="宋体" w:cs="宋体"/>
          <w:color w:val="auto"/>
          <w:spacing w:val="8"/>
          <w:sz w:val="19"/>
          <w:szCs w:val="19"/>
          <w:highlight w:val="none"/>
        </w:rPr>
        <w:t>投标（响应）文件》及《中标（成交）通知书》，甲乙双方同意签订本合同。具体情况及要求如下：</w:t>
      </w:r>
    </w:p>
    <w:p w14:paraId="3B9D89F6">
      <w:pPr>
        <w:spacing w:line="228" w:lineRule="auto"/>
        <w:ind w:left="413" w:leftChars="0"/>
        <w:outlineLvl w:val="2"/>
        <w:rPr>
          <w:rFonts w:ascii="宋体" w:hAnsi="宋体" w:eastAsia="宋体" w:cs="宋体"/>
          <w:color w:val="auto"/>
          <w:sz w:val="19"/>
          <w:szCs w:val="19"/>
          <w:highlight w:val="none"/>
        </w:rPr>
      </w:pPr>
      <w:r>
        <w:rPr>
          <w:rFonts w:ascii="宋体" w:hAnsi="宋体" w:eastAsia="宋体" w:cs="宋体"/>
          <w:b/>
          <w:bCs/>
          <w:color w:val="auto"/>
          <w:spacing w:val="1"/>
          <w:sz w:val="19"/>
          <w:szCs w:val="19"/>
          <w:highlight w:val="none"/>
        </w:rPr>
        <w:t>1.项目信息</w:t>
      </w:r>
    </w:p>
    <w:p w14:paraId="02A4B5AD">
      <w:pPr>
        <w:spacing w:before="165" w:line="228" w:lineRule="auto"/>
        <w:ind w:left="408" w:leftChars="0"/>
        <w:outlineLvl w:val="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（1）采购项目名称：</w:t>
      </w:r>
    </w:p>
    <w:p w14:paraId="7EB0F0A2">
      <w:pPr>
        <w:spacing w:before="167" w:line="228" w:lineRule="auto"/>
        <w:ind w:left="89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采购项目编号：</w:t>
      </w:r>
    </w:p>
    <w:p w14:paraId="553D0A91">
      <w:pPr>
        <w:spacing w:before="163" w:line="228" w:lineRule="auto"/>
        <w:ind w:left="408"/>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（2）采购计划编号：</w:t>
      </w:r>
    </w:p>
    <w:p w14:paraId="15A25F75">
      <w:pPr>
        <w:spacing w:before="166" w:line="229" w:lineRule="auto"/>
        <w:ind w:left="40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（3）项目内容：</w:t>
      </w:r>
    </w:p>
    <w:p w14:paraId="10E69C82">
      <w:pPr>
        <w:spacing w:before="166" w:line="228" w:lineRule="auto"/>
        <w:ind w:left="89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采购标的及数量（台/套/个/架/组等</w:t>
      </w:r>
      <w:r>
        <w:rPr>
          <w:rFonts w:ascii="宋体" w:hAnsi="宋体" w:eastAsia="宋体" w:cs="宋体"/>
          <w:color w:val="auto"/>
          <w:spacing w:val="13"/>
          <w:sz w:val="19"/>
          <w:szCs w:val="19"/>
          <w:highlight w:val="none"/>
        </w:rPr>
        <w:t>）：</w:t>
      </w:r>
    </w:p>
    <w:p w14:paraId="7E4B587A">
      <w:pPr>
        <w:spacing w:before="163" w:line="229" w:lineRule="auto"/>
        <w:ind w:left="916"/>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品牌：规格型号：</w:t>
      </w:r>
    </w:p>
    <w:p w14:paraId="02C94FD0">
      <w:pPr>
        <w:spacing w:before="165" w:line="228" w:lineRule="auto"/>
        <w:ind w:left="89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采购标的的技术要求、商务要求具体见附件。</w:t>
      </w:r>
    </w:p>
    <w:p w14:paraId="71A14723">
      <w:pPr>
        <w:spacing w:before="166" w:line="227" w:lineRule="auto"/>
        <w:ind w:left="899" w:leftChars="0"/>
        <w:outlineLvl w:val="4"/>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①涉及信息类产品，请填写该产品关键部件的品牌、型号：</w:t>
      </w:r>
    </w:p>
    <w:p w14:paraId="22846974">
      <w:pPr>
        <w:spacing w:before="165" w:line="230" w:lineRule="auto"/>
        <w:ind w:left="900"/>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标的名称：</w:t>
      </w:r>
    </w:p>
    <w:p w14:paraId="354BD6A3">
      <w:pPr>
        <w:spacing w:before="164" w:line="229" w:lineRule="auto"/>
        <w:ind w:left="903"/>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关键部件：品牌：型号：</w:t>
      </w:r>
    </w:p>
    <w:p w14:paraId="68B8990A">
      <w:pPr>
        <w:spacing w:before="155" w:line="228" w:lineRule="auto"/>
        <w:ind w:left="94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关键部件：品牌：型号：</w:t>
      </w:r>
    </w:p>
    <w:p w14:paraId="498055FD">
      <w:pPr>
        <w:spacing w:before="154" w:line="228" w:lineRule="auto"/>
        <w:ind w:left="94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关键部件：品牌：型号：</w:t>
      </w:r>
    </w:p>
    <w:p w14:paraId="48102119">
      <w:pPr>
        <w:spacing w:before="152" w:line="369" w:lineRule="auto"/>
        <w:ind w:left="5" w:right="2" w:firstLine="3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（注：关键部件是指财政部会同有关部门发布的政府采购需求标准规定的需要通过国家有关部门指</w:t>
      </w:r>
      <w:r>
        <w:rPr>
          <w:rFonts w:ascii="宋体" w:hAnsi="宋体" w:eastAsia="宋体" w:cs="宋体"/>
          <w:color w:val="auto"/>
          <w:spacing w:val="10"/>
          <w:sz w:val="20"/>
          <w:szCs w:val="20"/>
          <w:highlight w:val="none"/>
        </w:rPr>
        <w:t>定的测评机构开展的安全可靠测评的软硬件，</w:t>
      </w:r>
      <w:r>
        <w:rPr>
          <w:rFonts w:ascii="宋体" w:hAnsi="宋体" w:eastAsia="宋体" w:cs="宋体"/>
          <w:color w:val="auto"/>
          <w:spacing w:val="9"/>
          <w:sz w:val="20"/>
          <w:szCs w:val="20"/>
          <w:highlight w:val="none"/>
        </w:rPr>
        <w:t>如</w:t>
      </w:r>
      <w:r>
        <w:rPr>
          <w:rFonts w:ascii="宋体" w:hAnsi="宋体" w:eastAsia="宋体" w:cs="宋体"/>
          <w:color w:val="auto"/>
          <w:sz w:val="20"/>
          <w:szCs w:val="20"/>
          <w:highlight w:val="none"/>
        </w:rPr>
        <w:t>CPU</w:t>
      </w:r>
      <w:r>
        <w:rPr>
          <w:rFonts w:ascii="宋体" w:hAnsi="宋体" w:eastAsia="宋体" w:cs="宋体"/>
          <w:color w:val="auto"/>
          <w:spacing w:val="9"/>
          <w:sz w:val="20"/>
          <w:szCs w:val="20"/>
          <w:highlight w:val="none"/>
        </w:rPr>
        <w:t>芯片、操作系统、数据库等。）</w:t>
      </w:r>
    </w:p>
    <w:p w14:paraId="3B178CF4">
      <w:pPr>
        <w:spacing w:before="1" w:line="226" w:lineRule="auto"/>
        <w:ind w:left="944" w:leftChars="0"/>
        <w:outlineLvl w:val="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②涉及车辆采购，请填写是否属于新能源汽车：</w:t>
      </w:r>
    </w:p>
    <w:p w14:paraId="108DA530">
      <w:pPr>
        <w:spacing w:before="148" w:line="248" w:lineRule="auto"/>
        <w:ind w:left="955"/>
        <w:rPr>
          <w:rFonts w:ascii="宋体" w:hAnsi="宋体" w:eastAsia="宋体" w:cs="宋体"/>
          <w:color w:val="auto"/>
          <w:sz w:val="20"/>
          <w:szCs w:val="20"/>
          <w:highlight w:val="none"/>
        </w:rPr>
      </w:pPr>
      <w:r>
        <w:rPr>
          <w:rFonts w:ascii="Wingdings" w:hAnsi="Wingdings" w:eastAsia="Wingdings" w:cs="Wingdings"/>
          <w:color w:val="auto"/>
          <w:spacing w:val="8"/>
          <w:sz w:val="20"/>
          <w:szCs w:val="20"/>
          <w:highlight w:val="none"/>
        </w:rPr>
        <w:t>o</w:t>
      </w:r>
      <w:r>
        <w:rPr>
          <w:rFonts w:ascii="宋体" w:hAnsi="宋体" w:eastAsia="宋体" w:cs="宋体"/>
          <w:color w:val="auto"/>
          <w:spacing w:val="8"/>
          <w:sz w:val="20"/>
          <w:szCs w:val="20"/>
          <w:highlight w:val="none"/>
        </w:rPr>
        <w:t>是，《政府采购品目分类目录》底级品目名称：数量：金额：</w:t>
      </w:r>
    </w:p>
    <w:p w14:paraId="77E16BA6">
      <w:pPr>
        <w:spacing w:before="129" w:line="270" w:lineRule="exact"/>
        <w:ind w:left="955"/>
        <w:rPr>
          <w:rFonts w:ascii="宋体" w:hAnsi="宋体" w:eastAsia="宋体" w:cs="宋体"/>
          <w:color w:val="auto"/>
          <w:sz w:val="20"/>
          <w:szCs w:val="20"/>
          <w:highlight w:val="none"/>
        </w:rPr>
      </w:pPr>
      <w:r>
        <w:rPr>
          <w:rFonts w:ascii="Wingdings" w:hAnsi="Wingdings" w:eastAsia="Wingdings" w:cs="Wingdings"/>
          <w:color w:val="auto"/>
          <w:spacing w:val="-1"/>
          <w:position w:val="1"/>
          <w:sz w:val="20"/>
          <w:szCs w:val="20"/>
          <w:highlight w:val="none"/>
        </w:rPr>
        <w:t>o</w:t>
      </w:r>
      <w:r>
        <w:rPr>
          <w:rFonts w:ascii="宋体" w:hAnsi="宋体" w:eastAsia="宋体" w:cs="宋体"/>
          <w:color w:val="auto"/>
          <w:spacing w:val="-1"/>
          <w:position w:val="1"/>
          <w:sz w:val="20"/>
          <w:szCs w:val="20"/>
          <w:highlight w:val="none"/>
        </w:rPr>
        <w:t>否</w:t>
      </w:r>
    </w:p>
    <w:p w14:paraId="2A06709E">
      <w:pPr>
        <w:spacing w:before="131" w:line="269" w:lineRule="exact"/>
        <w:ind w:left="430"/>
        <w:rPr>
          <w:rFonts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（4）政府采购组织形式：</w:t>
      </w:r>
      <w:r>
        <w:rPr>
          <w:rFonts w:ascii="Wingdings" w:hAnsi="Wingdings" w:eastAsia="Wingdings" w:cs="Wingdings"/>
          <w:color w:val="auto"/>
          <w:spacing w:val="9"/>
          <w:position w:val="1"/>
          <w:sz w:val="20"/>
          <w:szCs w:val="20"/>
          <w:highlight w:val="none"/>
        </w:rPr>
        <w:t>o</w:t>
      </w:r>
      <w:r>
        <w:rPr>
          <w:rFonts w:ascii="宋体" w:hAnsi="宋体" w:eastAsia="宋体" w:cs="宋体"/>
          <w:color w:val="auto"/>
          <w:spacing w:val="9"/>
          <w:position w:val="1"/>
          <w:sz w:val="20"/>
          <w:szCs w:val="20"/>
          <w:highlight w:val="none"/>
        </w:rPr>
        <w:t>政府集中采购</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部门集中采购</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分散采购</w:t>
      </w:r>
    </w:p>
    <w:p w14:paraId="6146CD45">
      <w:pPr>
        <w:spacing w:before="132" w:line="269" w:lineRule="exact"/>
        <w:ind w:left="430"/>
        <w:rPr>
          <w:rFonts w:ascii="宋体" w:hAnsi="宋体" w:eastAsia="宋体" w:cs="宋体"/>
          <w:color w:val="auto"/>
          <w:sz w:val="20"/>
          <w:szCs w:val="20"/>
          <w:highlight w:val="none"/>
        </w:rPr>
      </w:pPr>
      <w:r>
        <w:rPr>
          <w:rFonts w:ascii="宋体" w:hAnsi="宋体" w:eastAsia="宋体" w:cs="宋体"/>
          <w:color w:val="auto"/>
          <w:spacing w:val="8"/>
          <w:position w:val="1"/>
          <w:sz w:val="20"/>
          <w:szCs w:val="20"/>
          <w:highlight w:val="none"/>
        </w:rPr>
        <w:t>（5）政府采购方式：</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公开招标</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邀请招标</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竞争性谈判</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竞争性磋商</w:t>
      </w:r>
    </w:p>
    <w:p w14:paraId="4AC85C6B">
      <w:pPr>
        <w:spacing w:line="269" w:lineRule="exact"/>
        <w:rPr>
          <w:rFonts w:ascii="宋体" w:hAnsi="宋体" w:eastAsia="宋体" w:cs="宋体"/>
          <w:color w:val="auto"/>
          <w:sz w:val="20"/>
          <w:szCs w:val="20"/>
          <w:highlight w:val="none"/>
        </w:rPr>
        <w:sectPr>
          <w:footerReference r:id="rId20" w:type="default"/>
          <w:pgSz w:w="11906" w:h="16839"/>
          <w:pgMar w:top="1431" w:right="1247" w:bottom="400" w:left="1426" w:header="0" w:footer="0" w:gutter="0"/>
          <w:pgNumType w:fmt="decimal"/>
          <w:cols w:space="720" w:num="1"/>
        </w:sectPr>
      </w:pPr>
    </w:p>
    <w:p w14:paraId="7E944049">
      <w:pPr>
        <w:spacing w:before="119" w:line="247" w:lineRule="auto"/>
        <w:ind w:left="2410"/>
        <w:rPr>
          <w:rFonts w:ascii="宋体" w:hAnsi="宋体" w:eastAsia="宋体" w:cs="宋体"/>
          <w:color w:val="auto"/>
          <w:sz w:val="20"/>
          <w:szCs w:val="20"/>
          <w:highlight w:val="none"/>
        </w:rPr>
      </w:pPr>
      <w:r>
        <w:rPr>
          <w:rFonts w:ascii="Wingdings" w:hAnsi="Wingdings" w:eastAsia="Wingdings" w:cs="Wingdings"/>
          <w:color w:val="auto"/>
          <w:spacing w:val="6"/>
          <w:sz w:val="20"/>
          <w:szCs w:val="20"/>
          <w:highlight w:val="none"/>
        </w:rPr>
        <w:t>o</w:t>
      </w:r>
      <w:r>
        <w:rPr>
          <w:rFonts w:ascii="宋体" w:hAnsi="宋体" w:eastAsia="宋体" w:cs="宋体"/>
          <w:color w:val="auto"/>
          <w:spacing w:val="6"/>
          <w:sz w:val="20"/>
          <w:szCs w:val="20"/>
          <w:highlight w:val="none"/>
        </w:rPr>
        <w:t>询价</w:t>
      </w:r>
      <w:r>
        <w:rPr>
          <w:rFonts w:ascii="Wingdings" w:hAnsi="Wingdings" w:eastAsia="Wingdings" w:cs="Wingdings"/>
          <w:color w:val="auto"/>
          <w:spacing w:val="6"/>
          <w:sz w:val="20"/>
          <w:szCs w:val="20"/>
          <w:highlight w:val="none"/>
        </w:rPr>
        <w:t>o</w:t>
      </w:r>
      <w:r>
        <w:rPr>
          <w:rFonts w:ascii="宋体" w:hAnsi="宋体" w:eastAsia="宋体" w:cs="宋体"/>
          <w:color w:val="auto"/>
          <w:spacing w:val="6"/>
          <w:sz w:val="20"/>
          <w:szCs w:val="20"/>
          <w:highlight w:val="none"/>
        </w:rPr>
        <w:t>单一来源</w:t>
      </w:r>
      <w:r>
        <w:rPr>
          <w:rFonts w:ascii="Wingdings" w:hAnsi="Wingdings" w:eastAsia="Wingdings" w:cs="Wingdings"/>
          <w:color w:val="auto"/>
          <w:spacing w:val="6"/>
          <w:sz w:val="20"/>
          <w:szCs w:val="20"/>
          <w:highlight w:val="none"/>
        </w:rPr>
        <w:t>o</w:t>
      </w:r>
      <w:r>
        <w:rPr>
          <w:rFonts w:ascii="宋体" w:hAnsi="宋体" w:eastAsia="宋体" w:cs="宋体"/>
          <w:color w:val="auto"/>
          <w:spacing w:val="6"/>
          <w:sz w:val="20"/>
          <w:szCs w:val="20"/>
          <w:highlight w:val="none"/>
        </w:rPr>
        <w:t>框架协议</w:t>
      </w:r>
      <w:r>
        <w:rPr>
          <w:rFonts w:ascii="Wingdings" w:hAnsi="Wingdings" w:eastAsia="Wingdings" w:cs="Wingdings"/>
          <w:color w:val="auto"/>
          <w:spacing w:val="6"/>
          <w:sz w:val="20"/>
          <w:szCs w:val="20"/>
          <w:highlight w:val="none"/>
        </w:rPr>
        <w:t>o</w:t>
      </w:r>
      <w:r>
        <w:rPr>
          <w:rFonts w:ascii="宋体" w:hAnsi="宋体" w:eastAsia="宋体" w:cs="宋体"/>
          <w:color w:val="auto"/>
          <w:spacing w:val="6"/>
          <w:sz w:val="20"/>
          <w:szCs w:val="20"/>
          <w:highlight w:val="none"/>
        </w:rPr>
        <w:t>其他：</w:t>
      </w:r>
    </w:p>
    <w:p w14:paraId="0C52097A">
      <w:pPr>
        <w:spacing w:before="138"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（注：在框架协议采购的第二阶段，可选择使用该</w:t>
      </w:r>
      <w:r>
        <w:rPr>
          <w:rFonts w:ascii="宋体" w:hAnsi="宋体" w:eastAsia="宋体" w:cs="宋体"/>
          <w:color w:val="auto"/>
          <w:spacing w:val="8"/>
          <w:sz w:val="20"/>
          <w:szCs w:val="20"/>
          <w:highlight w:val="none"/>
        </w:rPr>
        <w:t>合同文本）</w:t>
      </w:r>
    </w:p>
    <w:p w14:paraId="5B888F8E">
      <w:pPr>
        <w:spacing w:before="115" w:line="331" w:lineRule="exact"/>
        <w:ind w:left="348" w:leftChars="0"/>
        <w:outlineLvl w:val="3"/>
        <w:rPr>
          <w:rFonts w:ascii="宋体" w:hAnsi="宋体" w:eastAsia="宋体" w:cs="宋体"/>
          <w:color w:val="auto"/>
          <w:sz w:val="20"/>
          <w:szCs w:val="20"/>
          <w:highlight w:val="none"/>
        </w:rPr>
      </w:pPr>
      <w:r>
        <w:rPr>
          <w:rFonts w:ascii="楷体" w:hAnsi="楷体" w:eastAsia="楷体" w:cs="楷体"/>
          <w:color w:val="auto"/>
          <w:spacing w:val="7"/>
          <w:position w:val="2"/>
          <w:sz w:val="22"/>
          <w:szCs w:val="22"/>
          <w:highlight w:val="none"/>
        </w:rPr>
        <w:t>（</w:t>
      </w:r>
      <w:r>
        <w:rPr>
          <w:rFonts w:ascii="宋体" w:hAnsi="宋体" w:eastAsia="宋体" w:cs="宋体"/>
          <w:color w:val="auto"/>
          <w:spacing w:val="7"/>
          <w:position w:val="2"/>
          <w:sz w:val="22"/>
          <w:szCs w:val="22"/>
          <w:highlight w:val="none"/>
        </w:rPr>
        <w:t>6</w:t>
      </w:r>
      <w:r>
        <w:rPr>
          <w:rFonts w:ascii="楷体" w:hAnsi="楷体" w:eastAsia="楷体" w:cs="楷体"/>
          <w:color w:val="auto"/>
          <w:spacing w:val="7"/>
          <w:position w:val="2"/>
          <w:sz w:val="22"/>
          <w:szCs w:val="22"/>
          <w:highlight w:val="none"/>
        </w:rPr>
        <w:t>）</w:t>
      </w:r>
      <w:r>
        <w:rPr>
          <w:rFonts w:ascii="宋体" w:hAnsi="宋体" w:eastAsia="宋体" w:cs="宋体"/>
          <w:color w:val="auto"/>
          <w:spacing w:val="7"/>
          <w:position w:val="2"/>
          <w:sz w:val="20"/>
          <w:szCs w:val="20"/>
          <w:highlight w:val="none"/>
        </w:rPr>
        <w:t>中标（成交）采购标的制造商是否为中小企业：</w:t>
      </w:r>
      <w:r>
        <w:rPr>
          <w:rFonts w:ascii="Wingdings" w:hAnsi="Wingdings" w:eastAsia="Wingdings" w:cs="Wingdings"/>
          <w:color w:val="auto"/>
          <w:spacing w:val="7"/>
          <w:position w:val="2"/>
          <w:sz w:val="20"/>
          <w:szCs w:val="20"/>
          <w:highlight w:val="none"/>
        </w:rPr>
        <w:t>o</w:t>
      </w:r>
      <w:r>
        <w:rPr>
          <w:rFonts w:ascii="宋体" w:hAnsi="宋体" w:eastAsia="宋体" w:cs="宋体"/>
          <w:color w:val="auto"/>
          <w:spacing w:val="7"/>
          <w:position w:val="2"/>
          <w:sz w:val="20"/>
          <w:szCs w:val="20"/>
          <w:highlight w:val="none"/>
        </w:rPr>
        <w:t>是</w:t>
      </w:r>
      <w:r>
        <w:rPr>
          <w:rFonts w:ascii="Wingdings" w:hAnsi="Wingdings" w:eastAsia="Wingdings" w:cs="Wingdings"/>
          <w:color w:val="auto"/>
          <w:spacing w:val="7"/>
          <w:position w:val="2"/>
          <w:sz w:val="20"/>
          <w:szCs w:val="20"/>
          <w:highlight w:val="none"/>
        </w:rPr>
        <w:t>o</w:t>
      </w:r>
      <w:r>
        <w:rPr>
          <w:rFonts w:ascii="宋体" w:hAnsi="宋体" w:eastAsia="宋体" w:cs="宋体"/>
          <w:color w:val="auto"/>
          <w:spacing w:val="7"/>
          <w:position w:val="2"/>
          <w:sz w:val="20"/>
          <w:szCs w:val="20"/>
          <w:highlight w:val="none"/>
        </w:rPr>
        <w:t>否</w:t>
      </w:r>
    </w:p>
    <w:p w14:paraId="04C83C95">
      <w:pPr>
        <w:spacing w:before="109" w:line="256" w:lineRule="exact"/>
        <w:ind w:left="901"/>
        <w:rPr>
          <w:rFonts w:ascii="宋体" w:hAnsi="宋体" w:eastAsia="宋体" w:cs="宋体"/>
          <w:color w:val="auto"/>
          <w:sz w:val="19"/>
          <w:szCs w:val="19"/>
          <w:highlight w:val="none"/>
        </w:rPr>
      </w:pPr>
      <w:r>
        <w:rPr>
          <w:rFonts w:ascii="宋体" w:hAnsi="宋体" w:eastAsia="宋体" w:cs="宋体"/>
          <w:color w:val="auto"/>
          <w:spacing w:val="9"/>
          <w:position w:val="1"/>
          <w:sz w:val="19"/>
          <w:szCs w:val="19"/>
          <w:highlight w:val="none"/>
        </w:rPr>
        <w:t>本合同是否为专门面向中小企业的采购合同（</w:t>
      </w:r>
      <w:r>
        <w:rPr>
          <w:rFonts w:ascii="宋体" w:hAnsi="宋体" w:eastAsia="宋体" w:cs="宋体"/>
          <w:color w:val="auto"/>
          <w:spacing w:val="8"/>
          <w:position w:val="1"/>
          <w:sz w:val="19"/>
          <w:szCs w:val="19"/>
          <w:highlight w:val="none"/>
        </w:rPr>
        <w:t>中小企业预留合同</w:t>
      </w:r>
      <w:r>
        <w:rPr>
          <w:rFonts w:ascii="宋体" w:hAnsi="宋体" w:eastAsia="宋体" w:cs="宋体"/>
          <w:color w:val="auto"/>
          <w:spacing w:val="19"/>
          <w:position w:val="1"/>
          <w:sz w:val="19"/>
          <w:szCs w:val="19"/>
          <w:highlight w:val="none"/>
        </w:rPr>
        <w:t>）：</w:t>
      </w:r>
      <w:r>
        <w:rPr>
          <w:rFonts w:ascii="Wingdings" w:hAnsi="Wingdings" w:eastAsia="Wingdings" w:cs="Wingdings"/>
          <w:color w:val="auto"/>
          <w:spacing w:val="8"/>
          <w:position w:val="1"/>
          <w:sz w:val="19"/>
          <w:szCs w:val="19"/>
          <w:highlight w:val="none"/>
        </w:rPr>
        <w:t>o</w:t>
      </w:r>
      <w:r>
        <w:rPr>
          <w:rFonts w:ascii="宋体" w:hAnsi="宋体" w:eastAsia="宋体" w:cs="宋体"/>
          <w:color w:val="auto"/>
          <w:spacing w:val="8"/>
          <w:position w:val="1"/>
          <w:sz w:val="19"/>
          <w:szCs w:val="19"/>
          <w:highlight w:val="none"/>
        </w:rPr>
        <w:t>是</w:t>
      </w:r>
      <w:r>
        <w:rPr>
          <w:rFonts w:ascii="Wingdings" w:hAnsi="Wingdings" w:eastAsia="Wingdings" w:cs="Wingdings"/>
          <w:color w:val="auto"/>
          <w:spacing w:val="8"/>
          <w:position w:val="1"/>
          <w:sz w:val="19"/>
          <w:szCs w:val="19"/>
          <w:highlight w:val="none"/>
        </w:rPr>
        <w:t>o</w:t>
      </w:r>
      <w:r>
        <w:rPr>
          <w:rFonts w:ascii="宋体" w:hAnsi="宋体" w:eastAsia="宋体" w:cs="宋体"/>
          <w:color w:val="auto"/>
          <w:spacing w:val="8"/>
          <w:position w:val="1"/>
          <w:sz w:val="19"/>
          <w:szCs w:val="19"/>
          <w:highlight w:val="none"/>
        </w:rPr>
        <w:t>否</w:t>
      </w:r>
    </w:p>
    <w:p w14:paraId="21D444D1">
      <w:pPr>
        <w:spacing w:before="142" w:line="256" w:lineRule="exact"/>
        <w:ind w:left="901"/>
        <w:rPr>
          <w:rFonts w:ascii="宋体" w:hAnsi="宋体" w:eastAsia="宋体" w:cs="宋体"/>
          <w:color w:val="auto"/>
          <w:sz w:val="19"/>
          <w:szCs w:val="19"/>
          <w:highlight w:val="none"/>
        </w:rPr>
      </w:pPr>
      <w:r>
        <w:rPr>
          <w:rFonts w:ascii="宋体" w:hAnsi="宋体" w:eastAsia="宋体" w:cs="宋体"/>
          <w:color w:val="auto"/>
          <w:spacing w:val="9"/>
          <w:position w:val="1"/>
          <w:sz w:val="19"/>
          <w:szCs w:val="19"/>
          <w:highlight w:val="none"/>
        </w:rPr>
        <w:t>若本项目不专门面向中小企业采购，是否给予小微企业评审优惠：</w:t>
      </w:r>
      <w:r>
        <w:rPr>
          <w:rFonts w:ascii="Wingdings" w:hAnsi="Wingdings" w:eastAsia="Wingdings" w:cs="Wingdings"/>
          <w:color w:val="auto"/>
          <w:spacing w:val="9"/>
          <w:position w:val="1"/>
          <w:sz w:val="19"/>
          <w:szCs w:val="19"/>
          <w:highlight w:val="none"/>
        </w:rPr>
        <w:t>o</w:t>
      </w:r>
      <w:r>
        <w:rPr>
          <w:rFonts w:ascii="宋体" w:hAnsi="宋体" w:eastAsia="宋体" w:cs="宋体"/>
          <w:color w:val="auto"/>
          <w:spacing w:val="9"/>
          <w:position w:val="1"/>
          <w:sz w:val="19"/>
          <w:szCs w:val="19"/>
          <w:highlight w:val="none"/>
        </w:rPr>
        <w:t>是</w:t>
      </w:r>
      <w:r>
        <w:rPr>
          <w:rFonts w:ascii="Wingdings" w:hAnsi="Wingdings" w:eastAsia="Wingdings" w:cs="Wingdings"/>
          <w:color w:val="auto"/>
          <w:spacing w:val="9"/>
          <w:position w:val="1"/>
          <w:sz w:val="19"/>
          <w:szCs w:val="19"/>
          <w:highlight w:val="none"/>
        </w:rPr>
        <w:t>o</w:t>
      </w:r>
      <w:r>
        <w:rPr>
          <w:rFonts w:ascii="宋体" w:hAnsi="宋体" w:eastAsia="宋体" w:cs="宋体"/>
          <w:color w:val="auto"/>
          <w:spacing w:val="9"/>
          <w:position w:val="1"/>
          <w:sz w:val="19"/>
          <w:szCs w:val="19"/>
          <w:highlight w:val="none"/>
        </w:rPr>
        <w:t>否</w:t>
      </w:r>
    </w:p>
    <w:p w14:paraId="75B4BA0D">
      <w:pPr>
        <w:spacing w:before="145" w:line="255" w:lineRule="exact"/>
        <w:ind w:left="919"/>
        <w:rPr>
          <w:rFonts w:ascii="宋体" w:hAnsi="宋体" w:eastAsia="宋体" w:cs="宋体"/>
          <w:color w:val="auto"/>
          <w:sz w:val="19"/>
          <w:szCs w:val="19"/>
          <w:highlight w:val="none"/>
        </w:rPr>
      </w:pPr>
      <w:r>
        <w:rPr>
          <w:rFonts w:ascii="宋体" w:hAnsi="宋体" w:eastAsia="宋体" w:cs="宋体"/>
          <w:color w:val="auto"/>
          <w:spacing w:val="8"/>
          <w:position w:val="1"/>
          <w:sz w:val="19"/>
          <w:szCs w:val="19"/>
          <w:highlight w:val="none"/>
        </w:rPr>
        <w:t>中标（成交）采购标的制造商是否为残疾人福利性单位：</w:t>
      </w:r>
      <w:r>
        <w:rPr>
          <w:rFonts w:ascii="Wingdings" w:hAnsi="Wingdings" w:eastAsia="Wingdings" w:cs="Wingdings"/>
          <w:color w:val="auto"/>
          <w:spacing w:val="8"/>
          <w:position w:val="1"/>
          <w:sz w:val="19"/>
          <w:szCs w:val="19"/>
          <w:highlight w:val="none"/>
        </w:rPr>
        <w:t>o</w:t>
      </w:r>
      <w:r>
        <w:rPr>
          <w:rFonts w:ascii="宋体" w:hAnsi="宋体" w:eastAsia="宋体" w:cs="宋体"/>
          <w:color w:val="auto"/>
          <w:spacing w:val="8"/>
          <w:position w:val="1"/>
          <w:sz w:val="19"/>
          <w:szCs w:val="19"/>
          <w:highlight w:val="none"/>
        </w:rPr>
        <w:t>是</w:t>
      </w:r>
      <w:r>
        <w:rPr>
          <w:rFonts w:ascii="Wingdings" w:hAnsi="Wingdings" w:eastAsia="Wingdings" w:cs="Wingdings"/>
          <w:color w:val="auto"/>
          <w:spacing w:val="8"/>
          <w:position w:val="1"/>
          <w:sz w:val="19"/>
          <w:szCs w:val="19"/>
          <w:highlight w:val="none"/>
        </w:rPr>
        <w:t>o</w:t>
      </w:r>
      <w:r>
        <w:rPr>
          <w:rFonts w:ascii="宋体" w:hAnsi="宋体" w:eastAsia="宋体" w:cs="宋体"/>
          <w:color w:val="auto"/>
          <w:spacing w:val="8"/>
          <w:position w:val="1"/>
          <w:sz w:val="19"/>
          <w:szCs w:val="19"/>
          <w:highlight w:val="none"/>
        </w:rPr>
        <w:t>否</w:t>
      </w:r>
    </w:p>
    <w:p w14:paraId="239F7A6D">
      <w:pPr>
        <w:spacing w:before="146" w:line="255" w:lineRule="exact"/>
        <w:ind w:left="919"/>
        <w:rPr>
          <w:rFonts w:ascii="宋体" w:hAnsi="宋体" w:eastAsia="宋体" w:cs="宋体"/>
          <w:color w:val="auto"/>
          <w:sz w:val="19"/>
          <w:szCs w:val="19"/>
          <w:highlight w:val="none"/>
        </w:rPr>
      </w:pPr>
      <w:r>
        <w:rPr>
          <w:rFonts w:ascii="宋体" w:hAnsi="宋体" w:eastAsia="宋体" w:cs="宋体"/>
          <w:color w:val="auto"/>
          <w:spacing w:val="8"/>
          <w:position w:val="1"/>
          <w:sz w:val="19"/>
          <w:szCs w:val="19"/>
          <w:highlight w:val="none"/>
        </w:rPr>
        <w:t>中标（成交）采购标的制造商是否为监狱企业：</w:t>
      </w:r>
      <w:r>
        <w:rPr>
          <w:rFonts w:ascii="Wingdings" w:hAnsi="Wingdings" w:eastAsia="Wingdings" w:cs="Wingdings"/>
          <w:color w:val="auto"/>
          <w:spacing w:val="8"/>
          <w:position w:val="1"/>
          <w:sz w:val="19"/>
          <w:szCs w:val="19"/>
          <w:highlight w:val="none"/>
        </w:rPr>
        <w:t>o</w:t>
      </w:r>
      <w:r>
        <w:rPr>
          <w:rFonts w:ascii="宋体" w:hAnsi="宋体" w:eastAsia="宋体" w:cs="宋体"/>
          <w:color w:val="auto"/>
          <w:spacing w:val="8"/>
          <w:position w:val="1"/>
          <w:sz w:val="19"/>
          <w:szCs w:val="19"/>
          <w:highlight w:val="none"/>
        </w:rPr>
        <w:t>是</w:t>
      </w: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否</w:t>
      </w:r>
    </w:p>
    <w:p w14:paraId="497883BD">
      <w:pPr>
        <w:spacing w:before="143" w:line="257" w:lineRule="exact"/>
        <w:ind w:left="409" w:leftChars="0"/>
        <w:outlineLvl w:val="3"/>
        <w:rPr>
          <w:rFonts w:ascii="宋体" w:hAnsi="宋体" w:eastAsia="宋体" w:cs="宋体"/>
          <w:color w:val="auto"/>
          <w:sz w:val="19"/>
          <w:szCs w:val="19"/>
          <w:highlight w:val="none"/>
        </w:rPr>
      </w:pPr>
      <w:r>
        <w:rPr>
          <w:rFonts w:ascii="宋体" w:hAnsi="宋体" w:eastAsia="宋体" w:cs="宋体"/>
          <w:color w:val="auto"/>
          <w:spacing w:val="7"/>
          <w:position w:val="1"/>
          <w:sz w:val="19"/>
          <w:szCs w:val="19"/>
          <w:highlight w:val="none"/>
        </w:rPr>
        <w:t>（7）合同是否分包：</w:t>
      </w: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是</w:t>
      </w: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否</w:t>
      </w:r>
    </w:p>
    <w:p w14:paraId="31D01F17">
      <w:pPr>
        <w:spacing w:before="151" w:line="229" w:lineRule="auto"/>
        <w:ind w:left="90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分包主要内容：</w:t>
      </w:r>
    </w:p>
    <w:p w14:paraId="4FD609C1">
      <w:pPr>
        <w:spacing w:before="166" w:line="228" w:lineRule="auto"/>
        <w:ind w:left="90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分包供应商/制造商名称（如供应商和制造商不同，请分别填写</w:t>
      </w:r>
      <w:r>
        <w:rPr>
          <w:rFonts w:ascii="宋体" w:hAnsi="宋体" w:eastAsia="宋体" w:cs="宋体"/>
          <w:color w:val="auto"/>
          <w:spacing w:val="4"/>
          <w:sz w:val="19"/>
          <w:szCs w:val="19"/>
          <w:highlight w:val="none"/>
        </w:rPr>
        <w:t>）：</w:t>
      </w:r>
    </w:p>
    <w:p w14:paraId="7776510A">
      <w:pPr>
        <w:pStyle w:val="2"/>
        <w:tabs>
          <w:tab w:val="left" w:pos="6690"/>
        </w:tabs>
        <w:spacing w:before="162"/>
        <w:ind w:left="892"/>
        <w:rPr>
          <w:color w:val="auto"/>
          <w:highlight w:val="none"/>
        </w:rPr>
      </w:pPr>
    </w:p>
    <w:p w14:paraId="4898990C">
      <w:pPr>
        <w:spacing w:before="161" w:line="228" w:lineRule="auto"/>
        <w:ind w:left="90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分包供应商/制造商类型（如果供应商和制造商不同，只填写制造商类型</w:t>
      </w:r>
      <w:r>
        <w:rPr>
          <w:rFonts w:ascii="宋体" w:hAnsi="宋体" w:eastAsia="宋体" w:cs="宋体"/>
          <w:color w:val="auto"/>
          <w:spacing w:val="7"/>
          <w:sz w:val="19"/>
          <w:szCs w:val="19"/>
          <w:highlight w:val="none"/>
        </w:rPr>
        <w:t>）：</w:t>
      </w:r>
    </w:p>
    <w:p w14:paraId="4153185F">
      <w:pPr>
        <w:spacing w:before="158" w:line="257" w:lineRule="exact"/>
        <w:ind w:left="909"/>
        <w:rPr>
          <w:rFonts w:ascii="宋体" w:hAnsi="宋体" w:eastAsia="宋体" w:cs="宋体"/>
          <w:color w:val="auto"/>
          <w:sz w:val="19"/>
          <w:szCs w:val="19"/>
          <w:highlight w:val="none"/>
        </w:rPr>
      </w:pP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大型企业</w:t>
      </w: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中型企业</w:t>
      </w: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小微型企业</w:t>
      </w:r>
    </w:p>
    <w:p w14:paraId="29C08F23">
      <w:pPr>
        <w:spacing w:before="142" w:line="257" w:lineRule="exact"/>
        <w:ind w:left="909"/>
        <w:rPr>
          <w:rFonts w:ascii="宋体" w:hAnsi="宋体" w:eastAsia="宋体" w:cs="宋体"/>
          <w:color w:val="auto"/>
          <w:sz w:val="19"/>
          <w:szCs w:val="19"/>
          <w:highlight w:val="none"/>
        </w:rPr>
      </w:pP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残疾人福利性单位</w:t>
      </w: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监狱企业</w:t>
      </w:r>
      <w:r>
        <w:rPr>
          <w:rFonts w:ascii="Wingdings" w:hAnsi="Wingdings" w:eastAsia="Wingdings" w:cs="Wingdings"/>
          <w:color w:val="auto"/>
          <w:spacing w:val="7"/>
          <w:position w:val="1"/>
          <w:sz w:val="19"/>
          <w:szCs w:val="19"/>
          <w:highlight w:val="none"/>
        </w:rPr>
        <w:t>o</w:t>
      </w:r>
      <w:r>
        <w:rPr>
          <w:rFonts w:ascii="宋体" w:hAnsi="宋体" w:eastAsia="宋体" w:cs="宋体"/>
          <w:color w:val="auto"/>
          <w:spacing w:val="7"/>
          <w:position w:val="1"/>
          <w:sz w:val="19"/>
          <w:szCs w:val="19"/>
          <w:highlight w:val="none"/>
        </w:rPr>
        <w:t>其他</w:t>
      </w:r>
    </w:p>
    <w:p w14:paraId="6E10D637">
      <w:pPr>
        <w:spacing w:before="143" w:line="256" w:lineRule="exact"/>
        <w:ind w:left="409" w:leftChars="0"/>
        <w:outlineLvl w:val="3"/>
        <w:rPr>
          <w:rFonts w:ascii="宋体" w:hAnsi="宋体" w:eastAsia="宋体" w:cs="宋体"/>
          <w:color w:val="auto"/>
          <w:sz w:val="19"/>
          <w:szCs w:val="19"/>
          <w:highlight w:val="none"/>
        </w:rPr>
      </w:pPr>
      <w:r>
        <w:rPr>
          <w:rFonts w:ascii="宋体" w:hAnsi="宋体" w:eastAsia="宋体" w:cs="宋体"/>
          <w:color w:val="auto"/>
          <w:spacing w:val="8"/>
          <w:position w:val="1"/>
          <w:sz w:val="19"/>
          <w:szCs w:val="19"/>
          <w:highlight w:val="none"/>
        </w:rPr>
        <w:t>（8）中标（成交）供应商是否为外商投资企业：</w:t>
      </w:r>
      <w:r>
        <w:rPr>
          <w:rFonts w:ascii="Wingdings" w:hAnsi="Wingdings" w:eastAsia="Wingdings" w:cs="Wingdings"/>
          <w:color w:val="auto"/>
          <w:spacing w:val="8"/>
          <w:position w:val="1"/>
          <w:sz w:val="19"/>
          <w:szCs w:val="19"/>
          <w:highlight w:val="none"/>
        </w:rPr>
        <w:t>o</w:t>
      </w:r>
      <w:r>
        <w:rPr>
          <w:rFonts w:ascii="宋体" w:hAnsi="宋体" w:eastAsia="宋体" w:cs="宋体"/>
          <w:color w:val="auto"/>
          <w:spacing w:val="8"/>
          <w:position w:val="1"/>
          <w:sz w:val="19"/>
          <w:szCs w:val="19"/>
          <w:highlight w:val="none"/>
        </w:rPr>
        <w:t>是</w:t>
      </w:r>
      <w:r>
        <w:rPr>
          <w:rFonts w:ascii="Wingdings" w:hAnsi="Wingdings" w:eastAsia="Wingdings" w:cs="Wingdings"/>
          <w:color w:val="auto"/>
          <w:spacing w:val="8"/>
          <w:position w:val="1"/>
          <w:sz w:val="19"/>
          <w:szCs w:val="19"/>
          <w:highlight w:val="none"/>
        </w:rPr>
        <w:t>o</w:t>
      </w:r>
      <w:r>
        <w:rPr>
          <w:rFonts w:ascii="宋体" w:hAnsi="宋体" w:eastAsia="宋体" w:cs="宋体"/>
          <w:color w:val="auto"/>
          <w:spacing w:val="8"/>
          <w:position w:val="1"/>
          <w:sz w:val="19"/>
          <w:szCs w:val="19"/>
          <w:highlight w:val="none"/>
        </w:rPr>
        <w:t>否</w:t>
      </w:r>
    </w:p>
    <w:p w14:paraId="53D8BEA6">
      <w:pPr>
        <w:spacing w:before="136" w:line="270" w:lineRule="exact"/>
        <w:ind w:left="950"/>
        <w:rPr>
          <w:rFonts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外商投资企业类型：</w:t>
      </w:r>
      <w:r>
        <w:rPr>
          <w:rFonts w:ascii="Wingdings" w:hAnsi="Wingdings" w:eastAsia="Wingdings" w:cs="Wingdings"/>
          <w:color w:val="auto"/>
          <w:spacing w:val="9"/>
          <w:position w:val="1"/>
          <w:sz w:val="20"/>
          <w:szCs w:val="20"/>
          <w:highlight w:val="none"/>
        </w:rPr>
        <w:t>o</w:t>
      </w:r>
      <w:r>
        <w:rPr>
          <w:rFonts w:ascii="宋体" w:hAnsi="宋体" w:eastAsia="宋体" w:cs="宋体"/>
          <w:color w:val="auto"/>
          <w:spacing w:val="9"/>
          <w:position w:val="1"/>
          <w:sz w:val="20"/>
          <w:szCs w:val="20"/>
          <w:highlight w:val="none"/>
        </w:rPr>
        <w:t>全部由外国投资者投资</w:t>
      </w:r>
      <w:r>
        <w:rPr>
          <w:rFonts w:ascii="Wingdings" w:hAnsi="Wingdings" w:eastAsia="Wingdings" w:cs="Wingdings"/>
          <w:color w:val="auto"/>
          <w:spacing w:val="9"/>
          <w:position w:val="1"/>
          <w:sz w:val="20"/>
          <w:szCs w:val="20"/>
          <w:highlight w:val="none"/>
        </w:rPr>
        <w:t>o</w:t>
      </w:r>
      <w:r>
        <w:rPr>
          <w:rFonts w:ascii="宋体" w:hAnsi="宋体" w:eastAsia="宋体" w:cs="宋体"/>
          <w:color w:val="auto"/>
          <w:spacing w:val="9"/>
          <w:position w:val="1"/>
          <w:sz w:val="20"/>
          <w:szCs w:val="20"/>
          <w:highlight w:val="none"/>
        </w:rPr>
        <w:t>部分由外国投资者投资</w:t>
      </w:r>
    </w:p>
    <w:p w14:paraId="360D6476">
      <w:pPr>
        <w:spacing w:before="137" w:line="228" w:lineRule="auto"/>
        <w:ind w:left="431" w:leftChars="0"/>
        <w:outlineLvl w:val="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（9）是否涉及进口产品：</w:t>
      </w:r>
    </w:p>
    <w:p w14:paraId="3AEC7183">
      <w:pPr>
        <w:spacing w:before="155" w:line="248" w:lineRule="auto"/>
        <w:ind w:left="909"/>
        <w:rPr>
          <w:rFonts w:ascii="宋体" w:hAnsi="宋体" w:eastAsia="宋体" w:cs="宋体"/>
          <w:color w:val="auto"/>
          <w:sz w:val="19"/>
          <w:szCs w:val="19"/>
          <w:highlight w:val="none"/>
        </w:rPr>
      </w:pPr>
      <w:r>
        <w:rPr>
          <w:rFonts w:ascii="Wingdings" w:hAnsi="Wingdings" w:eastAsia="Wingdings" w:cs="Wingdings"/>
          <w:color w:val="auto"/>
          <w:spacing w:val="8"/>
          <w:sz w:val="19"/>
          <w:szCs w:val="19"/>
          <w:highlight w:val="none"/>
        </w:rPr>
        <w:t>o</w:t>
      </w:r>
      <w:r>
        <w:rPr>
          <w:rFonts w:ascii="宋体" w:hAnsi="宋体" w:eastAsia="宋体" w:cs="宋体"/>
          <w:color w:val="auto"/>
          <w:spacing w:val="8"/>
          <w:sz w:val="19"/>
          <w:szCs w:val="19"/>
          <w:highlight w:val="none"/>
        </w:rPr>
        <w:t>是，《政府采购品目分类目录》底级品目名称：金额：</w:t>
      </w:r>
    </w:p>
    <w:p w14:paraId="7AC5D703">
      <w:pPr>
        <w:spacing w:before="152" w:line="229" w:lineRule="auto"/>
        <w:ind w:left="1618"/>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国别：品牌：规格型号：</w:t>
      </w:r>
    </w:p>
    <w:p w14:paraId="7668F9D7">
      <w:pPr>
        <w:spacing w:before="156" w:line="257" w:lineRule="exact"/>
        <w:ind w:left="909"/>
        <w:rPr>
          <w:rFonts w:ascii="宋体" w:hAnsi="宋体" w:eastAsia="宋体" w:cs="宋体"/>
          <w:color w:val="auto"/>
          <w:sz w:val="19"/>
          <w:szCs w:val="19"/>
          <w:highlight w:val="none"/>
        </w:rPr>
      </w:pPr>
      <w:r>
        <w:rPr>
          <w:rFonts w:ascii="Wingdings" w:hAnsi="Wingdings" w:eastAsia="Wingdings" w:cs="Wingdings"/>
          <w:color w:val="auto"/>
          <w:position w:val="1"/>
          <w:sz w:val="19"/>
          <w:szCs w:val="19"/>
          <w:highlight w:val="none"/>
        </w:rPr>
        <w:t>o</w:t>
      </w:r>
      <w:r>
        <w:rPr>
          <w:rFonts w:ascii="宋体" w:hAnsi="宋体" w:eastAsia="宋体" w:cs="宋体"/>
          <w:color w:val="auto"/>
          <w:position w:val="1"/>
          <w:sz w:val="19"/>
          <w:szCs w:val="19"/>
          <w:highlight w:val="none"/>
        </w:rPr>
        <w:t>否</w:t>
      </w:r>
    </w:p>
    <w:p w14:paraId="131EAA94">
      <w:pPr>
        <w:spacing w:before="143" w:line="228" w:lineRule="auto"/>
        <w:ind w:left="431" w:leftChars="0"/>
        <w:outlineLvl w:val="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（10）是否涉及节能产品：</w:t>
      </w:r>
    </w:p>
    <w:p w14:paraId="4C777E22">
      <w:pPr>
        <w:spacing w:before="155" w:line="248" w:lineRule="auto"/>
        <w:ind w:left="955"/>
        <w:rPr>
          <w:rFonts w:ascii="宋体" w:hAnsi="宋体" w:eastAsia="宋体" w:cs="宋体"/>
          <w:color w:val="auto"/>
          <w:sz w:val="19"/>
          <w:szCs w:val="19"/>
          <w:highlight w:val="none"/>
        </w:rPr>
      </w:pPr>
      <w:r>
        <w:rPr>
          <w:rFonts w:ascii="Wingdings" w:hAnsi="Wingdings" w:eastAsia="Wingdings" w:cs="Wingdings"/>
          <w:color w:val="auto"/>
          <w:spacing w:val="9"/>
          <w:sz w:val="19"/>
          <w:szCs w:val="19"/>
          <w:highlight w:val="none"/>
        </w:rPr>
        <w:t>o</w:t>
      </w:r>
      <w:r>
        <w:rPr>
          <w:rFonts w:ascii="宋体" w:hAnsi="宋体" w:eastAsia="宋体" w:cs="宋体"/>
          <w:color w:val="auto"/>
          <w:spacing w:val="9"/>
          <w:sz w:val="19"/>
          <w:szCs w:val="19"/>
          <w:highlight w:val="none"/>
        </w:rPr>
        <w:t>是，《节能产品政府采购品目清单》的底级品目名称：</w:t>
      </w:r>
    </w:p>
    <w:p w14:paraId="6151267F">
      <w:pPr>
        <w:spacing w:before="142" w:line="256" w:lineRule="exact"/>
        <w:ind w:left="1608"/>
        <w:rPr>
          <w:rFonts w:ascii="宋体" w:hAnsi="宋体" w:eastAsia="宋体" w:cs="宋体"/>
          <w:color w:val="auto"/>
          <w:sz w:val="19"/>
          <w:szCs w:val="19"/>
          <w:highlight w:val="none"/>
        </w:rPr>
      </w:pPr>
      <w:r>
        <w:rPr>
          <w:rFonts w:ascii="Wingdings" w:hAnsi="Wingdings" w:eastAsia="Wingdings" w:cs="Wingdings"/>
          <w:color w:val="auto"/>
          <w:spacing w:val="6"/>
          <w:position w:val="1"/>
          <w:sz w:val="19"/>
          <w:szCs w:val="19"/>
          <w:highlight w:val="none"/>
        </w:rPr>
        <w:t>o</w:t>
      </w:r>
      <w:r>
        <w:rPr>
          <w:rFonts w:ascii="宋体" w:hAnsi="宋体" w:eastAsia="宋体" w:cs="宋体"/>
          <w:color w:val="auto"/>
          <w:spacing w:val="6"/>
          <w:position w:val="1"/>
          <w:sz w:val="19"/>
          <w:szCs w:val="19"/>
          <w:highlight w:val="none"/>
        </w:rPr>
        <w:t>强制采购</w:t>
      </w:r>
      <w:r>
        <w:rPr>
          <w:rFonts w:ascii="Wingdings" w:hAnsi="Wingdings" w:eastAsia="Wingdings" w:cs="Wingdings"/>
          <w:color w:val="auto"/>
          <w:spacing w:val="6"/>
          <w:position w:val="1"/>
          <w:sz w:val="19"/>
          <w:szCs w:val="19"/>
          <w:highlight w:val="none"/>
        </w:rPr>
        <w:t>o</w:t>
      </w:r>
      <w:r>
        <w:rPr>
          <w:rFonts w:ascii="宋体" w:hAnsi="宋体" w:eastAsia="宋体" w:cs="宋体"/>
          <w:color w:val="auto"/>
          <w:spacing w:val="6"/>
          <w:position w:val="1"/>
          <w:sz w:val="19"/>
          <w:szCs w:val="19"/>
          <w:highlight w:val="none"/>
        </w:rPr>
        <w:t>优先采购</w:t>
      </w:r>
    </w:p>
    <w:p w14:paraId="40E3C296">
      <w:pPr>
        <w:spacing w:before="145" w:line="257" w:lineRule="exact"/>
        <w:ind w:left="909"/>
        <w:rPr>
          <w:rFonts w:ascii="宋体" w:hAnsi="宋体" w:eastAsia="宋体" w:cs="宋体"/>
          <w:color w:val="auto"/>
          <w:sz w:val="19"/>
          <w:szCs w:val="19"/>
          <w:highlight w:val="none"/>
        </w:rPr>
      </w:pPr>
      <w:r>
        <w:rPr>
          <w:rFonts w:ascii="Wingdings" w:hAnsi="Wingdings" w:eastAsia="Wingdings" w:cs="Wingdings"/>
          <w:color w:val="auto"/>
          <w:position w:val="1"/>
          <w:sz w:val="19"/>
          <w:szCs w:val="19"/>
          <w:highlight w:val="none"/>
        </w:rPr>
        <w:t>o</w:t>
      </w:r>
      <w:r>
        <w:rPr>
          <w:rFonts w:ascii="宋体" w:hAnsi="宋体" w:eastAsia="宋体" w:cs="宋体"/>
          <w:color w:val="auto"/>
          <w:position w:val="1"/>
          <w:sz w:val="19"/>
          <w:szCs w:val="19"/>
          <w:highlight w:val="none"/>
        </w:rPr>
        <w:t>否</w:t>
      </w:r>
    </w:p>
    <w:p w14:paraId="3A3F9197">
      <w:pPr>
        <w:spacing w:before="144" w:line="228" w:lineRule="auto"/>
        <w:ind w:left="105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是否涉及环境标志产品：</w:t>
      </w:r>
    </w:p>
    <w:p w14:paraId="24BBBD06">
      <w:pPr>
        <w:spacing w:before="152" w:line="248" w:lineRule="auto"/>
        <w:ind w:left="955"/>
        <w:rPr>
          <w:rFonts w:ascii="宋体" w:hAnsi="宋体" w:eastAsia="宋体" w:cs="宋体"/>
          <w:color w:val="auto"/>
          <w:sz w:val="19"/>
          <w:szCs w:val="19"/>
          <w:highlight w:val="none"/>
        </w:rPr>
      </w:pPr>
      <w:r>
        <w:rPr>
          <w:rFonts w:ascii="Wingdings" w:hAnsi="Wingdings" w:eastAsia="Wingdings" w:cs="Wingdings"/>
          <w:color w:val="auto"/>
          <w:spacing w:val="9"/>
          <w:sz w:val="19"/>
          <w:szCs w:val="19"/>
          <w:highlight w:val="none"/>
        </w:rPr>
        <w:t>o</w:t>
      </w:r>
      <w:r>
        <w:rPr>
          <w:rFonts w:ascii="宋体" w:hAnsi="宋体" w:eastAsia="宋体" w:cs="宋体"/>
          <w:color w:val="auto"/>
          <w:spacing w:val="9"/>
          <w:sz w:val="19"/>
          <w:szCs w:val="19"/>
          <w:highlight w:val="none"/>
        </w:rPr>
        <w:t>是，《环境标志产品政府采购品目清单》的底级品目名称：</w:t>
      </w:r>
    </w:p>
    <w:p w14:paraId="0AB90DE7">
      <w:pPr>
        <w:spacing w:before="145" w:line="256" w:lineRule="exact"/>
        <w:ind w:left="1608"/>
        <w:rPr>
          <w:rFonts w:ascii="宋体" w:hAnsi="宋体" w:eastAsia="宋体" w:cs="宋体"/>
          <w:color w:val="auto"/>
          <w:sz w:val="19"/>
          <w:szCs w:val="19"/>
          <w:highlight w:val="none"/>
        </w:rPr>
      </w:pPr>
      <w:r>
        <w:rPr>
          <w:rFonts w:ascii="Wingdings" w:hAnsi="Wingdings" w:eastAsia="Wingdings" w:cs="Wingdings"/>
          <w:color w:val="auto"/>
          <w:spacing w:val="6"/>
          <w:position w:val="1"/>
          <w:sz w:val="19"/>
          <w:szCs w:val="19"/>
          <w:highlight w:val="none"/>
        </w:rPr>
        <w:t>o</w:t>
      </w:r>
      <w:r>
        <w:rPr>
          <w:rFonts w:ascii="宋体" w:hAnsi="宋体" w:eastAsia="宋体" w:cs="宋体"/>
          <w:color w:val="auto"/>
          <w:spacing w:val="6"/>
          <w:position w:val="1"/>
          <w:sz w:val="19"/>
          <w:szCs w:val="19"/>
          <w:highlight w:val="none"/>
        </w:rPr>
        <w:t>强制采购</w:t>
      </w:r>
      <w:r>
        <w:rPr>
          <w:rFonts w:ascii="Wingdings" w:hAnsi="Wingdings" w:eastAsia="Wingdings" w:cs="Wingdings"/>
          <w:color w:val="auto"/>
          <w:spacing w:val="6"/>
          <w:position w:val="1"/>
          <w:sz w:val="19"/>
          <w:szCs w:val="19"/>
          <w:highlight w:val="none"/>
        </w:rPr>
        <w:t>o</w:t>
      </w:r>
      <w:r>
        <w:rPr>
          <w:rFonts w:ascii="宋体" w:hAnsi="宋体" w:eastAsia="宋体" w:cs="宋体"/>
          <w:color w:val="auto"/>
          <w:spacing w:val="6"/>
          <w:position w:val="1"/>
          <w:sz w:val="19"/>
          <w:szCs w:val="19"/>
          <w:highlight w:val="none"/>
        </w:rPr>
        <w:t>优先采购</w:t>
      </w:r>
    </w:p>
    <w:p w14:paraId="4B83B745">
      <w:pPr>
        <w:spacing w:before="145" w:line="257" w:lineRule="exact"/>
        <w:ind w:left="909"/>
        <w:rPr>
          <w:rFonts w:ascii="宋体" w:hAnsi="宋体" w:eastAsia="宋体" w:cs="宋体"/>
          <w:color w:val="auto"/>
          <w:sz w:val="19"/>
          <w:szCs w:val="19"/>
          <w:highlight w:val="none"/>
        </w:rPr>
      </w:pPr>
      <w:r>
        <w:rPr>
          <w:rFonts w:ascii="Wingdings" w:hAnsi="Wingdings" w:eastAsia="Wingdings" w:cs="Wingdings"/>
          <w:color w:val="auto"/>
          <w:position w:val="1"/>
          <w:sz w:val="19"/>
          <w:szCs w:val="19"/>
          <w:highlight w:val="none"/>
        </w:rPr>
        <w:t>o</w:t>
      </w:r>
      <w:r>
        <w:rPr>
          <w:rFonts w:ascii="宋体" w:hAnsi="宋体" w:eastAsia="宋体" w:cs="宋体"/>
          <w:color w:val="auto"/>
          <w:position w:val="1"/>
          <w:sz w:val="19"/>
          <w:szCs w:val="19"/>
          <w:highlight w:val="none"/>
        </w:rPr>
        <w:t>否</w:t>
      </w:r>
    </w:p>
    <w:p w14:paraId="03259E33">
      <w:pPr>
        <w:spacing w:before="141" w:line="228" w:lineRule="auto"/>
        <w:ind w:left="105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是否涉及绿色产品：</w:t>
      </w:r>
    </w:p>
    <w:p w14:paraId="0EB583EA">
      <w:pPr>
        <w:spacing w:before="145" w:line="248" w:lineRule="auto"/>
        <w:ind w:left="956"/>
        <w:rPr>
          <w:rFonts w:ascii="宋体" w:hAnsi="宋体" w:eastAsia="宋体" w:cs="宋体"/>
          <w:color w:val="auto"/>
          <w:sz w:val="20"/>
          <w:szCs w:val="20"/>
          <w:highlight w:val="none"/>
        </w:rPr>
      </w:pPr>
      <w:r>
        <w:rPr>
          <w:rFonts w:ascii="Wingdings" w:hAnsi="Wingdings" w:eastAsia="Wingdings" w:cs="Wingdings"/>
          <w:color w:val="auto"/>
          <w:spacing w:val="9"/>
          <w:sz w:val="20"/>
          <w:szCs w:val="20"/>
          <w:highlight w:val="none"/>
        </w:rPr>
        <w:t>o</w:t>
      </w:r>
      <w:r>
        <w:rPr>
          <w:rFonts w:ascii="宋体" w:hAnsi="宋体" w:eastAsia="宋体" w:cs="宋体"/>
          <w:color w:val="auto"/>
          <w:spacing w:val="9"/>
          <w:sz w:val="20"/>
          <w:szCs w:val="20"/>
          <w:highlight w:val="none"/>
        </w:rPr>
        <w:t>是，绿色产品政府采购相关政策确定的底级品目名称：</w:t>
      </w:r>
    </w:p>
    <w:p w14:paraId="31EAF142">
      <w:pPr>
        <w:spacing w:before="141" w:line="256" w:lineRule="exact"/>
        <w:ind w:left="1608"/>
        <w:rPr>
          <w:rFonts w:ascii="宋体" w:hAnsi="宋体" w:eastAsia="宋体" w:cs="宋体"/>
          <w:color w:val="auto"/>
          <w:sz w:val="19"/>
          <w:szCs w:val="19"/>
          <w:highlight w:val="none"/>
        </w:rPr>
      </w:pPr>
      <w:r>
        <w:rPr>
          <w:rFonts w:ascii="Wingdings" w:hAnsi="Wingdings" w:eastAsia="Wingdings" w:cs="Wingdings"/>
          <w:color w:val="auto"/>
          <w:spacing w:val="6"/>
          <w:position w:val="1"/>
          <w:sz w:val="19"/>
          <w:szCs w:val="19"/>
          <w:highlight w:val="none"/>
        </w:rPr>
        <w:t>o</w:t>
      </w:r>
      <w:r>
        <w:rPr>
          <w:rFonts w:ascii="宋体" w:hAnsi="宋体" w:eastAsia="宋体" w:cs="宋体"/>
          <w:color w:val="auto"/>
          <w:spacing w:val="6"/>
          <w:position w:val="1"/>
          <w:sz w:val="19"/>
          <w:szCs w:val="19"/>
          <w:highlight w:val="none"/>
        </w:rPr>
        <w:t>强制采购</w:t>
      </w:r>
      <w:r>
        <w:rPr>
          <w:rFonts w:ascii="Wingdings" w:hAnsi="Wingdings" w:eastAsia="Wingdings" w:cs="Wingdings"/>
          <w:color w:val="auto"/>
          <w:spacing w:val="6"/>
          <w:position w:val="1"/>
          <w:sz w:val="19"/>
          <w:szCs w:val="19"/>
          <w:highlight w:val="none"/>
        </w:rPr>
        <w:t>o</w:t>
      </w:r>
      <w:r>
        <w:rPr>
          <w:rFonts w:ascii="宋体" w:hAnsi="宋体" w:eastAsia="宋体" w:cs="宋体"/>
          <w:color w:val="auto"/>
          <w:spacing w:val="6"/>
          <w:position w:val="1"/>
          <w:sz w:val="19"/>
          <w:szCs w:val="19"/>
          <w:highlight w:val="none"/>
        </w:rPr>
        <w:t>优先采购</w:t>
      </w:r>
    </w:p>
    <w:p w14:paraId="4C94296D">
      <w:pPr>
        <w:spacing w:before="134" w:line="270" w:lineRule="exact"/>
        <w:ind w:left="956"/>
        <w:rPr>
          <w:rFonts w:ascii="宋体" w:hAnsi="宋体" w:eastAsia="宋体" w:cs="宋体"/>
          <w:color w:val="auto"/>
          <w:sz w:val="20"/>
          <w:szCs w:val="20"/>
          <w:highlight w:val="none"/>
        </w:rPr>
      </w:pPr>
      <w:r>
        <w:rPr>
          <w:rFonts w:ascii="Wingdings" w:hAnsi="Wingdings" w:eastAsia="Wingdings" w:cs="Wingdings"/>
          <w:color w:val="auto"/>
          <w:spacing w:val="-1"/>
          <w:position w:val="1"/>
          <w:sz w:val="20"/>
          <w:szCs w:val="20"/>
          <w:highlight w:val="none"/>
        </w:rPr>
        <w:t>o</w:t>
      </w:r>
      <w:r>
        <w:rPr>
          <w:rFonts w:ascii="宋体" w:hAnsi="宋体" w:eastAsia="宋体" w:cs="宋体"/>
          <w:color w:val="auto"/>
          <w:spacing w:val="-1"/>
          <w:position w:val="1"/>
          <w:sz w:val="20"/>
          <w:szCs w:val="20"/>
          <w:highlight w:val="none"/>
        </w:rPr>
        <w:t>否</w:t>
      </w:r>
    </w:p>
    <w:p w14:paraId="14F73DA8">
      <w:pPr>
        <w:spacing w:before="146" w:line="385" w:lineRule="auto"/>
        <w:ind w:firstLine="40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（11）涉及商品包装和快递包装的，是否参考《商品包装政府采购需求标准（试行）》、《快递包装政府采购需求标准（试行）》明确产品及相关快递服务的具体包装要求：</w:t>
      </w:r>
    </w:p>
    <w:p w14:paraId="740F0B82">
      <w:pPr>
        <w:spacing w:line="257" w:lineRule="exact"/>
        <w:ind w:left="808"/>
        <w:rPr>
          <w:rFonts w:ascii="宋体" w:hAnsi="宋体" w:eastAsia="宋体" w:cs="宋体"/>
          <w:color w:val="auto"/>
          <w:sz w:val="19"/>
          <w:szCs w:val="19"/>
          <w:highlight w:val="none"/>
        </w:rPr>
      </w:pPr>
      <w:r>
        <w:rPr>
          <w:rFonts w:ascii="Wingdings" w:hAnsi="Wingdings" w:eastAsia="Wingdings" w:cs="Wingdings"/>
          <w:color w:val="auto"/>
          <w:spacing w:val="2"/>
          <w:position w:val="1"/>
          <w:sz w:val="19"/>
          <w:szCs w:val="19"/>
          <w:highlight w:val="none"/>
        </w:rPr>
        <w:t>o</w:t>
      </w:r>
      <w:r>
        <w:rPr>
          <w:rFonts w:ascii="宋体" w:hAnsi="宋体" w:eastAsia="宋体" w:cs="宋体"/>
          <w:color w:val="auto"/>
          <w:spacing w:val="2"/>
          <w:position w:val="1"/>
          <w:sz w:val="19"/>
          <w:szCs w:val="19"/>
          <w:highlight w:val="none"/>
        </w:rPr>
        <w:t>是</w:t>
      </w:r>
      <w:r>
        <w:rPr>
          <w:rFonts w:ascii="Wingdings" w:hAnsi="Wingdings" w:eastAsia="Wingdings" w:cs="Wingdings"/>
          <w:color w:val="auto"/>
          <w:spacing w:val="2"/>
          <w:position w:val="1"/>
          <w:sz w:val="19"/>
          <w:szCs w:val="19"/>
          <w:highlight w:val="none"/>
        </w:rPr>
        <w:t>o</w:t>
      </w:r>
      <w:r>
        <w:rPr>
          <w:rFonts w:ascii="宋体" w:hAnsi="宋体" w:eastAsia="宋体" w:cs="宋体"/>
          <w:color w:val="auto"/>
          <w:spacing w:val="2"/>
          <w:position w:val="1"/>
          <w:sz w:val="19"/>
          <w:szCs w:val="19"/>
          <w:highlight w:val="none"/>
        </w:rPr>
        <w:t>否</w:t>
      </w:r>
      <w:r>
        <w:rPr>
          <w:rFonts w:ascii="Wingdings" w:hAnsi="Wingdings" w:eastAsia="Wingdings" w:cs="Wingdings"/>
          <w:color w:val="auto"/>
          <w:spacing w:val="2"/>
          <w:position w:val="1"/>
          <w:sz w:val="19"/>
          <w:szCs w:val="19"/>
          <w:highlight w:val="none"/>
        </w:rPr>
        <w:t>o</w:t>
      </w:r>
      <w:r>
        <w:rPr>
          <w:rFonts w:ascii="宋体" w:hAnsi="宋体" w:eastAsia="宋体" w:cs="宋体"/>
          <w:color w:val="auto"/>
          <w:spacing w:val="2"/>
          <w:position w:val="1"/>
          <w:sz w:val="19"/>
          <w:szCs w:val="19"/>
          <w:highlight w:val="none"/>
        </w:rPr>
        <w:t>不涉及</w:t>
      </w:r>
    </w:p>
    <w:p w14:paraId="7D6869F3">
      <w:pPr>
        <w:spacing w:line="257" w:lineRule="exact"/>
        <w:rPr>
          <w:rFonts w:ascii="宋体" w:hAnsi="宋体" w:eastAsia="宋体" w:cs="宋体"/>
          <w:color w:val="auto"/>
          <w:sz w:val="19"/>
          <w:szCs w:val="19"/>
          <w:highlight w:val="none"/>
        </w:rPr>
        <w:sectPr>
          <w:footerReference r:id="rId21" w:type="default"/>
          <w:pgSz w:w="11906" w:h="16839"/>
          <w:pgMar w:top="1431" w:right="1288" w:bottom="1209" w:left="1425" w:header="0" w:footer="973" w:gutter="0"/>
          <w:pgNumType w:fmt="decimal"/>
          <w:cols w:space="720" w:num="1"/>
        </w:sectPr>
      </w:pPr>
    </w:p>
    <w:p w14:paraId="0580A851">
      <w:pPr>
        <w:spacing w:before="136" w:line="229" w:lineRule="auto"/>
        <w:ind w:left="393" w:leftChars="0"/>
        <w:outlineLvl w:val="2"/>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2.合同金额</w:t>
      </w:r>
    </w:p>
    <w:p w14:paraId="5D062C21">
      <w:pPr>
        <w:spacing w:before="165" w:line="229" w:lineRule="auto"/>
        <w:ind w:left="401" w:leftChars="0"/>
        <w:outlineLvl w:val="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（1）合同金额小写：</w:t>
      </w:r>
    </w:p>
    <w:p w14:paraId="7274FB59">
      <w:pPr>
        <w:spacing w:before="162" w:line="230" w:lineRule="auto"/>
        <w:ind w:left="1694"/>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大写：</w:t>
      </w:r>
    </w:p>
    <w:p w14:paraId="222CEECA">
      <w:pPr>
        <w:spacing w:before="164" w:line="229" w:lineRule="auto"/>
        <w:ind w:left="89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分包金额（如有）小写：</w:t>
      </w:r>
    </w:p>
    <w:p w14:paraId="7CAC84E1">
      <w:pPr>
        <w:spacing w:before="164" w:line="230" w:lineRule="auto"/>
        <w:ind w:left="2095"/>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大写：</w:t>
      </w:r>
    </w:p>
    <w:p w14:paraId="0682B4AF">
      <w:pPr>
        <w:spacing w:before="162" w:line="227" w:lineRule="auto"/>
        <w:ind w:left="40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（注：固定单价合同应填写单价和最高限价）</w:t>
      </w:r>
    </w:p>
    <w:p w14:paraId="0007F3EF">
      <w:pPr>
        <w:spacing w:before="167" w:line="227" w:lineRule="auto"/>
        <w:ind w:left="401" w:leftChars="0"/>
        <w:outlineLvl w:val="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（2）合同定价方式（采用组合定价方式的，可以勾选多项</w:t>
      </w:r>
      <w:r>
        <w:rPr>
          <w:rFonts w:ascii="宋体" w:hAnsi="宋体" w:eastAsia="宋体" w:cs="宋体"/>
          <w:color w:val="auto"/>
          <w:spacing w:val="1"/>
          <w:sz w:val="19"/>
          <w:szCs w:val="19"/>
          <w:highlight w:val="none"/>
        </w:rPr>
        <w:t>）：</w:t>
      </w:r>
    </w:p>
    <w:p w14:paraId="1574958D">
      <w:pPr>
        <w:spacing w:before="157" w:line="248" w:lineRule="auto"/>
        <w:ind w:left="601"/>
        <w:rPr>
          <w:rFonts w:ascii="宋体" w:hAnsi="宋体" w:eastAsia="宋体" w:cs="宋体"/>
          <w:color w:val="auto"/>
          <w:sz w:val="19"/>
          <w:szCs w:val="19"/>
          <w:highlight w:val="none"/>
        </w:rPr>
      </w:pPr>
      <w:r>
        <w:rPr>
          <w:rFonts w:ascii="Wingdings" w:hAnsi="Wingdings" w:eastAsia="Wingdings" w:cs="Wingdings"/>
          <w:color w:val="auto"/>
          <w:spacing w:val="4"/>
          <w:sz w:val="19"/>
          <w:szCs w:val="19"/>
          <w:highlight w:val="none"/>
        </w:rPr>
        <w:t>o</w:t>
      </w:r>
      <w:r>
        <w:rPr>
          <w:rFonts w:ascii="宋体" w:hAnsi="宋体" w:eastAsia="宋体" w:cs="宋体"/>
          <w:color w:val="auto"/>
          <w:spacing w:val="4"/>
          <w:sz w:val="19"/>
          <w:szCs w:val="19"/>
          <w:highlight w:val="none"/>
        </w:rPr>
        <w:t>固定总价</w:t>
      </w:r>
      <w:r>
        <w:rPr>
          <w:rFonts w:ascii="Wingdings" w:hAnsi="Wingdings" w:eastAsia="Wingdings" w:cs="Wingdings"/>
          <w:color w:val="auto"/>
          <w:spacing w:val="4"/>
          <w:sz w:val="19"/>
          <w:szCs w:val="19"/>
          <w:highlight w:val="none"/>
        </w:rPr>
        <w:t>o</w:t>
      </w:r>
      <w:r>
        <w:rPr>
          <w:rFonts w:ascii="宋体" w:hAnsi="宋体" w:eastAsia="宋体" w:cs="宋体"/>
          <w:color w:val="auto"/>
          <w:spacing w:val="4"/>
          <w:sz w:val="19"/>
          <w:szCs w:val="19"/>
          <w:highlight w:val="none"/>
        </w:rPr>
        <w:t>固定单价</w:t>
      </w:r>
      <w:r>
        <w:rPr>
          <w:rFonts w:ascii="Wingdings" w:hAnsi="Wingdings" w:eastAsia="Wingdings" w:cs="Wingdings"/>
          <w:color w:val="auto"/>
          <w:spacing w:val="4"/>
          <w:sz w:val="19"/>
          <w:szCs w:val="19"/>
          <w:highlight w:val="none"/>
        </w:rPr>
        <w:t>o</w:t>
      </w:r>
      <w:r>
        <w:rPr>
          <w:rFonts w:ascii="宋体" w:hAnsi="宋体" w:eastAsia="宋体" w:cs="宋体"/>
          <w:color w:val="auto"/>
          <w:spacing w:val="4"/>
          <w:sz w:val="19"/>
          <w:szCs w:val="19"/>
          <w:highlight w:val="none"/>
        </w:rPr>
        <w:t>固定费率</w:t>
      </w:r>
      <w:r>
        <w:rPr>
          <w:rFonts w:ascii="Wingdings" w:hAnsi="Wingdings" w:eastAsia="Wingdings" w:cs="Wingdings"/>
          <w:color w:val="auto"/>
          <w:spacing w:val="4"/>
          <w:sz w:val="19"/>
          <w:szCs w:val="19"/>
          <w:highlight w:val="none"/>
        </w:rPr>
        <w:t>o</w:t>
      </w:r>
      <w:r>
        <w:rPr>
          <w:rFonts w:ascii="宋体" w:hAnsi="宋体" w:eastAsia="宋体" w:cs="宋体"/>
          <w:color w:val="auto"/>
          <w:spacing w:val="4"/>
          <w:sz w:val="19"/>
          <w:szCs w:val="19"/>
          <w:highlight w:val="none"/>
        </w:rPr>
        <w:t>成本补偿</w:t>
      </w:r>
      <w:r>
        <w:rPr>
          <w:rFonts w:ascii="Wingdings" w:hAnsi="Wingdings" w:eastAsia="Wingdings" w:cs="Wingdings"/>
          <w:color w:val="auto"/>
          <w:spacing w:val="4"/>
          <w:sz w:val="19"/>
          <w:szCs w:val="19"/>
          <w:highlight w:val="none"/>
        </w:rPr>
        <w:t>o</w:t>
      </w:r>
      <w:r>
        <w:rPr>
          <w:rFonts w:ascii="宋体" w:hAnsi="宋体" w:eastAsia="宋体" w:cs="宋体"/>
          <w:color w:val="auto"/>
          <w:spacing w:val="4"/>
          <w:sz w:val="19"/>
          <w:szCs w:val="19"/>
          <w:highlight w:val="none"/>
        </w:rPr>
        <w:t>绩效激励</w:t>
      </w:r>
      <w:r>
        <w:rPr>
          <w:rFonts w:ascii="Wingdings" w:hAnsi="Wingdings" w:eastAsia="Wingdings" w:cs="Wingdings"/>
          <w:color w:val="auto"/>
          <w:spacing w:val="4"/>
          <w:sz w:val="19"/>
          <w:szCs w:val="19"/>
          <w:highlight w:val="none"/>
        </w:rPr>
        <w:t>o</w:t>
      </w:r>
      <w:r>
        <w:rPr>
          <w:rFonts w:ascii="宋体" w:hAnsi="宋体" w:eastAsia="宋体" w:cs="宋体"/>
          <w:color w:val="auto"/>
          <w:spacing w:val="4"/>
          <w:sz w:val="19"/>
          <w:szCs w:val="19"/>
          <w:highlight w:val="none"/>
        </w:rPr>
        <w:t>其他</w:t>
      </w:r>
    </w:p>
    <w:p w14:paraId="49C0D269">
      <w:pPr>
        <w:spacing w:before="145" w:line="228" w:lineRule="auto"/>
        <w:ind w:left="423" w:leftChars="0"/>
        <w:outlineLvl w:val="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（3）付款方式（按项目实际勾选填写</w:t>
      </w:r>
      <w:r>
        <w:rPr>
          <w:rFonts w:ascii="宋体" w:hAnsi="宋体" w:eastAsia="宋体" w:cs="宋体"/>
          <w:color w:val="auto"/>
          <w:spacing w:val="4"/>
          <w:sz w:val="20"/>
          <w:szCs w:val="20"/>
          <w:highlight w:val="none"/>
        </w:rPr>
        <w:t>）：</w:t>
      </w:r>
    </w:p>
    <w:p w14:paraId="511467B6">
      <w:pPr>
        <w:spacing w:before="154" w:line="249" w:lineRule="auto"/>
        <w:ind w:left="601"/>
        <w:rPr>
          <w:rFonts w:ascii="宋体" w:hAnsi="宋体" w:eastAsia="宋体" w:cs="宋体"/>
          <w:color w:val="auto"/>
          <w:sz w:val="19"/>
          <w:szCs w:val="19"/>
          <w:highlight w:val="none"/>
        </w:rPr>
      </w:pPr>
      <w:r>
        <w:rPr>
          <w:rFonts w:ascii="Wingdings" w:hAnsi="Wingdings" w:eastAsia="Wingdings" w:cs="Wingdings"/>
          <w:color w:val="auto"/>
          <w:spacing w:val="10"/>
          <w:sz w:val="19"/>
          <w:szCs w:val="19"/>
          <w:highlight w:val="none"/>
        </w:rPr>
        <w:t>o</w:t>
      </w:r>
      <w:r>
        <w:rPr>
          <w:rFonts w:ascii="宋体" w:hAnsi="宋体" w:eastAsia="宋体" w:cs="宋体"/>
          <w:color w:val="auto"/>
          <w:spacing w:val="10"/>
          <w:sz w:val="19"/>
          <w:szCs w:val="19"/>
          <w:highlight w:val="none"/>
        </w:rPr>
        <w:t>全额付款</w:t>
      </w:r>
      <w:r>
        <w:rPr>
          <w:rFonts w:ascii="宋体" w:hAnsi="宋体" w:eastAsia="宋体" w:cs="宋体"/>
          <w:color w:val="auto"/>
          <w:spacing w:val="-7"/>
          <w:sz w:val="19"/>
          <w:szCs w:val="19"/>
          <w:highlight w:val="none"/>
        </w:rPr>
        <w:t>：</w:t>
      </w:r>
      <w:r>
        <w:rPr>
          <w:rFonts w:ascii="宋体" w:hAnsi="宋体" w:eastAsia="宋体" w:cs="宋体"/>
          <w:color w:val="auto"/>
          <w:spacing w:val="-7"/>
          <w:sz w:val="19"/>
          <w:szCs w:val="19"/>
          <w:highlight w:val="none"/>
          <w:u w:val="single" w:color="auto"/>
        </w:rPr>
        <w:t>（</w:t>
      </w:r>
      <w:r>
        <w:rPr>
          <w:rFonts w:ascii="宋体" w:hAnsi="宋体" w:eastAsia="宋体" w:cs="宋体"/>
          <w:color w:val="auto"/>
          <w:spacing w:val="10"/>
          <w:sz w:val="19"/>
          <w:szCs w:val="19"/>
          <w:highlight w:val="none"/>
          <w:u w:val="single" w:color="auto"/>
        </w:rPr>
        <w:t>应明确一次性支付合同款项的条</w:t>
      </w:r>
      <w:r>
        <w:rPr>
          <w:rFonts w:ascii="宋体" w:hAnsi="宋体" w:eastAsia="宋体" w:cs="宋体"/>
          <w:color w:val="auto"/>
          <w:spacing w:val="9"/>
          <w:sz w:val="19"/>
          <w:szCs w:val="19"/>
          <w:highlight w:val="none"/>
          <w:u w:val="single" w:color="auto"/>
        </w:rPr>
        <w:t>件）</w:t>
      </w:r>
    </w:p>
    <w:p w14:paraId="440C0119">
      <w:pPr>
        <w:spacing w:before="142" w:line="313" w:lineRule="auto"/>
        <w:ind w:right="64" w:firstLine="601"/>
        <w:rPr>
          <w:rFonts w:ascii="宋体" w:hAnsi="宋体" w:eastAsia="宋体" w:cs="宋体"/>
          <w:color w:val="auto"/>
          <w:sz w:val="19"/>
          <w:szCs w:val="19"/>
          <w:highlight w:val="none"/>
        </w:rPr>
      </w:pPr>
      <w:r>
        <w:rPr>
          <w:rFonts w:ascii="Wingdings" w:hAnsi="Wingdings" w:eastAsia="Wingdings" w:cs="Wingdings"/>
          <w:color w:val="auto"/>
          <w:spacing w:val="10"/>
          <w:sz w:val="19"/>
          <w:szCs w:val="19"/>
          <w:highlight w:val="none"/>
        </w:rPr>
        <w:t>o</w:t>
      </w:r>
      <w:r>
        <w:rPr>
          <w:rFonts w:ascii="宋体" w:hAnsi="宋体" w:eastAsia="宋体" w:cs="宋体"/>
          <w:color w:val="auto"/>
          <w:spacing w:val="10"/>
          <w:sz w:val="19"/>
          <w:szCs w:val="19"/>
          <w:highlight w:val="none"/>
        </w:rPr>
        <w:t>分期付款</w:t>
      </w:r>
      <w:r>
        <w:rPr>
          <w:rFonts w:ascii="宋体" w:hAnsi="宋体" w:eastAsia="宋体" w:cs="宋体"/>
          <w:color w:val="auto"/>
          <w:spacing w:val="-4"/>
          <w:sz w:val="19"/>
          <w:szCs w:val="19"/>
          <w:highlight w:val="none"/>
        </w:rPr>
        <w:t>：</w:t>
      </w:r>
      <w:r>
        <w:rPr>
          <w:rFonts w:ascii="宋体" w:hAnsi="宋体" w:eastAsia="宋体" w:cs="宋体"/>
          <w:color w:val="auto"/>
          <w:spacing w:val="-4"/>
          <w:sz w:val="19"/>
          <w:szCs w:val="19"/>
          <w:highlight w:val="none"/>
          <w:u w:val="single" w:color="auto"/>
        </w:rPr>
        <w:t>（</w:t>
      </w:r>
      <w:r>
        <w:rPr>
          <w:rFonts w:ascii="宋体" w:hAnsi="宋体" w:eastAsia="宋体" w:cs="宋体"/>
          <w:color w:val="auto"/>
          <w:spacing w:val="10"/>
          <w:sz w:val="19"/>
          <w:szCs w:val="19"/>
          <w:highlight w:val="none"/>
          <w:u w:val="single" w:color="auto"/>
        </w:rPr>
        <w:t>应明确分期支付合同款项的各期比例和支付条件，各期支付条件应与分期履约验收情况挂钩</w:t>
      </w:r>
      <w:r>
        <w:rPr>
          <w:rFonts w:ascii="宋体" w:hAnsi="宋体" w:eastAsia="宋体" w:cs="宋体"/>
          <w:color w:val="auto"/>
          <w:spacing w:val="-4"/>
          <w:sz w:val="19"/>
          <w:szCs w:val="19"/>
          <w:highlight w:val="none"/>
          <w:u w:val="single" w:color="auto"/>
        </w:rPr>
        <w:t>）</w:t>
      </w:r>
      <w:r>
        <w:rPr>
          <w:rFonts w:ascii="宋体" w:hAnsi="宋体" w:eastAsia="宋体" w:cs="宋体"/>
          <w:color w:val="auto"/>
          <w:spacing w:val="-4"/>
          <w:sz w:val="19"/>
          <w:szCs w:val="19"/>
          <w:highlight w:val="none"/>
        </w:rPr>
        <w:t>，</w:t>
      </w:r>
      <w:r>
        <w:rPr>
          <w:rFonts w:ascii="宋体" w:hAnsi="宋体" w:eastAsia="宋体" w:cs="宋体"/>
          <w:color w:val="auto"/>
          <w:spacing w:val="10"/>
          <w:sz w:val="19"/>
          <w:szCs w:val="19"/>
          <w:highlight w:val="none"/>
        </w:rPr>
        <w:t>其中涉及预付款的</w:t>
      </w:r>
      <w:r>
        <w:rPr>
          <w:rFonts w:ascii="宋体" w:hAnsi="宋体" w:eastAsia="宋体" w:cs="宋体"/>
          <w:color w:val="auto"/>
          <w:spacing w:val="-4"/>
          <w:sz w:val="19"/>
          <w:szCs w:val="19"/>
          <w:highlight w:val="none"/>
        </w:rPr>
        <w:t>：</w:t>
      </w:r>
      <w:r>
        <w:rPr>
          <w:rFonts w:ascii="宋体" w:hAnsi="宋体" w:eastAsia="宋体" w:cs="宋体"/>
          <w:color w:val="auto"/>
          <w:spacing w:val="-4"/>
          <w:sz w:val="19"/>
          <w:szCs w:val="19"/>
          <w:highlight w:val="none"/>
          <w:u w:val="single" w:color="auto"/>
        </w:rPr>
        <w:t>（</w:t>
      </w:r>
      <w:r>
        <w:rPr>
          <w:rFonts w:ascii="宋体" w:hAnsi="宋体" w:eastAsia="宋体" w:cs="宋体"/>
          <w:color w:val="auto"/>
          <w:spacing w:val="10"/>
          <w:sz w:val="19"/>
          <w:szCs w:val="19"/>
          <w:highlight w:val="none"/>
          <w:u w:val="single" w:color="auto"/>
        </w:rPr>
        <w:t>应明确预付款</w:t>
      </w:r>
      <w:r>
        <w:rPr>
          <w:rFonts w:ascii="宋体" w:hAnsi="宋体" w:eastAsia="宋体" w:cs="宋体"/>
          <w:color w:val="auto"/>
          <w:spacing w:val="9"/>
          <w:sz w:val="19"/>
          <w:szCs w:val="19"/>
          <w:highlight w:val="none"/>
          <w:u w:val="single" w:color="auto"/>
        </w:rPr>
        <w:t>的支付比例和支付条件）</w:t>
      </w:r>
    </w:p>
    <w:p w14:paraId="4EF128C4">
      <w:pPr>
        <w:spacing w:before="158" w:line="248" w:lineRule="auto"/>
        <w:ind w:left="601"/>
        <w:rPr>
          <w:rFonts w:ascii="宋体" w:hAnsi="宋体" w:eastAsia="宋体" w:cs="宋体"/>
          <w:color w:val="auto"/>
          <w:sz w:val="19"/>
          <w:szCs w:val="19"/>
          <w:highlight w:val="none"/>
        </w:rPr>
      </w:pPr>
      <w:r>
        <w:rPr>
          <w:rFonts w:ascii="Wingdings" w:hAnsi="Wingdings" w:eastAsia="Wingdings" w:cs="Wingdings"/>
          <w:color w:val="auto"/>
          <w:spacing w:val="10"/>
          <w:sz w:val="19"/>
          <w:szCs w:val="19"/>
          <w:highlight w:val="none"/>
        </w:rPr>
        <w:t>o</w:t>
      </w:r>
      <w:r>
        <w:rPr>
          <w:rFonts w:ascii="宋体" w:hAnsi="宋体" w:eastAsia="宋体" w:cs="宋体"/>
          <w:color w:val="auto"/>
          <w:spacing w:val="10"/>
          <w:sz w:val="19"/>
          <w:szCs w:val="19"/>
          <w:highlight w:val="none"/>
        </w:rPr>
        <w:t>成本补偿</w:t>
      </w:r>
      <w:r>
        <w:rPr>
          <w:rFonts w:ascii="宋体" w:hAnsi="宋体" w:eastAsia="宋体" w:cs="宋体"/>
          <w:color w:val="auto"/>
          <w:spacing w:val="-7"/>
          <w:sz w:val="19"/>
          <w:szCs w:val="19"/>
          <w:highlight w:val="none"/>
        </w:rPr>
        <w:t>：</w:t>
      </w:r>
      <w:r>
        <w:rPr>
          <w:rFonts w:ascii="宋体" w:hAnsi="宋体" w:eastAsia="宋体" w:cs="宋体"/>
          <w:color w:val="auto"/>
          <w:spacing w:val="-7"/>
          <w:sz w:val="19"/>
          <w:szCs w:val="19"/>
          <w:highlight w:val="none"/>
          <w:u w:val="single" w:color="auto"/>
        </w:rPr>
        <w:t>（</w:t>
      </w:r>
      <w:r>
        <w:rPr>
          <w:rFonts w:ascii="宋体" w:hAnsi="宋体" w:eastAsia="宋体" w:cs="宋体"/>
          <w:color w:val="auto"/>
          <w:spacing w:val="10"/>
          <w:sz w:val="19"/>
          <w:szCs w:val="19"/>
          <w:highlight w:val="none"/>
          <w:u w:val="single" w:color="auto"/>
        </w:rPr>
        <w:t>应明确按照成本补偿方式的支付方式和支付条</w:t>
      </w:r>
      <w:r>
        <w:rPr>
          <w:rFonts w:ascii="宋体" w:hAnsi="宋体" w:eastAsia="宋体" w:cs="宋体"/>
          <w:color w:val="auto"/>
          <w:spacing w:val="9"/>
          <w:sz w:val="19"/>
          <w:szCs w:val="19"/>
          <w:highlight w:val="none"/>
          <w:u w:val="single" w:color="auto"/>
        </w:rPr>
        <w:t>件）</w:t>
      </w:r>
    </w:p>
    <w:p w14:paraId="45610471">
      <w:pPr>
        <w:spacing w:before="143" w:line="249" w:lineRule="auto"/>
        <w:ind w:left="601"/>
        <w:rPr>
          <w:rFonts w:ascii="宋体" w:hAnsi="宋体" w:eastAsia="宋体" w:cs="宋体"/>
          <w:color w:val="auto"/>
          <w:sz w:val="19"/>
          <w:szCs w:val="19"/>
          <w:highlight w:val="none"/>
        </w:rPr>
      </w:pPr>
      <w:r>
        <w:rPr>
          <w:rFonts w:ascii="Wingdings" w:hAnsi="Wingdings" w:eastAsia="Wingdings" w:cs="Wingdings"/>
          <w:color w:val="auto"/>
          <w:spacing w:val="10"/>
          <w:sz w:val="19"/>
          <w:szCs w:val="19"/>
          <w:highlight w:val="none"/>
        </w:rPr>
        <w:t>o</w:t>
      </w:r>
      <w:r>
        <w:rPr>
          <w:rFonts w:ascii="宋体" w:hAnsi="宋体" w:eastAsia="宋体" w:cs="宋体"/>
          <w:color w:val="auto"/>
          <w:spacing w:val="10"/>
          <w:sz w:val="19"/>
          <w:szCs w:val="19"/>
          <w:highlight w:val="none"/>
        </w:rPr>
        <w:t>绩效激励</w:t>
      </w:r>
      <w:r>
        <w:rPr>
          <w:rFonts w:ascii="宋体" w:hAnsi="宋体" w:eastAsia="宋体" w:cs="宋体"/>
          <w:color w:val="auto"/>
          <w:spacing w:val="-7"/>
          <w:sz w:val="19"/>
          <w:szCs w:val="19"/>
          <w:highlight w:val="none"/>
        </w:rPr>
        <w:t>：</w:t>
      </w:r>
      <w:r>
        <w:rPr>
          <w:rFonts w:ascii="宋体" w:hAnsi="宋体" w:eastAsia="宋体" w:cs="宋体"/>
          <w:color w:val="auto"/>
          <w:spacing w:val="-7"/>
          <w:sz w:val="19"/>
          <w:szCs w:val="19"/>
          <w:highlight w:val="none"/>
          <w:u w:val="single" w:color="auto"/>
        </w:rPr>
        <w:t>（</w:t>
      </w:r>
      <w:r>
        <w:rPr>
          <w:rFonts w:ascii="宋体" w:hAnsi="宋体" w:eastAsia="宋体" w:cs="宋体"/>
          <w:color w:val="auto"/>
          <w:spacing w:val="10"/>
          <w:sz w:val="19"/>
          <w:szCs w:val="19"/>
          <w:highlight w:val="none"/>
          <w:u w:val="single" w:color="auto"/>
        </w:rPr>
        <w:t>应明确按照绩效激励方式的支付方式和支付条</w:t>
      </w:r>
      <w:r>
        <w:rPr>
          <w:rFonts w:ascii="宋体" w:hAnsi="宋体" w:eastAsia="宋体" w:cs="宋体"/>
          <w:color w:val="auto"/>
          <w:spacing w:val="9"/>
          <w:sz w:val="19"/>
          <w:szCs w:val="19"/>
          <w:highlight w:val="none"/>
          <w:u w:val="single" w:color="auto"/>
        </w:rPr>
        <w:t>件）</w:t>
      </w:r>
    </w:p>
    <w:p w14:paraId="29C767EC">
      <w:pPr>
        <w:spacing w:before="152" w:line="230" w:lineRule="auto"/>
        <w:ind w:left="395" w:leftChars="0"/>
        <w:outlineLvl w:val="2"/>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3.合同履行</w:t>
      </w:r>
    </w:p>
    <w:p w14:paraId="45FCF066">
      <w:pPr>
        <w:spacing w:before="164" w:line="229" w:lineRule="auto"/>
        <w:ind w:left="401"/>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（1）起始日期：年月日，完成日期：年月日。</w:t>
      </w:r>
    </w:p>
    <w:p w14:paraId="79774FE2">
      <w:pPr>
        <w:spacing w:before="165" w:line="231" w:lineRule="auto"/>
        <w:ind w:left="40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（2）履约地点：</w:t>
      </w:r>
    </w:p>
    <w:p w14:paraId="18D622A2">
      <w:pPr>
        <w:spacing w:before="144" w:line="270" w:lineRule="exact"/>
        <w:ind w:left="401"/>
        <w:rPr>
          <w:rFonts w:ascii="宋体" w:hAnsi="宋体" w:eastAsia="宋体" w:cs="宋体"/>
          <w:color w:val="auto"/>
          <w:sz w:val="20"/>
          <w:szCs w:val="20"/>
          <w:highlight w:val="none"/>
        </w:rPr>
      </w:pPr>
      <w:r>
        <w:rPr>
          <w:rFonts w:ascii="宋体" w:hAnsi="宋体" w:eastAsia="宋体" w:cs="宋体"/>
          <w:color w:val="auto"/>
          <w:spacing w:val="8"/>
          <w:position w:val="1"/>
          <w:sz w:val="19"/>
          <w:szCs w:val="19"/>
          <w:highlight w:val="none"/>
        </w:rPr>
        <w:t>（3）履约担保：</w:t>
      </w:r>
      <w:r>
        <w:rPr>
          <w:rFonts w:ascii="宋体" w:hAnsi="宋体" w:eastAsia="宋体" w:cs="宋体"/>
          <w:color w:val="auto"/>
          <w:spacing w:val="8"/>
          <w:position w:val="1"/>
          <w:sz w:val="20"/>
          <w:szCs w:val="20"/>
          <w:highlight w:val="none"/>
        </w:rPr>
        <w:t>是否收取履约保证金：</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是</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否</w:t>
      </w:r>
    </w:p>
    <w:p w14:paraId="45DE3825">
      <w:pPr>
        <w:spacing w:before="140" w:line="228" w:lineRule="auto"/>
        <w:ind w:left="86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收取履约保证金形式：</w:t>
      </w:r>
    </w:p>
    <w:p w14:paraId="49F24102">
      <w:pPr>
        <w:spacing w:before="151" w:line="228" w:lineRule="auto"/>
        <w:ind w:left="8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收取履约保证金金额：</w:t>
      </w:r>
    </w:p>
    <w:p w14:paraId="368DD329">
      <w:pPr>
        <w:spacing w:before="162" w:line="230" w:lineRule="auto"/>
        <w:ind w:left="79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履约担保期限：</w:t>
      </w:r>
    </w:p>
    <w:p w14:paraId="14F2EF92">
      <w:pPr>
        <w:spacing w:before="164" w:line="230" w:lineRule="auto"/>
        <w:ind w:left="401"/>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（4）分期履行要求：</w:t>
      </w:r>
    </w:p>
    <w:p w14:paraId="5CC41516">
      <w:pPr>
        <w:spacing w:before="164" w:line="229" w:lineRule="auto"/>
        <w:ind w:left="401"/>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（5）风险处置措施和替代方案：</w:t>
      </w:r>
    </w:p>
    <w:p w14:paraId="18FB9AFF">
      <w:pPr>
        <w:spacing w:before="163" w:line="229" w:lineRule="auto"/>
        <w:ind w:left="390" w:leftChars="0"/>
        <w:outlineLvl w:val="2"/>
        <w:rPr>
          <w:rFonts w:ascii="宋体" w:hAnsi="宋体" w:eastAsia="宋体" w:cs="宋体"/>
          <w:color w:val="auto"/>
          <w:sz w:val="19"/>
          <w:szCs w:val="19"/>
          <w:highlight w:val="none"/>
        </w:rPr>
      </w:pPr>
      <w:r>
        <w:rPr>
          <w:rFonts w:ascii="宋体" w:hAnsi="宋体" w:eastAsia="宋体" w:cs="宋体"/>
          <w:b/>
          <w:bCs/>
          <w:color w:val="auto"/>
          <w:spacing w:val="4"/>
          <w:sz w:val="19"/>
          <w:szCs w:val="19"/>
          <w:highlight w:val="none"/>
        </w:rPr>
        <w:t>4.合同验收</w:t>
      </w:r>
    </w:p>
    <w:p w14:paraId="5FD6837D">
      <w:pPr>
        <w:spacing w:before="149" w:line="317" w:lineRule="auto"/>
        <w:ind w:left="891" w:leftChars="0" w:right="4267" w:rightChars="0" w:hanging="490" w:firstLineChars="0"/>
        <w:outlineLvl w:val="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（1）验收组织方式：</w:t>
      </w:r>
      <w:r>
        <w:rPr>
          <w:rFonts w:ascii="Wingdings" w:hAnsi="Wingdings" w:eastAsia="Wingdings" w:cs="Wingdings"/>
          <w:color w:val="auto"/>
          <w:spacing w:val="8"/>
          <w:sz w:val="20"/>
          <w:szCs w:val="20"/>
          <w:highlight w:val="none"/>
        </w:rPr>
        <w:t>o</w:t>
      </w:r>
      <w:r>
        <w:rPr>
          <w:rFonts w:ascii="宋体" w:hAnsi="宋体" w:eastAsia="宋体" w:cs="宋体"/>
          <w:color w:val="auto"/>
          <w:spacing w:val="8"/>
          <w:sz w:val="19"/>
          <w:szCs w:val="19"/>
          <w:highlight w:val="none"/>
        </w:rPr>
        <w:t>自行组织</w:t>
      </w:r>
      <w:r>
        <w:rPr>
          <w:rFonts w:ascii="Wingdings" w:hAnsi="Wingdings" w:eastAsia="Wingdings" w:cs="Wingdings"/>
          <w:color w:val="auto"/>
          <w:spacing w:val="8"/>
          <w:sz w:val="20"/>
          <w:szCs w:val="20"/>
          <w:highlight w:val="none"/>
        </w:rPr>
        <w:t>o</w:t>
      </w:r>
      <w:r>
        <w:rPr>
          <w:rFonts w:ascii="宋体" w:hAnsi="宋体" w:eastAsia="宋体" w:cs="宋体"/>
          <w:color w:val="auto"/>
          <w:spacing w:val="8"/>
          <w:sz w:val="19"/>
          <w:szCs w:val="19"/>
          <w:highlight w:val="none"/>
        </w:rPr>
        <w:t>委托第三方组织验收主体：</w:t>
      </w:r>
    </w:p>
    <w:p w14:paraId="6A250381">
      <w:pPr>
        <w:spacing w:before="146" w:line="267" w:lineRule="exact"/>
        <w:ind w:left="795"/>
        <w:rPr>
          <w:rFonts w:ascii="宋体" w:hAnsi="宋体" w:eastAsia="宋体" w:cs="宋体"/>
          <w:color w:val="auto"/>
          <w:sz w:val="19"/>
          <w:szCs w:val="19"/>
          <w:highlight w:val="none"/>
        </w:rPr>
      </w:pPr>
      <w:r>
        <w:rPr>
          <w:rFonts w:ascii="宋体" w:hAnsi="宋体" w:eastAsia="宋体" w:cs="宋体"/>
          <w:color w:val="auto"/>
          <w:spacing w:val="9"/>
          <w:position w:val="1"/>
          <w:sz w:val="19"/>
          <w:szCs w:val="19"/>
          <w:highlight w:val="none"/>
        </w:rPr>
        <w:t>是否邀请本项目的其他供应商参加验收：</w:t>
      </w:r>
      <w:r>
        <w:rPr>
          <w:rFonts w:ascii="Wingdings" w:hAnsi="Wingdings" w:eastAsia="Wingdings" w:cs="Wingdings"/>
          <w:color w:val="auto"/>
          <w:spacing w:val="9"/>
          <w:position w:val="1"/>
          <w:sz w:val="20"/>
          <w:szCs w:val="20"/>
          <w:highlight w:val="none"/>
        </w:rPr>
        <w:t>o</w:t>
      </w:r>
      <w:r>
        <w:rPr>
          <w:rFonts w:ascii="宋体" w:hAnsi="宋体" w:eastAsia="宋体" w:cs="宋体"/>
          <w:color w:val="auto"/>
          <w:spacing w:val="9"/>
          <w:position w:val="1"/>
          <w:sz w:val="19"/>
          <w:szCs w:val="19"/>
          <w:highlight w:val="none"/>
        </w:rPr>
        <w:t>是</w:t>
      </w:r>
      <w:r>
        <w:rPr>
          <w:rFonts w:ascii="Wingdings" w:hAnsi="Wingdings" w:eastAsia="Wingdings" w:cs="Wingdings"/>
          <w:color w:val="auto"/>
          <w:spacing w:val="9"/>
          <w:position w:val="1"/>
          <w:sz w:val="20"/>
          <w:szCs w:val="20"/>
          <w:highlight w:val="none"/>
        </w:rPr>
        <w:t>o</w:t>
      </w:r>
      <w:r>
        <w:rPr>
          <w:rFonts w:ascii="宋体" w:hAnsi="宋体" w:eastAsia="宋体" w:cs="宋体"/>
          <w:color w:val="auto"/>
          <w:spacing w:val="9"/>
          <w:position w:val="1"/>
          <w:sz w:val="19"/>
          <w:szCs w:val="19"/>
          <w:highlight w:val="none"/>
        </w:rPr>
        <w:t>否</w:t>
      </w:r>
    </w:p>
    <w:p w14:paraId="1B1E8673">
      <w:pPr>
        <w:spacing w:before="134" w:line="267" w:lineRule="exact"/>
        <w:ind w:left="795"/>
        <w:rPr>
          <w:rFonts w:ascii="宋体" w:hAnsi="宋体" w:eastAsia="宋体" w:cs="宋体"/>
          <w:color w:val="auto"/>
          <w:sz w:val="19"/>
          <w:szCs w:val="19"/>
          <w:highlight w:val="none"/>
        </w:rPr>
      </w:pPr>
      <w:r>
        <w:rPr>
          <w:rFonts w:ascii="宋体" w:hAnsi="宋体" w:eastAsia="宋体" w:cs="宋体"/>
          <w:color w:val="auto"/>
          <w:spacing w:val="8"/>
          <w:position w:val="1"/>
          <w:sz w:val="19"/>
          <w:szCs w:val="19"/>
          <w:highlight w:val="none"/>
        </w:rPr>
        <w:t>是否邀请专家参加验收：</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19"/>
          <w:szCs w:val="19"/>
          <w:highlight w:val="none"/>
        </w:rPr>
        <w:t>是</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19"/>
          <w:szCs w:val="19"/>
          <w:highlight w:val="none"/>
        </w:rPr>
        <w:t>否</w:t>
      </w:r>
    </w:p>
    <w:p w14:paraId="430011CC">
      <w:pPr>
        <w:spacing w:before="131" w:line="268" w:lineRule="exact"/>
        <w:ind w:left="795"/>
        <w:rPr>
          <w:rFonts w:ascii="宋体" w:hAnsi="宋体" w:eastAsia="宋体" w:cs="宋体"/>
          <w:color w:val="auto"/>
          <w:sz w:val="19"/>
          <w:szCs w:val="19"/>
          <w:highlight w:val="none"/>
        </w:rPr>
      </w:pPr>
      <w:r>
        <w:rPr>
          <w:rFonts w:ascii="宋体" w:hAnsi="宋体" w:eastAsia="宋体" w:cs="宋体"/>
          <w:color w:val="auto"/>
          <w:spacing w:val="8"/>
          <w:position w:val="1"/>
          <w:sz w:val="19"/>
          <w:szCs w:val="19"/>
          <w:highlight w:val="none"/>
        </w:rPr>
        <w:t>是否邀请服务对象参加验收：</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19"/>
          <w:szCs w:val="19"/>
          <w:highlight w:val="none"/>
        </w:rPr>
        <w:t>是</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19"/>
          <w:szCs w:val="19"/>
          <w:highlight w:val="none"/>
        </w:rPr>
        <w:t>否</w:t>
      </w:r>
    </w:p>
    <w:p w14:paraId="4E9973C3">
      <w:pPr>
        <w:spacing w:before="133" w:line="267" w:lineRule="exact"/>
        <w:ind w:left="795"/>
        <w:rPr>
          <w:rFonts w:ascii="宋体" w:hAnsi="宋体" w:eastAsia="宋体" w:cs="宋体"/>
          <w:color w:val="auto"/>
          <w:sz w:val="19"/>
          <w:szCs w:val="19"/>
          <w:highlight w:val="none"/>
        </w:rPr>
      </w:pPr>
      <w:r>
        <w:rPr>
          <w:rFonts w:ascii="宋体" w:hAnsi="宋体" w:eastAsia="宋体" w:cs="宋体"/>
          <w:color w:val="auto"/>
          <w:spacing w:val="9"/>
          <w:position w:val="1"/>
          <w:sz w:val="19"/>
          <w:szCs w:val="19"/>
          <w:highlight w:val="none"/>
        </w:rPr>
        <w:t>是否邀请第三方检测机构参加验收：</w:t>
      </w:r>
      <w:r>
        <w:rPr>
          <w:rFonts w:ascii="Wingdings" w:hAnsi="Wingdings" w:eastAsia="Wingdings" w:cs="Wingdings"/>
          <w:color w:val="auto"/>
          <w:spacing w:val="9"/>
          <w:position w:val="1"/>
          <w:sz w:val="20"/>
          <w:szCs w:val="20"/>
          <w:highlight w:val="none"/>
        </w:rPr>
        <w:t>o</w:t>
      </w:r>
      <w:r>
        <w:rPr>
          <w:rFonts w:ascii="宋体" w:hAnsi="宋体" w:eastAsia="宋体" w:cs="宋体"/>
          <w:color w:val="auto"/>
          <w:spacing w:val="9"/>
          <w:position w:val="1"/>
          <w:sz w:val="19"/>
          <w:szCs w:val="19"/>
          <w:highlight w:val="none"/>
        </w:rPr>
        <w:t>是</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19"/>
          <w:szCs w:val="19"/>
          <w:highlight w:val="none"/>
        </w:rPr>
        <w:t>否</w:t>
      </w:r>
    </w:p>
    <w:p w14:paraId="551ACB83">
      <w:pPr>
        <w:spacing w:before="134" w:line="260" w:lineRule="auto"/>
        <w:ind w:left="79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是否进行抽查检测：</w:t>
      </w:r>
      <w:r>
        <w:rPr>
          <w:rFonts w:ascii="Wingdings" w:hAnsi="Wingdings" w:eastAsia="Wingdings" w:cs="Wingdings"/>
          <w:color w:val="auto"/>
          <w:spacing w:val="8"/>
          <w:sz w:val="20"/>
          <w:szCs w:val="20"/>
          <w:highlight w:val="none"/>
        </w:rPr>
        <w:t>o</w:t>
      </w:r>
      <w:r>
        <w:rPr>
          <w:rFonts w:ascii="宋体" w:hAnsi="宋体" w:eastAsia="宋体" w:cs="宋体"/>
          <w:color w:val="auto"/>
          <w:spacing w:val="8"/>
          <w:sz w:val="19"/>
          <w:szCs w:val="19"/>
          <w:highlight w:val="none"/>
        </w:rPr>
        <w:t>是，抽查比例：</w:t>
      </w:r>
      <w:r>
        <w:rPr>
          <w:rFonts w:ascii="Wingdings" w:hAnsi="Wingdings" w:eastAsia="Wingdings" w:cs="Wingdings"/>
          <w:color w:val="auto"/>
          <w:spacing w:val="7"/>
          <w:sz w:val="20"/>
          <w:szCs w:val="20"/>
          <w:highlight w:val="none"/>
        </w:rPr>
        <w:t>o</w:t>
      </w:r>
      <w:r>
        <w:rPr>
          <w:rFonts w:ascii="宋体" w:hAnsi="宋体" w:eastAsia="宋体" w:cs="宋体"/>
          <w:color w:val="auto"/>
          <w:spacing w:val="7"/>
          <w:sz w:val="19"/>
          <w:szCs w:val="19"/>
          <w:highlight w:val="none"/>
        </w:rPr>
        <w:t>否</w:t>
      </w:r>
    </w:p>
    <w:p w14:paraId="7B562A61">
      <w:pPr>
        <w:spacing w:before="131" w:line="260" w:lineRule="auto"/>
        <w:ind w:left="795"/>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是否存在破坏性检测：</w:t>
      </w:r>
      <w:r>
        <w:rPr>
          <w:rFonts w:ascii="Wingdings" w:hAnsi="Wingdings" w:eastAsia="Wingdings" w:cs="Wingdings"/>
          <w:color w:val="auto"/>
          <w:spacing w:val="11"/>
          <w:sz w:val="20"/>
          <w:szCs w:val="20"/>
          <w:highlight w:val="none"/>
        </w:rPr>
        <w:t>o</w:t>
      </w:r>
      <w:r>
        <w:rPr>
          <w:rFonts w:ascii="宋体" w:hAnsi="宋体" w:eastAsia="宋体" w:cs="宋体"/>
          <w:color w:val="auto"/>
          <w:spacing w:val="11"/>
          <w:sz w:val="19"/>
          <w:szCs w:val="19"/>
          <w:highlight w:val="none"/>
        </w:rPr>
        <w:t>是</w:t>
      </w:r>
      <w:r>
        <w:rPr>
          <w:rFonts w:ascii="宋体" w:hAnsi="宋体" w:eastAsia="宋体" w:cs="宋体"/>
          <w:color w:val="auto"/>
          <w:spacing w:val="-12"/>
          <w:sz w:val="19"/>
          <w:szCs w:val="19"/>
          <w:highlight w:val="none"/>
        </w:rPr>
        <w:t>，</w:t>
      </w:r>
      <w:r>
        <w:rPr>
          <w:rFonts w:ascii="宋体" w:hAnsi="宋体" w:eastAsia="宋体" w:cs="宋体"/>
          <w:color w:val="auto"/>
          <w:spacing w:val="-12"/>
          <w:sz w:val="19"/>
          <w:szCs w:val="19"/>
          <w:highlight w:val="none"/>
          <w:u w:val="single" w:color="auto"/>
        </w:rPr>
        <w:t>（</w:t>
      </w:r>
      <w:r>
        <w:rPr>
          <w:rFonts w:ascii="宋体" w:hAnsi="宋体" w:eastAsia="宋体" w:cs="宋体"/>
          <w:color w:val="auto"/>
          <w:spacing w:val="11"/>
          <w:sz w:val="19"/>
          <w:szCs w:val="19"/>
          <w:highlight w:val="none"/>
          <w:u w:val="single" w:color="auto"/>
        </w:rPr>
        <w:t>应明确对被破坏的检测产品的处理方式）</w:t>
      </w:r>
    </w:p>
    <w:p w14:paraId="2143CAB9">
      <w:pPr>
        <w:spacing w:before="133" w:line="268" w:lineRule="exact"/>
        <w:ind w:left="2801"/>
        <w:rPr>
          <w:rFonts w:ascii="宋体" w:hAnsi="宋体" w:eastAsia="宋体" w:cs="宋体"/>
          <w:color w:val="auto"/>
          <w:sz w:val="19"/>
          <w:szCs w:val="19"/>
          <w:highlight w:val="none"/>
        </w:rPr>
      </w:pPr>
      <w:r>
        <w:rPr>
          <w:rFonts w:ascii="Wingdings" w:hAnsi="Wingdings" w:eastAsia="Wingdings" w:cs="Wingdings"/>
          <w:color w:val="auto"/>
          <w:position w:val="1"/>
          <w:sz w:val="20"/>
          <w:szCs w:val="20"/>
          <w:highlight w:val="none"/>
        </w:rPr>
        <w:t>o</w:t>
      </w:r>
      <w:r>
        <w:rPr>
          <w:rFonts w:ascii="宋体" w:hAnsi="宋体" w:eastAsia="宋体" w:cs="宋体"/>
          <w:color w:val="auto"/>
          <w:position w:val="1"/>
          <w:sz w:val="19"/>
          <w:szCs w:val="19"/>
          <w:highlight w:val="none"/>
        </w:rPr>
        <w:t>否</w:t>
      </w:r>
    </w:p>
    <w:p w14:paraId="1EF8FBD5">
      <w:pPr>
        <w:spacing w:before="149" w:line="229" w:lineRule="auto"/>
        <w:ind w:left="79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验收组织的其他事项：</w:t>
      </w:r>
    </w:p>
    <w:p w14:paraId="0965AC8A">
      <w:pPr>
        <w:spacing w:before="166" w:line="228" w:lineRule="auto"/>
        <w:ind w:left="40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（2）履约验收时间</w:t>
      </w:r>
      <w:r>
        <w:rPr>
          <w:rFonts w:ascii="宋体" w:hAnsi="宋体" w:eastAsia="宋体" w:cs="宋体"/>
          <w:color w:val="auto"/>
          <w:spacing w:val="2"/>
          <w:sz w:val="19"/>
          <w:szCs w:val="19"/>
          <w:highlight w:val="none"/>
        </w:rPr>
        <w:t>：</w:t>
      </w:r>
      <w:r>
        <w:rPr>
          <w:rFonts w:ascii="宋体" w:hAnsi="宋体" w:eastAsia="宋体" w:cs="宋体"/>
          <w:color w:val="auto"/>
          <w:spacing w:val="2"/>
          <w:sz w:val="19"/>
          <w:szCs w:val="19"/>
          <w:highlight w:val="none"/>
          <w:u w:val="single" w:color="auto"/>
        </w:rPr>
        <w:t>（</w:t>
      </w:r>
      <w:r>
        <w:rPr>
          <w:rFonts w:ascii="宋体" w:hAnsi="宋体" w:eastAsia="宋体" w:cs="宋体"/>
          <w:color w:val="auto"/>
          <w:spacing w:val="9"/>
          <w:sz w:val="19"/>
          <w:szCs w:val="19"/>
          <w:highlight w:val="none"/>
          <w:u w:val="single" w:color="auto"/>
        </w:rPr>
        <w:t>计划于何时验收/供应商提出验收申请之日起日内组织验收）</w:t>
      </w:r>
    </w:p>
    <w:p w14:paraId="089A24CF">
      <w:pPr>
        <w:spacing w:line="228" w:lineRule="auto"/>
        <w:rPr>
          <w:rFonts w:ascii="宋体" w:hAnsi="宋体" w:eastAsia="宋体" w:cs="宋体"/>
          <w:color w:val="auto"/>
          <w:sz w:val="19"/>
          <w:szCs w:val="19"/>
          <w:highlight w:val="none"/>
        </w:rPr>
        <w:sectPr>
          <w:footerReference r:id="rId22" w:type="default"/>
          <w:pgSz w:w="11906" w:h="16839"/>
          <w:pgMar w:top="1431" w:right="1247" w:bottom="1209" w:left="1433" w:header="0" w:footer="973" w:gutter="0"/>
          <w:pgNumType w:fmt="decimal"/>
          <w:cols w:space="720" w:num="1"/>
        </w:sectPr>
      </w:pPr>
    </w:p>
    <w:p w14:paraId="1D65035F">
      <w:pPr>
        <w:spacing w:before="119" w:line="268" w:lineRule="exact"/>
        <w:ind w:left="409" w:leftChars="0"/>
        <w:outlineLvl w:val="3"/>
        <w:rPr>
          <w:rFonts w:ascii="宋体" w:hAnsi="宋体" w:eastAsia="宋体" w:cs="宋体"/>
          <w:color w:val="auto"/>
          <w:sz w:val="19"/>
          <w:szCs w:val="19"/>
          <w:highlight w:val="none"/>
        </w:rPr>
      </w:pPr>
      <w:r>
        <w:rPr>
          <w:rFonts w:ascii="宋体" w:hAnsi="宋体" w:eastAsia="宋体" w:cs="宋体"/>
          <w:color w:val="auto"/>
          <w:spacing w:val="8"/>
          <w:position w:val="1"/>
          <w:sz w:val="19"/>
          <w:szCs w:val="19"/>
          <w:highlight w:val="none"/>
        </w:rPr>
        <w:t>（3）履约验收方式：</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19"/>
          <w:szCs w:val="19"/>
          <w:highlight w:val="none"/>
        </w:rPr>
        <w:t>一次性验收</w:t>
      </w:r>
    </w:p>
    <w:p w14:paraId="32778FE7">
      <w:pPr>
        <w:spacing w:before="130" w:line="260" w:lineRule="auto"/>
        <w:ind w:left="2309"/>
        <w:rPr>
          <w:rFonts w:ascii="宋体" w:hAnsi="宋体" w:eastAsia="宋体" w:cs="宋体"/>
          <w:color w:val="auto"/>
          <w:sz w:val="19"/>
          <w:szCs w:val="19"/>
          <w:highlight w:val="none"/>
        </w:rPr>
      </w:pPr>
      <w:r>
        <w:rPr>
          <w:rFonts w:ascii="Wingdings" w:hAnsi="Wingdings" w:eastAsia="Wingdings" w:cs="Wingdings"/>
          <w:color w:val="auto"/>
          <w:spacing w:val="9"/>
          <w:sz w:val="20"/>
          <w:szCs w:val="20"/>
          <w:highlight w:val="none"/>
        </w:rPr>
        <w:t>o</w:t>
      </w:r>
      <w:r>
        <w:rPr>
          <w:rFonts w:ascii="宋体" w:hAnsi="宋体" w:eastAsia="宋体" w:cs="宋体"/>
          <w:color w:val="auto"/>
          <w:spacing w:val="9"/>
          <w:sz w:val="19"/>
          <w:szCs w:val="19"/>
          <w:highlight w:val="none"/>
        </w:rPr>
        <w:t>分期/分项验收</w:t>
      </w:r>
      <w:r>
        <w:rPr>
          <w:rFonts w:ascii="宋体" w:hAnsi="宋体" w:eastAsia="宋体" w:cs="宋体"/>
          <w:color w:val="auto"/>
          <w:spacing w:val="-2"/>
          <w:sz w:val="19"/>
          <w:szCs w:val="19"/>
          <w:highlight w:val="none"/>
        </w:rPr>
        <w:t>：</w:t>
      </w:r>
      <w:r>
        <w:rPr>
          <w:rFonts w:ascii="宋体" w:hAnsi="宋体" w:eastAsia="宋体" w:cs="宋体"/>
          <w:color w:val="auto"/>
          <w:spacing w:val="-2"/>
          <w:sz w:val="19"/>
          <w:szCs w:val="19"/>
          <w:highlight w:val="none"/>
          <w:u w:val="single" w:color="auto"/>
        </w:rPr>
        <w:t>（</w:t>
      </w:r>
      <w:r>
        <w:rPr>
          <w:rFonts w:ascii="宋体" w:hAnsi="宋体" w:eastAsia="宋体" w:cs="宋体"/>
          <w:color w:val="auto"/>
          <w:spacing w:val="9"/>
          <w:sz w:val="19"/>
          <w:szCs w:val="19"/>
          <w:highlight w:val="none"/>
          <w:u w:val="single" w:color="auto"/>
        </w:rPr>
        <w:t>应明确分期/分项验收的工作安排）</w:t>
      </w:r>
    </w:p>
    <w:p w14:paraId="6085A134">
      <w:pPr>
        <w:spacing w:before="149" w:line="229" w:lineRule="auto"/>
        <w:ind w:left="409" w:leftChars="0"/>
        <w:outlineLvl w:val="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（4）履约验收程序：</w:t>
      </w:r>
    </w:p>
    <w:p w14:paraId="7DC48EA1">
      <w:pPr>
        <w:spacing w:before="164" w:line="309" w:lineRule="auto"/>
        <w:ind w:left="6" w:firstLine="402"/>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（5）履约验收的内容</w:t>
      </w:r>
      <w:r>
        <w:rPr>
          <w:rFonts w:ascii="宋体" w:hAnsi="宋体" w:eastAsia="宋体" w:cs="宋体"/>
          <w:color w:val="auto"/>
          <w:spacing w:val="-5"/>
          <w:sz w:val="19"/>
          <w:szCs w:val="19"/>
          <w:highlight w:val="none"/>
        </w:rPr>
        <w:t>：</w:t>
      </w:r>
      <w:r>
        <w:rPr>
          <w:rFonts w:ascii="宋体" w:hAnsi="宋体" w:eastAsia="宋体" w:cs="宋体"/>
          <w:color w:val="auto"/>
          <w:spacing w:val="-5"/>
          <w:sz w:val="19"/>
          <w:szCs w:val="19"/>
          <w:highlight w:val="none"/>
          <w:u w:val="single" w:color="auto"/>
        </w:rPr>
        <w:t>（</w:t>
      </w:r>
      <w:r>
        <w:rPr>
          <w:rFonts w:ascii="宋体" w:hAnsi="宋体" w:eastAsia="宋体" w:cs="宋体"/>
          <w:color w:val="auto"/>
          <w:spacing w:val="10"/>
          <w:sz w:val="19"/>
          <w:szCs w:val="19"/>
          <w:highlight w:val="none"/>
          <w:u w:val="single" w:color="auto"/>
        </w:rPr>
        <w:t>应当包括每一项技术和商务要求的履约情况，特别是落实政府采购扶持中</w:t>
      </w:r>
      <w:r>
        <w:rPr>
          <w:rFonts w:ascii="宋体" w:hAnsi="宋体" w:eastAsia="宋体" w:cs="宋体"/>
          <w:color w:val="auto"/>
          <w:spacing w:val="5"/>
          <w:sz w:val="19"/>
          <w:szCs w:val="19"/>
          <w:highlight w:val="none"/>
          <w:u w:val="single" w:color="auto"/>
        </w:rPr>
        <w:t>小企业，支持绿色发展和乡村振兴等政策情况）</w:t>
      </w:r>
    </w:p>
    <w:p w14:paraId="3B7D9AD8">
      <w:pPr>
        <w:spacing w:before="164" w:line="229" w:lineRule="auto"/>
        <w:ind w:left="40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（6）履约验收标准：</w:t>
      </w:r>
    </w:p>
    <w:p w14:paraId="5551CF32">
      <w:pPr>
        <w:spacing w:before="148" w:line="269" w:lineRule="exact"/>
        <w:ind w:left="431"/>
        <w:rPr>
          <w:rFonts w:ascii="宋体" w:hAnsi="宋体" w:eastAsia="宋体" w:cs="宋体"/>
          <w:color w:val="auto"/>
          <w:sz w:val="20"/>
          <w:szCs w:val="20"/>
          <w:highlight w:val="none"/>
        </w:rPr>
      </w:pPr>
      <w:r>
        <w:rPr>
          <w:rFonts w:ascii="宋体" w:hAnsi="宋体" w:eastAsia="宋体" w:cs="宋体"/>
          <w:color w:val="auto"/>
          <w:spacing w:val="9"/>
          <w:position w:val="1"/>
          <w:sz w:val="20"/>
          <w:szCs w:val="20"/>
          <w:highlight w:val="none"/>
        </w:rPr>
        <w:t>（7）是否以采购活动中供应商提供的样品作为参</w:t>
      </w:r>
      <w:r>
        <w:rPr>
          <w:rFonts w:ascii="宋体" w:hAnsi="宋体" w:eastAsia="宋体" w:cs="宋体"/>
          <w:color w:val="auto"/>
          <w:spacing w:val="8"/>
          <w:position w:val="1"/>
          <w:sz w:val="20"/>
          <w:szCs w:val="20"/>
          <w:highlight w:val="none"/>
        </w:rPr>
        <w:t>考：</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是</w:t>
      </w:r>
      <w:r>
        <w:rPr>
          <w:rFonts w:ascii="Wingdings" w:hAnsi="Wingdings" w:eastAsia="Wingdings" w:cs="Wingdings"/>
          <w:color w:val="auto"/>
          <w:spacing w:val="8"/>
          <w:position w:val="1"/>
          <w:sz w:val="20"/>
          <w:szCs w:val="20"/>
          <w:highlight w:val="none"/>
        </w:rPr>
        <w:t>o</w:t>
      </w:r>
      <w:r>
        <w:rPr>
          <w:rFonts w:ascii="宋体" w:hAnsi="宋体" w:eastAsia="宋体" w:cs="宋体"/>
          <w:color w:val="auto"/>
          <w:spacing w:val="8"/>
          <w:position w:val="1"/>
          <w:sz w:val="20"/>
          <w:szCs w:val="20"/>
          <w:highlight w:val="none"/>
        </w:rPr>
        <w:t>否</w:t>
      </w:r>
    </w:p>
    <w:p w14:paraId="11761E9C">
      <w:pPr>
        <w:spacing w:before="149" w:line="229" w:lineRule="auto"/>
        <w:ind w:left="40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（8）履约验收其他事项</w:t>
      </w:r>
      <w:r>
        <w:rPr>
          <w:rFonts w:ascii="宋体" w:hAnsi="宋体" w:eastAsia="宋体" w:cs="宋体"/>
          <w:color w:val="auto"/>
          <w:spacing w:val="-1"/>
          <w:sz w:val="19"/>
          <w:szCs w:val="19"/>
          <w:highlight w:val="none"/>
        </w:rPr>
        <w:t>：</w:t>
      </w:r>
      <w:r>
        <w:rPr>
          <w:rFonts w:ascii="宋体" w:hAnsi="宋体" w:eastAsia="宋体" w:cs="宋体"/>
          <w:color w:val="auto"/>
          <w:spacing w:val="-1"/>
          <w:sz w:val="19"/>
          <w:szCs w:val="19"/>
          <w:highlight w:val="none"/>
          <w:u w:val="single" w:color="auto"/>
        </w:rPr>
        <w:t>（</w:t>
      </w:r>
      <w:r>
        <w:rPr>
          <w:rFonts w:ascii="宋体" w:hAnsi="宋体" w:eastAsia="宋体" w:cs="宋体"/>
          <w:color w:val="auto"/>
          <w:spacing w:val="9"/>
          <w:sz w:val="19"/>
          <w:szCs w:val="19"/>
          <w:highlight w:val="none"/>
          <w:u w:val="single" w:color="auto"/>
        </w:rPr>
        <w:t>产权过户登记等）</w:t>
      </w:r>
    </w:p>
    <w:p w14:paraId="305D183C">
      <w:pPr>
        <w:spacing w:before="162" w:line="229" w:lineRule="auto"/>
        <w:ind w:left="403" w:leftChars="0"/>
        <w:outlineLvl w:val="2"/>
        <w:rPr>
          <w:rFonts w:ascii="宋体" w:hAnsi="宋体" w:eastAsia="宋体" w:cs="宋体"/>
          <w:color w:val="auto"/>
          <w:sz w:val="19"/>
          <w:szCs w:val="19"/>
          <w:highlight w:val="none"/>
        </w:rPr>
      </w:pPr>
      <w:r>
        <w:rPr>
          <w:rFonts w:ascii="宋体" w:hAnsi="宋体" w:eastAsia="宋体" w:cs="宋体"/>
          <w:b/>
          <w:bCs/>
          <w:color w:val="auto"/>
          <w:spacing w:val="6"/>
          <w:sz w:val="19"/>
          <w:szCs w:val="19"/>
          <w:highlight w:val="none"/>
        </w:rPr>
        <w:t>5.组成合同的文件</w:t>
      </w:r>
    </w:p>
    <w:p w14:paraId="347EE6A2">
      <w:pPr>
        <w:spacing w:before="166" w:line="388" w:lineRule="auto"/>
        <w:ind w:right="2" w:firstLine="399"/>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本协议书与下列文件一起构成合同文件，如下述文件之间有任何抵触、矛</w:t>
      </w:r>
      <w:r>
        <w:rPr>
          <w:rFonts w:ascii="宋体" w:hAnsi="宋体" w:eastAsia="宋体" w:cs="宋体"/>
          <w:color w:val="auto"/>
          <w:spacing w:val="9"/>
          <w:sz w:val="19"/>
          <w:szCs w:val="19"/>
          <w:highlight w:val="none"/>
        </w:rPr>
        <w:t>盾或歧义，应按以下顺序解</w:t>
      </w:r>
      <w:r>
        <w:rPr>
          <w:rFonts w:ascii="宋体" w:hAnsi="宋体" w:eastAsia="宋体" w:cs="宋体"/>
          <w:color w:val="auto"/>
          <w:spacing w:val="1"/>
          <w:sz w:val="19"/>
          <w:szCs w:val="19"/>
          <w:highlight w:val="none"/>
        </w:rPr>
        <w:t>释：</w:t>
      </w:r>
    </w:p>
    <w:p w14:paraId="79861159">
      <w:pPr>
        <w:spacing w:line="228"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（1）政府采购合同协议书及其变更、补充协议</w:t>
      </w:r>
    </w:p>
    <w:p w14:paraId="474FBB31">
      <w:pPr>
        <w:spacing w:before="166" w:line="228"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（2）政府采购合同专用条款</w:t>
      </w:r>
    </w:p>
    <w:p w14:paraId="286978ED">
      <w:pPr>
        <w:spacing w:before="167" w:line="228"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（3）政府采购合同通用条款</w:t>
      </w:r>
    </w:p>
    <w:p w14:paraId="1F3BD019">
      <w:pPr>
        <w:spacing w:before="163" w:line="228"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（4）中标（成交）通知书</w:t>
      </w:r>
    </w:p>
    <w:p w14:paraId="7092510F">
      <w:pPr>
        <w:spacing w:before="166" w:line="229" w:lineRule="auto"/>
        <w:ind w:left="40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（5）投标（响应）文件</w:t>
      </w:r>
    </w:p>
    <w:p w14:paraId="00C87E2C">
      <w:pPr>
        <w:spacing w:before="166" w:line="228" w:lineRule="auto"/>
        <w:ind w:left="409"/>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（6）采购文件</w:t>
      </w:r>
    </w:p>
    <w:p w14:paraId="2625C8B9">
      <w:pPr>
        <w:spacing w:before="163" w:line="229"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（7）有关技术文件，图纸</w:t>
      </w:r>
    </w:p>
    <w:p w14:paraId="25C1A150">
      <w:pPr>
        <w:spacing w:before="156"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（8）国家法律、行政法规和规章制度规定或合同约定的作为合同组成部分的其他文件</w:t>
      </w:r>
    </w:p>
    <w:p w14:paraId="04C44A3B">
      <w:pPr>
        <w:spacing w:before="163" w:line="230" w:lineRule="auto"/>
        <w:ind w:left="400" w:leftChars="0"/>
        <w:outlineLvl w:val="2"/>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6.合同生效</w:t>
      </w:r>
    </w:p>
    <w:p w14:paraId="35820BD4">
      <w:pPr>
        <w:spacing w:before="162" w:line="228" w:lineRule="auto"/>
        <w:ind w:left="399"/>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本合同自生效。</w:t>
      </w:r>
    </w:p>
    <w:p w14:paraId="48A986BA">
      <w:pPr>
        <w:spacing w:before="166" w:line="229" w:lineRule="auto"/>
        <w:ind w:left="403" w:leftChars="0"/>
        <w:outlineLvl w:val="2"/>
        <w:rPr>
          <w:rFonts w:ascii="宋体" w:hAnsi="宋体" w:eastAsia="宋体" w:cs="宋体"/>
          <w:color w:val="auto"/>
          <w:sz w:val="19"/>
          <w:szCs w:val="19"/>
          <w:highlight w:val="none"/>
        </w:rPr>
      </w:pPr>
      <w:r>
        <w:rPr>
          <w:rFonts w:ascii="宋体" w:hAnsi="宋体" w:eastAsia="宋体" w:cs="宋体"/>
          <w:b/>
          <w:bCs/>
          <w:color w:val="auto"/>
          <w:spacing w:val="3"/>
          <w:sz w:val="19"/>
          <w:szCs w:val="19"/>
          <w:highlight w:val="none"/>
        </w:rPr>
        <w:t>7.合同份数</w:t>
      </w:r>
    </w:p>
    <w:p w14:paraId="541D3005">
      <w:pPr>
        <w:spacing w:before="165" w:line="228" w:lineRule="auto"/>
        <w:ind w:left="399"/>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本合同一式份，甲方执份，乙方执份，均具有同等法律效力。</w:t>
      </w:r>
    </w:p>
    <w:p w14:paraId="51E0CD38">
      <w:pPr>
        <w:spacing w:before="164" w:line="229" w:lineRule="auto"/>
        <w:ind w:left="399"/>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合同订立时间：年月日</w:t>
      </w:r>
    </w:p>
    <w:p w14:paraId="27D595E1">
      <w:pPr>
        <w:spacing w:before="165" w:line="231" w:lineRule="auto"/>
        <w:ind w:left="39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合同订立地点：</w:t>
      </w:r>
    </w:p>
    <w:p w14:paraId="10DFBE4E">
      <w:pPr>
        <w:spacing w:before="163" w:line="228" w:lineRule="auto"/>
        <w:ind w:left="414" w:leftChars="0"/>
        <w:outlineLvl w:val="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附件：具体标的及其技术要求和商务要求、联合协议、分包意向协议等。</w:t>
      </w:r>
    </w:p>
    <w:p w14:paraId="6C84F6A0">
      <w:pPr>
        <w:spacing w:line="228" w:lineRule="auto"/>
        <w:rPr>
          <w:rFonts w:ascii="宋体" w:hAnsi="宋体" w:eastAsia="宋体" w:cs="宋体"/>
          <w:color w:val="auto"/>
          <w:sz w:val="19"/>
          <w:szCs w:val="19"/>
          <w:highlight w:val="none"/>
        </w:rPr>
        <w:sectPr>
          <w:footerReference r:id="rId23" w:type="default"/>
          <w:pgSz w:w="11906" w:h="16839"/>
          <w:pgMar w:top="1431" w:right="1288" w:bottom="1209" w:left="1425" w:header="0" w:footer="973" w:gutter="0"/>
          <w:pgNumType w:fmt="decimal"/>
          <w:cols w:space="720" w:num="1"/>
        </w:sectPr>
      </w:pPr>
    </w:p>
    <w:tbl>
      <w:tblPr>
        <w:tblStyle w:val="18"/>
        <w:tblW w:w="9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3"/>
        <w:gridCol w:w="2674"/>
        <w:gridCol w:w="2195"/>
        <w:gridCol w:w="2351"/>
      </w:tblGrid>
      <w:tr w14:paraId="195E6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777" w:type="dxa"/>
            <w:gridSpan w:val="2"/>
            <w:noWrap w:val="0"/>
            <w:vAlign w:val="top"/>
          </w:tcPr>
          <w:p w14:paraId="0333A657">
            <w:pPr>
              <w:pStyle w:val="17"/>
              <w:spacing w:before="74" w:line="228" w:lineRule="auto"/>
              <w:ind w:left="141"/>
              <w:rPr>
                <w:color w:val="auto"/>
                <w:sz w:val="19"/>
                <w:szCs w:val="19"/>
                <w:highlight w:val="none"/>
              </w:rPr>
            </w:pPr>
            <w:r>
              <w:rPr>
                <w:color w:val="auto"/>
                <w:spacing w:val="6"/>
                <w:sz w:val="19"/>
                <w:szCs w:val="19"/>
                <w:highlight w:val="none"/>
              </w:rPr>
              <w:t>甲方（采购人、受采购人委托签订合同的单位或采购</w:t>
            </w:r>
          </w:p>
          <w:p w14:paraId="6CCA496E">
            <w:pPr>
              <w:pStyle w:val="17"/>
              <w:spacing w:before="64" w:line="217" w:lineRule="auto"/>
              <w:ind w:left="1396"/>
              <w:rPr>
                <w:color w:val="auto"/>
                <w:sz w:val="19"/>
                <w:szCs w:val="19"/>
                <w:highlight w:val="none"/>
              </w:rPr>
            </w:pPr>
            <w:r>
              <w:rPr>
                <w:color w:val="auto"/>
                <w:spacing w:val="8"/>
                <w:sz w:val="19"/>
                <w:szCs w:val="19"/>
                <w:highlight w:val="none"/>
              </w:rPr>
              <w:t>文件约定的合同甲方）</w:t>
            </w:r>
          </w:p>
        </w:tc>
        <w:tc>
          <w:tcPr>
            <w:tcW w:w="4546" w:type="dxa"/>
            <w:gridSpan w:val="2"/>
            <w:noWrap w:val="0"/>
            <w:vAlign w:val="top"/>
          </w:tcPr>
          <w:p w14:paraId="09B2B9EE">
            <w:pPr>
              <w:pStyle w:val="17"/>
              <w:spacing w:before="225" w:line="228" w:lineRule="auto"/>
              <w:ind w:left="1592"/>
              <w:rPr>
                <w:color w:val="auto"/>
                <w:sz w:val="19"/>
                <w:szCs w:val="19"/>
                <w:highlight w:val="none"/>
              </w:rPr>
            </w:pPr>
            <w:r>
              <w:rPr>
                <w:color w:val="auto"/>
                <w:spacing w:val="5"/>
                <w:sz w:val="19"/>
                <w:szCs w:val="19"/>
                <w:highlight w:val="none"/>
              </w:rPr>
              <w:t>乙方（供应商）</w:t>
            </w:r>
          </w:p>
        </w:tc>
      </w:tr>
      <w:tr w14:paraId="15DEA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103" w:type="dxa"/>
            <w:noWrap w:val="0"/>
            <w:vAlign w:val="top"/>
          </w:tcPr>
          <w:p w14:paraId="5C6AFA1D">
            <w:pPr>
              <w:pStyle w:val="17"/>
              <w:spacing w:before="225" w:line="228" w:lineRule="auto"/>
              <w:ind w:left="158"/>
              <w:rPr>
                <w:color w:val="auto"/>
                <w:sz w:val="19"/>
                <w:szCs w:val="19"/>
                <w:highlight w:val="none"/>
              </w:rPr>
            </w:pPr>
            <w:r>
              <w:rPr>
                <w:color w:val="auto"/>
                <w:spacing w:val="8"/>
                <w:sz w:val="19"/>
                <w:szCs w:val="19"/>
                <w:highlight w:val="none"/>
              </w:rPr>
              <w:t>单位名称（公章或合</w:t>
            </w:r>
          </w:p>
          <w:p w14:paraId="249F0C14">
            <w:pPr>
              <w:pStyle w:val="17"/>
              <w:spacing w:before="65" w:line="228" w:lineRule="auto"/>
              <w:ind w:left="776"/>
              <w:rPr>
                <w:color w:val="auto"/>
                <w:sz w:val="19"/>
                <w:szCs w:val="19"/>
                <w:highlight w:val="none"/>
              </w:rPr>
            </w:pPr>
            <w:r>
              <w:rPr>
                <w:color w:val="auto"/>
                <w:spacing w:val="-4"/>
                <w:sz w:val="19"/>
                <w:szCs w:val="19"/>
                <w:highlight w:val="none"/>
              </w:rPr>
              <w:t>同章）</w:t>
            </w:r>
          </w:p>
        </w:tc>
        <w:tc>
          <w:tcPr>
            <w:tcW w:w="2674" w:type="dxa"/>
            <w:noWrap w:val="0"/>
            <w:vAlign w:val="top"/>
          </w:tcPr>
          <w:p w14:paraId="6A58147B">
            <w:pPr>
              <w:rPr>
                <w:rFonts w:ascii="Arial"/>
                <w:color w:val="auto"/>
                <w:sz w:val="21"/>
                <w:highlight w:val="none"/>
              </w:rPr>
            </w:pPr>
          </w:p>
        </w:tc>
        <w:tc>
          <w:tcPr>
            <w:tcW w:w="2195" w:type="dxa"/>
            <w:noWrap w:val="0"/>
            <w:vAlign w:val="top"/>
          </w:tcPr>
          <w:p w14:paraId="5FE41571">
            <w:pPr>
              <w:pStyle w:val="17"/>
              <w:spacing w:before="225" w:line="228" w:lineRule="auto"/>
              <w:ind w:left="114"/>
              <w:rPr>
                <w:color w:val="auto"/>
                <w:sz w:val="19"/>
                <w:szCs w:val="19"/>
                <w:highlight w:val="none"/>
              </w:rPr>
            </w:pPr>
            <w:r>
              <w:rPr>
                <w:color w:val="auto"/>
                <w:spacing w:val="7"/>
                <w:sz w:val="19"/>
                <w:szCs w:val="19"/>
                <w:highlight w:val="none"/>
              </w:rPr>
              <w:t>单位名称（公章或合同</w:t>
            </w:r>
          </w:p>
          <w:p w14:paraId="448D1BA1">
            <w:pPr>
              <w:pStyle w:val="17"/>
              <w:spacing w:before="65" w:line="228" w:lineRule="auto"/>
              <w:ind w:left="911"/>
              <w:rPr>
                <w:color w:val="auto"/>
                <w:sz w:val="19"/>
                <w:szCs w:val="19"/>
                <w:highlight w:val="none"/>
              </w:rPr>
            </w:pPr>
            <w:r>
              <w:rPr>
                <w:color w:val="auto"/>
                <w:spacing w:val="-3"/>
                <w:sz w:val="19"/>
                <w:szCs w:val="19"/>
                <w:highlight w:val="none"/>
              </w:rPr>
              <w:t>章）</w:t>
            </w:r>
          </w:p>
        </w:tc>
        <w:tc>
          <w:tcPr>
            <w:tcW w:w="2351" w:type="dxa"/>
            <w:noWrap w:val="0"/>
            <w:vAlign w:val="top"/>
          </w:tcPr>
          <w:p w14:paraId="48D34165">
            <w:pPr>
              <w:rPr>
                <w:rFonts w:ascii="Arial"/>
                <w:color w:val="auto"/>
                <w:sz w:val="21"/>
                <w:highlight w:val="none"/>
              </w:rPr>
            </w:pPr>
          </w:p>
        </w:tc>
      </w:tr>
      <w:tr w14:paraId="3A966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103" w:type="dxa"/>
            <w:vMerge w:val="restart"/>
            <w:tcBorders>
              <w:bottom w:val="nil"/>
            </w:tcBorders>
            <w:noWrap w:val="0"/>
            <w:vAlign w:val="top"/>
          </w:tcPr>
          <w:p w14:paraId="17DED22E">
            <w:pPr>
              <w:pStyle w:val="17"/>
              <w:spacing w:before="62" w:line="229" w:lineRule="auto"/>
              <w:ind w:left="558"/>
              <w:rPr>
                <w:color w:val="auto"/>
                <w:sz w:val="19"/>
                <w:szCs w:val="19"/>
                <w:highlight w:val="none"/>
              </w:rPr>
            </w:pPr>
            <w:r>
              <w:rPr>
                <w:color w:val="auto"/>
                <w:spacing w:val="7"/>
                <w:sz w:val="19"/>
                <w:szCs w:val="19"/>
                <w:highlight w:val="none"/>
              </w:rPr>
              <w:t>法定代表人</w:t>
            </w:r>
          </w:p>
          <w:p w14:paraId="08A21F0F">
            <w:pPr>
              <w:pStyle w:val="17"/>
              <w:spacing w:before="65" w:line="292" w:lineRule="auto"/>
              <w:ind w:left="864" w:right="108" w:hanging="650"/>
              <w:rPr>
                <w:color w:val="auto"/>
                <w:sz w:val="19"/>
                <w:szCs w:val="19"/>
                <w:highlight w:val="none"/>
              </w:rPr>
            </w:pPr>
            <w:r>
              <w:rPr>
                <w:color w:val="auto"/>
                <w:spacing w:val="7"/>
                <w:sz w:val="19"/>
                <w:szCs w:val="19"/>
                <w:highlight w:val="none"/>
              </w:rPr>
              <w:t>或其委托代理人（签</w:t>
            </w:r>
            <w:r>
              <w:rPr>
                <w:color w:val="auto"/>
                <w:spacing w:val="-3"/>
                <w:sz w:val="19"/>
                <w:szCs w:val="19"/>
                <w:highlight w:val="none"/>
              </w:rPr>
              <w:t>章）</w:t>
            </w:r>
          </w:p>
        </w:tc>
        <w:tc>
          <w:tcPr>
            <w:tcW w:w="2674" w:type="dxa"/>
            <w:vMerge w:val="restart"/>
            <w:tcBorders>
              <w:bottom w:val="nil"/>
            </w:tcBorders>
            <w:noWrap w:val="0"/>
            <w:vAlign w:val="top"/>
          </w:tcPr>
          <w:p w14:paraId="347C11CE">
            <w:pPr>
              <w:rPr>
                <w:rFonts w:ascii="Arial"/>
                <w:color w:val="auto"/>
                <w:sz w:val="21"/>
                <w:highlight w:val="none"/>
              </w:rPr>
            </w:pPr>
          </w:p>
        </w:tc>
        <w:tc>
          <w:tcPr>
            <w:tcW w:w="2195" w:type="dxa"/>
            <w:noWrap w:val="0"/>
            <w:vAlign w:val="top"/>
          </w:tcPr>
          <w:p w14:paraId="7839DF23">
            <w:pPr>
              <w:pStyle w:val="17"/>
              <w:spacing w:before="204" w:line="229" w:lineRule="auto"/>
              <w:ind w:left="605"/>
              <w:rPr>
                <w:color w:val="auto"/>
                <w:sz w:val="19"/>
                <w:szCs w:val="19"/>
                <w:highlight w:val="none"/>
              </w:rPr>
            </w:pPr>
            <w:r>
              <w:rPr>
                <w:color w:val="auto"/>
                <w:spacing w:val="7"/>
                <w:sz w:val="19"/>
                <w:szCs w:val="19"/>
                <w:highlight w:val="none"/>
              </w:rPr>
              <w:t>法定代表人</w:t>
            </w:r>
          </w:p>
          <w:p w14:paraId="48C6EC7D">
            <w:pPr>
              <w:pStyle w:val="17"/>
              <w:spacing w:before="64" w:line="229" w:lineRule="auto"/>
              <w:ind w:left="206"/>
              <w:rPr>
                <w:color w:val="auto"/>
                <w:sz w:val="19"/>
                <w:szCs w:val="19"/>
                <w:highlight w:val="none"/>
              </w:rPr>
            </w:pPr>
            <w:r>
              <w:rPr>
                <w:color w:val="auto"/>
                <w:spacing w:val="8"/>
                <w:sz w:val="19"/>
                <w:szCs w:val="19"/>
                <w:highlight w:val="none"/>
              </w:rPr>
              <w:t>或其委托代理人（签</w:t>
            </w:r>
          </w:p>
          <w:p w14:paraId="659B24F0">
            <w:pPr>
              <w:pStyle w:val="17"/>
              <w:spacing w:before="64" w:line="228" w:lineRule="auto"/>
              <w:ind w:left="911"/>
              <w:rPr>
                <w:color w:val="auto"/>
                <w:sz w:val="19"/>
                <w:szCs w:val="19"/>
                <w:highlight w:val="none"/>
              </w:rPr>
            </w:pPr>
            <w:r>
              <w:rPr>
                <w:color w:val="auto"/>
                <w:spacing w:val="-3"/>
                <w:sz w:val="19"/>
                <w:szCs w:val="19"/>
                <w:highlight w:val="none"/>
              </w:rPr>
              <w:t>章）</w:t>
            </w:r>
          </w:p>
        </w:tc>
        <w:tc>
          <w:tcPr>
            <w:tcW w:w="2351" w:type="dxa"/>
            <w:noWrap w:val="0"/>
            <w:vAlign w:val="top"/>
          </w:tcPr>
          <w:p w14:paraId="63C014BE">
            <w:pPr>
              <w:rPr>
                <w:rFonts w:ascii="Arial"/>
                <w:color w:val="auto"/>
                <w:sz w:val="21"/>
                <w:highlight w:val="none"/>
              </w:rPr>
            </w:pPr>
          </w:p>
        </w:tc>
      </w:tr>
      <w:tr w14:paraId="3FCD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vMerge w:val="continue"/>
            <w:tcBorders>
              <w:top w:val="nil"/>
            </w:tcBorders>
            <w:noWrap w:val="0"/>
            <w:vAlign w:val="top"/>
          </w:tcPr>
          <w:p w14:paraId="52C4DB15">
            <w:pPr>
              <w:rPr>
                <w:rFonts w:ascii="Arial"/>
                <w:color w:val="auto"/>
                <w:sz w:val="21"/>
                <w:highlight w:val="none"/>
              </w:rPr>
            </w:pPr>
          </w:p>
        </w:tc>
        <w:tc>
          <w:tcPr>
            <w:tcW w:w="2674" w:type="dxa"/>
            <w:vMerge w:val="continue"/>
            <w:tcBorders>
              <w:top w:val="nil"/>
            </w:tcBorders>
            <w:noWrap w:val="0"/>
            <w:vAlign w:val="top"/>
          </w:tcPr>
          <w:p w14:paraId="469C810B">
            <w:pPr>
              <w:rPr>
                <w:rFonts w:ascii="Arial"/>
                <w:color w:val="auto"/>
                <w:sz w:val="21"/>
                <w:highlight w:val="none"/>
              </w:rPr>
            </w:pPr>
          </w:p>
        </w:tc>
        <w:tc>
          <w:tcPr>
            <w:tcW w:w="2195" w:type="dxa"/>
            <w:noWrap w:val="0"/>
            <w:vAlign w:val="top"/>
          </w:tcPr>
          <w:p w14:paraId="1E249EC4">
            <w:pPr>
              <w:pStyle w:val="17"/>
              <w:spacing w:before="161" w:line="229" w:lineRule="auto"/>
              <w:ind w:left="604"/>
              <w:rPr>
                <w:color w:val="auto"/>
                <w:sz w:val="19"/>
                <w:szCs w:val="19"/>
                <w:highlight w:val="none"/>
              </w:rPr>
            </w:pPr>
            <w:r>
              <w:rPr>
                <w:color w:val="auto"/>
                <w:spacing w:val="8"/>
                <w:sz w:val="19"/>
                <w:szCs w:val="19"/>
                <w:highlight w:val="none"/>
              </w:rPr>
              <w:t>拥有者性别</w:t>
            </w:r>
          </w:p>
        </w:tc>
        <w:tc>
          <w:tcPr>
            <w:tcW w:w="2351" w:type="dxa"/>
            <w:noWrap w:val="0"/>
            <w:vAlign w:val="top"/>
          </w:tcPr>
          <w:p w14:paraId="68C73C5D">
            <w:pPr>
              <w:rPr>
                <w:rFonts w:ascii="Arial"/>
                <w:color w:val="auto"/>
                <w:sz w:val="21"/>
                <w:highlight w:val="none"/>
              </w:rPr>
            </w:pPr>
          </w:p>
        </w:tc>
      </w:tr>
      <w:tr w14:paraId="6C873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noWrap w:val="0"/>
            <w:vAlign w:val="top"/>
          </w:tcPr>
          <w:p w14:paraId="54B7EACC">
            <w:pPr>
              <w:pStyle w:val="17"/>
              <w:spacing w:before="160" w:line="230" w:lineRule="auto"/>
              <w:ind w:left="755"/>
              <w:rPr>
                <w:color w:val="auto"/>
                <w:sz w:val="19"/>
                <w:szCs w:val="19"/>
                <w:highlight w:val="none"/>
              </w:rPr>
            </w:pPr>
            <w:r>
              <w:rPr>
                <w:color w:val="auto"/>
                <w:spacing w:val="1"/>
                <w:sz w:val="19"/>
                <w:szCs w:val="19"/>
                <w:highlight w:val="none"/>
              </w:rPr>
              <w:t>住所</w:t>
            </w:r>
          </w:p>
        </w:tc>
        <w:tc>
          <w:tcPr>
            <w:tcW w:w="2674" w:type="dxa"/>
            <w:noWrap w:val="0"/>
            <w:vAlign w:val="top"/>
          </w:tcPr>
          <w:p w14:paraId="20F0E867">
            <w:pPr>
              <w:rPr>
                <w:rFonts w:ascii="Arial"/>
                <w:color w:val="auto"/>
                <w:sz w:val="21"/>
                <w:highlight w:val="none"/>
              </w:rPr>
            </w:pPr>
          </w:p>
        </w:tc>
        <w:tc>
          <w:tcPr>
            <w:tcW w:w="2195" w:type="dxa"/>
            <w:noWrap w:val="0"/>
            <w:vAlign w:val="top"/>
          </w:tcPr>
          <w:p w14:paraId="485C6E3A">
            <w:pPr>
              <w:pStyle w:val="17"/>
              <w:spacing w:before="160" w:line="230" w:lineRule="auto"/>
              <w:ind w:left="802"/>
              <w:rPr>
                <w:color w:val="auto"/>
                <w:sz w:val="19"/>
                <w:szCs w:val="19"/>
                <w:highlight w:val="none"/>
              </w:rPr>
            </w:pPr>
            <w:r>
              <w:rPr>
                <w:color w:val="auto"/>
                <w:spacing w:val="1"/>
                <w:sz w:val="19"/>
                <w:szCs w:val="19"/>
                <w:highlight w:val="none"/>
              </w:rPr>
              <w:t>住所</w:t>
            </w:r>
          </w:p>
        </w:tc>
        <w:tc>
          <w:tcPr>
            <w:tcW w:w="2351" w:type="dxa"/>
            <w:noWrap w:val="0"/>
            <w:vAlign w:val="top"/>
          </w:tcPr>
          <w:p w14:paraId="7F462FA7">
            <w:pPr>
              <w:rPr>
                <w:rFonts w:ascii="Arial"/>
                <w:color w:val="auto"/>
                <w:sz w:val="21"/>
                <w:highlight w:val="none"/>
              </w:rPr>
            </w:pPr>
          </w:p>
        </w:tc>
      </w:tr>
      <w:tr w14:paraId="0757A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noWrap w:val="0"/>
            <w:vAlign w:val="top"/>
          </w:tcPr>
          <w:p w14:paraId="2CC2FEA3">
            <w:pPr>
              <w:pStyle w:val="17"/>
              <w:spacing w:before="160" w:line="231" w:lineRule="auto"/>
              <w:ind w:left="656"/>
              <w:rPr>
                <w:color w:val="auto"/>
                <w:sz w:val="19"/>
                <w:szCs w:val="19"/>
                <w:highlight w:val="none"/>
              </w:rPr>
            </w:pPr>
            <w:r>
              <w:rPr>
                <w:color w:val="auto"/>
                <w:spacing w:val="-1"/>
                <w:sz w:val="19"/>
                <w:szCs w:val="19"/>
                <w:highlight w:val="none"/>
              </w:rPr>
              <w:t>联系人</w:t>
            </w:r>
          </w:p>
        </w:tc>
        <w:tc>
          <w:tcPr>
            <w:tcW w:w="2674" w:type="dxa"/>
            <w:noWrap w:val="0"/>
            <w:vAlign w:val="top"/>
          </w:tcPr>
          <w:p w14:paraId="10545ABC">
            <w:pPr>
              <w:rPr>
                <w:rFonts w:ascii="Arial"/>
                <w:color w:val="auto"/>
                <w:sz w:val="21"/>
                <w:highlight w:val="none"/>
              </w:rPr>
            </w:pPr>
          </w:p>
        </w:tc>
        <w:tc>
          <w:tcPr>
            <w:tcW w:w="2195" w:type="dxa"/>
            <w:noWrap w:val="0"/>
            <w:vAlign w:val="top"/>
          </w:tcPr>
          <w:p w14:paraId="78EDABF0">
            <w:pPr>
              <w:pStyle w:val="17"/>
              <w:spacing w:before="160" w:line="231" w:lineRule="auto"/>
              <w:ind w:left="703"/>
              <w:rPr>
                <w:color w:val="auto"/>
                <w:sz w:val="19"/>
                <w:szCs w:val="19"/>
                <w:highlight w:val="none"/>
              </w:rPr>
            </w:pPr>
            <w:r>
              <w:rPr>
                <w:color w:val="auto"/>
                <w:spacing w:val="-1"/>
                <w:sz w:val="19"/>
                <w:szCs w:val="19"/>
                <w:highlight w:val="none"/>
              </w:rPr>
              <w:t>联系人</w:t>
            </w:r>
          </w:p>
        </w:tc>
        <w:tc>
          <w:tcPr>
            <w:tcW w:w="2351" w:type="dxa"/>
            <w:noWrap w:val="0"/>
            <w:vAlign w:val="top"/>
          </w:tcPr>
          <w:p w14:paraId="717AEBC8">
            <w:pPr>
              <w:rPr>
                <w:rFonts w:ascii="Arial"/>
                <w:color w:val="auto"/>
                <w:sz w:val="21"/>
                <w:highlight w:val="none"/>
              </w:rPr>
            </w:pPr>
          </w:p>
        </w:tc>
      </w:tr>
      <w:tr w14:paraId="4AB0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03" w:type="dxa"/>
            <w:noWrap w:val="0"/>
            <w:vAlign w:val="top"/>
          </w:tcPr>
          <w:p w14:paraId="188618E0">
            <w:pPr>
              <w:pStyle w:val="17"/>
              <w:spacing w:before="162" w:line="231" w:lineRule="auto"/>
              <w:ind w:left="656"/>
              <w:rPr>
                <w:color w:val="auto"/>
                <w:sz w:val="19"/>
                <w:szCs w:val="19"/>
                <w:highlight w:val="none"/>
              </w:rPr>
            </w:pPr>
            <w:r>
              <w:rPr>
                <w:color w:val="auto"/>
                <w:spacing w:val="7"/>
                <w:sz w:val="19"/>
                <w:szCs w:val="19"/>
                <w:highlight w:val="none"/>
              </w:rPr>
              <w:t>联系电话</w:t>
            </w:r>
          </w:p>
        </w:tc>
        <w:tc>
          <w:tcPr>
            <w:tcW w:w="2674" w:type="dxa"/>
            <w:noWrap w:val="0"/>
            <w:vAlign w:val="top"/>
          </w:tcPr>
          <w:p w14:paraId="1ABB96C7">
            <w:pPr>
              <w:rPr>
                <w:rFonts w:ascii="Arial"/>
                <w:color w:val="auto"/>
                <w:sz w:val="21"/>
                <w:highlight w:val="none"/>
              </w:rPr>
            </w:pPr>
          </w:p>
        </w:tc>
        <w:tc>
          <w:tcPr>
            <w:tcW w:w="2195" w:type="dxa"/>
            <w:noWrap w:val="0"/>
            <w:vAlign w:val="top"/>
          </w:tcPr>
          <w:p w14:paraId="67919361">
            <w:pPr>
              <w:pStyle w:val="17"/>
              <w:spacing w:before="162" w:line="231" w:lineRule="auto"/>
              <w:ind w:left="703"/>
              <w:rPr>
                <w:color w:val="auto"/>
                <w:sz w:val="19"/>
                <w:szCs w:val="19"/>
                <w:highlight w:val="none"/>
              </w:rPr>
            </w:pPr>
            <w:r>
              <w:rPr>
                <w:color w:val="auto"/>
                <w:spacing w:val="7"/>
                <w:sz w:val="19"/>
                <w:szCs w:val="19"/>
                <w:highlight w:val="none"/>
              </w:rPr>
              <w:t>联系电话</w:t>
            </w:r>
          </w:p>
        </w:tc>
        <w:tc>
          <w:tcPr>
            <w:tcW w:w="2351" w:type="dxa"/>
            <w:noWrap w:val="0"/>
            <w:vAlign w:val="top"/>
          </w:tcPr>
          <w:p w14:paraId="286BC159">
            <w:pPr>
              <w:rPr>
                <w:rFonts w:ascii="Arial"/>
                <w:color w:val="auto"/>
                <w:sz w:val="21"/>
                <w:highlight w:val="none"/>
              </w:rPr>
            </w:pPr>
          </w:p>
        </w:tc>
      </w:tr>
      <w:tr w14:paraId="3BA58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03" w:type="dxa"/>
            <w:noWrap w:val="0"/>
            <w:vAlign w:val="top"/>
          </w:tcPr>
          <w:p w14:paraId="0733FB2B">
            <w:pPr>
              <w:pStyle w:val="17"/>
              <w:spacing w:before="162" w:line="229" w:lineRule="auto"/>
              <w:ind w:left="655"/>
              <w:rPr>
                <w:color w:val="auto"/>
                <w:sz w:val="19"/>
                <w:szCs w:val="19"/>
                <w:highlight w:val="none"/>
              </w:rPr>
            </w:pPr>
            <w:r>
              <w:rPr>
                <w:color w:val="auto"/>
                <w:spacing w:val="7"/>
                <w:sz w:val="19"/>
                <w:szCs w:val="19"/>
                <w:highlight w:val="none"/>
              </w:rPr>
              <w:t>通信地址</w:t>
            </w:r>
          </w:p>
        </w:tc>
        <w:tc>
          <w:tcPr>
            <w:tcW w:w="2674" w:type="dxa"/>
            <w:noWrap w:val="0"/>
            <w:vAlign w:val="top"/>
          </w:tcPr>
          <w:p w14:paraId="44CB06E7">
            <w:pPr>
              <w:rPr>
                <w:rFonts w:ascii="Arial"/>
                <w:color w:val="auto"/>
                <w:sz w:val="21"/>
                <w:highlight w:val="none"/>
              </w:rPr>
            </w:pPr>
          </w:p>
        </w:tc>
        <w:tc>
          <w:tcPr>
            <w:tcW w:w="2195" w:type="dxa"/>
            <w:noWrap w:val="0"/>
            <w:vAlign w:val="top"/>
          </w:tcPr>
          <w:p w14:paraId="38DC955E">
            <w:pPr>
              <w:pStyle w:val="17"/>
              <w:spacing w:before="162" w:line="229" w:lineRule="auto"/>
              <w:ind w:left="702"/>
              <w:rPr>
                <w:color w:val="auto"/>
                <w:sz w:val="19"/>
                <w:szCs w:val="19"/>
                <w:highlight w:val="none"/>
              </w:rPr>
            </w:pPr>
            <w:r>
              <w:rPr>
                <w:color w:val="auto"/>
                <w:spacing w:val="7"/>
                <w:sz w:val="19"/>
                <w:szCs w:val="19"/>
                <w:highlight w:val="none"/>
              </w:rPr>
              <w:t>通信地址</w:t>
            </w:r>
          </w:p>
        </w:tc>
        <w:tc>
          <w:tcPr>
            <w:tcW w:w="2351" w:type="dxa"/>
            <w:noWrap w:val="0"/>
            <w:vAlign w:val="top"/>
          </w:tcPr>
          <w:p w14:paraId="5DA311D2">
            <w:pPr>
              <w:rPr>
                <w:rFonts w:ascii="Arial"/>
                <w:color w:val="auto"/>
                <w:sz w:val="21"/>
                <w:highlight w:val="none"/>
              </w:rPr>
            </w:pPr>
          </w:p>
        </w:tc>
      </w:tr>
      <w:tr w14:paraId="50B6D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03" w:type="dxa"/>
            <w:noWrap w:val="0"/>
            <w:vAlign w:val="top"/>
          </w:tcPr>
          <w:p w14:paraId="47A709F9">
            <w:pPr>
              <w:pStyle w:val="17"/>
              <w:spacing w:before="162" w:line="229" w:lineRule="auto"/>
              <w:ind w:left="670"/>
              <w:rPr>
                <w:color w:val="auto"/>
                <w:sz w:val="19"/>
                <w:szCs w:val="19"/>
                <w:highlight w:val="none"/>
              </w:rPr>
            </w:pPr>
            <w:r>
              <w:rPr>
                <w:color w:val="auto"/>
                <w:spacing w:val="4"/>
                <w:sz w:val="19"/>
                <w:szCs w:val="19"/>
                <w:highlight w:val="none"/>
              </w:rPr>
              <w:t>邮政编码</w:t>
            </w:r>
          </w:p>
        </w:tc>
        <w:tc>
          <w:tcPr>
            <w:tcW w:w="2674" w:type="dxa"/>
            <w:noWrap w:val="0"/>
            <w:vAlign w:val="top"/>
          </w:tcPr>
          <w:p w14:paraId="57EEADFC">
            <w:pPr>
              <w:rPr>
                <w:rFonts w:ascii="Arial"/>
                <w:color w:val="auto"/>
                <w:sz w:val="21"/>
                <w:highlight w:val="none"/>
              </w:rPr>
            </w:pPr>
          </w:p>
        </w:tc>
        <w:tc>
          <w:tcPr>
            <w:tcW w:w="2195" w:type="dxa"/>
            <w:noWrap w:val="0"/>
            <w:vAlign w:val="top"/>
          </w:tcPr>
          <w:p w14:paraId="0DD444FB">
            <w:pPr>
              <w:pStyle w:val="17"/>
              <w:spacing w:before="162" w:line="229" w:lineRule="auto"/>
              <w:ind w:left="717"/>
              <w:rPr>
                <w:color w:val="auto"/>
                <w:sz w:val="19"/>
                <w:szCs w:val="19"/>
                <w:highlight w:val="none"/>
              </w:rPr>
            </w:pPr>
            <w:r>
              <w:rPr>
                <w:color w:val="auto"/>
                <w:spacing w:val="4"/>
                <w:sz w:val="19"/>
                <w:szCs w:val="19"/>
                <w:highlight w:val="none"/>
              </w:rPr>
              <w:t>邮政编码</w:t>
            </w:r>
          </w:p>
        </w:tc>
        <w:tc>
          <w:tcPr>
            <w:tcW w:w="2351" w:type="dxa"/>
            <w:noWrap w:val="0"/>
            <w:vAlign w:val="top"/>
          </w:tcPr>
          <w:p w14:paraId="4291EB3D">
            <w:pPr>
              <w:rPr>
                <w:rFonts w:ascii="Arial"/>
                <w:color w:val="auto"/>
                <w:sz w:val="21"/>
                <w:highlight w:val="none"/>
              </w:rPr>
            </w:pPr>
          </w:p>
        </w:tc>
      </w:tr>
      <w:tr w14:paraId="6112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noWrap w:val="0"/>
            <w:vAlign w:val="top"/>
          </w:tcPr>
          <w:p w14:paraId="40BE080D">
            <w:pPr>
              <w:pStyle w:val="17"/>
              <w:spacing w:before="164" w:line="230" w:lineRule="auto"/>
              <w:ind w:left="679"/>
              <w:rPr>
                <w:color w:val="auto"/>
                <w:sz w:val="19"/>
                <w:szCs w:val="19"/>
                <w:highlight w:val="none"/>
              </w:rPr>
            </w:pPr>
            <w:r>
              <w:rPr>
                <w:color w:val="auto"/>
                <w:spacing w:val="1"/>
                <w:sz w:val="19"/>
                <w:szCs w:val="19"/>
                <w:highlight w:val="none"/>
              </w:rPr>
              <w:t>电子邮箱</w:t>
            </w:r>
          </w:p>
        </w:tc>
        <w:tc>
          <w:tcPr>
            <w:tcW w:w="2674" w:type="dxa"/>
            <w:noWrap w:val="0"/>
            <w:vAlign w:val="top"/>
          </w:tcPr>
          <w:p w14:paraId="0C04F703">
            <w:pPr>
              <w:rPr>
                <w:rFonts w:ascii="Arial"/>
                <w:color w:val="auto"/>
                <w:sz w:val="21"/>
                <w:highlight w:val="none"/>
              </w:rPr>
            </w:pPr>
          </w:p>
        </w:tc>
        <w:tc>
          <w:tcPr>
            <w:tcW w:w="2195" w:type="dxa"/>
            <w:noWrap w:val="0"/>
            <w:vAlign w:val="top"/>
          </w:tcPr>
          <w:p w14:paraId="6F03B39D">
            <w:pPr>
              <w:pStyle w:val="17"/>
              <w:spacing w:before="164" w:line="230" w:lineRule="auto"/>
              <w:ind w:left="726"/>
              <w:rPr>
                <w:color w:val="auto"/>
                <w:sz w:val="19"/>
                <w:szCs w:val="19"/>
                <w:highlight w:val="none"/>
              </w:rPr>
            </w:pPr>
            <w:r>
              <w:rPr>
                <w:color w:val="auto"/>
                <w:spacing w:val="1"/>
                <w:sz w:val="19"/>
                <w:szCs w:val="19"/>
                <w:highlight w:val="none"/>
              </w:rPr>
              <w:t>电子邮箱</w:t>
            </w:r>
          </w:p>
        </w:tc>
        <w:tc>
          <w:tcPr>
            <w:tcW w:w="2351" w:type="dxa"/>
            <w:noWrap w:val="0"/>
            <w:vAlign w:val="top"/>
          </w:tcPr>
          <w:p w14:paraId="3363FF16">
            <w:pPr>
              <w:rPr>
                <w:rFonts w:ascii="Arial"/>
                <w:color w:val="auto"/>
                <w:sz w:val="21"/>
                <w:highlight w:val="none"/>
              </w:rPr>
            </w:pPr>
          </w:p>
        </w:tc>
      </w:tr>
      <w:tr w14:paraId="3FD84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noWrap w:val="0"/>
            <w:vAlign w:val="top"/>
          </w:tcPr>
          <w:p w14:paraId="02488192">
            <w:pPr>
              <w:pStyle w:val="17"/>
              <w:spacing w:before="164" w:line="228" w:lineRule="auto"/>
              <w:ind w:left="262"/>
              <w:rPr>
                <w:color w:val="auto"/>
                <w:sz w:val="19"/>
                <w:szCs w:val="19"/>
                <w:highlight w:val="none"/>
              </w:rPr>
            </w:pPr>
            <w:r>
              <w:rPr>
                <w:color w:val="auto"/>
                <w:spacing w:val="8"/>
                <w:sz w:val="19"/>
                <w:szCs w:val="19"/>
                <w:highlight w:val="none"/>
              </w:rPr>
              <w:t>统一社会信用代码</w:t>
            </w:r>
          </w:p>
        </w:tc>
        <w:tc>
          <w:tcPr>
            <w:tcW w:w="2674" w:type="dxa"/>
            <w:noWrap w:val="0"/>
            <w:vAlign w:val="top"/>
          </w:tcPr>
          <w:p w14:paraId="1AD751DB">
            <w:pPr>
              <w:rPr>
                <w:rFonts w:ascii="Arial"/>
                <w:color w:val="auto"/>
                <w:sz w:val="21"/>
                <w:highlight w:val="none"/>
              </w:rPr>
            </w:pPr>
          </w:p>
        </w:tc>
        <w:tc>
          <w:tcPr>
            <w:tcW w:w="2195" w:type="dxa"/>
            <w:noWrap w:val="0"/>
            <w:vAlign w:val="top"/>
          </w:tcPr>
          <w:p w14:paraId="28B2F617">
            <w:pPr>
              <w:pStyle w:val="17"/>
              <w:spacing w:before="164" w:line="228" w:lineRule="auto"/>
              <w:ind w:left="309"/>
              <w:rPr>
                <w:color w:val="auto"/>
                <w:sz w:val="19"/>
                <w:szCs w:val="19"/>
                <w:highlight w:val="none"/>
              </w:rPr>
            </w:pPr>
            <w:r>
              <w:rPr>
                <w:color w:val="auto"/>
                <w:spacing w:val="8"/>
                <w:sz w:val="19"/>
                <w:szCs w:val="19"/>
                <w:highlight w:val="none"/>
              </w:rPr>
              <w:t>统一社会信用代码</w:t>
            </w:r>
          </w:p>
        </w:tc>
        <w:tc>
          <w:tcPr>
            <w:tcW w:w="2351" w:type="dxa"/>
            <w:noWrap w:val="0"/>
            <w:vAlign w:val="top"/>
          </w:tcPr>
          <w:p w14:paraId="027D5C56">
            <w:pPr>
              <w:rPr>
                <w:rFonts w:ascii="Arial"/>
                <w:color w:val="auto"/>
                <w:sz w:val="21"/>
                <w:highlight w:val="none"/>
              </w:rPr>
            </w:pPr>
          </w:p>
        </w:tc>
      </w:tr>
      <w:tr w14:paraId="3F185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noWrap w:val="0"/>
            <w:vAlign w:val="top"/>
          </w:tcPr>
          <w:p w14:paraId="6FD47234">
            <w:pPr>
              <w:rPr>
                <w:rFonts w:ascii="Arial"/>
                <w:color w:val="auto"/>
                <w:sz w:val="21"/>
                <w:highlight w:val="none"/>
              </w:rPr>
            </w:pPr>
          </w:p>
        </w:tc>
        <w:tc>
          <w:tcPr>
            <w:tcW w:w="2674" w:type="dxa"/>
            <w:noWrap w:val="0"/>
            <w:vAlign w:val="top"/>
          </w:tcPr>
          <w:p w14:paraId="6D5B8273">
            <w:pPr>
              <w:rPr>
                <w:rFonts w:ascii="Arial"/>
                <w:color w:val="auto"/>
                <w:sz w:val="21"/>
                <w:highlight w:val="none"/>
              </w:rPr>
            </w:pPr>
          </w:p>
        </w:tc>
        <w:tc>
          <w:tcPr>
            <w:tcW w:w="2195" w:type="dxa"/>
            <w:noWrap w:val="0"/>
            <w:vAlign w:val="top"/>
          </w:tcPr>
          <w:p w14:paraId="727AB40E">
            <w:pPr>
              <w:pStyle w:val="17"/>
              <w:spacing w:before="163" w:line="230" w:lineRule="auto"/>
              <w:ind w:left="703"/>
              <w:rPr>
                <w:color w:val="auto"/>
                <w:sz w:val="19"/>
                <w:szCs w:val="19"/>
                <w:highlight w:val="none"/>
              </w:rPr>
            </w:pPr>
            <w:r>
              <w:rPr>
                <w:color w:val="auto"/>
                <w:spacing w:val="7"/>
                <w:sz w:val="19"/>
                <w:szCs w:val="19"/>
                <w:highlight w:val="none"/>
              </w:rPr>
              <w:t>开户名称</w:t>
            </w:r>
          </w:p>
        </w:tc>
        <w:tc>
          <w:tcPr>
            <w:tcW w:w="2351" w:type="dxa"/>
            <w:noWrap w:val="0"/>
            <w:vAlign w:val="top"/>
          </w:tcPr>
          <w:p w14:paraId="33C920AB">
            <w:pPr>
              <w:rPr>
                <w:rFonts w:ascii="Arial"/>
                <w:color w:val="auto"/>
                <w:sz w:val="21"/>
                <w:highlight w:val="none"/>
              </w:rPr>
            </w:pPr>
          </w:p>
        </w:tc>
      </w:tr>
      <w:tr w14:paraId="644A6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noWrap w:val="0"/>
            <w:vAlign w:val="top"/>
          </w:tcPr>
          <w:p w14:paraId="01AFC0E0">
            <w:pPr>
              <w:rPr>
                <w:rFonts w:ascii="Arial"/>
                <w:color w:val="auto"/>
                <w:sz w:val="21"/>
                <w:highlight w:val="none"/>
              </w:rPr>
            </w:pPr>
          </w:p>
        </w:tc>
        <w:tc>
          <w:tcPr>
            <w:tcW w:w="2674" w:type="dxa"/>
            <w:noWrap w:val="0"/>
            <w:vAlign w:val="top"/>
          </w:tcPr>
          <w:p w14:paraId="076984FC">
            <w:pPr>
              <w:rPr>
                <w:rFonts w:ascii="Arial"/>
                <w:color w:val="auto"/>
                <w:sz w:val="21"/>
                <w:highlight w:val="none"/>
              </w:rPr>
            </w:pPr>
          </w:p>
        </w:tc>
        <w:tc>
          <w:tcPr>
            <w:tcW w:w="2195" w:type="dxa"/>
            <w:noWrap w:val="0"/>
            <w:vAlign w:val="top"/>
          </w:tcPr>
          <w:p w14:paraId="512B58F5">
            <w:pPr>
              <w:pStyle w:val="17"/>
              <w:spacing w:before="164" w:line="230" w:lineRule="auto"/>
              <w:ind w:left="703"/>
              <w:rPr>
                <w:color w:val="auto"/>
                <w:sz w:val="19"/>
                <w:szCs w:val="19"/>
                <w:highlight w:val="none"/>
              </w:rPr>
            </w:pPr>
            <w:r>
              <w:rPr>
                <w:color w:val="auto"/>
                <w:spacing w:val="7"/>
                <w:sz w:val="19"/>
                <w:szCs w:val="19"/>
                <w:highlight w:val="none"/>
              </w:rPr>
              <w:t>开户银行</w:t>
            </w:r>
          </w:p>
        </w:tc>
        <w:tc>
          <w:tcPr>
            <w:tcW w:w="2351" w:type="dxa"/>
            <w:noWrap w:val="0"/>
            <w:vAlign w:val="top"/>
          </w:tcPr>
          <w:p w14:paraId="7AF1FFC8">
            <w:pPr>
              <w:rPr>
                <w:rFonts w:ascii="Arial"/>
                <w:color w:val="auto"/>
                <w:sz w:val="21"/>
                <w:highlight w:val="none"/>
              </w:rPr>
            </w:pPr>
          </w:p>
        </w:tc>
      </w:tr>
      <w:tr w14:paraId="52D51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03" w:type="dxa"/>
            <w:noWrap w:val="0"/>
            <w:vAlign w:val="top"/>
          </w:tcPr>
          <w:p w14:paraId="518B5147">
            <w:pPr>
              <w:rPr>
                <w:rFonts w:ascii="Arial"/>
                <w:color w:val="auto"/>
                <w:sz w:val="21"/>
                <w:highlight w:val="none"/>
              </w:rPr>
            </w:pPr>
          </w:p>
        </w:tc>
        <w:tc>
          <w:tcPr>
            <w:tcW w:w="2674" w:type="dxa"/>
            <w:noWrap w:val="0"/>
            <w:vAlign w:val="top"/>
          </w:tcPr>
          <w:p w14:paraId="1E7466B0">
            <w:pPr>
              <w:rPr>
                <w:rFonts w:ascii="Arial"/>
                <w:color w:val="auto"/>
                <w:sz w:val="21"/>
                <w:highlight w:val="none"/>
              </w:rPr>
            </w:pPr>
          </w:p>
        </w:tc>
        <w:tc>
          <w:tcPr>
            <w:tcW w:w="2195" w:type="dxa"/>
            <w:noWrap w:val="0"/>
            <w:vAlign w:val="top"/>
          </w:tcPr>
          <w:p w14:paraId="554D1F79">
            <w:pPr>
              <w:pStyle w:val="17"/>
              <w:spacing w:before="163" w:line="230" w:lineRule="auto"/>
              <w:ind w:left="703"/>
              <w:rPr>
                <w:color w:val="auto"/>
                <w:sz w:val="19"/>
                <w:szCs w:val="19"/>
                <w:highlight w:val="none"/>
              </w:rPr>
            </w:pPr>
            <w:r>
              <w:rPr>
                <w:color w:val="auto"/>
                <w:spacing w:val="7"/>
                <w:sz w:val="19"/>
                <w:szCs w:val="19"/>
                <w:highlight w:val="none"/>
              </w:rPr>
              <w:t>银行账号</w:t>
            </w:r>
          </w:p>
        </w:tc>
        <w:tc>
          <w:tcPr>
            <w:tcW w:w="2351" w:type="dxa"/>
            <w:noWrap w:val="0"/>
            <w:vAlign w:val="top"/>
          </w:tcPr>
          <w:p w14:paraId="0C972C3A">
            <w:pPr>
              <w:rPr>
                <w:rFonts w:ascii="Arial"/>
                <w:color w:val="auto"/>
                <w:sz w:val="21"/>
                <w:highlight w:val="none"/>
              </w:rPr>
            </w:pPr>
          </w:p>
        </w:tc>
      </w:tr>
      <w:tr w14:paraId="19622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9323" w:type="dxa"/>
            <w:gridSpan w:val="4"/>
            <w:noWrap w:val="0"/>
            <w:vAlign w:val="top"/>
          </w:tcPr>
          <w:p w14:paraId="5077E3A9">
            <w:pPr>
              <w:pStyle w:val="17"/>
              <w:spacing w:before="192" w:line="229" w:lineRule="auto"/>
              <w:ind w:left="115" w:leftChars="0"/>
              <w:outlineLvl w:val="9"/>
              <w:rPr>
                <w:color w:val="auto"/>
                <w:sz w:val="19"/>
                <w:szCs w:val="19"/>
                <w:highlight w:val="none"/>
              </w:rPr>
            </w:pPr>
            <w:r>
              <w:rPr>
                <w:color w:val="auto"/>
                <w:spacing w:val="9"/>
                <w:sz w:val="19"/>
                <w:szCs w:val="19"/>
                <w:highlight w:val="none"/>
              </w:rPr>
              <w:t>注：涉及联合体或其他合同主体的信息应按上表格式加列。</w:t>
            </w:r>
          </w:p>
        </w:tc>
      </w:tr>
    </w:tbl>
    <w:p w14:paraId="6E443F2D">
      <w:pPr>
        <w:rPr>
          <w:color w:val="auto"/>
          <w:highlight w:val="none"/>
        </w:rPr>
        <w:sectPr>
          <w:footerReference r:id="rId24" w:type="default"/>
          <w:pgSz w:w="11906" w:h="16839"/>
          <w:pgMar w:top="1431" w:right="1272" w:bottom="1209" w:left="1305" w:header="0" w:footer="973" w:gutter="0"/>
          <w:pgNumType w:fmt="decimal"/>
          <w:cols w:space="720" w:num="1"/>
        </w:sectPr>
      </w:pPr>
    </w:p>
    <w:p w14:paraId="584CC4FB">
      <w:pPr>
        <w:spacing w:before="147" w:line="222" w:lineRule="auto"/>
        <w:ind w:left="2733" w:leftChars="0"/>
        <w:outlineLvl w:val="1"/>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第二节政府采购合同通用条款</w:t>
      </w:r>
    </w:p>
    <w:p w14:paraId="3122FDBA">
      <w:pPr>
        <w:spacing w:before="78" w:line="221"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13"/>
          <w:sz w:val="24"/>
          <w:szCs w:val="24"/>
          <w:highlight w:val="none"/>
        </w:rPr>
        <w:t>1.定义</w:t>
      </w:r>
    </w:p>
    <w:p w14:paraId="0F780411">
      <w:pPr>
        <w:spacing w:before="146" w:line="230" w:lineRule="auto"/>
        <w:ind w:left="414" w:leftChars="0"/>
        <w:outlineLvl w:val="3"/>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1.1合同当事人</w:t>
      </w:r>
    </w:p>
    <w:p w14:paraId="753471C5">
      <w:pPr>
        <w:spacing w:before="164" w:line="309" w:lineRule="auto"/>
        <w:ind w:left="17" w:right="24" w:firstLine="39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（1）采购人（以下称甲方）是指使用财政性资金，通过政府采购方式向供应商购买货物及其相关服务</w:t>
      </w:r>
      <w:r>
        <w:rPr>
          <w:rFonts w:ascii="宋体" w:hAnsi="宋体" w:eastAsia="宋体" w:cs="宋体"/>
          <w:color w:val="auto"/>
          <w:spacing w:val="7"/>
          <w:sz w:val="19"/>
          <w:szCs w:val="19"/>
          <w:highlight w:val="none"/>
        </w:rPr>
        <w:t>的国家机关、事业单位、团体组织。</w:t>
      </w:r>
    </w:p>
    <w:p w14:paraId="65212E64">
      <w:pPr>
        <w:spacing w:before="163" w:line="309" w:lineRule="auto"/>
        <w:ind w:right="24" w:firstLine="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（2）供应商（以下称乙方）是指参加政府采购活动并且中标（成交</w:t>
      </w:r>
      <w:r>
        <w:rPr>
          <w:rFonts w:ascii="宋体" w:hAnsi="宋体" w:eastAsia="宋体" w:cs="宋体"/>
          <w:color w:val="auto"/>
          <w:spacing w:val="15"/>
          <w:sz w:val="19"/>
          <w:szCs w:val="19"/>
          <w:highlight w:val="none"/>
        </w:rPr>
        <w:t>），</w:t>
      </w:r>
      <w:r>
        <w:rPr>
          <w:rFonts w:ascii="宋体" w:hAnsi="宋体" w:eastAsia="宋体" w:cs="宋体"/>
          <w:color w:val="auto"/>
          <w:spacing w:val="8"/>
          <w:sz w:val="19"/>
          <w:szCs w:val="19"/>
          <w:highlight w:val="none"/>
        </w:rPr>
        <w:t>向采购人提供</w:t>
      </w:r>
      <w:r>
        <w:rPr>
          <w:rFonts w:ascii="宋体" w:hAnsi="宋体" w:eastAsia="宋体" w:cs="宋体"/>
          <w:color w:val="auto"/>
          <w:spacing w:val="7"/>
          <w:sz w:val="19"/>
          <w:szCs w:val="19"/>
          <w:highlight w:val="none"/>
        </w:rPr>
        <w:t>合同约定的货物</w:t>
      </w:r>
      <w:r>
        <w:rPr>
          <w:rFonts w:ascii="宋体" w:hAnsi="宋体" w:eastAsia="宋体" w:cs="宋体"/>
          <w:color w:val="auto"/>
          <w:spacing w:val="9"/>
          <w:sz w:val="19"/>
          <w:szCs w:val="19"/>
          <w:highlight w:val="none"/>
        </w:rPr>
        <w:t>及其相关服务的法人、非法人组织或者自然人。</w:t>
      </w:r>
    </w:p>
    <w:p w14:paraId="79BB45E8">
      <w:pPr>
        <w:spacing w:before="166" w:line="308" w:lineRule="auto"/>
        <w:ind w:left="21" w:right="24" w:firstLine="388"/>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（3）其他合同主体是指除采购人和供应商以外，依法参与合同缔结或履行，享有权利、承担义务的合</w:t>
      </w:r>
      <w:r>
        <w:rPr>
          <w:rFonts w:ascii="宋体" w:hAnsi="宋体" w:eastAsia="宋体" w:cs="宋体"/>
          <w:color w:val="auto"/>
          <w:spacing w:val="2"/>
          <w:sz w:val="19"/>
          <w:szCs w:val="19"/>
          <w:highlight w:val="none"/>
        </w:rPr>
        <w:t>同当事人。</w:t>
      </w:r>
    </w:p>
    <w:p w14:paraId="6A522FAD">
      <w:pPr>
        <w:spacing w:before="165" w:line="228" w:lineRule="auto"/>
        <w:ind w:left="414" w:leftChars="0"/>
        <w:outlineLvl w:val="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1.2本合同下列术语应解释为：</w:t>
      </w:r>
    </w:p>
    <w:p w14:paraId="5463148D">
      <w:pPr>
        <w:spacing w:before="166" w:line="340" w:lineRule="auto"/>
        <w:ind w:right="23" w:firstLine="409"/>
        <w:rPr>
          <w:rFonts w:ascii="宋体" w:hAnsi="宋体" w:eastAsia="宋体" w:cs="宋体"/>
          <w:color w:val="auto"/>
          <w:spacing w:val="8"/>
          <w:sz w:val="19"/>
          <w:szCs w:val="19"/>
          <w:highlight w:val="none"/>
        </w:rPr>
      </w:pPr>
      <w:r>
        <w:rPr>
          <w:rFonts w:ascii="宋体" w:hAnsi="宋体" w:eastAsia="宋体" w:cs="宋体"/>
          <w:color w:val="auto"/>
          <w:spacing w:val="8"/>
          <w:sz w:val="19"/>
          <w:szCs w:val="19"/>
          <w:highlight w:val="none"/>
        </w:rPr>
        <w:t>（1）“合同”系指合同当事人意思表示达成一致的任何协</w:t>
      </w:r>
      <w:r>
        <w:rPr>
          <w:rFonts w:ascii="宋体" w:hAnsi="宋体" w:eastAsia="宋体" w:cs="宋体"/>
          <w:color w:val="auto"/>
          <w:spacing w:val="7"/>
          <w:sz w:val="19"/>
          <w:szCs w:val="19"/>
          <w:highlight w:val="none"/>
        </w:rPr>
        <w:t>议，包括签署的政府采购合同协议书及其变</w:t>
      </w:r>
      <w:r>
        <w:rPr>
          <w:rFonts w:ascii="宋体" w:hAnsi="宋体" w:eastAsia="宋体" w:cs="宋体"/>
          <w:color w:val="auto"/>
          <w:spacing w:val="10"/>
          <w:sz w:val="19"/>
          <w:szCs w:val="19"/>
          <w:highlight w:val="none"/>
        </w:rPr>
        <w:t>更、补充协议，政府采购合同专用条款，政府采购合同通用条款，中标（成交）通</w:t>
      </w:r>
      <w:r>
        <w:rPr>
          <w:rFonts w:ascii="宋体" w:hAnsi="宋体" w:eastAsia="宋体" w:cs="宋体"/>
          <w:color w:val="auto"/>
          <w:spacing w:val="9"/>
          <w:sz w:val="19"/>
          <w:szCs w:val="19"/>
          <w:highlight w:val="none"/>
        </w:rPr>
        <w:t>知书，投标（响应）文件，采购文件，有关技术文件和图纸，以及</w:t>
      </w:r>
      <w:r>
        <w:rPr>
          <w:rFonts w:ascii="宋体" w:hAnsi="宋体" w:eastAsia="宋体" w:cs="宋体"/>
          <w:color w:val="auto"/>
          <w:spacing w:val="8"/>
          <w:sz w:val="19"/>
          <w:szCs w:val="19"/>
          <w:highlight w:val="none"/>
        </w:rPr>
        <w:t>国家法律、行政法规和规章制度规定或合同约定的作为合同组成部分的其他文件。</w:t>
      </w:r>
    </w:p>
    <w:p w14:paraId="363BA782">
      <w:pPr>
        <w:spacing w:before="162" w:line="227" w:lineRule="auto"/>
        <w:ind w:left="40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（2）“合同价款”系指根据本合同规定乙方在全面</w:t>
      </w:r>
      <w:r>
        <w:rPr>
          <w:rFonts w:ascii="宋体" w:hAnsi="宋体" w:eastAsia="宋体" w:cs="宋体"/>
          <w:color w:val="auto"/>
          <w:spacing w:val="8"/>
          <w:sz w:val="19"/>
          <w:szCs w:val="19"/>
          <w:highlight w:val="none"/>
        </w:rPr>
        <w:t>履行合同义务后甲方应支付给乙方的价款。</w:t>
      </w:r>
    </w:p>
    <w:p w14:paraId="6C25986E">
      <w:pPr>
        <w:spacing w:before="166" w:line="309" w:lineRule="auto"/>
        <w:ind w:left="1" w:firstLine="408"/>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（3）“货物”系指乙方根据本合同规定须向甲方提供的各种形态和种类的物品，包括原材料、设备、</w:t>
      </w:r>
      <w:r>
        <w:rPr>
          <w:rFonts w:ascii="宋体" w:hAnsi="宋体" w:eastAsia="宋体" w:cs="宋体"/>
          <w:color w:val="auto"/>
          <w:spacing w:val="9"/>
          <w:sz w:val="19"/>
          <w:szCs w:val="19"/>
          <w:highlight w:val="none"/>
        </w:rPr>
        <w:t>产品（包括软件）及相关的其备品备件、工具、手册及其他技术资料和材料等。</w:t>
      </w:r>
    </w:p>
    <w:p w14:paraId="21ED3333">
      <w:pPr>
        <w:spacing w:before="164" w:line="336" w:lineRule="auto"/>
        <w:ind w:left="3" w:right="24" w:firstLine="40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（4）“相关服务”系指根据合同规定，乙方应提供</w:t>
      </w:r>
      <w:r>
        <w:rPr>
          <w:rFonts w:ascii="宋体" w:hAnsi="宋体" w:eastAsia="宋体" w:cs="宋体"/>
          <w:color w:val="auto"/>
          <w:spacing w:val="7"/>
          <w:sz w:val="19"/>
          <w:szCs w:val="19"/>
          <w:highlight w:val="none"/>
        </w:rPr>
        <w:t>的与货物有关的技术、管理和其他服务，包括但不</w:t>
      </w:r>
      <w:r>
        <w:rPr>
          <w:rFonts w:ascii="宋体" w:hAnsi="宋体" w:eastAsia="宋体" w:cs="宋体"/>
          <w:color w:val="auto"/>
          <w:spacing w:val="10"/>
          <w:sz w:val="19"/>
          <w:szCs w:val="19"/>
          <w:highlight w:val="none"/>
        </w:rPr>
        <w:t>限于：管理和质量保证、运输、保险、检验、现场准备、安装、集成、调试、</w:t>
      </w:r>
      <w:r>
        <w:rPr>
          <w:rFonts w:ascii="宋体" w:hAnsi="宋体" w:eastAsia="宋体" w:cs="宋体"/>
          <w:color w:val="auto"/>
          <w:spacing w:val="9"/>
          <w:sz w:val="19"/>
          <w:szCs w:val="19"/>
          <w:highlight w:val="none"/>
        </w:rPr>
        <w:t>培训、维修、废弃处置、技术支持等以及合同中规定乙方应承担的其他义务。</w:t>
      </w:r>
    </w:p>
    <w:p w14:paraId="1D119C5D">
      <w:pPr>
        <w:spacing w:before="162" w:line="309" w:lineRule="auto"/>
        <w:ind w:right="13" w:firstLine="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（5）“分包”系指中标（成交）供应商按采购文件、投标（响应）文件的规</w:t>
      </w:r>
      <w:r>
        <w:rPr>
          <w:rFonts w:ascii="宋体" w:hAnsi="宋体" w:eastAsia="宋体" w:cs="宋体"/>
          <w:color w:val="auto"/>
          <w:spacing w:val="7"/>
          <w:sz w:val="19"/>
          <w:szCs w:val="19"/>
          <w:highlight w:val="none"/>
        </w:rPr>
        <w:t>定，根据分包意向协议，</w:t>
      </w:r>
      <w:r>
        <w:rPr>
          <w:rFonts w:ascii="宋体" w:hAnsi="宋体" w:eastAsia="宋体" w:cs="宋体"/>
          <w:color w:val="auto"/>
          <w:spacing w:val="10"/>
          <w:sz w:val="19"/>
          <w:szCs w:val="19"/>
          <w:highlight w:val="none"/>
        </w:rPr>
        <w:t>将中标（成交）项目中的部分履约内容，分</w:t>
      </w:r>
      <w:r>
        <w:rPr>
          <w:rFonts w:ascii="宋体" w:hAnsi="宋体" w:eastAsia="宋体" w:cs="宋体"/>
          <w:color w:val="auto"/>
          <w:spacing w:val="9"/>
          <w:sz w:val="19"/>
          <w:szCs w:val="19"/>
          <w:highlight w:val="none"/>
        </w:rPr>
        <w:t>给具有相应资质条件的供应商履行合同的行为。</w:t>
      </w:r>
    </w:p>
    <w:p w14:paraId="338B97CB">
      <w:pPr>
        <w:spacing w:before="164" w:line="349" w:lineRule="auto"/>
        <w:ind w:right="24" w:firstLine="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（6）“联合体”系指由两个以上的自然人、法人或者非</w:t>
      </w:r>
      <w:r>
        <w:rPr>
          <w:rFonts w:ascii="宋体" w:hAnsi="宋体" w:eastAsia="宋体" w:cs="宋体"/>
          <w:color w:val="auto"/>
          <w:spacing w:val="7"/>
          <w:sz w:val="19"/>
          <w:szCs w:val="19"/>
          <w:highlight w:val="none"/>
        </w:rPr>
        <w:t>法人组织组成，以一个供应商的身份共同参加</w:t>
      </w:r>
      <w:r>
        <w:rPr>
          <w:rFonts w:ascii="宋体" w:hAnsi="宋体" w:eastAsia="宋体" w:cs="宋体"/>
          <w:color w:val="auto"/>
          <w:spacing w:val="10"/>
          <w:sz w:val="19"/>
          <w:szCs w:val="19"/>
          <w:highlight w:val="none"/>
        </w:rPr>
        <w:t>政府采购的主体。联合体各方应在签订合同协议书前向甲方提交联合协议，且</w:t>
      </w:r>
      <w:r>
        <w:rPr>
          <w:rFonts w:ascii="宋体" w:hAnsi="宋体" w:eastAsia="宋体" w:cs="宋体"/>
          <w:color w:val="auto"/>
          <w:spacing w:val="9"/>
          <w:sz w:val="19"/>
          <w:szCs w:val="19"/>
          <w:highlight w:val="none"/>
        </w:rPr>
        <w:t>明确牵头人及各成员单位的</w:t>
      </w:r>
      <w:r>
        <w:rPr>
          <w:rFonts w:ascii="宋体" w:hAnsi="宋体" w:eastAsia="宋体" w:cs="宋体"/>
          <w:color w:val="auto"/>
          <w:spacing w:val="10"/>
          <w:sz w:val="19"/>
          <w:szCs w:val="19"/>
          <w:highlight w:val="none"/>
        </w:rPr>
        <w:t>工作分工、权利、义务、责任，联合体各方应共同与甲方签订合同，就合同约</w:t>
      </w:r>
      <w:r>
        <w:rPr>
          <w:rFonts w:ascii="宋体" w:hAnsi="宋体" w:eastAsia="宋体" w:cs="宋体"/>
          <w:color w:val="auto"/>
          <w:spacing w:val="9"/>
          <w:sz w:val="19"/>
          <w:szCs w:val="19"/>
          <w:highlight w:val="none"/>
        </w:rPr>
        <w:t>定的事项对甲方承担连带责</w:t>
      </w:r>
      <w:r>
        <w:rPr>
          <w:rFonts w:ascii="宋体" w:hAnsi="宋体" w:eastAsia="宋体" w:cs="宋体"/>
          <w:color w:val="auto"/>
          <w:spacing w:val="8"/>
          <w:sz w:val="19"/>
          <w:szCs w:val="19"/>
          <w:highlight w:val="none"/>
        </w:rPr>
        <w:t>任。联合体具体要求见【</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w:t>
      </w:r>
    </w:p>
    <w:p w14:paraId="30074BFE">
      <w:pPr>
        <w:spacing w:before="164" w:line="228" w:lineRule="auto"/>
        <w:ind w:left="409" w:leftChars="0"/>
        <w:outlineLvl w:val="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（7）其他术语解释，见【</w:t>
      </w:r>
      <w:r>
        <w:rPr>
          <w:rFonts w:ascii="宋体" w:hAnsi="宋体" w:eastAsia="宋体" w:cs="宋体"/>
          <w:b/>
          <w:bCs/>
          <w:color w:val="auto"/>
          <w:spacing w:val="7"/>
          <w:sz w:val="19"/>
          <w:szCs w:val="19"/>
          <w:highlight w:val="none"/>
        </w:rPr>
        <w:t>政府采购合同专用条款</w:t>
      </w:r>
      <w:r>
        <w:rPr>
          <w:rFonts w:ascii="宋体" w:hAnsi="宋体" w:eastAsia="宋体" w:cs="宋体"/>
          <w:color w:val="auto"/>
          <w:spacing w:val="7"/>
          <w:sz w:val="19"/>
          <w:szCs w:val="19"/>
          <w:highlight w:val="none"/>
        </w:rPr>
        <w:t>】。</w:t>
      </w:r>
    </w:p>
    <w:p w14:paraId="027593D2">
      <w:pPr>
        <w:spacing w:before="131" w:line="220" w:lineRule="auto"/>
        <w:ind w:left="6" w:leftChars="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2.合同标的及金额</w:t>
      </w:r>
    </w:p>
    <w:p w14:paraId="25D2910A">
      <w:pPr>
        <w:spacing w:before="150" w:line="371" w:lineRule="auto"/>
        <w:ind w:left="21" w:right="65" w:firstLine="381"/>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2.1合同标的及金额应与中标（成交）结果一致。乙方为履行本合同而发生的所有费用均应包含在合</w:t>
      </w:r>
      <w:r>
        <w:rPr>
          <w:rFonts w:ascii="宋体" w:hAnsi="宋体" w:eastAsia="宋体" w:cs="宋体"/>
          <w:color w:val="auto"/>
          <w:spacing w:val="6"/>
          <w:sz w:val="19"/>
          <w:szCs w:val="19"/>
          <w:highlight w:val="none"/>
        </w:rPr>
        <w:t>同价款中，甲方不再另行支付其他任何费用。</w:t>
      </w:r>
    </w:p>
    <w:p w14:paraId="1726F7F5">
      <w:pPr>
        <w:spacing w:before="1" w:line="220" w:lineRule="auto"/>
        <w:ind w:left="7" w:leftChars="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3.履行合同的时间、地点和方式</w:t>
      </w:r>
    </w:p>
    <w:p w14:paraId="6776D0A9">
      <w:pPr>
        <w:spacing w:before="149" w:line="229" w:lineRule="auto"/>
        <w:ind w:left="403" w:leftChars="0"/>
        <w:outlineLvl w:val="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3.1乙方应当在约定的时间、地点，按照约定方式履行合同。</w:t>
      </w:r>
    </w:p>
    <w:p w14:paraId="5CBAFC12">
      <w:pPr>
        <w:spacing w:before="128" w:line="220" w:lineRule="auto"/>
        <w:ind w:left="2" w:leftChars="0"/>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4.甲方的权利和义务</w:t>
      </w:r>
    </w:p>
    <w:p w14:paraId="7AE41F75">
      <w:pPr>
        <w:spacing w:line="220" w:lineRule="auto"/>
        <w:rPr>
          <w:rFonts w:ascii="宋体" w:hAnsi="宋体" w:eastAsia="宋体" w:cs="宋体"/>
          <w:color w:val="auto"/>
          <w:sz w:val="24"/>
          <w:szCs w:val="24"/>
          <w:highlight w:val="none"/>
        </w:rPr>
        <w:sectPr>
          <w:footerReference r:id="rId25" w:type="default"/>
          <w:pgSz w:w="11906" w:h="16839"/>
          <w:pgMar w:top="1431" w:right="1223" w:bottom="1209" w:left="1424" w:header="0" w:footer="973" w:gutter="0"/>
          <w:pgNumType w:fmt="decimal"/>
          <w:cols w:space="720" w:num="1"/>
        </w:sectPr>
      </w:pPr>
    </w:p>
    <w:p w14:paraId="691231FC">
      <w:pPr>
        <w:spacing w:before="136" w:line="309" w:lineRule="auto"/>
        <w:ind w:left="16" w:right="12" w:firstLine="38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4.1签署合同后，甲方应确定项目负责人（或项目联系人</w:t>
      </w:r>
      <w:r>
        <w:rPr>
          <w:rFonts w:ascii="宋体" w:hAnsi="宋体" w:eastAsia="宋体" w:cs="宋体"/>
          <w:color w:val="auto"/>
          <w:spacing w:val="22"/>
          <w:sz w:val="19"/>
          <w:szCs w:val="19"/>
          <w:highlight w:val="none"/>
        </w:rPr>
        <w:t>），</w:t>
      </w:r>
      <w:r>
        <w:rPr>
          <w:rFonts w:ascii="宋体" w:hAnsi="宋体" w:eastAsia="宋体" w:cs="宋体"/>
          <w:color w:val="auto"/>
          <w:spacing w:val="7"/>
          <w:sz w:val="19"/>
          <w:szCs w:val="19"/>
          <w:highlight w:val="none"/>
        </w:rPr>
        <w:t>负责与本合同有关的事务。甲方有权对</w:t>
      </w:r>
      <w:r>
        <w:rPr>
          <w:rFonts w:ascii="宋体" w:hAnsi="宋体" w:eastAsia="宋体" w:cs="宋体"/>
          <w:color w:val="auto"/>
          <w:spacing w:val="8"/>
          <w:sz w:val="19"/>
          <w:szCs w:val="19"/>
          <w:highlight w:val="none"/>
        </w:rPr>
        <w:t>乙方的履约行为进行检查，并及时确认乙方提交的事项。甲方应当配合乙方完成相关项目实施工作。</w:t>
      </w:r>
    </w:p>
    <w:p w14:paraId="2BC24CD8">
      <w:pPr>
        <w:spacing w:before="162" w:line="309" w:lineRule="auto"/>
        <w:ind w:right="12" w:firstLine="397"/>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4.2甲方有权要求乙方按时提交各阶段有关安排计划，并有权定期核</w:t>
      </w:r>
      <w:r>
        <w:rPr>
          <w:rFonts w:ascii="宋体" w:hAnsi="宋体" w:eastAsia="宋体" w:cs="宋体"/>
          <w:color w:val="auto"/>
          <w:spacing w:val="8"/>
          <w:sz w:val="19"/>
          <w:szCs w:val="19"/>
          <w:highlight w:val="none"/>
        </w:rPr>
        <w:t>对乙方提供货物数量、规格、质量等内容。甲方有权督促乙方工作并要求乙方更换不符合要求的货物。</w:t>
      </w:r>
    </w:p>
    <w:p w14:paraId="408E8723">
      <w:pPr>
        <w:spacing w:before="166" w:line="228" w:lineRule="auto"/>
        <w:ind w:left="397"/>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4.3甲方有权要求乙方对缺陷部分予以修复，</w:t>
      </w:r>
      <w:r>
        <w:rPr>
          <w:rFonts w:ascii="宋体" w:hAnsi="宋体" w:eastAsia="宋体" w:cs="宋体"/>
          <w:color w:val="auto"/>
          <w:spacing w:val="8"/>
          <w:sz w:val="19"/>
          <w:szCs w:val="19"/>
          <w:highlight w:val="none"/>
        </w:rPr>
        <w:t>并按合同约定享有货物保修及其他合同约定的权利。</w:t>
      </w:r>
    </w:p>
    <w:p w14:paraId="3AE0205A">
      <w:pPr>
        <w:spacing w:before="163" w:line="309" w:lineRule="auto"/>
        <w:ind w:left="24" w:right="2" w:firstLine="37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4.4甲方应当按照合同约定及时对交付的货物进行验收，未在</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约定的期限</w:t>
      </w:r>
      <w:r>
        <w:rPr>
          <w:rFonts w:ascii="宋体" w:hAnsi="宋体" w:eastAsia="宋体" w:cs="宋体"/>
          <w:color w:val="auto"/>
          <w:spacing w:val="9"/>
          <w:sz w:val="19"/>
          <w:szCs w:val="19"/>
          <w:highlight w:val="none"/>
        </w:rPr>
        <w:t>内对乙方履约提出任何异议或者向乙方作出任</w:t>
      </w:r>
      <w:r>
        <w:rPr>
          <w:rFonts w:ascii="宋体" w:hAnsi="宋体" w:eastAsia="宋体" w:cs="宋体"/>
          <w:color w:val="auto"/>
          <w:spacing w:val="8"/>
          <w:sz w:val="19"/>
          <w:szCs w:val="19"/>
          <w:highlight w:val="none"/>
        </w:rPr>
        <w:t>何说明的，视为验收通过。</w:t>
      </w:r>
    </w:p>
    <w:p w14:paraId="76687477">
      <w:pPr>
        <w:spacing w:before="165" w:line="308" w:lineRule="auto"/>
        <w:ind w:left="24" w:right="9" w:firstLine="37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4.5甲方应当根据合同约定及时向乙方支付合同价款，不得以内部人员变更</w:t>
      </w:r>
      <w:r>
        <w:rPr>
          <w:rFonts w:ascii="宋体" w:hAnsi="宋体" w:eastAsia="宋体" w:cs="宋体"/>
          <w:color w:val="auto"/>
          <w:spacing w:val="8"/>
          <w:sz w:val="19"/>
          <w:szCs w:val="19"/>
          <w:highlight w:val="none"/>
        </w:rPr>
        <w:t>、履行内部付款流程等为</w:t>
      </w:r>
      <w:r>
        <w:rPr>
          <w:rFonts w:ascii="宋体" w:hAnsi="宋体" w:eastAsia="宋体" w:cs="宋体"/>
          <w:color w:val="auto"/>
          <w:spacing w:val="5"/>
          <w:sz w:val="19"/>
          <w:szCs w:val="19"/>
          <w:highlight w:val="none"/>
        </w:rPr>
        <w:t>由，拒绝或迟延支付。</w:t>
      </w:r>
    </w:p>
    <w:p w14:paraId="45946F14">
      <w:pPr>
        <w:spacing w:before="165" w:line="228" w:lineRule="auto"/>
        <w:ind w:left="39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4.6国家法律法规规定及</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约定应由甲方承担的其他义务和责任。</w:t>
      </w:r>
    </w:p>
    <w:p w14:paraId="4DF8DADD">
      <w:pPr>
        <w:spacing w:before="131" w:line="220" w:lineRule="auto"/>
        <w:ind w:left="6" w:leftChars="0"/>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5.乙方的权利和义务</w:t>
      </w:r>
    </w:p>
    <w:p w14:paraId="64F8B1DC">
      <w:pPr>
        <w:spacing w:before="148" w:line="228" w:lineRule="auto"/>
        <w:ind w:left="402"/>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5.1签署合同后，乙方应确定项目负责人（</w:t>
      </w:r>
      <w:r>
        <w:rPr>
          <w:rFonts w:ascii="宋体" w:hAnsi="宋体" w:eastAsia="宋体" w:cs="宋体"/>
          <w:color w:val="auto"/>
          <w:spacing w:val="8"/>
          <w:sz w:val="19"/>
          <w:szCs w:val="19"/>
          <w:highlight w:val="none"/>
        </w:rPr>
        <w:t>或项目联系人</w:t>
      </w:r>
      <w:r>
        <w:rPr>
          <w:rFonts w:ascii="宋体" w:hAnsi="宋体" w:eastAsia="宋体" w:cs="宋体"/>
          <w:color w:val="auto"/>
          <w:spacing w:val="17"/>
          <w:sz w:val="19"/>
          <w:szCs w:val="19"/>
          <w:highlight w:val="none"/>
        </w:rPr>
        <w:t>），</w:t>
      </w:r>
      <w:r>
        <w:rPr>
          <w:rFonts w:ascii="宋体" w:hAnsi="宋体" w:eastAsia="宋体" w:cs="宋体"/>
          <w:color w:val="auto"/>
          <w:spacing w:val="8"/>
          <w:sz w:val="19"/>
          <w:szCs w:val="19"/>
          <w:highlight w:val="none"/>
        </w:rPr>
        <w:t>负责与本合同有关的事务。</w:t>
      </w:r>
    </w:p>
    <w:p w14:paraId="24217B12">
      <w:pPr>
        <w:spacing w:before="167" w:line="335" w:lineRule="auto"/>
        <w:ind w:left="1" w:right="9" w:firstLine="400"/>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5.2乙方应按照合同要求履约，充分合理安排，确保提供的货物及相关服务符合合同有关要求。接受</w:t>
      </w:r>
      <w:r>
        <w:rPr>
          <w:rFonts w:ascii="宋体" w:hAnsi="宋体" w:eastAsia="宋体" w:cs="宋体"/>
          <w:color w:val="auto"/>
          <w:spacing w:val="10"/>
          <w:sz w:val="19"/>
          <w:szCs w:val="19"/>
          <w:highlight w:val="none"/>
        </w:rPr>
        <w:t>项目行业管理部门及政府有关部门的指导，配合甲方的履约检查及验收，并负</w:t>
      </w:r>
      <w:r>
        <w:rPr>
          <w:rFonts w:ascii="宋体" w:hAnsi="宋体" w:eastAsia="宋体" w:cs="宋体"/>
          <w:color w:val="auto"/>
          <w:spacing w:val="9"/>
          <w:sz w:val="19"/>
          <w:szCs w:val="19"/>
          <w:highlight w:val="none"/>
        </w:rPr>
        <w:t>责项目实施过程中的所有协</w:t>
      </w:r>
      <w:r>
        <w:rPr>
          <w:rFonts w:ascii="宋体" w:hAnsi="宋体" w:eastAsia="宋体" w:cs="宋体"/>
          <w:color w:val="auto"/>
          <w:spacing w:val="5"/>
          <w:sz w:val="19"/>
          <w:szCs w:val="19"/>
          <w:highlight w:val="none"/>
        </w:rPr>
        <w:t>调工作。</w:t>
      </w:r>
    </w:p>
    <w:p w14:paraId="4634CD91">
      <w:pPr>
        <w:spacing w:before="165" w:line="227" w:lineRule="auto"/>
        <w:ind w:left="354" w:leftChars="0"/>
        <w:outlineLvl w:val="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5.3乙方有权根据合同约定向甲方收取合同价款。</w:t>
      </w:r>
    </w:p>
    <w:p w14:paraId="16AAE8A3">
      <w:pPr>
        <w:spacing w:before="167" w:line="228" w:lineRule="auto"/>
        <w:ind w:left="354"/>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5.4国家法律法规规定及</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约定应由乙方承担的其他义务和责任。</w:t>
      </w:r>
    </w:p>
    <w:p w14:paraId="740A2B5C">
      <w:pPr>
        <w:spacing w:before="128" w:line="221" w:lineRule="auto"/>
        <w:ind w:left="3" w:leftChars="0"/>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6.合同履行</w:t>
      </w:r>
    </w:p>
    <w:p w14:paraId="71B26E27">
      <w:pPr>
        <w:spacing w:before="150" w:line="309" w:lineRule="auto"/>
        <w:ind w:left="12" w:firstLine="38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6.1甲乙双方应当按照</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约定顺序履行合同义务；如果没有先后顺序的，应</w:t>
      </w:r>
      <w:r>
        <w:rPr>
          <w:rFonts w:ascii="宋体" w:hAnsi="宋体" w:eastAsia="宋体" w:cs="宋体"/>
          <w:color w:val="auto"/>
          <w:spacing w:val="4"/>
          <w:sz w:val="19"/>
          <w:szCs w:val="19"/>
          <w:highlight w:val="none"/>
        </w:rPr>
        <w:t>当同时履行。</w:t>
      </w:r>
    </w:p>
    <w:p w14:paraId="3FD98D82">
      <w:pPr>
        <w:spacing w:before="163" w:line="309" w:lineRule="auto"/>
        <w:ind w:left="3" w:right="10" w:firstLine="396"/>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6.2甲乙双方按照合同约定顺序履行合同义务时，应当先履行一方未</w:t>
      </w:r>
      <w:r>
        <w:rPr>
          <w:rFonts w:ascii="宋体" w:hAnsi="宋体" w:eastAsia="宋体" w:cs="宋体"/>
          <w:color w:val="auto"/>
          <w:spacing w:val="8"/>
          <w:sz w:val="19"/>
          <w:szCs w:val="19"/>
          <w:highlight w:val="none"/>
        </w:rPr>
        <w:t>履行的，后履行一方有权拒绝其</w:t>
      </w:r>
      <w:r>
        <w:rPr>
          <w:rFonts w:ascii="宋体" w:hAnsi="宋体" w:eastAsia="宋体" w:cs="宋体"/>
          <w:color w:val="auto"/>
          <w:spacing w:val="9"/>
          <w:sz w:val="19"/>
          <w:szCs w:val="19"/>
          <w:highlight w:val="none"/>
        </w:rPr>
        <w:t>履行请求。先履行一方履行不符合约定的，后履行一方有权拒绝其相应的履行请求。</w:t>
      </w:r>
    </w:p>
    <w:p w14:paraId="7E6309FE">
      <w:pPr>
        <w:spacing w:before="130" w:line="219" w:lineRule="auto"/>
        <w:ind w:left="7" w:leftChars="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7.货物包装、运输、保险和交付要求</w:t>
      </w:r>
    </w:p>
    <w:p w14:paraId="70FAADFE">
      <w:pPr>
        <w:spacing w:before="149" w:line="336" w:lineRule="auto"/>
        <w:ind w:left="3" w:firstLine="39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7.1本合同涉及商品包装、快递包装的，除</w:t>
      </w:r>
      <w:r>
        <w:rPr>
          <w:rFonts w:ascii="宋体" w:hAnsi="宋体" w:eastAsia="宋体" w:cs="宋体"/>
          <w:b/>
          <w:bCs/>
          <w:color w:val="auto"/>
          <w:spacing w:val="9"/>
          <w:sz w:val="19"/>
          <w:szCs w:val="19"/>
          <w:highlight w:val="none"/>
        </w:rPr>
        <w:t>【政府采购合同专用条款】</w:t>
      </w:r>
      <w:r>
        <w:rPr>
          <w:rFonts w:ascii="宋体" w:hAnsi="宋体" w:eastAsia="宋体" w:cs="宋体"/>
          <w:color w:val="auto"/>
          <w:spacing w:val="9"/>
          <w:sz w:val="19"/>
          <w:szCs w:val="19"/>
          <w:highlight w:val="none"/>
        </w:rPr>
        <w:t>另有约定外，包装应适应</w:t>
      </w:r>
      <w:r>
        <w:rPr>
          <w:rFonts w:ascii="宋体" w:hAnsi="宋体" w:eastAsia="宋体" w:cs="宋体"/>
          <w:color w:val="auto"/>
          <w:spacing w:val="8"/>
          <w:sz w:val="19"/>
          <w:szCs w:val="19"/>
          <w:highlight w:val="none"/>
        </w:rPr>
        <w:t>远距</w:t>
      </w:r>
      <w:r>
        <w:rPr>
          <w:rFonts w:ascii="宋体" w:hAnsi="宋体" w:eastAsia="宋体" w:cs="宋体"/>
          <w:color w:val="auto"/>
          <w:spacing w:val="9"/>
          <w:sz w:val="19"/>
          <w:szCs w:val="19"/>
          <w:highlight w:val="none"/>
        </w:rPr>
        <w:t>离运输、防潮、防震、防锈和防野蛮装卸等要求，确保货物安全无损地运抵</w:t>
      </w:r>
      <w:r>
        <w:rPr>
          <w:rFonts w:ascii="宋体" w:hAnsi="宋体" w:eastAsia="宋体" w:cs="宋体"/>
          <w:b/>
          <w:bCs/>
          <w:color w:val="auto"/>
          <w:spacing w:val="9"/>
          <w:sz w:val="19"/>
          <w:szCs w:val="19"/>
          <w:highlight w:val="none"/>
        </w:rPr>
        <w:t>【政府采购合同专用条款】</w:t>
      </w:r>
      <w:r>
        <w:rPr>
          <w:rFonts w:ascii="宋体" w:hAnsi="宋体" w:eastAsia="宋体" w:cs="宋体"/>
          <w:color w:val="auto"/>
          <w:spacing w:val="9"/>
          <w:sz w:val="19"/>
          <w:szCs w:val="19"/>
          <w:highlight w:val="none"/>
        </w:rPr>
        <w:t>约</w:t>
      </w:r>
      <w:r>
        <w:rPr>
          <w:rFonts w:ascii="宋体" w:hAnsi="宋体" w:eastAsia="宋体" w:cs="宋体"/>
          <w:color w:val="auto"/>
          <w:spacing w:val="6"/>
          <w:sz w:val="19"/>
          <w:szCs w:val="19"/>
          <w:highlight w:val="none"/>
        </w:rPr>
        <w:t>定的指定现场。</w:t>
      </w:r>
    </w:p>
    <w:p w14:paraId="2E9BB227">
      <w:pPr>
        <w:spacing w:before="163" w:line="308" w:lineRule="auto"/>
        <w:ind w:right="2" w:firstLine="40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7.2除</w:t>
      </w:r>
      <w:r>
        <w:rPr>
          <w:rFonts w:ascii="宋体" w:hAnsi="宋体" w:eastAsia="宋体" w:cs="宋体"/>
          <w:b/>
          <w:bCs/>
          <w:color w:val="auto"/>
          <w:spacing w:val="9"/>
          <w:sz w:val="19"/>
          <w:szCs w:val="19"/>
          <w:highlight w:val="none"/>
        </w:rPr>
        <w:t>【政府采购合同专用条款】</w:t>
      </w:r>
      <w:r>
        <w:rPr>
          <w:rFonts w:ascii="宋体" w:hAnsi="宋体" w:eastAsia="宋体" w:cs="宋体"/>
          <w:color w:val="auto"/>
          <w:spacing w:val="9"/>
          <w:sz w:val="19"/>
          <w:szCs w:val="19"/>
          <w:highlight w:val="none"/>
        </w:rPr>
        <w:t>另有约定外，乙方负责办理将货物运抵本合同规定的交货</w:t>
      </w:r>
      <w:r>
        <w:rPr>
          <w:rFonts w:ascii="宋体" w:hAnsi="宋体" w:eastAsia="宋体" w:cs="宋体"/>
          <w:color w:val="auto"/>
          <w:spacing w:val="8"/>
          <w:sz w:val="19"/>
          <w:szCs w:val="19"/>
          <w:highlight w:val="none"/>
        </w:rPr>
        <w:t>地点，并</w:t>
      </w:r>
      <w:r>
        <w:rPr>
          <w:rFonts w:ascii="宋体" w:hAnsi="宋体" w:eastAsia="宋体" w:cs="宋体"/>
          <w:color w:val="auto"/>
          <w:spacing w:val="9"/>
          <w:sz w:val="19"/>
          <w:szCs w:val="19"/>
          <w:highlight w:val="none"/>
        </w:rPr>
        <w:t>装卸、交付至甲方的一切运输事项，相关费用应包含在合同价款中。</w:t>
      </w:r>
    </w:p>
    <w:p w14:paraId="7296F650">
      <w:pPr>
        <w:spacing w:before="167" w:line="228" w:lineRule="auto"/>
        <w:ind w:left="403" w:leftChars="0"/>
        <w:outlineLvl w:val="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7.3货物保险要求按</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规定</w:t>
      </w:r>
      <w:r>
        <w:rPr>
          <w:rFonts w:ascii="宋体" w:hAnsi="宋体" w:eastAsia="宋体" w:cs="宋体"/>
          <w:color w:val="auto"/>
          <w:spacing w:val="7"/>
          <w:sz w:val="19"/>
          <w:szCs w:val="19"/>
          <w:highlight w:val="none"/>
        </w:rPr>
        <w:t>执行。</w:t>
      </w:r>
    </w:p>
    <w:p w14:paraId="4EE9F7FA">
      <w:pPr>
        <w:spacing w:before="165" w:line="335" w:lineRule="auto"/>
        <w:ind w:right="9" w:firstLine="40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7.4除采购活动对商品包装、快递包装达成具体约定外，乙方提供产品及相关快递服务涉及到具体包</w:t>
      </w:r>
      <w:r>
        <w:rPr>
          <w:rFonts w:ascii="宋体" w:hAnsi="宋体" w:eastAsia="宋体" w:cs="宋体"/>
          <w:color w:val="auto"/>
          <w:spacing w:val="10"/>
          <w:sz w:val="19"/>
          <w:szCs w:val="19"/>
          <w:highlight w:val="none"/>
        </w:rPr>
        <w:t>装要求的，应不低于《商品包装政府采购需求标准（试行）》《快递包装政府采购</w:t>
      </w:r>
      <w:r>
        <w:rPr>
          <w:rFonts w:ascii="宋体" w:hAnsi="宋体" w:eastAsia="宋体" w:cs="宋体"/>
          <w:color w:val="auto"/>
          <w:spacing w:val="9"/>
          <w:sz w:val="19"/>
          <w:szCs w:val="19"/>
          <w:highlight w:val="none"/>
        </w:rPr>
        <w:t>需求标准（试行）》标准，并作为履约验收的内容，必要时甲方可以要求乙方在履约验收环节出具检测报告。</w:t>
      </w:r>
    </w:p>
    <w:p w14:paraId="35A8494A">
      <w:pPr>
        <w:spacing w:before="164" w:line="309" w:lineRule="auto"/>
        <w:ind w:left="16" w:right="12" w:firstLine="38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7.5乙方在运输到达之前应提前通知甲方，并提示货物运输装卸的注意事项，甲方配合乙方做好货物</w:t>
      </w:r>
      <w:r>
        <w:rPr>
          <w:rFonts w:ascii="宋体" w:hAnsi="宋体" w:eastAsia="宋体" w:cs="宋体"/>
          <w:color w:val="auto"/>
          <w:spacing w:val="4"/>
          <w:sz w:val="19"/>
          <w:szCs w:val="19"/>
          <w:highlight w:val="none"/>
        </w:rPr>
        <w:t>的接收工作。</w:t>
      </w:r>
    </w:p>
    <w:p w14:paraId="35CCC9C5">
      <w:pPr>
        <w:spacing w:line="309" w:lineRule="auto"/>
        <w:rPr>
          <w:rFonts w:ascii="宋体" w:hAnsi="宋体" w:eastAsia="宋体" w:cs="宋体"/>
          <w:color w:val="auto"/>
          <w:sz w:val="19"/>
          <w:szCs w:val="19"/>
          <w:highlight w:val="none"/>
        </w:rPr>
        <w:sectPr>
          <w:footerReference r:id="rId26" w:type="default"/>
          <w:pgSz w:w="11906" w:h="16839"/>
          <w:pgMar w:top="1431" w:right="1278" w:bottom="1209" w:left="1426" w:header="0" w:footer="973" w:gutter="0"/>
          <w:pgNumType w:fmt="decimal"/>
          <w:cols w:space="720" w:num="1"/>
        </w:sectPr>
      </w:pPr>
    </w:p>
    <w:p w14:paraId="7241AD91">
      <w:pPr>
        <w:spacing w:before="126" w:line="357" w:lineRule="auto"/>
        <w:ind w:left="2" w:right="69"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7.6如因包装、运输问题导致货物损毁、丢失或者品质下降，甲方有权要求降价、换货、拒收部分或整批货物，由此产生的费用和损失，均由乙方承担。</w:t>
      </w:r>
    </w:p>
    <w:p w14:paraId="641CFCE3">
      <w:pPr>
        <w:spacing w:before="1" w:line="220" w:lineRule="auto"/>
        <w:ind w:left="2" w:leftChars="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8.质量标准和保证</w:t>
      </w:r>
    </w:p>
    <w:p w14:paraId="0EF2E960">
      <w:pPr>
        <w:spacing w:before="140" w:line="229" w:lineRule="auto"/>
        <w:ind w:left="421" w:leftChars="0"/>
        <w:outlineLvl w:val="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8.1质量标准</w:t>
      </w:r>
    </w:p>
    <w:p w14:paraId="6FF3A166">
      <w:pPr>
        <w:spacing w:before="159" w:line="349" w:lineRule="auto"/>
        <w:ind w:right="42" w:firstLine="408"/>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（1）本合同下提供的货物应符合合同约定的品牌、规格型号、技术性能</w:t>
      </w:r>
      <w:r>
        <w:rPr>
          <w:rFonts w:ascii="宋体" w:hAnsi="宋体" w:eastAsia="宋体" w:cs="宋体"/>
          <w:color w:val="auto"/>
          <w:spacing w:val="8"/>
          <w:sz w:val="19"/>
          <w:szCs w:val="19"/>
          <w:highlight w:val="none"/>
        </w:rPr>
        <w:t>、配置、质量、数量等要求。</w:t>
      </w:r>
      <w:r>
        <w:rPr>
          <w:rFonts w:ascii="宋体" w:hAnsi="宋体" w:eastAsia="宋体" w:cs="宋体"/>
          <w:color w:val="auto"/>
          <w:spacing w:val="10"/>
          <w:sz w:val="19"/>
          <w:szCs w:val="19"/>
          <w:highlight w:val="none"/>
        </w:rPr>
        <w:t>质量要求不明确的，按照强制性国家标准履行；没有强制性国家标准的，按照推</w:t>
      </w:r>
      <w:r>
        <w:rPr>
          <w:rFonts w:ascii="宋体" w:hAnsi="宋体" w:eastAsia="宋体" w:cs="宋体"/>
          <w:color w:val="auto"/>
          <w:spacing w:val="9"/>
          <w:sz w:val="19"/>
          <w:szCs w:val="19"/>
          <w:highlight w:val="none"/>
        </w:rPr>
        <w:t>荐性国家标准履行；没有</w:t>
      </w:r>
      <w:r>
        <w:rPr>
          <w:rFonts w:ascii="宋体" w:hAnsi="宋体" w:eastAsia="宋体" w:cs="宋体"/>
          <w:color w:val="auto"/>
          <w:spacing w:val="10"/>
          <w:sz w:val="19"/>
          <w:szCs w:val="19"/>
          <w:highlight w:val="none"/>
        </w:rPr>
        <w:t>推荐性国家标准的，按照行业标准履行；没有国家标准、行业标准的，按照通常</w:t>
      </w:r>
      <w:r>
        <w:rPr>
          <w:rFonts w:ascii="宋体" w:hAnsi="宋体" w:eastAsia="宋体" w:cs="宋体"/>
          <w:color w:val="auto"/>
          <w:spacing w:val="9"/>
          <w:sz w:val="19"/>
          <w:szCs w:val="19"/>
          <w:highlight w:val="none"/>
        </w:rPr>
        <w:t>标准或者符合合同目的的</w:t>
      </w:r>
      <w:r>
        <w:rPr>
          <w:rFonts w:ascii="宋体" w:hAnsi="宋体" w:eastAsia="宋体" w:cs="宋体"/>
          <w:color w:val="auto"/>
          <w:spacing w:val="7"/>
          <w:sz w:val="19"/>
          <w:szCs w:val="19"/>
          <w:highlight w:val="none"/>
        </w:rPr>
        <w:t>特定标准履行。</w:t>
      </w:r>
    </w:p>
    <w:p w14:paraId="175F86B4">
      <w:pPr>
        <w:spacing w:before="154"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（2）采用中华人民共和国法定计量单位。</w:t>
      </w:r>
    </w:p>
    <w:p w14:paraId="612A004F">
      <w:pPr>
        <w:spacing w:before="163" w:line="228" w:lineRule="auto"/>
        <w:ind w:left="408"/>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（3）乙方所提供的货物应符合国家有关安全、环保、卫生</w:t>
      </w:r>
      <w:r>
        <w:rPr>
          <w:rFonts w:ascii="宋体" w:hAnsi="宋体" w:eastAsia="宋体" w:cs="宋体"/>
          <w:color w:val="auto"/>
          <w:spacing w:val="8"/>
          <w:sz w:val="19"/>
          <w:szCs w:val="19"/>
          <w:highlight w:val="none"/>
        </w:rPr>
        <w:t>的规定。</w:t>
      </w:r>
    </w:p>
    <w:p w14:paraId="77381089">
      <w:pPr>
        <w:spacing w:before="165" w:line="308" w:lineRule="auto"/>
        <w:ind w:right="67" w:firstLine="40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（4）乙方应向甲方提交所提供货物的技术文件，包括相应的中文技术文件，如：产品目录、图纸、操</w:t>
      </w:r>
      <w:r>
        <w:rPr>
          <w:rFonts w:ascii="宋体" w:hAnsi="宋体" w:eastAsia="宋体" w:cs="宋体"/>
          <w:color w:val="auto"/>
          <w:spacing w:val="9"/>
          <w:sz w:val="19"/>
          <w:szCs w:val="19"/>
          <w:highlight w:val="none"/>
        </w:rPr>
        <w:t>作手册、使用说明、维护手册或服务指南等。上述文件应包装好随货物一同发运。</w:t>
      </w:r>
    </w:p>
    <w:p w14:paraId="22E6659D">
      <w:pPr>
        <w:spacing w:before="166" w:line="230" w:lineRule="auto"/>
        <w:ind w:left="399" w:leftChars="0"/>
        <w:outlineLvl w:val="3"/>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8.2保证</w:t>
      </w:r>
    </w:p>
    <w:p w14:paraId="420D7A9B">
      <w:pPr>
        <w:spacing w:before="163" w:line="349" w:lineRule="auto"/>
        <w:ind w:firstLine="407"/>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（1）乙方应保证提供的货物完全符合合同规定的质量、规格和性能要求。乙方应保证货物在正确安装、</w:t>
      </w:r>
      <w:r>
        <w:rPr>
          <w:rFonts w:ascii="宋体" w:hAnsi="宋体" w:eastAsia="宋体" w:cs="宋体"/>
          <w:color w:val="auto"/>
          <w:spacing w:val="10"/>
          <w:sz w:val="19"/>
          <w:szCs w:val="19"/>
          <w:highlight w:val="none"/>
        </w:rPr>
        <w:t>正常使用和保养条件下，在其使用寿命期内具备合同约定的性能。存在质量保证</w:t>
      </w:r>
      <w:r>
        <w:rPr>
          <w:rFonts w:ascii="宋体" w:hAnsi="宋体" w:eastAsia="宋体" w:cs="宋体"/>
          <w:color w:val="auto"/>
          <w:spacing w:val="9"/>
          <w:sz w:val="19"/>
          <w:szCs w:val="19"/>
          <w:highlight w:val="none"/>
        </w:rPr>
        <w:t>期的，货物最终交付验收合格后在</w:t>
      </w:r>
      <w:r>
        <w:rPr>
          <w:rFonts w:ascii="宋体" w:hAnsi="宋体" w:eastAsia="宋体" w:cs="宋体"/>
          <w:b/>
          <w:bCs/>
          <w:color w:val="auto"/>
          <w:spacing w:val="9"/>
          <w:sz w:val="19"/>
          <w:szCs w:val="19"/>
          <w:highlight w:val="none"/>
        </w:rPr>
        <w:t>【政府采购合同专用条款】</w:t>
      </w:r>
      <w:r>
        <w:rPr>
          <w:rFonts w:ascii="宋体" w:hAnsi="宋体" w:eastAsia="宋体" w:cs="宋体"/>
          <w:color w:val="auto"/>
          <w:spacing w:val="9"/>
          <w:sz w:val="19"/>
          <w:szCs w:val="19"/>
          <w:highlight w:val="none"/>
        </w:rPr>
        <w:t>规定或乙方书面承诺（两者以较长的为准）的质量保证期内，本保证</w:t>
      </w:r>
      <w:r>
        <w:rPr>
          <w:rFonts w:ascii="宋体" w:hAnsi="宋体" w:eastAsia="宋体" w:cs="宋体"/>
          <w:color w:val="auto"/>
          <w:spacing w:val="6"/>
          <w:sz w:val="19"/>
          <w:szCs w:val="19"/>
          <w:highlight w:val="none"/>
        </w:rPr>
        <w:t>保持有效。</w:t>
      </w:r>
    </w:p>
    <w:p w14:paraId="6D741D11">
      <w:pPr>
        <w:spacing w:before="163" w:line="228" w:lineRule="auto"/>
        <w:ind w:left="408"/>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（2）在质量保证期内所发现的缺陷，甲方应尽</w:t>
      </w:r>
      <w:r>
        <w:rPr>
          <w:rFonts w:ascii="宋体" w:hAnsi="宋体" w:eastAsia="宋体" w:cs="宋体"/>
          <w:color w:val="auto"/>
          <w:spacing w:val="7"/>
          <w:sz w:val="19"/>
          <w:szCs w:val="19"/>
          <w:highlight w:val="none"/>
        </w:rPr>
        <w:t>快以书面形式通知乙方。</w:t>
      </w:r>
    </w:p>
    <w:p w14:paraId="76C45FE3">
      <w:pPr>
        <w:spacing w:before="165" w:line="309" w:lineRule="auto"/>
        <w:ind w:left="1" w:right="67" w:firstLine="40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（3）乙方收到通知后，应在</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规定的</w:t>
      </w:r>
      <w:r>
        <w:rPr>
          <w:rFonts w:ascii="宋体" w:hAnsi="宋体" w:eastAsia="宋体" w:cs="宋体"/>
          <w:color w:val="auto"/>
          <w:spacing w:val="7"/>
          <w:sz w:val="19"/>
          <w:szCs w:val="19"/>
          <w:highlight w:val="none"/>
        </w:rPr>
        <w:t>响应时间内以合理的速度免费维修或更</w:t>
      </w:r>
      <w:r>
        <w:rPr>
          <w:rFonts w:ascii="宋体" w:hAnsi="宋体" w:eastAsia="宋体" w:cs="宋体"/>
          <w:color w:val="auto"/>
          <w:spacing w:val="8"/>
          <w:sz w:val="19"/>
          <w:szCs w:val="19"/>
          <w:highlight w:val="none"/>
        </w:rPr>
        <w:t>换有缺陷的货物或部件。</w:t>
      </w:r>
    </w:p>
    <w:p w14:paraId="2494B1EA">
      <w:pPr>
        <w:spacing w:before="164" w:line="309" w:lineRule="auto"/>
        <w:ind w:left="2" w:right="67" w:firstLine="40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410C96C">
      <w:pPr>
        <w:spacing w:before="166" w:line="308" w:lineRule="auto"/>
        <w:ind w:left="25" w:right="13" w:firstLine="38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（5）乙方在约定的时间内未能弥补缺陷，甲方可采取必要的补救措施，但其风险和费用将由乙方承担，</w:t>
      </w:r>
      <w:r>
        <w:rPr>
          <w:rFonts w:ascii="宋体" w:hAnsi="宋体" w:eastAsia="宋体" w:cs="宋体"/>
          <w:color w:val="auto"/>
          <w:spacing w:val="8"/>
          <w:sz w:val="19"/>
          <w:szCs w:val="19"/>
          <w:highlight w:val="none"/>
        </w:rPr>
        <w:t>甲方根据合同约定对乙方行使的其他权利不受影</w:t>
      </w:r>
      <w:r>
        <w:rPr>
          <w:rFonts w:ascii="宋体" w:hAnsi="宋体" w:eastAsia="宋体" w:cs="宋体"/>
          <w:color w:val="auto"/>
          <w:spacing w:val="7"/>
          <w:sz w:val="19"/>
          <w:szCs w:val="19"/>
          <w:highlight w:val="none"/>
        </w:rPr>
        <w:t>响。</w:t>
      </w:r>
    </w:p>
    <w:p w14:paraId="22103E99">
      <w:pPr>
        <w:spacing w:before="130" w:line="220" w:lineRule="auto"/>
        <w:ind w:left="2" w:leftChars="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9.权利瑕疵担保</w:t>
      </w:r>
    </w:p>
    <w:p w14:paraId="4444F1B1">
      <w:pPr>
        <w:spacing w:before="150" w:line="228" w:lineRule="auto"/>
        <w:ind w:left="39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9.1乙方保证对其出售的货物享有合法的权利。</w:t>
      </w:r>
    </w:p>
    <w:p w14:paraId="3089CE34">
      <w:pPr>
        <w:spacing w:before="164" w:line="228" w:lineRule="auto"/>
        <w:ind w:left="39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9.2乙方保证在交付的货物上不存在抵押权等担保物权。</w:t>
      </w:r>
    </w:p>
    <w:p w14:paraId="388D12E1">
      <w:pPr>
        <w:spacing w:before="166" w:line="228" w:lineRule="auto"/>
        <w:ind w:left="39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9.3如甲方使用上述货物构成对第三人侵权的，则由乙方</w:t>
      </w:r>
      <w:r>
        <w:rPr>
          <w:rFonts w:ascii="宋体" w:hAnsi="宋体" w:eastAsia="宋体" w:cs="宋体"/>
          <w:color w:val="auto"/>
          <w:spacing w:val="8"/>
          <w:sz w:val="19"/>
          <w:szCs w:val="19"/>
          <w:highlight w:val="none"/>
        </w:rPr>
        <w:t>承担全部责任。</w:t>
      </w:r>
    </w:p>
    <w:p w14:paraId="39117F66">
      <w:pPr>
        <w:spacing w:before="131" w:line="220" w:lineRule="auto"/>
        <w:ind w:left="19" w:leftChars="0"/>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10.知识产权保护</w:t>
      </w:r>
    </w:p>
    <w:p w14:paraId="70419E54">
      <w:pPr>
        <w:spacing w:before="148" w:line="377" w:lineRule="auto"/>
        <w:ind w:right="67" w:firstLine="413"/>
        <w:jc w:val="both"/>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10.1乙方对其所销售的货物应当享有知识产权或经权利人合法授权，</w:t>
      </w:r>
      <w:r>
        <w:rPr>
          <w:rFonts w:ascii="宋体" w:hAnsi="宋体" w:eastAsia="宋体" w:cs="宋体"/>
          <w:color w:val="auto"/>
          <w:spacing w:val="7"/>
          <w:sz w:val="19"/>
          <w:szCs w:val="19"/>
          <w:highlight w:val="none"/>
        </w:rPr>
        <w:t>保证没有侵犯任何第三人的知识</w:t>
      </w:r>
      <w:r>
        <w:rPr>
          <w:rFonts w:ascii="宋体" w:hAnsi="宋体" w:eastAsia="宋体" w:cs="宋体"/>
          <w:color w:val="auto"/>
          <w:spacing w:val="9"/>
          <w:sz w:val="19"/>
          <w:szCs w:val="19"/>
          <w:highlight w:val="none"/>
        </w:rPr>
        <w:t>产权等权利。因违反前述约定对第三人构成侵权的，应当由乙方向第三人承担法律</w:t>
      </w:r>
      <w:r>
        <w:rPr>
          <w:rFonts w:ascii="宋体" w:hAnsi="宋体" w:eastAsia="宋体" w:cs="宋体"/>
          <w:color w:val="auto"/>
          <w:spacing w:val="8"/>
          <w:sz w:val="19"/>
          <w:szCs w:val="19"/>
          <w:highlight w:val="none"/>
        </w:rPr>
        <w:t>责任；甲方依法向第三人赔偿后，有权向乙方追偿。甲方有其他损失的，乙方应当赔偿。</w:t>
      </w:r>
    </w:p>
    <w:p w14:paraId="2B012E79">
      <w:pPr>
        <w:spacing w:line="220" w:lineRule="auto"/>
        <w:ind w:left="19" w:leftChars="0"/>
        <w:outlineLvl w:val="2"/>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11.保密义务</w:t>
      </w:r>
    </w:p>
    <w:p w14:paraId="4D94B4B8">
      <w:pPr>
        <w:spacing w:before="149" w:line="391" w:lineRule="auto"/>
        <w:ind w:left="16" w:firstLine="396"/>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11.1甲、乙双方对采购和合同履行过程中所获悉的国家秘密、工作秘密、商业秘密或者其他应当保密</w:t>
      </w:r>
      <w:r>
        <w:rPr>
          <w:rFonts w:ascii="宋体" w:hAnsi="宋体" w:eastAsia="宋体" w:cs="宋体"/>
          <w:color w:val="auto"/>
          <w:spacing w:val="8"/>
          <w:sz w:val="19"/>
          <w:szCs w:val="19"/>
          <w:highlight w:val="none"/>
        </w:rPr>
        <w:t>的信息，均有保密义务且不受合同有效期所限，直至</w:t>
      </w:r>
      <w:r>
        <w:rPr>
          <w:rFonts w:ascii="宋体" w:hAnsi="宋体" w:eastAsia="宋体" w:cs="宋体"/>
          <w:color w:val="auto"/>
          <w:spacing w:val="7"/>
          <w:sz w:val="19"/>
          <w:szCs w:val="19"/>
          <w:highlight w:val="none"/>
        </w:rPr>
        <w:t>该信息成为公开信息。泄露、不正当地使用国家秘密、</w:t>
      </w:r>
    </w:p>
    <w:p w14:paraId="6A2DE099">
      <w:pPr>
        <w:spacing w:line="391" w:lineRule="auto"/>
        <w:rPr>
          <w:rFonts w:ascii="宋体" w:hAnsi="宋体" w:eastAsia="宋体" w:cs="宋体"/>
          <w:color w:val="auto"/>
          <w:sz w:val="19"/>
          <w:szCs w:val="19"/>
          <w:highlight w:val="none"/>
        </w:rPr>
        <w:sectPr>
          <w:footerReference r:id="rId27" w:type="default"/>
          <w:pgSz w:w="11906" w:h="16839"/>
          <w:pgMar w:top="1431" w:right="1180" w:bottom="1209" w:left="1426" w:header="0" w:footer="973" w:gutter="0"/>
          <w:pgNumType w:fmt="decimal"/>
          <w:cols w:space="720" w:num="1"/>
        </w:sectPr>
      </w:pPr>
    </w:p>
    <w:p w14:paraId="5531029F">
      <w:pPr>
        <w:spacing w:before="136" w:line="371" w:lineRule="auto"/>
        <w:ind w:right="41" w:firstLine="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工作秘密、商业秘密或者其他应当保密的信息，应当承担相应</w:t>
      </w:r>
      <w:r>
        <w:rPr>
          <w:rFonts w:ascii="宋体" w:hAnsi="宋体" w:eastAsia="宋体" w:cs="宋体"/>
          <w:color w:val="auto"/>
          <w:spacing w:val="9"/>
          <w:sz w:val="19"/>
          <w:szCs w:val="19"/>
          <w:highlight w:val="none"/>
        </w:rPr>
        <w:t>责任。其他应当保密的信息由双方在</w:t>
      </w:r>
      <w:r>
        <w:rPr>
          <w:rFonts w:ascii="宋体" w:hAnsi="宋体" w:eastAsia="宋体" w:cs="宋体"/>
          <w:b/>
          <w:bCs/>
          <w:color w:val="auto"/>
          <w:spacing w:val="9"/>
          <w:sz w:val="19"/>
          <w:szCs w:val="19"/>
          <w:highlight w:val="none"/>
        </w:rPr>
        <w:t>【政府</w:t>
      </w:r>
      <w:r>
        <w:rPr>
          <w:rFonts w:ascii="宋体" w:hAnsi="宋体" w:eastAsia="宋体" w:cs="宋体"/>
          <w:b/>
          <w:bCs/>
          <w:color w:val="auto"/>
          <w:spacing w:val="4"/>
          <w:sz w:val="19"/>
          <w:szCs w:val="19"/>
          <w:highlight w:val="none"/>
        </w:rPr>
        <w:t>采购合同专用条款】</w:t>
      </w:r>
      <w:r>
        <w:rPr>
          <w:rFonts w:ascii="宋体" w:hAnsi="宋体" w:eastAsia="宋体" w:cs="宋体"/>
          <w:color w:val="auto"/>
          <w:spacing w:val="4"/>
          <w:sz w:val="19"/>
          <w:szCs w:val="19"/>
          <w:highlight w:val="none"/>
        </w:rPr>
        <w:t>中约定。</w:t>
      </w:r>
    </w:p>
    <w:p w14:paraId="24BA731F">
      <w:pPr>
        <w:spacing w:line="218"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12.合同价款支付</w:t>
      </w:r>
    </w:p>
    <w:p w14:paraId="211BBEE3">
      <w:pPr>
        <w:spacing w:before="152" w:line="227" w:lineRule="auto"/>
        <w:ind w:left="41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12.1合同价款支付按照国库集中支付制度及财政管理相关规定执行。</w:t>
      </w:r>
    </w:p>
    <w:p w14:paraId="023FC838">
      <w:pPr>
        <w:spacing w:before="65" w:line="228" w:lineRule="auto"/>
        <w:ind w:right="2" w:rightChars="0"/>
        <w:jc w:val="right"/>
        <w:outlineLvl w:val="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12.2对于满足合同约定支付条件的，甲方原则上应当自收到发票后10个工作日内将资金支付到</w:t>
      </w:r>
    </w:p>
    <w:p w14:paraId="0814D2F3">
      <w:pPr>
        <w:spacing w:before="150" w:line="370" w:lineRule="auto"/>
        <w:ind w:left="6" w:hanging="4"/>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合同约定的</w:t>
      </w:r>
      <w:r>
        <w:rPr>
          <w:rFonts w:ascii="黑体" w:hAnsi="黑体" w:eastAsia="黑体" w:cs="黑体"/>
          <w:color w:val="auto"/>
          <w:spacing w:val="10"/>
          <w:sz w:val="20"/>
          <w:szCs w:val="20"/>
          <w:highlight w:val="none"/>
        </w:rPr>
        <w:t>乙方</w:t>
      </w:r>
      <w:r>
        <w:rPr>
          <w:rFonts w:ascii="宋体" w:hAnsi="宋体" w:eastAsia="宋体" w:cs="宋体"/>
          <w:color w:val="auto"/>
          <w:spacing w:val="10"/>
          <w:sz w:val="20"/>
          <w:szCs w:val="20"/>
          <w:highlight w:val="none"/>
        </w:rPr>
        <w:t>账户，不得以机构变动、人员更替、政策调整等为由迟</w:t>
      </w:r>
      <w:r>
        <w:rPr>
          <w:rFonts w:ascii="宋体" w:hAnsi="宋体" w:eastAsia="宋体" w:cs="宋体"/>
          <w:color w:val="auto"/>
          <w:spacing w:val="9"/>
          <w:sz w:val="20"/>
          <w:szCs w:val="20"/>
          <w:highlight w:val="none"/>
        </w:rPr>
        <w:t>延付款，不得将采购文件和合同中未规定的义务作为向乙方付款的条件。具体合同价款支付时间在【</w:t>
      </w:r>
      <w:r>
        <w:rPr>
          <w:rFonts w:ascii="宋体" w:hAnsi="宋体" w:eastAsia="宋体" w:cs="宋体"/>
          <w:b/>
          <w:bCs/>
          <w:color w:val="auto"/>
          <w:spacing w:val="9"/>
          <w:sz w:val="20"/>
          <w:szCs w:val="20"/>
          <w:highlight w:val="none"/>
        </w:rPr>
        <w:t>政府采购合同专用条款</w:t>
      </w:r>
      <w:r>
        <w:rPr>
          <w:rFonts w:ascii="宋体" w:hAnsi="宋体" w:eastAsia="宋体" w:cs="宋体"/>
          <w:color w:val="auto"/>
          <w:spacing w:val="9"/>
          <w:sz w:val="20"/>
          <w:szCs w:val="20"/>
          <w:highlight w:val="none"/>
        </w:rPr>
        <w:t>】中</w:t>
      </w:r>
      <w:r>
        <w:rPr>
          <w:rFonts w:ascii="黑体" w:hAnsi="黑体" w:eastAsia="黑体" w:cs="黑体"/>
          <w:color w:val="auto"/>
          <w:spacing w:val="9"/>
          <w:sz w:val="20"/>
          <w:szCs w:val="20"/>
          <w:highlight w:val="none"/>
        </w:rPr>
        <w:t>约</w:t>
      </w:r>
      <w:r>
        <w:rPr>
          <w:rFonts w:ascii="宋体" w:hAnsi="宋体" w:eastAsia="宋体" w:cs="宋体"/>
          <w:color w:val="auto"/>
          <w:spacing w:val="-3"/>
          <w:sz w:val="20"/>
          <w:szCs w:val="20"/>
          <w:highlight w:val="none"/>
        </w:rPr>
        <w:t>定。</w:t>
      </w:r>
    </w:p>
    <w:p w14:paraId="3922B1D7">
      <w:pPr>
        <w:spacing w:before="233" w:line="221"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13.履约保证金</w:t>
      </w:r>
    </w:p>
    <w:p w14:paraId="4E07C183">
      <w:pPr>
        <w:spacing w:before="149" w:line="228" w:lineRule="auto"/>
        <w:ind w:left="413"/>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13.1乙方应当以支票、汇票、本票或者金融机构、担保</w:t>
      </w:r>
      <w:r>
        <w:rPr>
          <w:rFonts w:ascii="宋体" w:hAnsi="宋体" w:eastAsia="宋体" w:cs="宋体"/>
          <w:color w:val="auto"/>
          <w:spacing w:val="8"/>
          <w:sz w:val="19"/>
          <w:szCs w:val="19"/>
          <w:highlight w:val="none"/>
        </w:rPr>
        <w:t>机构出具的保函等非现金形式提交。</w:t>
      </w:r>
    </w:p>
    <w:p w14:paraId="18E96A3F">
      <w:pPr>
        <w:spacing w:before="164" w:line="336" w:lineRule="auto"/>
        <w:ind w:firstLine="41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13.2如果乙方出现</w:t>
      </w:r>
      <w:r>
        <w:rPr>
          <w:rFonts w:ascii="宋体" w:hAnsi="宋体" w:eastAsia="宋体" w:cs="宋体"/>
          <w:b/>
          <w:bCs/>
          <w:color w:val="auto"/>
          <w:spacing w:val="7"/>
          <w:sz w:val="19"/>
          <w:szCs w:val="19"/>
          <w:highlight w:val="none"/>
        </w:rPr>
        <w:t>【政府采购合同专用条款】</w:t>
      </w:r>
      <w:r>
        <w:rPr>
          <w:rFonts w:ascii="宋体" w:hAnsi="宋体" w:eastAsia="宋体" w:cs="宋体"/>
          <w:color w:val="auto"/>
          <w:spacing w:val="7"/>
          <w:sz w:val="19"/>
          <w:szCs w:val="19"/>
          <w:highlight w:val="none"/>
        </w:rPr>
        <w:t>约定情形的，履约保证金不予退还；如果乙方未能按合</w:t>
      </w:r>
      <w:r>
        <w:rPr>
          <w:rFonts w:ascii="宋体" w:hAnsi="宋体" w:eastAsia="宋体" w:cs="宋体"/>
          <w:color w:val="auto"/>
          <w:spacing w:val="9"/>
          <w:sz w:val="19"/>
          <w:szCs w:val="19"/>
          <w:highlight w:val="none"/>
        </w:rPr>
        <w:t>同约定全面履行义务，甲方有权从履约保证金中取得补偿或赔偿，且不影响甲方要求乙方承担合同约</w:t>
      </w:r>
      <w:r>
        <w:rPr>
          <w:rFonts w:ascii="宋体" w:hAnsi="宋体" w:eastAsia="宋体" w:cs="宋体"/>
          <w:color w:val="auto"/>
          <w:spacing w:val="8"/>
          <w:sz w:val="19"/>
          <w:szCs w:val="19"/>
          <w:highlight w:val="none"/>
        </w:rPr>
        <w:t>定的超过履约保证金的违约责任的权利。</w:t>
      </w:r>
    </w:p>
    <w:p w14:paraId="4C7BAF65">
      <w:pPr>
        <w:spacing w:before="162" w:line="309" w:lineRule="auto"/>
        <w:ind w:left="3" w:firstLine="432"/>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13.3甲方在项目通过验收后按照</w:t>
      </w:r>
      <w:r>
        <w:rPr>
          <w:rFonts w:ascii="宋体" w:hAnsi="宋体" w:eastAsia="宋体" w:cs="宋体"/>
          <w:b/>
          <w:bCs/>
          <w:color w:val="auto"/>
          <w:spacing w:val="6"/>
          <w:sz w:val="19"/>
          <w:szCs w:val="19"/>
          <w:highlight w:val="none"/>
        </w:rPr>
        <w:t>【政府采购合同专用条款】</w:t>
      </w:r>
      <w:r>
        <w:rPr>
          <w:rFonts w:ascii="宋体" w:hAnsi="宋体" w:eastAsia="宋体" w:cs="宋体"/>
          <w:color w:val="auto"/>
          <w:spacing w:val="6"/>
          <w:sz w:val="19"/>
          <w:szCs w:val="19"/>
          <w:highlight w:val="none"/>
        </w:rPr>
        <w:t>规定的时间内将履约保证金退还乙方；逾</w:t>
      </w:r>
      <w:r>
        <w:rPr>
          <w:rFonts w:ascii="宋体" w:hAnsi="宋体" w:eastAsia="宋体" w:cs="宋体"/>
          <w:color w:val="auto"/>
          <w:spacing w:val="9"/>
          <w:sz w:val="19"/>
          <w:szCs w:val="19"/>
          <w:highlight w:val="none"/>
        </w:rPr>
        <w:t>期退还的，乙方可要求甲方支付违约金，违约金按照</w:t>
      </w:r>
      <w:r>
        <w:rPr>
          <w:rFonts w:ascii="宋体" w:hAnsi="宋体" w:eastAsia="宋体" w:cs="宋体"/>
          <w:b/>
          <w:bCs/>
          <w:color w:val="auto"/>
          <w:spacing w:val="9"/>
          <w:sz w:val="19"/>
          <w:szCs w:val="19"/>
          <w:highlight w:val="none"/>
        </w:rPr>
        <w:t>【政府采购合同专用条款】</w:t>
      </w:r>
      <w:r>
        <w:rPr>
          <w:rFonts w:ascii="宋体" w:hAnsi="宋体" w:eastAsia="宋体" w:cs="宋体"/>
          <w:color w:val="auto"/>
          <w:spacing w:val="9"/>
          <w:sz w:val="19"/>
          <w:szCs w:val="19"/>
          <w:highlight w:val="none"/>
        </w:rPr>
        <w:t>规定支付。</w:t>
      </w:r>
    </w:p>
    <w:p w14:paraId="0C66D9FD">
      <w:pPr>
        <w:spacing w:before="131" w:line="220"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14.售后服务</w:t>
      </w:r>
    </w:p>
    <w:p w14:paraId="6B91C3D3">
      <w:pPr>
        <w:spacing w:before="148" w:line="228" w:lineRule="auto"/>
        <w:ind w:left="41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14.1除项目不涉及或采购活动中明确约定无须承担外，乙方还应提供下列服务：</w:t>
      </w:r>
    </w:p>
    <w:p w14:paraId="14175B8D">
      <w:pPr>
        <w:spacing w:before="166" w:line="228" w:lineRule="auto"/>
        <w:ind w:left="409"/>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（1）货物的现场移动、安装、调试、启动</w:t>
      </w:r>
      <w:r>
        <w:rPr>
          <w:rFonts w:ascii="宋体" w:hAnsi="宋体" w:eastAsia="宋体" w:cs="宋体"/>
          <w:color w:val="auto"/>
          <w:spacing w:val="8"/>
          <w:sz w:val="19"/>
          <w:szCs w:val="19"/>
          <w:highlight w:val="none"/>
        </w:rPr>
        <w:t>监督及技术支持；</w:t>
      </w:r>
    </w:p>
    <w:p w14:paraId="546BBEDE">
      <w:pPr>
        <w:spacing w:before="166" w:line="228"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（2）提供货物组装和维修所需的专用工具和辅助材料；</w:t>
      </w:r>
    </w:p>
    <w:p w14:paraId="5E34D9DD">
      <w:pPr>
        <w:spacing w:before="164" w:line="309" w:lineRule="auto"/>
        <w:ind w:firstLine="408"/>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（3）在</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约定的期限内对所有的货物</w:t>
      </w:r>
      <w:r>
        <w:rPr>
          <w:rFonts w:ascii="宋体" w:hAnsi="宋体" w:eastAsia="宋体" w:cs="宋体"/>
          <w:color w:val="auto"/>
          <w:spacing w:val="7"/>
          <w:sz w:val="19"/>
          <w:szCs w:val="19"/>
          <w:highlight w:val="none"/>
        </w:rPr>
        <w:t>实施运行监督、维修，但前提条件是该</w:t>
      </w:r>
      <w:r>
        <w:rPr>
          <w:rFonts w:ascii="宋体" w:hAnsi="宋体" w:eastAsia="宋体" w:cs="宋体"/>
          <w:color w:val="auto"/>
          <w:spacing w:val="9"/>
          <w:sz w:val="19"/>
          <w:szCs w:val="19"/>
          <w:highlight w:val="none"/>
        </w:rPr>
        <w:t>服务并不能免除乙方在质量保证期内所承担的义务；</w:t>
      </w:r>
    </w:p>
    <w:p w14:paraId="794C0063">
      <w:pPr>
        <w:spacing w:before="166" w:line="308" w:lineRule="auto"/>
        <w:ind w:left="1" w:firstLine="40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（4）在制造商所在地或指定现场就货物的安装、启动、运营、维护、废弃处置等对甲方操作人员进行</w:t>
      </w:r>
      <w:r>
        <w:rPr>
          <w:rFonts w:ascii="宋体" w:hAnsi="宋体" w:eastAsia="宋体" w:cs="宋体"/>
          <w:color w:val="auto"/>
          <w:spacing w:val="3"/>
          <w:sz w:val="19"/>
          <w:szCs w:val="19"/>
          <w:highlight w:val="none"/>
        </w:rPr>
        <w:t>培训；</w:t>
      </w:r>
    </w:p>
    <w:p w14:paraId="57805245">
      <w:pPr>
        <w:spacing w:before="155" w:line="298" w:lineRule="auto"/>
        <w:ind w:left="15" w:right="98"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（5）依照法律、行政法规的规定或者按照</w:t>
      </w:r>
      <w:r>
        <w:rPr>
          <w:rFonts w:ascii="宋体" w:hAnsi="宋体" w:eastAsia="宋体" w:cs="宋体"/>
          <w:b/>
          <w:bCs/>
          <w:color w:val="auto"/>
          <w:spacing w:val="9"/>
          <w:sz w:val="20"/>
          <w:szCs w:val="20"/>
          <w:highlight w:val="none"/>
        </w:rPr>
        <w:t>【政府采购合同专用条款】</w:t>
      </w:r>
      <w:r>
        <w:rPr>
          <w:rFonts w:ascii="宋体" w:hAnsi="宋体" w:eastAsia="宋体" w:cs="宋体"/>
          <w:color w:val="auto"/>
          <w:spacing w:val="9"/>
          <w:sz w:val="20"/>
          <w:szCs w:val="20"/>
          <w:highlight w:val="none"/>
        </w:rPr>
        <w:t>约定，货物在有效使用年限届满后应予回收的，乙方负有自行或者委托第三人对货物予以回收的义</w:t>
      </w:r>
      <w:r>
        <w:rPr>
          <w:rFonts w:ascii="宋体" w:hAnsi="宋体" w:eastAsia="宋体" w:cs="宋体"/>
          <w:color w:val="auto"/>
          <w:spacing w:val="8"/>
          <w:sz w:val="20"/>
          <w:szCs w:val="20"/>
          <w:highlight w:val="none"/>
        </w:rPr>
        <w:t>务；</w:t>
      </w:r>
    </w:p>
    <w:p w14:paraId="29E1BF5D">
      <w:pPr>
        <w:spacing w:before="163" w:line="228" w:lineRule="auto"/>
        <w:ind w:left="409" w:leftChars="0"/>
        <w:outlineLvl w:val="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（6）</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规定由乙方提供的其他服务。</w:t>
      </w:r>
    </w:p>
    <w:p w14:paraId="259753E0">
      <w:pPr>
        <w:spacing w:before="166" w:line="227" w:lineRule="auto"/>
        <w:ind w:left="413"/>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14.2乙方提供的售后服务的费用已包含在合同</w:t>
      </w:r>
      <w:r>
        <w:rPr>
          <w:rFonts w:ascii="宋体" w:hAnsi="宋体" w:eastAsia="宋体" w:cs="宋体"/>
          <w:color w:val="auto"/>
          <w:spacing w:val="6"/>
          <w:sz w:val="19"/>
          <w:szCs w:val="19"/>
          <w:highlight w:val="none"/>
        </w:rPr>
        <w:t>价款中，甲方不再另行支付。</w:t>
      </w:r>
    </w:p>
    <w:p w14:paraId="022262CD">
      <w:pPr>
        <w:spacing w:before="132" w:line="220"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15.违约责任</w:t>
      </w:r>
    </w:p>
    <w:p w14:paraId="2691C756">
      <w:pPr>
        <w:spacing w:before="147" w:line="229" w:lineRule="auto"/>
        <w:ind w:left="413" w:leftChars="0"/>
        <w:outlineLvl w:val="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15.1质量瑕疵的违约责任</w:t>
      </w:r>
    </w:p>
    <w:p w14:paraId="3D6D5014">
      <w:pPr>
        <w:spacing w:before="166" w:line="388" w:lineRule="auto"/>
        <w:ind w:left="1" w:right="38" w:firstLine="41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乙方提供的产品不符合合同约定的质量标准或存在产品质量缺陷，甲方有权要求乙方根据</w:t>
      </w:r>
      <w:r>
        <w:rPr>
          <w:rFonts w:ascii="宋体" w:hAnsi="宋体" w:eastAsia="宋体" w:cs="宋体"/>
          <w:b/>
          <w:bCs/>
          <w:color w:val="auto"/>
          <w:spacing w:val="8"/>
          <w:sz w:val="19"/>
          <w:szCs w:val="19"/>
          <w:highlight w:val="none"/>
        </w:rPr>
        <w:t>【政府采购</w:t>
      </w:r>
      <w:r>
        <w:rPr>
          <w:rFonts w:ascii="宋体" w:hAnsi="宋体" w:eastAsia="宋体" w:cs="宋体"/>
          <w:b/>
          <w:bCs/>
          <w:color w:val="auto"/>
          <w:spacing w:val="9"/>
          <w:sz w:val="19"/>
          <w:szCs w:val="19"/>
          <w:highlight w:val="none"/>
        </w:rPr>
        <w:t>合同专用条款】</w:t>
      </w:r>
      <w:r>
        <w:rPr>
          <w:rFonts w:ascii="宋体" w:hAnsi="宋体" w:eastAsia="宋体" w:cs="宋体"/>
          <w:color w:val="auto"/>
          <w:spacing w:val="9"/>
          <w:sz w:val="19"/>
          <w:szCs w:val="19"/>
          <w:highlight w:val="none"/>
        </w:rPr>
        <w:t>要求及时修理、重作、更换，并承担由此给甲方造成的损失。</w:t>
      </w:r>
    </w:p>
    <w:p w14:paraId="32D52AD0">
      <w:pPr>
        <w:spacing w:line="228" w:lineRule="auto"/>
        <w:ind w:left="413" w:leftChars="0"/>
        <w:outlineLvl w:val="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15.2迟延交货的违约责任</w:t>
      </w:r>
    </w:p>
    <w:p w14:paraId="7AED85C8">
      <w:pPr>
        <w:spacing w:line="228" w:lineRule="auto"/>
        <w:rPr>
          <w:rFonts w:ascii="宋体" w:hAnsi="宋体" w:eastAsia="宋体" w:cs="宋体"/>
          <w:color w:val="auto"/>
          <w:sz w:val="19"/>
          <w:szCs w:val="19"/>
          <w:highlight w:val="none"/>
        </w:rPr>
        <w:sectPr>
          <w:footerReference r:id="rId28" w:type="default"/>
          <w:pgSz w:w="11906" w:h="16839"/>
          <w:pgMar w:top="1431" w:right="1247" w:bottom="1209" w:left="1425" w:header="0" w:footer="973" w:gutter="0"/>
          <w:pgNumType w:fmt="decimal"/>
          <w:cols w:space="720" w:num="1"/>
        </w:sectPr>
      </w:pPr>
    </w:p>
    <w:p w14:paraId="378270F5">
      <w:pPr>
        <w:spacing w:before="135" w:line="335" w:lineRule="auto"/>
        <w:ind w:left="8" w:firstLine="400"/>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（1）乙方应按照本合同规定的时间、地点交货和提供相关服务。在履行合同过程中，如果乙方遇到可能影响按时交货和提供服务的情形时，应及时以书面形式将迟延的事实、</w:t>
      </w:r>
      <w:r>
        <w:rPr>
          <w:rFonts w:ascii="宋体" w:hAnsi="宋体" w:eastAsia="宋体" w:cs="宋体"/>
          <w:color w:val="auto"/>
          <w:spacing w:val="7"/>
          <w:sz w:val="19"/>
          <w:szCs w:val="19"/>
          <w:highlight w:val="none"/>
        </w:rPr>
        <w:t>可能迟延的期限和理由通知甲方。</w:t>
      </w:r>
      <w:r>
        <w:rPr>
          <w:rFonts w:ascii="宋体" w:hAnsi="宋体" w:eastAsia="宋体" w:cs="宋体"/>
          <w:color w:val="auto"/>
          <w:spacing w:val="9"/>
          <w:sz w:val="19"/>
          <w:szCs w:val="19"/>
          <w:highlight w:val="none"/>
        </w:rPr>
        <w:t>甲方在收到乙方通知后，应尽快对情况进行评价，并确定是否同意延长交货时间或延期提供服务。</w:t>
      </w:r>
    </w:p>
    <w:p w14:paraId="65F50DD3">
      <w:pPr>
        <w:spacing w:before="166" w:line="335" w:lineRule="auto"/>
        <w:ind w:right="68" w:firstLine="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（2）如果乙方没有按照合同规定的时间交货和提供相关服务，甲方有权从货款中扣除误期赔偿费而不</w:t>
      </w:r>
      <w:r>
        <w:rPr>
          <w:rFonts w:ascii="宋体" w:hAnsi="宋体" w:eastAsia="宋体" w:cs="宋体"/>
          <w:color w:val="auto"/>
          <w:spacing w:val="10"/>
          <w:sz w:val="19"/>
          <w:szCs w:val="19"/>
          <w:highlight w:val="none"/>
        </w:rPr>
        <w:t>影响合同项下的其他补救方法，赔偿费按</w:t>
      </w:r>
      <w:r>
        <w:rPr>
          <w:rFonts w:ascii="宋体" w:hAnsi="宋体" w:eastAsia="宋体" w:cs="宋体"/>
          <w:b/>
          <w:bCs/>
          <w:color w:val="auto"/>
          <w:spacing w:val="10"/>
          <w:sz w:val="19"/>
          <w:szCs w:val="19"/>
          <w:highlight w:val="none"/>
        </w:rPr>
        <w:t>【政府采</w:t>
      </w:r>
      <w:r>
        <w:rPr>
          <w:rFonts w:ascii="宋体" w:hAnsi="宋体" w:eastAsia="宋体" w:cs="宋体"/>
          <w:b/>
          <w:bCs/>
          <w:color w:val="auto"/>
          <w:spacing w:val="9"/>
          <w:sz w:val="19"/>
          <w:szCs w:val="19"/>
          <w:highlight w:val="none"/>
        </w:rPr>
        <w:t>购合同专用条款】</w:t>
      </w:r>
      <w:r>
        <w:rPr>
          <w:rFonts w:ascii="宋体" w:hAnsi="宋体" w:eastAsia="宋体" w:cs="宋体"/>
          <w:color w:val="auto"/>
          <w:spacing w:val="9"/>
          <w:sz w:val="19"/>
          <w:szCs w:val="19"/>
          <w:highlight w:val="none"/>
        </w:rPr>
        <w:t>规定执行。如果涉及公共利益，且赔</w:t>
      </w:r>
      <w:r>
        <w:rPr>
          <w:rFonts w:ascii="宋体" w:hAnsi="宋体" w:eastAsia="宋体" w:cs="宋体"/>
          <w:color w:val="auto"/>
          <w:spacing w:val="8"/>
          <w:sz w:val="19"/>
          <w:szCs w:val="19"/>
          <w:highlight w:val="none"/>
        </w:rPr>
        <w:t>偿金额无法弥补公共利益损失，甲方可要求继续履行或者采取其他补救措施。</w:t>
      </w:r>
    </w:p>
    <w:p w14:paraId="44931929">
      <w:pPr>
        <w:spacing w:before="165" w:line="229" w:lineRule="auto"/>
        <w:ind w:left="413" w:leftChars="0"/>
        <w:outlineLvl w:val="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15.3迟延支付的违约责任</w:t>
      </w:r>
    </w:p>
    <w:p w14:paraId="07F4F9D7">
      <w:pPr>
        <w:spacing w:before="165" w:line="228" w:lineRule="auto"/>
        <w:ind w:left="424"/>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甲方存在迟延支付乙方合同款项的，应当承担</w:t>
      </w:r>
      <w:r>
        <w:rPr>
          <w:rFonts w:ascii="宋体" w:hAnsi="宋体" w:eastAsia="宋体" w:cs="宋体"/>
          <w:b/>
          <w:bCs/>
          <w:color w:val="auto"/>
          <w:spacing w:val="9"/>
          <w:sz w:val="19"/>
          <w:szCs w:val="19"/>
          <w:highlight w:val="none"/>
        </w:rPr>
        <w:t>【政府采购</w:t>
      </w:r>
      <w:r>
        <w:rPr>
          <w:rFonts w:ascii="宋体" w:hAnsi="宋体" w:eastAsia="宋体" w:cs="宋体"/>
          <w:b/>
          <w:bCs/>
          <w:color w:val="auto"/>
          <w:spacing w:val="8"/>
          <w:sz w:val="19"/>
          <w:szCs w:val="19"/>
          <w:highlight w:val="none"/>
        </w:rPr>
        <w:t>合同专用条款】</w:t>
      </w:r>
      <w:r>
        <w:rPr>
          <w:rFonts w:ascii="宋体" w:hAnsi="宋体" w:eastAsia="宋体" w:cs="宋体"/>
          <w:color w:val="auto"/>
          <w:spacing w:val="8"/>
          <w:sz w:val="19"/>
          <w:szCs w:val="19"/>
          <w:highlight w:val="none"/>
        </w:rPr>
        <w:t>规定的逾期付款利息。</w:t>
      </w:r>
    </w:p>
    <w:p w14:paraId="7AFCA422">
      <w:pPr>
        <w:spacing w:before="163" w:line="228" w:lineRule="auto"/>
        <w:ind w:left="41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15.4其他违约责任根据项目实际需要按</w:t>
      </w:r>
      <w:r>
        <w:rPr>
          <w:rFonts w:ascii="宋体" w:hAnsi="宋体" w:eastAsia="宋体" w:cs="宋体"/>
          <w:b/>
          <w:bCs/>
          <w:color w:val="auto"/>
          <w:spacing w:val="8"/>
          <w:sz w:val="19"/>
          <w:szCs w:val="19"/>
          <w:highlight w:val="none"/>
        </w:rPr>
        <w:t>【政府采购合同专用条款】</w:t>
      </w:r>
      <w:r>
        <w:rPr>
          <w:rFonts w:ascii="宋体" w:hAnsi="宋体" w:eastAsia="宋体" w:cs="宋体"/>
          <w:color w:val="auto"/>
          <w:spacing w:val="8"/>
          <w:sz w:val="19"/>
          <w:szCs w:val="19"/>
          <w:highlight w:val="none"/>
        </w:rPr>
        <w:t>规</w:t>
      </w:r>
      <w:r>
        <w:rPr>
          <w:rFonts w:ascii="宋体" w:hAnsi="宋体" w:eastAsia="宋体" w:cs="宋体"/>
          <w:color w:val="auto"/>
          <w:spacing w:val="7"/>
          <w:sz w:val="19"/>
          <w:szCs w:val="19"/>
          <w:highlight w:val="none"/>
        </w:rPr>
        <w:t>定执行。</w:t>
      </w:r>
    </w:p>
    <w:p w14:paraId="309EC16E">
      <w:pPr>
        <w:spacing w:before="131" w:line="221"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16.合同变更、中止与终止</w:t>
      </w:r>
    </w:p>
    <w:p w14:paraId="3BFBA497">
      <w:pPr>
        <w:spacing w:before="149" w:line="230" w:lineRule="auto"/>
        <w:ind w:left="413" w:leftChars="0"/>
        <w:outlineLvl w:val="3"/>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16.1合同的变更</w:t>
      </w:r>
    </w:p>
    <w:p w14:paraId="19DF0925">
      <w:pPr>
        <w:spacing w:before="162" w:line="389" w:lineRule="auto"/>
        <w:ind w:left="1" w:right="68" w:firstLine="39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政府采购合同履行中，在不改变合同其他条款的前提下，甲方可以在合同价款10%的范围内追加与合同</w:t>
      </w:r>
      <w:r>
        <w:rPr>
          <w:rFonts w:ascii="宋体" w:hAnsi="宋体" w:eastAsia="宋体" w:cs="宋体"/>
          <w:color w:val="auto"/>
          <w:spacing w:val="9"/>
          <w:sz w:val="19"/>
          <w:szCs w:val="19"/>
          <w:highlight w:val="none"/>
        </w:rPr>
        <w:t>标的相同的货物，并就此与乙方协商一致后签订补充协议。</w:t>
      </w:r>
    </w:p>
    <w:p w14:paraId="1D46B664">
      <w:pPr>
        <w:spacing w:before="1" w:line="229" w:lineRule="auto"/>
        <w:ind w:left="413" w:leftChars="0"/>
        <w:outlineLvl w:val="3"/>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16.2合同的中止</w:t>
      </w:r>
    </w:p>
    <w:p w14:paraId="4D6C2DC7">
      <w:pPr>
        <w:spacing w:before="161" w:line="310" w:lineRule="auto"/>
        <w:ind w:left="1" w:right="68" w:firstLine="40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（1）合同履行过程中因供应商就采购文件、采购过程或结果提起投诉的，甲方认为有必要的，可以中</w:t>
      </w:r>
      <w:r>
        <w:rPr>
          <w:rFonts w:ascii="宋体" w:hAnsi="宋体" w:eastAsia="宋体" w:cs="宋体"/>
          <w:color w:val="auto"/>
          <w:spacing w:val="7"/>
          <w:sz w:val="19"/>
          <w:szCs w:val="19"/>
          <w:highlight w:val="none"/>
        </w:rPr>
        <w:t>止合同的履行。</w:t>
      </w:r>
    </w:p>
    <w:p w14:paraId="28C256EA">
      <w:pPr>
        <w:spacing w:before="167" w:line="356" w:lineRule="auto"/>
        <w:ind w:left="2" w:right="68" w:firstLine="40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（2）合同履行过程中，如果乙方出现以下情形之一的：1．经营状况严重恶化；2．转移财产、抽逃资</w:t>
      </w:r>
      <w:r>
        <w:rPr>
          <w:rFonts w:ascii="宋体" w:hAnsi="宋体" w:eastAsia="宋体" w:cs="宋体"/>
          <w:color w:val="auto"/>
          <w:spacing w:val="10"/>
          <w:sz w:val="19"/>
          <w:szCs w:val="19"/>
          <w:highlight w:val="none"/>
        </w:rPr>
        <w:t>金，以逃避债务；3．丧失商业信誉；4．有丧失或者可</w:t>
      </w:r>
      <w:r>
        <w:rPr>
          <w:rFonts w:ascii="宋体" w:hAnsi="宋体" w:eastAsia="宋体" w:cs="宋体"/>
          <w:color w:val="auto"/>
          <w:spacing w:val="9"/>
          <w:sz w:val="19"/>
          <w:szCs w:val="19"/>
          <w:highlight w:val="none"/>
        </w:rPr>
        <w:t>能丧失履约能力的其他情形，乙方有义务及时告知甲方。甲方有权以书面形式通知乙方中止合同并要求乙方在合理期限内消除相关情形或者提供适当担保。</w:t>
      </w:r>
      <w:r>
        <w:rPr>
          <w:rFonts w:ascii="宋体" w:hAnsi="宋体" w:eastAsia="宋体" w:cs="宋体"/>
          <w:color w:val="auto"/>
          <w:spacing w:val="10"/>
          <w:sz w:val="19"/>
          <w:szCs w:val="19"/>
          <w:highlight w:val="none"/>
        </w:rPr>
        <w:t>乙方提供适当担保的，合同继续履行；乙方在合理期限内未恢复履约能力且未</w:t>
      </w:r>
      <w:r>
        <w:rPr>
          <w:rFonts w:ascii="宋体" w:hAnsi="宋体" w:eastAsia="宋体" w:cs="宋体"/>
          <w:color w:val="auto"/>
          <w:spacing w:val="9"/>
          <w:sz w:val="19"/>
          <w:szCs w:val="19"/>
          <w:highlight w:val="none"/>
        </w:rPr>
        <w:t>提供适当担保的，视为拒绝</w:t>
      </w:r>
      <w:r>
        <w:rPr>
          <w:rFonts w:ascii="宋体" w:hAnsi="宋体" w:eastAsia="宋体" w:cs="宋体"/>
          <w:color w:val="auto"/>
          <w:spacing w:val="8"/>
          <w:sz w:val="19"/>
          <w:szCs w:val="19"/>
          <w:highlight w:val="none"/>
        </w:rPr>
        <w:t>继续履约，甲方有权解除合同并要求乙方承担由此给甲方造成的损失。</w:t>
      </w:r>
    </w:p>
    <w:p w14:paraId="5CC2560B">
      <w:pPr>
        <w:spacing w:before="157" w:line="298" w:lineRule="auto"/>
        <w:ind w:left="1" w:right="14"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（3）乙方分立、合并或者变更住所的，应当及时以书面形式告知甲方。乙方没有及时告知甲方，致使合同履行发生困难的，甲方可以中止合同履行并要求乙方承担由此给甲方造成的损失。</w:t>
      </w:r>
    </w:p>
    <w:p w14:paraId="62109EF4">
      <w:pPr>
        <w:spacing w:before="162" w:line="228"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（4）甲方不得以行政区划调整、政府换届、机构或者职能调整以及相关责任人更替为由中止合同。</w:t>
      </w:r>
    </w:p>
    <w:p w14:paraId="38DF306F">
      <w:pPr>
        <w:spacing w:before="166" w:line="231" w:lineRule="auto"/>
        <w:ind w:left="413" w:leftChars="0"/>
        <w:outlineLvl w:val="3"/>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16.3合同的终止</w:t>
      </w:r>
    </w:p>
    <w:p w14:paraId="205FC6F3">
      <w:pPr>
        <w:spacing w:before="163" w:line="229" w:lineRule="auto"/>
        <w:ind w:left="409" w:leftChars="0"/>
        <w:outlineLvl w:val="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（1）合同因有效期限届满而终止；</w:t>
      </w:r>
    </w:p>
    <w:p w14:paraId="30B9C7D0">
      <w:pPr>
        <w:spacing w:before="163" w:line="228" w:lineRule="auto"/>
        <w:ind w:left="40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（2）乙方未按合同约定履行，构成根本性违约的，甲方有权终止合同，并追究乙方的违约责任。</w:t>
      </w:r>
    </w:p>
    <w:p w14:paraId="74B0ABF5">
      <w:pPr>
        <w:spacing w:before="147" w:line="222" w:lineRule="auto"/>
        <w:ind w:left="457" w:leftChars="0"/>
        <w:outlineLvl w:val="3"/>
        <w:rPr>
          <w:rFonts w:ascii="宋体" w:hAnsi="宋体" w:eastAsia="宋体" w:cs="宋体"/>
          <w:color w:val="auto"/>
          <w:sz w:val="20"/>
          <w:szCs w:val="20"/>
          <w:highlight w:val="none"/>
        </w:rPr>
      </w:pPr>
      <w:r>
        <w:rPr>
          <w:rFonts w:ascii="宋体" w:hAnsi="宋体" w:eastAsia="宋体" w:cs="宋体"/>
          <w:color w:val="auto"/>
          <w:spacing w:val="6"/>
          <w:sz w:val="22"/>
          <w:szCs w:val="22"/>
          <w:highlight w:val="none"/>
        </w:rPr>
        <w:t>16.4</w:t>
      </w:r>
      <w:r>
        <w:rPr>
          <w:rFonts w:ascii="宋体" w:hAnsi="宋体" w:eastAsia="宋体" w:cs="宋体"/>
          <w:color w:val="auto"/>
          <w:spacing w:val="6"/>
          <w:sz w:val="20"/>
          <w:szCs w:val="20"/>
          <w:highlight w:val="none"/>
        </w:rPr>
        <w:t>涉及国家利益、社会公共利益的情形</w:t>
      </w:r>
    </w:p>
    <w:p w14:paraId="7F2CBF5C">
      <w:pPr>
        <w:spacing w:before="143" w:line="358" w:lineRule="auto"/>
        <w:ind w:left="2" w:right="67"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政府采购合同继续履行将损害国家利益和社会公共利益的，双方当事人应当</w:t>
      </w:r>
      <w:r>
        <w:rPr>
          <w:rFonts w:ascii="宋体" w:hAnsi="宋体" w:eastAsia="宋体" w:cs="宋体"/>
          <w:color w:val="auto"/>
          <w:spacing w:val="9"/>
          <w:sz w:val="20"/>
          <w:szCs w:val="20"/>
          <w:highlight w:val="none"/>
        </w:rPr>
        <w:t>变更、中止或者终止合同。有过错的一方应当承担赔偿责任，双方都有过错的，各自承担相应的责任。</w:t>
      </w:r>
    </w:p>
    <w:p w14:paraId="24E73CBB">
      <w:pPr>
        <w:spacing w:before="1" w:line="220"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17.合同分包</w:t>
      </w:r>
    </w:p>
    <w:p w14:paraId="2EFB92C3">
      <w:pPr>
        <w:spacing w:before="150" w:line="308" w:lineRule="auto"/>
        <w:ind w:left="1" w:right="68" w:firstLine="412"/>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17.1乙方不得将合同转包给其他供应商。涉及合同分包的，乙方应根</w:t>
      </w:r>
      <w:r>
        <w:rPr>
          <w:rFonts w:ascii="宋体" w:hAnsi="宋体" w:eastAsia="宋体" w:cs="宋体"/>
          <w:color w:val="auto"/>
          <w:spacing w:val="7"/>
          <w:sz w:val="19"/>
          <w:szCs w:val="19"/>
          <w:highlight w:val="none"/>
        </w:rPr>
        <w:t>据采购文件和投标（响应）文件规定进行合同分包。</w:t>
      </w:r>
    </w:p>
    <w:p w14:paraId="1B08959E">
      <w:pPr>
        <w:spacing w:before="101" w:line="220" w:lineRule="auto"/>
        <w:ind w:left="20"/>
        <w:rPr>
          <w:rFonts w:ascii="宋体" w:hAnsi="宋体" w:eastAsia="宋体" w:cs="宋体"/>
          <w:b/>
          <w:bCs/>
          <w:color w:val="auto"/>
          <w:spacing w:val="-8"/>
          <w:sz w:val="24"/>
          <w:szCs w:val="24"/>
          <w:highlight w:val="none"/>
        </w:rPr>
      </w:pPr>
      <w:r>
        <w:rPr>
          <w:rFonts w:ascii="宋体" w:hAnsi="宋体" w:eastAsia="宋体" w:cs="宋体"/>
          <w:color w:val="auto"/>
          <w:spacing w:val="8"/>
          <w:sz w:val="19"/>
          <w:szCs w:val="19"/>
          <w:highlight w:val="none"/>
        </w:rPr>
        <w:t>17.2乙方执行政府采购政策向中小企业依法分包的，乙方应当按采购</w:t>
      </w:r>
      <w:r>
        <w:rPr>
          <w:rFonts w:ascii="宋体" w:hAnsi="宋体" w:eastAsia="宋体" w:cs="宋体"/>
          <w:color w:val="auto"/>
          <w:spacing w:val="7"/>
          <w:sz w:val="19"/>
          <w:szCs w:val="19"/>
          <w:highlight w:val="none"/>
        </w:rPr>
        <w:t>文件和投标（响应）文件签订分</w:t>
      </w:r>
      <w:r>
        <w:rPr>
          <w:rFonts w:ascii="宋体" w:hAnsi="宋体" w:eastAsia="宋体" w:cs="宋体"/>
          <w:color w:val="auto"/>
          <w:spacing w:val="9"/>
          <w:sz w:val="19"/>
          <w:szCs w:val="19"/>
          <w:highlight w:val="none"/>
        </w:rPr>
        <w:t>包意向协议，分包意向协议属于本合同组成部分。</w:t>
      </w:r>
    </w:p>
    <w:p w14:paraId="62A0C282">
      <w:pPr>
        <w:spacing w:before="101" w:line="220"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18.不可抗力</w:t>
      </w:r>
    </w:p>
    <w:p w14:paraId="7051BFB8">
      <w:pPr>
        <w:spacing w:before="149" w:line="229" w:lineRule="auto"/>
        <w:ind w:left="414"/>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18.1不可抗力是指合同双方不能预见、不能避免且不能克服的客观情况。</w:t>
      </w:r>
    </w:p>
    <w:p w14:paraId="3E3B785C">
      <w:pPr>
        <w:spacing w:before="163" w:line="309" w:lineRule="auto"/>
        <w:ind w:left="2" w:right="68" w:firstLine="41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18.2任何一方对由于不可抗力造成的部分或全部不能履行合同不承担</w:t>
      </w:r>
      <w:r>
        <w:rPr>
          <w:rFonts w:ascii="宋体" w:hAnsi="宋体" w:eastAsia="宋体" w:cs="宋体"/>
          <w:color w:val="auto"/>
          <w:spacing w:val="7"/>
          <w:sz w:val="19"/>
          <w:szCs w:val="19"/>
          <w:highlight w:val="none"/>
        </w:rPr>
        <w:t>违约责任。但迟延履行后发生不</w:t>
      </w:r>
      <w:r>
        <w:rPr>
          <w:rFonts w:ascii="宋体" w:hAnsi="宋体" w:eastAsia="宋体" w:cs="宋体"/>
          <w:color w:val="auto"/>
          <w:spacing w:val="8"/>
          <w:sz w:val="19"/>
          <w:szCs w:val="19"/>
          <w:highlight w:val="none"/>
        </w:rPr>
        <w:t>可抗力的，不能免除责任。</w:t>
      </w:r>
    </w:p>
    <w:p w14:paraId="29E4A23B">
      <w:pPr>
        <w:spacing w:before="165" w:line="335" w:lineRule="auto"/>
        <w:ind w:right="68" w:firstLine="41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18.3遇有不可抗力的一方，应及时将事件情况以书面形式告知另一方</w:t>
      </w:r>
      <w:r>
        <w:rPr>
          <w:rFonts w:ascii="宋体" w:hAnsi="宋体" w:eastAsia="宋体" w:cs="宋体"/>
          <w:color w:val="auto"/>
          <w:spacing w:val="7"/>
          <w:sz w:val="19"/>
          <w:szCs w:val="19"/>
          <w:highlight w:val="none"/>
        </w:rPr>
        <w:t>，并在事件发生后及时向另一方</w:t>
      </w:r>
      <w:r>
        <w:rPr>
          <w:rFonts w:ascii="宋体" w:hAnsi="宋体" w:eastAsia="宋体" w:cs="宋体"/>
          <w:color w:val="auto"/>
          <w:spacing w:val="10"/>
          <w:sz w:val="19"/>
          <w:szCs w:val="19"/>
          <w:highlight w:val="none"/>
        </w:rPr>
        <w:t>提交合同不能履行或部分不能履行或需要延期履行的详细报告，以及证明不可</w:t>
      </w:r>
      <w:r>
        <w:rPr>
          <w:rFonts w:ascii="宋体" w:hAnsi="宋体" w:eastAsia="宋体" w:cs="宋体"/>
          <w:color w:val="auto"/>
          <w:spacing w:val="9"/>
          <w:sz w:val="19"/>
          <w:szCs w:val="19"/>
          <w:highlight w:val="none"/>
        </w:rPr>
        <w:t>抗力发生及其持续时间的证</w:t>
      </w:r>
      <w:r>
        <w:rPr>
          <w:rFonts w:ascii="宋体" w:hAnsi="宋体" w:eastAsia="宋体" w:cs="宋体"/>
          <w:color w:val="auto"/>
          <w:spacing w:val="1"/>
          <w:sz w:val="19"/>
          <w:szCs w:val="19"/>
          <w:highlight w:val="none"/>
        </w:rPr>
        <w:t>据。</w:t>
      </w:r>
    </w:p>
    <w:p w14:paraId="51D3E102">
      <w:pPr>
        <w:spacing w:before="130" w:line="220" w:lineRule="auto"/>
        <w:ind w:left="20" w:leftChars="0"/>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19.解决争议的方法</w:t>
      </w:r>
    </w:p>
    <w:p w14:paraId="69DEC100">
      <w:pPr>
        <w:spacing w:before="139" w:line="299" w:lineRule="auto"/>
        <w:ind w:left="4" w:right="67"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19.1因本合同及合同有关事项发生的争议，由甲乙双方友好协商解决。协商不成时，可以向有关</w:t>
      </w:r>
      <w:r>
        <w:rPr>
          <w:rFonts w:ascii="宋体" w:hAnsi="宋体" w:eastAsia="宋体" w:cs="宋体"/>
          <w:color w:val="auto"/>
          <w:spacing w:val="9"/>
          <w:sz w:val="20"/>
          <w:szCs w:val="20"/>
          <w:highlight w:val="none"/>
        </w:rPr>
        <w:t>组织申请调解。合同一方或双方不愿调解或调解不成的，可以通过仲裁或诉讼的方式解决争议。</w:t>
      </w:r>
    </w:p>
    <w:p w14:paraId="4332F86B">
      <w:pPr>
        <w:spacing w:before="149" w:line="323" w:lineRule="auto"/>
        <w:ind w:right="14" w:firstLine="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19.2选择仲裁的，应在</w:t>
      </w:r>
      <w:r>
        <w:rPr>
          <w:rFonts w:ascii="宋体" w:hAnsi="宋体" w:eastAsia="宋体" w:cs="宋体"/>
          <w:b/>
          <w:bCs/>
          <w:color w:val="auto"/>
          <w:spacing w:val="10"/>
          <w:sz w:val="20"/>
          <w:szCs w:val="20"/>
          <w:highlight w:val="none"/>
        </w:rPr>
        <w:t>【政府采购合同专用条款】</w:t>
      </w:r>
      <w:r>
        <w:rPr>
          <w:rFonts w:ascii="宋体" w:hAnsi="宋体" w:eastAsia="宋体" w:cs="宋体"/>
          <w:color w:val="auto"/>
          <w:spacing w:val="10"/>
          <w:sz w:val="20"/>
          <w:szCs w:val="20"/>
          <w:highlight w:val="none"/>
        </w:rPr>
        <w:t>中明确</w:t>
      </w:r>
      <w:r>
        <w:rPr>
          <w:rFonts w:ascii="宋体" w:hAnsi="宋体" w:eastAsia="宋体" w:cs="宋体"/>
          <w:color w:val="auto"/>
          <w:spacing w:val="9"/>
          <w:sz w:val="20"/>
          <w:szCs w:val="20"/>
          <w:highlight w:val="none"/>
        </w:rPr>
        <w:t>仲裁机构及仲裁地；通过诉讼方式解</w:t>
      </w:r>
      <w:r>
        <w:rPr>
          <w:rFonts w:ascii="宋体" w:hAnsi="宋体" w:eastAsia="宋体" w:cs="宋体"/>
          <w:color w:val="auto"/>
          <w:spacing w:val="6"/>
          <w:sz w:val="20"/>
          <w:szCs w:val="20"/>
          <w:highlight w:val="none"/>
        </w:rPr>
        <w:t>决的，可以在</w:t>
      </w:r>
      <w:r>
        <w:rPr>
          <w:rFonts w:ascii="宋体" w:hAnsi="宋体" w:eastAsia="宋体" w:cs="宋体"/>
          <w:b/>
          <w:bCs/>
          <w:color w:val="auto"/>
          <w:spacing w:val="6"/>
          <w:sz w:val="20"/>
          <w:szCs w:val="20"/>
          <w:highlight w:val="none"/>
        </w:rPr>
        <w:t>【政府采购合同专用条款】</w:t>
      </w:r>
      <w:r>
        <w:rPr>
          <w:rFonts w:ascii="宋体" w:hAnsi="宋体" w:eastAsia="宋体" w:cs="宋体"/>
          <w:color w:val="auto"/>
          <w:spacing w:val="6"/>
          <w:sz w:val="20"/>
          <w:szCs w:val="20"/>
          <w:highlight w:val="none"/>
        </w:rPr>
        <w:t>中进一步约定选择与争议有实际联系的地</w:t>
      </w:r>
      <w:r>
        <w:rPr>
          <w:rFonts w:ascii="宋体" w:hAnsi="宋体" w:eastAsia="宋体" w:cs="宋体"/>
          <w:color w:val="auto"/>
          <w:spacing w:val="5"/>
          <w:sz w:val="20"/>
          <w:szCs w:val="20"/>
          <w:highlight w:val="none"/>
        </w:rPr>
        <w:t>点的人民法院管辖，</w:t>
      </w:r>
      <w:r>
        <w:rPr>
          <w:rFonts w:ascii="宋体" w:hAnsi="宋体" w:eastAsia="宋体" w:cs="宋体"/>
          <w:color w:val="auto"/>
          <w:spacing w:val="9"/>
          <w:sz w:val="20"/>
          <w:szCs w:val="20"/>
          <w:highlight w:val="none"/>
        </w:rPr>
        <w:t>但管辖法院的约定不得违反级别管辖和专属管辖的规定。</w:t>
      </w:r>
    </w:p>
    <w:p w14:paraId="4B8D45E9">
      <w:pPr>
        <w:spacing w:before="151" w:line="300" w:lineRule="auto"/>
        <w:ind w:left="5" w:right="67"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19.3如甲乙双方有争议的事项不影响合同其他部分</w:t>
      </w:r>
      <w:r>
        <w:rPr>
          <w:rFonts w:ascii="宋体" w:hAnsi="宋体" w:eastAsia="宋体" w:cs="宋体"/>
          <w:color w:val="auto"/>
          <w:spacing w:val="6"/>
          <w:sz w:val="20"/>
          <w:szCs w:val="20"/>
          <w:highlight w:val="none"/>
        </w:rPr>
        <w:t>的履行，在争议解决期间，合同其他部分应当</w:t>
      </w:r>
      <w:r>
        <w:rPr>
          <w:rFonts w:ascii="宋体" w:hAnsi="宋体" w:eastAsia="宋体" w:cs="宋体"/>
          <w:color w:val="auto"/>
          <w:spacing w:val="5"/>
          <w:sz w:val="20"/>
          <w:szCs w:val="20"/>
          <w:highlight w:val="none"/>
        </w:rPr>
        <w:t>继续履行。</w:t>
      </w:r>
    </w:p>
    <w:p w14:paraId="13DDC3D0">
      <w:pPr>
        <w:spacing w:before="127" w:line="219" w:lineRule="auto"/>
        <w:ind w:left="5" w:leftChars="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20.政府采购政策</w:t>
      </w:r>
    </w:p>
    <w:p w14:paraId="3A664D23">
      <w:pPr>
        <w:spacing w:before="151" w:line="228" w:lineRule="auto"/>
        <w:ind w:left="402" w:leftChars="0"/>
        <w:outlineLvl w:val="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20.1本合同应当按照规定执行政府采购政策。</w:t>
      </w:r>
    </w:p>
    <w:p w14:paraId="67953A79">
      <w:pPr>
        <w:spacing w:before="154" w:line="305" w:lineRule="auto"/>
        <w:ind w:left="1" w:firstLine="400"/>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20.2本合同依法执行政府采购政策的方式和内容，属于合同履约验收的范围。</w:t>
      </w:r>
      <w:r>
        <w:rPr>
          <w:rFonts w:ascii="宋体" w:hAnsi="宋体" w:eastAsia="宋体" w:cs="宋体"/>
          <w:color w:val="auto"/>
          <w:spacing w:val="7"/>
          <w:sz w:val="20"/>
          <w:szCs w:val="20"/>
          <w:highlight w:val="none"/>
        </w:rPr>
        <w:t>甲乙双方</w:t>
      </w:r>
      <w:r>
        <w:rPr>
          <w:rFonts w:ascii="宋体" w:hAnsi="宋体" w:eastAsia="宋体" w:cs="宋体"/>
          <w:color w:val="auto"/>
          <w:spacing w:val="7"/>
          <w:sz w:val="19"/>
          <w:szCs w:val="19"/>
          <w:highlight w:val="none"/>
        </w:rPr>
        <w:t>未按规定要求</w:t>
      </w:r>
      <w:r>
        <w:rPr>
          <w:rFonts w:ascii="宋体" w:hAnsi="宋体" w:eastAsia="宋体" w:cs="宋体"/>
          <w:color w:val="auto"/>
          <w:spacing w:val="8"/>
          <w:sz w:val="19"/>
          <w:szCs w:val="19"/>
          <w:highlight w:val="none"/>
        </w:rPr>
        <w:t>执行政府采购政策造成损失的，有过错的一方应当承担赔偿责任，双方都有过错的，各自承</w:t>
      </w:r>
      <w:r>
        <w:rPr>
          <w:rFonts w:ascii="宋体" w:hAnsi="宋体" w:eastAsia="宋体" w:cs="宋体"/>
          <w:color w:val="auto"/>
          <w:spacing w:val="7"/>
          <w:sz w:val="19"/>
          <w:szCs w:val="19"/>
          <w:highlight w:val="none"/>
        </w:rPr>
        <w:t>担相应的责任。</w:t>
      </w:r>
    </w:p>
    <w:p w14:paraId="05F62EE6">
      <w:pPr>
        <w:spacing w:before="166" w:line="335" w:lineRule="auto"/>
        <w:ind w:left="2" w:right="68" w:firstLine="399"/>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20.3对于为落实中小企业支持政策，通过采购项目整体预留、设置采购包专门预留、要求以联合体形</w:t>
      </w:r>
      <w:r>
        <w:rPr>
          <w:rFonts w:ascii="宋体" w:hAnsi="宋体" w:eastAsia="宋体" w:cs="宋体"/>
          <w:color w:val="auto"/>
          <w:spacing w:val="10"/>
          <w:sz w:val="19"/>
          <w:szCs w:val="19"/>
          <w:highlight w:val="none"/>
        </w:rPr>
        <w:t>式参加或者合同分包等措施签订的采购合同，应当明确标注本合同为中小企业</w:t>
      </w:r>
      <w:r>
        <w:rPr>
          <w:rFonts w:ascii="宋体" w:hAnsi="宋体" w:eastAsia="宋体" w:cs="宋体"/>
          <w:color w:val="auto"/>
          <w:spacing w:val="9"/>
          <w:sz w:val="19"/>
          <w:szCs w:val="19"/>
          <w:highlight w:val="none"/>
        </w:rPr>
        <w:t>预留合同。其中，要求以联</w:t>
      </w:r>
      <w:r>
        <w:rPr>
          <w:rFonts w:ascii="宋体" w:hAnsi="宋体" w:eastAsia="宋体" w:cs="宋体"/>
          <w:color w:val="auto"/>
          <w:spacing w:val="10"/>
          <w:sz w:val="19"/>
          <w:szCs w:val="19"/>
          <w:highlight w:val="none"/>
        </w:rPr>
        <w:t>合体形式参加采购活动或者合同分包的，须将联合协</w:t>
      </w:r>
      <w:r>
        <w:rPr>
          <w:rFonts w:ascii="宋体" w:hAnsi="宋体" w:eastAsia="宋体" w:cs="宋体"/>
          <w:color w:val="auto"/>
          <w:spacing w:val="9"/>
          <w:sz w:val="19"/>
          <w:szCs w:val="19"/>
          <w:highlight w:val="none"/>
        </w:rPr>
        <w:t>议或者分包意向协议作为采购合同的组成部分。</w:t>
      </w:r>
    </w:p>
    <w:p w14:paraId="59CE44AE">
      <w:pPr>
        <w:spacing w:before="131" w:line="220" w:lineRule="auto"/>
        <w:ind w:left="5" w:leftChars="0"/>
        <w:outlineLvl w:val="2"/>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21.法律适用</w:t>
      </w:r>
    </w:p>
    <w:p w14:paraId="5457DC14">
      <w:pPr>
        <w:spacing w:before="139" w:line="228" w:lineRule="auto"/>
        <w:ind w:left="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21.1本合同的订立、生效、解释、履行及与本合同有关的争议解决，均适用法律、</w:t>
      </w:r>
      <w:r>
        <w:rPr>
          <w:rFonts w:ascii="宋体" w:hAnsi="宋体" w:eastAsia="宋体" w:cs="宋体"/>
          <w:color w:val="auto"/>
          <w:spacing w:val="8"/>
          <w:sz w:val="20"/>
          <w:szCs w:val="20"/>
          <w:highlight w:val="none"/>
        </w:rPr>
        <w:t>行政法规。</w:t>
      </w:r>
    </w:p>
    <w:p w14:paraId="0FCB088B">
      <w:pPr>
        <w:spacing w:before="153" w:line="298" w:lineRule="auto"/>
        <w:ind w:left="6" w:right="67"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21.2本合同条款与法律、行政法规的强制性规定不一致的，双方当事人应按照法</w:t>
      </w:r>
      <w:r>
        <w:rPr>
          <w:rFonts w:ascii="宋体" w:hAnsi="宋体" w:eastAsia="宋体" w:cs="宋体"/>
          <w:color w:val="auto"/>
          <w:spacing w:val="6"/>
          <w:sz w:val="20"/>
          <w:szCs w:val="20"/>
          <w:highlight w:val="none"/>
        </w:rPr>
        <w:t>律、行政法规的</w:t>
      </w:r>
      <w:r>
        <w:rPr>
          <w:rFonts w:ascii="宋体" w:hAnsi="宋体" w:eastAsia="宋体" w:cs="宋体"/>
          <w:color w:val="auto"/>
          <w:spacing w:val="8"/>
          <w:sz w:val="20"/>
          <w:szCs w:val="20"/>
          <w:highlight w:val="none"/>
        </w:rPr>
        <w:t>强制性规定修改本合同的相关条款。</w:t>
      </w:r>
    </w:p>
    <w:p w14:paraId="65A2C27A">
      <w:pPr>
        <w:spacing w:before="128" w:line="222" w:lineRule="auto"/>
        <w:ind w:left="5" w:leftChars="0"/>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22.通知</w:t>
      </w:r>
    </w:p>
    <w:p w14:paraId="23BCB37F">
      <w:pPr>
        <w:spacing w:before="138" w:line="298" w:lineRule="auto"/>
        <w:ind w:right="70"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22.1本合同任何一方向对方发出的通知、信件、数据电文等，应当发送至本</w:t>
      </w:r>
      <w:r>
        <w:rPr>
          <w:rFonts w:ascii="宋体" w:hAnsi="宋体" w:eastAsia="宋体" w:cs="宋体"/>
          <w:color w:val="auto"/>
          <w:spacing w:val="6"/>
          <w:sz w:val="20"/>
          <w:szCs w:val="20"/>
          <w:highlight w:val="none"/>
        </w:rPr>
        <w:t>合同第一部分《政府</w:t>
      </w:r>
      <w:r>
        <w:rPr>
          <w:rFonts w:ascii="宋体" w:hAnsi="宋体" w:eastAsia="宋体" w:cs="宋体"/>
          <w:color w:val="auto"/>
          <w:spacing w:val="9"/>
          <w:sz w:val="20"/>
          <w:szCs w:val="20"/>
          <w:highlight w:val="none"/>
        </w:rPr>
        <w:t>采购合同协议书》所约定的通讯地址、联系人、联系电话或电子邮箱。</w:t>
      </w:r>
    </w:p>
    <w:p w14:paraId="2BA9B9A9">
      <w:pPr>
        <w:spacing w:before="154" w:line="299" w:lineRule="auto"/>
        <w:ind w:right="67"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22.2一方当事人变更名称、住所、联系人、联系电话或电子邮箱等信息的，应当在变更后3日内及时书面通知对方，对方实际收到变更通知前的送达仍为有效送达。</w:t>
      </w:r>
    </w:p>
    <w:p w14:paraId="6789CFD3">
      <w:pPr>
        <w:spacing w:before="162" w:line="308" w:lineRule="auto"/>
        <w:ind w:left="3" w:right="68" w:firstLine="398"/>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22.3本合同一方给另一方的通知均应采用书面形式，传真或快递送到本合同中规定的对方</w:t>
      </w:r>
      <w:r>
        <w:rPr>
          <w:rFonts w:ascii="宋体" w:hAnsi="宋体" w:eastAsia="宋体" w:cs="宋体"/>
          <w:color w:val="auto"/>
          <w:spacing w:val="8"/>
          <w:sz w:val="19"/>
          <w:szCs w:val="19"/>
          <w:highlight w:val="none"/>
        </w:rPr>
        <w:t>的地址和办</w:t>
      </w:r>
      <w:r>
        <w:rPr>
          <w:rFonts w:ascii="宋体" w:hAnsi="宋体" w:eastAsia="宋体" w:cs="宋体"/>
          <w:color w:val="auto"/>
          <w:spacing w:val="6"/>
          <w:sz w:val="19"/>
          <w:szCs w:val="19"/>
          <w:highlight w:val="none"/>
        </w:rPr>
        <w:t>理签收手续。</w:t>
      </w:r>
    </w:p>
    <w:p w14:paraId="3B264394">
      <w:pPr>
        <w:spacing w:before="166" w:line="228" w:lineRule="auto"/>
        <w:ind w:left="402"/>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22.4通知以送达之日或通知书中规定的生效之日起生效</w:t>
      </w:r>
      <w:r>
        <w:rPr>
          <w:rFonts w:ascii="宋体" w:hAnsi="宋体" w:eastAsia="宋体" w:cs="宋体"/>
          <w:color w:val="auto"/>
          <w:spacing w:val="8"/>
          <w:sz w:val="19"/>
          <w:szCs w:val="19"/>
          <w:highlight w:val="none"/>
        </w:rPr>
        <w:t>，两者中以较迟之日为准。</w:t>
      </w:r>
    </w:p>
    <w:p w14:paraId="0C4DD6AE">
      <w:pPr>
        <w:spacing w:before="130" w:line="221" w:lineRule="auto"/>
        <w:ind w:left="5" w:leftChars="0"/>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23.合同未尽事项</w:t>
      </w:r>
    </w:p>
    <w:p w14:paraId="70E89857">
      <w:pPr>
        <w:spacing w:before="136" w:line="228" w:lineRule="auto"/>
        <w:ind w:left="41"/>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23.1合同未尽事项见</w:t>
      </w:r>
      <w:r>
        <w:rPr>
          <w:rFonts w:ascii="宋体" w:hAnsi="宋体" w:eastAsia="宋体" w:cs="宋体"/>
          <w:b/>
          <w:bCs/>
          <w:color w:val="auto"/>
          <w:spacing w:val="7"/>
          <w:sz w:val="19"/>
          <w:szCs w:val="19"/>
          <w:highlight w:val="none"/>
        </w:rPr>
        <w:t>【政府采购合同专用条</w:t>
      </w:r>
      <w:r>
        <w:rPr>
          <w:rFonts w:ascii="宋体" w:hAnsi="宋体" w:eastAsia="宋体" w:cs="宋体"/>
          <w:b/>
          <w:bCs/>
          <w:color w:val="auto"/>
          <w:spacing w:val="6"/>
          <w:sz w:val="19"/>
          <w:szCs w:val="19"/>
          <w:highlight w:val="none"/>
        </w:rPr>
        <w:t>款】</w:t>
      </w:r>
      <w:r>
        <w:rPr>
          <w:rFonts w:ascii="宋体" w:hAnsi="宋体" w:eastAsia="宋体" w:cs="宋体"/>
          <w:color w:val="auto"/>
          <w:spacing w:val="6"/>
          <w:sz w:val="19"/>
          <w:szCs w:val="19"/>
          <w:highlight w:val="none"/>
        </w:rPr>
        <w:t>。</w:t>
      </w:r>
    </w:p>
    <w:p w14:paraId="20B6138A">
      <w:pPr>
        <w:spacing w:before="166" w:line="228" w:lineRule="auto"/>
        <w:ind w:left="41"/>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23.2合同附件与合同正文具有同等的法律效力。</w:t>
      </w:r>
    </w:p>
    <w:p w14:paraId="3DB2CE7E">
      <w:pPr>
        <w:spacing w:line="228" w:lineRule="auto"/>
        <w:rPr>
          <w:rFonts w:ascii="宋体" w:hAnsi="宋体" w:eastAsia="宋体" w:cs="宋体"/>
          <w:color w:val="auto"/>
          <w:sz w:val="19"/>
          <w:szCs w:val="19"/>
          <w:highlight w:val="none"/>
        </w:rPr>
        <w:sectPr>
          <w:footerReference r:id="rId29" w:type="default"/>
          <w:pgSz w:w="11906" w:h="16839"/>
          <w:pgMar w:top="1431" w:right="1785" w:bottom="1209" w:left="1785" w:header="0" w:footer="973" w:gutter="0"/>
          <w:pgNumType w:fmt="decimal"/>
          <w:cols w:space="720" w:num="1"/>
        </w:sectPr>
      </w:pPr>
    </w:p>
    <w:p w14:paraId="0331550F">
      <w:pPr>
        <w:spacing w:before="57" w:line="222" w:lineRule="auto"/>
        <w:ind w:left="2754" w:leftChars="0"/>
        <w:outlineLvl w:val="1"/>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第三节政府采购合同专用条款</w:t>
      </w:r>
    </w:p>
    <w:tbl>
      <w:tblPr>
        <w:tblStyle w:val="18"/>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5998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noWrap w:val="0"/>
            <w:vAlign w:val="top"/>
          </w:tcPr>
          <w:p w14:paraId="20A2FA2F">
            <w:pPr>
              <w:pStyle w:val="17"/>
              <w:spacing w:before="162" w:line="229" w:lineRule="auto"/>
              <w:ind w:left="519"/>
              <w:rPr>
                <w:color w:val="auto"/>
                <w:sz w:val="19"/>
                <w:szCs w:val="19"/>
                <w:highlight w:val="none"/>
              </w:rPr>
            </w:pPr>
            <w:r>
              <w:rPr>
                <w:color w:val="auto"/>
                <w:spacing w:val="7"/>
                <w:sz w:val="19"/>
                <w:szCs w:val="19"/>
                <w:highlight w:val="none"/>
              </w:rPr>
              <w:t>第二节</w:t>
            </w:r>
          </w:p>
          <w:p w14:paraId="6A31310D">
            <w:pPr>
              <w:pStyle w:val="17"/>
              <w:spacing w:before="23" w:line="229" w:lineRule="auto"/>
              <w:ind w:left="195"/>
              <w:rPr>
                <w:color w:val="auto"/>
                <w:sz w:val="19"/>
                <w:szCs w:val="19"/>
                <w:highlight w:val="none"/>
              </w:rPr>
            </w:pPr>
            <w:r>
              <w:rPr>
                <w:color w:val="auto"/>
                <w:spacing w:val="3"/>
                <w:sz w:val="19"/>
                <w:szCs w:val="19"/>
                <w:highlight w:val="none"/>
              </w:rPr>
              <w:t>第1.2（6）项</w:t>
            </w:r>
          </w:p>
        </w:tc>
        <w:tc>
          <w:tcPr>
            <w:tcW w:w="1741" w:type="dxa"/>
            <w:tcBorders>
              <w:top w:val="single" w:color="000000" w:sz="2" w:space="0"/>
            </w:tcBorders>
            <w:noWrap w:val="0"/>
            <w:vAlign w:val="top"/>
          </w:tcPr>
          <w:p w14:paraId="5D08A0C9">
            <w:pPr>
              <w:pStyle w:val="17"/>
              <w:spacing w:before="295" w:line="230" w:lineRule="auto"/>
              <w:ind w:left="109"/>
              <w:rPr>
                <w:color w:val="auto"/>
                <w:sz w:val="19"/>
                <w:szCs w:val="19"/>
                <w:highlight w:val="none"/>
              </w:rPr>
            </w:pPr>
            <w:r>
              <w:rPr>
                <w:color w:val="auto"/>
                <w:spacing w:val="8"/>
                <w:sz w:val="19"/>
                <w:szCs w:val="19"/>
                <w:highlight w:val="none"/>
              </w:rPr>
              <w:t>联合体具体要求</w:t>
            </w:r>
          </w:p>
        </w:tc>
        <w:tc>
          <w:tcPr>
            <w:tcW w:w="5181" w:type="dxa"/>
            <w:tcBorders>
              <w:top w:val="single" w:color="000000" w:sz="2" w:space="0"/>
              <w:right w:val="single" w:color="000000" w:sz="2" w:space="0"/>
            </w:tcBorders>
            <w:noWrap w:val="0"/>
            <w:vAlign w:val="top"/>
          </w:tcPr>
          <w:p w14:paraId="73C989A2">
            <w:pPr>
              <w:rPr>
                <w:rFonts w:ascii="Arial"/>
                <w:color w:val="auto"/>
                <w:sz w:val="21"/>
                <w:highlight w:val="none"/>
              </w:rPr>
            </w:pPr>
          </w:p>
        </w:tc>
      </w:tr>
      <w:tr w14:paraId="3585B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noWrap w:val="0"/>
            <w:vAlign w:val="top"/>
          </w:tcPr>
          <w:p w14:paraId="12CC6CD8">
            <w:pPr>
              <w:pStyle w:val="17"/>
              <w:spacing w:before="71" w:line="229" w:lineRule="auto"/>
              <w:ind w:left="519"/>
              <w:rPr>
                <w:color w:val="auto"/>
                <w:sz w:val="19"/>
                <w:szCs w:val="19"/>
                <w:highlight w:val="none"/>
              </w:rPr>
            </w:pPr>
            <w:r>
              <w:rPr>
                <w:color w:val="auto"/>
                <w:spacing w:val="7"/>
                <w:sz w:val="19"/>
                <w:szCs w:val="19"/>
                <w:highlight w:val="none"/>
              </w:rPr>
              <w:t>第二节</w:t>
            </w:r>
          </w:p>
          <w:p w14:paraId="0B32D68F">
            <w:pPr>
              <w:pStyle w:val="17"/>
              <w:spacing w:before="23" w:line="229" w:lineRule="auto"/>
              <w:ind w:left="195"/>
              <w:rPr>
                <w:color w:val="auto"/>
                <w:sz w:val="19"/>
                <w:szCs w:val="19"/>
                <w:highlight w:val="none"/>
              </w:rPr>
            </w:pPr>
            <w:r>
              <w:rPr>
                <w:color w:val="auto"/>
                <w:spacing w:val="3"/>
                <w:sz w:val="19"/>
                <w:szCs w:val="19"/>
                <w:highlight w:val="none"/>
              </w:rPr>
              <w:t>第1.2（7）项</w:t>
            </w:r>
          </w:p>
        </w:tc>
        <w:tc>
          <w:tcPr>
            <w:tcW w:w="1741" w:type="dxa"/>
            <w:noWrap w:val="0"/>
            <w:vAlign w:val="top"/>
          </w:tcPr>
          <w:p w14:paraId="2CD6BC89">
            <w:pPr>
              <w:pStyle w:val="17"/>
              <w:spacing w:before="200" w:line="229" w:lineRule="auto"/>
              <w:ind w:left="109"/>
              <w:rPr>
                <w:color w:val="auto"/>
                <w:sz w:val="19"/>
                <w:szCs w:val="19"/>
                <w:highlight w:val="none"/>
              </w:rPr>
            </w:pPr>
            <w:r>
              <w:rPr>
                <w:color w:val="auto"/>
                <w:spacing w:val="8"/>
                <w:sz w:val="19"/>
                <w:szCs w:val="19"/>
                <w:highlight w:val="none"/>
              </w:rPr>
              <w:t>其他术语解释</w:t>
            </w:r>
          </w:p>
        </w:tc>
        <w:tc>
          <w:tcPr>
            <w:tcW w:w="5181" w:type="dxa"/>
            <w:tcBorders>
              <w:right w:val="single" w:color="000000" w:sz="2" w:space="0"/>
            </w:tcBorders>
            <w:noWrap w:val="0"/>
            <w:vAlign w:val="top"/>
          </w:tcPr>
          <w:p w14:paraId="38399DC7">
            <w:pPr>
              <w:rPr>
                <w:rFonts w:ascii="Arial"/>
                <w:color w:val="auto"/>
                <w:sz w:val="21"/>
                <w:highlight w:val="none"/>
              </w:rPr>
            </w:pPr>
          </w:p>
        </w:tc>
      </w:tr>
      <w:tr w14:paraId="4B6C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1620" w:type="dxa"/>
            <w:tcBorders>
              <w:left w:val="single" w:color="000000" w:sz="2" w:space="0"/>
            </w:tcBorders>
            <w:noWrap w:val="0"/>
            <w:vAlign w:val="top"/>
          </w:tcPr>
          <w:p w14:paraId="0FB1B23A">
            <w:pPr>
              <w:pStyle w:val="17"/>
              <w:spacing w:before="158" w:line="253" w:lineRule="auto"/>
              <w:ind w:left="420" w:right="400" w:firstLine="98"/>
              <w:rPr>
                <w:color w:val="auto"/>
                <w:sz w:val="19"/>
                <w:szCs w:val="19"/>
                <w:highlight w:val="none"/>
              </w:rPr>
            </w:pPr>
            <w:r>
              <w:rPr>
                <w:color w:val="auto"/>
                <w:spacing w:val="7"/>
                <w:sz w:val="19"/>
                <w:szCs w:val="19"/>
                <w:highlight w:val="none"/>
              </w:rPr>
              <w:t>第二节</w:t>
            </w:r>
            <w:r>
              <w:rPr>
                <w:color w:val="auto"/>
                <w:spacing w:val="2"/>
                <w:sz w:val="19"/>
                <w:szCs w:val="19"/>
                <w:highlight w:val="none"/>
              </w:rPr>
              <w:t>第4.4款</w:t>
            </w:r>
          </w:p>
        </w:tc>
        <w:tc>
          <w:tcPr>
            <w:tcW w:w="1741" w:type="dxa"/>
            <w:noWrap w:val="0"/>
            <w:vAlign w:val="top"/>
          </w:tcPr>
          <w:p w14:paraId="26B883B1">
            <w:pPr>
              <w:pStyle w:val="17"/>
              <w:spacing w:before="28" w:line="229" w:lineRule="auto"/>
              <w:ind w:left="111"/>
              <w:rPr>
                <w:color w:val="auto"/>
                <w:sz w:val="19"/>
                <w:szCs w:val="19"/>
                <w:highlight w:val="none"/>
              </w:rPr>
            </w:pPr>
            <w:r>
              <w:rPr>
                <w:color w:val="auto"/>
                <w:spacing w:val="8"/>
                <w:sz w:val="19"/>
                <w:szCs w:val="19"/>
                <w:highlight w:val="none"/>
              </w:rPr>
              <w:t>履约验收中甲方</w:t>
            </w:r>
          </w:p>
          <w:p w14:paraId="34696A7E">
            <w:pPr>
              <w:pStyle w:val="17"/>
              <w:spacing w:before="23" w:line="236" w:lineRule="auto"/>
              <w:ind w:left="110" w:right="231" w:hanging="1"/>
              <w:rPr>
                <w:color w:val="auto"/>
                <w:sz w:val="19"/>
                <w:szCs w:val="19"/>
                <w:highlight w:val="none"/>
              </w:rPr>
            </w:pPr>
            <w:r>
              <w:rPr>
                <w:color w:val="auto"/>
                <w:spacing w:val="8"/>
                <w:sz w:val="19"/>
                <w:szCs w:val="19"/>
                <w:highlight w:val="none"/>
              </w:rPr>
              <w:t>提出异议或作出</w:t>
            </w:r>
            <w:r>
              <w:rPr>
                <w:color w:val="auto"/>
                <w:spacing w:val="7"/>
                <w:sz w:val="19"/>
                <w:szCs w:val="19"/>
                <w:highlight w:val="none"/>
              </w:rPr>
              <w:t>说明的期限</w:t>
            </w:r>
          </w:p>
        </w:tc>
        <w:tc>
          <w:tcPr>
            <w:tcW w:w="5181" w:type="dxa"/>
            <w:tcBorders>
              <w:right w:val="single" w:color="000000" w:sz="2" w:space="0"/>
            </w:tcBorders>
            <w:noWrap w:val="0"/>
            <w:vAlign w:val="top"/>
          </w:tcPr>
          <w:p w14:paraId="4CA5FC17">
            <w:pPr>
              <w:rPr>
                <w:rFonts w:ascii="Arial"/>
                <w:color w:val="auto"/>
                <w:sz w:val="21"/>
                <w:highlight w:val="none"/>
              </w:rPr>
            </w:pPr>
          </w:p>
        </w:tc>
      </w:tr>
      <w:tr w14:paraId="1DCF9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313F3382">
            <w:pPr>
              <w:pStyle w:val="17"/>
              <w:spacing w:before="137" w:line="253" w:lineRule="auto"/>
              <w:ind w:left="420" w:right="400" w:firstLine="98"/>
              <w:rPr>
                <w:color w:val="auto"/>
                <w:sz w:val="19"/>
                <w:szCs w:val="19"/>
                <w:highlight w:val="none"/>
              </w:rPr>
            </w:pPr>
            <w:r>
              <w:rPr>
                <w:color w:val="auto"/>
                <w:spacing w:val="7"/>
                <w:sz w:val="19"/>
                <w:szCs w:val="19"/>
                <w:highlight w:val="none"/>
              </w:rPr>
              <w:t>第二节</w:t>
            </w:r>
            <w:r>
              <w:rPr>
                <w:color w:val="auto"/>
                <w:spacing w:val="2"/>
                <w:sz w:val="19"/>
                <w:szCs w:val="19"/>
                <w:highlight w:val="none"/>
              </w:rPr>
              <w:t>第4.6款</w:t>
            </w:r>
          </w:p>
        </w:tc>
        <w:tc>
          <w:tcPr>
            <w:tcW w:w="1741" w:type="dxa"/>
            <w:noWrap w:val="0"/>
            <w:vAlign w:val="top"/>
          </w:tcPr>
          <w:p w14:paraId="2321FDEE">
            <w:pPr>
              <w:pStyle w:val="17"/>
              <w:spacing w:before="137" w:line="229" w:lineRule="auto"/>
              <w:ind w:left="113"/>
              <w:rPr>
                <w:color w:val="auto"/>
                <w:sz w:val="19"/>
                <w:szCs w:val="19"/>
                <w:highlight w:val="none"/>
              </w:rPr>
            </w:pPr>
            <w:r>
              <w:rPr>
                <w:color w:val="auto"/>
                <w:spacing w:val="8"/>
                <w:sz w:val="19"/>
                <w:szCs w:val="19"/>
                <w:highlight w:val="none"/>
              </w:rPr>
              <w:t>约定甲方承担的</w:t>
            </w:r>
          </w:p>
          <w:p w14:paraId="67006D44">
            <w:pPr>
              <w:pStyle w:val="17"/>
              <w:spacing w:before="23" w:line="229" w:lineRule="auto"/>
              <w:ind w:left="109"/>
              <w:rPr>
                <w:color w:val="auto"/>
                <w:sz w:val="19"/>
                <w:szCs w:val="19"/>
                <w:highlight w:val="none"/>
              </w:rPr>
            </w:pPr>
            <w:r>
              <w:rPr>
                <w:color w:val="auto"/>
                <w:spacing w:val="8"/>
                <w:sz w:val="19"/>
                <w:szCs w:val="19"/>
                <w:highlight w:val="none"/>
              </w:rPr>
              <w:t>其他义务和责任</w:t>
            </w:r>
          </w:p>
        </w:tc>
        <w:tc>
          <w:tcPr>
            <w:tcW w:w="5181" w:type="dxa"/>
            <w:tcBorders>
              <w:right w:val="single" w:color="000000" w:sz="2" w:space="0"/>
            </w:tcBorders>
            <w:noWrap w:val="0"/>
            <w:vAlign w:val="top"/>
          </w:tcPr>
          <w:p w14:paraId="1CD8FD3D">
            <w:pPr>
              <w:rPr>
                <w:rFonts w:ascii="Arial"/>
                <w:color w:val="auto"/>
                <w:sz w:val="21"/>
                <w:highlight w:val="none"/>
              </w:rPr>
            </w:pPr>
          </w:p>
        </w:tc>
      </w:tr>
      <w:tr w14:paraId="77E34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39C2E9A4">
            <w:pPr>
              <w:pStyle w:val="17"/>
              <w:spacing w:before="139" w:line="253" w:lineRule="auto"/>
              <w:ind w:left="420" w:right="400" w:firstLine="98"/>
              <w:rPr>
                <w:color w:val="auto"/>
                <w:sz w:val="19"/>
                <w:szCs w:val="19"/>
                <w:highlight w:val="none"/>
              </w:rPr>
            </w:pPr>
            <w:r>
              <w:rPr>
                <w:color w:val="auto"/>
                <w:spacing w:val="7"/>
                <w:sz w:val="19"/>
                <w:szCs w:val="19"/>
                <w:highlight w:val="none"/>
              </w:rPr>
              <w:t>第二节</w:t>
            </w:r>
            <w:r>
              <w:rPr>
                <w:color w:val="auto"/>
                <w:spacing w:val="1"/>
                <w:sz w:val="19"/>
                <w:szCs w:val="19"/>
                <w:highlight w:val="none"/>
              </w:rPr>
              <w:t>第5.4款</w:t>
            </w:r>
          </w:p>
        </w:tc>
        <w:tc>
          <w:tcPr>
            <w:tcW w:w="1741" w:type="dxa"/>
            <w:noWrap w:val="0"/>
            <w:vAlign w:val="top"/>
          </w:tcPr>
          <w:p w14:paraId="75154136">
            <w:pPr>
              <w:pStyle w:val="17"/>
              <w:spacing w:before="138" w:line="229" w:lineRule="auto"/>
              <w:ind w:left="113"/>
              <w:rPr>
                <w:color w:val="auto"/>
                <w:sz w:val="19"/>
                <w:szCs w:val="19"/>
                <w:highlight w:val="none"/>
              </w:rPr>
            </w:pPr>
            <w:r>
              <w:rPr>
                <w:color w:val="auto"/>
                <w:spacing w:val="8"/>
                <w:sz w:val="19"/>
                <w:szCs w:val="19"/>
                <w:highlight w:val="none"/>
              </w:rPr>
              <w:t>约定乙方承担的</w:t>
            </w:r>
          </w:p>
          <w:p w14:paraId="738AFE97">
            <w:pPr>
              <w:pStyle w:val="17"/>
              <w:spacing w:before="23" w:line="229" w:lineRule="auto"/>
              <w:ind w:left="109"/>
              <w:rPr>
                <w:color w:val="auto"/>
                <w:sz w:val="19"/>
                <w:szCs w:val="19"/>
                <w:highlight w:val="none"/>
              </w:rPr>
            </w:pPr>
            <w:r>
              <w:rPr>
                <w:color w:val="auto"/>
                <w:spacing w:val="8"/>
                <w:sz w:val="19"/>
                <w:szCs w:val="19"/>
                <w:highlight w:val="none"/>
              </w:rPr>
              <w:t>其他义务和责任</w:t>
            </w:r>
          </w:p>
        </w:tc>
        <w:tc>
          <w:tcPr>
            <w:tcW w:w="5181" w:type="dxa"/>
            <w:tcBorders>
              <w:right w:val="single" w:color="000000" w:sz="2" w:space="0"/>
            </w:tcBorders>
            <w:noWrap w:val="0"/>
            <w:vAlign w:val="top"/>
          </w:tcPr>
          <w:p w14:paraId="520E7772">
            <w:pPr>
              <w:rPr>
                <w:rFonts w:ascii="Arial"/>
                <w:color w:val="auto"/>
                <w:sz w:val="21"/>
                <w:highlight w:val="none"/>
              </w:rPr>
            </w:pPr>
          </w:p>
        </w:tc>
      </w:tr>
      <w:tr w14:paraId="0DA86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450B9ED4">
            <w:pPr>
              <w:pStyle w:val="17"/>
              <w:spacing w:before="139" w:line="251" w:lineRule="auto"/>
              <w:ind w:left="420" w:right="400" w:firstLine="98"/>
              <w:rPr>
                <w:color w:val="auto"/>
                <w:sz w:val="19"/>
                <w:szCs w:val="19"/>
                <w:highlight w:val="none"/>
              </w:rPr>
            </w:pPr>
            <w:r>
              <w:rPr>
                <w:color w:val="auto"/>
                <w:spacing w:val="7"/>
                <w:sz w:val="19"/>
                <w:szCs w:val="19"/>
                <w:highlight w:val="none"/>
              </w:rPr>
              <w:t>第二节</w:t>
            </w:r>
            <w:r>
              <w:rPr>
                <w:color w:val="auto"/>
                <w:spacing w:val="1"/>
                <w:sz w:val="19"/>
                <w:szCs w:val="19"/>
                <w:highlight w:val="none"/>
              </w:rPr>
              <w:t>第6.1款</w:t>
            </w:r>
          </w:p>
        </w:tc>
        <w:tc>
          <w:tcPr>
            <w:tcW w:w="1741" w:type="dxa"/>
            <w:noWrap w:val="0"/>
            <w:vAlign w:val="top"/>
          </w:tcPr>
          <w:p w14:paraId="3295AEAD">
            <w:pPr>
              <w:pStyle w:val="17"/>
              <w:spacing w:before="140" w:line="251" w:lineRule="auto"/>
              <w:ind w:left="109" w:right="231" w:firstLine="2"/>
              <w:rPr>
                <w:color w:val="auto"/>
                <w:sz w:val="19"/>
                <w:szCs w:val="19"/>
                <w:highlight w:val="none"/>
              </w:rPr>
            </w:pPr>
            <w:r>
              <w:rPr>
                <w:color w:val="auto"/>
                <w:spacing w:val="8"/>
                <w:sz w:val="19"/>
                <w:szCs w:val="19"/>
                <w:highlight w:val="none"/>
              </w:rPr>
              <w:t>履行合同义务的</w:t>
            </w:r>
            <w:r>
              <w:rPr>
                <w:color w:val="auto"/>
                <w:spacing w:val="4"/>
                <w:sz w:val="19"/>
                <w:szCs w:val="19"/>
                <w:highlight w:val="none"/>
              </w:rPr>
              <w:t>顺序</w:t>
            </w:r>
          </w:p>
        </w:tc>
        <w:tc>
          <w:tcPr>
            <w:tcW w:w="5181" w:type="dxa"/>
            <w:tcBorders>
              <w:right w:val="single" w:color="000000" w:sz="2" w:space="0"/>
            </w:tcBorders>
            <w:noWrap w:val="0"/>
            <w:vAlign w:val="top"/>
          </w:tcPr>
          <w:p w14:paraId="30D8C0E4">
            <w:pPr>
              <w:rPr>
                <w:rFonts w:ascii="Arial"/>
                <w:color w:val="auto"/>
                <w:sz w:val="21"/>
                <w:highlight w:val="none"/>
              </w:rPr>
            </w:pPr>
          </w:p>
        </w:tc>
      </w:tr>
      <w:tr w14:paraId="5A101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noWrap w:val="0"/>
            <w:vAlign w:val="top"/>
          </w:tcPr>
          <w:p w14:paraId="2E9DFFCC">
            <w:pPr>
              <w:pStyle w:val="17"/>
              <w:spacing w:before="61" w:line="253" w:lineRule="auto"/>
              <w:ind w:left="420" w:right="400" w:firstLine="98"/>
              <w:rPr>
                <w:color w:val="auto"/>
                <w:sz w:val="19"/>
                <w:szCs w:val="19"/>
                <w:highlight w:val="none"/>
              </w:rPr>
            </w:pPr>
            <w:r>
              <w:rPr>
                <w:color w:val="auto"/>
                <w:spacing w:val="7"/>
                <w:sz w:val="19"/>
                <w:szCs w:val="19"/>
                <w:highlight w:val="none"/>
              </w:rPr>
              <w:t>第二节</w:t>
            </w:r>
            <w:r>
              <w:rPr>
                <w:color w:val="auto"/>
                <w:spacing w:val="1"/>
                <w:sz w:val="19"/>
                <w:szCs w:val="19"/>
                <w:highlight w:val="none"/>
              </w:rPr>
              <w:t>第7.1款</w:t>
            </w:r>
          </w:p>
        </w:tc>
        <w:tc>
          <w:tcPr>
            <w:tcW w:w="1741" w:type="dxa"/>
            <w:noWrap w:val="0"/>
            <w:vAlign w:val="top"/>
          </w:tcPr>
          <w:p w14:paraId="4A48B17C">
            <w:pPr>
              <w:pStyle w:val="17"/>
              <w:spacing w:before="233" w:line="229" w:lineRule="auto"/>
              <w:ind w:left="108"/>
              <w:rPr>
                <w:color w:val="auto"/>
                <w:sz w:val="19"/>
                <w:szCs w:val="19"/>
                <w:highlight w:val="none"/>
              </w:rPr>
            </w:pPr>
            <w:r>
              <w:rPr>
                <w:color w:val="auto"/>
                <w:spacing w:val="8"/>
                <w:sz w:val="19"/>
                <w:szCs w:val="19"/>
                <w:highlight w:val="none"/>
              </w:rPr>
              <w:t>包装特殊要求</w:t>
            </w:r>
          </w:p>
        </w:tc>
        <w:tc>
          <w:tcPr>
            <w:tcW w:w="5181" w:type="dxa"/>
            <w:tcBorders>
              <w:right w:val="single" w:color="000000" w:sz="2" w:space="0"/>
            </w:tcBorders>
            <w:noWrap w:val="0"/>
            <w:vAlign w:val="top"/>
          </w:tcPr>
          <w:p w14:paraId="4B7DC99E">
            <w:pPr>
              <w:rPr>
                <w:rFonts w:ascii="Arial"/>
                <w:color w:val="auto"/>
                <w:sz w:val="21"/>
                <w:highlight w:val="none"/>
              </w:rPr>
            </w:pPr>
          </w:p>
        </w:tc>
      </w:tr>
      <w:tr w14:paraId="48774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noWrap w:val="0"/>
            <w:vAlign w:val="top"/>
          </w:tcPr>
          <w:p w14:paraId="257598A9">
            <w:pPr>
              <w:rPr>
                <w:rFonts w:ascii="Arial"/>
                <w:color w:val="auto"/>
                <w:sz w:val="21"/>
                <w:highlight w:val="none"/>
              </w:rPr>
            </w:pPr>
          </w:p>
        </w:tc>
        <w:tc>
          <w:tcPr>
            <w:tcW w:w="1741" w:type="dxa"/>
            <w:noWrap w:val="0"/>
            <w:vAlign w:val="top"/>
          </w:tcPr>
          <w:p w14:paraId="3DC9B1D1">
            <w:pPr>
              <w:pStyle w:val="17"/>
              <w:spacing w:before="232" w:line="230" w:lineRule="auto"/>
              <w:ind w:left="111"/>
              <w:rPr>
                <w:color w:val="auto"/>
                <w:sz w:val="19"/>
                <w:szCs w:val="19"/>
                <w:highlight w:val="none"/>
              </w:rPr>
            </w:pPr>
            <w:r>
              <w:rPr>
                <w:color w:val="auto"/>
                <w:spacing w:val="7"/>
                <w:sz w:val="19"/>
                <w:szCs w:val="19"/>
                <w:highlight w:val="none"/>
              </w:rPr>
              <w:t>指定现场</w:t>
            </w:r>
          </w:p>
        </w:tc>
        <w:tc>
          <w:tcPr>
            <w:tcW w:w="5181" w:type="dxa"/>
            <w:tcBorders>
              <w:right w:val="single" w:color="000000" w:sz="2" w:space="0"/>
            </w:tcBorders>
            <w:noWrap w:val="0"/>
            <w:vAlign w:val="top"/>
          </w:tcPr>
          <w:p w14:paraId="4DD5DEB1">
            <w:pPr>
              <w:rPr>
                <w:rFonts w:ascii="Arial"/>
                <w:color w:val="auto"/>
                <w:sz w:val="21"/>
                <w:highlight w:val="none"/>
              </w:rPr>
            </w:pPr>
          </w:p>
        </w:tc>
      </w:tr>
      <w:tr w14:paraId="00AA7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noWrap w:val="0"/>
            <w:vAlign w:val="top"/>
          </w:tcPr>
          <w:p w14:paraId="0D632204">
            <w:pPr>
              <w:pStyle w:val="17"/>
              <w:spacing w:before="156" w:line="253" w:lineRule="auto"/>
              <w:ind w:left="420" w:right="400" w:firstLine="98"/>
              <w:rPr>
                <w:color w:val="auto"/>
                <w:sz w:val="19"/>
                <w:szCs w:val="19"/>
                <w:highlight w:val="none"/>
              </w:rPr>
            </w:pPr>
            <w:r>
              <w:rPr>
                <w:color w:val="auto"/>
                <w:spacing w:val="7"/>
                <w:sz w:val="19"/>
                <w:szCs w:val="19"/>
                <w:highlight w:val="none"/>
              </w:rPr>
              <w:t>第二节</w:t>
            </w:r>
            <w:r>
              <w:rPr>
                <w:color w:val="auto"/>
                <w:spacing w:val="1"/>
                <w:sz w:val="19"/>
                <w:szCs w:val="19"/>
                <w:highlight w:val="none"/>
              </w:rPr>
              <w:t>第7.2款</w:t>
            </w:r>
          </w:p>
        </w:tc>
        <w:tc>
          <w:tcPr>
            <w:tcW w:w="1741" w:type="dxa"/>
            <w:noWrap w:val="0"/>
            <w:vAlign w:val="top"/>
          </w:tcPr>
          <w:p w14:paraId="4DEA3CE7">
            <w:pPr>
              <w:pStyle w:val="17"/>
              <w:spacing w:before="285" w:line="229" w:lineRule="auto"/>
              <w:ind w:left="108"/>
              <w:rPr>
                <w:color w:val="auto"/>
                <w:sz w:val="19"/>
                <w:szCs w:val="19"/>
                <w:highlight w:val="none"/>
              </w:rPr>
            </w:pPr>
            <w:r>
              <w:rPr>
                <w:color w:val="auto"/>
                <w:spacing w:val="8"/>
                <w:sz w:val="19"/>
                <w:szCs w:val="19"/>
                <w:highlight w:val="none"/>
              </w:rPr>
              <w:t>运输特殊要求</w:t>
            </w:r>
          </w:p>
        </w:tc>
        <w:tc>
          <w:tcPr>
            <w:tcW w:w="5181" w:type="dxa"/>
            <w:tcBorders>
              <w:right w:val="single" w:color="000000" w:sz="2" w:space="0"/>
            </w:tcBorders>
            <w:noWrap w:val="0"/>
            <w:vAlign w:val="top"/>
          </w:tcPr>
          <w:p w14:paraId="6EC2D82C">
            <w:pPr>
              <w:rPr>
                <w:rFonts w:ascii="Arial"/>
                <w:color w:val="auto"/>
                <w:sz w:val="21"/>
                <w:highlight w:val="none"/>
              </w:rPr>
            </w:pPr>
          </w:p>
        </w:tc>
      </w:tr>
      <w:tr w14:paraId="64587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noWrap w:val="0"/>
            <w:vAlign w:val="top"/>
          </w:tcPr>
          <w:p w14:paraId="50CD6E21">
            <w:pPr>
              <w:pStyle w:val="17"/>
              <w:spacing w:before="106" w:line="251" w:lineRule="auto"/>
              <w:ind w:left="420" w:right="400" w:firstLine="98"/>
              <w:rPr>
                <w:color w:val="auto"/>
                <w:sz w:val="19"/>
                <w:szCs w:val="19"/>
                <w:highlight w:val="none"/>
              </w:rPr>
            </w:pPr>
            <w:r>
              <w:rPr>
                <w:color w:val="auto"/>
                <w:spacing w:val="7"/>
                <w:sz w:val="19"/>
                <w:szCs w:val="19"/>
                <w:highlight w:val="none"/>
              </w:rPr>
              <w:t>第二节</w:t>
            </w:r>
            <w:r>
              <w:rPr>
                <w:color w:val="auto"/>
                <w:spacing w:val="1"/>
                <w:sz w:val="19"/>
                <w:szCs w:val="19"/>
                <w:highlight w:val="none"/>
              </w:rPr>
              <w:t>第7.3款</w:t>
            </w:r>
          </w:p>
        </w:tc>
        <w:tc>
          <w:tcPr>
            <w:tcW w:w="1741" w:type="dxa"/>
            <w:noWrap w:val="0"/>
            <w:vAlign w:val="top"/>
          </w:tcPr>
          <w:p w14:paraId="66D4F461">
            <w:pPr>
              <w:pStyle w:val="17"/>
              <w:spacing w:before="233" w:line="230" w:lineRule="auto"/>
              <w:ind w:left="109"/>
              <w:rPr>
                <w:color w:val="auto"/>
                <w:sz w:val="19"/>
                <w:szCs w:val="19"/>
                <w:highlight w:val="none"/>
              </w:rPr>
            </w:pPr>
            <w:r>
              <w:rPr>
                <w:color w:val="auto"/>
                <w:spacing w:val="7"/>
                <w:sz w:val="19"/>
                <w:szCs w:val="19"/>
                <w:highlight w:val="none"/>
              </w:rPr>
              <w:t>保险要求</w:t>
            </w:r>
          </w:p>
        </w:tc>
        <w:tc>
          <w:tcPr>
            <w:tcW w:w="5181" w:type="dxa"/>
            <w:tcBorders>
              <w:right w:val="single" w:color="000000" w:sz="2" w:space="0"/>
            </w:tcBorders>
            <w:noWrap w:val="0"/>
            <w:vAlign w:val="top"/>
          </w:tcPr>
          <w:p w14:paraId="3AAD75B7">
            <w:pPr>
              <w:rPr>
                <w:rFonts w:ascii="Arial"/>
                <w:color w:val="auto"/>
                <w:sz w:val="21"/>
                <w:highlight w:val="none"/>
              </w:rPr>
            </w:pPr>
          </w:p>
        </w:tc>
      </w:tr>
      <w:tr w14:paraId="5F49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47CC1E85">
            <w:pPr>
              <w:pStyle w:val="17"/>
              <w:spacing w:before="140" w:line="229" w:lineRule="auto"/>
              <w:ind w:left="519"/>
              <w:rPr>
                <w:color w:val="auto"/>
                <w:sz w:val="19"/>
                <w:szCs w:val="19"/>
                <w:highlight w:val="none"/>
              </w:rPr>
            </w:pPr>
            <w:r>
              <w:rPr>
                <w:color w:val="auto"/>
                <w:spacing w:val="7"/>
                <w:sz w:val="19"/>
                <w:szCs w:val="19"/>
                <w:highlight w:val="none"/>
              </w:rPr>
              <w:t>第二节</w:t>
            </w:r>
          </w:p>
          <w:p w14:paraId="34C31603">
            <w:pPr>
              <w:pStyle w:val="17"/>
              <w:spacing w:before="23" w:line="229" w:lineRule="auto"/>
              <w:ind w:left="195"/>
              <w:rPr>
                <w:color w:val="auto"/>
                <w:sz w:val="19"/>
                <w:szCs w:val="19"/>
                <w:highlight w:val="none"/>
              </w:rPr>
            </w:pPr>
            <w:r>
              <w:rPr>
                <w:color w:val="auto"/>
                <w:spacing w:val="5"/>
                <w:sz w:val="19"/>
                <w:szCs w:val="19"/>
                <w:highlight w:val="none"/>
              </w:rPr>
              <w:t>第8.2（1）项</w:t>
            </w:r>
          </w:p>
        </w:tc>
        <w:tc>
          <w:tcPr>
            <w:tcW w:w="1741" w:type="dxa"/>
            <w:noWrap w:val="0"/>
            <w:vAlign w:val="top"/>
          </w:tcPr>
          <w:p w14:paraId="1ED3AC3A">
            <w:pPr>
              <w:pStyle w:val="17"/>
              <w:spacing w:before="269" w:line="230" w:lineRule="auto"/>
              <w:ind w:left="109"/>
              <w:rPr>
                <w:color w:val="auto"/>
                <w:sz w:val="19"/>
                <w:szCs w:val="19"/>
                <w:highlight w:val="none"/>
              </w:rPr>
            </w:pPr>
            <w:r>
              <w:rPr>
                <w:color w:val="auto"/>
                <w:spacing w:val="7"/>
                <w:sz w:val="19"/>
                <w:szCs w:val="19"/>
                <w:highlight w:val="none"/>
              </w:rPr>
              <w:t>质量保证期</w:t>
            </w:r>
          </w:p>
        </w:tc>
        <w:tc>
          <w:tcPr>
            <w:tcW w:w="5181" w:type="dxa"/>
            <w:tcBorders>
              <w:right w:val="single" w:color="000000" w:sz="2" w:space="0"/>
            </w:tcBorders>
            <w:noWrap w:val="0"/>
            <w:vAlign w:val="top"/>
          </w:tcPr>
          <w:p w14:paraId="23F023CF">
            <w:pPr>
              <w:rPr>
                <w:rFonts w:ascii="Arial"/>
                <w:color w:val="auto"/>
                <w:sz w:val="21"/>
                <w:highlight w:val="none"/>
              </w:rPr>
            </w:pPr>
          </w:p>
        </w:tc>
      </w:tr>
      <w:tr w14:paraId="4B54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723DC350">
            <w:pPr>
              <w:pStyle w:val="17"/>
              <w:spacing w:before="140" w:line="229" w:lineRule="auto"/>
              <w:ind w:left="519"/>
              <w:rPr>
                <w:color w:val="auto"/>
                <w:sz w:val="19"/>
                <w:szCs w:val="19"/>
                <w:highlight w:val="none"/>
              </w:rPr>
            </w:pPr>
            <w:r>
              <w:rPr>
                <w:color w:val="auto"/>
                <w:spacing w:val="7"/>
                <w:sz w:val="19"/>
                <w:szCs w:val="19"/>
                <w:highlight w:val="none"/>
              </w:rPr>
              <w:t>第二节</w:t>
            </w:r>
          </w:p>
          <w:p w14:paraId="0B69DE78">
            <w:pPr>
              <w:pStyle w:val="17"/>
              <w:spacing w:before="23" w:line="229" w:lineRule="auto"/>
              <w:ind w:left="195"/>
              <w:rPr>
                <w:color w:val="auto"/>
                <w:sz w:val="19"/>
                <w:szCs w:val="19"/>
                <w:highlight w:val="none"/>
              </w:rPr>
            </w:pPr>
            <w:r>
              <w:rPr>
                <w:color w:val="auto"/>
                <w:spacing w:val="5"/>
                <w:sz w:val="19"/>
                <w:szCs w:val="19"/>
                <w:highlight w:val="none"/>
              </w:rPr>
              <w:t>第8.2（3）项</w:t>
            </w:r>
          </w:p>
        </w:tc>
        <w:tc>
          <w:tcPr>
            <w:tcW w:w="1741" w:type="dxa"/>
            <w:noWrap w:val="0"/>
            <w:vAlign w:val="top"/>
          </w:tcPr>
          <w:p w14:paraId="5BE1C562">
            <w:pPr>
              <w:pStyle w:val="17"/>
              <w:spacing w:before="140" w:line="254" w:lineRule="auto"/>
              <w:ind w:left="118" w:right="430" w:hanging="5"/>
              <w:rPr>
                <w:color w:val="auto"/>
                <w:sz w:val="19"/>
                <w:szCs w:val="19"/>
                <w:highlight w:val="none"/>
              </w:rPr>
            </w:pPr>
            <w:r>
              <w:rPr>
                <w:color w:val="auto"/>
                <w:spacing w:val="7"/>
                <w:sz w:val="19"/>
                <w:szCs w:val="19"/>
                <w:highlight w:val="none"/>
              </w:rPr>
              <w:t>货物质量缺陷</w:t>
            </w:r>
            <w:r>
              <w:rPr>
                <w:color w:val="auto"/>
                <w:spacing w:val="5"/>
                <w:sz w:val="19"/>
                <w:szCs w:val="19"/>
                <w:highlight w:val="none"/>
              </w:rPr>
              <w:t>响应时间</w:t>
            </w:r>
          </w:p>
        </w:tc>
        <w:tc>
          <w:tcPr>
            <w:tcW w:w="5181" w:type="dxa"/>
            <w:tcBorders>
              <w:right w:val="single" w:color="000000" w:sz="2" w:space="0"/>
            </w:tcBorders>
            <w:noWrap w:val="0"/>
            <w:vAlign w:val="top"/>
          </w:tcPr>
          <w:p w14:paraId="7807AAF5">
            <w:pPr>
              <w:rPr>
                <w:rFonts w:ascii="Arial"/>
                <w:color w:val="auto"/>
                <w:sz w:val="21"/>
                <w:highlight w:val="none"/>
              </w:rPr>
            </w:pPr>
          </w:p>
        </w:tc>
      </w:tr>
      <w:tr w14:paraId="07FA0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noWrap w:val="0"/>
            <w:vAlign w:val="top"/>
          </w:tcPr>
          <w:p w14:paraId="1BC7652C">
            <w:pPr>
              <w:pStyle w:val="17"/>
              <w:spacing w:before="71" w:line="297" w:lineRule="auto"/>
              <w:ind w:left="380" w:right="359" w:firstLine="138"/>
              <w:rPr>
                <w:color w:val="auto"/>
                <w:sz w:val="22"/>
                <w:szCs w:val="22"/>
                <w:highlight w:val="none"/>
              </w:rPr>
            </w:pPr>
            <w:r>
              <w:rPr>
                <w:color w:val="auto"/>
                <w:spacing w:val="7"/>
                <w:sz w:val="19"/>
                <w:szCs w:val="19"/>
                <w:highlight w:val="none"/>
              </w:rPr>
              <w:t>第二节</w:t>
            </w:r>
            <w:r>
              <w:rPr>
                <w:color w:val="auto"/>
                <w:spacing w:val="-2"/>
                <w:sz w:val="22"/>
                <w:szCs w:val="22"/>
                <w:highlight w:val="none"/>
              </w:rPr>
              <w:t>第11.1款</w:t>
            </w:r>
          </w:p>
        </w:tc>
        <w:tc>
          <w:tcPr>
            <w:tcW w:w="1741" w:type="dxa"/>
            <w:noWrap w:val="0"/>
            <w:vAlign w:val="top"/>
          </w:tcPr>
          <w:p w14:paraId="3BB6403B">
            <w:pPr>
              <w:pStyle w:val="17"/>
              <w:spacing w:before="140" w:line="253" w:lineRule="auto"/>
              <w:ind w:left="108" w:right="106"/>
              <w:rPr>
                <w:color w:val="auto"/>
                <w:sz w:val="19"/>
                <w:szCs w:val="19"/>
                <w:highlight w:val="none"/>
              </w:rPr>
            </w:pPr>
            <w:r>
              <w:rPr>
                <w:color w:val="auto"/>
                <w:spacing w:val="26"/>
                <w:sz w:val="19"/>
                <w:szCs w:val="19"/>
                <w:highlight w:val="none"/>
              </w:rPr>
              <w:t>其他应当保密的</w:t>
            </w:r>
            <w:r>
              <w:rPr>
                <w:color w:val="auto"/>
                <w:spacing w:val="5"/>
                <w:sz w:val="19"/>
                <w:szCs w:val="19"/>
                <w:highlight w:val="none"/>
              </w:rPr>
              <w:t>信息</w:t>
            </w:r>
          </w:p>
        </w:tc>
        <w:tc>
          <w:tcPr>
            <w:tcW w:w="5181" w:type="dxa"/>
            <w:tcBorders>
              <w:right w:val="single" w:color="000000" w:sz="2" w:space="0"/>
            </w:tcBorders>
            <w:noWrap w:val="0"/>
            <w:vAlign w:val="top"/>
          </w:tcPr>
          <w:p w14:paraId="40F0C285">
            <w:pPr>
              <w:rPr>
                <w:rFonts w:ascii="Arial"/>
                <w:color w:val="auto"/>
                <w:sz w:val="21"/>
                <w:highlight w:val="none"/>
              </w:rPr>
            </w:pPr>
          </w:p>
        </w:tc>
      </w:tr>
      <w:tr w14:paraId="6E514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noWrap w:val="0"/>
            <w:vAlign w:val="top"/>
          </w:tcPr>
          <w:p w14:paraId="30059404">
            <w:pPr>
              <w:pStyle w:val="17"/>
              <w:spacing w:before="121" w:line="253" w:lineRule="auto"/>
              <w:ind w:left="370" w:right="350" w:firstLine="148"/>
              <w:rPr>
                <w:color w:val="auto"/>
                <w:sz w:val="19"/>
                <w:szCs w:val="19"/>
                <w:highlight w:val="none"/>
              </w:rPr>
            </w:pPr>
            <w:r>
              <w:rPr>
                <w:color w:val="auto"/>
                <w:spacing w:val="7"/>
                <w:sz w:val="19"/>
                <w:szCs w:val="19"/>
                <w:highlight w:val="none"/>
              </w:rPr>
              <w:t>第二节</w:t>
            </w:r>
            <w:r>
              <w:rPr>
                <w:color w:val="auto"/>
                <w:spacing w:val="-1"/>
                <w:sz w:val="19"/>
                <w:szCs w:val="19"/>
                <w:highlight w:val="none"/>
              </w:rPr>
              <w:t>第12.2款</w:t>
            </w:r>
          </w:p>
        </w:tc>
        <w:tc>
          <w:tcPr>
            <w:tcW w:w="1741" w:type="dxa"/>
            <w:noWrap w:val="0"/>
            <w:vAlign w:val="top"/>
          </w:tcPr>
          <w:p w14:paraId="634A76B7">
            <w:pPr>
              <w:pStyle w:val="17"/>
              <w:spacing w:before="120" w:line="255" w:lineRule="auto"/>
              <w:ind w:left="123" w:right="231" w:hanging="14"/>
              <w:rPr>
                <w:color w:val="auto"/>
                <w:sz w:val="19"/>
                <w:szCs w:val="19"/>
                <w:highlight w:val="none"/>
              </w:rPr>
            </w:pPr>
            <w:r>
              <w:rPr>
                <w:color w:val="auto"/>
                <w:spacing w:val="8"/>
                <w:sz w:val="19"/>
                <w:szCs w:val="19"/>
                <w:highlight w:val="none"/>
              </w:rPr>
              <w:t>合同价款支付时</w:t>
            </w:r>
            <w:r>
              <w:rPr>
                <w:color w:val="auto"/>
                <w:sz w:val="19"/>
                <w:szCs w:val="19"/>
                <w:highlight w:val="none"/>
              </w:rPr>
              <w:t>间</w:t>
            </w:r>
          </w:p>
        </w:tc>
        <w:tc>
          <w:tcPr>
            <w:tcW w:w="5181" w:type="dxa"/>
            <w:tcBorders>
              <w:right w:val="single" w:color="000000" w:sz="2" w:space="0"/>
            </w:tcBorders>
            <w:noWrap w:val="0"/>
            <w:vAlign w:val="top"/>
          </w:tcPr>
          <w:p w14:paraId="5220F0D5">
            <w:pPr>
              <w:rPr>
                <w:rFonts w:ascii="Arial"/>
                <w:color w:val="auto"/>
                <w:sz w:val="21"/>
                <w:highlight w:val="none"/>
              </w:rPr>
            </w:pPr>
          </w:p>
        </w:tc>
      </w:tr>
      <w:tr w14:paraId="7138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noWrap w:val="0"/>
            <w:vAlign w:val="top"/>
          </w:tcPr>
          <w:p w14:paraId="4AAC61FB">
            <w:pPr>
              <w:pStyle w:val="17"/>
              <w:spacing w:before="120" w:line="253" w:lineRule="auto"/>
              <w:ind w:left="370" w:right="350" w:firstLine="148"/>
              <w:rPr>
                <w:color w:val="auto"/>
                <w:sz w:val="19"/>
                <w:szCs w:val="19"/>
                <w:highlight w:val="none"/>
              </w:rPr>
            </w:pPr>
            <w:r>
              <w:rPr>
                <w:color w:val="auto"/>
                <w:spacing w:val="7"/>
                <w:sz w:val="19"/>
                <w:szCs w:val="19"/>
                <w:highlight w:val="none"/>
              </w:rPr>
              <w:t>第二节</w:t>
            </w:r>
            <w:r>
              <w:rPr>
                <w:color w:val="auto"/>
                <w:spacing w:val="-1"/>
                <w:sz w:val="19"/>
                <w:szCs w:val="19"/>
                <w:highlight w:val="none"/>
              </w:rPr>
              <w:t>第13.2款</w:t>
            </w:r>
          </w:p>
        </w:tc>
        <w:tc>
          <w:tcPr>
            <w:tcW w:w="1741" w:type="dxa"/>
            <w:noWrap w:val="0"/>
            <w:vAlign w:val="top"/>
          </w:tcPr>
          <w:p w14:paraId="1F038DA9">
            <w:pPr>
              <w:pStyle w:val="17"/>
              <w:spacing w:before="121" w:line="253" w:lineRule="auto"/>
              <w:ind w:left="109" w:right="231" w:firstLine="2"/>
              <w:rPr>
                <w:color w:val="auto"/>
                <w:sz w:val="19"/>
                <w:szCs w:val="19"/>
                <w:highlight w:val="none"/>
              </w:rPr>
            </w:pPr>
            <w:r>
              <w:rPr>
                <w:color w:val="auto"/>
                <w:spacing w:val="8"/>
                <w:sz w:val="19"/>
                <w:szCs w:val="19"/>
                <w:highlight w:val="none"/>
              </w:rPr>
              <w:t>履约保证金不予</w:t>
            </w:r>
            <w:r>
              <w:rPr>
                <w:color w:val="auto"/>
                <w:spacing w:val="7"/>
                <w:sz w:val="19"/>
                <w:szCs w:val="19"/>
                <w:highlight w:val="none"/>
              </w:rPr>
              <w:t>退还的情形</w:t>
            </w:r>
          </w:p>
        </w:tc>
        <w:tc>
          <w:tcPr>
            <w:tcW w:w="5181" w:type="dxa"/>
            <w:tcBorders>
              <w:right w:val="single" w:color="000000" w:sz="2" w:space="0"/>
            </w:tcBorders>
            <w:noWrap w:val="0"/>
            <w:vAlign w:val="top"/>
          </w:tcPr>
          <w:p w14:paraId="58948FBC">
            <w:pPr>
              <w:rPr>
                <w:rFonts w:ascii="Arial"/>
                <w:color w:val="auto"/>
                <w:sz w:val="21"/>
                <w:highlight w:val="none"/>
              </w:rPr>
            </w:pPr>
          </w:p>
        </w:tc>
      </w:tr>
      <w:tr w14:paraId="0E77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620" w:type="dxa"/>
            <w:tcBorders>
              <w:left w:val="single" w:color="000000" w:sz="2" w:space="0"/>
            </w:tcBorders>
            <w:noWrap w:val="0"/>
            <w:vAlign w:val="top"/>
          </w:tcPr>
          <w:p w14:paraId="0D0DD5B6">
            <w:pPr>
              <w:pStyle w:val="17"/>
              <w:spacing w:before="161" w:line="253" w:lineRule="auto"/>
              <w:ind w:left="370" w:right="350" w:firstLine="148"/>
              <w:rPr>
                <w:color w:val="auto"/>
                <w:sz w:val="19"/>
                <w:szCs w:val="19"/>
                <w:highlight w:val="none"/>
              </w:rPr>
            </w:pPr>
            <w:r>
              <w:rPr>
                <w:color w:val="auto"/>
                <w:spacing w:val="7"/>
                <w:sz w:val="19"/>
                <w:szCs w:val="19"/>
                <w:highlight w:val="none"/>
              </w:rPr>
              <w:t>第二节</w:t>
            </w:r>
            <w:r>
              <w:rPr>
                <w:color w:val="auto"/>
                <w:spacing w:val="-1"/>
                <w:sz w:val="19"/>
                <w:szCs w:val="19"/>
                <w:highlight w:val="none"/>
              </w:rPr>
              <w:t>第13.3款</w:t>
            </w:r>
          </w:p>
        </w:tc>
        <w:tc>
          <w:tcPr>
            <w:tcW w:w="1741" w:type="dxa"/>
            <w:noWrap w:val="0"/>
            <w:vAlign w:val="top"/>
          </w:tcPr>
          <w:p w14:paraId="0EF65753">
            <w:pPr>
              <w:pStyle w:val="17"/>
              <w:spacing w:before="31" w:line="230" w:lineRule="auto"/>
              <w:ind w:left="111"/>
              <w:rPr>
                <w:color w:val="auto"/>
                <w:sz w:val="19"/>
                <w:szCs w:val="19"/>
                <w:highlight w:val="none"/>
              </w:rPr>
            </w:pPr>
            <w:r>
              <w:rPr>
                <w:color w:val="auto"/>
                <w:spacing w:val="8"/>
                <w:sz w:val="19"/>
                <w:szCs w:val="19"/>
                <w:highlight w:val="none"/>
              </w:rPr>
              <w:t>履约保证金退还</w:t>
            </w:r>
          </w:p>
          <w:p w14:paraId="5699ADE0">
            <w:pPr>
              <w:pStyle w:val="17"/>
              <w:spacing w:before="22" w:line="234" w:lineRule="auto"/>
              <w:ind w:left="124" w:right="231" w:hanging="6"/>
              <w:rPr>
                <w:color w:val="auto"/>
                <w:sz w:val="19"/>
                <w:szCs w:val="19"/>
                <w:highlight w:val="none"/>
              </w:rPr>
            </w:pPr>
            <w:r>
              <w:rPr>
                <w:color w:val="auto"/>
                <w:spacing w:val="7"/>
                <w:sz w:val="19"/>
                <w:szCs w:val="19"/>
                <w:highlight w:val="none"/>
              </w:rPr>
              <w:t>时间及逾期退还</w:t>
            </w:r>
            <w:r>
              <w:rPr>
                <w:color w:val="auto"/>
                <w:spacing w:val="4"/>
                <w:sz w:val="19"/>
                <w:szCs w:val="19"/>
                <w:highlight w:val="none"/>
              </w:rPr>
              <w:t>的违约金</w:t>
            </w:r>
          </w:p>
        </w:tc>
        <w:tc>
          <w:tcPr>
            <w:tcW w:w="5181" w:type="dxa"/>
            <w:tcBorders>
              <w:right w:val="single" w:color="000000" w:sz="2" w:space="0"/>
            </w:tcBorders>
            <w:noWrap w:val="0"/>
            <w:vAlign w:val="top"/>
          </w:tcPr>
          <w:p w14:paraId="21D388DB">
            <w:pPr>
              <w:rPr>
                <w:rFonts w:ascii="Arial"/>
                <w:color w:val="auto"/>
                <w:sz w:val="21"/>
                <w:highlight w:val="none"/>
              </w:rPr>
            </w:pPr>
          </w:p>
        </w:tc>
      </w:tr>
      <w:tr w14:paraId="007F2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noWrap w:val="0"/>
            <w:vAlign w:val="top"/>
          </w:tcPr>
          <w:p w14:paraId="18238BCF">
            <w:pPr>
              <w:pStyle w:val="17"/>
              <w:spacing w:before="163" w:line="229" w:lineRule="auto"/>
              <w:ind w:left="519"/>
              <w:rPr>
                <w:color w:val="auto"/>
                <w:sz w:val="19"/>
                <w:szCs w:val="19"/>
                <w:highlight w:val="none"/>
              </w:rPr>
            </w:pPr>
            <w:r>
              <w:rPr>
                <w:color w:val="auto"/>
                <w:spacing w:val="7"/>
                <w:sz w:val="19"/>
                <w:szCs w:val="19"/>
                <w:highlight w:val="none"/>
              </w:rPr>
              <w:t>第二节</w:t>
            </w:r>
          </w:p>
          <w:p w14:paraId="52DEBE2B">
            <w:pPr>
              <w:pStyle w:val="17"/>
              <w:spacing w:before="23" w:line="229" w:lineRule="auto"/>
              <w:ind w:left="144"/>
              <w:rPr>
                <w:color w:val="auto"/>
                <w:sz w:val="19"/>
                <w:szCs w:val="19"/>
                <w:highlight w:val="none"/>
              </w:rPr>
            </w:pPr>
            <w:r>
              <w:rPr>
                <w:color w:val="auto"/>
                <w:spacing w:val="3"/>
                <w:sz w:val="19"/>
                <w:szCs w:val="19"/>
                <w:highlight w:val="none"/>
              </w:rPr>
              <w:t>第14.1（3）项</w:t>
            </w:r>
          </w:p>
        </w:tc>
        <w:tc>
          <w:tcPr>
            <w:tcW w:w="1741" w:type="dxa"/>
            <w:tcBorders>
              <w:bottom w:val="single" w:color="000000" w:sz="2" w:space="0"/>
            </w:tcBorders>
            <w:noWrap w:val="0"/>
            <w:vAlign w:val="top"/>
          </w:tcPr>
          <w:p w14:paraId="730C016C">
            <w:pPr>
              <w:pStyle w:val="17"/>
              <w:spacing w:before="165" w:line="253" w:lineRule="auto"/>
              <w:ind w:left="121" w:right="103" w:hanging="13"/>
              <w:rPr>
                <w:color w:val="auto"/>
                <w:sz w:val="19"/>
                <w:szCs w:val="19"/>
                <w:highlight w:val="none"/>
              </w:rPr>
            </w:pPr>
            <w:r>
              <w:rPr>
                <w:color w:val="auto"/>
                <w:spacing w:val="-1"/>
                <w:sz w:val="19"/>
                <w:szCs w:val="19"/>
                <w:highlight w:val="none"/>
              </w:rPr>
              <w:t>运行监督、维修期</w:t>
            </w:r>
            <w:r>
              <w:rPr>
                <w:color w:val="auto"/>
                <w:sz w:val="19"/>
                <w:szCs w:val="19"/>
                <w:highlight w:val="none"/>
              </w:rPr>
              <w:t>限</w:t>
            </w:r>
          </w:p>
        </w:tc>
        <w:tc>
          <w:tcPr>
            <w:tcW w:w="5181" w:type="dxa"/>
            <w:tcBorders>
              <w:bottom w:val="single" w:color="000000" w:sz="2" w:space="0"/>
              <w:right w:val="single" w:color="000000" w:sz="2" w:space="0"/>
            </w:tcBorders>
            <w:noWrap w:val="0"/>
            <w:vAlign w:val="top"/>
          </w:tcPr>
          <w:p w14:paraId="56597BB8">
            <w:pPr>
              <w:rPr>
                <w:rFonts w:ascii="Arial"/>
                <w:color w:val="auto"/>
                <w:sz w:val="21"/>
                <w:highlight w:val="none"/>
              </w:rPr>
            </w:pPr>
          </w:p>
        </w:tc>
      </w:tr>
    </w:tbl>
    <w:p w14:paraId="1286DAC3">
      <w:pPr>
        <w:rPr>
          <w:color w:val="auto"/>
          <w:highlight w:val="none"/>
        </w:rPr>
        <w:sectPr>
          <w:footerReference r:id="rId30" w:type="default"/>
          <w:pgSz w:w="11906" w:h="16839"/>
          <w:pgMar w:top="1401" w:right="1785" w:bottom="1209" w:left="1403" w:header="0" w:footer="973" w:gutter="0"/>
          <w:pgNumType w:fmt="decimal"/>
          <w:cols w:space="720" w:num="1"/>
        </w:sectPr>
      </w:pPr>
    </w:p>
    <w:tbl>
      <w:tblPr>
        <w:tblStyle w:val="18"/>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2D18A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tcBorders>
              <w:top w:val="single" w:color="000000" w:sz="2" w:space="0"/>
              <w:left w:val="single" w:color="000000" w:sz="2" w:space="0"/>
            </w:tcBorders>
            <w:noWrap w:val="0"/>
            <w:vAlign w:val="top"/>
          </w:tcPr>
          <w:p w14:paraId="289C19B1">
            <w:pPr>
              <w:pStyle w:val="17"/>
              <w:spacing w:before="187" w:line="229" w:lineRule="auto"/>
              <w:ind w:left="519"/>
              <w:rPr>
                <w:color w:val="auto"/>
                <w:sz w:val="19"/>
                <w:szCs w:val="19"/>
                <w:highlight w:val="none"/>
              </w:rPr>
            </w:pPr>
            <w:r>
              <w:rPr>
                <w:color w:val="auto"/>
                <w:spacing w:val="7"/>
                <w:sz w:val="19"/>
                <w:szCs w:val="19"/>
                <w:highlight w:val="none"/>
              </w:rPr>
              <w:t>第二节</w:t>
            </w:r>
          </w:p>
          <w:p w14:paraId="7657A14C">
            <w:pPr>
              <w:pStyle w:val="17"/>
              <w:spacing w:before="23" w:line="229" w:lineRule="auto"/>
              <w:ind w:left="144"/>
              <w:rPr>
                <w:color w:val="auto"/>
                <w:sz w:val="19"/>
                <w:szCs w:val="19"/>
                <w:highlight w:val="none"/>
              </w:rPr>
            </w:pPr>
            <w:r>
              <w:rPr>
                <w:color w:val="auto"/>
                <w:spacing w:val="3"/>
                <w:sz w:val="19"/>
                <w:szCs w:val="19"/>
                <w:highlight w:val="none"/>
              </w:rPr>
              <w:t>第14.1（5）项</w:t>
            </w:r>
          </w:p>
        </w:tc>
        <w:tc>
          <w:tcPr>
            <w:tcW w:w="1741" w:type="dxa"/>
            <w:tcBorders>
              <w:top w:val="single" w:color="000000" w:sz="2" w:space="0"/>
            </w:tcBorders>
            <w:noWrap w:val="0"/>
            <w:vAlign w:val="top"/>
          </w:tcPr>
          <w:p w14:paraId="4E565003">
            <w:pPr>
              <w:pStyle w:val="17"/>
              <w:spacing w:before="62" w:line="228" w:lineRule="auto"/>
              <w:ind w:left="113"/>
              <w:rPr>
                <w:color w:val="auto"/>
                <w:sz w:val="19"/>
                <w:szCs w:val="19"/>
                <w:highlight w:val="none"/>
              </w:rPr>
            </w:pPr>
            <w:r>
              <w:rPr>
                <w:color w:val="auto"/>
                <w:spacing w:val="8"/>
                <w:sz w:val="19"/>
                <w:szCs w:val="19"/>
                <w:highlight w:val="none"/>
              </w:rPr>
              <w:t>货物回收的约定</w:t>
            </w:r>
          </w:p>
        </w:tc>
        <w:tc>
          <w:tcPr>
            <w:tcW w:w="5181" w:type="dxa"/>
            <w:tcBorders>
              <w:top w:val="single" w:color="000000" w:sz="2" w:space="0"/>
              <w:right w:val="single" w:color="000000" w:sz="2" w:space="0"/>
            </w:tcBorders>
            <w:noWrap w:val="0"/>
            <w:vAlign w:val="top"/>
          </w:tcPr>
          <w:p w14:paraId="12F1714C">
            <w:pPr>
              <w:rPr>
                <w:rFonts w:ascii="Arial"/>
                <w:color w:val="auto"/>
                <w:sz w:val="21"/>
                <w:highlight w:val="none"/>
              </w:rPr>
            </w:pPr>
          </w:p>
        </w:tc>
      </w:tr>
      <w:tr w14:paraId="244FC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3271B81F">
            <w:pPr>
              <w:pStyle w:val="17"/>
              <w:spacing w:before="136" w:line="229" w:lineRule="auto"/>
              <w:ind w:left="519"/>
              <w:rPr>
                <w:color w:val="auto"/>
                <w:sz w:val="19"/>
                <w:szCs w:val="19"/>
                <w:highlight w:val="none"/>
              </w:rPr>
            </w:pPr>
            <w:r>
              <w:rPr>
                <w:color w:val="auto"/>
                <w:spacing w:val="7"/>
                <w:sz w:val="19"/>
                <w:szCs w:val="19"/>
                <w:highlight w:val="none"/>
              </w:rPr>
              <w:t>第二节</w:t>
            </w:r>
          </w:p>
          <w:p w14:paraId="4B3E63D2">
            <w:pPr>
              <w:pStyle w:val="17"/>
              <w:spacing w:before="23" w:line="229" w:lineRule="auto"/>
              <w:ind w:left="144"/>
              <w:rPr>
                <w:color w:val="auto"/>
                <w:sz w:val="19"/>
                <w:szCs w:val="19"/>
                <w:highlight w:val="none"/>
              </w:rPr>
            </w:pPr>
            <w:r>
              <w:rPr>
                <w:color w:val="auto"/>
                <w:spacing w:val="3"/>
                <w:sz w:val="19"/>
                <w:szCs w:val="19"/>
                <w:highlight w:val="none"/>
              </w:rPr>
              <w:t>第14.1（6）项</w:t>
            </w:r>
          </w:p>
        </w:tc>
        <w:tc>
          <w:tcPr>
            <w:tcW w:w="1741" w:type="dxa"/>
            <w:noWrap w:val="0"/>
            <w:vAlign w:val="top"/>
          </w:tcPr>
          <w:p w14:paraId="1D1408E1">
            <w:pPr>
              <w:pStyle w:val="17"/>
              <w:spacing w:before="137" w:line="253" w:lineRule="auto"/>
              <w:ind w:left="108" w:right="231" w:firstLine="16"/>
              <w:rPr>
                <w:color w:val="auto"/>
                <w:sz w:val="19"/>
                <w:szCs w:val="19"/>
                <w:highlight w:val="none"/>
              </w:rPr>
            </w:pPr>
            <w:r>
              <w:rPr>
                <w:color w:val="auto"/>
                <w:spacing w:val="6"/>
                <w:sz w:val="19"/>
                <w:szCs w:val="19"/>
                <w:highlight w:val="none"/>
              </w:rPr>
              <w:t>乙方提供的其他</w:t>
            </w:r>
            <w:r>
              <w:rPr>
                <w:color w:val="auto"/>
                <w:spacing w:val="5"/>
                <w:sz w:val="19"/>
                <w:szCs w:val="19"/>
                <w:highlight w:val="none"/>
              </w:rPr>
              <w:t>服务</w:t>
            </w:r>
          </w:p>
        </w:tc>
        <w:tc>
          <w:tcPr>
            <w:tcW w:w="5181" w:type="dxa"/>
            <w:tcBorders>
              <w:right w:val="single" w:color="000000" w:sz="2" w:space="0"/>
            </w:tcBorders>
            <w:noWrap w:val="0"/>
            <w:vAlign w:val="top"/>
          </w:tcPr>
          <w:p w14:paraId="0ABBDFAB">
            <w:pPr>
              <w:rPr>
                <w:rFonts w:ascii="Arial"/>
                <w:color w:val="auto"/>
                <w:sz w:val="21"/>
                <w:highlight w:val="none"/>
              </w:rPr>
            </w:pPr>
          </w:p>
        </w:tc>
      </w:tr>
      <w:tr w14:paraId="4C8B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3643574F">
            <w:pPr>
              <w:pStyle w:val="17"/>
              <w:spacing w:before="138" w:line="253" w:lineRule="auto"/>
              <w:ind w:left="370" w:right="350" w:firstLine="148"/>
              <w:rPr>
                <w:color w:val="auto"/>
                <w:sz w:val="19"/>
                <w:szCs w:val="19"/>
                <w:highlight w:val="none"/>
              </w:rPr>
            </w:pPr>
            <w:r>
              <w:rPr>
                <w:color w:val="auto"/>
                <w:spacing w:val="7"/>
                <w:sz w:val="19"/>
                <w:szCs w:val="19"/>
                <w:highlight w:val="none"/>
              </w:rPr>
              <w:t>第二节</w:t>
            </w:r>
            <w:r>
              <w:rPr>
                <w:color w:val="auto"/>
                <w:spacing w:val="-1"/>
                <w:sz w:val="19"/>
                <w:szCs w:val="19"/>
                <w:highlight w:val="none"/>
              </w:rPr>
              <w:t>第15.1款</w:t>
            </w:r>
          </w:p>
        </w:tc>
        <w:tc>
          <w:tcPr>
            <w:tcW w:w="1741" w:type="dxa"/>
            <w:noWrap w:val="0"/>
            <w:vAlign w:val="top"/>
          </w:tcPr>
          <w:p w14:paraId="343B4940">
            <w:pPr>
              <w:pStyle w:val="17"/>
              <w:spacing w:before="137" w:line="254" w:lineRule="auto"/>
              <w:ind w:left="108" w:right="103"/>
              <w:rPr>
                <w:color w:val="auto"/>
                <w:sz w:val="19"/>
                <w:szCs w:val="19"/>
                <w:highlight w:val="none"/>
              </w:rPr>
            </w:pPr>
            <w:r>
              <w:rPr>
                <w:color w:val="auto"/>
                <w:spacing w:val="-1"/>
                <w:sz w:val="19"/>
                <w:szCs w:val="19"/>
                <w:highlight w:val="none"/>
              </w:rPr>
              <w:t>修理、重作、更换</w:t>
            </w:r>
            <w:r>
              <w:rPr>
                <w:color w:val="auto"/>
                <w:spacing w:val="8"/>
                <w:sz w:val="19"/>
                <w:szCs w:val="19"/>
                <w:highlight w:val="none"/>
              </w:rPr>
              <w:t>相关具体规定</w:t>
            </w:r>
          </w:p>
        </w:tc>
        <w:tc>
          <w:tcPr>
            <w:tcW w:w="5181" w:type="dxa"/>
            <w:tcBorders>
              <w:right w:val="single" w:color="000000" w:sz="2" w:space="0"/>
            </w:tcBorders>
            <w:noWrap w:val="0"/>
            <w:vAlign w:val="top"/>
          </w:tcPr>
          <w:p w14:paraId="70FCA92E">
            <w:pPr>
              <w:rPr>
                <w:rFonts w:ascii="Arial"/>
                <w:color w:val="auto"/>
                <w:sz w:val="21"/>
                <w:highlight w:val="none"/>
              </w:rPr>
            </w:pPr>
          </w:p>
        </w:tc>
      </w:tr>
      <w:tr w14:paraId="6157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49EAD10E">
            <w:pPr>
              <w:pStyle w:val="17"/>
              <w:spacing w:before="139" w:line="229" w:lineRule="auto"/>
              <w:ind w:left="519"/>
              <w:rPr>
                <w:color w:val="auto"/>
                <w:sz w:val="19"/>
                <w:szCs w:val="19"/>
                <w:highlight w:val="none"/>
              </w:rPr>
            </w:pPr>
            <w:r>
              <w:rPr>
                <w:color w:val="auto"/>
                <w:spacing w:val="7"/>
                <w:sz w:val="19"/>
                <w:szCs w:val="19"/>
                <w:highlight w:val="none"/>
              </w:rPr>
              <w:t>第二节</w:t>
            </w:r>
          </w:p>
          <w:p w14:paraId="1731F831">
            <w:pPr>
              <w:pStyle w:val="17"/>
              <w:spacing w:before="23" w:line="229" w:lineRule="auto"/>
              <w:ind w:left="144"/>
              <w:rPr>
                <w:color w:val="auto"/>
                <w:sz w:val="19"/>
                <w:szCs w:val="19"/>
                <w:highlight w:val="none"/>
              </w:rPr>
            </w:pPr>
            <w:r>
              <w:rPr>
                <w:color w:val="auto"/>
                <w:spacing w:val="3"/>
                <w:sz w:val="19"/>
                <w:szCs w:val="19"/>
                <w:highlight w:val="none"/>
              </w:rPr>
              <w:t>第15.2（2）项</w:t>
            </w:r>
          </w:p>
        </w:tc>
        <w:tc>
          <w:tcPr>
            <w:tcW w:w="1741" w:type="dxa"/>
            <w:noWrap w:val="0"/>
            <w:vAlign w:val="top"/>
          </w:tcPr>
          <w:p w14:paraId="31A77DD0">
            <w:pPr>
              <w:pStyle w:val="17"/>
              <w:spacing w:before="269" w:line="228" w:lineRule="auto"/>
              <w:ind w:left="108"/>
              <w:rPr>
                <w:color w:val="auto"/>
                <w:sz w:val="19"/>
                <w:szCs w:val="19"/>
                <w:highlight w:val="none"/>
              </w:rPr>
            </w:pPr>
            <w:r>
              <w:rPr>
                <w:color w:val="auto"/>
                <w:spacing w:val="8"/>
                <w:sz w:val="19"/>
                <w:szCs w:val="19"/>
                <w:highlight w:val="none"/>
              </w:rPr>
              <w:t>迟延交货赔偿费</w:t>
            </w:r>
          </w:p>
        </w:tc>
        <w:tc>
          <w:tcPr>
            <w:tcW w:w="5181" w:type="dxa"/>
            <w:tcBorders>
              <w:right w:val="single" w:color="000000" w:sz="2" w:space="0"/>
            </w:tcBorders>
            <w:noWrap w:val="0"/>
            <w:vAlign w:val="top"/>
          </w:tcPr>
          <w:p w14:paraId="0E874363">
            <w:pPr>
              <w:rPr>
                <w:rFonts w:ascii="Arial"/>
                <w:color w:val="auto"/>
                <w:sz w:val="21"/>
                <w:highlight w:val="none"/>
              </w:rPr>
            </w:pPr>
          </w:p>
        </w:tc>
      </w:tr>
      <w:tr w14:paraId="4849C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noWrap w:val="0"/>
            <w:vAlign w:val="top"/>
          </w:tcPr>
          <w:p w14:paraId="4181405F">
            <w:pPr>
              <w:pStyle w:val="17"/>
              <w:spacing w:before="140" w:line="253" w:lineRule="auto"/>
              <w:ind w:left="370" w:right="350" w:firstLine="148"/>
              <w:rPr>
                <w:color w:val="auto"/>
                <w:sz w:val="19"/>
                <w:szCs w:val="19"/>
                <w:highlight w:val="none"/>
              </w:rPr>
            </w:pPr>
            <w:r>
              <w:rPr>
                <w:color w:val="auto"/>
                <w:spacing w:val="7"/>
                <w:sz w:val="19"/>
                <w:szCs w:val="19"/>
                <w:highlight w:val="none"/>
              </w:rPr>
              <w:t>第二节</w:t>
            </w:r>
            <w:r>
              <w:rPr>
                <w:color w:val="auto"/>
                <w:spacing w:val="-1"/>
                <w:sz w:val="19"/>
                <w:szCs w:val="19"/>
                <w:highlight w:val="none"/>
              </w:rPr>
              <w:t>第15.3款</w:t>
            </w:r>
          </w:p>
        </w:tc>
        <w:tc>
          <w:tcPr>
            <w:tcW w:w="1741" w:type="dxa"/>
            <w:noWrap w:val="0"/>
            <w:vAlign w:val="top"/>
          </w:tcPr>
          <w:p w14:paraId="675ED602">
            <w:pPr>
              <w:pStyle w:val="17"/>
              <w:spacing w:before="270" w:line="229" w:lineRule="auto"/>
              <w:ind w:left="107"/>
              <w:rPr>
                <w:color w:val="auto"/>
                <w:sz w:val="19"/>
                <w:szCs w:val="19"/>
                <w:highlight w:val="none"/>
              </w:rPr>
            </w:pPr>
            <w:r>
              <w:rPr>
                <w:color w:val="auto"/>
                <w:spacing w:val="8"/>
                <w:sz w:val="19"/>
                <w:szCs w:val="19"/>
                <w:highlight w:val="none"/>
              </w:rPr>
              <w:t>逾期付款利息</w:t>
            </w:r>
          </w:p>
        </w:tc>
        <w:tc>
          <w:tcPr>
            <w:tcW w:w="5181" w:type="dxa"/>
            <w:tcBorders>
              <w:right w:val="single" w:color="000000" w:sz="2" w:space="0"/>
            </w:tcBorders>
            <w:noWrap w:val="0"/>
            <w:vAlign w:val="top"/>
          </w:tcPr>
          <w:p w14:paraId="1B5218AE">
            <w:pPr>
              <w:rPr>
                <w:rFonts w:ascii="Arial"/>
                <w:color w:val="auto"/>
                <w:sz w:val="21"/>
                <w:highlight w:val="none"/>
              </w:rPr>
            </w:pPr>
          </w:p>
        </w:tc>
      </w:tr>
      <w:tr w14:paraId="781D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noWrap w:val="0"/>
            <w:vAlign w:val="top"/>
          </w:tcPr>
          <w:p w14:paraId="1329A7E7">
            <w:pPr>
              <w:pStyle w:val="17"/>
              <w:spacing w:before="211" w:line="253" w:lineRule="auto"/>
              <w:ind w:left="370" w:right="352" w:firstLine="148"/>
              <w:rPr>
                <w:color w:val="auto"/>
                <w:sz w:val="19"/>
                <w:szCs w:val="19"/>
                <w:highlight w:val="none"/>
              </w:rPr>
            </w:pPr>
            <w:r>
              <w:rPr>
                <w:color w:val="auto"/>
                <w:spacing w:val="7"/>
                <w:sz w:val="19"/>
                <w:szCs w:val="19"/>
                <w:highlight w:val="none"/>
              </w:rPr>
              <w:t>第二节</w:t>
            </w:r>
            <w:r>
              <w:rPr>
                <w:color w:val="auto"/>
                <w:spacing w:val="-1"/>
                <w:sz w:val="19"/>
                <w:szCs w:val="19"/>
                <w:highlight w:val="none"/>
              </w:rPr>
              <w:t>第15.4款</w:t>
            </w:r>
          </w:p>
        </w:tc>
        <w:tc>
          <w:tcPr>
            <w:tcW w:w="1741" w:type="dxa"/>
            <w:tcBorders>
              <w:left w:val="single" w:color="000000" w:sz="2" w:space="0"/>
              <w:bottom w:val="single" w:color="000000" w:sz="2" w:space="0"/>
              <w:right w:val="single" w:color="000000" w:sz="2" w:space="0"/>
            </w:tcBorders>
            <w:noWrap w:val="0"/>
            <w:vAlign w:val="top"/>
          </w:tcPr>
          <w:p w14:paraId="3C3C5C26">
            <w:pPr>
              <w:pStyle w:val="17"/>
              <w:spacing w:before="62" w:line="229" w:lineRule="auto"/>
              <w:ind w:left="111"/>
              <w:rPr>
                <w:color w:val="auto"/>
                <w:sz w:val="19"/>
                <w:szCs w:val="19"/>
                <w:highlight w:val="none"/>
              </w:rPr>
            </w:pPr>
            <w:r>
              <w:rPr>
                <w:color w:val="auto"/>
                <w:spacing w:val="8"/>
                <w:sz w:val="19"/>
                <w:szCs w:val="19"/>
                <w:highlight w:val="none"/>
              </w:rPr>
              <w:t>其他违约责任</w:t>
            </w:r>
          </w:p>
        </w:tc>
        <w:tc>
          <w:tcPr>
            <w:tcW w:w="5181" w:type="dxa"/>
            <w:tcBorders>
              <w:left w:val="single" w:color="000000" w:sz="2" w:space="0"/>
              <w:bottom w:val="single" w:color="000000" w:sz="2" w:space="0"/>
              <w:right w:val="single" w:color="000000" w:sz="2" w:space="0"/>
            </w:tcBorders>
            <w:noWrap w:val="0"/>
            <w:vAlign w:val="top"/>
          </w:tcPr>
          <w:p w14:paraId="6144ADA3">
            <w:pPr>
              <w:rPr>
                <w:rFonts w:ascii="Arial"/>
                <w:color w:val="auto"/>
                <w:sz w:val="21"/>
                <w:highlight w:val="none"/>
              </w:rPr>
            </w:pPr>
          </w:p>
        </w:tc>
      </w:tr>
      <w:tr w14:paraId="0DD86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3" w:hRule="atLeast"/>
        </w:trPr>
        <w:tc>
          <w:tcPr>
            <w:tcW w:w="1620" w:type="dxa"/>
            <w:tcBorders>
              <w:top w:val="single" w:color="000000" w:sz="2" w:space="0"/>
              <w:left w:val="single" w:color="000000" w:sz="2" w:space="0"/>
              <w:right w:val="single" w:color="000000" w:sz="2" w:space="0"/>
            </w:tcBorders>
            <w:noWrap w:val="0"/>
            <w:vAlign w:val="top"/>
          </w:tcPr>
          <w:p w14:paraId="72788929">
            <w:pPr>
              <w:pStyle w:val="17"/>
              <w:spacing w:before="62" w:line="253" w:lineRule="auto"/>
              <w:ind w:left="370" w:right="352" w:firstLine="148"/>
              <w:rPr>
                <w:color w:val="auto"/>
                <w:sz w:val="19"/>
                <w:szCs w:val="19"/>
                <w:highlight w:val="none"/>
              </w:rPr>
            </w:pPr>
            <w:r>
              <w:rPr>
                <w:color w:val="auto"/>
                <w:spacing w:val="7"/>
                <w:sz w:val="19"/>
                <w:szCs w:val="19"/>
                <w:highlight w:val="none"/>
              </w:rPr>
              <w:t>第二节</w:t>
            </w:r>
            <w:r>
              <w:rPr>
                <w:color w:val="auto"/>
                <w:spacing w:val="-1"/>
                <w:sz w:val="19"/>
                <w:szCs w:val="19"/>
                <w:highlight w:val="none"/>
              </w:rPr>
              <w:t>第19.2款</w:t>
            </w:r>
          </w:p>
        </w:tc>
        <w:tc>
          <w:tcPr>
            <w:tcW w:w="1741" w:type="dxa"/>
            <w:tcBorders>
              <w:top w:val="single" w:color="000000" w:sz="2" w:space="0"/>
              <w:left w:val="single" w:color="000000" w:sz="2" w:space="0"/>
              <w:right w:val="single" w:color="000000" w:sz="2" w:space="0"/>
            </w:tcBorders>
            <w:noWrap w:val="0"/>
            <w:vAlign w:val="top"/>
          </w:tcPr>
          <w:p w14:paraId="71D48E56">
            <w:pPr>
              <w:pStyle w:val="17"/>
              <w:spacing w:before="61" w:line="229" w:lineRule="auto"/>
              <w:ind w:left="110"/>
              <w:rPr>
                <w:color w:val="auto"/>
                <w:sz w:val="19"/>
                <w:szCs w:val="19"/>
                <w:highlight w:val="none"/>
              </w:rPr>
            </w:pPr>
            <w:r>
              <w:rPr>
                <w:color w:val="auto"/>
                <w:spacing w:val="8"/>
                <w:sz w:val="19"/>
                <w:szCs w:val="19"/>
                <w:highlight w:val="none"/>
              </w:rPr>
              <w:t>解决争议的方法</w:t>
            </w:r>
          </w:p>
        </w:tc>
        <w:tc>
          <w:tcPr>
            <w:tcW w:w="5181" w:type="dxa"/>
            <w:tcBorders>
              <w:top w:val="single" w:color="000000" w:sz="2" w:space="0"/>
              <w:left w:val="single" w:color="000000" w:sz="2" w:space="0"/>
              <w:right w:val="single" w:color="000000" w:sz="2" w:space="0"/>
            </w:tcBorders>
            <w:noWrap w:val="0"/>
            <w:vAlign w:val="top"/>
          </w:tcPr>
          <w:p w14:paraId="44C4227A">
            <w:pPr>
              <w:pStyle w:val="17"/>
              <w:spacing w:before="152" w:line="389" w:lineRule="auto"/>
              <w:ind w:left="116" w:right="173" w:firstLine="11"/>
              <w:rPr>
                <w:color w:val="auto"/>
                <w:sz w:val="19"/>
                <w:szCs w:val="19"/>
                <w:highlight w:val="none"/>
              </w:rPr>
            </w:pPr>
            <w:r>
              <w:rPr>
                <w:color w:val="auto"/>
                <w:spacing w:val="8"/>
                <w:sz w:val="19"/>
                <w:szCs w:val="19"/>
                <w:highlight w:val="none"/>
              </w:rPr>
              <w:t>因本合同及合同有关事项发生的争议，按下列第种方</w:t>
            </w:r>
            <w:r>
              <w:rPr>
                <w:color w:val="auto"/>
                <w:spacing w:val="4"/>
                <w:sz w:val="19"/>
                <w:szCs w:val="19"/>
                <w:highlight w:val="none"/>
              </w:rPr>
              <w:t>式解决：</w:t>
            </w:r>
          </w:p>
          <w:p w14:paraId="458C2322">
            <w:pPr>
              <w:pStyle w:val="17"/>
              <w:spacing w:before="1" w:line="308" w:lineRule="auto"/>
              <w:ind w:left="113" w:right="173" w:firstLine="9"/>
              <w:rPr>
                <w:color w:val="auto"/>
                <w:sz w:val="19"/>
                <w:szCs w:val="19"/>
                <w:highlight w:val="none"/>
              </w:rPr>
            </w:pPr>
            <w:r>
              <w:rPr>
                <w:color w:val="auto"/>
                <w:spacing w:val="7"/>
                <w:sz w:val="19"/>
                <w:szCs w:val="19"/>
                <w:highlight w:val="none"/>
              </w:rPr>
              <w:t>（1）向仲裁委员会申请仲裁，仲</w:t>
            </w:r>
            <w:r>
              <w:rPr>
                <w:color w:val="auto"/>
                <w:spacing w:val="6"/>
                <w:sz w:val="19"/>
                <w:szCs w:val="19"/>
                <w:highlight w:val="none"/>
              </w:rPr>
              <w:t>裁地点为；</w:t>
            </w:r>
          </w:p>
          <w:p w14:paraId="12E26D8C">
            <w:pPr>
              <w:pStyle w:val="17"/>
              <w:spacing w:before="43" w:line="215" w:lineRule="auto"/>
              <w:ind w:left="122"/>
              <w:rPr>
                <w:color w:val="auto"/>
                <w:sz w:val="19"/>
                <w:szCs w:val="19"/>
                <w:highlight w:val="none"/>
              </w:rPr>
            </w:pPr>
            <w:r>
              <w:rPr>
                <w:color w:val="auto"/>
                <w:spacing w:val="5"/>
                <w:sz w:val="19"/>
                <w:szCs w:val="19"/>
                <w:highlight w:val="none"/>
              </w:rPr>
              <w:t>（2）向人民法院起诉。</w:t>
            </w:r>
          </w:p>
        </w:tc>
      </w:tr>
      <w:tr w14:paraId="10212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noWrap w:val="0"/>
            <w:vAlign w:val="top"/>
          </w:tcPr>
          <w:p w14:paraId="3600E877">
            <w:pPr>
              <w:pStyle w:val="17"/>
              <w:spacing w:before="160" w:line="253" w:lineRule="auto"/>
              <w:ind w:left="370" w:right="350" w:firstLine="148"/>
              <w:rPr>
                <w:color w:val="auto"/>
                <w:sz w:val="19"/>
                <w:szCs w:val="19"/>
                <w:highlight w:val="none"/>
              </w:rPr>
            </w:pPr>
            <w:r>
              <w:rPr>
                <w:color w:val="auto"/>
                <w:spacing w:val="7"/>
                <w:sz w:val="19"/>
                <w:szCs w:val="19"/>
                <w:highlight w:val="none"/>
              </w:rPr>
              <w:t>第二节</w:t>
            </w:r>
            <w:r>
              <w:rPr>
                <w:color w:val="auto"/>
                <w:spacing w:val="2"/>
                <w:sz w:val="19"/>
                <w:szCs w:val="19"/>
                <w:highlight w:val="none"/>
              </w:rPr>
              <w:t>第23.1款</w:t>
            </w:r>
          </w:p>
        </w:tc>
        <w:tc>
          <w:tcPr>
            <w:tcW w:w="1741" w:type="dxa"/>
            <w:tcBorders>
              <w:bottom w:val="single" w:color="000000" w:sz="2" w:space="0"/>
            </w:tcBorders>
            <w:noWrap w:val="0"/>
            <w:vAlign w:val="top"/>
          </w:tcPr>
          <w:p w14:paraId="18D3DEF1">
            <w:pPr>
              <w:pStyle w:val="17"/>
              <w:spacing w:before="289" w:line="229" w:lineRule="auto"/>
              <w:ind w:left="109"/>
              <w:rPr>
                <w:color w:val="auto"/>
                <w:sz w:val="19"/>
                <w:szCs w:val="19"/>
                <w:highlight w:val="none"/>
              </w:rPr>
            </w:pPr>
            <w:r>
              <w:rPr>
                <w:color w:val="auto"/>
                <w:spacing w:val="8"/>
                <w:sz w:val="19"/>
                <w:szCs w:val="19"/>
                <w:highlight w:val="none"/>
              </w:rPr>
              <w:t>其他专用条款</w:t>
            </w:r>
          </w:p>
        </w:tc>
        <w:tc>
          <w:tcPr>
            <w:tcW w:w="5181" w:type="dxa"/>
            <w:tcBorders>
              <w:bottom w:val="single" w:color="000000" w:sz="2" w:space="0"/>
              <w:right w:val="single" w:color="000000" w:sz="2" w:space="0"/>
            </w:tcBorders>
            <w:noWrap w:val="0"/>
            <w:vAlign w:val="top"/>
          </w:tcPr>
          <w:p w14:paraId="133A38F9">
            <w:pPr>
              <w:rPr>
                <w:rFonts w:ascii="Arial"/>
                <w:color w:val="auto"/>
                <w:sz w:val="21"/>
                <w:highlight w:val="none"/>
              </w:rPr>
            </w:pPr>
          </w:p>
        </w:tc>
      </w:tr>
    </w:tbl>
    <w:p w14:paraId="0E915DED">
      <w:pPr>
        <w:spacing w:before="78" w:line="219" w:lineRule="auto"/>
        <w:ind w:left="24"/>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注：此合同为参考模板，具体以双方实际签</w:t>
      </w:r>
      <w:r>
        <w:rPr>
          <w:rFonts w:ascii="宋体" w:hAnsi="宋体" w:eastAsia="宋体" w:cs="宋体"/>
          <w:b/>
          <w:bCs/>
          <w:color w:val="auto"/>
          <w:spacing w:val="-3"/>
          <w:sz w:val="24"/>
          <w:szCs w:val="24"/>
          <w:highlight w:val="none"/>
        </w:rPr>
        <w:t>订为准。</w:t>
      </w:r>
    </w:p>
    <w:p w14:paraId="2AD418DF">
      <w:pPr>
        <w:spacing w:line="219" w:lineRule="auto"/>
        <w:rPr>
          <w:rFonts w:ascii="宋体" w:hAnsi="宋体" w:eastAsia="宋体" w:cs="宋体"/>
          <w:color w:val="auto"/>
          <w:sz w:val="24"/>
          <w:szCs w:val="24"/>
          <w:highlight w:val="none"/>
        </w:rPr>
        <w:sectPr>
          <w:footerReference r:id="rId31" w:type="default"/>
          <w:pgSz w:w="11906" w:h="16839"/>
          <w:pgMar w:top="1418" w:right="1785" w:bottom="1209" w:left="1403" w:header="0" w:footer="973" w:gutter="0"/>
          <w:pgNumType w:fmt="decimal"/>
          <w:cols w:space="720" w:num="1"/>
        </w:sectPr>
      </w:pPr>
    </w:p>
    <w:p w14:paraId="203BD1C3">
      <w:pPr>
        <w:spacing w:before="114" w:line="225" w:lineRule="auto"/>
        <w:ind w:left="2279"/>
        <w:outlineLvl w:val="0"/>
        <w:rPr>
          <w:rFonts w:ascii="宋体" w:hAnsi="宋体" w:eastAsia="宋体" w:cs="宋体"/>
          <w:color w:val="auto"/>
          <w:sz w:val="35"/>
          <w:szCs w:val="35"/>
          <w:highlight w:val="none"/>
        </w:rPr>
      </w:pPr>
      <w:bookmarkStart w:id="9" w:name="_Toc2765"/>
      <w:r>
        <w:rPr>
          <w:rFonts w:ascii="宋体" w:hAnsi="宋体" w:eastAsia="宋体" w:cs="宋体"/>
          <w:b/>
          <w:bCs/>
          <w:color w:val="auto"/>
          <w:spacing w:val="6"/>
          <w:sz w:val="35"/>
          <w:szCs w:val="35"/>
          <w:highlight w:val="none"/>
        </w:rPr>
        <w:t>第六部分投标文件格式</w:t>
      </w:r>
      <w:bookmarkEnd w:id="9"/>
    </w:p>
    <w:p w14:paraId="19D4A4F0">
      <w:pPr>
        <w:spacing w:line="225" w:lineRule="auto"/>
        <w:rPr>
          <w:rFonts w:ascii="宋体" w:hAnsi="宋体" w:eastAsia="宋体" w:cs="宋体"/>
          <w:color w:val="auto"/>
          <w:sz w:val="35"/>
          <w:szCs w:val="35"/>
          <w:highlight w:val="none"/>
        </w:rPr>
        <w:sectPr>
          <w:footerReference r:id="rId32" w:type="default"/>
          <w:pgSz w:w="11906" w:h="16839"/>
          <w:pgMar w:top="1431" w:right="1785" w:bottom="1209" w:left="1785" w:header="0" w:footer="973" w:gutter="0"/>
          <w:pgNumType w:fmt="decimal"/>
          <w:cols w:space="720" w:num="1"/>
        </w:sectPr>
      </w:pPr>
    </w:p>
    <w:p w14:paraId="7C02F97B">
      <w:pPr>
        <w:spacing w:before="114" w:line="225" w:lineRule="auto"/>
        <w:jc w:val="right"/>
        <w:rPr>
          <w:rFonts w:ascii="宋体" w:hAnsi="宋体" w:eastAsia="宋体" w:cs="宋体"/>
          <w:color w:val="auto"/>
          <w:sz w:val="35"/>
          <w:szCs w:val="35"/>
          <w:highlight w:val="none"/>
        </w:rPr>
      </w:pPr>
      <w:r>
        <w:rPr>
          <w:rFonts w:ascii="宋体" w:hAnsi="宋体" w:eastAsia="宋体" w:cs="宋体"/>
          <w:b/>
          <w:bCs/>
          <w:color w:val="auto"/>
          <w:sz w:val="35"/>
          <w:szCs w:val="35"/>
          <w:highlight w:val="none"/>
        </w:rPr>
        <w:t>正/副本</w:t>
      </w:r>
    </w:p>
    <w:p w14:paraId="4F866C2A">
      <w:pPr>
        <w:tabs>
          <w:tab w:val="left" w:pos="4612"/>
        </w:tabs>
        <w:spacing w:before="114" w:line="226" w:lineRule="auto"/>
        <w:jc w:val="center"/>
        <w:rPr>
          <w:rFonts w:ascii="宋体" w:hAnsi="宋体" w:eastAsia="宋体" w:cs="宋体"/>
          <w:color w:val="auto"/>
          <w:sz w:val="35"/>
          <w:szCs w:val="35"/>
          <w:highlight w:val="none"/>
        </w:rPr>
      </w:pPr>
      <w:r>
        <w:rPr>
          <w:rFonts w:ascii="宋体" w:hAnsi="宋体" w:eastAsia="宋体" w:cs="宋体"/>
          <w:color w:val="auto"/>
          <w:spacing w:val="8"/>
          <w:sz w:val="35"/>
          <w:szCs w:val="35"/>
          <w:highlight w:val="none"/>
        </w:rPr>
        <w:t>（项目名称）</w:t>
      </w:r>
    </w:p>
    <w:p w14:paraId="555EC640">
      <w:pPr>
        <w:spacing w:before="464" w:line="221" w:lineRule="auto"/>
        <w:ind w:left="1445"/>
        <w:rPr>
          <w:rFonts w:ascii="宋体" w:hAnsi="宋体" w:eastAsia="宋体" w:cs="宋体"/>
          <w:color w:val="auto"/>
          <w:spacing w:val="-9"/>
          <w:sz w:val="143"/>
          <w:szCs w:val="143"/>
          <w:highlight w:val="none"/>
        </w:rPr>
      </w:pPr>
    </w:p>
    <w:p w14:paraId="7F9E65E9">
      <w:pPr>
        <w:spacing w:before="464" w:line="221" w:lineRule="auto"/>
        <w:ind w:left="1445" w:leftChars="0"/>
        <w:outlineLvl w:val="1"/>
        <w:rPr>
          <w:rFonts w:ascii="宋体" w:hAnsi="宋体" w:eastAsia="宋体" w:cs="宋体"/>
          <w:color w:val="auto"/>
          <w:sz w:val="143"/>
          <w:szCs w:val="143"/>
          <w:highlight w:val="none"/>
        </w:rPr>
      </w:pPr>
      <w:r>
        <w:rPr>
          <w:rFonts w:ascii="宋体" w:hAnsi="宋体" w:eastAsia="宋体" w:cs="宋体"/>
          <w:color w:val="auto"/>
          <w:spacing w:val="-9"/>
          <w:sz w:val="143"/>
          <w:szCs w:val="143"/>
          <w:highlight w:val="none"/>
        </w:rPr>
        <w:t>投标文件</w:t>
      </w:r>
    </w:p>
    <w:p w14:paraId="67E6A2A7">
      <w:pPr>
        <w:spacing w:before="91" w:line="221" w:lineRule="auto"/>
        <w:ind w:left="3567"/>
        <w:rPr>
          <w:rFonts w:ascii="宋体" w:hAnsi="宋体" w:eastAsia="宋体" w:cs="宋体"/>
          <w:color w:val="auto"/>
          <w:spacing w:val="-3"/>
          <w:sz w:val="28"/>
          <w:szCs w:val="28"/>
          <w:highlight w:val="none"/>
        </w:rPr>
      </w:pPr>
    </w:p>
    <w:p w14:paraId="586E5CD5">
      <w:pPr>
        <w:spacing w:before="91" w:line="221" w:lineRule="auto"/>
        <w:ind w:left="356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项目编号：</w:t>
      </w:r>
    </w:p>
    <w:p w14:paraId="2C1524F8">
      <w:pPr>
        <w:spacing w:before="91" w:line="220" w:lineRule="auto"/>
        <w:ind w:left="761"/>
        <w:rPr>
          <w:rFonts w:ascii="宋体" w:hAnsi="宋体" w:eastAsia="宋体" w:cs="宋体"/>
          <w:color w:val="auto"/>
          <w:spacing w:val="3"/>
          <w:sz w:val="28"/>
          <w:szCs w:val="28"/>
          <w:highlight w:val="none"/>
        </w:rPr>
      </w:pPr>
    </w:p>
    <w:p w14:paraId="7A02D806">
      <w:pPr>
        <w:spacing w:before="91" w:line="220" w:lineRule="auto"/>
        <w:ind w:left="761"/>
        <w:rPr>
          <w:rFonts w:ascii="宋体" w:hAnsi="宋体" w:eastAsia="宋体" w:cs="宋体"/>
          <w:color w:val="auto"/>
          <w:spacing w:val="3"/>
          <w:sz w:val="28"/>
          <w:szCs w:val="28"/>
          <w:highlight w:val="none"/>
        </w:rPr>
      </w:pPr>
    </w:p>
    <w:p w14:paraId="0B6D74AF">
      <w:pPr>
        <w:spacing w:before="91" w:line="220" w:lineRule="auto"/>
        <w:ind w:left="761"/>
        <w:rPr>
          <w:rFonts w:ascii="宋体" w:hAnsi="宋体" w:eastAsia="宋体" w:cs="宋体"/>
          <w:color w:val="auto"/>
          <w:spacing w:val="3"/>
          <w:sz w:val="28"/>
          <w:szCs w:val="28"/>
          <w:highlight w:val="none"/>
        </w:rPr>
      </w:pPr>
    </w:p>
    <w:p w14:paraId="7F49419B">
      <w:pPr>
        <w:spacing w:before="91" w:line="220" w:lineRule="auto"/>
        <w:ind w:left="761"/>
        <w:rPr>
          <w:rFonts w:ascii="宋体" w:hAnsi="宋体" w:eastAsia="宋体" w:cs="宋体"/>
          <w:color w:val="auto"/>
          <w:spacing w:val="3"/>
          <w:sz w:val="28"/>
          <w:szCs w:val="28"/>
          <w:highlight w:val="none"/>
        </w:rPr>
      </w:pPr>
    </w:p>
    <w:p w14:paraId="6778099F">
      <w:pPr>
        <w:spacing w:before="91" w:line="220" w:lineRule="auto"/>
        <w:ind w:left="761"/>
        <w:rPr>
          <w:rFonts w:ascii="宋体" w:hAnsi="宋体" w:eastAsia="宋体" w:cs="宋体"/>
          <w:color w:val="auto"/>
          <w:spacing w:val="3"/>
          <w:sz w:val="28"/>
          <w:szCs w:val="28"/>
          <w:highlight w:val="none"/>
        </w:rPr>
      </w:pPr>
    </w:p>
    <w:p w14:paraId="70B72CC6">
      <w:pPr>
        <w:spacing w:before="91" w:line="220" w:lineRule="auto"/>
        <w:ind w:left="761"/>
        <w:rPr>
          <w:rFonts w:ascii="宋体" w:hAnsi="宋体" w:eastAsia="宋体" w:cs="宋体"/>
          <w:color w:val="auto"/>
          <w:spacing w:val="3"/>
          <w:sz w:val="28"/>
          <w:szCs w:val="28"/>
          <w:highlight w:val="none"/>
        </w:rPr>
      </w:pPr>
    </w:p>
    <w:p w14:paraId="323088F0">
      <w:pPr>
        <w:spacing w:before="91" w:line="220" w:lineRule="auto"/>
        <w:ind w:left="761"/>
        <w:rPr>
          <w:rFonts w:ascii="宋体" w:hAnsi="宋体" w:eastAsia="宋体" w:cs="宋体"/>
          <w:color w:val="auto"/>
          <w:spacing w:val="3"/>
          <w:sz w:val="28"/>
          <w:szCs w:val="28"/>
          <w:highlight w:val="none"/>
        </w:rPr>
      </w:pPr>
    </w:p>
    <w:p w14:paraId="5827A8F1">
      <w:pPr>
        <w:spacing w:before="91" w:line="220" w:lineRule="auto"/>
        <w:ind w:left="76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供应商名称</w:t>
      </w:r>
      <w:r>
        <w:rPr>
          <w:rFonts w:ascii="宋体" w:hAnsi="宋体" w:eastAsia="宋体" w:cs="宋体"/>
          <w:color w:val="auto"/>
          <w:spacing w:val="-21"/>
          <w:sz w:val="28"/>
          <w:szCs w:val="28"/>
          <w:highlight w:val="none"/>
        </w:rPr>
        <w:t>：（</w:t>
      </w:r>
      <w:r>
        <w:rPr>
          <w:rFonts w:ascii="宋体" w:hAnsi="宋体" w:eastAsia="宋体" w:cs="宋体"/>
          <w:color w:val="auto"/>
          <w:spacing w:val="3"/>
          <w:sz w:val="28"/>
          <w:szCs w:val="28"/>
          <w:highlight w:val="none"/>
        </w:rPr>
        <w:t>盖单位章）</w:t>
      </w:r>
    </w:p>
    <w:p w14:paraId="5F05FDB5">
      <w:pPr>
        <w:spacing w:before="91" w:line="221" w:lineRule="auto"/>
        <w:ind w:left="762"/>
        <w:rPr>
          <w:rFonts w:ascii="宋体" w:hAnsi="宋体" w:eastAsia="宋体" w:cs="宋体"/>
          <w:color w:val="auto"/>
          <w:spacing w:val="1"/>
          <w:sz w:val="28"/>
          <w:szCs w:val="28"/>
          <w:highlight w:val="none"/>
        </w:rPr>
      </w:pPr>
    </w:p>
    <w:p w14:paraId="17A6B738">
      <w:pPr>
        <w:spacing w:before="91" w:line="221" w:lineRule="auto"/>
        <w:ind w:left="76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法定代表人或其委托代理人</w:t>
      </w:r>
      <w:r>
        <w:rPr>
          <w:rFonts w:ascii="宋体" w:hAnsi="宋体" w:eastAsia="宋体" w:cs="宋体"/>
          <w:color w:val="auto"/>
          <w:spacing w:val="-14"/>
          <w:sz w:val="28"/>
          <w:szCs w:val="28"/>
          <w:highlight w:val="none"/>
        </w:rPr>
        <w:t>：（</w:t>
      </w:r>
      <w:r>
        <w:rPr>
          <w:rFonts w:ascii="宋体" w:hAnsi="宋体" w:eastAsia="宋体" w:cs="宋体"/>
          <w:color w:val="auto"/>
          <w:spacing w:val="1"/>
          <w:sz w:val="28"/>
          <w:szCs w:val="28"/>
          <w:highlight w:val="none"/>
        </w:rPr>
        <w:t>签字）</w:t>
      </w:r>
    </w:p>
    <w:p w14:paraId="1851F6A5">
      <w:pPr>
        <w:spacing w:before="91" w:line="221" w:lineRule="auto"/>
        <w:ind w:left="810"/>
        <w:rPr>
          <w:rFonts w:ascii="宋体" w:hAnsi="宋体" w:eastAsia="宋体" w:cs="宋体"/>
          <w:color w:val="auto"/>
          <w:spacing w:val="-15"/>
          <w:sz w:val="28"/>
          <w:szCs w:val="28"/>
          <w:highlight w:val="none"/>
        </w:rPr>
      </w:pPr>
    </w:p>
    <w:p w14:paraId="02871DF7">
      <w:pPr>
        <w:spacing w:before="91" w:line="221" w:lineRule="auto"/>
        <w:ind w:left="810"/>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日期：年月日</w:t>
      </w:r>
    </w:p>
    <w:p w14:paraId="3272A29A">
      <w:pPr>
        <w:spacing w:line="221" w:lineRule="auto"/>
        <w:rPr>
          <w:rFonts w:ascii="宋体" w:hAnsi="宋体" w:eastAsia="宋体" w:cs="宋体"/>
          <w:color w:val="auto"/>
          <w:sz w:val="28"/>
          <w:szCs w:val="28"/>
          <w:highlight w:val="none"/>
        </w:rPr>
        <w:sectPr>
          <w:footerReference r:id="rId33" w:type="default"/>
          <w:pgSz w:w="11906" w:h="16839"/>
          <w:pgMar w:top="1431" w:right="1247" w:bottom="1209" w:left="1785" w:header="0" w:footer="973" w:gutter="0"/>
          <w:pgNumType w:fmt="decimal"/>
          <w:cols w:space="720" w:num="1"/>
        </w:sectPr>
      </w:pPr>
    </w:p>
    <w:p w14:paraId="4BBA9801">
      <w:pPr>
        <w:spacing w:before="113" w:line="228" w:lineRule="auto"/>
        <w:ind w:left="3792"/>
        <w:rPr>
          <w:rFonts w:ascii="宋体" w:hAnsi="宋体" w:eastAsia="宋体" w:cs="宋体"/>
          <w:color w:val="auto"/>
          <w:sz w:val="35"/>
          <w:szCs w:val="35"/>
          <w:highlight w:val="none"/>
        </w:rPr>
      </w:pPr>
      <w:r>
        <w:rPr>
          <w:rFonts w:ascii="宋体" w:hAnsi="宋体" w:eastAsia="宋体" w:cs="宋体"/>
          <w:b/>
          <w:bCs/>
          <w:color w:val="auto"/>
          <w:spacing w:val="-41"/>
          <w:sz w:val="35"/>
          <w:szCs w:val="35"/>
          <w:highlight w:val="none"/>
        </w:rPr>
        <w:t>目录</w:t>
      </w:r>
    </w:p>
    <w:p w14:paraId="5F09E6B9">
      <w:pPr>
        <w:spacing w:before="78" w:line="221" w:lineRule="auto"/>
        <w:ind w:left="12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一、开标一览表</w:t>
      </w:r>
    </w:p>
    <w:p w14:paraId="7877BB02">
      <w:pPr>
        <w:spacing w:before="86" w:line="219" w:lineRule="auto"/>
        <w:ind w:left="120"/>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二、投标明细报价表</w:t>
      </w:r>
    </w:p>
    <w:p w14:paraId="355B73DC">
      <w:pPr>
        <w:spacing w:before="88" w:line="221" w:lineRule="auto"/>
        <w:ind w:left="12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三、投标函</w:t>
      </w:r>
    </w:p>
    <w:p w14:paraId="38CC20BF">
      <w:pPr>
        <w:spacing w:before="88" w:line="219" w:lineRule="auto"/>
        <w:ind w:left="14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四、法定代表人身份证明书</w:t>
      </w:r>
    </w:p>
    <w:p w14:paraId="6AF2B9F1">
      <w:pPr>
        <w:spacing w:before="89" w:line="219" w:lineRule="auto"/>
        <w:ind w:left="1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五、法定代表人授权委托书</w:t>
      </w:r>
    </w:p>
    <w:p w14:paraId="2F4DF3ED">
      <w:pPr>
        <w:spacing w:before="88" w:line="219" w:lineRule="auto"/>
        <w:ind w:left="12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六、供应商基本情况说明</w:t>
      </w:r>
    </w:p>
    <w:p w14:paraId="05B8DA46">
      <w:pPr>
        <w:spacing w:before="89" w:line="219" w:lineRule="auto"/>
        <w:ind w:left="1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七、承诺书</w:t>
      </w:r>
    </w:p>
    <w:p w14:paraId="40B41230">
      <w:pPr>
        <w:spacing w:before="90" w:line="220" w:lineRule="auto"/>
        <w:ind w:left="12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八、商务偏离表</w:t>
      </w:r>
    </w:p>
    <w:p w14:paraId="34F4B210">
      <w:pPr>
        <w:spacing w:before="85" w:line="221" w:lineRule="auto"/>
        <w:ind w:left="12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九、企业业绩表</w:t>
      </w:r>
    </w:p>
    <w:p w14:paraId="76C69B95">
      <w:pPr>
        <w:spacing w:before="88" w:line="220" w:lineRule="auto"/>
        <w:ind w:left="1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十、资格声明</w:t>
      </w:r>
    </w:p>
    <w:p w14:paraId="632A0D6A">
      <w:pPr>
        <w:spacing w:before="86" w:line="220" w:lineRule="auto"/>
        <w:ind w:left="1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十一、技术参数偏离表</w:t>
      </w:r>
    </w:p>
    <w:p w14:paraId="19A69741">
      <w:pPr>
        <w:spacing w:before="89" w:line="219" w:lineRule="auto"/>
        <w:ind w:left="1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十二、技术参数承诺书</w:t>
      </w:r>
    </w:p>
    <w:p w14:paraId="29548777">
      <w:pPr>
        <w:spacing w:before="89" w:line="219" w:lineRule="auto"/>
        <w:ind w:left="170"/>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十三、投标货物详细说明</w:t>
      </w:r>
    </w:p>
    <w:p w14:paraId="1D3A0A23">
      <w:pPr>
        <w:spacing w:before="88" w:line="219" w:lineRule="auto"/>
        <w:ind w:left="1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十四、项目实施方案（供应商自行编写）</w:t>
      </w:r>
    </w:p>
    <w:p w14:paraId="2DEA56CF">
      <w:pPr>
        <w:spacing w:before="89" w:line="220" w:lineRule="auto"/>
        <w:ind w:left="1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十五、投标保证金汇入情况说明</w:t>
      </w:r>
    </w:p>
    <w:p w14:paraId="48285680">
      <w:pPr>
        <w:spacing w:before="89" w:line="219" w:lineRule="auto"/>
        <w:ind w:left="1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十六、供应商认为有必要提供的其他材料</w:t>
      </w:r>
    </w:p>
    <w:p w14:paraId="19EA481B">
      <w:pPr>
        <w:spacing w:line="219" w:lineRule="auto"/>
        <w:rPr>
          <w:rFonts w:ascii="宋体" w:hAnsi="宋体" w:eastAsia="宋体" w:cs="宋体"/>
          <w:color w:val="auto"/>
          <w:sz w:val="24"/>
          <w:szCs w:val="24"/>
          <w:highlight w:val="none"/>
        </w:rPr>
        <w:sectPr>
          <w:footerReference r:id="rId34" w:type="default"/>
          <w:pgSz w:w="11906" w:h="16839"/>
          <w:pgMar w:top="1431" w:right="1785" w:bottom="1209" w:left="1785" w:header="0" w:footer="973" w:gutter="0"/>
          <w:pgNumType w:fmt="decimal"/>
          <w:cols w:space="720" w:num="1"/>
        </w:sectPr>
      </w:pPr>
    </w:p>
    <w:p w14:paraId="4F8B7C2E">
      <w:pPr>
        <w:spacing w:before="114" w:line="226" w:lineRule="auto"/>
        <w:ind w:left="3125" w:leftChars="0"/>
        <w:outlineLvl w:val="9"/>
        <w:rPr>
          <w:rFonts w:ascii="宋体" w:hAnsi="宋体" w:eastAsia="宋体" w:cs="宋体"/>
          <w:color w:val="auto"/>
          <w:sz w:val="35"/>
          <w:szCs w:val="35"/>
          <w:highlight w:val="none"/>
        </w:rPr>
      </w:pPr>
      <w:r>
        <w:rPr>
          <w:rFonts w:ascii="宋体" w:hAnsi="宋体" w:eastAsia="宋体" w:cs="宋体"/>
          <w:b/>
          <w:bCs/>
          <w:color w:val="auto"/>
          <w:spacing w:val="-15"/>
          <w:sz w:val="35"/>
          <w:szCs w:val="35"/>
          <w:highlight w:val="none"/>
        </w:rPr>
        <w:t>一、开标一览表</w:t>
      </w:r>
    </w:p>
    <w:p w14:paraId="797E52EC">
      <w:pPr>
        <w:spacing w:before="78" w:line="220" w:lineRule="auto"/>
        <w:ind w:left="126"/>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pacing w:val="-1"/>
          <w:sz w:val="24"/>
          <w:szCs w:val="24"/>
          <w:highlight w:val="none"/>
        </w:rPr>
        <w:t>开标时间：</w:t>
      </w:r>
    </w:p>
    <w:tbl>
      <w:tblPr>
        <w:tblStyle w:val="18"/>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62"/>
        <w:gridCol w:w="2603"/>
        <w:gridCol w:w="1612"/>
        <w:gridCol w:w="1502"/>
        <w:gridCol w:w="1076"/>
      </w:tblGrid>
      <w:tr w14:paraId="21FDF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2662" w:type="dxa"/>
            <w:noWrap w:val="0"/>
            <w:vAlign w:val="top"/>
          </w:tcPr>
          <w:p w14:paraId="0CA08F17">
            <w:pPr>
              <w:pStyle w:val="17"/>
              <w:spacing w:before="227" w:line="219" w:lineRule="auto"/>
              <w:ind w:left="739"/>
              <w:rPr>
                <w:color w:val="auto"/>
                <w:highlight w:val="none"/>
              </w:rPr>
            </w:pPr>
            <w:r>
              <w:rPr>
                <w:color w:val="auto"/>
                <w:spacing w:val="-2"/>
                <w:highlight w:val="none"/>
              </w:rPr>
              <w:t>供应商名称</w:t>
            </w:r>
          </w:p>
        </w:tc>
        <w:tc>
          <w:tcPr>
            <w:tcW w:w="2603" w:type="dxa"/>
            <w:noWrap w:val="0"/>
            <w:vAlign w:val="top"/>
          </w:tcPr>
          <w:p w14:paraId="475254F4">
            <w:pPr>
              <w:pStyle w:val="17"/>
              <w:spacing w:before="39" w:line="219" w:lineRule="auto"/>
              <w:ind w:left="117"/>
              <w:rPr>
                <w:color w:val="auto"/>
                <w:highlight w:val="none"/>
              </w:rPr>
            </w:pPr>
            <w:r>
              <w:rPr>
                <w:color w:val="auto"/>
                <w:spacing w:val="-2"/>
                <w:highlight w:val="none"/>
              </w:rPr>
              <w:t>投标报价（汇总单价）</w:t>
            </w:r>
          </w:p>
          <w:p w14:paraId="70475959">
            <w:pPr>
              <w:pStyle w:val="17"/>
              <w:spacing w:before="89" w:line="221" w:lineRule="auto"/>
              <w:ind w:left="959"/>
              <w:rPr>
                <w:color w:val="auto"/>
                <w:highlight w:val="none"/>
              </w:rPr>
            </w:pPr>
            <w:r>
              <w:rPr>
                <w:color w:val="auto"/>
                <w:spacing w:val="-7"/>
                <w:highlight w:val="none"/>
              </w:rPr>
              <w:t>（元）</w:t>
            </w:r>
          </w:p>
        </w:tc>
        <w:tc>
          <w:tcPr>
            <w:tcW w:w="1612" w:type="dxa"/>
            <w:noWrap w:val="0"/>
            <w:vAlign w:val="top"/>
          </w:tcPr>
          <w:p w14:paraId="7E919FD6">
            <w:pPr>
              <w:pStyle w:val="17"/>
              <w:spacing w:before="226" w:line="221" w:lineRule="auto"/>
              <w:ind w:left="217"/>
              <w:rPr>
                <w:color w:val="auto"/>
                <w:highlight w:val="none"/>
              </w:rPr>
            </w:pPr>
            <w:r>
              <w:rPr>
                <w:color w:val="auto"/>
                <w:spacing w:val="-3"/>
                <w:highlight w:val="none"/>
              </w:rPr>
              <w:t>投标保证金</w:t>
            </w:r>
          </w:p>
        </w:tc>
        <w:tc>
          <w:tcPr>
            <w:tcW w:w="1502" w:type="dxa"/>
            <w:noWrap w:val="0"/>
            <w:vAlign w:val="top"/>
          </w:tcPr>
          <w:p w14:paraId="47072955">
            <w:pPr>
              <w:pStyle w:val="17"/>
              <w:spacing w:before="226" w:line="221" w:lineRule="auto"/>
              <w:ind w:left="280"/>
              <w:rPr>
                <w:color w:val="auto"/>
                <w:highlight w:val="none"/>
              </w:rPr>
            </w:pPr>
            <w:r>
              <w:rPr>
                <w:color w:val="auto"/>
                <w:spacing w:val="-3"/>
                <w:highlight w:val="none"/>
              </w:rPr>
              <w:t>质量标准</w:t>
            </w:r>
          </w:p>
        </w:tc>
        <w:tc>
          <w:tcPr>
            <w:tcW w:w="1076" w:type="dxa"/>
            <w:noWrap w:val="0"/>
            <w:vAlign w:val="top"/>
          </w:tcPr>
          <w:p w14:paraId="15FFFB9A">
            <w:pPr>
              <w:pStyle w:val="17"/>
              <w:spacing w:before="226" w:line="222" w:lineRule="auto"/>
              <w:ind w:left="307"/>
              <w:rPr>
                <w:color w:val="auto"/>
                <w:highlight w:val="none"/>
              </w:rPr>
            </w:pPr>
            <w:r>
              <w:rPr>
                <w:color w:val="auto"/>
                <w:spacing w:val="-7"/>
                <w:highlight w:val="none"/>
              </w:rPr>
              <w:t>备注</w:t>
            </w:r>
          </w:p>
        </w:tc>
      </w:tr>
      <w:tr w14:paraId="197AC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0" w:hRule="atLeast"/>
        </w:trPr>
        <w:tc>
          <w:tcPr>
            <w:tcW w:w="2662" w:type="dxa"/>
            <w:noWrap w:val="0"/>
            <w:vAlign w:val="top"/>
          </w:tcPr>
          <w:p w14:paraId="472F932C">
            <w:pPr>
              <w:rPr>
                <w:rFonts w:ascii="Arial"/>
                <w:color w:val="auto"/>
                <w:sz w:val="21"/>
                <w:highlight w:val="none"/>
              </w:rPr>
            </w:pPr>
          </w:p>
        </w:tc>
        <w:tc>
          <w:tcPr>
            <w:tcW w:w="2603" w:type="dxa"/>
            <w:noWrap w:val="0"/>
            <w:vAlign w:val="top"/>
          </w:tcPr>
          <w:p w14:paraId="2FC6D3FD">
            <w:pPr>
              <w:rPr>
                <w:rFonts w:ascii="Arial"/>
                <w:color w:val="auto"/>
                <w:sz w:val="21"/>
                <w:highlight w:val="none"/>
              </w:rPr>
            </w:pPr>
          </w:p>
        </w:tc>
        <w:tc>
          <w:tcPr>
            <w:tcW w:w="1612" w:type="dxa"/>
            <w:noWrap w:val="0"/>
            <w:vAlign w:val="top"/>
          </w:tcPr>
          <w:p w14:paraId="6ECB79BA">
            <w:pPr>
              <w:pStyle w:val="17"/>
              <w:spacing w:before="78" w:line="221" w:lineRule="auto"/>
              <w:ind w:left="285"/>
              <w:rPr>
                <w:color w:val="auto"/>
                <w:highlight w:val="none"/>
              </w:rPr>
            </w:pPr>
            <w:r>
              <w:rPr>
                <w:color w:val="auto"/>
                <w:spacing w:val="-5"/>
                <w:highlight w:val="none"/>
              </w:rPr>
              <w:t>（有/无）</w:t>
            </w:r>
          </w:p>
        </w:tc>
        <w:tc>
          <w:tcPr>
            <w:tcW w:w="1502" w:type="dxa"/>
            <w:noWrap w:val="0"/>
            <w:vAlign w:val="top"/>
          </w:tcPr>
          <w:p w14:paraId="5A27621E">
            <w:pPr>
              <w:rPr>
                <w:rFonts w:ascii="Arial"/>
                <w:color w:val="auto"/>
                <w:sz w:val="21"/>
                <w:highlight w:val="none"/>
              </w:rPr>
            </w:pPr>
          </w:p>
        </w:tc>
        <w:tc>
          <w:tcPr>
            <w:tcW w:w="1076" w:type="dxa"/>
            <w:noWrap w:val="0"/>
            <w:vAlign w:val="top"/>
          </w:tcPr>
          <w:p w14:paraId="4037C30B">
            <w:pPr>
              <w:rPr>
                <w:rFonts w:ascii="Arial"/>
                <w:color w:val="auto"/>
                <w:sz w:val="21"/>
                <w:highlight w:val="none"/>
              </w:rPr>
            </w:pPr>
          </w:p>
        </w:tc>
      </w:tr>
    </w:tbl>
    <w:p w14:paraId="7C94989B">
      <w:pPr>
        <w:spacing w:before="37" w:line="219" w:lineRule="auto"/>
        <w:ind w:left="12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注：1、本表只作唱标用，但本表的一切内容均具有法律效力，不得更改；</w:t>
      </w:r>
    </w:p>
    <w:p w14:paraId="73CFFAAF">
      <w:pPr>
        <w:spacing w:before="87" w:line="289" w:lineRule="auto"/>
        <w:ind w:left="123" w:right="145" w:firstLine="40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2、投标报价不超过预算金额（最高限价</w:t>
      </w:r>
      <w:r>
        <w:rPr>
          <w:rFonts w:ascii="宋体" w:hAnsi="宋体" w:eastAsia="宋体" w:cs="宋体"/>
          <w:b/>
          <w:bCs/>
          <w:color w:val="auto"/>
          <w:spacing w:val="3"/>
          <w:sz w:val="24"/>
          <w:szCs w:val="24"/>
          <w:highlight w:val="none"/>
        </w:rPr>
        <w:t>），</w:t>
      </w:r>
      <w:r>
        <w:rPr>
          <w:rFonts w:ascii="宋体" w:hAnsi="宋体" w:eastAsia="宋体" w:cs="宋体"/>
          <w:b/>
          <w:bCs/>
          <w:color w:val="auto"/>
          <w:spacing w:val="-2"/>
          <w:sz w:val="24"/>
          <w:szCs w:val="24"/>
          <w:highlight w:val="none"/>
        </w:rPr>
        <w:t>超过为无效报价。</w:t>
      </w:r>
      <w:r>
        <w:rPr>
          <w:rFonts w:ascii="宋体" w:hAnsi="宋体" w:eastAsia="宋体" w:cs="宋体"/>
          <w:b/>
          <w:bCs/>
          <w:color w:val="auto"/>
          <w:spacing w:val="-3"/>
          <w:sz w:val="24"/>
          <w:szCs w:val="24"/>
          <w:highlight w:val="none"/>
        </w:rPr>
        <w:t>本表中填写的投标报</w:t>
      </w:r>
      <w:r>
        <w:rPr>
          <w:rFonts w:ascii="宋体" w:hAnsi="宋体" w:eastAsia="宋体" w:cs="宋体"/>
          <w:b/>
          <w:bCs/>
          <w:color w:val="auto"/>
          <w:spacing w:val="-2"/>
          <w:sz w:val="24"/>
          <w:szCs w:val="24"/>
          <w:highlight w:val="none"/>
        </w:rPr>
        <w:t>价应与投标函中填写的投标报价相一致，如果不一致以本表为准。</w:t>
      </w:r>
    </w:p>
    <w:p w14:paraId="4CBE734B">
      <w:pPr>
        <w:spacing w:before="78" w:line="219" w:lineRule="auto"/>
        <w:ind w:left="6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供应商名称</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公章）</w:t>
      </w:r>
    </w:p>
    <w:p w14:paraId="7EE5679A">
      <w:pPr>
        <w:spacing w:before="79" w:line="219" w:lineRule="auto"/>
        <w:ind w:left="6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签字/盖章）</w:t>
      </w:r>
    </w:p>
    <w:p w14:paraId="41038146">
      <w:pPr>
        <w:spacing w:before="79" w:line="220" w:lineRule="auto"/>
        <w:ind w:left="60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w:t>
      </w:r>
      <w:r>
        <w:rPr>
          <w:rFonts w:ascii="宋体" w:hAnsi="宋体" w:eastAsia="宋体" w:cs="宋体"/>
          <w:color w:val="auto"/>
          <w:spacing w:val="-17"/>
          <w:sz w:val="24"/>
          <w:szCs w:val="24"/>
          <w:highlight w:val="none"/>
        </w:rPr>
        <w:t>：（</w:t>
      </w:r>
      <w:r>
        <w:rPr>
          <w:rFonts w:ascii="宋体" w:hAnsi="宋体" w:eastAsia="宋体" w:cs="宋体"/>
          <w:color w:val="auto"/>
          <w:spacing w:val="3"/>
          <w:sz w:val="24"/>
          <w:szCs w:val="24"/>
          <w:highlight w:val="none"/>
        </w:rPr>
        <w:t>签字）</w:t>
      </w:r>
    </w:p>
    <w:p w14:paraId="0C9FAC5C">
      <w:pPr>
        <w:spacing w:before="78" w:line="221" w:lineRule="auto"/>
        <w:ind w:left="6643"/>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日期：</w:t>
      </w:r>
    </w:p>
    <w:p w14:paraId="29C57CC7">
      <w:pPr>
        <w:spacing w:line="221" w:lineRule="auto"/>
        <w:rPr>
          <w:rFonts w:ascii="宋体" w:hAnsi="宋体" w:eastAsia="宋体" w:cs="宋体"/>
          <w:color w:val="auto"/>
          <w:sz w:val="24"/>
          <w:szCs w:val="24"/>
          <w:highlight w:val="none"/>
        </w:rPr>
        <w:sectPr>
          <w:footerReference r:id="rId35" w:type="default"/>
          <w:pgSz w:w="11906" w:h="16839"/>
          <w:pgMar w:top="1431" w:right="1140" w:bottom="1209" w:left="1305" w:header="0" w:footer="973" w:gutter="0"/>
          <w:pgNumType w:fmt="decimal"/>
          <w:cols w:space="720" w:num="1"/>
        </w:sectPr>
      </w:pPr>
    </w:p>
    <w:p w14:paraId="068B59C9">
      <w:pPr>
        <w:spacing w:before="114" w:line="224" w:lineRule="auto"/>
        <w:ind w:left="3045" w:leftChars="0"/>
        <w:outlineLvl w:val="1"/>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二、投标明细报价表</w:t>
      </w:r>
    </w:p>
    <w:tbl>
      <w:tblPr>
        <w:tblStyle w:val="18"/>
        <w:tblW w:w="92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465"/>
        <w:gridCol w:w="1490"/>
        <w:gridCol w:w="845"/>
        <w:gridCol w:w="846"/>
        <w:gridCol w:w="600"/>
        <w:gridCol w:w="483"/>
        <w:gridCol w:w="767"/>
        <w:gridCol w:w="1903"/>
      </w:tblGrid>
      <w:tr w14:paraId="28FEE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280" w:type="dxa"/>
            <w:gridSpan w:val="9"/>
            <w:noWrap w:val="0"/>
            <w:vAlign w:val="top"/>
          </w:tcPr>
          <w:p w14:paraId="33BA9B7C">
            <w:pPr>
              <w:pStyle w:val="17"/>
              <w:spacing w:before="225" w:line="220" w:lineRule="auto"/>
              <w:ind w:left="120"/>
              <w:rPr>
                <w:color w:val="auto"/>
                <w:highlight w:val="none"/>
              </w:rPr>
            </w:pPr>
            <w:r>
              <w:rPr>
                <w:b/>
                <w:bCs/>
                <w:color w:val="auto"/>
                <w:spacing w:val="-5"/>
                <w:highlight w:val="none"/>
              </w:rPr>
              <w:t>项目名称：项目编号：</w:t>
            </w:r>
          </w:p>
        </w:tc>
      </w:tr>
      <w:tr w14:paraId="48130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9280" w:type="dxa"/>
            <w:gridSpan w:val="9"/>
            <w:noWrap w:val="0"/>
            <w:vAlign w:val="top"/>
          </w:tcPr>
          <w:p w14:paraId="4A0184DC">
            <w:pPr>
              <w:pStyle w:val="17"/>
              <w:spacing w:before="183" w:line="219" w:lineRule="auto"/>
              <w:ind w:left="122"/>
              <w:rPr>
                <w:color w:val="auto"/>
                <w:highlight w:val="none"/>
              </w:rPr>
            </w:pPr>
            <w:r>
              <w:rPr>
                <w:color w:val="auto"/>
                <w:spacing w:val="1"/>
                <w:highlight w:val="none"/>
              </w:rPr>
              <w:t>货物明细表</w:t>
            </w:r>
            <w:r>
              <w:rPr>
                <w:color w:val="auto"/>
                <w:spacing w:val="-14"/>
                <w:highlight w:val="none"/>
              </w:rPr>
              <w:t>：（</w:t>
            </w:r>
            <w:r>
              <w:rPr>
                <w:color w:val="auto"/>
                <w:spacing w:val="1"/>
                <w:highlight w:val="none"/>
              </w:rPr>
              <w:t>单位：元）</w:t>
            </w:r>
          </w:p>
        </w:tc>
      </w:tr>
      <w:tr w14:paraId="57050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1" w:type="dxa"/>
            <w:noWrap w:val="0"/>
            <w:vAlign w:val="top"/>
          </w:tcPr>
          <w:p w14:paraId="7D79E18E">
            <w:pPr>
              <w:pStyle w:val="17"/>
              <w:spacing w:before="123" w:line="222" w:lineRule="auto"/>
              <w:ind w:left="207"/>
              <w:rPr>
                <w:color w:val="auto"/>
                <w:highlight w:val="none"/>
              </w:rPr>
            </w:pPr>
            <w:r>
              <w:rPr>
                <w:color w:val="auto"/>
                <w:spacing w:val="-5"/>
                <w:highlight w:val="none"/>
              </w:rPr>
              <w:t>序号</w:t>
            </w:r>
          </w:p>
        </w:tc>
        <w:tc>
          <w:tcPr>
            <w:tcW w:w="1465" w:type="dxa"/>
            <w:noWrap w:val="0"/>
            <w:vAlign w:val="top"/>
          </w:tcPr>
          <w:p w14:paraId="1B08690B">
            <w:pPr>
              <w:pStyle w:val="17"/>
              <w:spacing w:before="124" w:line="219" w:lineRule="auto"/>
              <w:ind w:left="263"/>
              <w:rPr>
                <w:color w:val="auto"/>
                <w:highlight w:val="none"/>
              </w:rPr>
            </w:pPr>
            <w:r>
              <w:rPr>
                <w:color w:val="auto"/>
                <w:spacing w:val="-4"/>
                <w:highlight w:val="none"/>
              </w:rPr>
              <w:t>货物名称</w:t>
            </w:r>
          </w:p>
        </w:tc>
        <w:tc>
          <w:tcPr>
            <w:tcW w:w="1490" w:type="dxa"/>
            <w:noWrap w:val="0"/>
            <w:vAlign w:val="top"/>
          </w:tcPr>
          <w:p w14:paraId="6992461B">
            <w:pPr>
              <w:pStyle w:val="17"/>
              <w:spacing w:before="123" w:line="221" w:lineRule="auto"/>
              <w:ind w:left="272"/>
              <w:rPr>
                <w:color w:val="auto"/>
                <w:highlight w:val="none"/>
              </w:rPr>
            </w:pPr>
            <w:r>
              <w:rPr>
                <w:color w:val="auto"/>
                <w:spacing w:val="-3"/>
                <w:highlight w:val="none"/>
              </w:rPr>
              <w:t>制造厂商</w:t>
            </w:r>
          </w:p>
        </w:tc>
        <w:tc>
          <w:tcPr>
            <w:tcW w:w="845" w:type="dxa"/>
            <w:noWrap w:val="0"/>
            <w:vAlign w:val="top"/>
          </w:tcPr>
          <w:p w14:paraId="721C6E62">
            <w:pPr>
              <w:pStyle w:val="17"/>
              <w:spacing w:before="124" w:line="220" w:lineRule="auto"/>
              <w:ind w:left="210"/>
              <w:rPr>
                <w:color w:val="auto"/>
                <w:highlight w:val="none"/>
              </w:rPr>
            </w:pPr>
            <w:r>
              <w:rPr>
                <w:color w:val="auto"/>
                <w:spacing w:val="-15"/>
                <w:highlight w:val="none"/>
              </w:rPr>
              <w:t>品牌</w:t>
            </w:r>
          </w:p>
        </w:tc>
        <w:tc>
          <w:tcPr>
            <w:tcW w:w="846" w:type="dxa"/>
            <w:noWrap w:val="0"/>
            <w:vAlign w:val="top"/>
          </w:tcPr>
          <w:p w14:paraId="7BDE34A8">
            <w:pPr>
              <w:pStyle w:val="17"/>
              <w:spacing w:before="123" w:line="222" w:lineRule="auto"/>
              <w:ind w:left="197"/>
              <w:rPr>
                <w:color w:val="auto"/>
                <w:highlight w:val="none"/>
              </w:rPr>
            </w:pPr>
            <w:r>
              <w:rPr>
                <w:color w:val="auto"/>
                <w:spacing w:val="-9"/>
                <w:highlight w:val="none"/>
              </w:rPr>
              <w:t>型号</w:t>
            </w:r>
          </w:p>
        </w:tc>
        <w:tc>
          <w:tcPr>
            <w:tcW w:w="1083" w:type="dxa"/>
            <w:gridSpan w:val="2"/>
            <w:noWrap w:val="0"/>
            <w:vAlign w:val="top"/>
          </w:tcPr>
          <w:p w14:paraId="6F876FC9">
            <w:pPr>
              <w:pStyle w:val="17"/>
              <w:spacing w:before="124" w:line="220" w:lineRule="auto"/>
              <w:ind w:left="310"/>
              <w:rPr>
                <w:color w:val="auto"/>
                <w:highlight w:val="none"/>
              </w:rPr>
            </w:pPr>
            <w:r>
              <w:rPr>
                <w:color w:val="auto"/>
                <w:spacing w:val="-6"/>
                <w:highlight w:val="none"/>
              </w:rPr>
              <w:t>数量</w:t>
            </w:r>
          </w:p>
        </w:tc>
        <w:tc>
          <w:tcPr>
            <w:tcW w:w="767" w:type="dxa"/>
            <w:noWrap w:val="0"/>
            <w:vAlign w:val="top"/>
          </w:tcPr>
          <w:p w14:paraId="72997E62">
            <w:pPr>
              <w:pStyle w:val="17"/>
              <w:spacing w:before="123" w:line="219" w:lineRule="auto"/>
              <w:ind w:left="154"/>
              <w:rPr>
                <w:color w:val="auto"/>
                <w:highlight w:val="none"/>
              </w:rPr>
            </w:pPr>
            <w:r>
              <w:rPr>
                <w:color w:val="auto"/>
                <w:spacing w:val="-6"/>
                <w:highlight w:val="none"/>
              </w:rPr>
              <w:t>单价</w:t>
            </w:r>
          </w:p>
        </w:tc>
        <w:tc>
          <w:tcPr>
            <w:tcW w:w="1903" w:type="dxa"/>
            <w:noWrap w:val="0"/>
            <w:vAlign w:val="top"/>
          </w:tcPr>
          <w:p w14:paraId="703E6973">
            <w:pPr>
              <w:pStyle w:val="17"/>
              <w:spacing w:before="123" w:line="226" w:lineRule="auto"/>
              <w:ind w:left="717"/>
              <w:rPr>
                <w:color w:val="auto"/>
                <w:highlight w:val="none"/>
              </w:rPr>
            </w:pPr>
            <w:r>
              <w:rPr>
                <w:color w:val="auto"/>
                <w:spacing w:val="-5"/>
                <w:highlight w:val="none"/>
              </w:rPr>
              <w:t>汇总</w:t>
            </w:r>
          </w:p>
        </w:tc>
      </w:tr>
      <w:tr w14:paraId="3E649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81" w:type="dxa"/>
            <w:noWrap w:val="0"/>
            <w:vAlign w:val="top"/>
          </w:tcPr>
          <w:p w14:paraId="4C7919D6">
            <w:pPr>
              <w:rPr>
                <w:rFonts w:ascii="Arial"/>
                <w:color w:val="auto"/>
                <w:sz w:val="21"/>
                <w:highlight w:val="none"/>
              </w:rPr>
            </w:pPr>
          </w:p>
        </w:tc>
        <w:tc>
          <w:tcPr>
            <w:tcW w:w="1465" w:type="dxa"/>
            <w:noWrap w:val="0"/>
            <w:vAlign w:val="top"/>
          </w:tcPr>
          <w:p w14:paraId="27344D0E">
            <w:pPr>
              <w:rPr>
                <w:rFonts w:ascii="Arial"/>
                <w:color w:val="auto"/>
                <w:sz w:val="21"/>
                <w:highlight w:val="none"/>
              </w:rPr>
            </w:pPr>
          </w:p>
        </w:tc>
        <w:tc>
          <w:tcPr>
            <w:tcW w:w="1490" w:type="dxa"/>
            <w:noWrap w:val="0"/>
            <w:vAlign w:val="top"/>
          </w:tcPr>
          <w:p w14:paraId="120DFCA7">
            <w:pPr>
              <w:rPr>
                <w:rFonts w:ascii="Arial"/>
                <w:color w:val="auto"/>
                <w:sz w:val="21"/>
                <w:highlight w:val="none"/>
              </w:rPr>
            </w:pPr>
          </w:p>
        </w:tc>
        <w:tc>
          <w:tcPr>
            <w:tcW w:w="845" w:type="dxa"/>
            <w:noWrap w:val="0"/>
            <w:vAlign w:val="top"/>
          </w:tcPr>
          <w:p w14:paraId="2F2E0CA3">
            <w:pPr>
              <w:rPr>
                <w:rFonts w:ascii="Arial"/>
                <w:color w:val="auto"/>
                <w:sz w:val="21"/>
                <w:highlight w:val="none"/>
              </w:rPr>
            </w:pPr>
          </w:p>
        </w:tc>
        <w:tc>
          <w:tcPr>
            <w:tcW w:w="846" w:type="dxa"/>
            <w:noWrap w:val="0"/>
            <w:vAlign w:val="top"/>
          </w:tcPr>
          <w:p w14:paraId="3E640C71">
            <w:pPr>
              <w:rPr>
                <w:rFonts w:ascii="Arial"/>
                <w:color w:val="auto"/>
                <w:sz w:val="21"/>
                <w:highlight w:val="none"/>
              </w:rPr>
            </w:pPr>
          </w:p>
        </w:tc>
        <w:tc>
          <w:tcPr>
            <w:tcW w:w="1083" w:type="dxa"/>
            <w:gridSpan w:val="2"/>
            <w:noWrap w:val="0"/>
            <w:vAlign w:val="top"/>
          </w:tcPr>
          <w:p w14:paraId="552760D0">
            <w:pPr>
              <w:rPr>
                <w:rFonts w:ascii="Arial"/>
                <w:color w:val="auto"/>
                <w:sz w:val="21"/>
                <w:highlight w:val="none"/>
              </w:rPr>
            </w:pPr>
          </w:p>
        </w:tc>
        <w:tc>
          <w:tcPr>
            <w:tcW w:w="767" w:type="dxa"/>
            <w:noWrap w:val="0"/>
            <w:vAlign w:val="top"/>
          </w:tcPr>
          <w:p w14:paraId="16B87F19">
            <w:pPr>
              <w:rPr>
                <w:rFonts w:ascii="Arial"/>
                <w:color w:val="auto"/>
                <w:sz w:val="21"/>
                <w:highlight w:val="none"/>
              </w:rPr>
            </w:pPr>
          </w:p>
        </w:tc>
        <w:tc>
          <w:tcPr>
            <w:tcW w:w="1903" w:type="dxa"/>
            <w:noWrap w:val="0"/>
            <w:vAlign w:val="top"/>
          </w:tcPr>
          <w:p w14:paraId="6AE6A965">
            <w:pPr>
              <w:rPr>
                <w:rFonts w:ascii="Arial"/>
                <w:color w:val="auto"/>
                <w:sz w:val="21"/>
                <w:highlight w:val="none"/>
              </w:rPr>
            </w:pPr>
          </w:p>
        </w:tc>
      </w:tr>
      <w:tr w14:paraId="54907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1" w:type="dxa"/>
            <w:noWrap w:val="0"/>
            <w:vAlign w:val="top"/>
          </w:tcPr>
          <w:p w14:paraId="5B596C7C">
            <w:pPr>
              <w:pStyle w:val="17"/>
              <w:spacing w:before="125" w:line="379" w:lineRule="exact"/>
              <w:ind w:left="343"/>
              <w:rPr>
                <w:color w:val="auto"/>
                <w:highlight w:val="none"/>
              </w:rPr>
            </w:pPr>
            <w:r>
              <w:rPr>
                <w:color w:val="auto"/>
                <w:position w:val="3"/>
                <w:highlight w:val="none"/>
              </w:rPr>
              <w:t>…</w:t>
            </w:r>
          </w:p>
        </w:tc>
        <w:tc>
          <w:tcPr>
            <w:tcW w:w="1465" w:type="dxa"/>
            <w:noWrap w:val="0"/>
            <w:vAlign w:val="top"/>
          </w:tcPr>
          <w:p w14:paraId="51A0414B">
            <w:pPr>
              <w:rPr>
                <w:rFonts w:ascii="Arial"/>
                <w:color w:val="auto"/>
                <w:sz w:val="21"/>
                <w:highlight w:val="none"/>
              </w:rPr>
            </w:pPr>
          </w:p>
        </w:tc>
        <w:tc>
          <w:tcPr>
            <w:tcW w:w="1490" w:type="dxa"/>
            <w:noWrap w:val="0"/>
            <w:vAlign w:val="top"/>
          </w:tcPr>
          <w:p w14:paraId="428BED69">
            <w:pPr>
              <w:rPr>
                <w:rFonts w:ascii="Arial"/>
                <w:color w:val="auto"/>
                <w:sz w:val="21"/>
                <w:highlight w:val="none"/>
              </w:rPr>
            </w:pPr>
          </w:p>
        </w:tc>
        <w:tc>
          <w:tcPr>
            <w:tcW w:w="845" w:type="dxa"/>
            <w:noWrap w:val="0"/>
            <w:vAlign w:val="top"/>
          </w:tcPr>
          <w:p w14:paraId="6E148DEB">
            <w:pPr>
              <w:rPr>
                <w:rFonts w:ascii="Arial"/>
                <w:color w:val="auto"/>
                <w:sz w:val="21"/>
                <w:highlight w:val="none"/>
              </w:rPr>
            </w:pPr>
          </w:p>
        </w:tc>
        <w:tc>
          <w:tcPr>
            <w:tcW w:w="846" w:type="dxa"/>
            <w:noWrap w:val="0"/>
            <w:vAlign w:val="top"/>
          </w:tcPr>
          <w:p w14:paraId="78B841AB">
            <w:pPr>
              <w:rPr>
                <w:rFonts w:ascii="Arial"/>
                <w:color w:val="auto"/>
                <w:sz w:val="21"/>
                <w:highlight w:val="none"/>
              </w:rPr>
            </w:pPr>
          </w:p>
        </w:tc>
        <w:tc>
          <w:tcPr>
            <w:tcW w:w="1083" w:type="dxa"/>
            <w:gridSpan w:val="2"/>
            <w:noWrap w:val="0"/>
            <w:vAlign w:val="top"/>
          </w:tcPr>
          <w:p w14:paraId="157E5FAA">
            <w:pPr>
              <w:rPr>
                <w:rFonts w:ascii="Arial"/>
                <w:color w:val="auto"/>
                <w:sz w:val="21"/>
                <w:highlight w:val="none"/>
              </w:rPr>
            </w:pPr>
          </w:p>
        </w:tc>
        <w:tc>
          <w:tcPr>
            <w:tcW w:w="767" w:type="dxa"/>
            <w:noWrap w:val="0"/>
            <w:vAlign w:val="top"/>
          </w:tcPr>
          <w:p w14:paraId="0B44AF6B">
            <w:pPr>
              <w:rPr>
                <w:rFonts w:ascii="Arial"/>
                <w:color w:val="auto"/>
                <w:sz w:val="21"/>
                <w:highlight w:val="none"/>
              </w:rPr>
            </w:pPr>
          </w:p>
        </w:tc>
        <w:tc>
          <w:tcPr>
            <w:tcW w:w="1903" w:type="dxa"/>
            <w:noWrap w:val="0"/>
            <w:vAlign w:val="top"/>
          </w:tcPr>
          <w:p w14:paraId="00CAC9E8">
            <w:pPr>
              <w:rPr>
                <w:rFonts w:ascii="Arial"/>
                <w:color w:val="auto"/>
                <w:sz w:val="21"/>
                <w:highlight w:val="none"/>
              </w:rPr>
            </w:pPr>
          </w:p>
        </w:tc>
      </w:tr>
      <w:tr w14:paraId="22880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81" w:type="dxa"/>
            <w:noWrap w:val="0"/>
            <w:vAlign w:val="top"/>
          </w:tcPr>
          <w:p w14:paraId="729F8450">
            <w:pPr>
              <w:rPr>
                <w:rFonts w:ascii="Arial"/>
                <w:color w:val="auto"/>
                <w:sz w:val="21"/>
                <w:highlight w:val="none"/>
              </w:rPr>
            </w:pPr>
          </w:p>
        </w:tc>
        <w:tc>
          <w:tcPr>
            <w:tcW w:w="1465" w:type="dxa"/>
            <w:noWrap w:val="0"/>
            <w:vAlign w:val="top"/>
          </w:tcPr>
          <w:p w14:paraId="36040E8B">
            <w:pPr>
              <w:pStyle w:val="17"/>
              <w:spacing w:before="125" w:line="222" w:lineRule="auto"/>
              <w:ind w:left="499"/>
              <w:rPr>
                <w:color w:val="auto"/>
                <w:highlight w:val="none"/>
              </w:rPr>
            </w:pPr>
            <w:r>
              <w:rPr>
                <w:color w:val="auto"/>
                <w:spacing w:val="-6"/>
                <w:highlight w:val="none"/>
              </w:rPr>
              <w:t>合计</w:t>
            </w:r>
          </w:p>
        </w:tc>
        <w:tc>
          <w:tcPr>
            <w:tcW w:w="1490" w:type="dxa"/>
            <w:noWrap w:val="0"/>
            <w:vAlign w:val="top"/>
          </w:tcPr>
          <w:p w14:paraId="7BB8B569">
            <w:pPr>
              <w:rPr>
                <w:rFonts w:ascii="Arial"/>
                <w:color w:val="auto"/>
                <w:sz w:val="21"/>
                <w:highlight w:val="none"/>
              </w:rPr>
            </w:pPr>
          </w:p>
        </w:tc>
        <w:tc>
          <w:tcPr>
            <w:tcW w:w="845" w:type="dxa"/>
            <w:noWrap w:val="0"/>
            <w:vAlign w:val="top"/>
          </w:tcPr>
          <w:p w14:paraId="607651D5">
            <w:pPr>
              <w:rPr>
                <w:rFonts w:ascii="Arial"/>
                <w:color w:val="auto"/>
                <w:sz w:val="21"/>
                <w:highlight w:val="none"/>
              </w:rPr>
            </w:pPr>
          </w:p>
        </w:tc>
        <w:tc>
          <w:tcPr>
            <w:tcW w:w="846" w:type="dxa"/>
            <w:noWrap w:val="0"/>
            <w:vAlign w:val="top"/>
          </w:tcPr>
          <w:p w14:paraId="01F032D2">
            <w:pPr>
              <w:rPr>
                <w:rFonts w:ascii="Arial"/>
                <w:color w:val="auto"/>
                <w:sz w:val="21"/>
                <w:highlight w:val="none"/>
              </w:rPr>
            </w:pPr>
          </w:p>
        </w:tc>
        <w:tc>
          <w:tcPr>
            <w:tcW w:w="1083" w:type="dxa"/>
            <w:gridSpan w:val="2"/>
            <w:noWrap w:val="0"/>
            <w:vAlign w:val="top"/>
          </w:tcPr>
          <w:p w14:paraId="73E7D910">
            <w:pPr>
              <w:rPr>
                <w:rFonts w:ascii="Arial"/>
                <w:color w:val="auto"/>
                <w:sz w:val="21"/>
                <w:highlight w:val="none"/>
              </w:rPr>
            </w:pPr>
          </w:p>
        </w:tc>
        <w:tc>
          <w:tcPr>
            <w:tcW w:w="767" w:type="dxa"/>
            <w:noWrap w:val="0"/>
            <w:vAlign w:val="top"/>
          </w:tcPr>
          <w:p w14:paraId="71817F60">
            <w:pPr>
              <w:rPr>
                <w:rFonts w:ascii="Arial"/>
                <w:color w:val="auto"/>
                <w:sz w:val="21"/>
                <w:highlight w:val="none"/>
              </w:rPr>
            </w:pPr>
          </w:p>
        </w:tc>
        <w:tc>
          <w:tcPr>
            <w:tcW w:w="1903" w:type="dxa"/>
            <w:noWrap w:val="0"/>
            <w:vAlign w:val="top"/>
          </w:tcPr>
          <w:p w14:paraId="073CDF27">
            <w:pPr>
              <w:rPr>
                <w:rFonts w:ascii="Arial"/>
                <w:color w:val="auto"/>
                <w:sz w:val="21"/>
                <w:highlight w:val="none"/>
              </w:rPr>
            </w:pPr>
          </w:p>
        </w:tc>
      </w:tr>
      <w:tr w14:paraId="22FAA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80" w:type="dxa"/>
            <w:gridSpan w:val="9"/>
            <w:noWrap w:val="0"/>
            <w:vAlign w:val="top"/>
          </w:tcPr>
          <w:p w14:paraId="5356DA65">
            <w:pPr>
              <w:pStyle w:val="17"/>
              <w:spacing w:before="78" w:line="220" w:lineRule="auto"/>
              <w:ind w:left="117"/>
              <w:rPr>
                <w:color w:val="auto"/>
                <w:highlight w:val="none"/>
              </w:rPr>
            </w:pPr>
            <w:r>
              <w:rPr>
                <w:color w:val="auto"/>
                <w:spacing w:val="-2"/>
                <w:highlight w:val="none"/>
              </w:rPr>
              <w:t>其他费用明细表：</w:t>
            </w:r>
          </w:p>
        </w:tc>
      </w:tr>
      <w:tr w14:paraId="6BBDE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881" w:type="dxa"/>
            <w:noWrap w:val="0"/>
            <w:vAlign w:val="top"/>
          </w:tcPr>
          <w:p w14:paraId="358DA912">
            <w:pPr>
              <w:pStyle w:val="17"/>
              <w:spacing w:before="109" w:line="222" w:lineRule="auto"/>
              <w:ind w:left="207"/>
              <w:rPr>
                <w:color w:val="auto"/>
                <w:highlight w:val="none"/>
              </w:rPr>
            </w:pPr>
            <w:r>
              <w:rPr>
                <w:color w:val="auto"/>
                <w:spacing w:val="-5"/>
                <w:highlight w:val="none"/>
              </w:rPr>
              <w:t>序号</w:t>
            </w:r>
          </w:p>
        </w:tc>
        <w:tc>
          <w:tcPr>
            <w:tcW w:w="1465" w:type="dxa"/>
            <w:noWrap w:val="0"/>
            <w:vAlign w:val="top"/>
          </w:tcPr>
          <w:p w14:paraId="16B1B77B">
            <w:pPr>
              <w:pStyle w:val="17"/>
              <w:spacing w:before="109" w:line="221" w:lineRule="auto"/>
              <w:ind w:left="502"/>
              <w:rPr>
                <w:color w:val="auto"/>
                <w:highlight w:val="none"/>
              </w:rPr>
            </w:pPr>
            <w:r>
              <w:rPr>
                <w:color w:val="auto"/>
                <w:spacing w:val="-7"/>
                <w:highlight w:val="none"/>
              </w:rPr>
              <w:t>项目</w:t>
            </w:r>
          </w:p>
        </w:tc>
        <w:tc>
          <w:tcPr>
            <w:tcW w:w="4264" w:type="dxa"/>
            <w:gridSpan w:val="5"/>
            <w:noWrap w:val="0"/>
            <w:vAlign w:val="top"/>
          </w:tcPr>
          <w:p w14:paraId="08BD8EB3">
            <w:pPr>
              <w:pStyle w:val="17"/>
              <w:spacing w:before="110" w:line="220" w:lineRule="auto"/>
              <w:ind w:left="1567"/>
              <w:rPr>
                <w:color w:val="auto"/>
                <w:highlight w:val="none"/>
              </w:rPr>
            </w:pPr>
            <w:r>
              <w:rPr>
                <w:color w:val="auto"/>
                <w:spacing w:val="-8"/>
                <w:highlight w:val="none"/>
              </w:rPr>
              <w:t>内容和标准</w:t>
            </w:r>
          </w:p>
        </w:tc>
        <w:tc>
          <w:tcPr>
            <w:tcW w:w="767" w:type="dxa"/>
            <w:noWrap w:val="0"/>
            <w:vAlign w:val="top"/>
          </w:tcPr>
          <w:p w14:paraId="505FA0D3">
            <w:pPr>
              <w:pStyle w:val="17"/>
              <w:spacing w:before="109" w:line="219" w:lineRule="auto"/>
              <w:ind w:left="150"/>
              <w:rPr>
                <w:color w:val="auto"/>
                <w:highlight w:val="none"/>
              </w:rPr>
            </w:pPr>
            <w:r>
              <w:rPr>
                <w:color w:val="auto"/>
                <w:spacing w:val="-4"/>
                <w:highlight w:val="none"/>
              </w:rPr>
              <w:t>报价</w:t>
            </w:r>
          </w:p>
        </w:tc>
        <w:tc>
          <w:tcPr>
            <w:tcW w:w="1903" w:type="dxa"/>
            <w:noWrap w:val="0"/>
            <w:vAlign w:val="top"/>
          </w:tcPr>
          <w:p w14:paraId="410FD138">
            <w:pPr>
              <w:pStyle w:val="17"/>
              <w:spacing w:before="109" w:line="222" w:lineRule="auto"/>
              <w:ind w:left="720"/>
              <w:rPr>
                <w:color w:val="auto"/>
                <w:highlight w:val="none"/>
              </w:rPr>
            </w:pPr>
            <w:r>
              <w:rPr>
                <w:color w:val="auto"/>
                <w:spacing w:val="-7"/>
                <w:highlight w:val="none"/>
              </w:rPr>
              <w:t>备注</w:t>
            </w:r>
          </w:p>
        </w:tc>
      </w:tr>
      <w:tr w14:paraId="3801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81" w:type="dxa"/>
            <w:noWrap w:val="0"/>
            <w:vAlign w:val="top"/>
          </w:tcPr>
          <w:p w14:paraId="47948252">
            <w:pPr>
              <w:rPr>
                <w:rFonts w:ascii="Arial"/>
                <w:color w:val="auto"/>
                <w:sz w:val="21"/>
                <w:highlight w:val="none"/>
              </w:rPr>
            </w:pPr>
          </w:p>
        </w:tc>
        <w:tc>
          <w:tcPr>
            <w:tcW w:w="1465" w:type="dxa"/>
            <w:noWrap w:val="0"/>
            <w:vAlign w:val="top"/>
          </w:tcPr>
          <w:p w14:paraId="78DFFB19">
            <w:pPr>
              <w:rPr>
                <w:rFonts w:ascii="Arial"/>
                <w:color w:val="auto"/>
                <w:sz w:val="21"/>
                <w:highlight w:val="none"/>
              </w:rPr>
            </w:pPr>
          </w:p>
        </w:tc>
        <w:tc>
          <w:tcPr>
            <w:tcW w:w="4264" w:type="dxa"/>
            <w:gridSpan w:val="5"/>
            <w:noWrap w:val="0"/>
            <w:vAlign w:val="top"/>
          </w:tcPr>
          <w:p w14:paraId="13927254">
            <w:pPr>
              <w:rPr>
                <w:rFonts w:ascii="Arial"/>
                <w:color w:val="auto"/>
                <w:sz w:val="21"/>
                <w:highlight w:val="none"/>
              </w:rPr>
            </w:pPr>
          </w:p>
        </w:tc>
        <w:tc>
          <w:tcPr>
            <w:tcW w:w="767" w:type="dxa"/>
            <w:noWrap w:val="0"/>
            <w:vAlign w:val="top"/>
          </w:tcPr>
          <w:p w14:paraId="5BC67CFA">
            <w:pPr>
              <w:rPr>
                <w:rFonts w:ascii="Arial"/>
                <w:color w:val="auto"/>
                <w:sz w:val="21"/>
                <w:highlight w:val="none"/>
              </w:rPr>
            </w:pPr>
          </w:p>
        </w:tc>
        <w:tc>
          <w:tcPr>
            <w:tcW w:w="1903" w:type="dxa"/>
            <w:noWrap w:val="0"/>
            <w:vAlign w:val="top"/>
          </w:tcPr>
          <w:p w14:paraId="50A1EB41">
            <w:pPr>
              <w:rPr>
                <w:rFonts w:ascii="Arial"/>
                <w:color w:val="auto"/>
                <w:sz w:val="21"/>
                <w:highlight w:val="none"/>
              </w:rPr>
            </w:pPr>
          </w:p>
        </w:tc>
      </w:tr>
      <w:tr w14:paraId="2A955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81" w:type="dxa"/>
            <w:noWrap w:val="0"/>
            <w:vAlign w:val="top"/>
          </w:tcPr>
          <w:p w14:paraId="040650E4">
            <w:pPr>
              <w:pStyle w:val="17"/>
              <w:spacing w:before="127" w:line="379" w:lineRule="exact"/>
              <w:ind w:left="343"/>
              <w:rPr>
                <w:color w:val="auto"/>
                <w:highlight w:val="none"/>
              </w:rPr>
            </w:pPr>
            <w:r>
              <w:rPr>
                <w:color w:val="auto"/>
                <w:position w:val="3"/>
                <w:highlight w:val="none"/>
              </w:rPr>
              <w:t>…</w:t>
            </w:r>
          </w:p>
        </w:tc>
        <w:tc>
          <w:tcPr>
            <w:tcW w:w="1465" w:type="dxa"/>
            <w:noWrap w:val="0"/>
            <w:vAlign w:val="top"/>
          </w:tcPr>
          <w:p w14:paraId="1FD863EB">
            <w:pPr>
              <w:rPr>
                <w:rFonts w:ascii="Arial"/>
                <w:color w:val="auto"/>
                <w:sz w:val="21"/>
                <w:highlight w:val="none"/>
              </w:rPr>
            </w:pPr>
          </w:p>
        </w:tc>
        <w:tc>
          <w:tcPr>
            <w:tcW w:w="4264" w:type="dxa"/>
            <w:gridSpan w:val="5"/>
            <w:noWrap w:val="0"/>
            <w:vAlign w:val="top"/>
          </w:tcPr>
          <w:p w14:paraId="08A5E65F">
            <w:pPr>
              <w:rPr>
                <w:rFonts w:ascii="Arial"/>
                <w:color w:val="auto"/>
                <w:sz w:val="21"/>
                <w:highlight w:val="none"/>
              </w:rPr>
            </w:pPr>
          </w:p>
        </w:tc>
        <w:tc>
          <w:tcPr>
            <w:tcW w:w="767" w:type="dxa"/>
            <w:noWrap w:val="0"/>
            <w:vAlign w:val="top"/>
          </w:tcPr>
          <w:p w14:paraId="1BB3DC6E">
            <w:pPr>
              <w:rPr>
                <w:rFonts w:ascii="Arial"/>
                <w:color w:val="auto"/>
                <w:sz w:val="21"/>
                <w:highlight w:val="none"/>
              </w:rPr>
            </w:pPr>
          </w:p>
        </w:tc>
        <w:tc>
          <w:tcPr>
            <w:tcW w:w="1903" w:type="dxa"/>
            <w:noWrap w:val="0"/>
            <w:vAlign w:val="top"/>
          </w:tcPr>
          <w:p w14:paraId="6492C9A5">
            <w:pPr>
              <w:rPr>
                <w:rFonts w:ascii="Arial"/>
                <w:color w:val="auto"/>
                <w:sz w:val="21"/>
                <w:highlight w:val="none"/>
              </w:rPr>
            </w:pPr>
          </w:p>
        </w:tc>
      </w:tr>
      <w:tr w14:paraId="6079A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280" w:type="dxa"/>
            <w:gridSpan w:val="9"/>
            <w:noWrap w:val="0"/>
            <w:vAlign w:val="top"/>
          </w:tcPr>
          <w:p w14:paraId="4289D7CE">
            <w:pPr>
              <w:pStyle w:val="17"/>
              <w:spacing w:before="127" w:line="219" w:lineRule="auto"/>
              <w:ind w:left="139"/>
              <w:rPr>
                <w:color w:val="auto"/>
                <w:highlight w:val="none"/>
              </w:rPr>
            </w:pPr>
            <w:r>
              <w:rPr>
                <w:color w:val="auto"/>
                <w:spacing w:val="-4"/>
                <w:highlight w:val="none"/>
              </w:rPr>
              <w:t>明细报价汇总表：</w:t>
            </w:r>
          </w:p>
        </w:tc>
      </w:tr>
      <w:tr w14:paraId="33615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6127" w:type="dxa"/>
            <w:gridSpan w:val="6"/>
            <w:noWrap w:val="0"/>
            <w:vAlign w:val="top"/>
          </w:tcPr>
          <w:p w14:paraId="2CBF1B3E">
            <w:pPr>
              <w:pStyle w:val="17"/>
              <w:spacing w:before="78" w:line="219" w:lineRule="auto"/>
              <w:ind w:left="609"/>
              <w:rPr>
                <w:color w:val="auto"/>
                <w:highlight w:val="none"/>
              </w:rPr>
            </w:pPr>
            <w:r>
              <w:rPr>
                <w:color w:val="auto"/>
                <w:spacing w:val="-1"/>
                <w:highlight w:val="none"/>
              </w:rPr>
              <w:t>报价总计（汇总单价报价合计+其他费用合计）</w:t>
            </w:r>
          </w:p>
        </w:tc>
        <w:tc>
          <w:tcPr>
            <w:tcW w:w="3153" w:type="dxa"/>
            <w:gridSpan w:val="3"/>
            <w:noWrap w:val="0"/>
            <w:vAlign w:val="top"/>
          </w:tcPr>
          <w:p w14:paraId="0B27D30A">
            <w:pPr>
              <w:pStyle w:val="17"/>
              <w:spacing w:before="147" w:line="219" w:lineRule="auto"/>
              <w:ind w:left="119"/>
              <w:rPr>
                <w:color w:val="auto"/>
                <w:highlight w:val="none"/>
              </w:rPr>
            </w:pPr>
            <w:r>
              <w:rPr>
                <w:color w:val="auto"/>
                <w:spacing w:val="-1"/>
                <w:highlight w:val="none"/>
              </w:rPr>
              <w:t>大写：人民币</w:t>
            </w:r>
            <w:r>
              <w:rPr>
                <w:color w:val="auto"/>
                <w:spacing w:val="-1"/>
                <w:highlight w:val="none"/>
                <w:u w:val="single" w:color="auto"/>
              </w:rPr>
              <w:t>元</w:t>
            </w:r>
          </w:p>
          <w:p w14:paraId="689A727E">
            <w:pPr>
              <w:pStyle w:val="17"/>
              <w:spacing w:before="86" w:line="221" w:lineRule="auto"/>
              <w:ind w:left="123"/>
              <w:rPr>
                <w:color w:val="auto"/>
                <w:highlight w:val="none"/>
              </w:rPr>
            </w:pPr>
            <w:r>
              <w:rPr>
                <w:color w:val="auto"/>
                <w:spacing w:val="-9"/>
                <w:highlight w:val="none"/>
              </w:rPr>
              <w:t>小写：￥</w:t>
            </w:r>
            <w:r>
              <w:rPr>
                <w:color w:val="auto"/>
                <w:spacing w:val="-9"/>
                <w:highlight w:val="none"/>
                <w:u w:val="single" w:color="auto"/>
              </w:rPr>
              <w:t>元</w:t>
            </w:r>
          </w:p>
        </w:tc>
      </w:tr>
    </w:tbl>
    <w:p w14:paraId="478C0431">
      <w:pPr>
        <w:spacing w:before="274" w:line="220" w:lineRule="auto"/>
        <w:ind w:left="4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注明：</w:t>
      </w:r>
    </w:p>
    <w:p w14:paraId="77CB6A1F">
      <w:pPr>
        <w:spacing w:before="87" w:line="219" w:lineRule="auto"/>
        <w:ind w:left="6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1)此表为报价总表的明细表。</w:t>
      </w:r>
    </w:p>
    <w:p w14:paraId="6C9DFC76">
      <w:pPr>
        <w:spacing w:before="90" w:line="219" w:lineRule="auto"/>
        <w:ind w:left="4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2)如果单价和总价不符时，以单价为准，修正</w:t>
      </w:r>
      <w:r>
        <w:rPr>
          <w:rFonts w:ascii="宋体" w:hAnsi="宋体" w:eastAsia="宋体" w:cs="宋体"/>
          <w:color w:val="auto"/>
          <w:spacing w:val="-2"/>
          <w:sz w:val="24"/>
          <w:szCs w:val="24"/>
          <w:highlight w:val="none"/>
        </w:rPr>
        <w:t>总价。</w:t>
      </w:r>
    </w:p>
    <w:p w14:paraId="7840A94D">
      <w:pPr>
        <w:spacing w:before="87" w:line="219" w:lineRule="auto"/>
        <w:ind w:left="4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3)供应商应列明按“采购需求”所要求提供的所有报价项的价格明细。</w:t>
      </w:r>
    </w:p>
    <w:p w14:paraId="71D1816E">
      <w:pPr>
        <w:spacing w:before="79" w:line="219" w:lineRule="auto"/>
        <w:ind w:left="4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715643B1">
      <w:pPr>
        <w:spacing w:before="78" w:line="220" w:lineRule="auto"/>
        <w:ind w:left="8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日期：年月日</w:t>
      </w:r>
    </w:p>
    <w:p w14:paraId="0D873070">
      <w:pPr>
        <w:spacing w:line="220" w:lineRule="auto"/>
        <w:rPr>
          <w:rFonts w:ascii="宋体" w:hAnsi="宋体" w:eastAsia="宋体" w:cs="宋体"/>
          <w:color w:val="auto"/>
          <w:sz w:val="24"/>
          <w:szCs w:val="24"/>
          <w:highlight w:val="none"/>
        </w:rPr>
        <w:sectPr>
          <w:footerReference r:id="rId36" w:type="default"/>
          <w:pgSz w:w="11906" w:h="16839"/>
          <w:pgMar w:top="1431" w:right="1235" w:bottom="1209" w:left="1385" w:header="0" w:footer="973" w:gutter="0"/>
          <w:pgNumType w:fmt="decimal"/>
          <w:cols w:space="720" w:num="1"/>
        </w:sectPr>
      </w:pPr>
    </w:p>
    <w:p w14:paraId="5D06C008">
      <w:pPr>
        <w:spacing w:before="114" w:line="226" w:lineRule="auto"/>
        <w:ind w:left="3732" w:leftChars="0"/>
        <w:outlineLvl w:val="1"/>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三、投标函</w:t>
      </w:r>
    </w:p>
    <w:p w14:paraId="07CF519D">
      <w:pPr>
        <w:spacing w:before="78" w:line="219" w:lineRule="auto"/>
        <w:ind w:left="9" w:leftChars="0"/>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致：</w:t>
      </w:r>
      <w:r>
        <w:rPr>
          <w:rFonts w:ascii="宋体" w:hAnsi="宋体" w:eastAsia="宋体" w:cs="宋体"/>
          <w:b/>
          <w:bCs/>
          <w:color w:val="auto"/>
          <w:spacing w:val="-7"/>
          <w:sz w:val="24"/>
          <w:szCs w:val="24"/>
          <w:highlight w:val="none"/>
          <w:u w:val="single" w:color="auto"/>
        </w:rPr>
        <w:t>(采购代理机构名称)</w:t>
      </w:r>
    </w:p>
    <w:p w14:paraId="619E046A">
      <w:pPr>
        <w:tabs>
          <w:tab w:val="left" w:pos="136"/>
        </w:tabs>
        <w:spacing w:before="206" w:line="288" w:lineRule="auto"/>
        <w:ind w:right="122" w:firstLine="49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依据贵方</w:t>
      </w:r>
      <w:r>
        <w:rPr>
          <w:rFonts w:ascii="宋体" w:hAnsi="宋体" w:eastAsia="宋体" w:cs="宋体"/>
          <w:b/>
          <w:bCs/>
          <w:color w:val="auto"/>
          <w:spacing w:val="-1"/>
          <w:sz w:val="24"/>
          <w:szCs w:val="24"/>
          <w:highlight w:val="none"/>
          <w:u w:val="single" w:color="auto"/>
        </w:rPr>
        <w:t>项目名称</w:t>
      </w:r>
      <w:r>
        <w:rPr>
          <w:rFonts w:ascii="宋体" w:hAnsi="宋体" w:eastAsia="宋体" w:cs="宋体"/>
          <w:color w:val="auto"/>
          <w:spacing w:val="-1"/>
          <w:sz w:val="24"/>
          <w:szCs w:val="24"/>
          <w:highlight w:val="none"/>
          <w:u w:val="single" w:color="auto"/>
        </w:rPr>
        <w:t>（</w:t>
      </w:r>
      <w:r>
        <w:rPr>
          <w:rFonts w:ascii="宋体" w:hAnsi="宋体" w:eastAsia="宋体" w:cs="宋体"/>
          <w:b/>
          <w:bCs/>
          <w:color w:val="auto"/>
          <w:spacing w:val="-1"/>
          <w:sz w:val="24"/>
          <w:szCs w:val="24"/>
          <w:highlight w:val="none"/>
          <w:u w:val="single" w:color="auto"/>
        </w:rPr>
        <w:t>项目编号：</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招标货物及服务的投标，我方代表</w:t>
      </w:r>
      <w:r>
        <w:rPr>
          <w:rFonts w:ascii="宋体" w:hAnsi="宋体" w:eastAsia="宋体" w:cs="宋体"/>
          <w:color w:val="auto"/>
          <w:sz w:val="24"/>
          <w:szCs w:val="24"/>
          <w:highlight w:val="none"/>
          <w:u w:val="single" w:color="auto"/>
        </w:rPr>
        <w:tab/>
      </w:r>
      <w:r>
        <w:rPr>
          <w:rFonts w:ascii="宋体" w:hAnsi="宋体" w:eastAsia="宋体" w:cs="宋体"/>
          <w:b/>
          <w:bCs/>
          <w:color w:val="auto"/>
          <w:spacing w:val="-6"/>
          <w:sz w:val="24"/>
          <w:szCs w:val="24"/>
          <w:highlight w:val="none"/>
          <w:u w:val="single" w:color="auto"/>
        </w:rPr>
        <w:t>（姓名、职务）</w:t>
      </w:r>
      <w:r>
        <w:rPr>
          <w:rFonts w:ascii="宋体" w:hAnsi="宋体" w:eastAsia="宋体" w:cs="宋体"/>
          <w:color w:val="auto"/>
          <w:spacing w:val="-6"/>
          <w:sz w:val="24"/>
          <w:szCs w:val="24"/>
          <w:highlight w:val="none"/>
        </w:rPr>
        <w:t>经正式授权并代表</w:t>
      </w:r>
      <w:r>
        <w:rPr>
          <w:rFonts w:ascii="宋体" w:hAnsi="宋体" w:eastAsia="宋体" w:cs="宋体"/>
          <w:b/>
          <w:bCs/>
          <w:color w:val="auto"/>
          <w:spacing w:val="-6"/>
          <w:sz w:val="24"/>
          <w:szCs w:val="24"/>
          <w:highlight w:val="none"/>
          <w:u w:val="single" w:color="auto"/>
        </w:rPr>
        <w:t>（供应商名称）</w:t>
      </w:r>
      <w:r>
        <w:rPr>
          <w:rFonts w:ascii="宋体" w:hAnsi="宋体" w:eastAsia="宋体" w:cs="宋体"/>
          <w:color w:val="auto"/>
          <w:spacing w:val="-6"/>
          <w:sz w:val="24"/>
          <w:szCs w:val="24"/>
          <w:highlight w:val="none"/>
        </w:rPr>
        <w:t>提交投标文件。</w:t>
      </w:r>
    </w:p>
    <w:p w14:paraId="7D49172D">
      <w:pPr>
        <w:spacing w:line="220" w:lineRule="auto"/>
        <w:ind w:left="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在此，我方声明如下：</w:t>
      </w:r>
    </w:p>
    <w:p w14:paraId="15D5C198">
      <w:pPr>
        <w:spacing w:before="86" w:line="253" w:lineRule="auto"/>
        <w:ind w:left="10" w:firstLine="16"/>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1</w:t>
      </w:r>
      <w:r>
        <w:rPr>
          <w:rFonts w:ascii="宋体" w:hAnsi="宋体" w:eastAsia="宋体" w:cs="宋体"/>
          <w:color w:val="auto"/>
          <w:spacing w:val="-12"/>
          <w:sz w:val="24"/>
          <w:szCs w:val="24"/>
          <w:highlight w:val="none"/>
        </w:rPr>
        <w:t>、同意并接受招标文件的各项要求，遵守招标文件中的各项规定，按招标文件的</w:t>
      </w:r>
      <w:r>
        <w:rPr>
          <w:rFonts w:ascii="宋体" w:hAnsi="宋体" w:eastAsia="宋体" w:cs="宋体"/>
          <w:color w:val="auto"/>
          <w:spacing w:val="-13"/>
          <w:sz w:val="24"/>
          <w:szCs w:val="24"/>
          <w:highlight w:val="none"/>
        </w:rPr>
        <w:t>要求提供</w:t>
      </w:r>
      <w:r>
        <w:rPr>
          <w:rFonts w:ascii="宋体" w:hAnsi="宋体" w:eastAsia="宋体" w:cs="宋体"/>
          <w:color w:val="auto"/>
          <w:spacing w:val="-12"/>
          <w:sz w:val="24"/>
          <w:szCs w:val="24"/>
          <w:highlight w:val="none"/>
        </w:rPr>
        <w:t>报</w:t>
      </w:r>
      <w:r>
        <w:rPr>
          <w:rFonts w:ascii="宋体" w:hAnsi="宋体" w:eastAsia="宋体" w:cs="宋体"/>
          <w:color w:val="auto"/>
          <w:spacing w:val="-8"/>
          <w:sz w:val="24"/>
          <w:szCs w:val="24"/>
          <w:highlight w:val="none"/>
        </w:rPr>
        <w:t>价，投标报价（汇总单价）为（大写）(¥)人民币。</w:t>
      </w:r>
    </w:p>
    <w:p w14:paraId="4031A076">
      <w:pPr>
        <w:spacing w:before="88" w:line="220" w:lineRule="auto"/>
        <w:ind w:left="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2、投标有效期为递交投标文件截止日后90天，中标人投标有效期延至</w:t>
      </w:r>
      <w:r>
        <w:rPr>
          <w:rFonts w:ascii="宋体" w:hAnsi="宋体" w:eastAsia="宋体" w:cs="宋体"/>
          <w:color w:val="auto"/>
          <w:sz w:val="24"/>
          <w:szCs w:val="24"/>
          <w:highlight w:val="none"/>
        </w:rPr>
        <w:t>合同验收之日。</w:t>
      </w:r>
    </w:p>
    <w:p w14:paraId="11E6792F">
      <w:pPr>
        <w:spacing w:before="87" w:line="254" w:lineRule="auto"/>
        <w:ind w:left="20" w:right="11" w:hanging="6"/>
        <w:rPr>
          <w:rFonts w:ascii="宋体" w:hAnsi="宋体" w:eastAsia="宋体" w:cs="宋体"/>
          <w:color w:val="auto"/>
          <w:sz w:val="24"/>
          <w:szCs w:val="24"/>
          <w:highlight w:val="none"/>
        </w:rPr>
      </w:pPr>
      <w:r>
        <w:rPr>
          <w:rFonts w:ascii="宋体" w:hAnsi="宋体" w:eastAsia="宋体" w:cs="宋体"/>
          <w:color w:val="auto"/>
          <w:sz w:val="24"/>
          <w:szCs w:val="24"/>
          <w:highlight w:val="none"/>
        </w:rPr>
        <w:t>3、如果我方中标，我们保证根据招标文件规定履行</w:t>
      </w:r>
      <w:r>
        <w:rPr>
          <w:rFonts w:ascii="宋体" w:hAnsi="宋体" w:eastAsia="宋体" w:cs="宋体"/>
          <w:color w:val="auto"/>
          <w:spacing w:val="-1"/>
          <w:sz w:val="24"/>
          <w:szCs w:val="24"/>
          <w:highlight w:val="none"/>
        </w:rPr>
        <w:t>合同责任和义务。具体合同履行期限</w:t>
      </w:r>
      <w:r>
        <w:rPr>
          <w:rFonts w:ascii="宋体" w:hAnsi="宋体" w:eastAsia="宋体" w:cs="宋体"/>
          <w:color w:val="auto"/>
          <w:sz w:val="24"/>
          <w:szCs w:val="24"/>
          <w:highlight w:val="none"/>
        </w:rPr>
        <w:t>（交货时间）承诺如下：</w:t>
      </w:r>
      <w:r>
        <w:rPr>
          <w:rFonts w:ascii="宋体" w:hAnsi="宋体" w:eastAsia="宋体" w:cs="宋体"/>
          <w:color w:val="auto"/>
          <w:spacing w:val="-1"/>
          <w:sz w:val="24"/>
          <w:szCs w:val="24"/>
          <w:highlight w:val="none"/>
        </w:rPr>
        <w:t>。</w:t>
      </w:r>
    </w:p>
    <w:p w14:paraId="06E8C0BB">
      <w:pPr>
        <w:spacing w:before="88" w:line="219" w:lineRule="auto"/>
        <w:ind w:left="8" w:leftChars="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4、我方人民币元的投标保证金与本投标文件同时提交。</w:t>
      </w:r>
    </w:p>
    <w:p w14:paraId="77A5B741">
      <w:pPr>
        <w:spacing w:before="88" w:line="265" w:lineRule="auto"/>
        <w:ind w:left="11" w:right="11" w:firstLine="2"/>
        <w:rPr>
          <w:rFonts w:ascii="宋体" w:hAnsi="宋体" w:eastAsia="宋体" w:cs="宋体"/>
          <w:color w:val="auto"/>
          <w:sz w:val="24"/>
          <w:szCs w:val="24"/>
          <w:highlight w:val="none"/>
        </w:rPr>
      </w:pPr>
      <w:r>
        <w:rPr>
          <w:rFonts w:ascii="宋体" w:hAnsi="宋体" w:eastAsia="宋体" w:cs="宋体"/>
          <w:color w:val="auto"/>
          <w:sz w:val="24"/>
          <w:szCs w:val="24"/>
          <w:highlight w:val="none"/>
        </w:rPr>
        <w:t>5、我方已经详细地阅读了全部招标文件及其附件，包</w:t>
      </w:r>
      <w:r>
        <w:rPr>
          <w:rFonts w:ascii="宋体" w:hAnsi="宋体" w:eastAsia="宋体" w:cs="宋体"/>
          <w:color w:val="auto"/>
          <w:spacing w:val="-1"/>
          <w:sz w:val="24"/>
          <w:szCs w:val="24"/>
          <w:highlight w:val="none"/>
        </w:rPr>
        <w:t>括澄清及参考文件(如果有的话)。</w:t>
      </w:r>
      <w:r>
        <w:rPr>
          <w:rFonts w:ascii="宋体" w:hAnsi="宋体" w:eastAsia="宋体" w:cs="宋体"/>
          <w:color w:val="auto"/>
          <w:spacing w:val="-3"/>
          <w:sz w:val="24"/>
          <w:szCs w:val="24"/>
          <w:highlight w:val="none"/>
        </w:rPr>
        <w:t>我方已完全清晰理解招标文件的要求，不存在任何含</w:t>
      </w:r>
      <w:r>
        <w:rPr>
          <w:rFonts w:ascii="宋体" w:hAnsi="宋体" w:eastAsia="宋体" w:cs="宋体"/>
          <w:color w:val="auto"/>
          <w:spacing w:val="-4"/>
          <w:sz w:val="24"/>
          <w:szCs w:val="24"/>
          <w:highlight w:val="none"/>
        </w:rPr>
        <w:t>糊不清和误解之处，同意放弃对这些</w:t>
      </w:r>
      <w:r>
        <w:rPr>
          <w:rFonts w:ascii="宋体" w:hAnsi="宋体" w:eastAsia="宋体" w:cs="宋体"/>
          <w:color w:val="auto"/>
          <w:spacing w:val="-1"/>
          <w:sz w:val="24"/>
          <w:szCs w:val="24"/>
          <w:highlight w:val="none"/>
        </w:rPr>
        <w:t>文件所提出的异议和质疑的权利。</w:t>
      </w:r>
    </w:p>
    <w:p w14:paraId="736DDF1A">
      <w:pPr>
        <w:spacing w:before="89" w:line="219" w:lineRule="auto"/>
        <w:ind w:left="11" w:leftChars="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6、我方已毫无保留地向贵方提供一切所需的证明材料。</w:t>
      </w:r>
    </w:p>
    <w:p w14:paraId="5EE7C7CB">
      <w:pPr>
        <w:spacing w:before="86" w:line="254" w:lineRule="auto"/>
        <w:ind w:left="28" w:right="11" w:hanging="13"/>
        <w:rPr>
          <w:rFonts w:ascii="宋体" w:hAnsi="宋体" w:eastAsia="宋体" w:cs="宋体"/>
          <w:color w:val="auto"/>
          <w:sz w:val="24"/>
          <w:szCs w:val="24"/>
          <w:highlight w:val="none"/>
        </w:rPr>
      </w:pPr>
      <w:r>
        <w:rPr>
          <w:rFonts w:ascii="宋体" w:hAnsi="宋体" w:eastAsia="宋体" w:cs="宋体"/>
          <w:color w:val="auto"/>
          <w:sz w:val="24"/>
          <w:szCs w:val="24"/>
          <w:highlight w:val="none"/>
        </w:rPr>
        <w:t>7、我方承诺在本次投标文件中提供的一切文件，</w:t>
      </w:r>
      <w:r>
        <w:rPr>
          <w:rFonts w:ascii="宋体" w:hAnsi="宋体" w:eastAsia="宋体" w:cs="宋体"/>
          <w:color w:val="auto"/>
          <w:spacing w:val="-1"/>
          <w:sz w:val="24"/>
          <w:szCs w:val="24"/>
          <w:highlight w:val="none"/>
        </w:rPr>
        <w:t>无论是原件还是复印件均为真实和准确的，绝无任何虚假、伪造和夸大的成份，否则，愿承担相应的后果和法律责任。</w:t>
      </w:r>
    </w:p>
    <w:p w14:paraId="1A2A70AB">
      <w:pPr>
        <w:spacing w:before="89" w:line="219" w:lineRule="auto"/>
        <w:ind w:left="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8、我方完全服从和尊重评委会所作的评定结果。</w:t>
      </w:r>
    </w:p>
    <w:p w14:paraId="52116CFF">
      <w:pPr>
        <w:spacing w:before="88" w:line="219" w:lineRule="auto"/>
        <w:ind w:left="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9、我方同意按招标文件规定向采购代理机构缴纳中标服务费。</w:t>
      </w:r>
    </w:p>
    <w:p w14:paraId="696CCA18">
      <w:pPr>
        <w:spacing w:before="78" w:line="219" w:lineRule="auto"/>
        <w:ind w:left="47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供应商地址：邮编：</w:t>
      </w:r>
    </w:p>
    <w:p w14:paraId="324F9269">
      <w:pPr>
        <w:spacing w:before="87" w:line="219" w:lineRule="auto"/>
        <w:ind w:left="47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联系电话：传真：</w:t>
      </w:r>
    </w:p>
    <w:p w14:paraId="01CB83FD">
      <w:pPr>
        <w:spacing w:before="90" w:line="219" w:lineRule="auto"/>
        <w:ind w:left="47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项目联系人：手机：</w:t>
      </w:r>
    </w:p>
    <w:p w14:paraId="6B405049">
      <w:pPr>
        <w:spacing w:before="87" w:line="219" w:lineRule="auto"/>
        <w:ind w:left="47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7C90390C">
      <w:pPr>
        <w:spacing w:before="90" w:line="219" w:lineRule="auto"/>
        <w:ind w:left="47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供应商法定代表人或被授权人（签名或盖章</w:t>
      </w:r>
      <w:r>
        <w:rPr>
          <w:rFonts w:ascii="宋体" w:hAnsi="宋体" w:eastAsia="宋体" w:cs="宋体"/>
          <w:color w:val="auto"/>
          <w:spacing w:val="4"/>
          <w:sz w:val="24"/>
          <w:szCs w:val="24"/>
          <w:highlight w:val="none"/>
        </w:rPr>
        <w:t>）：</w:t>
      </w:r>
    </w:p>
    <w:p w14:paraId="1A0B6FA3">
      <w:pPr>
        <w:spacing w:before="89" w:line="220" w:lineRule="auto"/>
        <w:ind w:left="514"/>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日期：年月日</w:t>
      </w:r>
    </w:p>
    <w:p w14:paraId="248C2027">
      <w:pPr>
        <w:spacing w:line="220" w:lineRule="auto"/>
        <w:rPr>
          <w:rFonts w:ascii="宋体" w:hAnsi="宋体" w:eastAsia="宋体" w:cs="宋体"/>
          <w:color w:val="auto"/>
          <w:sz w:val="24"/>
          <w:szCs w:val="24"/>
          <w:highlight w:val="none"/>
        </w:rPr>
        <w:sectPr>
          <w:footerReference r:id="rId37" w:type="default"/>
          <w:pgSz w:w="11906" w:h="16839"/>
          <w:pgMar w:top="1431" w:right="1235" w:bottom="1209" w:left="1418" w:header="0" w:footer="973" w:gutter="0"/>
          <w:pgNumType w:fmt="decimal"/>
          <w:cols w:space="720" w:num="1"/>
        </w:sectPr>
      </w:pPr>
    </w:p>
    <w:p w14:paraId="78317F50">
      <w:pPr>
        <w:spacing w:before="63" w:line="225" w:lineRule="auto"/>
        <w:ind w:left="3945" w:leftChars="0"/>
        <w:outlineLvl w:val="1"/>
        <w:rPr>
          <w:rFonts w:ascii="宋体" w:hAnsi="宋体" w:eastAsia="宋体" w:cs="宋体"/>
          <w:color w:val="auto"/>
          <w:sz w:val="31"/>
          <w:szCs w:val="31"/>
          <w:highlight w:val="none"/>
        </w:rPr>
      </w:pPr>
      <w:r>
        <w:rPr>
          <w:rFonts w:ascii="宋体" w:hAnsi="宋体" w:eastAsia="宋体" w:cs="宋体"/>
          <w:b/>
          <w:bCs/>
          <w:color w:val="auto"/>
          <w:spacing w:val="4"/>
          <w:sz w:val="31"/>
          <w:szCs w:val="31"/>
          <w:highlight w:val="none"/>
        </w:rPr>
        <w:t>投标函附录</w:t>
      </w:r>
    </w:p>
    <w:p w14:paraId="7D424522">
      <w:pPr>
        <w:spacing w:before="78" w:line="221" w:lineRule="auto"/>
        <w:ind w:left="1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p w14:paraId="1C8CB077">
      <w:pPr>
        <w:spacing w:before="154" w:line="220" w:lineRule="auto"/>
        <w:ind w:left="1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p>
    <w:tbl>
      <w:tblPr>
        <w:tblStyle w:val="18"/>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2214"/>
        <w:gridCol w:w="3885"/>
        <w:gridCol w:w="2377"/>
      </w:tblGrid>
      <w:tr w14:paraId="6852C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50" w:type="dxa"/>
            <w:noWrap w:val="0"/>
            <w:vAlign w:val="top"/>
          </w:tcPr>
          <w:p w14:paraId="08CAE475">
            <w:pPr>
              <w:pStyle w:val="17"/>
              <w:spacing w:before="112" w:line="222" w:lineRule="auto"/>
              <w:ind w:left="191"/>
              <w:rPr>
                <w:color w:val="auto"/>
                <w:highlight w:val="none"/>
              </w:rPr>
            </w:pPr>
            <w:r>
              <w:rPr>
                <w:color w:val="auto"/>
                <w:spacing w:val="-5"/>
                <w:highlight w:val="none"/>
              </w:rPr>
              <w:t>序号</w:t>
            </w:r>
          </w:p>
        </w:tc>
        <w:tc>
          <w:tcPr>
            <w:tcW w:w="2214" w:type="dxa"/>
            <w:noWrap w:val="0"/>
            <w:vAlign w:val="top"/>
          </w:tcPr>
          <w:p w14:paraId="6B1CEA5F">
            <w:pPr>
              <w:pStyle w:val="17"/>
              <w:spacing w:before="112" w:line="220" w:lineRule="auto"/>
              <w:ind w:left="635"/>
              <w:rPr>
                <w:color w:val="auto"/>
                <w:highlight w:val="none"/>
              </w:rPr>
            </w:pPr>
            <w:r>
              <w:rPr>
                <w:color w:val="auto"/>
                <w:spacing w:val="-3"/>
                <w:highlight w:val="none"/>
              </w:rPr>
              <w:t>条款名称</w:t>
            </w:r>
          </w:p>
        </w:tc>
        <w:tc>
          <w:tcPr>
            <w:tcW w:w="3885" w:type="dxa"/>
            <w:noWrap w:val="0"/>
            <w:vAlign w:val="top"/>
          </w:tcPr>
          <w:p w14:paraId="222C4107">
            <w:pPr>
              <w:pStyle w:val="17"/>
              <w:spacing w:before="112" w:line="220" w:lineRule="auto"/>
              <w:ind w:left="1475"/>
              <w:rPr>
                <w:color w:val="auto"/>
                <w:highlight w:val="none"/>
              </w:rPr>
            </w:pPr>
            <w:r>
              <w:rPr>
                <w:color w:val="auto"/>
                <w:spacing w:val="-4"/>
                <w:highlight w:val="none"/>
              </w:rPr>
              <w:t>约定内容</w:t>
            </w:r>
          </w:p>
        </w:tc>
        <w:tc>
          <w:tcPr>
            <w:tcW w:w="2377" w:type="dxa"/>
            <w:noWrap w:val="0"/>
            <w:vAlign w:val="top"/>
          </w:tcPr>
          <w:p w14:paraId="6837DE20">
            <w:pPr>
              <w:pStyle w:val="17"/>
              <w:spacing w:before="112" w:line="221" w:lineRule="auto"/>
              <w:ind w:left="718"/>
              <w:rPr>
                <w:color w:val="auto"/>
                <w:highlight w:val="none"/>
              </w:rPr>
            </w:pPr>
            <w:r>
              <w:rPr>
                <w:color w:val="auto"/>
                <w:spacing w:val="-4"/>
                <w:highlight w:val="none"/>
              </w:rPr>
              <w:t>是否响应</w:t>
            </w:r>
          </w:p>
        </w:tc>
      </w:tr>
      <w:tr w14:paraId="5F07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0" w:type="dxa"/>
            <w:noWrap w:val="0"/>
            <w:vAlign w:val="top"/>
          </w:tcPr>
          <w:p w14:paraId="1E056E09">
            <w:pPr>
              <w:pStyle w:val="17"/>
              <w:spacing w:before="78" w:line="242" w:lineRule="auto"/>
              <w:ind w:left="389"/>
              <w:rPr>
                <w:color w:val="auto"/>
                <w:highlight w:val="none"/>
              </w:rPr>
            </w:pPr>
            <w:r>
              <w:rPr>
                <w:color w:val="auto"/>
                <w:highlight w:val="none"/>
              </w:rPr>
              <w:t>1</w:t>
            </w:r>
          </w:p>
        </w:tc>
        <w:tc>
          <w:tcPr>
            <w:tcW w:w="2214" w:type="dxa"/>
            <w:noWrap w:val="0"/>
            <w:vAlign w:val="top"/>
          </w:tcPr>
          <w:p w14:paraId="4D1686F0">
            <w:pPr>
              <w:pStyle w:val="17"/>
              <w:spacing w:before="37" w:line="221" w:lineRule="auto"/>
              <w:ind w:left="394"/>
              <w:rPr>
                <w:color w:val="auto"/>
                <w:highlight w:val="none"/>
              </w:rPr>
            </w:pPr>
            <w:r>
              <w:rPr>
                <w:color w:val="auto"/>
                <w:spacing w:val="-2"/>
                <w:highlight w:val="none"/>
              </w:rPr>
              <w:t>合同履行期限</w:t>
            </w:r>
          </w:p>
          <w:p w14:paraId="5C933138">
            <w:pPr>
              <w:pStyle w:val="17"/>
              <w:spacing w:before="179" w:line="219" w:lineRule="auto"/>
              <w:ind w:left="404"/>
              <w:rPr>
                <w:color w:val="auto"/>
                <w:highlight w:val="none"/>
              </w:rPr>
            </w:pPr>
            <w:r>
              <w:rPr>
                <w:color w:val="auto"/>
                <w:spacing w:val="-4"/>
                <w:highlight w:val="none"/>
              </w:rPr>
              <w:t>（交货时间）</w:t>
            </w:r>
          </w:p>
        </w:tc>
        <w:tc>
          <w:tcPr>
            <w:tcW w:w="3885" w:type="dxa"/>
            <w:noWrap w:val="0"/>
            <w:vAlign w:val="top"/>
          </w:tcPr>
          <w:p w14:paraId="09005DEE">
            <w:pPr>
              <w:rPr>
                <w:rFonts w:ascii="Arial"/>
                <w:color w:val="auto"/>
                <w:sz w:val="21"/>
                <w:highlight w:val="none"/>
              </w:rPr>
            </w:pPr>
          </w:p>
        </w:tc>
        <w:tc>
          <w:tcPr>
            <w:tcW w:w="2377" w:type="dxa"/>
            <w:noWrap w:val="0"/>
            <w:vAlign w:val="top"/>
          </w:tcPr>
          <w:p w14:paraId="27722896">
            <w:pPr>
              <w:rPr>
                <w:rFonts w:ascii="Arial"/>
                <w:color w:val="auto"/>
                <w:sz w:val="21"/>
                <w:highlight w:val="none"/>
              </w:rPr>
            </w:pPr>
          </w:p>
        </w:tc>
      </w:tr>
      <w:tr w14:paraId="521FB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0" w:type="dxa"/>
            <w:noWrap w:val="0"/>
            <w:vAlign w:val="top"/>
          </w:tcPr>
          <w:p w14:paraId="72848303">
            <w:pPr>
              <w:pStyle w:val="17"/>
              <w:spacing w:before="102" w:line="242" w:lineRule="auto"/>
              <w:ind w:left="374"/>
              <w:rPr>
                <w:color w:val="auto"/>
                <w:highlight w:val="none"/>
              </w:rPr>
            </w:pPr>
            <w:r>
              <w:rPr>
                <w:color w:val="auto"/>
                <w:highlight w:val="none"/>
              </w:rPr>
              <w:t>2</w:t>
            </w:r>
          </w:p>
        </w:tc>
        <w:tc>
          <w:tcPr>
            <w:tcW w:w="2214" w:type="dxa"/>
            <w:noWrap w:val="0"/>
            <w:vAlign w:val="top"/>
          </w:tcPr>
          <w:p w14:paraId="17E0AB39">
            <w:pPr>
              <w:pStyle w:val="17"/>
              <w:spacing w:before="37" w:line="221" w:lineRule="auto"/>
              <w:ind w:left="516"/>
              <w:rPr>
                <w:color w:val="auto"/>
                <w:highlight w:val="none"/>
              </w:rPr>
            </w:pPr>
            <w:r>
              <w:rPr>
                <w:color w:val="auto"/>
                <w:spacing w:val="-3"/>
                <w:highlight w:val="none"/>
              </w:rPr>
              <w:t>投标有效期</w:t>
            </w:r>
          </w:p>
        </w:tc>
        <w:tc>
          <w:tcPr>
            <w:tcW w:w="3885" w:type="dxa"/>
            <w:noWrap w:val="0"/>
            <w:vAlign w:val="top"/>
          </w:tcPr>
          <w:p w14:paraId="010B9C5A">
            <w:pPr>
              <w:rPr>
                <w:rFonts w:ascii="Arial"/>
                <w:color w:val="auto"/>
                <w:sz w:val="21"/>
                <w:highlight w:val="none"/>
              </w:rPr>
            </w:pPr>
          </w:p>
        </w:tc>
        <w:tc>
          <w:tcPr>
            <w:tcW w:w="2377" w:type="dxa"/>
            <w:noWrap w:val="0"/>
            <w:vAlign w:val="top"/>
          </w:tcPr>
          <w:p w14:paraId="6C851B10">
            <w:pPr>
              <w:rPr>
                <w:rFonts w:ascii="Arial"/>
                <w:color w:val="auto"/>
                <w:sz w:val="21"/>
                <w:highlight w:val="none"/>
              </w:rPr>
            </w:pPr>
          </w:p>
        </w:tc>
      </w:tr>
      <w:tr w14:paraId="695AD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0" w:type="dxa"/>
            <w:noWrap w:val="0"/>
            <w:vAlign w:val="top"/>
          </w:tcPr>
          <w:p w14:paraId="107EE81C">
            <w:pPr>
              <w:pStyle w:val="17"/>
              <w:spacing w:before="100"/>
              <w:ind w:left="376"/>
              <w:rPr>
                <w:color w:val="auto"/>
                <w:highlight w:val="none"/>
              </w:rPr>
            </w:pPr>
            <w:r>
              <w:rPr>
                <w:color w:val="auto"/>
                <w:highlight w:val="none"/>
              </w:rPr>
              <w:t>3</w:t>
            </w:r>
          </w:p>
        </w:tc>
        <w:tc>
          <w:tcPr>
            <w:tcW w:w="2214" w:type="dxa"/>
            <w:noWrap w:val="0"/>
            <w:vAlign w:val="top"/>
          </w:tcPr>
          <w:p w14:paraId="3AE27ABE">
            <w:pPr>
              <w:pStyle w:val="17"/>
              <w:spacing w:before="35" w:line="221" w:lineRule="auto"/>
              <w:ind w:left="634"/>
              <w:rPr>
                <w:color w:val="auto"/>
                <w:highlight w:val="none"/>
              </w:rPr>
            </w:pPr>
            <w:r>
              <w:rPr>
                <w:color w:val="auto"/>
                <w:spacing w:val="-3"/>
                <w:highlight w:val="none"/>
              </w:rPr>
              <w:t>质量标准</w:t>
            </w:r>
          </w:p>
        </w:tc>
        <w:tc>
          <w:tcPr>
            <w:tcW w:w="3885" w:type="dxa"/>
            <w:noWrap w:val="0"/>
            <w:vAlign w:val="top"/>
          </w:tcPr>
          <w:p w14:paraId="5F8C4EB6">
            <w:pPr>
              <w:rPr>
                <w:rFonts w:ascii="Arial"/>
                <w:color w:val="auto"/>
                <w:sz w:val="21"/>
                <w:highlight w:val="none"/>
              </w:rPr>
            </w:pPr>
          </w:p>
        </w:tc>
        <w:tc>
          <w:tcPr>
            <w:tcW w:w="2377" w:type="dxa"/>
            <w:noWrap w:val="0"/>
            <w:vAlign w:val="top"/>
          </w:tcPr>
          <w:p w14:paraId="00847D16">
            <w:pPr>
              <w:rPr>
                <w:rFonts w:ascii="Arial"/>
                <w:color w:val="auto"/>
                <w:sz w:val="21"/>
                <w:highlight w:val="none"/>
              </w:rPr>
            </w:pPr>
          </w:p>
        </w:tc>
      </w:tr>
      <w:tr w14:paraId="13277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50" w:type="dxa"/>
            <w:noWrap w:val="0"/>
            <w:vAlign w:val="top"/>
          </w:tcPr>
          <w:p w14:paraId="2255308F">
            <w:pPr>
              <w:pStyle w:val="17"/>
              <w:spacing w:before="132" w:line="242" w:lineRule="auto"/>
              <w:ind w:left="371"/>
              <w:rPr>
                <w:color w:val="auto"/>
                <w:highlight w:val="none"/>
              </w:rPr>
            </w:pPr>
            <w:r>
              <w:rPr>
                <w:color w:val="auto"/>
                <w:highlight w:val="none"/>
              </w:rPr>
              <w:t>4</w:t>
            </w:r>
          </w:p>
        </w:tc>
        <w:tc>
          <w:tcPr>
            <w:tcW w:w="2214" w:type="dxa"/>
            <w:noWrap w:val="0"/>
            <w:vAlign w:val="top"/>
          </w:tcPr>
          <w:p w14:paraId="5F63CA77">
            <w:pPr>
              <w:pStyle w:val="17"/>
              <w:spacing w:before="68" w:line="219" w:lineRule="auto"/>
              <w:ind w:left="637"/>
              <w:rPr>
                <w:color w:val="auto"/>
                <w:highlight w:val="none"/>
              </w:rPr>
            </w:pPr>
            <w:r>
              <w:rPr>
                <w:color w:val="auto"/>
                <w:spacing w:val="-4"/>
                <w:highlight w:val="none"/>
              </w:rPr>
              <w:t>交货地点</w:t>
            </w:r>
          </w:p>
        </w:tc>
        <w:tc>
          <w:tcPr>
            <w:tcW w:w="3885" w:type="dxa"/>
            <w:noWrap w:val="0"/>
            <w:vAlign w:val="top"/>
          </w:tcPr>
          <w:p w14:paraId="26AA6CF2">
            <w:pPr>
              <w:rPr>
                <w:rFonts w:ascii="Arial"/>
                <w:color w:val="auto"/>
                <w:sz w:val="21"/>
                <w:highlight w:val="none"/>
              </w:rPr>
            </w:pPr>
          </w:p>
        </w:tc>
        <w:tc>
          <w:tcPr>
            <w:tcW w:w="2377" w:type="dxa"/>
            <w:noWrap w:val="0"/>
            <w:vAlign w:val="top"/>
          </w:tcPr>
          <w:p w14:paraId="57E26FD6">
            <w:pPr>
              <w:rPr>
                <w:rFonts w:ascii="Arial"/>
                <w:color w:val="auto"/>
                <w:sz w:val="21"/>
                <w:highlight w:val="none"/>
              </w:rPr>
            </w:pPr>
          </w:p>
        </w:tc>
      </w:tr>
      <w:tr w14:paraId="599AE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50" w:type="dxa"/>
            <w:noWrap w:val="0"/>
            <w:vAlign w:val="top"/>
          </w:tcPr>
          <w:p w14:paraId="20603103">
            <w:pPr>
              <w:pStyle w:val="17"/>
              <w:spacing w:before="133"/>
              <w:ind w:left="376"/>
              <w:rPr>
                <w:color w:val="auto"/>
                <w:highlight w:val="none"/>
              </w:rPr>
            </w:pPr>
            <w:r>
              <w:rPr>
                <w:color w:val="auto"/>
                <w:highlight w:val="none"/>
              </w:rPr>
              <w:t>5</w:t>
            </w:r>
          </w:p>
        </w:tc>
        <w:tc>
          <w:tcPr>
            <w:tcW w:w="2214" w:type="dxa"/>
            <w:noWrap w:val="0"/>
            <w:vAlign w:val="top"/>
          </w:tcPr>
          <w:p w14:paraId="3FCB64AB">
            <w:pPr>
              <w:pStyle w:val="17"/>
              <w:spacing w:before="68" w:line="221" w:lineRule="auto"/>
              <w:ind w:left="754"/>
              <w:rPr>
                <w:color w:val="auto"/>
                <w:highlight w:val="none"/>
              </w:rPr>
            </w:pPr>
            <w:r>
              <w:rPr>
                <w:color w:val="auto"/>
                <w:spacing w:val="-4"/>
                <w:highlight w:val="none"/>
              </w:rPr>
              <w:t>质保期</w:t>
            </w:r>
          </w:p>
        </w:tc>
        <w:tc>
          <w:tcPr>
            <w:tcW w:w="3885" w:type="dxa"/>
            <w:noWrap w:val="0"/>
            <w:vAlign w:val="top"/>
          </w:tcPr>
          <w:p w14:paraId="4F3A9456">
            <w:pPr>
              <w:rPr>
                <w:rFonts w:ascii="Arial"/>
                <w:color w:val="auto"/>
                <w:sz w:val="21"/>
                <w:highlight w:val="none"/>
              </w:rPr>
            </w:pPr>
          </w:p>
        </w:tc>
        <w:tc>
          <w:tcPr>
            <w:tcW w:w="2377" w:type="dxa"/>
            <w:noWrap w:val="0"/>
            <w:vAlign w:val="top"/>
          </w:tcPr>
          <w:p w14:paraId="53D85D7A">
            <w:pPr>
              <w:rPr>
                <w:rFonts w:ascii="Arial"/>
                <w:color w:val="auto"/>
                <w:sz w:val="21"/>
                <w:highlight w:val="none"/>
              </w:rPr>
            </w:pPr>
          </w:p>
        </w:tc>
      </w:tr>
      <w:tr w14:paraId="2B1D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850" w:type="dxa"/>
            <w:noWrap w:val="0"/>
            <w:vAlign w:val="top"/>
          </w:tcPr>
          <w:p w14:paraId="09B40034">
            <w:pPr>
              <w:rPr>
                <w:rFonts w:ascii="Arial"/>
                <w:color w:val="auto"/>
                <w:sz w:val="21"/>
                <w:highlight w:val="none"/>
              </w:rPr>
            </w:pPr>
          </w:p>
        </w:tc>
        <w:tc>
          <w:tcPr>
            <w:tcW w:w="2214" w:type="dxa"/>
            <w:noWrap w:val="0"/>
            <w:vAlign w:val="top"/>
          </w:tcPr>
          <w:p w14:paraId="3454847D">
            <w:pPr>
              <w:pStyle w:val="17"/>
              <w:spacing w:before="254" w:line="379" w:lineRule="exact"/>
              <w:ind w:left="888"/>
              <w:rPr>
                <w:color w:val="auto"/>
                <w:highlight w:val="none"/>
              </w:rPr>
            </w:pPr>
            <w:r>
              <w:rPr>
                <w:color w:val="auto"/>
                <w:spacing w:val="-13"/>
                <w:position w:val="3"/>
                <w:highlight w:val="none"/>
              </w:rPr>
              <w:t>……</w:t>
            </w:r>
          </w:p>
        </w:tc>
        <w:tc>
          <w:tcPr>
            <w:tcW w:w="3885" w:type="dxa"/>
            <w:noWrap w:val="0"/>
            <w:vAlign w:val="top"/>
          </w:tcPr>
          <w:p w14:paraId="48423A24">
            <w:pPr>
              <w:rPr>
                <w:rFonts w:ascii="Arial"/>
                <w:color w:val="auto"/>
                <w:sz w:val="21"/>
                <w:highlight w:val="none"/>
              </w:rPr>
            </w:pPr>
          </w:p>
        </w:tc>
        <w:tc>
          <w:tcPr>
            <w:tcW w:w="2377" w:type="dxa"/>
            <w:noWrap w:val="0"/>
            <w:vAlign w:val="top"/>
          </w:tcPr>
          <w:p w14:paraId="10702306">
            <w:pPr>
              <w:rPr>
                <w:rFonts w:ascii="Arial"/>
                <w:color w:val="auto"/>
                <w:sz w:val="21"/>
                <w:highlight w:val="none"/>
              </w:rPr>
            </w:pPr>
          </w:p>
        </w:tc>
      </w:tr>
      <w:tr w14:paraId="0F77A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326" w:type="dxa"/>
            <w:gridSpan w:val="4"/>
            <w:noWrap w:val="0"/>
            <w:vAlign w:val="top"/>
          </w:tcPr>
          <w:p w14:paraId="40528A0D">
            <w:pPr>
              <w:pStyle w:val="17"/>
              <w:spacing w:before="38" w:line="224" w:lineRule="auto"/>
              <w:ind w:left="116" w:right="107" w:firstLine="3"/>
              <w:rPr>
                <w:color w:val="auto"/>
                <w:highlight w:val="none"/>
              </w:rPr>
            </w:pPr>
            <w:r>
              <w:rPr>
                <w:color w:val="auto"/>
                <w:spacing w:val="-1"/>
                <w:highlight w:val="none"/>
              </w:rPr>
              <w:t>备注：供应商在响应招标文件中规定的实质性要求和条件的基础上，可做出其他有利于采购人的承诺。此类承诺可在本表中予以补充填写。</w:t>
            </w:r>
          </w:p>
        </w:tc>
      </w:tr>
    </w:tbl>
    <w:p w14:paraId="2E13A224">
      <w:pPr>
        <w:rPr>
          <w:color w:val="auto"/>
          <w:highlight w:val="none"/>
        </w:rPr>
        <w:sectPr>
          <w:footerReference r:id="rId38" w:type="default"/>
          <w:pgSz w:w="11906" w:h="16839"/>
          <w:pgMar w:top="1402" w:right="1269" w:bottom="1209" w:left="1305" w:header="0" w:footer="973" w:gutter="0"/>
          <w:pgNumType w:fmt="decimal"/>
          <w:cols w:space="720" w:num="1"/>
        </w:sectPr>
      </w:pPr>
    </w:p>
    <w:p w14:paraId="0728AFCD">
      <w:pPr>
        <w:spacing w:before="114" w:line="225" w:lineRule="auto"/>
        <w:ind w:left="2488" w:leftChars="0"/>
        <w:outlineLvl w:val="1"/>
        <w:rPr>
          <w:rFonts w:ascii="宋体" w:hAnsi="宋体" w:eastAsia="宋体" w:cs="宋体"/>
          <w:color w:val="auto"/>
          <w:sz w:val="35"/>
          <w:szCs w:val="35"/>
          <w:highlight w:val="none"/>
        </w:rPr>
      </w:pPr>
      <w:r>
        <w:rPr>
          <w:rFonts w:ascii="宋体" w:hAnsi="宋体" w:eastAsia="宋体" w:cs="宋体"/>
          <w:b/>
          <w:bCs/>
          <w:color w:val="auto"/>
          <w:spacing w:val="3"/>
          <w:sz w:val="35"/>
          <w:szCs w:val="35"/>
          <w:highlight w:val="none"/>
        </w:rPr>
        <w:t>四、法定代表人身份证明书</w:t>
      </w:r>
    </w:p>
    <w:p w14:paraId="26904E4E">
      <w:pPr>
        <w:spacing w:before="78" w:line="219" w:lineRule="auto"/>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致：</w:t>
      </w:r>
      <w:r>
        <w:rPr>
          <w:rFonts w:ascii="宋体" w:hAnsi="宋体" w:eastAsia="宋体" w:cs="宋体"/>
          <w:b/>
          <w:bCs/>
          <w:color w:val="auto"/>
          <w:spacing w:val="-7"/>
          <w:sz w:val="24"/>
          <w:szCs w:val="24"/>
          <w:highlight w:val="none"/>
          <w:u w:val="single" w:color="auto"/>
        </w:rPr>
        <w:t>(采购代理机构名称)</w:t>
      </w:r>
    </w:p>
    <w:p w14:paraId="733EDAF7">
      <w:pPr>
        <w:spacing w:before="206" w:line="220"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同志，现任我单位职务，为法定代表人，特此证明。</w:t>
      </w:r>
    </w:p>
    <w:p w14:paraId="789DE8E1">
      <w:pPr>
        <w:spacing w:before="88" w:line="221" w:lineRule="auto"/>
        <w:ind w:left="46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单位名称：</w:t>
      </w:r>
    </w:p>
    <w:p w14:paraId="2A44844D">
      <w:pPr>
        <w:spacing w:before="87" w:line="221" w:lineRule="auto"/>
        <w:ind w:left="46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单位地址：</w:t>
      </w:r>
    </w:p>
    <w:p w14:paraId="4C21567B">
      <w:pPr>
        <w:spacing w:before="85" w:line="220" w:lineRule="auto"/>
        <w:ind w:left="4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代表人姓名：代表人联系电话：</w:t>
      </w:r>
    </w:p>
    <w:p w14:paraId="37EE6622">
      <w:pPr>
        <w:spacing w:before="88" w:line="220" w:lineRule="auto"/>
        <w:ind w:left="4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代表人性别：代表人年龄：</w:t>
      </w:r>
    </w:p>
    <w:p w14:paraId="05AF3CCB">
      <w:pPr>
        <w:spacing w:before="86" w:line="219" w:lineRule="auto"/>
        <w:ind w:left="46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代表人身份证号码：营业执照或事业单位法人证书号码：</w:t>
      </w:r>
    </w:p>
    <w:p w14:paraId="0CF47E17">
      <w:pPr>
        <w:spacing w:before="89" w:line="221" w:lineRule="auto"/>
        <w:ind w:left="46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单位性质：经营期限：</w:t>
      </w:r>
    </w:p>
    <w:p w14:paraId="7B52AEF3">
      <w:pPr>
        <w:spacing w:before="88" w:line="220" w:lineRule="auto"/>
        <w:ind w:left="46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主营（产</w:t>
      </w:r>
      <w:r>
        <w:rPr>
          <w:rFonts w:ascii="宋体" w:hAnsi="宋体" w:eastAsia="宋体" w:cs="宋体"/>
          <w:color w:val="auto"/>
          <w:sz w:val="24"/>
          <w:szCs w:val="24"/>
          <w:highlight w:val="none"/>
        </w:rPr>
        <w:t>）：</w:t>
      </w:r>
    </w:p>
    <w:p w14:paraId="17503342">
      <w:pPr>
        <w:spacing w:before="86" w:line="220" w:lineRule="auto"/>
        <w:ind w:left="4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兼营（产</w:t>
      </w:r>
      <w:r>
        <w:rPr>
          <w:rFonts w:ascii="宋体" w:hAnsi="宋体" w:eastAsia="宋体" w:cs="宋体"/>
          <w:color w:val="auto"/>
          <w:sz w:val="24"/>
          <w:szCs w:val="24"/>
          <w:highlight w:val="none"/>
        </w:rPr>
        <w:t>）：</w:t>
      </w:r>
    </w:p>
    <w:p w14:paraId="13D10621">
      <w:pPr>
        <w:spacing w:before="132" w:line="220" w:lineRule="auto"/>
        <w:ind w:left="4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0F6A3375">
      <w:pPr>
        <w:spacing w:before="131" w:line="219" w:lineRule="auto"/>
        <w:ind w:left="326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36828FA0">
      <w:pPr>
        <w:spacing w:before="90" w:line="219" w:lineRule="auto"/>
        <w:ind w:left="326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法定代表人（签名或盖章</w:t>
      </w:r>
      <w:r>
        <w:rPr>
          <w:rFonts w:ascii="宋体" w:hAnsi="宋体" w:eastAsia="宋体" w:cs="宋体"/>
          <w:color w:val="auto"/>
          <w:sz w:val="24"/>
          <w:szCs w:val="24"/>
          <w:highlight w:val="none"/>
        </w:rPr>
        <w:t>）：</w:t>
      </w:r>
    </w:p>
    <w:p w14:paraId="67B12459">
      <w:pPr>
        <w:spacing w:before="87" w:line="220" w:lineRule="auto"/>
        <w:ind w:left="3307"/>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日期：年月日</w:t>
      </w:r>
    </w:p>
    <w:p w14:paraId="083E4B33">
      <w:pPr>
        <w:spacing w:before="209" w:line="219" w:lineRule="auto"/>
        <w:ind w:left="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须附：法定代表人有效期内身份证复印件</w:t>
      </w:r>
    </w:p>
    <w:tbl>
      <w:tblPr>
        <w:tblStyle w:val="18"/>
        <w:tblW w:w="8945" w:type="dxa"/>
        <w:tblInd w:w="137" w:type="dxa"/>
        <w:tblBorders>
          <w:top w:val="dashed" w:color="000000" w:sz="2" w:space="0"/>
          <w:left w:val="dashed" w:color="000000" w:sz="2" w:space="0"/>
          <w:bottom w:val="dashed" w:color="000000" w:sz="2" w:space="0"/>
          <w:right w:val="dashed" w:color="000000" w:sz="2" w:space="0"/>
          <w:insideH w:val="dashed" w:color="000000" w:sz="2" w:space="0"/>
          <w:insideV w:val="dashed" w:color="000000" w:sz="2" w:space="0"/>
        </w:tblBorders>
        <w:tblLayout w:type="fixed"/>
        <w:tblCellMar>
          <w:top w:w="0" w:type="dxa"/>
          <w:left w:w="0" w:type="dxa"/>
          <w:bottom w:w="0" w:type="dxa"/>
          <w:right w:w="0" w:type="dxa"/>
        </w:tblCellMar>
      </w:tblPr>
      <w:tblGrid>
        <w:gridCol w:w="4679"/>
        <w:gridCol w:w="4266"/>
      </w:tblGrid>
      <w:tr w14:paraId="1C12410E">
        <w:tblPrEx>
          <w:tblBorders>
            <w:top w:val="dashed" w:color="000000" w:sz="2" w:space="0"/>
            <w:left w:val="dashed" w:color="000000" w:sz="2" w:space="0"/>
            <w:bottom w:val="dashed" w:color="000000" w:sz="2" w:space="0"/>
            <w:right w:val="dashed" w:color="000000" w:sz="2" w:space="0"/>
            <w:insideH w:val="dashed" w:color="000000" w:sz="2" w:space="0"/>
            <w:insideV w:val="dashed" w:color="000000" w:sz="2" w:space="0"/>
          </w:tblBorders>
          <w:tblCellMar>
            <w:top w:w="0" w:type="dxa"/>
            <w:left w:w="0" w:type="dxa"/>
            <w:bottom w:w="0" w:type="dxa"/>
            <w:right w:w="0" w:type="dxa"/>
          </w:tblCellMar>
        </w:tblPrEx>
        <w:trPr>
          <w:trHeight w:val="1842" w:hRule="atLeast"/>
        </w:trPr>
        <w:tc>
          <w:tcPr>
            <w:tcW w:w="4679" w:type="dxa"/>
            <w:noWrap w:val="0"/>
            <w:vAlign w:val="top"/>
          </w:tcPr>
          <w:p w14:paraId="138DFC70">
            <w:pPr>
              <w:pStyle w:val="17"/>
              <w:spacing w:before="78" w:line="222" w:lineRule="auto"/>
              <w:ind w:left="2110"/>
              <w:rPr>
                <w:color w:val="auto"/>
                <w:highlight w:val="none"/>
              </w:rPr>
            </w:pPr>
            <w:r>
              <w:rPr>
                <w:color w:val="auto"/>
                <w:spacing w:val="-8"/>
                <w:highlight w:val="none"/>
              </w:rPr>
              <w:t>正面</w:t>
            </w:r>
          </w:p>
        </w:tc>
        <w:tc>
          <w:tcPr>
            <w:tcW w:w="4266" w:type="dxa"/>
            <w:noWrap w:val="0"/>
            <w:vAlign w:val="top"/>
          </w:tcPr>
          <w:p w14:paraId="51C835AA">
            <w:pPr>
              <w:pStyle w:val="17"/>
              <w:spacing w:before="78" w:line="220" w:lineRule="auto"/>
              <w:ind w:left="1902"/>
              <w:rPr>
                <w:color w:val="auto"/>
                <w:highlight w:val="none"/>
              </w:rPr>
            </w:pPr>
            <w:r>
              <w:rPr>
                <w:color w:val="auto"/>
                <w:spacing w:val="-7"/>
                <w:highlight w:val="none"/>
              </w:rPr>
              <w:t>背面</w:t>
            </w:r>
          </w:p>
        </w:tc>
      </w:tr>
    </w:tbl>
    <w:p w14:paraId="5366AA3B">
      <w:pPr>
        <w:rPr>
          <w:color w:val="auto"/>
          <w:highlight w:val="none"/>
        </w:rPr>
        <w:sectPr>
          <w:footerReference r:id="rId39" w:type="default"/>
          <w:pgSz w:w="11906" w:h="16839"/>
          <w:pgMar w:top="1431" w:right="1392" w:bottom="1209" w:left="1427" w:header="0" w:footer="973" w:gutter="0"/>
          <w:pgNumType w:fmt="decimal"/>
          <w:cols w:space="720" w:num="1"/>
        </w:sectPr>
      </w:pPr>
    </w:p>
    <w:p w14:paraId="045FCEF0">
      <w:pPr>
        <w:spacing w:before="114" w:line="225" w:lineRule="auto"/>
        <w:ind w:left="2470" w:leftChars="0"/>
        <w:outlineLvl w:val="1"/>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五、法定代表人授权委托书</w:t>
      </w:r>
    </w:p>
    <w:p w14:paraId="48FDA2E0">
      <w:pPr>
        <w:spacing w:before="78" w:line="219" w:lineRule="auto"/>
        <w:ind w:left="9" w:leftChars="0"/>
        <w:outlineLvl w:val="2"/>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致：</w:t>
      </w:r>
      <w:r>
        <w:rPr>
          <w:rFonts w:ascii="宋体" w:hAnsi="宋体" w:eastAsia="宋体" w:cs="宋体"/>
          <w:b/>
          <w:bCs/>
          <w:color w:val="auto"/>
          <w:spacing w:val="-7"/>
          <w:sz w:val="24"/>
          <w:szCs w:val="24"/>
          <w:highlight w:val="none"/>
          <w:u w:val="single" w:color="auto"/>
        </w:rPr>
        <w:t>(采购代理机构名称)</w:t>
      </w:r>
    </w:p>
    <w:p w14:paraId="204CBD6B">
      <w:pPr>
        <w:tabs>
          <w:tab w:val="left" w:pos="136"/>
        </w:tabs>
        <w:spacing w:before="78" w:line="288" w:lineRule="auto"/>
        <w:ind w:firstLine="459"/>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本人</w:t>
      </w:r>
      <w:r>
        <w:rPr>
          <w:rFonts w:ascii="宋体" w:hAnsi="宋体" w:eastAsia="宋体" w:cs="宋体"/>
          <w:color w:val="auto"/>
          <w:sz w:val="24"/>
          <w:szCs w:val="24"/>
          <w:highlight w:val="none"/>
          <w:u w:val="single" w:color="auto"/>
        </w:rPr>
        <w:t>（姓名）</w:t>
      </w:r>
      <w:r>
        <w:rPr>
          <w:rFonts w:ascii="宋体" w:hAnsi="宋体" w:eastAsia="宋体" w:cs="宋体"/>
          <w:color w:val="auto"/>
          <w:sz w:val="24"/>
          <w:szCs w:val="24"/>
          <w:highlight w:val="none"/>
        </w:rPr>
        <w:t>系</w:t>
      </w:r>
      <w:r>
        <w:rPr>
          <w:rFonts w:ascii="宋体" w:hAnsi="宋体" w:eastAsia="宋体" w:cs="宋体"/>
          <w:color w:val="auto"/>
          <w:sz w:val="24"/>
          <w:szCs w:val="24"/>
          <w:highlight w:val="none"/>
          <w:u w:val="single" w:color="auto"/>
        </w:rPr>
        <w:t>（供应商名称）</w:t>
      </w:r>
      <w:r>
        <w:rPr>
          <w:rFonts w:ascii="宋体" w:hAnsi="宋体" w:eastAsia="宋体" w:cs="宋体"/>
          <w:color w:val="auto"/>
          <w:spacing w:val="-1"/>
          <w:sz w:val="24"/>
          <w:szCs w:val="24"/>
          <w:highlight w:val="none"/>
        </w:rPr>
        <w:t>的法定代表人，现委托</w:t>
      </w:r>
      <w:r>
        <w:rPr>
          <w:rFonts w:ascii="宋体" w:hAnsi="宋体" w:eastAsia="宋体" w:cs="宋体"/>
          <w:color w:val="auto"/>
          <w:spacing w:val="-1"/>
          <w:sz w:val="24"/>
          <w:szCs w:val="24"/>
          <w:highlight w:val="none"/>
          <w:u w:val="single" w:color="auto"/>
        </w:rPr>
        <w:t>（姓名）</w:t>
      </w:r>
      <w:r>
        <w:rPr>
          <w:rFonts w:ascii="宋体" w:hAnsi="宋体" w:eastAsia="宋体" w:cs="宋体"/>
          <w:color w:val="auto"/>
          <w:spacing w:val="-1"/>
          <w:sz w:val="24"/>
          <w:szCs w:val="24"/>
          <w:highlight w:val="none"/>
        </w:rPr>
        <w:t>为我方</w:t>
      </w:r>
      <w:r>
        <w:rPr>
          <w:rFonts w:ascii="宋体" w:hAnsi="宋体" w:eastAsia="宋体" w:cs="宋体"/>
          <w:color w:val="auto"/>
          <w:spacing w:val="-3"/>
          <w:sz w:val="24"/>
          <w:szCs w:val="24"/>
          <w:highlight w:val="none"/>
        </w:rPr>
        <w:t>合法代理人。代理人根据授权，以我方名义签署、澄清、说明、补正、递交、撤</w:t>
      </w:r>
      <w:r>
        <w:rPr>
          <w:rFonts w:ascii="宋体" w:hAnsi="宋体" w:eastAsia="宋体" w:cs="宋体"/>
          <w:color w:val="auto"/>
          <w:spacing w:val="-4"/>
          <w:sz w:val="24"/>
          <w:szCs w:val="24"/>
          <w:highlight w:val="none"/>
        </w:rPr>
        <w:t>回、修改</w:t>
      </w:r>
      <w:r>
        <w:rPr>
          <w:rFonts w:ascii="宋体" w:hAnsi="宋体" w:eastAsia="宋体" w:cs="宋体"/>
          <w:color w:val="auto"/>
          <w:sz w:val="24"/>
          <w:szCs w:val="24"/>
          <w:highlight w:val="none"/>
          <w:u w:val="single" w:color="auto"/>
        </w:rPr>
        <w:tab/>
      </w:r>
      <w:r>
        <w:rPr>
          <w:rFonts w:ascii="宋体" w:hAnsi="宋体" w:eastAsia="宋体" w:cs="宋体"/>
          <w:color w:val="auto"/>
          <w:spacing w:val="-5"/>
          <w:sz w:val="24"/>
          <w:szCs w:val="24"/>
          <w:highlight w:val="none"/>
          <w:u w:val="single" w:color="auto"/>
        </w:rPr>
        <w:t>（项目名称</w:t>
      </w:r>
      <w:r>
        <w:rPr>
          <w:rFonts w:ascii="宋体" w:hAnsi="宋体" w:eastAsia="宋体" w:cs="宋体"/>
          <w:color w:val="auto"/>
          <w:spacing w:val="-20"/>
          <w:sz w:val="24"/>
          <w:szCs w:val="24"/>
          <w:highlight w:val="none"/>
          <w:u w:val="single" w:color="auto"/>
        </w:rPr>
        <w:t>）</w:t>
      </w:r>
      <w:r>
        <w:rPr>
          <w:rFonts w:ascii="宋体" w:hAnsi="宋体" w:eastAsia="宋体" w:cs="宋体"/>
          <w:color w:val="auto"/>
          <w:spacing w:val="-20"/>
          <w:sz w:val="24"/>
          <w:szCs w:val="24"/>
          <w:highlight w:val="none"/>
        </w:rPr>
        <w:t>（</w:t>
      </w:r>
      <w:r>
        <w:rPr>
          <w:rFonts w:ascii="宋体" w:hAnsi="宋体" w:eastAsia="宋体" w:cs="宋体"/>
          <w:color w:val="auto"/>
          <w:spacing w:val="-5"/>
          <w:sz w:val="24"/>
          <w:szCs w:val="24"/>
          <w:highlight w:val="none"/>
        </w:rPr>
        <w:t>项目编号</w:t>
      </w:r>
      <w:r>
        <w:rPr>
          <w:rFonts w:ascii="宋体" w:hAnsi="宋体" w:eastAsia="宋体" w:cs="宋体"/>
          <w:color w:val="auto"/>
          <w:spacing w:val="-20"/>
          <w:sz w:val="24"/>
          <w:szCs w:val="24"/>
          <w:highlight w:val="none"/>
        </w:rPr>
        <w:t>：）</w:t>
      </w:r>
      <w:r>
        <w:rPr>
          <w:rFonts w:ascii="宋体" w:hAnsi="宋体" w:eastAsia="宋体" w:cs="宋体"/>
          <w:color w:val="auto"/>
          <w:spacing w:val="-5"/>
          <w:sz w:val="24"/>
          <w:szCs w:val="24"/>
          <w:highlight w:val="none"/>
        </w:rPr>
        <w:t>投标文件、签订合同和</w:t>
      </w:r>
      <w:r>
        <w:rPr>
          <w:rFonts w:ascii="宋体" w:hAnsi="宋体" w:eastAsia="宋体" w:cs="宋体"/>
          <w:color w:val="auto"/>
          <w:spacing w:val="-6"/>
          <w:sz w:val="24"/>
          <w:szCs w:val="24"/>
          <w:highlight w:val="none"/>
        </w:rPr>
        <w:t>处理有关事宜，其法律</w:t>
      </w:r>
      <w:r>
        <w:rPr>
          <w:rFonts w:ascii="宋体" w:hAnsi="宋体" w:eastAsia="宋体" w:cs="宋体"/>
          <w:color w:val="auto"/>
          <w:sz w:val="24"/>
          <w:szCs w:val="24"/>
          <w:highlight w:val="none"/>
        </w:rPr>
        <w:t>后果由我方承担。</w:t>
      </w:r>
    </w:p>
    <w:p w14:paraId="4628625A">
      <w:pPr>
        <w:spacing w:line="219" w:lineRule="auto"/>
        <w:ind w:left="50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本委托书于年月日签字生效，特此证明。</w:t>
      </w:r>
    </w:p>
    <w:p w14:paraId="6DDDAC85">
      <w:pPr>
        <w:spacing w:before="86" w:line="220"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被授权人无转委托权。</w:t>
      </w:r>
    </w:p>
    <w:p w14:paraId="62AD5227">
      <w:pPr>
        <w:spacing w:before="79" w:line="219" w:lineRule="auto"/>
        <w:ind w:left="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476A929F">
      <w:pPr>
        <w:spacing w:before="89" w:line="219" w:lineRule="auto"/>
        <w:ind w:left="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法定代表人（签名或盖章</w:t>
      </w:r>
      <w:r>
        <w:rPr>
          <w:rFonts w:ascii="宋体" w:hAnsi="宋体" w:eastAsia="宋体" w:cs="宋体"/>
          <w:color w:val="auto"/>
          <w:sz w:val="24"/>
          <w:szCs w:val="24"/>
          <w:highlight w:val="none"/>
        </w:rPr>
        <w:t>）：</w:t>
      </w:r>
    </w:p>
    <w:p w14:paraId="7F96AD6A">
      <w:pPr>
        <w:spacing w:before="90" w:line="220" w:lineRule="auto"/>
        <w:ind w:left="1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p>
    <w:p w14:paraId="245101BB">
      <w:pPr>
        <w:spacing w:before="86" w:line="219" w:lineRule="auto"/>
        <w:ind w:left="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被授权人（签名或盖章</w:t>
      </w:r>
      <w:r>
        <w:rPr>
          <w:rFonts w:ascii="宋体" w:hAnsi="宋体" w:eastAsia="宋体" w:cs="宋体"/>
          <w:color w:val="auto"/>
          <w:sz w:val="24"/>
          <w:szCs w:val="24"/>
          <w:highlight w:val="none"/>
        </w:rPr>
        <w:t>）：</w:t>
      </w:r>
    </w:p>
    <w:p w14:paraId="399A6BAE">
      <w:pPr>
        <w:spacing w:before="89" w:line="220" w:lineRule="auto"/>
        <w:ind w:left="1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p>
    <w:p w14:paraId="437A258E">
      <w:pPr>
        <w:spacing w:before="86" w:line="220" w:lineRule="auto"/>
        <w:ind w:left="5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13"/>
          <w:sz w:val="24"/>
          <w:szCs w:val="24"/>
          <w:highlight w:val="none"/>
          <w:u w:val="single" w:color="auto"/>
        </w:rPr>
        <w:t>年月日</w:t>
      </w:r>
    </w:p>
    <w:p w14:paraId="72C64952">
      <w:pPr>
        <w:spacing w:before="79" w:line="219" w:lineRule="auto"/>
        <w:ind w:left="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须附：被授权人有效期内身份证复印件</w:t>
      </w:r>
    </w:p>
    <w:tbl>
      <w:tblPr>
        <w:tblStyle w:val="18"/>
        <w:tblW w:w="8803" w:type="dxa"/>
        <w:tblInd w:w="218" w:type="dxa"/>
        <w:tblBorders>
          <w:top w:val="dashed" w:color="000000" w:sz="2" w:space="0"/>
          <w:left w:val="dashed" w:color="000000" w:sz="2" w:space="0"/>
          <w:bottom w:val="dashed" w:color="000000" w:sz="2" w:space="0"/>
          <w:right w:val="dashed" w:color="000000" w:sz="2" w:space="0"/>
          <w:insideH w:val="dashed" w:color="000000" w:sz="2" w:space="0"/>
          <w:insideV w:val="dashed" w:color="000000" w:sz="2" w:space="0"/>
        </w:tblBorders>
        <w:tblLayout w:type="fixed"/>
        <w:tblCellMar>
          <w:top w:w="0" w:type="dxa"/>
          <w:left w:w="0" w:type="dxa"/>
          <w:bottom w:w="0" w:type="dxa"/>
          <w:right w:w="0" w:type="dxa"/>
        </w:tblCellMar>
      </w:tblPr>
      <w:tblGrid>
        <w:gridCol w:w="4537"/>
        <w:gridCol w:w="4266"/>
      </w:tblGrid>
      <w:tr w14:paraId="236C6684">
        <w:tblPrEx>
          <w:tblBorders>
            <w:top w:val="dashed" w:color="000000" w:sz="2" w:space="0"/>
            <w:left w:val="dashed" w:color="000000" w:sz="2" w:space="0"/>
            <w:bottom w:val="dashed" w:color="000000" w:sz="2" w:space="0"/>
            <w:right w:val="dashed" w:color="000000" w:sz="2" w:space="0"/>
            <w:insideH w:val="dashed" w:color="000000" w:sz="2" w:space="0"/>
            <w:insideV w:val="dashed" w:color="000000" w:sz="2" w:space="0"/>
          </w:tblBorders>
          <w:tblCellMar>
            <w:top w:w="0" w:type="dxa"/>
            <w:left w:w="0" w:type="dxa"/>
            <w:bottom w:w="0" w:type="dxa"/>
            <w:right w:w="0" w:type="dxa"/>
          </w:tblCellMar>
        </w:tblPrEx>
        <w:trPr>
          <w:trHeight w:val="2319" w:hRule="atLeast"/>
        </w:trPr>
        <w:tc>
          <w:tcPr>
            <w:tcW w:w="4537" w:type="dxa"/>
            <w:noWrap w:val="0"/>
            <w:vAlign w:val="top"/>
          </w:tcPr>
          <w:p w14:paraId="502804AC">
            <w:pPr>
              <w:pStyle w:val="17"/>
              <w:spacing w:before="78" w:line="222" w:lineRule="auto"/>
              <w:ind w:left="2039"/>
              <w:rPr>
                <w:color w:val="auto"/>
                <w:highlight w:val="none"/>
              </w:rPr>
            </w:pPr>
            <w:r>
              <w:rPr>
                <w:color w:val="auto"/>
                <w:spacing w:val="-8"/>
                <w:highlight w:val="none"/>
              </w:rPr>
              <w:t>正面</w:t>
            </w:r>
          </w:p>
        </w:tc>
        <w:tc>
          <w:tcPr>
            <w:tcW w:w="4266" w:type="dxa"/>
            <w:noWrap w:val="0"/>
            <w:vAlign w:val="top"/>
          </w:tcPr>
          <w:p w14:paraId="68D7E8BD">
            <w:pPr>
              <w:pStyle w:val="17"/>
              <w:spacing w:before="78" w:line="220" w:lineRule="auto"/>
              <w:ind w:left="1903"/>
              <w:rPr>
                <w:color w:val="auto"/>
                <w:highlight w:val="none"/>
              </w:rPr>
            </w:pPr>
            <w:r>
              <w:rPr>
                <w:color w:val="auto"/>
                <w:spacing w:val="-7"/>
                <w:highlight w:val="none"/>
              </w:rPr>
              <w:t>背面</w:t>
            </w:r>
          </w:p>
        </w:tc>
      </w:tr>
    </w:tbl>
    <w:p w14:paraId="1668DEEC">
      <w:pPr>
        <w:rPr>
          <w:color w:val="auto"/>
          <w:highlight w:val="none"/>
        </w:rPr>
        <w:sectPr>
          <w:footerReference r:id="rId40" w:type="default"/>
          <w:pgSz w:w="11906" w:h="16839"/>
          <w:pgMar w:top="1431" w:right="1247" w:bottom="1209" w:left="1418" w:header="0" w:footer="973" w:gutter="0"/>
          <w:pgNumType w:fmt="decimal"/>
          <w:cols w:space="720" w:num="1"/>
        </w:sectPr>
      </w:pPr>
    </w:p>
    <w:p w14:paraId="5AD9BB36">
      <w:pPr>
        <w:spacing w:before="114" w:line="225" w:lineRule="auto"/>
        <w:ind w:left="2640" w:leftChars="0"/>
        <w:outlineLvl w:val="1"/>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六、供应商基本情况说明</w:t>
      </w:r>
    </w:p>
    <w:p w14:paraId="14194647">
      <w:pPr>
        <w:spacing w:before="258" w:line="219" w:lineRule="auto"/>
        <w:ind w:left="3" w:leftChars="0"/>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一公司基本情况</w:t>
      </w:r>
    </w:p>
    <w:p w14:paraId="3D82DB76">
      <w:pPr>
        <w:spacing w:before="206" w:line="221" w:lineRule="auto"/>
        <w:ind w:left="1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公司名称：公司固话：</w:t>
      </w:r>
    </w:p>
    <w:p w14:paraId="79646C8A">
      <w:pPr>
        <w:spacing w:before="87" w:line="219" w:lineRule="auto"/>
        <w:ind w:left="1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单位地址：公司传真：</w:t>
      </w:r>
    </w:p>
    <w:p w14:paraId="63B7E185">
      <w:pPr>
        <w:spacing w:before="89" w:line="221" w:lineRule="auto"/>
        <w:ind w:left="180"/>
        <w:rPr>
          <w:rFonts w:ascii="宋体" w:hAnsi="宋体" w:eastAsia="宋体" w:cs="宋体"/>
          <w:color w:val="auto"/>
          <w:sz w:val="24"/>
          <w:szCs w:val="24"/>
          <w:highlight w:val="none"/>
        </w:rPr>
      </w:pPr>
      <w:r>
        <w:rPr>
          <w:rFonts w:ascii="宋体" w:hAnsi="宋体" w:eastAsia="宋体" w:cs="宋体"/>
          <w:color w:val="auto"/>
          <w:sz w:val="24"/>
          <w:szCs w:val="24"/>
          <w:highlight w:val="none"/>
        </w:rPr>
        <w:t>注册资金：</w:t>
      </w:r>
      <w:r>
        <w:rPr>
          <w:rFonts w:ascii="宋体" w:hAnsi="宋体" w:eastAsia="宋体" w:cs="宋体"/>
          <w:color w:val="auto"/>
          <w:spacing w:val="-1"/>
          <w:sz w:val="24"/>
          <w:szCs w:val="24"/>
          <w:highlight w:val="none"/>
        </w:rPr>
        <w:t>单位性质：</w:t>
      </w:r>
    </w:p>
    <w:p w14:paraId="64C66E9E">
      <w:pPr>
        <w:spacing w:before="84" w:line="221" w:lineRule="auto"/>
        <w:ind w:left="187"/>
        <w:rPr>
          <w:rFonts w:ascii="宋体" w:hAnsi="宋体" w:eastAsia="宋体" w:cs="宋体"/>
          <w:color w:val="auto"/>
          <w:sz w:val="24"/>
          <w:szCs w:val="24"/>
          <w:highlight w:val="none"/>
        </w:rPr>
      </w:pPr>
      <w:r>
        <w:rPr>
          <w:rFonts w:ascii="宋体" w:hAnsi="宋体" w:eastAsia="宋体" w:cs="宋体"/>
          <w:color w:val="auto"/>
          <w:sz w:val="24"/>
          <w:szCs w:val="24"/>
          <w:highlight w:val="none"/>
        </w:rPr>
        <w:t>公司开户银行名称：</w:t>
      </w:r>
      <w:r>
        <w:rPr>
          <w:rFonts w:ascii="宋体" w:hAnsi="宋体" w:eastAsia="宋体" w:cs="宋体"/>
          <w:color w:val="auto"/>
          <w:spacing w:val="-1"/>
          <w:sz w:val="24"/>
          <w:szCs w:val="24"/>
          <w:highlight w:val="none"/>
        </w:rPr>
        <w:t>开户账号：</w:t>
      </w:r>
    </w:p>
    <w:p w14:paraId="2B1FAA75">
      <w:pPr>
        <w:spacing w:before="88" w:line="219" w:lineRule="auto"/>
        <w:ind w:left="1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营业注册执照或事业单位法人证书号：</w:t>
      </w:r>
    </w:p>
    <w:p w14:paraId="69C69362">
      <w:pPr>
        <w:spacing w:before="86" w:line="219" w:lineRule="auto"/>
        <w:ind w:left="18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公司财务状况</w:t>
      </w:r>
      <w:r>
        <w:rPr>
          <w:rFonts w:ascii="宋体" w:hAnsi="宋体" w:eastAsia="宋体" w:cs="宋体"/>
          <w:color w:val="auto"/>
          <w:spacing w:val="-35"/>
          <w:sz w:val="24"/>
          <w:szCs w:val="24"/>
          <w:highlight w:val="none"/>
        </w:rPr>
        <w:t>：（</w:t>
      </w:r>
      <w:r>
        <w:rPr>
          <w:rFonts w:ascii="宋体" w:hAnsi="宋体" w:eastAsia="宋体" w:cs="宋体"/>
          <w:color w:val="auto"/>
          <w:spacing w:val="3"/>
          <w:sz w:val="24"/>
          <w:szCs w:val="24"/>
          <w:highlight w:val="none"/>
        </w:rPr>
        <w:t>如需）</w:t>
      </w:r>
      <w:r>
        <w:rPr>
          <w:rFonts w:ascii="宋体" w:hAnsi="宋体" w:eastAsia="宋体" w:cs="宋体"/>
          <w:color w:val="auto"/>
          <w:spacing w:val="2"/>
          <w:sz w:val="24"/>
          <w:szCs w:val="24"/>
          <w:highlight w:val="none"/>
        </w:rPr>
        <w:t>【价格单位</w:t>
      </w:r>
      <w:r>
        <w:rPr>
          <w:rFonts w:ascii="宋体" w:hAnsi="宋体" w:eastAsia="宋体" w:cs="宋体"/>
          <w:color w:val="auto"/>
          <w:spacing w:val="-35"/>
          <w:sz w:val="24"/>
          <w:szCs w:val="24"/>
          <w:highlight w:val="none"/>
        </w:rPr>
        <w:t>：（</w:t>
      </w:r>
      <w:r>
        <w:rPr>
          <w:rFonts w:ascii="宋体" w:hAnsi="宋体" w:eastAsia="宋体" w:cs="宋体"/>
          <w:color w:val="auto"/>
          <w:spacing w:val="2"/>
          <w:sz w:val="24"/>
          <w:szCs w:val="24"/>
          <w:highlight w:val="none"/>
        </w:rPr>
        <w:t>人民币）元】</w:t>
      </w:r>
    </w:p>
    <w:tbl>
      <w:tblPr>
        <w:tblStyle w:val="18"/>
        <w:tblW w:w="9100" w:type="dxa"/>
        <w:tblInd w:w="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9"/>
        <w:gridCol w:w="2369"/>
        <w:gridCol w:w="2407"/>
        <w:gridCol w:w="2205"/>
      </w:tblGrid>
      <w:tr w14:paraId="0CF0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119" w:type="dxa"/>
            <w:noWrap w:val="0"/>
            <w:vAlign w:val="top"/>
          </w:tcPr>
          <w:p w14:paraId="2E0148AF">
            <w:pPr>
              <w:pStyle w:val="17"/>
              <w:spacing w:before="38" w:line="220" w:lineRule="auto"/>
              <w:ind w:left="703"/>
              <w:rPr>
                <w:color w:val="auto"/>
                <w:highlight w:val="none"/>
              </w:rPr>
            </w:pPr>
            <w:r>
              <w:rPr>
                <w:color w:val="auto"/>
                <w:spacing w:val="-6"/>
                <w:highlight w:val="none"/>
              </w:rPr>
              <w:t>年度</w:t>
            </w:r>
          </w:p>
        </w:tc>
        <w:tc>
          <w:tcPr>
            <w:tcW w:w="2369" w:type="dxa"/>
            <w:noWrap w:val="0"/>
            <w:vAlign w:val="top"/>
          </w:tcPr>
          <w:p w14:paraId="59644D4E">
            <w:pPr>
              <w:pStyle w:val="17"/>
              <w:spacing w:before="38" w:line="220" w:lineRule="auto"/>
              <w:ind w:left="470"/>
              <w:rPr>
                <w:color w:val="auto"/>
                <w:highlight w:val="none"/>
              </w:rPr>
            </w:pPr>
            <w:r>
              <w:rPr>
                <w:color w:val="auto"/>
                <w:spacing w:val="-3"/>
                <w:highlight w:val="none"/>
              </w:rPr>
              <w:t>总资产（元）</w:t>
            </w:r>
          </w:p>
        </w:tc>
        <w:tc>
          <w:tcPr>
            <w:tcW w:w="2407" w:type="dxa"/>
            <w:noWrap w:val="0"/>
            <w:vAlign w:val="top"/>
          </w:tcPr>
          <w:p w14:paraId="35EF3C7E">
            <w:pPr>
              <w:pStyle w:val="17"/>
              <w:spacing w:before="38" w:line="220" w:lineRule="auto"/>
              <w:ind w:left="370"/>
              <w:rPr>
                <w:color w:val="auto"/>
                <w:highlight w:val="none"/>
              </w:rPr>
            </w:pPr>
            <w:r>
              <w:rPr>
                <w:color w:val="auto"/>
                <w:spacing w:val="-2"/>
                <w:highlight w:val="none"/>
              </w:rPr>
              <w:t>年营业额（元）</w:t>
            </w:r>
          </w:p>
        </w:tc>
        <w:tc>
          <w:tcPr>
            <w:tcW w:w="2205" w:type="dxa"/>
            <w:noWrap w:val="0"/>
            <w:vAlign w:val="top"/>
          </w:tcPr>
          <w:p w14:paraId="0F40744A">
            <w:pPr>
              <w:pStyle w:val="17"/>
              <w:spacing w:before="38" w:line="220" w:lineRule="auto"/>
              <w:ind w:left="267"/>
              <w:rPr>
                <w:color w:val="auto"/>
                <w:highlight w:val="none"/>
              </w:rPr>
            </w:pPr>
            <w:r>
              <w:rPr>
                <w:color w:val="auto"/>
                <w:spacing w:val="-2"/>
                <w:highlight w:val="none"/>
              </w:rPr>
              <w:t>年净利润（元）</w:t>
            </w:r>
          </w:p>
        </w:tc>
      </w:tr>
      <w:tr w14:paraId="5617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119" w:type="dxa"/>
            <w:noWrap w:val="0"/>
            <w:vAlign w:val="top"/>
          </w:tcPr>
          <w:p w14:paraId="5B893BAF">
            <w:pPr>
              <w:rPr>
                <w:rFonts w:ascii="Arial"/>
                <w:color w:val="auto"/>
                <w:sz w:val="21"/>
                <w:highlight w:val="none"/>
              </w:rPr>
            </w:pPr>
          </w:p>
        </w:tc>
        <w:tc>
          <w:tcPr>
            <w:tcW w:w="2369" w:type="dxa"/>
            <w:noWrap w:val="0"/>
            <w:vAlign w:val="top"/>
          </w:tcPr>
          <w:p w14:paraId="235E773E">
            <w:pPr>
              <w:rPr>
                <w:rFonts w:ascii="Arial"/>
                <w:color w:val="auto"/>
                <w:sz w:val="21"/>
                <w:highlight w:val="none"/>
              </w:rPr>
            </w:pPr>
          </w:p>
        </w:tc>
        <w:tc>
          <w:tcPr>
            <w:tcW w:w="2407" w:type="dxa"/>
            <w:noWrap w:val="0"/>
            <w:vAlign w:val="top"/>
          </w:tcPr>
          <w:p w14:paraId="22699B59">
            <w:pPr>
              <w:rPr>
                <w:rFonts w:ascii="Arial"/>
                <w:color w:val="auto"/>
                <w:sz w:val="21"/>
                <w:highlight w:val="none"/>
              </w:rPr>
            </w:pPr>
          </w:p>
        </w:tc>
        <w:tc>
          <w:tcPr>
            <w:tcW w:w="2205" w:type="dxa"/>
            <w:noWrap w:val="0"/>
            <w:vAlign w:val="top"/>
          </w:tcPr>
          <w:p w14:paraId="053FF88F">
            <w:pPr>
              <w:rPr>
                <w:rFonts w:ascii="Arial"/>
                <w:color w:val="auto"/>
                <w:sz w:val="21"/>
                <w:highlight w:val="none"/>
              </w:rPr>
            </w:pPr>
          </w:p>
        </w:tc>
      </w:tr>
      <w:tr w14:paraId="7CF8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2119" w:type="dxa"/>
            <w:noWrap w:val="0"/>
            <w:vAlign w:val="top"/>
          </w:tcPr>
          <w:p w14:paraId="2A7297BC">
            <w:pPr>
              <w:rPr>
                <w:rFonts w:ascii="Arial"/>
                <w:color w:val="auto"/>
                <w:sz w:val="21"/>
                <w:highlight w:val="none"/>
              </w:rPr>
            </w:pPr>
          </w:p>
        </w:tc>
        <w:tc>
          <w:tcPr>
            <w:tcW w:w="2369" w:type="dxa"/>
            <w:noWrap w:val="0"/>
            <w:vAlign w:val="top"/>
          </w:tcPr>
          <w:p w14:paraId="438834F0">
            <w:pPr>
              <w:rPr>
                <w:rFonts w:ascii="Arial"/>
                <w:color w:val="auto"/>
                <w:sz w:val="21"/>
                <w:highlight w:val="none"/>
              </w:rPr>
            </w:pPr>
          </w:p>
        </w:tc>
        <w:tc>
          <w:tcPr>
            <w:tcW w:w="2407" w:type="dxa"/>
            <w:noWrap w:val="0"/>
            <w:vAlign w:val="top"/>
          </w:tcPr>
          <w:p w14:paraId="0826C475">
            <w:pPr>
              <w:rPr>
                <w:rFonts w:ascii="Arial"/>
                <w:color w:val="auto"/>
                <w:sz w:val="21"/>
                <w:highlight w:val="none"/>
              </w:rPr>
            </w:pPr>
          </w:p>
        </w:tc>
        <w:tc>
          <w:tcPr>
            <w:tcW w:w="2205" w:type="dxa"/>
            <w:noWrap w:val="0"/>
            <w:vAlign w:val="top"/>
          </w:tcPr>
          <w:p w14:paraId="30ED641C">
            <w:pPr>
              <w:rPr>
                <w:rFonts w:ascii="Arial"/>
                <w:color w:val="auto"/>
                <w:sz w:val="21"/>
                <w:highlight w:val="none"/>
              </w:rPr>
            </w:pPr>
          </w:p>
        </w:tc>
      </w:tr>
    </w:tbl>
    <w:p w14:paraId="713E059C">
      <w:pPr>
        <w:spacing w:before="156" w:line="219" w:lineRule="auto"/>
        <w:ind w:left="24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备注：需提供证明资料内容详见</w:t>
      </w:r>
      <w:r>
        <w:rPr>
          <w:rFonts w:ascii="宋体" w:hAnsi="宋体" w:eastAsia="宋体" w:cs="宋体"/>
          <w:color w:val="auto"/>
          <w:spacing w:val="-1"/>
          <w:sz w:val="24"/>
          <w:szCs w:val="24"/>
          <w:highlight w:val="none"/>
          <w:u w:val="single" w:color="auto"/>
        </w:rPr>
        <w:t>（评标方法）</w:t>
      </w:r>
      <w:r>
        <w:rPr>
          <w:rFonts w:ascii="宋体" w:hAnsi="宋体" w:eastAsia="宋体" w:cs="宋体"/>
          <w:color w:val="auto"/>
          <w:spacing w:val="-1"/>
          <w:sz w:val="24"/>
          <w:szCs w:val="24"/>
          <w:highlight w:val="none"/>
        </w:rPr>
        <w:t>。</w:t>
      </w:r>
    </w:p>
    <w:p w14:paraId="590879FB">
      <w:pPr>
        <w:spacing w:before="79" w:line="288" w:lineRule="auto"/>
        <w:ind w:left="2"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兹证明上述声明是真实、正确的，并提供了全部能提供的资料和数据，我方同意遵照</w:t>
      </w:r>
      <w:r>
        <w:rPr>
          <w:rFonts w:ascii="宋体" w:hAnsi="宋体" w:eastAsia="宋体" w:cs="宋体"/>
          <w:color w:val="auto"/>
          <w:spacing w:val="-1"/>
          <w:sz w:val="24"/>
          <w:szCs w:val="24"/>
          <w:highlight w:val="none"/>
        </w:rPr>
        <w:t>贵方要求出示有关证明文件。</w:t>
      </w:r>
    </w:p>
    <w:p w14:paraId="15E81C5C">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227C39BB">
      <w:pPr>
        <w:spacing w:before="78" w:line="220" w:lineRule="auto"/>
        <w:ind w:left="4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日期：年月日</w:t>
      </w:r>
    </w:p>
    <w:p w14:paraId="073CD19D">
      <w:pPr>
        <w:spacing w:line="220" w:lineRule="auto"/>
        <w:rPr>
          <w:rFonts w:ascii="宋体" w:hAnsi="宋体" w:eastAsia="宋体" w:cs="宋体"/>
          <w:color w:val="auto"/>
          <w:sz w:val="24"/>
          <w:szCs w:val="24"/>
          <w:highlight w:val="none"/>
        </w:rPr>
        <w:sectPr>
          <w:footerReference r:id="rId41" w:type="default"/>
          <w:pgSz w:w="11906" w:h="16839"/>
          <w:pgMar w:top="1431" w:right="1247" w:bottom="1209" w:left="1427" w:header="0" w:footer="973" w:gutter="0"/>
          <w:pgNumType w:fmt="decimal"/>
          <w:cols w:space="720" w:num="1"/>
        </w:sectPr>
      </w:pPr>
    </w:p>
    <w:p w14:paraId="695CAC1C">
      <w:pPr>
        <w:spacing w:before="114" w:line="225" w:lineRule="auto"/>
        <w:ind w:left="3717" w:leftChars="0"/>
        <w:outlineLvl w:val="1"/>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七、承诺书</w:t>
      </w:r>
    </w:p>
    <w:p w14:paraId="3E984D19">
      <w:pPr>
        <w:spacing w:before="255" w:line="289" w:lineRule="auto"/>
        <w:ind w:firstLine="500"/>
        <w:jc w:val="both"/>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我方已完整阅读了</w:t>
      </w:r>
      <w:r>
        <w:rPr>
          <w:rFonts w:ascii="宋体" w:hAnsi="宋体" w:eastAsia="宋体" w:cs="宋体"/>
          <w:color w:val="auto"/>
          <w:spacing w:val="5"/>
          <w:sz w:val="24"/>
          <w:szCs w:val="24"/>
          <w:highlight w:val="none"/>
          <w:u w:val="single" w:color="auto"/>
        </w:rPr>
        <w:t>（</w:t>
      </w:r>
      <w:r>
        <w:rPr>
          <w:rFonts w:ascii="宋体" w:hAnsi="宋体" w:eastAsia="宋体" w:cs="宋体"/>
          <w:b/>
          <w:bCs/>
          <w:color w:val="auto"/>
          <w:spacing w:val="5"/>
          <w:sz w:val="24"/>
          <w:szCs w:val="24"/>
          <w:highlight w:val="none"/>
          <w:u w:val="single" w:color="auto"/>
        </w:rPr>
        <w:t>项目名称</w:t>
      </w:r>
      <w:r>
        <w:rPr>
          <w:rFonts w:ascii="宋体" w:hAnsi="宋体" w:eastAsia="宋体" w:cs="宋体"/>
          <w:color w:val="auto"/>
          <w:spacing w:val="-11"/>
          <w:sz w:val="24"/>
          <w:szCs w:val="24"/>
          <w:highlight w:val="none"/>
          <w:u w:val="single" w:color="auto"/>
        </w:rPr>
        <w:t>）</w:t>
      </w:r>
      <w:r>
        <w:rPr>
          <w:rFonts w:ascii="宋体" w:hAnsi="宋体" w:eastAsia="宋体" w:cs="宋体"/>
          <w:color w:val="auto"/>
          <w:spacing w:val="-11"/>
          <w:sz w:val="24"/>
          <w:szCs w:val="24"/>
          <w:highlight w:val="none"/>
        </w:rPr>
        <w:t>（</w:t>
      </w:r>
      <w:r>
        <w:rPr>
          <w:rFonts w:ascii="宋体" w:hAnsi="宋体" w:eastAsia="宋体" w:cs="宋体"/>
          <w:color w:val="auto"/>
          <w:spacing w:val="5"/>
          <w:sz w:val="24"/>
          <w:szCs w:val="24"/>
          <w:highlight w:val="none"/>
        </w:rPr>
        <w:t>项目编号</w:t>
      </w:r>
      <w:r>
        <w:rPr>
          <w:rFonts w:ascii="宋体" w:hAnsi="宋体" w:eastAsia="宋体" w:cs="宋体"/>
          <w:color w:val="auto"/>
          <w:spacing w:val="-11"/>
          <w:sz w:val="24"/>
          <w:szCs w:val="24"/>
          <w:highlight w:val="none"/>
        </w:rPr>
        <w:t>：）</w:t>
      </w:r>
      <w:r>
        <w:rPr>
          <w:rFonts w:ascii="宋体" w:hAnsi="宋体" w:eastAsia="宋体" w:cs="宋体"/>
          <w:color w:val="auto"/>
          <w:spacing w:val="5"/>
          <w:sz w:val="24"/>
          <w:szCs w:val="24"/>
          <w:highlight w:val="none"/>
        </w:rPr>
        <w:t>招标文件的所有内</w:t>
      </w:r>
      <w:r>
        <w:rPr>
          <w:rFonts w:ascii="宋体" w:hAnsi="宋体" w:eastAsia="宋体" w:cs="宋体"/>
          <w:color w:val="auto"/>
          <w:spacing w:val="3"/>
          <w:sz w:val="24"/>
          <w:szCs w:val="24"/>
          <w:highlight w:val="none"/>
        </w:rPr>
        <w:t>容（包括澄清，以及所有已提供的参考资料</w:t>
      </w:r>
      <w:r>
        <w:rPr>
          <w:rFonts w:ascii="宋体" w:hAnsi="宋体" w:eastAsia="宋体" w:cs="宋体"/>
          <w:color w:val="auto"/>
          <w:spacing w:val="2"/>
          <w:sz w:val="24"/>
          <w:szCs w:val="24"/>
          <w:highlight w:val="none"/>
        </w:rPr>
        <w:t>和有关附件</w:t>
      </w:r>
      <w:r>
        <w:rPr>
          <w:rFonts w:ascii="宋体" w:hAnsi="宋体" w:eastAsia="宋体" w:cs="宋体"/>
          <w:color w:val="auto"/>
          <w:spacing w:val="5"/>
          <w:sz w:val="24"/>
          <w:szCs w:val="24"/>
          <w:highlight w:val="none"/>
        </w:rPr>
        <w:t>），</w:t>
      </w:r>
      <w:r>
        <w:rPr>
          <w:rFonts w:ascii="宋体" w:hAnsi="宋体" w:eastAsia="宋体" w:cs="宋体"/>
          <w:color w:val="auto"/>
          <w:spacing w:val="2"/>
          <w:sz w:val="24"/>
          <w:szCs w:val="24"/>
          <w:highlight w:val="none"/>
        </w:rPr>
        <w:t>并完全理解上述文件所表达</w:t>
      </w:r>
      <w:r>
        <w:rPr>
          <w:rFonts w:ascii="宋体" w:hAnsi="宋体" w:eastAsia="宋体" w:cs="宋体"/>
          <w:color w:val="auto"/>
          <w:spacing w:val="3"/>
          <w:sz w:val="24"/>
          <w:szCs w:val="24"/>
          <w:highlight w:val="none"/>
        </w:rPr>
        <w:t>的意思，该项目递交投标文件时间截止后，我方承诺不再对上述</w:t>
      </w:r>
      <w:r>
        <w:rPr>
          <w:rFonts w:ascii="宋体" w:hAnsi="宋体" w:eastAsia="宋体" w:cs="宋体"/>
          <w:color w:val="auto"/>
          <w:spacing w:val="2"/>
          <w:sz w:val="24"/>
          <w:szCs w:val="24"/>
          <w:highlight w:val="none"/>
        </w:rPr>
        <w:t>文件内容进行询问或质</w:t>
      </w:r>
      <w:r>
        <w:rPr>
          <w:rFonts w:ascii="宋体" w:hAnsi="宋体" w:eastAsia="宋体" w:cs="宋体"/>
          <w:color w:val="auto"/>
          <w:spacing w:val="-7"/>
          <w:sz w:val="24"/>
          <w:szCs w:val="24"/>
          <w:highlight w:val="none"/>
        </w:rPr>
        <w:t>疑。</w:t>
      </w:r>
    </w:p>
    <w:p w14:paraId="6F049CD7">
      <w:pPr>
        <w:spacing w:before="78" w:line="219" w:lineRule="auto"/>
        <w:ind w:left="27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4024002B">
      <w:pPr>
        <w:spacing w:before="78" w:line="219" w:lineRule="auto"/>
        <w:ind w:left="27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法定代表人或被授权人（签名或盖章</w:t>
      </w:r>
      <w:r>
        <w:rPr>
          <w:rFonts w:ascii="宋体" w:hAnsi="宋体" w:eastAsia="宋体" w:cs="宋体"/>
          <w:color w:val="auto"/>
          <w:spacing w:val="2"/>
          <w:sz w:val="24"/>
          <w:szCs w:val="24"/>
          <w:highlight w:val="none"/>
        </w:rPr>
        <w:t>）：</w:t>
      </w:r>
    </w:p>
    <w:p w14:paraId="7D004518">
      <w:pPr>
        <w:spacing w:before="78" w:line="220" w:lineRule="auto"/>
        <w:ind w:left="283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日期：年月日</w:t>
      </w:r>
    </w:p>
    <w:p w14:paraId="1356DBA1">
      <w:pPr>
        <w:spacing w:line="220" w:lineRule="auto"/>
        <w:rPr>
          <w:rFonts w:ascii="宋体" w:hAnsi="宋体" w:eastAsia="宋体" w:cs="宋体"/>
          <w:color w:val="auto"/>
          <w:sz w:val="24"/>
          <w:szCs w:val="24"/>
          <w:highlight w:val="none"/>
        </w:rPr>
        <w:sectPr>
          <w:footerReference r:id="rId42" w:type="default"/>
          <w:pgSz w:w="11906" w:h="16839"/>
          <w:pgMar w:top="1431" w:right="1250" w:bottom="1209" w:left="1430" w:header="0" w:footer="973" w:gutter="0"/>
          <w:pgNumType w:fmt="decimal"/>
          <w:cols w:space="720" w:num="1"/>
        </w:sectPr>
      </w:pPr>
    </w:p>
    <w:p w14:paraId="20FD74D9">
      <w:pPr>
        <w:spacing w:before="114" w:line="225" w:lineRule="auto"/>
        <w:ind w:left="3394" w:leftChars="0"/>
        <w:outlineLvl w:val="1"/>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八、商务偏离表</w:t>
      </w:r>
    </w:p>
    <w:tbl>
      <w:tblPr>
        <w:tblStyle w:val="18"/>
        <w:tblW w:w="92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2566"/>
        <w:gridCol w:w="2698"/>
        <w:gridCol w:w="1408"/>
        <w:gridCol w:w="1862"/>
      </w:tblGrid>
      <w:tr w14:paraId="7A84B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266" w:type="dxa"/>
            <w:gridSpan w:val="5"/>
            <w:noWrap w:val="0"/>
            <w:vAlign w:val="top"/>
          </w:tcPr>
          <w:p w14:paraId="4F6ED75E">
            <w:pPr>
              <w:pStyle w:val="17"/>
              <w:spacing w:before="198" w:line="220" w:lineRule="auto"/>
              <w:ind w:left="121"/>
              <w:rPr>
                <w:color w:val="auto"/>
                <w:highlight w:val="none"/>
              </w:rPr>
            </w:pPr>
            <w:r>
              <w:rPr>
                <w:b/>
                <w:bCs/>
                <w:color w:val="auto"/>
                <w:spacing w:val="-5"/>
                <w:highlight w:val="none"/>
              </w:rPr>
              <w:t>项目名称：项目编号：</w:t>
            </w:r>
          </w:p>
        </w:tc>
      </w:tr>
      <w:tr w14:paraId="70A45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2" w:type="dxa"/>
            <w:noWrap w:val="0"/>
            <w:vAlign w:val="top"/>
          </w:tcPr>
          <w:p w14:paraId="6AE927D9">
            <w:pPr>
              <w:pStyle w:val="17"/>
              <w:spacing w:before="193" w:line="222" w:lineRule="auto"/>
              <w:ind w:left="130"/>
              <w:rPr>
                <w:color w:val="auto"/>
                <w:highlight w:val="none"/>
              </w:rPr>
            </w:pPr>
            <w:r>
              <w:rPr>
                <w:b/>
                <w:bCs/>
                <w:color w:val="auto"/>
                <w:spacing w:val="-7"/>
                <w:highlight w:val="none"/>
              </w:rPr>
              <w:t>序号</w:t>
            </w:r>
          </w:p>
        </w:tc>
        <w:tc>
          <w:tcPr>
            <w:tcW w:w="2566" w:type="dxa"/>
            <w:noWrap w:val="0"/>
            <w:vAlign w:val="top"/>
          </w:tcPr>
          <w:p w14:paraId="162C5C99">
            <w:pPr>
              <w:pStyle w:val="17"/>
              <w:spacing w:before="193" w:line="220" w:lineRule="auto"/>
              <w:ind w:left="566"/>
              <w:rPr>
                <w:color w:val="auto"/>
                <w:highlight w:val="none"/>
              </w:rPr>
            </w:pPr>
            <w:r>
              <w:rPr>
                <w:b/>
                <w:bCs/>
                <w:color w:val="auto"/>
                <w:spacing w:val="-4"/>
                <w:highlight w:val="none"/>
              </w:rPr>
              <w:t>招标文件要求</w:t>
            </w:r>
          </w:p>
        </w:tc>
        <w:tc>
          <w:tcPr>
            <w:tcW w:w="2698" w:type="dxa"/>
            <w:noWrap w:val="0"/>
            <w:vAlign w:val="top"/>
          </w:tcPr>
          <w:p w14:paraId="3025EE2C">
            <w:pPr>
              <w:pStyle w:val="17"/>
              <w:spacing w:before="193" w:line="220" w:lineRule="auto"/>
              <w:ind w:left="395"/>
              <w:rPr>
                <w:color w:val="auto"/>
                <w:highlight w:val="none"/>
              </w:rPr>
            </w:pPr>
            <w:r>
              <w:rPr>
                <w:b/>
                <w:bCs/>
                <w:color w:val="auto"/>
                <w:spacing w:val="-4"/>
                <w:highlight w:val="none"/>
              </w:rPr>
              <w:t>投标文件响应内容</w:t>
            </w:r>
          </w:p>
        </w:tc>
        <w:tc>
          <w:tcPr>
            <w:tcW w:w="1408" w:type="dxa"/>
            <w:noWrap w:val="0"/>
            <w:vAlign w:val="top"/>
          </w:tcPr>
          <w:p w14:paraId="75ECDBAB">
            <w:pPr>
              <w:pStyle w:val="17"/>
              <w:spacing w:before="193" w:line="220" w:lineRule="auto"/>
              <w:ind w:left="229"/>
              <w:rPr>
                <w:color w:val="auto"/>
                <w:highlight w:val="none"/>
              </w:rPr>
            </w:pPr>
            <w:r>
              <w:rPr>
                <w:b/>
                <w:bCs/>
                <w:color w:val="auto"/>
                <w:spacing w:val="-5"/>
                <w:highlight w:val="none"/>
              </w:rPr>
              <w:t>偏离情况</w:t>
            </w:r>
          </w:p>
        </w:tc>
        <w:tc>
          <w:tcPr>
            <w:tcW w:w="1862" w:type="dxa"/>
            <w:noWrap w:val="0"/>
            <w:vAlign w:val="top"/>
          </w:tcPr>
          <w:p w14:paraId="1F7C9D31">
            <w:pPr>
              <w:pStyle w:val="17"/>
              <w:spacing w:before="193" w:line="220" w:lineRule="auto"/>
              <w:ind w:left="700"/>
              <w:rPr>
                <w:color w:val="auto"/>
                <w:highlight w:val="none"/>
              </w:rPr>
            </w:pPr>
            <w:r>
              <w:rPr>
                <w:b/>
                <w:bCs/>
                <w:color w:val="auto"/>
                <w:spacing w:val="-9"/>
                <w:highlight w:val="none"/>
              </w:rPr>
              <w:t>说明</w:t>
            </w:r>
          </w:p>
        </w:tc>
      </w:tr>
      <w:tr w14:paraId="3127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32" w:type="dxa"/>
            <w:noWrap w:val="0"/>
            <w:vAlign w:val="top"/>
          </w:tcPr>
          <w:p w14:paraId="68249B3A">
            <w:pPr>
              <w:rPr>
                <w:rFonts w:ascii="Arial"/>
                <w:color w:val="auto"/>
                <w:sz w:val="21"/>
                <w:highlight w:val="none"/>
              </w:rPr>
            </w:pPr>
          </w:p>
        </w:tc>
        <w:tc>
          <w:tcPr>
            <w:tcW w:w="2566" w:type="dxa"/>
            <w:noWrap w:val="0"/>
            <w:vAlign w:val="top"/>
          </w:tcPr>
          <w:p w14:paraId="42738FC6">
            <w:pPr>
              <w:rPr>
                <w:rFonts w:ascii="Arial"/>
                <w:color w:val="auto"/>
                <w:sz w:val="21"/>
                <w:highlight w:val="none"/>
              </w:rPr>
            </w:pPr>
          </w:p>
        </w:tc>
        <w:tc>
          <w:tcPr>
            <w:tcW w:w="2698" w:type="dxa"/>
            <w:noWrap w:val="0"/>
            <w:vAlign w:val="top"/>
          </w:tcPr>
          <w:p w14:paraId="7756622E">
            <w:pPr>
              <w:rPr>
                <w:rFonts w:ascii="Arial"/>
                <w:color w:val="auto"/>
                <w:sz w:val="21"/>
                <w:highlight w:val="none"/>
              </w:rPr>
            </w:pPr>
          </w:p>
        </w:tc>
        <w:tc>
          <w:tcPr>
            <w:tcW w:w="1408" w:type="dxa"/>
            <w:noWrap w:val="0"/>
            <w:vAlign w:val="top"/>
          </w:tcPr>
          <w:p w14:paraId="5AE09ECC">
            <w:pPr>
              <w:rPr>
                <w:rFonts w:ascii="Arial"/>
                <w:color w:val="auto"/>
                <w:sz w:val="21"/>
                <w:highlight w:val="none"/>
              </w:rPr>
            </w:pPr>
          </w:p>
        </w:tc>
        <w:tc>
          <w:tcPr>
            <w:tcW w:w="1862" w:type="dxa"/>
            <w:noWrap w:val="0"/>
            <w:vAlign w:val="top"/>
          </w:tcPr>
          <w:p w14:paraId="741AB0D0">
            <w:pPr>
              <w:rPr>
                <w:rFonts w:ascii="Arial"/>
                <w:color w:val="auto"/>
                <w:sz w:val="21"/>
                <w:highlight w:val="none"/>
              </w:rPr>
            </w:pPr>
          </w:p>
        </w:tc>
      </w:tr>
      <w:tr w14:paraId="255E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32" w:type="dxa"/>
            <w:noWrap w:val="0"/>
            <w:vAlign w:val="top"/>
          </w:tcPr>
          <w:p w14:paraId="0A913CA9">
            <w:pPr>
              <w:rPr>
                <w:rFonts w:ascii="Arial"/>
                <w:color w:val="auto"/>
                <w:sz w:val="21"/>
                <w:highlight w:val="none"/>
              </w:rPr>
            </w:pPr>
          </w:p>
        </w:tc>
        <w:tc>
          <w:tcPr>
            <w:tcW w:w="2566" w:type="dxa"/>
            <w:noWrap w:val="0"/>
            <w:vAlign w:val="top"/>
          </w:tcPr>
          <w:p w14:paraId="1D76DBFD">
            <w:pPr>
              <w:rPr>
                <w:rFonts w:ascii="Arial"/>
                <w:color w:val="auto"/>
                <w:sz w:val="21"/>
                <w:highlight w:val="none"/>
              </w:rPr>
            </w:pPr>
          </w:p>
        </w:tc>
        <w:tc>
          <w:tcPr>
            <w:tcW w:w="2698" w:type="dxa"/>
            <w:noWrap w:val="0"/>
            <w:vAlign w:val="top"/>
          </w:tcPr>
          <w:p w14:paraId="7E54E785">
            <w:pPr>
              <w:rPr>
                <w:rFonts w:ascii="Arial"/>
                <w:color w:val="auto"/>
                <w:sz w:val="21"/>
                <w:highlight w:val="none"/>
              </w:rPr>
            </w:pPr>
          </w:p>
        </w:tc>
        <w:tc>
          <w:tcPr>
            <w:tcW w:w="1408" w:type="dxa"/>
            <w:noWrap w:val="0"/>
            <w:vAlign w:val="top"/>
          </w:tcPr>
          <w:p w14:paraId="2995079A">
            <w:pPr>
              <w:rPr>
                <w:rFonts w:ascii="Arial"/>
                <w:color w:val="auto"/>
                <w:sz w:val="21"/>
                <w:highlight w:val="none"/>
              </w:rPr>
            </w:pPr>
          </w:p>
        </w:tc>
        <w:tc>
          <w:tcPr>
            <w:tcW w:w="1862" w:type="dxa"/>
            <w:noWrap w:val="0"/>
            <w:vAlign w:val="top"/>
          </w:tcPr>
          <w:p w14:paraId="217FAAB2">
            <w:pPr>
              <w:rPr>
                <w:rFonts w:ascii="Arial"/>
                <w:color w:val="auto"/>
                <w:sz w:val="21"/>
                <w:highlight w:val="none"/>
              </w:rPr>
            </w:pPr>
          </w:p>
        </w:tc>
      </w:tr>
      <w:tr w14:paraId="1D566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32" w:type="dxa"/>
            <w:noWrap w:val="0"/>
            <w:vAlign w:val="top"/>
          </w:tcPr>
          <w:p w14:paraId="480E64AA">
            <w:pPr>
              <w:rPr>
                <w:rFonts w:ascii="Arial"/>
                <w:color w:val="auto"/>
                <w:sz w:val="21"/>
                <w:highlight w:val="none"/>
              </w:rPr>
            </w:pPr>
          </w:p>
        </w:tc>
        <w:tc>
          <w:tcPr>
            <w:tcW w:w="2566" w:type="dxa"/>
            <w:noWrap w:val="0"/>
            <w:vAlign w:val="top"/>
          </w:tcPr>
          <w:p w14:paraId="63539404">
            <w:pPr>
              <w:rPr>
                <w:rFonts w:ascii="Arial"/>
                <w:color w:val="auto"/>
                <w:sz w:val="21"/>
                <w:highlight w:val="none"/>
              </w:rPr>
            </w:pPr>
          </w:p>
        </w:tc>
        <w:tc>
          <w:tcPr>
            <w:tcW w:w="2698" w:type="dxa"/>
            <w:noWrap w:val="0"/>
            <w:vAlign w:val="top"/>
          </w:tcPr>
          <w:p w14:paraId="6ED8003B">
            <w:pPr>
              <w:rPr>
                <w:rFonts w:ascii="Arial"/>
                <w:color w:val="auto"/>
                <w:sz w:val="21"/>
                <w:highlight w:val="none"/>
              </w:rPr>
            </w:pPr>
          </w:p>
        </w:tc>
        <w:tc>
          <w:tcPr>
            <w:tcW w:w="1408" w:type="dxa"/>
            <w:noWrap w:val="0"/>
            <w:vAlign w:val="top"/>
          </w:tcPr>
          <w:p w14:paraId="197F4F40">
            <w:pPr>
              <w:rPr>
                <w:rFonts w:ascii="Arial"/>
                <w:color w:val="auto"/>
                <w:sz w:val="21"/>
                <w:highlight w:val="none"/>
              </w:rPr>
            </w:pPr>
          </w:p>
        </w:tc>
        <w:tc>
          <w:tcPr>
            <w:tcW w:w="1862" w:type="dxa"/>
            <w:noWrap w:val="0"/>
            <w:vAlign w:val="top"/>
          </w:tcPr>
          <w:p w14:paraId="39F8C4E4">
            <w:pPr>
              <w:rPr>
                <w:rFonts w:ascii="Arial"/>
                <w:color w:val="auto"/>
                <w:sz w:val="21"/>
                <w:highlight w:val="none"/>
              </w:rPr>
            </w:pPr>
          </w:p>
        </w:tc>
      </w:tr>
      <w:tr w14:paraId="7995F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732" w:type="dxa"/>
            <w:noWrap w:val="0"/>
            <w:vAlign w:val="top"/>
          </w:tcPr>
          <w:p w14:paraId="19005C60">
            <w:pPr>
              <w:rPr>
                <w:rFonts w:ascii="Arial"/>
                <w:color w:val="auto"/>
                <w:sz w:val="21"/>
                <w:highlight w:val="none"/>
              </w:rPr>
            </w:pPr>
          </w:p>
        </w:tc>
        <w:tc>
          <w:tcPr>
            <w:tcW w:w="2566" w:type="dxa"/>
            <w:noWrap w:val="0"/>
            <w:vAlign w:val="top"/>
          </w:tcPr>
          <w:p w14:paraId="3CE73A6A">
            <w:pPr>
              <w:rPr>
                <w:rFonts w:ascii="Arial"/>
                <w:color w:val="auto"/>
                <w:sz w:val="21"/>
                <w:highlight w:val="none"/>
              </w:rPr>
            </w:pPr>
          </w:p>
        </w:tc>
        <w:tc>
          <w:tcPr>
            <w:tcW w:w="2698" w:type="dxa"/>
            <w:noWrap w:val="0"/>
            <w:vAlign w:val="top"/>
          </w:tcPr>
          <w:p w14:paraId="4A3C2F0A">
            <w:pPr>
              <w:rPr>
                <w:rFonts w:ascii="Arial"/>
                <w:color w:val="auto"/>
                <w:sz w:val="21"/>
                <w:highlight w:val="none"/>
              </w:rPr>
            </w:pPr>
          </w:p>
        </w:tc>
        <w:tc>
          <w:tcPr>
            <w:tcW w:w="1408" w:type="dxa"/>
            <w:noWrap w:val="0"/>
            <w:vAlign w:val="top"/>
          </w:tcPr>
          <w:p w14:paraId="639F9D9C">
            <w:pPr>
              <w:rPr>
                <w:rFonts w:ascii="Arial"/>
                <w:color w:val="auto"/>
                <w:sz w:val="21"/>
                <w:highlight w:val="none"/>
              </w:rPr>
            </w:pPr>
          </w:p>
        </w:tc>
        <w:tc>
          <w:tcPr>
            <w:tcW w:w="1862" w:type="dxa"/>
            <w:noWrap w:val="0"/>
            <w:vAlign w:val="top"/>
          </w:tcPr>
          <w:p w14:paraId="7957C9DE">
            <w:pPr>
              <w:rPr>
                <w:rFonts w:ascii="Arial"/>
                <w:color w:val="auto"/>
                <w:sz w:val="21"/>
                <w:highlight w:val="none"/>
              </w:rPr>
            </w:pPr>
          </w:p>
        </w:tc>
      </w:tr>
      <w:tr w14:paraId="24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32" w:type="dxa"/>
            <w:noWrap w:val="0"/>
            <w:vAlign w:val="top"/>
          </w:tcPr>
          <w:p w14:paraId="3726AB03">
            <w:pPr>
              <w:rPr>
                <w:rFonts w:ascii="Arial"/>
                <w:color w:val="auto"/>
                <w:sz w:val="21"/>
                <w:highlight w:val="none"/>
              </w:rPr>
            </w:pPr>
          </w:p>
        </w:tc>
        <w:tc>
          <w:tcPr>
            <w:tcW w:w="2566" w:type="dxa"/>
            <w:noWrap w:val="0"/>
            <w:vAlign w:val="top"/>
          </w:tcPr>
          <w:p w14:paraId="01232499">
            <w:pPr>
              <w:rPr>
                <w:rFonts w:ascii="Arial"/>
                <w:color w:val="auto"/>
                <w:sz w:val="21"/>
                <w:highlight w:val="none"/>
              </w:rPr>
            </w:pPr>
          </w:p>
        </w:tc>
        <w:tc>
          <w:tcPr>
            <w:tcW w:w="2698" w:type="dxa"/>
            <w:noWrap w:val="0"/>
            <w:vAlign w:val="top"/>
          </w:tcPr>
          <w:p w14:paraId="3225ACE5">
            <w:pPr>
              <w:rPr>
                <w:rFonts w:ascii="Arial"/>
                <w:color w:val="auto"/>
                <w:sz w:val="21"/>
                <w:highlight w:val="none"/>
              </w:rPr>
            </w:pPr>
          </w:p>
        </w:tc>
        <w:tc>
          <w:tcPr>
            <w:tcW w:w="1408" w:type="dxa"/>
            <w:noWrap w:val="0"/>
            <w:vAlign w:val="top"/>
          </w:tcPr>
          <w:p w14:paraId="2B701825">
            <w:pPr>
              <w:rPr>
                <w:rFonts w:ascii="Arial"/>
                <w:color w:val="auto"/>
                <w:sz w:val="21"/>
                <w:highlight w:val="none"/>
              </w:rPr>
            </w:pPr>
          </w:p>
        </w:tc>
        <w:tc>
          <w:tcPr>
            <w:tcW w:w="1862" w:type="dxa"/>
            <w:noWrap w:val="0"/>
            <w:vAlign w:val="top"/>
          </w:tcPr>
          <w:p w14:paraId="460F5510">
            <w:pPr>
              <w:rPr>
                <w:rFonts w:ascii="Arial"/>
                <w:color w:val="auto"/>
                <w:sz w:val="21"/>
                <w:highlight w:val="none"/>
              </w:rPr>
            </w:pPr>
          </w:p>
        </w:tc>
      </w:tr>
      <w:tr w14:paraId="01B0C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2" w:type="dxa"/>
            <w:noWrap w:val="0"/>
            <w:vAlign w:val="top"/>
          </w:tcPr>
          <w:p w14:paraId="37B5105B">
            <w:pPr>
              <w:rPr>
                <w:rFonts w:ascii="Arial"/>
                <w:color w:val="auto"/>
                <w:sz w:val="21"/>
                <w:highlight w:val="none"/>
              </w:rPr>
            </w:pPr>
          </w:p>
        </w:tc>
        <w:tc>
          <w:tcPr>
            <w:tcW w:w="2566" w:type="dxa"/>
            <w:noWrap w:val="0"/>
            <w:vAlign w:val="top"/>
          </w:tcPr>
          <w:p w14:paraId="571FAAE1">
            <w:pPr>
              <w:rPr>
                <w:rFonts w:ascii="Arial"/>
                <w:color w:val="auto"/>
                <w:sz w:val="21"/>
                <w:highlight w:val="none"/>
              </w:rPr>
            </w:pPr>
          </w:p>
        </w:tc>
        <w:tc>
          <w:tcPr>
            <w:tcW w:w="2698" w:type="dxa"/>
            <w:noWrap w:val="0"/>
            <w:vAlign w:val="top"/>
          </w:tcPr>
          <w:p w14:paraId="434E79CD">
            <w:pPr>
              <w:rPr>
                <w:rFonts w:ascii="Arial"/>
                <w:color w:val="auto"/>
                <w:sz w:val="21"/>
                <w:highlight w:val="none"/>
              </w:rPr>
            </w:pPr>
          </w:p>
        </w:tc>
        <w:tc>
          <w:tcPr>
            <w:tcW w:w="1408" w:type="dxa"/>
            <w:noWrap w:val="0"/>
            <w:vAlign w:val="top"/>
          </w:tcPr>
          <w:p w14:paraId="45C2043F">
            <w:pPr>
              <w:rPr>
                <w:rFonts w:ascii="Arial"/>
                <w:color w:val="auto"/>
                <w:sz w:val="21"/>
                <w:highlight w:val="none"/>
              </w:rPr>
            </w:pPr>
          </w:p>
        </w:tc>
        <w:tc>
          <w:tcPr>
            <w:tcW w:w="1862" w:type="dxa"/>
            <w:noWrap w:val="0"/>
            <w:vAlign w:val="top"/>
          </w:tcPr>
          <w:p w14:paraId="2D063329">
            <w:pPr>
              <w:rPr>
                <w:rFonts w:ascii="Arial"/>
                <w:color w:val="auto"/>
                <w:sz w:val="21"/>
                <w:highlight w:val="none"/>
              </w:rPr>
            </w:pPr>
          </w:p>
        </w:tc>
      </w:tr>
    </w:tbl>
    <w:p w14:paraId="69F80867">
      <w:pPr>
        <w:spacing w:before="155" w:line="220"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注明：</w:t>
      </w:r>
    </w:p>
    <w:p w14:paraId="76C6B2E6">
      <w:pPr>
        <w:spacing w:before="88" w:line="220" w:lineRule="auto"/>
        <w:ind w:left="46" w:leftChars="0"/>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1)偏离情况项填写“正”、“负”或“无”，说明项中填写原因。</w:t>
      </w:r>
    </w:p>
    <w:p w14:paraId="0C2D0876">
      <w:pPr>
        <w:spacing w:before="86" w:line="254" w:lineRule="auto"/>
        <w:ind w:left="451" w:right="12" w:hanging="42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2)供应商应按照招标文件要求如需提供相关证明资料的，须按要求提供，否</w:t>
      </w:r>
      <w:r>
        <w:rPr>
          <w:rFonts w:ascii="宋体" w:hAnsi="宋体" w:eastAsia="宋体" w:cs="宋体"/>
          <w:color w:val="auto"/>
          <w:spacing w:val="-3"/>
          <w:sz w:val="24"/>
          <w:szCs w:val="24"/>
          <w:highlight w:val="none"/>
        </w:rPr>
        <w:t>则视为负偏</w:t>
      </w:r>
      <w:r>
        <w:rPr>
          <w:rFonts w:ascii="宋体" w:hAnsi="宋体" w:eastAsia="宋体" w:cs="宋体"/>
          <w:color w:val="auto"/>
          <w:spacing w:val="-7"/>
          <w:sz w:val="24"/>
          <w:szCs w:val="24"/>
          <w:highlight w:val="none"/>
        </w:rPr>
        <w:t>离。</w:t>
      </w:r>
    </w:p>
    <w:p w14:paraId="6F2EC5B6">
      <w:pPr>
        <w:spacing w:before="79" w:line="219" w:lineRule="auto"/>
        <w:ind w:left="2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760A27C5">
      <w:pPr>
        <w:spacing w:before="79" w:line="220" w:lineRule="auto"/>
        <w:ind w:left="6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日期：年月日</w:t>
      </w:r>
    </w:p>
    <w:p w14:paraId="72028202">
      <w:pPr>
        <w:spacing w:line="220" w:lineRule="auto"/>
        <w:rPr>
          <w:rFonts w:ascii="宋体" w:hAnsi="宋体" w:eastAsia="宋体" w:cs="宋体"/>
          <w:color w:val="auto"/>
          <w:sz w:val="24"/>
          <w:szCs w:val="24"/>
          <w:highlight w:val="none"/>
        </w:rPr>
        <w:sectPr>
          <w:footerReference r:id="rId43" w:type="default"/>
          <w:pgSz w:w="11906" w:h="16839"/>
          <w:pgMar w:top="1431" w:right="1235" w:bottom="1209" w:left="1399" w:header="0" w:footer="973" w:gutter="0"/>
          <w:pgNumType w:fmt="decimal"/>
          <w:cols w:space="720" w:num="1"/>
        </w:sectPr>
      </w:pPr>
    </w:p>
    <w:p w14:paraId="5DEA0618">
      <w:pPr>
        <w:spacing w:before="114" w:line="226" w:lineRule="auto"/>
        <w:ind w:left="3369" w:leftChars="0"/>
        <w:outlineLvl w:val="1"/>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九、企业业绩表</w:t>
      </w:r>
    </w:p>
    <w:tbl>
      <w:tblPr>
        <w:tblStyle w:val="18"/>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2093"/>
        <w:gridCol w:w="1561"/>
        <w:gridCol w:w="1556"/>
        <w:gridCol w:w="1841"/>
        <w:gridCol w:w="1292"/>
      </w:tblGrid>
      <w:tr w14:paraId="03CF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9075" w:type="dxa"/>
            <w:gridSpan w:val="6"/>
            <w:noWrap w:val="0"/>
            <w:vAlign w:val="top"/>
          </w:tcPr>
          <w:p w14:paraId="78D1100E">
            <w:pPr>
              <w:pStyle w:val="17"/>
              <w:spacing w:before="196" w:line="220" w:lineRule="auto"/>
              <w:ind w:left="121"/>
              <w:rPr>
                <w:color w:val="auto"/>
                <w:highlight w:val="none"/>
              </w:rPr>
            </w:pPr>
            <w:r>
              <w:rPr>
                <w:b/>
                <w:bCs/>
                <w:color w:val="auto"/>
                <w:spacing w:val="-5"/>
                <w:highlight w:val="none"/>
              </w:rPr>
              <w:t>项目名称：项目编号：</w:t>
            </w:r>
          </w:p>
        </w:tc>
      </w:tr>
      <w:tr w14:paraId="25219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32" w:type="dxa"/>
            <w:noWrap w:val="0"/>
            <w:vAlign w:val="top"/>
          </w:tcPr>
          <w:p w14:paraId="5EAF54D6">
            <w:pPr>
              <w:pStyle w:val="17"/>
              <w:spacing w:before="192" w:line="222" w:lineRule="auto"/>
              <w:ind w:left="131"/>
              <w:rPr>
                <w:color w:val="auto"/>
                <w:highlight w:val="none"/>
              </w:rPr>
            </w:pPr>
            <w:r>
              <w:rPr>
                <w:b/>
                <w:bCs/>
                <w:color w:val="auto"/>
                <w:spacing w:val="-7"/>
                <w:highlight w:val="none"/>
              </w:rPr>
              <w:t>序号</w:t>
            </w:r>
          </w:p>
        </w:tc>
        <w:tc>
          <w:tcPr>
            <w:tcW w:w="2093" w:type="dxa"/>
            <w:noWrap w:val="0"/>
            <w:vAlign w:val="top"/>
          </w:tcPr>
          <w:p w14:paraId="73B2D110">
            <w:pPr>
              <w:pStyle w:val="17"/>
              <w:spacing w:before="192" w:line="221" w:lineRule="auto"/>
              <w:ind w:left="573"/>
              <w:rPr>
                <w:color w:val="auto"/>
                <w:highlight w:val="none"/>
              </w:rPr>
            </w:pPr>
            <w:r>
              <w:rPr>
                <w:b/>
                <w:bCs/>
                <w:color w:val="auto"/>
                <w:spacing w:val="-6"/>
                <w:highlight w:val="none"/>
              </w:rPr>
              <w:t>项目名称</w:t>
            </w:r>
          </w:p>
        </w:tc>
        <w:tc>
          <w:tcPr>
            <w:tcW w:w="1561" w:type="dxa"/>
            <w:noWrap w:val="0"/>
            <w:vAlign w:val="top"/>
          </w:tcPr>
          <w:p w14:paraId="053B2CB1">
            <w:pPr>
              <w:pStyle w:val="17"/>
              <w:spacing w:before="192" w:line="220" w:lineRule="auto"/>
              <w:ind w:left="305"/>
              <w:rPr>
                <w:color w:val="auto"/>
                <w:highlight w:val="none"/>
              </w:rPr>
            </w:pPr>
            <w:r>
              <w:rPr>
                <w:b/>
                <w:bCs/>
                <w:color w:val="auto"/>
                <w:spacing w:val="-5"/>
                <w:highlight w:val="none"/>
              </w:rPr>
              <w:t>合同金额</w:t>
            </w:r>
          </w:p>
        </w:tc>
        <w:tc>
          <w:tcPr>
            <w:tcW w:w="1556" w:type="dxa"/>
            <w:noWrap w:val="0"/>
            <w:vAlign w:val="top"/>
          </w:tcPr>
          <w:p w14:paraId="7F3C89E2">
            <w:pPr>
              <w:pStyle w:val="17"/>
              <w:spacing w:before="192" w:line="222" w:lineRule="auto"/>
              <w:ind w:left="303"/>
              <w:rPr>
                <w:color w:val="auto"/>
                <w:highlight w:val="none"/>
              </w:rPr>
            </w:pPr>
            <w:r>
              <w:rPr>
                <w:b/>
                <w:bCs/>
                <w:color w:val="auto"/>
                <w:spacing w:val="-5"/>
                <w:highlight w:val="none"/>
              </w:rPr>
              <w:t>签约时间</w:t>
            </w:r>
          </w:p>
        </w:tc>
        <w:tc>
          <w:tcPr>
            <w:tcW w:w="1841" w:type="dxa"/>
            <w:noWrap w:val="0"/>
            <w:vAlign w:val="top"/>
          </w:tcPr>
          <w:p w14:paraId="554B0BCF">
            <w:pPr>
              <w:pStyle w:val="17"/>
              <w:spacing w:before="192" w:line="220" w:lineRule="auto"/>
              <w:ind w:left="449"/>
              <w:rPr>
                <w:color w:val="auto"/>
                <w:highlight w:val="none"/>
              </w:rPr>
            </w:pPr>
            <w:r>
              <w:rPr>
                <w:b/>
                <w:bCs/>
                <w:color w:val="auto"/>
                <w:spacing w:val="-5"/>
                <w:highlight w:val="none"/>
              </w:rPr>
              <w:t>完成情况</w:t>
            </w:r>
          </w:p>
        </w:tc>
        <w:tc>
          <w:tcPr>
            <w:tcW w:w="1292" w:type="dxa"/>
            <w:noWrap w:val="0"/>
            <w:vAlign w:val="top"/>
          </w:tcPr>
          <w:p w14:paraId="638FCA82">
            <w:pPr>
              <w:pStyle w:val="17"/>
              <w:spacing w:before="192" w:line="222" w:lineRule="auto"/>
              <w:ind w:left="413"/>
              <w:rPr>
                <w:color w:val="auto"/>
                <w:highlight w:val="none"/>
              </w:rPr>
            </w:pPr>
            <w:r>
              <w:rPr>
                <w:b/>
                <w:bCs/>
                <w:color w:val="auto"/>
                <w:spacing w:val="-9"/>
                <w:highlight w:val="none"/>
              </w:rPr>
              <w:t>备注</w:t>
            </w:r>
          </w:p>
        </w:tc>
      </w:tr>
      <w:tr w14:paraId="38D48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noWrap w:val="0"/>
            <w:vAlign w:val="top"/>
          </w:tcPr>
          <w:p w14:paraId="71F7B09B">
            <w:pPr>
              <w:rPr>
                <w:rFonts w:ascii="Arial"/>
                <w:color w:val="auto"/>
                <w:sz w:val="21"/>
                <w:highlight w:val="none"/>
              </w:rPr>
            </w:pPr>
          </w:p>
        </w:tc>
        <w:tc>
          <w:tcPr>
            <w:tcW w:w="2093" w:type="dxa"/>
            <w:noWrap w:val="0"/>
            <w:vAlign w:val="top"/>
          </w:tcPr>
          <w:p w14:paraId="5D797418">
            <w:pPr>
              <w:rPr>
                <w:rFonts w:ascii="Arial"/>
                <w:color w:val="auto"/>
                <w:sz w:val="21"/>
                <w:highlight w:val="none"/>
              </w:rPr>
            </w:pPr>
          </w:p>
        </w:tc>
        <w:tc>
          <w:tcPr>
            <w:tcW w:w="1561" w:type="dxa"/>
            <w:noWrap w:val="0"/>
            <w:vAlign w:val="top"/>
          </w:tcPr>
          <w:p w14:paraId="2D3092C1">
            <w:pPr>
              <w:rPr>
                <w:rFonts w:ascii="Arial"/>
                <w:color w:val="auto"/>
                <w:sz w:val="21"/>
                <w:highlight w:val="none"/>
              </w:rPr>
            </w:pPr>
          </w:p>
        </w:tc>
        <w:tc>
          <w:tcPr>
            <w:tcW w:w="1556" w:type="dxa"/>
            <w:noWrap w:val="0"/>
            <w:vAlign w:val="top"/>
          </w:tcPr>
          <w:p w14:paraId="0FB5AE15">
            <w:pPr>
              <w:rPr>
                <w:rFonts w:ascii="Arial"/>
                <w:color w:val="auto"/>
                <w:sz w:val="21"/>
                <w:highlight w:val="none"/>
              </w:rPr>
            </w:pPr>
          </w:p>
        </w:tc>
        <w:tc>
          <w:tcPr>
            <w:tcW w:w="1841" w:type="dxa"/>
            <w:noWrap w:val="0"/>
            <w:vAlign w:val="top"/>
          </w:tcPr>
          <w:p w14:paraId="77E5F510">
            <w:pPr>
              <w:rPr>
                <w:rFonts w:ascii="Arial"/>
                <w:color w:val="auto"/>
                <w:sz w:val="21"/>
                <w:highlight w:val="none"/>
              </w:rPr>
            </w:pPr>
          </w:p>
        </w:tc>
        <w:tc>
          <w:tcPr>
            <w:tcW w:w="1292" w:type="dxa"/>
            <w:noWrap w:val="0"/>
            <w:vAlign w:val="top"/>
          </w:tcPr>
          <w:p w14:paraId="4668A2BC">
            <w:pPr>
              <w:rPr>
                <w:rFonts w:ascii="Arial"/>
                <w:color w:val="auto"/>
                <w:sz w:val="21"/>
                <w:highlight w:val="none"/>
              </w:rPr>
            </w:pPr>
          </w:p>
        </w:tc>
      </w:tr>
      <w:tr w14:paraId="4A892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noWrap w:val="0"/>
            <w:vAlign w:val="top"/>
          </w:tcPr>
          <w:p w14:paraId="7452199E">
            <w:pPr>
              <w:rPr>
                <w:rFonts w:ascii="Arial"/>
                <w:color w:val="auto"/>
                <w:sz w:val="21"/>
                <w:highlight w:val="none"/>
              </w:rPr>
            </w:pPr>
          </w:p>
        </w:tc>
        <w:tc>
          <w:tcPr>
            <w:tcW w:w="2093" w:type="dxa"/>
            <w:noWrap w:val="0"/>
            <w:vAlign w:val="top"/>
          </w:tcPr>
          <w:p w14:paraId="771FFEC3">
            <w:pPr>
              <w:rPr>
                <w:rFonts w:ascii="Arial"/>
                <w:color w:val="auto"/>
                <w:sz w:val="21"/>
                <w:highlight w:val="none"/>
              </w:rPr>
            </w:pPr>
          </w:p>
        </w:tc>
        <w:tc>
          <w:tcPr>
            <w:tcW w:w="1561" w:type="dxa"/>
            <w:noWrap w:val="0"/>
            <w:vAlign w:val="top"/>
          </w:tcPr>
          <w:p w14:paraId="3E88FF31">
            <w:pPr>
              <w:rPr>
                <w:rFonts w:ascii="Arial"/>
                <w:color w:val="auto"/>
                <w:sz w:val="21"/>
                <w:highlight w:val="none"/>
              </w:rPr>
            </w:pPr>
          </w:p>
        </w:tc>
        <w:tc>
          <w:tcPr>
            <w:tcW w:w="1556" w:type="dxa"/>
            <w:noWrap w:val="0"/>
            <w:vAlign w:val="top"/>
          </w:tcPr>
          <w:p w14:paraId="432EBEBD">
            <w:pPr>
              <w:rPr>
                <w:rFonts w:ascii="Arial"/>
                <w:color w:val="auto"/>
                <w:sz w:val="21"/>
                <w:highlight w:val="none"/>
              </w:rPr>
            </w:pPr>
          </w:p>
        </w:tc>
        <w:tc>
          <w:tcPr>
            <w:tcW w:w="1841" w:type="dxa"/>
            <w:noWrap w:val="0"/>
            <w:vAlign w:val="top"/>
          </w:tcPr>
          <w:p w14:paraId="5E47A7AE">
            <w:pPr>
              <w:rPr>
                <w:rFonts w:ascii="Arial"/>
                <w:color w:val="auto"/>
                <w:sz w:val="21"/>
                <w:highlight w:val="none"/>
              </w:rPr>
            </w:pPr>
          </w:p>
        </w:tc>
        <w:tc>
          <w:tcPr>
            <w:tcW w:w="1292" w:type="dxa"/>
            <w:noWrap w:val="0"/>
            <w:vAlign w:val="top"/>
          </w:tcPr>
          <w:p w14:paraId="0FAD7600">
            <w:pPr>
              <w:rPr>
                <w:rFonts w:ascii="Arial"/>
                <w:color w:val="auto"/>
                <w:sz w:val="21"/>
                <w:highlight w:val="none"/>
              </w:rPr>
            </w:pPr>
          </w:p>
        </w:tc>
      </w:tr>
      <w:tr w14:paraId="7B9EA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noWrap w:val="0"/>
            <w:vAlign w:val="top"/>
          </w:tcPr>
          <w:p w14:paraId="767812E7">
            <w:pPr>
              <w:rPr>
                <w:rFonts w:ascii="Arial"/>
                <w:color w:val="auto"/>
                <w:sz w:val="21"/>
                <w:highlight w:val="none"/>
              </w:rPr>
            </w:pPr>
          </w:p>
        </w:tc>
        <w:tc>
          <w:tcPr>
            <w:tcW w:w="2093" w:type="dxa"/>
            <w:noWrap w:val="0"/>
            <w:vAlign w:val="top"/>
          </w:tcPr>
          <w:p w14:paraId="4FECB1D6">
            <w:pPr>
              <w:rPr>
                <w:rFonts w:ascii="Arial"/>
                <w:color w:val="auto"/>
                <w:sz w:val="21"/>
                <w:highlight w:val="none"/>
              </w:rPr>
            </w:pPr>
          </w:p>
        </w:tc>
        <w:tc>
          <w:tcPr>
            <w:tcW w:w="1561" w:type="dxa"/>
            <w:noWrap w:val="0"/>
            <w:vAlign w:val="top"/>
          </w:tcPr>
          <w:p w14:paraId="6CC8DBE2">
            <w:pPr>
              <w:rPr>
                <w:rFonts w:ascii="Arial"/>
                <w:color w:val="auto"/>
                <w:sz w:val="21"/>
                <w:highlight w:val="none"/>
              </w:rPr>
            </w:pPr>
          </w:p>
        </w:tc>
        <w:tc>
          <w:tcPr>
            <w:tcW w:w="1556" w:type="dxa"/>
            <w:noWrap w:val="0"/>
            <w:vAlign w:val="top"/>
          </w:tcPr>
          <w:p w14:paraId="309D6980">
            <w:pPr>
              <w:rPr>
                <w:rFonts w:ascii="Arial"/>
                <w:color w:val="auto"/>
                <w:sz w:val="21"/>
                <w:highlight w:val="none"/>
              </w:rPr>
            </w:pPr>
          </w:p>
        </w:tc>
        <w:tc>
          <w:tcPr>
            <w:tcW w:w="1841" w:type="dxa"/>
            <w:noWrap w:val="0"/>
            <w:vAlign w:val="top"/>
          </w:tcPr>
          <w:p w14:paraId="254B5640">
            <w:pPr>
              <w:rPr>
                <w:rFonts w:ascii="Arial"/>
                <w:color w:val="auto"/>
                <w:sz w:val="21"/>
                <w:highlight w:val="none"/>
              </w:rPr>
            </w:pPr>
          </w:p>
        </w:tc>
        <w:tc>
          <w:tcPr>
            <w:tcW w:w="1292" w:type="dxa"/>
            <w:noWrap w:val="0"/>
            <w:vAlign w:val="top"/>
          </w:tcPr>
          <w:p w14:paraId="26ED9F81">
            <w:pPr>
              <w:rPr>
                <w:rFonts w:ascii="Arial"/>
                <w:color w:val="auto"/>
                <w:sz w:val="21"/>
                <w:highlight w:val="none"/>
              </w:rPr>
            </w:pPr>
          </w:p>
        </w:tc>
      </w:tr>
      <w:tr w14:paraId="28706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noWrap w:val="0"/>
            <w:vAlign w:val="top"/>
          </w:tcPr>
          <w:p w14:paraId="3EAC4F8A">
            <w:pPr>
              <w:rPr>
                <w:rFonts w:ascii="Arial"/>
                <w:color w:val="auto"/>
                <w:sz w:val="21"/>
                <w:highlight w:val="none"/>
              </w:rPr>
            </w:pPr>
          </w:p>
        </w:tc>
        <w:tc>
          <w:tcPr>
            <w:tcW w:w="2093" w:type="dxa"/>
            <w:noWrap w:val="0"/>
            <w:vAlign w:val="top"/>
          </w:tcPr>
          <w:p w14:paraId="1E60BF84">
            <w:pPr>
              <w:rPr>
                <w:rFonts w:ascii="Arial"/>
                <w:color w:val="auto"/>
                <w:sz w:val="21"/>
                <w:highlight w:val="none"/>
              </w:rPr>
            </w:pPr>
          </w:p>
        </w:tc>
        <w:tc>
          <w:tcPr>
            <w:tcW w:w="1561" w:type="dxa"/>
            <w:noWrap w:val="0"/>
            <w:vAlign w:val="top"/>
          </w:tcPr>
          <w:p w14:paraId="6F979A8D">
            <w:pPr>
              <w:rPr>
                <w:rFonts w:ascii="Arial"/>
                <w:color w:val="auto"/>
                <w:sz w:val="21"/>
                <w:highlight w:val="none"/>
              </w:rPr>
            </w:pPr>
          </w:p>
        </w:tc>
        <w:tc>
          <w:tcPr>
            <w:tcW w:w="1556" w:type="dxa"/>
            <w:noWrap w:val="0"/>
            <w:vAlign w:val="top"/>
          </w:tcPr>
          <w:p w14:paraId="1F6CFCC8">
            <w:pPr>
              <w:rPr>
                <w:rFonts w:ascii="Arial"/>
                <w:color w:val="auto"/>
                <w:sz w:val="21"/>
                <w:highlight w:val="none"/>
              </w:rPr>
            </w:pPr>
          </w:p>
        </w:tc>
        <w:tc>
          <w:tcPr>
            <w:tcW w:w="1841" w:type="dxa"/>
            <w:noWrap w:val="0"/>
            <w:vAlign w:val="top"/>
          </w:tcPr>
          <w:p w14:paraId="082444A3">
            <w:pPr>
              <w:rPr>
                <w:rFonts w:ascii="Arial"/>
                <w:color w:val="auto"/>
                <w:sz w:val="21"/>
                <w:highlight w:val="none"/>
              </w:rPr>
            </w:pPr>
          </w:p>
        </w:tc>
        <w:tc>
          <w:tcPr>
            <w:tcW w:w="1292" w:type="dxa"/>
            <w:noWrap w:val="0"/>
            <w:vAlign w:val="top"/>
          </w:tcPr>
          <w:p w14:paraId="6F2CE16B">
            <w:pPr>
              <w:rPr>
                <w:rFonts w:ascii="Arial"/>
                <w:color w:val="auto"/>
                <w:sz w:val="21"/>
                <w:highlight w:val="none"/>
              </w:rPr>
            </w:pPr>
          </w:p>
        </w:tc>
      </w:tr>
      <w:tr w14:paraId="15184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noWrap w:val="0"/>
            <w:vAlign w:val="top"/>
          </w:tcPr>
          <w:p w14:paraId="5E80CDF9">
            <w:pPr>
              <w:rPr>
                <w:rFonts w:ascii="Arial"/>
                <w:color w:val="auto"/>
                <w:sz w:val="21"/>
                <w:highlight w:val="none"/>
              </w:rPr>
            </w:pPr>
          </w:p>
        </w:tc>
        <w:tc>
          <w:tcPr>
            <w:tcW w:w="2093" w:type="dxa"/>
            <w:noWrap w:val="0"/>
            <w:vAlign w:val="top"/>
          </w:tcPr>
          <w:p w14:paraId="6C756100">
            <w:pPr>
              <w:rPr>
                <w:rFonts w:ascii="Arial"/>
                <w:color w:val="auto"/>
                <w:sz w:val="21"/>
                <w:highlight w:val="none"/>
              </w:rPr>
            </w:pPr>
          </w:p>
        </w:tc>
        <w:tc>
          <w:tcPr>
            <w:tcW w:w="1561" w:type="dxa"/>
            <w:noWrap w:val="0"/>
            <w:vAlign w:val="top"/>
          </w:tcPr>
          <w:p w14:paraId="2E84CF8C">
            <w:pPr>
              <w:rPr>
                <w:rFonts w:ascii="Arial"/>
                <w:color w:val="auto"/>
                <w:sz w:val="21"/>
                <w:highlight w:val="none"/>
              </w:rPr>
            </w:pPr>
          </w:p>
        </w:tc>
        <w:tc>
          <w:tcPr>
            <w:tcW w:w="1556" w:type="dxa"/>
            <w:noWrap w:val="0"/>
            <w:vAlign w:val="top"/>
          </w:tcPr>
          <w:p w14:paraId="3547E6EA">
            <w:pPr>
              <w:rPr>
                <w:rFonts w:ascii="Arial"/>
                <w:color w:val="auto"/>
                <w:sz w:val="21"/>
                <w:highlight w:val="none"/>
              </w:rPr>
            </w:pPr>
          </w:p>
        </w:tc>
        <w:tc>
          <w:tcPr>
            <w:tcW w:w="1841" w:type="dxa"/>
            <w:noWrap w:val="0"/>
            <w:vAlign w:val="top"/>
          </w:tcPr>
          <w:p w14:paraId="42EC5591">
            <w:pPr>
              <w:rPr>
                <w:rFonts w:ascii="Arial"/>
                <w:color w:val="auto"/>
                <w:sz w:val="21"/>
                <w:highlight w:val="none"/>
              </w:rPr>
            </w:pPr>
          </w:p>
        </w:tc>
        <w:tc>
          <w:tcPr>
            <w:tcW w:w="1292" w:type="dxa"/>
            <w:noWrap w:val="0"/>
            <w:vAlign w:val="top"/>
          </w:tcPr>
          <w:p w14:paraId="2BFDCCA2">
            <w:pPr>
              <w:rPr>
                <w:rFonts w:ascii="Arial"/>
                <w:color w:val="auto"/>
                <w:sz w:val="21"/>
                <w:highlight w:val="none"/>
              </w:rPr>
            </w:pPr>
          </w:p>
        </w:tc>
      </w:tr>
      <w:tr w14:paraId="15D1E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noWrap w:val="0"/>
            <w:vAlign w:val="top"/>
          </w:tcPr>
          <w:p w14:paraId="366C1C18">
            <w:pPr>
              <w:rPr>
                <w:rFonts w:ascii="Arial"/>
                <w:color w:val="auto"/>
                <w:sz w:val="21"/>
                <w:highlight w:val="none"/>
              </w:rPr>
            </w:pPr>
          </w:p>
        </w:tc>
        <w:tc>
          <w:tcPr>
            <w:tcW w:w="2093" w:type="dxa"/>
            <w:noWrap w:val="0"/>
            <w:vAlign w:val="top"/>
          </w:tcPr>
          <w:p w14:paraId="2BE8E48B">
            <w:pPr>
              <w:rPr>
                <w:rFonts w:ascii="Arial"/>
                <w:color w:val="auto"/>
                <w:sz w:val="21"/>
                <w:highlight w:val="none"/>
              </w:rPr>
            </w:pPr>
          </w:p>
        </w:tc>
        <w:tc>
          <w:tcPr>
            <w:tcW w:w="1561" w:type="dxa"/>
            <w:noWrap w:val="0"/>
            <w:vAlign w:val="top"/>
          </w:tcPr>
          <w:p w14:paraId="217D5D64">
            <w:pPr>
              <w:rPr>
                <w:rFonts w:ascii="Arial"/>
                <w:color w:val="auto"/>
                <w:sz w:val="21"/>
                <w:highlight w:val="none"/>
              </w:rPr>
            </w:pPr>
          </w:p>
        </w:tc>
        <w:tc>
          <w:tcPr>
            <w:tcW w:w="1556" w:type="dxa"/>
            <w:noWrap w:val="0"/>
            <w:vAlign w:val="top"/>
          </w:tcPr>
          <w:p w14:paraId="2C9B7D2C">
            <w:pPr>
              <w:rPr>
                <w:rFonts w:ascii="Arial"/>
                <w:color w:val="auto"/>
                <w:sz w:val="21"/>
                <w:highlight w:val="none"/>
              </w:rPr>
            </w:pPr>
          </w:p>
        </w:tc>
        <w:tc>
          <w:tcPr>
            <w:tcW w:w="1841" w:type="dxa"/>
            <w:noWrap w:val="0"/>
            <w:vAlign w:val="top"/>
          </w:tcPr>
          <w:p w14:paraId="016A9B5B">
            <w:pPr>
              <w:rPr>
                <w:rFonts w:ascii="Arial"/>
                <w:color w:val="auto"/>
                <w:sz w:val="21"/>
                <w:highlight w:val="none"/>
              </w:rPr>
            </w:pPr>
          </w:p>
        </w:tc>
        <w:tc>
          <w:tcPr>
            <w:tcW w:w="1292" w:type="dxa"/>
            <w:noWrap w:val="0"/>
            <w:vAlign w:val="top"/>
          </w:tcPr>
          <w:p w14:paraId="56ECDFB5">
            <w:pPr>
              <w:rPr>
                <w:rFonts w:ascii="Arial"/>
                <w:color w:val="auto"/>
                <w:sz w:val="21"/>
                <w:highlight w:val="none"/>
              </w:rPr>
            </w:pPr>
          </w:p>
        </w:tc>
      </w:tr>
      <w:tr w14:paraId="7FBC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32" w:type="dxa"/>
            <w:noWrap w:val="0"/>
            <w:vAlign w:val="top"/>
          </w:tcPr>
          <w:p w14:paraId="00E3B666">
            <w:pPr>
              <w:rPr>
                <w:rFonts w:ascii="Arial"/>
                <w:color w:val="auto"/>
                <w:sz w:val="21"/>
                <w:highlight w:val="none"/>
              </w:rPr>
            </w:pPr>
          </w:p>
        </w:tc>
        <w:tc>
          <w:tcPr>
            <w:tcW w:w="2093" w:type="dxa"/>
            <w:noWrap w:val="0"/>
            <w:vAlign w:val="top"/>
          </w:tcPr>
          <w:p w14:paraId="5F45F779">
            <w:pPr>
              <w:rPr>
                <w:rFonts w:ascii="Arial"/>
                <w:color w:val="auto"/>
                <w:sz w:val="21"/>
                <w:highlight w:val="none"/>
              </w:rPr>
            </w:pPr>
          </w:p>
        </w:tc>
        <w:tc>
          <w:tcPr>
            <w:tcW w:w="1561" w:type="dxa"/>
            <w:noWrap w:val="0"/>
            <w:vAlign w:val="top"/>
          </w:tcPr>
          <w:p w14:paraId="38A61862">
            <w:pPr>
              <w:rPr>
                <w:rFonts w:ascii="Arial"/>
                <w:color w:val="auto"/>
                <w:sz w:val="21"/>
                <w:highlight w:val="none"/>
              </w:rPr>
            </w:pPr>
          </w:p>
        </w:tc>
        <w:tc>
          <w:tcPr>
            <w:tcW w:w="1556" w:type="dxa"/>
            <w:noWrap w:val="0"/>
            <w:vAlign w:val="top"/>
          </w:tcPr>
          <w:p w14:paraId="57684EB2">
            <w:pPr>
              <w:rPr>
                <w:rFonts w:ascii="Arial"/>
                <w:color w:val="auto"/>
                <w:sz w:val="21"/>
                <w:highlight w:val="none"/>
              </w:rPr>
            </w:pPr>
          </w:p>
        </w:tc>
        <w:tc>
          <w:tcPr>
            <w:tcW w:w="1841" w:type="dxa"/>
            <w:noWrap w:val="0"/>
            <w:vAlign w:val="top"/>
          </w:tcPr>
          <w:p w14:paraId="6BD33C7E">
            <w:pPr>
              <w:rPr>
                <w:rFonts w:ascii="Arial"/>
                <w:color w:val="auto"/>
                <w:sz w:val="21"/>
                <w:highlight w:val="none"/>
              </w:rPr>
            </w:pPr>
          </w:p>
        </w:tc>
        <w:tc>
          <w:tcPr>
            <w:tcW w:w="1292" w:type="dxa"/>
            <w:noWrap w:val="0"/>
            <w:vAlign w:val="top"/>
          </w:tcPr>
          <w:p w14:paraId="79B1C2F3">
            <w:pPr>
              <w:rPr>
                <w:rFonts w:ascii="Arial"/>
                <w:color w:val="auto"/>
                <w:sz w:val="21"/>
                <w:highlight w:val="none"/>
              </w:rPr>
            </w:pPr>
          </w:p>
        </w:tc>
      </w:tr>
      <w:tr w14:paraId="5566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32" w:type="dxa"/>
            <w:noWrap w:val="0"/>
            <w:vAlign w:val="top"/>
          </w:tcPr>
          <w:p w14:paraId="42EAF7CF">
            <w:pPr>
              <w:rPr>
                <w:rFonts w:ascii="Arial"/>
                <w:color w:val="auto"/>
                <w:sz w:val="21"/>
                <w:highlight w:val="none"/>
              </w:rPr>
            </w:pPr>
          </w:p>
        </w:tc>
        <w:tc>
          <w:tcPr>
            <w:tcW w:w="2093" w:type="dxa"/>
            <w:noWrap w:val="0"/>
            <w:vAlign w:val="top"/>
          </w:tcPr>
          <w:p w14:paraId="55A1E05D">
            <w:pPr>
              <w:rPr>
                <w:rFonts w:ascii="Arial"/>
                <w:color w:val="auto"/>
                <w:sz w:val="21"/>
                <w:highlight w:val="none"/>
              </w:rPr>
            </w:pPr>
          </w:p>
        </w:tc>
        <w:tc>
          <w:tcPr>
            <w:tcW w:w="1561" w:type="dxa"/>
            <w:noWrap w:val="0"/>
            <w:vAlign w:val="top"/>
          </w:tcPr>
          <w:p w14:paraId="6CA01FF5">
            <w:pPr>
              <w:rPr>
                <w:rFonts w:ascii="Arial"/>
                <w:color w:val="auto"/>
                <w:sz w:val="21"/>
                <w:highlight w:val="none"/>
              </w:rPr>
            </w:pPr>
          </w:p>
        </w:tc>
        <w:tc>
          <w:tcPr>
            <w:tcW w:w="1556" w:type="dxa"/>
            <w:noWrap w:val="0"/>
            <w:vAlign w:val="top"/>
          </w:tcPr>
          <w:p w14:paraId="5E2880AC">
            <w:pPr>
              <w:rPr>
                <w:rFonts w:ascii="Arial"/>
                <w:color w:val="auto"/>
                <w:sz w:val="21"/>
                <w:highlight w:val="none"/>
              </w:rPr>
            </w:pPr>
          </w:p>
        </w:tc>
        <w:tc>
          <w:tcPr>
            <w:tcW w:w="1841" w:type="dxa"/>
            <w:noWrap w:val="0"/>
            <w:vAlign w:val="top"/>
          </w:tcPr>
          <w:p w14:paraId="4438AE16">
            <w:pPr>
              <w:rPr>
                <w:rFonts w:ascii="Arial"/>
                <w:color w:val="auto"/>
                <w:sz w:val="21"/>
                <w:highlight w:val="none"/>
              </w:rPr>
            </w:pPr>
          </w:p>
        </w:tc>
        <w:tc>
          <w:tcPr>
            <w:tcW w:w="1292" w:type="dxa"/>
            <w:noWrap w:val="0"/>
            <w:vAlign w:val="top"/>
          </w:tcPr>
          <w:p w14:paraId="67E56176">
            <w:pPr>
              <w:rPr>
                <w:rFonts w:ascii="Arial"/>
                <w:color w:val="auto"/>
                <w:sz w:val="21"/>
                <w:highlight w:val="none"/>
              </w:rPr>
            </w:pPr>
          </w:p>
        </w:tc>
      </w:tr>
      <w:tr w14:paraId="7A56A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32" w:type="dxa"/>
            <w:noWrap w:val="0"/>
            <w:vAlign w:val="top"/>
          </w:tcPr>
          <w:p w14:paraId="4710FC3E">
            <w:pPr>
              <w:rPr>
                <w:rFonts w:ascii="Arial"/>
                <w:color w:val="auto"/>
                <w:sz w:val="21"/>
                <w:highlight w:val="none"/>
              </w:rPr>
            </w:pPr>
          </w:p>
        </w:tc>
        <w:tc>
          <w:tcPr>
            <w:tcW w:w="2093" w:type="dxa"/>
            <w:noWrap w:val="0"/>
            <w:vAlign w:val="top"/>
          </w:tcPr>
          <w:p w14:paraId="02672013">
            <w:pPr>
              <w:rPr>
                <w:rFonts w:ascii="Arial"/>
                <w:color w:val="auto"/>
                <w:sz w:val="21"/>
                <w:highlight w:val="none"/>
              </w:rPr>
            </w:pPr>
          </w:p>
        </w:tc>
        <w:tc>
          <w:tcPr>
            <w:tcW w:w="1561" w:type="dxa"/>
            <w:noWrap w:val="0"/>
            <w:vAlign w:val="top"/>
          </w:tcPr>
          <w:p w14:paraId="02940AEF">
            <w:pPr>
              <w:rPr>
                <w:rFonts w:ascii="Arial"/>
                <w:color w:val="auto"/>
                <w:sz w:val="21"/>
                <w:highlight w:val="none"/>
              </w:rPr>
            </w:pPr>
          </w:p>
        </w:tc>
        <w:tc>
          <w:tcPr>
            <w:tcW w:w="1556" w:type="dxa"/>
            <w:noWrap w:val="0"/>
            <w:vAlign w:val="top"/>
          </w:tcPr>
          <w:p w14:paraId="4F930391">
            <w:pPr>
              <w:rPr>
                <w:rFonts w:ascii="Arial"/>
                <w:color w:val="auto"/>
                <w:sz w:val="21"/>
                <w:highlight w:val="none"/>
              </w:rPr>
            </w:pPr>
          </w:p>
        </w:tc>
        <w:tc>
          <w:tcPr>
            <w:tcW w:w="1841" w:type="dxa"/>
            <w:noWrap w:val="0"/>
            <w:vAlign w:val="top"/>
          </w:tcPr>
          <w:p w14:paraId="30EC7CA6">
            <w:pPr>
              <w:rPr>
                <w:rFonts w:ascii="Arial"/>
                <w:color w:val="auto"/>
                <w:sz w:val="21"/>
                <w:highlight w:val="none"/>
              </w:rPr>
            </w:pPr>
          </w:p>
        </w:tc>
        <w:tc>
          <w:tcPr>
            <w:tcW w:w="1292" w:type="dxa"/>
            <w:noWrap w:val="0"/>
            <w:vAlign w:val="top"/>
          </w:tcPr>
          <w:p w14:paraId="3A67210B">
            <w:pPr>
              <w:rPr>
                <w:rFonts w:ascii="Arial"/>
                <w:color w:val="auto"/>
                <w:sz w:val="21"/>
                <w:highlight w:val="none"/>
              </w:rPr>
            </w:pPr>
          </w:p>
        </w:tc>
      </w:tr>
    </w:tbl>
    <w:p w14:paraId="1A04515A">
      <w:pPr>
        <w:spacing w:before="36" w:line="219" w:lineRule="auto"/>
        <w:ind w:left="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备注：需提供证明资料内容详见</w:t>
      </w:r>
      <w:r>
        <w:rPr>
          <w:rFonts w:ascii="宋体" w:hAnsi="宋体" w:eastAsia="宋体" w:cs="宋体"/>
          <w:color w:val="auto"/>
          <w:spacing w:val="-1"/>
          <w:sz w:val="24"/>
          <w:szCs w:val="24"/>
          <w:highlight w:val="none"/>
          <w:u w:val="single" w:color="auto"/>
        </w:rPr>
        <w:t>（评标方法）</w:t>
      </w:r>
      <w:r>
        <w:rPr>
          <w:rFonts w:ascii="宋体" w:hAnsi="宋体" w:eastAsia="宋体" w:cs="宋体"/>
          <w:color w:val="auto"/>
          <w:spacing w:val="-1"/>
          <w:sz w:val="24"/>
          <w:szCs w:val="24"/>
          <w:highlight w:val="none"/>
        </w:rPr>
        <w:t>。</w:t>
      </w:r>
    </w:p>
    <w:p w14:paraId="1C369170">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41D6D71E">
      <w:pPr>
        <w:spacing w:before="78" w:line="220" w:lineRule="auto"/>
        <w:ind w:left="4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日期：年月日</w:t>
      </w:r>
    </w:p>
    <w:p w14:paraId="1C339F73">
      <w:pPr>
        <w:spacing w:line="220" w:lineRule="auto"/>
        <w:rPr>
          <w:rFonts w:ascii="宋体" w:hAnsi="宋体" w:eastAsia="宋体" w:cs="宋体"/>
          <w:color w:val="auto"/>
          <w:sz w:val="24"/>
          <w:szCs w:val="24"/>
          <w:highlight w:val="none"/>
        </w:rPr>
        <w:sectPr>
          <w:footerReference r:id="rId44" w:type="default"/>
          <w:pgSz w:w="11906" w:h="16839"/>
          <w:pgMar w:top="1431" w:right="1398" w:bottom="1209" w:left="1427" w:header="0" w:footer="973" w:gutter="0"/>
          <w:pgNumType w:fmt="decimal"/>
          <w:cols w:space="720" w:num="1"/>
        </w:sectPr>
      </w:pPr>
    </w:p>
    <w:p w14:paraId="16D4647A">
      <w:pPr>
        <w:spacing w:before="114" w:line="225" w:lineRule="auto"/>
        <w:ind w:left="3551" w:leftChars="0"/>
        <w:outlineLvl w:val="1"/>
        <w:rPr>
          <w:rFonts w:ascii="宋体" w:hAnsi="宋体" w:eastAsia="宋体" w:cs="宋体"/>
          <w:color w:val="auto"/>
          <w:sz w:val="35"/>
          <w:szCs w:val="35"/>
          <w:highlight w:val="none"/>
        </w:rPr>
      </w:pPr>
      <w:r>
        <w:rPr>
          <w:rFonts w:ascii="宋体" w:hAnsi="宋体" w:eastAsia="宋体" w:cs="宋体"/>
          <w:b/>
          <w:bCs/>
          <w:color w:val="auto"/>
          <w:spacing w:val="4"/>
          <w:sz w:val="35"/>
          <w:szCs w:val="35"/>
          <w:highlight w:val="none"/>
        </w:rPr>
        <w:t>十、资格声明</w:t>
      </w:r>
    </w:p>
    <w:p w14:paraId="244CB708">
      <w:pPr>
        <w:tabs>
          <w:tab w:val="left" w:pos="136"/>
        </w:tabs>
        <w:spacing w:before="257" w:line="219" w:lineRule="auto"/>
        <w:rPr>
          <w:rFonts w:ascii="宋体" w:hAnsi="宋体" w:eastAsia="宋体" w:cs="宋体"/>
          <w:color w:val="auto"/>
          <w:sz w:val="24"/>
          <w:szCs w:val="24"/>
          <w:highlight w:val="none"/>
        </w:rPr>
      </w:pPr>
      <w:r>
        <w:rPr>
          <w:rFonts w:ascii="宋体" w:hAnsi="宋体" w:eastAsia="宋体" w:cs="宋体"/>
          <w:b/>
          <w:bCs/>
          <w:color w:val="auto"/>
          <w:spacing w:val="-22"/>
          <w:sz w:val="24"/>
          <w:szCs w:val="24"/>
          <w:highlight w:val="none"/>
          <w:u w:val="single" w:color="auto"/>
        </w:rPr>
        <w:t>（采购代理机构</w:t>
      </w:r>
      <w:r>
        <w:rPr>
          <w:rFonts w:ascii="宋体" w:hAnsi="宋体" w:eastAsia="宋体" w:cs="宋体"/>
          <w:b/>
          <w:bCs/>
          <w:color w:val="auto"/>
          <w:spacing w:val="-1"/>
          <w:sz w:val="24"/>
          <w:szCs w:val="24"/>
          <w:highlight w:val="none"/>
          <w:u w:val="single" w:color="auto"/>
        </w:rPr>
        <w:t>）</w:t>
      </w:r>
      <w:r>
        <w:rPr>
          <w:rFonts w:ascii="宋体" w:hAnsi="宋体" w:eastAsia="宋体" w:cs="宋体"/>
          <w:b/>
          <w:bCs/>
          <w:color w:val="auto"/>
          <w:spacing w:val="-1"/>
          <w:sz w:val="24"/>
          <w:szCs w:val="24"/>
          <w:highlight w:val="none"/>
        </w:rPr>
        <w:t>：</w:t>
      </w:r>
    </w:p>
    <w:p w14:paraId="10BC6436">
      <w:pPr>
        <w:spacing w:before="208" w:line="287" w:lineRule="auto"/>
        <w:ind w:left="9" w:right="86" w:firstLine="481"/>
        <w:jc w:val="both"/>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我方愿响应贵方关于</w:t>
      </w:r>
      <w:r>
        <w:rPr>
          <w:rFonts w:ascii="宋体" w:hAnsi="宋体" w:eastAsia="宋体" w:cs="宋体"/>
          <w:b/>
          <w:bCs/>
          <w:color w:val="auto"/>
          <w:spacing w:val="-2"/>
          <w:sz w:val="24"/>
          <w:szCs w:val="24"/>
          <w:highlight w:val="none"/>
          <w:u w:val="single" w:color="auto"/>
        </w:rPr>
        <w:t>（项目名称</w:t>
      </w:r>
      <w:r>
        <w:rPr>
          <w:rFonts w:ascii="宋体" w:hAnsi="宋体" w:eastAsia="宋体" w:cs="宋体"/>
          <w:b/>
          <w:bCs/>
          <w:color w:val="auto"/>
          <w:spacing w:val="-10"/>
          <w:sz w:val="24"/>
          <w:szCs w:val="24"/>
          <w:highlight w:val="none"/>
          <w:u w:val="single" w:color="auto"/>
        </w:rPr>
        <w:t>）</w:t>
      </w:r>
      <w:r>
        <w:rPr>
          <w:rFonts w:ascii="宋体" w:hAnsi="宋体" w:eastAsia="宋体" w:cs="宋体"/>
          <w:b/>
          <w:bCs/>
          <w:color w:val="auto"/>
          <w:spacing w:val="-10"/>
          <w:sz w:val="24"/>
          <w:szCs w:val="24"/>
          <w:highlight w:val="none"/>
        </w:rPr>
        <w:t>（</w:t>
      </w:r>
      <w:r>
        <w:rPr>
          <w:rFonts w:ascii="宋体" w:hAnsi="宋体" w:eastAsia="宋体" w:cs="宋体"/>
          <w:b/>
          <w:bCs/>
          <w:color w:val="auto"/>
          <w:spacing w:val="-2"/>
          <w:sz w:val="24"/>
          <w:szCs w:val="24"/>
          <w:highlight w:val="none"/>
        </w:rPr>
        <w:t>项目编号</w:t>
      </w:r>
      <w:r>
        <w:rPr>
          <w:rFonts w:ascii="宋体" w:hAnsi="宋体" w:eastAsia="宋体" w:cs="宋体"/>
          <w:b/>
          <w:bCs/>
          <w:color w:val="auto"/>
          <w:spacing w:val="-10"/>
          <w:sz w:val="24"/>
          <w:szCs w:val="24"/>
          <w:highlight w:val="none"/>
        </w:rPr>
        <w:t>：）</w:t>
      </w:r>
      <w:r>
        <w:rPr>
          <w:rFonts w:ascii="宋体" w:hAnsi="宋体" w:eastAsia="宋体" w:cs="宋体"/>
          <w:b/>
          <w:bCs/>
          <w:color w:val="auto"/>
          <w:spacing w:val="-2"/>
          <w:sz w:val="24"/>
          <w:szCs w:val="24"/>
          <w:highlight w:val="none"/>
        </w:rPr>
        <w:t>的投标，参与投标，提供用户需求书中规定的货物及相关服务，并按招标文件要求提交所附资格文件</w:t>
      </w:r>
      <w:r>
        <w:rPr>
          <w:rFonts w:ascii="宋体" w:hAnsi="宋体" w:eastAsia="宋体" w:cs="宋体"/>
          <w:b/>
          <w:bCs/>
          <w:color w:val="auto"/>
          <w:spacing w:val="-3"/>
          <w:sz w:val="24"/>
          <w:szCs w:val="24"/>
          <w:highlight w:val="none"/>
        </w:rPr>
        <w:t>且声明和保证如下：</w:t>
      </w:r>
    </w:p>
    <w:p w14:paraId="25FEBFB3">
      <w:pPr>
        <w:spacing w:line="219" w:lineRule="auto"/>
        <w:ind w:left="37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本公司（企业）具备招标文件中资格要求。</w:t>
      </w:r>
    </w:p>
    <w:p w14:paraId="79D5763D">
      <w:pPr>
        <w:spacing w:before="88" w:line="265" w:lineRule="auto"/>
        <w:ind w:left="18"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1、我公司是按照中华人民共和国法律在工商管理机关登记注册的企业法人，注册地</w:t>
      </w:r>
      <w:r>
        <w:rPr>
          <w:rFonts w:ascii="宋体" w:hAnsi="宋体" w:eastAsia="宋体" w:cs="宋体"/>
          <w:color w:val="auto"/>
          <w:spacing w:val="-3"/>
          <w:sz w:val="24"/>
          <w:szCs w:val="24"/>
          <w:highlight w:val="none"/>
        </w:rPr>
        <w:t>点为，公司全称为，法定代表人为，具有独立承担民事责任的</w:t>
      </w:r>
      <w:r>
        <w:rPr>
          <w:rFonts w:ascii="宋体" w:hAnsi="宋体" w:eastAsia="宋体" w:cs="宋体"/>
          <w:color w:val="auto"/>
          <w:spacing w:val="-6"/>
          <w:sz w:val="24"/>
          <w:szCs w:val="24"/>
          <w:highlight w:val="none"/>
        </w:rPr>
        <w:t>能力。</w:t>
      </w:r>
    </w:p>
    <w:p w14:paraId="0A80FDE7">
      <w:pPr>
        <w:spacing w:before="88" w:line="219"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2、我公司具有良好的商业信誉和健全的财务会计制度。</w:t>
      </w:r>
    </w:p>
    <w:p w14:paraId="444EA8B5">
      <w:pPr>
        <w:spacing w:before="87"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3、我公司具有履行本项目采购合同所必需的设备和专业技术能力。</w:t>
      </w:r>
    </w:p>
    <w:p w14:paraId="3240CA0B">
      <w:pPr>
        <w:spacing w:before="90"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4、我公司具有依法缴纳税收和社会保障资金的良好记录。</w:t>
      </w:r>
    </w:p>
    <w:p w14:paraId="797B7B03">
      <w:pPr>
        <w:spacing w:before="90" w:line="219" w:lineRule="auto"/>
        <w:ind w:left="499"/>
        <w:rPr>
          <w:rFonts w:ascii="宋体" w:hAnsi="宋体" w:eastAsia="宋体" w:cs="宋体"/>
          <w:color w:val="auto"/>
          <w:sz w:val="24"/>
          <w:szCs w:val="24"/>
          <w:highlight w:val="none"/>
        </w:rPr>
      </w:pPr>
      <w:r>
        <w:rPr>
          <w:rFonts w:ascii="宋体" w:hAnsi="宋体" w:eastAsia="宋体" w:cs="宋体"/>
          <w:color w:val="auto"/>
          <w:sz w:val="24"/>
          <w:szCs w:val="24"/>
          <w:highlight w:val="none"/>
        </w:rPr>
        <w:t>5、我公司在参与本次政府采购活动之前三年</w:t>
      </w:r>
      <w:r>
        <w:rPr>
          <w:rFonts w:ascii="宋体" w:hAnsi="宋体" w:eastAsia="宋体" w:cs="宋体"/>
          <w:color w:val="auto"/>
          <w:spacing w:val="-1"/>
          <w:sz w:val="24"/>
          <w:szCs w:val="24"/>
          <w:highlight w:val="none"/>
        </w:rPr>
        <w:t>内，在经营活动中无重大违法记录。</w:t>
      </w:r>
    </w:p>
    <w:p w14:paraId="166F6918">
      <w:pPr>
        <w:spacing w:before="86" w:line="254" w:lineRule="auto"/>
        <w:ind w:left="8"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6、我公司在参与本次政府采购活动时未受</w:t>
      </w:r>
      <w:r>
        <w:rPr>
          <w:rFonts w:ascii="宋体" w:hAnsi="宋体" w:eastAsia="宋体" w:cs="宋体"/>
          <w:color w:val="auto"/>
          <w:spacing w:val="-1"/>
          <w:sz w:val="24"/>
          <w:szCs w:val="24"/>
          <w:highlight w:val="none"/>
        </w:rPr>
        <w:t>到任何地方政府采购部门作出的暂停参加政府采购活动的处罚。</w:t>
      </w:r>
    </w:p>
    <w:p w14:paraId="3F19684A">
      <w:pPr>
        <w:spacing w:before="86" w:line="290" w:lineRule="auto"/>
        <w:ind w:left="15" w:right="171"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我公司保证上述声明的事项都是真实的，如有虚假，我公司承担相应的法律责任，</w:t>
      </w:r>
      <w:r>
        <w:rPr>
          <w:rFonts w:ascii="宋体" w:hAnsi="宋体" w:eastAsia="宋体" w:cs="宋体"/>
          <w:color w:val="auto"/>
          <w:spacing w:val="-1"/>
          <w:sz w:val="24"/>
          <w:szCs w:val="24"/>
          <w:highlight w:val="none"/>
        </w:rPr>
        <w:t>并承担因此给本项目采购代理机构以及采购人所造成的损失。</w:t>
      </w:r>
    </w:p>
    <w:p w14:paraId="2AF260AB">
      <w:pPr>
        <w:spacing w:before="79" w:line="220" w:lineRule="auto"/>
        <w:ind w:left="42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特此声明！</w:t>
      </w:r>
    </w:p>
    <w:p w14:paraId="60F6C634">
      <w:pPr>
        <w:spacing w:before="78" w:line="219" w:lineRule="auto"/>
        <w:ind w:left="43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备注：1.本声明函必须提供且内容不得擅自删改，否则视为无</w:t>
      </w:r>
      <w:r>
        <w:rPr>
          <w:rFonts w:ascii="宋体" w:hAnsi="宋体" w:eastAsia="宋体" w:cs="宋体"/>
          <w:b/>
          <w:bCs/>
          <w:color w:val="auto"/>
          <w:spacing w:val="-3"/>
          <w:sz w:val="24"/>
          <w:szCs w:val="24"/>
          <w:highlight w:val="none"/>
        </w:rPr>
        <w:t>效投标。</w:t>
      </w:r>
    </w:p>
    <w:p w14:paraId="40BF5306">
      <w:pPr>
        <w:spacing w:before="90" w:line="219" w:lineRule="auto"/>
        <w:ind w:left="1308" w:leftChars="0"/>
        <w:outlineLvl w:val="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2.本声明函如有虚假或与事实不符的，作无</w:t>
      </w:r>
      <w:r>
        <w:rPr>
          <w:rFonts w:ascii="宋体" w:hAnsi="宋体" w:eastAsia="宋体" w:cs="宋体"/>
          <w:b/>
          <w:bCs/>
          <w:color w:val="auto"/>
          <w:spacing w:val="-3"/>
          <w:sz w:val="24"/>
          <w:szCs w:val="24"/>
          <w:highlight w:val="none"/>
        </w:rPr>
        <w:t>效投标处理。</w:t>
      </w:r>
    </w:p>
    <w:p w14:paraId="77BC313B">
      <w:pPr>
        <w:spacing w:before="78" w:line="219" w:lineRule="auto"/>
        <w:ind w:left="28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06ED03E7">
      <w:pPr>
        <w:spacing w:before="79" w:line="219" w:lineRule="auto"/>
        <w:ind w:left="28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法定代表人或被授权人（签名或盖章</w:t>
      </w:r>
      <w:r>
        <w:rPr>
          <w:rFonts w:ascii="宋体" w:hAnsi="宋体" w:eastAsia="宋体" w:cs="宋体"/>
          <w:color w:val="auto"/>
          <w:spacing w:val="2"/>
          <w:sz w:val="24"/>
          <w:szCs w:val="24"/>
          <w:highlight w:val="none"/>
        </w:rPr>
        <w:t>）：</w:t>
      </w:r>
    </w:p>
    <w:p w14:paraId="6DD2E29C">
      <w:pPr>
        <w:spacing w:before="79" w:line="220" w:lineRule="auto"/>
        <w:ind w:left="285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日期：年月日</w:t>
      </w:r>
    </w:p>
    <w:p w14:paraId="197A7E48">
      <w:pPr>
        <w:spacing w:line="220" w:lineRule="auto"/>
        <w:rPr>
          <w:rFonts w:ascii="宋体" w:hAnsi="宋体" w:eastAsia="宋体" w:cs="宋体"/>
          <w:color w:val="auto"/>
          <w:sz w:val="24"/>
          <w:szCs w:val="24"/>
          <w:highlight w:val="none"/>
        </w:rPr>
        <w:sectPr>
          <w:footerReference r:id="rId45" w:type="default"/>
          <w:pgSz w:w="11906" w:h="16839"/>
          <w:pgMar w:top="1431" w:right="1247" w:bottom="1209" w:left="1418" w:header="0" w:footer="973" w:gutter="0"/>
          <w:pgNumType w:fmt="decimal"/>
          <w:cols w:space="720" w:num="1"/>
        </w:sectPr>
      </w:pPr>
    </w:p>
    <w:p w14:paraId="08D8E4E7">
      <w:pPr>
        <w:spacing w:before="114" w:line="225" w:lineRule="auto"/>
        <w:ind w:left="2941" w:leftChars="0"/>
        <w:outlineLvl w:val="1"/>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十一、技术参数偏离表</w:t>
      </w:r>
    </w:p>
    <w:tbl>
      <w:tblPr>
        <w:tblStyle w:val="18"/>
        <w:tblW w:w="92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2351"/>
        <w:gridCol w:w="2378"/>
        <w:gridCol w:w="1499"/>
        <w:gridCol w:w="2059"/>
      </w:tblGrid>
      <w:tr w14:paraId="0DCB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211" w:type="dxa"/>
            <w:gridSpan w:val="5"/>
            <w:noWrap w:val="0"/>
            <w:vAlign w:val="top"/>
          </w:tcPr>
          <w:p w14:paraId="08FC96B6">
            <w:pPr>
              <w:pStyle w:val="17"/>
              <w:spacing w:before="179" w:line="220" w:lineRule="auto"/>
              <w:ind w:left="121"/>
              <w:rPr>
                <w:color w:val="auto"/>
                <w:highlight w:val="none"/>
              </w:rPr>
            </w:pPr>
            <w:r>
              <w:rPr>
                <w:b/>
                <w:bCs/>
                <w:color w:val="auto"/>
                <w:spacing w:val="-5"/>
                <w:highlight w:val="none"/>
              </w:rPr>
              <w:t>项目名称：项目编号：</w:t>
            </w:r>
          </w:p>
        </w:tc>
      </w:tr>
      <w:tr w14:paraId="5B3FE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24" w:type="dxa"/>
            <w:noWrap w:val="0"/>
            <w:vAlign w:val="top"/>
          </w:tcPr>
          <w:p w14:paraId="20723D98">
            <w:pPr>
              <w:pStyle w:val="17"/>
              <w:spacing w:before="174" w:line="222" w:lineRule="auto"/>
              <w:ind w:left="227"/>
              <w:rPr>
                <w:color w:val="auto"/>
                <w:highlight w:val="none"/>
              </w:rPr>
            </w:pPr>
            <w:r>
              <w:rPr>
                <w:b/>
                <w:bCs/>
                <w:color w:val="auto"/>
                <w:spacing w:val="-7"/>
                <w:highlight w:val="none"/>
              </w:rPr>
              <w:t>序号</w:t>
            </w:r>
          </w:p>
        </w:tc>
        <w:tc>
          <w:tcPr>
            <w:tcW w:w="2351" w:type="dxa"/>
            <w:noWrap w:val="0"/>
            <w:vAlign w:val="top"/>
          </w:tcPr>
          <w:p w14:paraId="0B12C9CD">
            <w:pPr>
              <w:pStyle w:val="17"/>
              <w:spacing w:before="175" w:line="220" w:lineRule="auto"/>
              <w:ind w:left="459"/>
              <w:rPr>
                <w:color w:val="auto"/>
                <w:highlight w:val="none"/>
              </w:rPr>
            </w:pPr>
            <w:r>
              <w:rPr>
                <w:b/>
                <w:bCs/>
                <w:color w:val="auto"/>
                <w:spacing w:val="-4"/>
                <w:highlight w:val="none"/>
              </w:rPr>
              <w:t>招标文件要求</w:t>
            </w:r>
          </w:p>
        </w:tc>
        <w:tc>
          <w:tcPr>
            <w:tcW w:w="2378" w:type="dxa"/>
            <w:noWrap w:val="0"/>
            <w:vAlign w:val="top"/>
          </w:tcPr>
          <w:p w14:paraId="724DD2E0">
            <w:pPr>
              <w:pStyle w:val="17"/>
              <w:spacing w:before="175" w:line="220" w:lineRule="auto"/>
              <w:ind w:left="234"/>
              <w:rPr>
                <w:color w:val="auto"/>
                <w:highlight w:val="none"/>
              </w:rPr>
            </w:pPr>
            <w:r>
              <w:rPr>
                <w:b/>
                <w:bCs/>
                <w:color w:val="auto"/>
                <w:spacing w:val="-4"/>
                <w:highlight w:val="none"/>
              </w:rPr>
              <w:t>投标文件响应内容</w:t>
            </w:r>
          </w:p>
        </w:tc>
        <w:tc>
          <w:tcPr>
            <w:tcW w:w="1499" w:type="dxa"/>
            <w:noWrap w:val="0"/>
            <w:vAlign w:val="top"/>
          </w:tcPr>
          <w:p w14:paraId="42DC4966">
            <w:pPr>
              <w:pStyle w:val="17"/>
              <w:spacing w:before="175" w:line="220" w:lineRule="auto"/>
              <w:ind w:left="274"/>
              <w:rPr>
                <w:color w:val="auto"/>
                <w:highlight w:val="none"/>
              </w:rPr>
            </w:pPr>
            <w:r>
              <w:rPr>
                <w:b/>
                <w:bCs/>
                <w:color w:val="auto"/>
                <w:spacing w:val="-5"/>
                <w:highlight w:val="none"/>
              </w:rPr>
              <w:t>偏离情况</w:t>
            </w:r>
          </w:p>
        </w:tc>
        <w:tc>
          <w:tcPr>
            <w:tcW w:w="2059" w:type="dxa"/>
            <w:noWrap w:val="0"/>
            <w:vAlign w:val="top"/>
          </w:tcPr>
          <w:p w14:paraId="2C5FE263">
            <w:pPr>
              <w:pStyle w:val="17"/>
              <w:spacing w:before="175" w:line="220" w:lineRule="auto"/>
              <w:ind w:left="797"/>
              <w:rPr>
                <w:color w:val="auto"/>
                <w:highlight w:val="none"/>
              </w:rPr>
            </w:pPr>
            <w:r>
              <w:rPr>
                <w:b/>
                <w:bCs/>
                <w:color w:val="auto"/>
                <w:spacing w:val="-9"/>
                <w:highlight w:val="none"/>
              </w:rPr>
              <w:t>说明</w:t>
            </w:r>
          </w:p>
        </w:tc>
      </w:tr>
      <w:tr w14:paraId="7C84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24" w:type="dxa"/>
            <w:noWrap w:val="0"/>
            <w:vAlign w:val="top"/>
          </w:tcPr>
          <w:p w14:paraId="464EF579">
            <w:pPr>
              <w:rPr>
                <w:rFonts w:ascii="Arial"/>
                <w:color w:val="auto"/>
                <w:sz w:val="21"/>
                <w:highlight w:val="none"/>
              </w:rPr>
            </w:pPr>
          </w:p>
        </w:tc>
        <w:tc>
          <w:tcPr>
            <w:tcW w:w="2351" w:type="dxa"/>
            <w:noWrap w:val="0"/>
            <w:vAlign w:val="top"/>
          </w:tcPr>
          <w:p w14:paraId="70948B62">
            <w:pPr>
              <w:rPr>
                <w:rFonts w:ascii="Arial"/>
                <w:color w:val="auto"/>
                <w:sz w:val="21"/>
                <w:highlight w:val="none"/>
              </w:rPr>
            </w:pPr>
          </w:p>
        </w:tc>
        <w:tc>
          <w:tcPr>
            <w:tcW w:w="2378" w:type="dxa"/>
            <w:noWrap w:val="0"/>
            <w:vAlign w:val="top"/>
          </w:tcPr>
          <w:p w14:paraId="5AA8347E">
            <w:pPr>
              <w:rPr>
                <w:rFonts w:ascii="Arial"/>
                <w:color w:val="auto"/>
                <w:sz w:val="21"/>
                <w:highlight w:val="none"/>
              </w:rPr>
            </w:pPr>
          </w:p>
        </w:tc>
        <w:tc>
          <w:tcPr>
            <w:tcW w:w="1499" w:type="dxa"/>
            <w:noWrap w:val="0"/>
            <w:vAlign w:val="top"/>
          </w:tcPr>
          <w:p w14:paraId="138CD0BB">
            <w:pPr>
              <w:rPr>
                <w:rFonts w:ascii="Arial"/>
                <w:color w:val="auto"/>
                <w:sz w:val="21"/>
                <w:highlight w:val="none"/>
              </w:rPr>
            </w:pPr>
          </w:p>
        </w:tc>
        <w:tc>
          <w:tcPr>
            <w:tcW w:w="2059" w:type="dxa"/>
            <w:noWrap w:val="0"/>
            <w:vAlign w:val="top"/>
          </w:tcPr>
          <w:p w14:paraId="6CE8202C">
            <w:pPr>
              <w:rPr>
                <w:rFonts w:ascii="Arial"/>
                <w:color w:val="auto"/>
                <w:sz w:val="21"/>
                <w:highlight w:val="none"/>
              </w:rPr>
            </w:pPr>
          </w:p>
        </w:tc>
      </w:tr>
      <w:tr w14:paraId="607C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24" w:type="dxa"/>
            <w:noWrap w:val="0"/>
            <w:vAlign w:val="top"/>
          </w:tcPr>
          <w:p w14:paraId="664EC883">
            <w:pPr>
              <w:rPr>
                <w:rFonts w:ascii="Arial"/>
                <w:color w:val="auto"/>
                <w:sz w:val="21"/>
                <w:highlight w:val="none"/>
              </w:rPr>
            </w:pPr>
          </w:p>
        </w:tc>
        <w:tc>
          <w:tcPr>
            <w:tcW w:w="2351" w:type="dxa"/>
            <w:noWrap w:val="0"/>
            <w:vAlign w:val="top"/>
          </w:tcPr>
          <w:p w14:paraId="392A26BE">
            <w:pPr>
              <w:rPr>
                <w:rFonts w:ascii="Arial"/>
                <w:color w:val="auto"/>
                <w:sz w:val="21"/>
                <w:highlight w:val="none"/>
              </w:rPr>
            </w:pPr>
          </w:p>
        </w:tc>
        <w:tc>
          <w:tcPr>
            <w:tcW w:w="2378" w:type="dxa"/>
            <w:noWrap w:val="0"/>
            <w:vAlign w:val="top"/>
          </w:tcPr>
          <w:p w14:paraId="1F33263C">
            <w:pPr>
              <w:rPr>
                <w:rFonts w:ascii="Arial"/>
                <w:color w:val="auto"/>
                <w:sz w:val="21"/>
                <w:highlight w:val="none"/>
              </w:rPr>
            </w:pPr>
          </w:p>
        </w:tc>
        <w:tc>
          <w:tcPr>
            <w:tcW w:w="1499" w:type="dxa"/>
            <w:noWrap w:val="0"/>
            <w:vAlign w:val="top"/>
          </w:tcPr>
          <w:p w14:paraId="54608AD2">
            <w:pPr>
              <w:rPr>
                <w:rFonts w:ascii="Arial"/>
                <w:color w:val="auto"/>
                <w:sz w:val="21"/>
                <w:highlight w:val="none"/>
              </w:rPr>
            </w:pPr>
          </w:p>
        </w:tc>
        <w:tc>
          <w:tcPr>
            <w:tcW w:w="2059" w:type="dxa"/>
            <w:noWrap w:val="0"/>
            <w:vAlign w:val="top"/>
          </w:tcPr>
          <w:p w14:paraId="529D2347">
            <w:pPr>
              <w:rPr>
                <w:rFonts w:ascii="Arial"/>
                <w:color w:val="auto"/>
                <w:sz w:val="21"/>
                <w:highlight w:val="none"/>
              </w:rPr>
            </w:pPr>
          </w:p>
        </w:tc>
      </w:tr>
      <w:tr w14:paraId="1D4E3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24" w:type="dxa"/>
            <w:noWrap w:val="0"/>
            <w:vAlign w:val="top"/>
          </w:tcPr>
          <w:p w14:paraId="1E333466">
            <w:pPr>
              <w:rPr>
                <w:rFonts w:ascii="Arial"/>
                <w:color w:val="auto"/>
                <w:sz w:val="21"/>
                <w:highlight w:val="none"/>
              </w:rPr>
            </w:pPr>
          </w:p>
        </w:tc>
        <w:tc>
          <w:tcPr>
            <w:tcW w:w="2351" w:type="dxa"/>
            <w:noWrap w:val="0"/>
            <w:vAlign w:val="top"/>
          </w:tcPr>
          <w:p w14:paraId="4D840F52">
            <w:pPr>
              <w:rPr>
                <w:rFonts w:ascii="Arial"/>
                <w:color w:val="auto"/>
                <w:sz w:val="21"/>
                <w:highlight w:val="none"/>
              </w:rPr>
            </w:pPr>
          </w:p>
        </w:tc>
        <w:tc>
          <w:tcPr>
            <w:tcW w:w="2378" w:type="dxa"/>
            <w:noWrap w:val="0"/>
            <w:vAlign w:val="top"/>
          </w:tcPr>
          <w:p w14:paraId="68AB996A">
            <w:pPr>
              <w:rPr>
                <w:rFonts w:ascii="Arial"/>
                <w:color w:val="auto"/>
                <w:sz w:val="21"/>
                <w:highlight w:val="none"/>
              </w:rPr>
            </w:pPr>
          </w:p>
        </w:tc>
        <w:tc>
          <w:tcPr>
            <w:tcW w:w="1499" w:type="dxa"/>
            <w:noWrap w:val="0"/>
            <w:vAlign w:val="top"/>
          </w:tcPr>
          <w:p w14:paraId="34759D3D">
            <w:pPr>
              <w:rPr>
                <w:rFonts w:ascii="Arial"/>
                <w:color w:val="auto"/>
                <w:sz w:val="21"/>
                <w:highlight w:val="none"/>
              </w:rPr>
            </w:pPr>
          </w:p>
        </w:tc>
        <w:tc>
          <w:tcPr>
            <w:tcW w:w="2059" w:type="dxa"/>
            <w:noWrap w:val="0"/>
            <w:vAlign w:val="top"/>
          </w:tcPr>
          <w:p w14:paraId="5D504535">
            <w:pPr>
              <w:rPr>
                <w:rFonts w:ascii="Arial"/>
                <w:color w:val="auto"/>
                <w:sz w:val="21"/>
                <w:highlight w:val="none"/>
              </w:rPr>
            </w:pPr>
          </w:p>
        </w:tc>
      </w:tr>
      <w:tr w14:paraId="3D46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24" w:type="dxa"/>
            <w:noWrap w:val="0"/>
            <w:vAlign w:val="top"/>
          </w:tcPr>
          <w:p w14:paraId="429D327C">
            <w:pPr>
              <w:rPr>
                <w:rFonts w:ascii="Arial"/>
                <w:color w:val="auto"/>
                <w:sz w:val="21"/>
                <w:highlight w:val="none"/>
              </w:rPr>
            </w:pPr>
          </w:p>
        </w:tc>
        <w:tc>
          <w:tcPr>
            <w:tcW w:w="2351" w:type="dxa"/>
            <w:noWrap w:val="0"/>
            <w:vAlign w:val="top"/>
          </w:tcPr>
          <w:p w14:paraId="2D1BB00D">
            <w:pPr>
              <w:rPr>
                <w:rFonts w:ascii="Arial"/>
                <w:color w:val="auto"/>
                <w:sz w:val="21"/>
                <w:highlight w:val="none"/>
              </w:rPr>
            </w:pPr>
          </w:p>
        </w:tc>
        <w:tc>
          <w:tcPr>
            <w:tcW w:w="2378" w:type="dxa"/>
            <w:noWrap w:val="0"/>
            <w:vAlign w:val="top"/>
          </w:tcPr>
          <w:p w14:paraId="6FE7FAAE">
            <w:pPr>
              <w:rPr>
                <w:rFonts w:ascii="Arial"/>
                <w:color w:val="auto"/>
                <w:sz w:val="21"/>
                <w:highlight w:val="none"/>
              </w:rPr>
            </w:pPr>
          </w:p>
        </w:tc>
        <w:tc>
          <w:tcPr>
            <w:tcW w:w="1499" w:type="dxa"/>
            <w:noWrap w:val="0"/>
            <w:vAlign w:val="top"/>
          </w:tcPr>
          <w:p w14:paraId="1EA7005E">
            <w:pPr>
              <w:rPr>
                <w:rFonts w:ascii="Arial"/>
                <w:color w:val="auto"/>
                <w:sz w:val="21"/>
                <w:highlight w:val="none"/>
              </w:rPr>
            </w:pPr>
          </w:p>
        </w:tc>
        <w:tc>
          <w:tcPr>
            <w:tcW w:w="2059" w:type="dxa"/>
            <w:noWrap w:val="0"/>
            <w:vAlign w:val="top"/>
          </w:tcPr>
          <w:p w14:paraId="64040150">
            <w:pPr>
              <w:rPr>
                <w:rFonts w:ascii="Arial"/>
                <w:color w:val="auto"/>
                <w:sz w:val="21"/>
                <w:highlight w:val="none"/>
              </w:rPr>
            </w:pPr>
          </w:p>
        </w:tc>
      </w:tr>
      <w:tr w14:paraId="5399A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24" w:type="dxa"/>
            <w:noWrap w:val="0"/>
            <w:vAlign w:val="top"/>
          </w:tcPr>
          <w:p w14:paraId="2394924F">
            <w:pPr>
              <w:rPr>
                <w:rFonts w:ascii="Arial"/>
                <w:color w:val="auto"/>
                <w:sz w:val="21"/>
                <w:highlight w:val="none"/>
              </w:rPr>
            </w:pPr>
          </w:p>
        </w:tc>
        <w:tc>
          <w:tcPr>
            <w:tcW w:w="2351" w:type="dxa"/>
            <w:noWrap w:val="0"/>
            <w:vAlign w:val="top"/>
          </w:tcPr>
          <w:p w14:paraId="2A02A14B">
            <w:pPr>
              <w:rPr>
                <w:rFonts w:ascii="Arial"/>
                <w:color w:val="auto"/>
                <w:sz w:val="21"/>
                <w:highlight w:val="none"/>
              </w:rPr>
            </w:pPr>
          </w:p>
        </w:tc>
        <w:tc>
          <w:tcPr>
            <w:tcW w:w="2378" w:type="dxa"/>
            <w:noWrap w:val="0"/>
            <w:vAlign w:val="top"/>
          </w:tcPr>
          <w:p w14:paraId="45BAA358">
            <w:pPr>
              <w:rPr>
                <w:rFonts w:ascii="Arial"/>
                <w:color w:val="auto"/>
                <w:sz w:val="21"/>
                <w:highlight w:val="none"/>
              </w:rPr>
            </w:pPr>
          </w:p>
        </w:tc>
        <w:tc>
          <w:tcPr>
            <w:tcW w:w="1499" w:type="dxa"/>
            <w:noWrap w:val="0"/>
            <w:vAlign w:val="top"/>
          </w:tcPr>
          <w:p w14:paraId="0C27E1D5">
            <w:pPr>
              <w:rPr>
                <w:rFonts w:ascii="Arial"/>
                <w:color w:val="auto"/>
                <w:sz w:val="21"/>
                <w:highlight w:val="none"/>
              </w:rPr>
            </w:pPr>
          </w:p>
        </w:tc>
        <w:tc>
          <w:tcPr>
            <w:tcW w:w="2059" w:type="dxa"/>
            <w:noWrap w:val="0"/>
            <w:vAlign w:val="top"/>
          </w:tcPr>
          <w:p w14:paraId="58BD075C">
            <w:pPr>
              <w:rPr>
                <w:rFonts w:ascii="Arial"/>
                <w:color w:val="auto"/>
                <w:sz w:val="21"/>
                <w:highlight w:val="none"/>
              </w:rPr>
            </w:pPr>
          </w:p>
        </w:tc>
      </w:tr>
    </w:tbl>
    <w:p w14:paraId="77F98525">
      <w:pPr>
        <w:spacing w:before="155" w:line="220" w:lineRule="auto"/>
        <w:ind w:left="12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注明：</w:t>
      </w:r>
    </w:p>
    <w:p w14:paraId="587F14AA">
      <w:pPr>
        <w:spacing w:before="88" w:line="220" w:lineRule="auto"/>
        <w:ind w:left="140" w:leftChars="0"/>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1)偏离情况项填写“正”、“负”或“无”，说明项中填写原因。</w:t>
      </w:r>
    </w:p>
    <w:p w14:paraId="0AAE3EC8">
      <w:pPr>
        <w:spacing w:before="85" w:line="254" w:lineRule="auto"/>
        <w:ind w:left="542" w:hanging="41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2)供应商应按照招标文件要求作出全面响应。供应商应按照招标文件要求如</w:t>
      </w:r>
      <w:r>
        <w:rPr>
          <w:rFonts w:ascii="宋体" w:hAnsi="宋体" w:eastAsia="宋体" w:cs="宋体"/>
          <w:color w:val="auto"/>
          <w:spacing w:val="-3"/>
          <w:sz w:val="24"/>
          <w:szCs w:val="24"/>
          <w:highlight w:val="none"/>
        </w:rPr>
        <w:t>需提供相关</w:t>
      </w:r>
      <w:r>
        <w:rPr>
          <w:rFonts w:ascii="宋体" w:hAnsi="宋体" w:eastAsia="宋体" w:cs="宋体"/>
          <w:color w:val="auto"/>
          <w:spacing w:val="-1"/>
          <w:sz w:val="24"/>
          <w:szCs w:val="24"/>
          <w:highlight w:val="none"/>
        </w:rPr>
        <w:t>证明资料的，须按要求提供，否则视为负偏离。</w:t>
      </w:r>
    </w:p>
    <w:p w14:paraId="04D3B39E">
      <w:pPr>
        <w:spacing w:before="78" w:line="219" w:lineRule="auto"/>
        <w:ind w:left="12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7C4F427A">
      <w:pPr>
        <w:spacing w:before="79" w:line="220" w:lineRule="auto"/>
        <w:ind w:left="16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日期：年月日</w:t>
      </w:r>
    </w:p>
    <w:p w14:paraId="0F7CDFFB">
      <w:pPr>
        <w:spacing w:line="220" w:lineRule="auto"/>
        <w:rPr>
          <w:rFonts w:ascii="宋体" w:hAnsi="宋体" w:eastAsia="宋体" w:cs="宋体"/>
          <w:color w:val="auto"/>
          <w:sz w:val="24"/>
          <w:szCs w:val="24"/>
          <w:highlight w:val="none"/>
        </w:rPr>
        <w:sectPr>
          <w:footerReference r:id="rId46" w:type="default"/>
          <w:pgSz w:w="11906" w:h="16839"/>
          <w:pgMar w:top="1431" w:right="1247" w:bottom="1209" w:left="1305" w:header="0" w:footer="973" w:gutter="0"/>
          <w:pgNumType w:fmt="decimal"/>
          <w:cols w:space="720" w:num="1"/>
        </w:sectPr>
      </w:pPr>
    </w:p>
    <w:p w14:paraId="15BE0251">
      <w:pPr>
        <w:spacing w:before="114" w:line="225" w:lineRule="auto"/>
        <w:ind w:left="2820" w:leftChars="0"/>
        <w:outlineLvl w:val="1"/>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十二、技术参数承诺书</w:t>
      </w:r>
    </w:p>
    <w:p w14:paraId="6909F1D1">
      <w:pPr>
        <w:spacing w:before="78" w:line="219" w:lineRule="auto"/>
        <w:ind w:left="1"/>
        <w:rPr>
          <w:rFonts w:ascii="宋体" w:hAnsi="宋体" w:eastAsia="宋体" w:cs="宋体"/>
          <w:color w:val="auto"/>
          <w:sz w:val="24"/>
          <w:szCs w:val="24"/>
          <w:highlight w:val="none"/>
        </w:rPr>
      </w:pPr>
      <w:r>
        <w:rPr>
          <w:rFonts w:ascii="宋体" w:hAnsi="宋体" w:eastAsia="宋体" w:cs="宋体"/>
          <w:b/>
          <w:bCs/>
          <w:color w:val="auto"/>
          <w:spacing w:val="19"/>
          <w:sz w:val="24"/>
          <w:szCs w:val="24"/>
          <w:highlight w:val="none"/>
        </w:rPr>
        <w:t>致</w:t>
      </w:r>
      <w:r>
        <w:rPr>
          <w:rFonts w:ascii="宋体" w:hAnsi="宋体" w:eastAsia="宋体" w:cs="宋体"/>
          <w:b/>
          <w:bCs/>
          <w:color w:val="auto"/>
          <w:spacing w:val="-34"/>
          <w:sz w:val="24"/>
          <w:szCs w:val="24"/>
          <w:highlight w:val="none"/>
        </w:rPr>
        <w:t>：（</w:t>
      </w:r>
      <w:r>
        <w:rPr>
          <w:rFonts w:ascii="宋体" w:hAnsi="宋体" w:eastAsia="宋体" w:cs="宋体"/>
          <w:b/>
          <w:bCs/>
          <w:color w:val="auto"/>
          <w:spacing w:val="19"/>
          <w:sz w:val="24"/>
          <w:szCs w:val="24"/>
          <w:highlight w:val="none"/>
        </w:rPr>
        <w:t>采购人名称）</w:t>
      </w:r>
    </w:p>
    <w:p w14:paraId="6B676EC9">
      <w:pPr>
        <w:spacing w:before="78" w:line="219" w:lineRule="auto"/>
        <w:ind w:right="2" w:rightChars="0"/>
        <w:jc w:val="right"/>
        <w:outlineLvl w:val="2"/>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我公司承诺：如我公司在参与</w:t>
      </w:r>
      <w:r>
        <w:rPr>
          <w:rFonts w:ascii="宋体" w:hAnsi="宋体" w:eastAsia="宋体" w:cs="宋体"/>
          <w:color w:val="auto"/>
          <w:spacing w:val="12"/>
          <w:sz w:val="24"/>
          <w:szCs w:val="24"/>
          <w:highlight w:val="none"/>
          <w:u w:val="single" w:color="auto"/>
        </w:rPr>
        <w:t>（项目名称）</w:t>
      </w:r>
      <w:r>
        <w:rPr>
          <w:rFonts w:ascii="宋体" w:hAnsi="宋体" w:eastAsia="宋体" w:cs="宋体"/>
          <w:color w:val="auto"/>
          <w:spacing w:val="12"/>
          <w:sz w:val="24"/>
          <w:szCs w:val="24"/>
          <w:highlight w:val="none"/>
        </w:rPr>
        <w:t>中标后，所投货物经采</w:t>
      </w:r>
    </w:p>
    <w:p w14:paraId="6D516566">
      <w:pPr>
        <w:spacing w:before="86" w:line="290" w:lineRule="auto"/>
        <w:ind w:left="5" w:right="2" w:hanging="5"/>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购人验收后若与技术参数偏离表上偏离情况不符合，出现的所有后果由我公司自</w:t>
      </w:r>
      <w:r>
        <w:rPr>
          <w:rFonts w:ascii="宋体" w:hAnsi="宋体" w:eastAsia="宋体" w:cs="宋体"/>
          <w:color w:val="auto"/>
          <w:spacing w:val="14"/>
          <w:sz w:val="24"/>
          <w:szCs w:val="24"/>
          <w:highlight w:val="none"/>
        </w:rPr>
        <w:t>行承担。</w:t>
      </w:r>
    </w:p>
    <w:p w14:paraId="66FFA189">
      <w:pPr>
        <w:spacing w:before="79" w:line="219" w:lineRule="auto"/>
        <w:ind w:right="23"/>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供应商名称</w:t>
      </w:r>
      <w:r>
        <w:rPr>
          <w:rFonts w:ascii="宋体" w:hAnsi="宋体" w:eastAsia="宋体" w:cs="宋体"/>
          <w:color w:val="auto"/>
          <w:spacing w:val="-18"/>
          <w:sz w:val="24"/>
          <w:szCs w:val="24"/>
          <w:highlight w:val="none"/>
        </w:rPr>
        <w:t>：（</w:t>
      </w:r>
      <w:r>
        <w:rPr>
          <w:rFonts w:ascii="宋体" w:hAnsi="宋体" w:eastAsia="宋体" w:cs="宋体"/>
          <w:color w:val="auto"/>
          <w:spacing w:val="22"/>
          <w:sz w:val="24"/>
          <w:szCs w:val="24"/>
          <w:highlight w:val="none"/>
        </w:rPr>
        <w:t>盖单位章）</w:t>
      </w:r>
    </w:p>
    <w:p w14:paraId="61D86886">
      <w:pPr>
        <w:spacing w:before="78" w:line="220" w:lineRule="auto"/>
        <w:jc w:val="right"/>
        <w:outlineLvl w:val="9"/>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日期：年月日</w:t>
      </w:r>
    </w:p>
    <w:p w14:paraId="69B91104">
      <w:pPr>
        <w:spacing w:line="220" w:lineRule="auto"/>
        <w:rPr>
          <w:rFonts w:ascii="宋体" w:hAnsi="宋体" w:eastAsia="宋体" w:cs="宋体"/>
          <w:color w:val="auto"/>
          <w:sz w:val="24"/>
          <w:szCs w:val="24"/>
          <w:highlight w:val="none"/>
        </w:rPr>
        <w:sectPr>
          <w:footerReference r:id="rId47" w:type="default"/>
          <w:pgSz w:w="11906" w:h="16839"/>
          <w:pgMar w:top="1431" w:right="1269" w:bottom="1149" w:left="1425" w:header="0" w:footer="989" w:gutter="0"/>
          <w:pgNumType w:fmt="decimal"/>
          <w:cols w:space="720" w:num="1"/>
        </w:sectPr>
      </w:pPr>
    </w:p>
    <w:p w14:paraId="0E6CBC4C">
      <w:pPr>
        <w:spacing w:before="114" w:line="225" w:lineRule="auto"/>
        <w:ind w:left="2667" w:leftChars="0"/>
        <w:outlineLvl w:val="1"/>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十三、投标货物详细说明</w:t>
      </w:r>
    </w:p>
    <w:tbl>
      <w:tblPr>
        <w:tblStyle w:val="18"/>
        <w:tblW w:w="91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1700"/>
        <w:gridCol w:w="992"/>
        <w:gridCol w:w="1416"/>
        <w:gridCol w:w="2407"/>
        <w:gridCol w:w="1875"/>
      </w:tblGrid>
      <w:tr w14:paraId="4E68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117" w:type="dxa"/>
            <w:gridSpan w:val="6"/>
            <w:noWrap w:val="0"/>
            <w:vAlign w:val="top"/>
          </w:tcPr>
          <w:p w14:paraId="7DD34782">
            <w:pPr>
              <w:pStyle w:val="17"/>
              <w:spacing w:before="203" w:line="220" w:lineRule="auto"/>
              <w:ind w:left="121"/>
              <w:rPr>
                <w:color w:val="auto"/>
                <w:highlight w:val="none"/>
              </w:rPr>
            </w:pPr>
            <w:r>
              <w:rPr>
                <w:b/>
                <w:bCs/>
                <w:color w:val="auto"/>
                <w:spacing w:val="-5"/>
                <w:highlight w:val="none"/>
              </w:rPr>
              <w:t>项目名称：项目编号：</w:t>
            </w:r>
          </w:p>
        </w:tc>
      </w:tr>
      <w:tr w14:paraId="4C2C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27" w:type="dxa"/>
            <w:noWrap w:val="0"/>
            <w:vAlign w:val="top"/>
          </w:tcPr>
          <w:p w14:paraId="770EAA7C">
            <w:pPr>
              <w:pStyle w:val="17"/>
              <w:spacing w:before="197" w:line="222" w:lineRule="auto"/>
              <w:ind w:left="128"/>
              <w:rPr>
                <w:color w:val="auto"/>
                <w:highlight w:val="none"/>
              </w:rPr>
            </w:pPr>
            <w:r>
              <w:rPr>
                <w:color w:val="auto"/>
                <w:spacing w:val="-5"/>
                <w:highlight w:val="none"/>
              </w:rPr>
              <w:t>序号</w:t>
            </w:r>
          </w:p>
        </w:tc>
        <w:tc>
          <w:tcPr>
            <w:tcW w:w="1700" w:type="dxa"/>
            <w:noWrap w:val="0"/>
            <w:vAlign w:val="top"/>
          </w:tcPr>
          <w:p w14:paraId="446BA699">
            <w:pPr>
              <w:pStyle w:val="17"/>
              <w:spacing w:before="198" w:line="219" w:lineRule="auto"/>
              <w:ind w:left="379"/>
              <w:rPr>
                <w:color w:val="auto"/>
                <w:highlight w:val="none"/>
              </w:rPr>
            </w:pPr>
            <w:r>
              <w:rPr>
                <w:color w:val="auto"/>
                <w:spacing w:val="-4"/>
                <w:highlight w:val="none"/>
              </w:rPr>
              <w:t>货物名称</w:t>
            </w:r>
          </w:p>
        </w:tc>
        <w:tc>
          <w:tcPr>
            <w:tcW w:w="992" w:type="dxa"/>
            <w:noWrap w:val="0"/>
            <w:vAlign w:val="top"/>
          </w:tcPr>
          <w:p w14:paraId="384F0867">
            <w:pPr>
              <w:pStyle w:val="17"/>
              <w:spacing w:before="197" w:line="220" w:lineRule="auto"/>
              <w:ind w:left="264"/>
              <w:rPr>
                <w:color w:val="auto"/>
                <w:highlight w:val="none"/>
              </w:rPr>
            </w:pPr>
            <w:r>
              <w:rPr>
                <w:color w:val="auto"/>
                <w:spacing w:val="-6"/>
                <w:highlight w:val="none"/>
              </w:rPr>
              <w:t>数量</w:t>
            </w:r>
          </w:p>
        </w:tc>
        <w:tc>
          <w:tcPr>
            <w:tcW w:w="1416" w:type="dxa"/>
            <w:noWrap w:val="0"/>
            <w:vAlign w:val="top"/>
          </w:tcPr>
          <w:p w14:paraId="55C8D947">
            <w:pPr>
              <w:pStyle w:val="17"/>
              <w:spacing w:before="197" w:line="220" w:lineRule="auto"/>
              <w:ind w:left="255"/>
              <w:rPr>
                <w:color w:val="auto"/>
                <w:highlight w:val="none"/>
              </w:rPr>
            </w:pPr>
            <w:r>
              <w:rPr>
                <w:color w:val="auto"/>
                <w:spacing w:val="-8"/>
                <w:highlight w:val="none"/>
              </w:rPr>
              <w:t>品牌型号</w:t>
            </w:r>
          </w:p>
        </w:tc>
        <w:tc>
          <w:tcPr>
            <w:tcW w:w="2407" w:type="dxa"/>
            <w:noWrap w:val="0"/>
            <w:vAlign w:val="top"/>
          </w:tcPr>
          <w:p w14:paraId="0A1DF043">
            <w:pPr>
              <w:pStyle w:val="17"/>
              <w:spacing w:before="197" w:line="220" w:lineRule="auto"/>
              <w:ind w:left="372"/>
              <w:rPr>
                <w:color w:val="auto"/>
                <w:highlight w:val="none"/>
              </w:rPr>
            </w:pPr>
            <w:r>
              <w:rPr>
                <w:color w:val="auto"/>
                <w:spacing w:val="-2"/>
                <w:highlight w:val="none"/>
              </w:rPr>
              <w:t>性能及技术参数</w:t>
            </w:r>
          </w:p>
        </w:tc>
        <w:tc>
          <w:tcPr>
            <w:tcW w:w="1875" w:type="dxa"/>
            <w:noWrap w:val="0"/>
            <w:vAlign w:val="top"/>
          </w:tcPr>
          <w:p w14:paraId="6A1C9608">
            <w:pPr>
              <w:pStyle w:val="17"/>
              <w:spacing w:before="197" w:line="222" w:lineRule="auto"/>
              <w:ind w:left="706"/>
              <w:rPr>
                <w:color w:val="auto"/>
                <w:highlight w:val="none"/>
              </w:rPr>
            </w:pPr>
            <w:r>
              <w:rPr>
                <w:color w:val="auto"/>
                <w:spacing w:val="-7"/>
                <w:highlight w:val="none"/>
              </w:rPr>
              <w:t>备注</w:t>
            </w:r>
          </w:p>
        </w:tc>
      </w:tr>
      <w:tr w14:paraId="6B698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7" w:type="dxa"/>
            <w:noWrap w:val="0"/>
            <w:vAlign w:val="top"/>
          </w:tcPr>
          <w:p w14:paraId="45E855C9">
            <w:pPr>
              <w:rPr>
                <w:rFonts w:ascii="Arial"/>
                <w:color w:val="auto"/>
                <w:sz w:val="21"/>
                <w:highlight w:val="none"/>
              </w:rPr>
            </w:pPr>
          </w:p>
        </w:tc>
        <w:tc>
          <w:tcPr>
            <w:tcW w:w="1700" w:type="dxa"/>
            <w:noWrap w:val="0"/>
            <w:vAlign w:val="top"/>
          </w:tcPr>
          <w:p w14:paraId="43066237">
            <w:pPr>
              <w:rPr>
                <w:rFonts w:ascii="Arial"/>
                <w:color w:val="auto"/>
                <w:sz w:val="21"/>
                <w:highlight w:val="none"/>
              </w:rPr>
            </w:pPr>
          </w:p>
        </w:tc>
        <w:tc>
          <w:tcPr>
            <w:tcW w:w="992" w:type="dxa"/>
            <w:noWrap w:val="0"/>
            <w:vAlign w:val="top"/>
          </w:tcPr>
          <w:p w14:paraId="0F5242D8">
            <w:pPr>
              <w:rPr>
                <w:rFonts w:ascii="Arial"/>
                <w:color w:val="auto"/>
                <w:sz w:val="21"/>
                <w:highlight w:val="none"/>
              </w:rPr>
            </w:pPr>
          </w:p>
        </w:tc>
        <w:tc>
          <w:tcPr>
            <w:tcW w:w="1416" w:type="dxa"/>
            <w:noWrap w:val="0"/>
            <w:vAlign w:val="top"/>
          </w:tcPr>
          <w:p w14:paraId="7DA4E719">
            <w:pPr>
              <w:rPr>
                <w:rFonts w:ascii="Arial"/>
                <w:color w:val="auto"/>
                <w:sz w:val="21"/>
                <w:highlight w:val="none"/>
              </w:rPr>
            </w:pPr>
          </w:p>
        </w:tc>
        <w:tc>
          <w:tcPr>
            <w:tcW w:w="2407" w:type="dxa"/>
            <w:noWrap w:val="0"/>
            <w:vAlign w:val="top"/>
          </w:tcPr>
          <w:p w14:paraId="7B65EB3C">
            <w:pPr>
              <w:rPr>
                <w:rFonts w:ascii="Arial"/>
                <w:color w:val="auto"/>
                <w:sz w:val="21"/>
                <w:highlight w:val="none"/>
              </w:rPr>
            </w:pPr>
          </w:p>
        </w:tc>
        <w:tc>
          <w:tcPr>
            <w:tcW w:w="1875" w:type="dxa"/>
            <w:noWrap w:val="0"/>
            <w:vAlign w:val="top"/>
          </w:tcPr>
          <w:p w14:paraId="62874B9C">
            <w:pPr>
              <w:rPr>
                <w:rFonts w:ascii="Arial"/>
                <w:color w:val="auto"/>
                <w:sz w:val="21"/>
                <w:highlight w:val="none"/>
              </w:rPr>
            </w:pPr>
          </w:p>
        </w:tc>
      </w:tr>
      <w:tr w14:paraId="52F72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7" w:type="dxa"/>
            <w:noWrap w:val="0"/>
            <w:vAlign w:val="top"/>
          </w:tcPr>
          <w:p w14:paraId="0BC87D46">
            <w:pPr>
              <w:rPr>
                <w:rFonts w:ascii="Arial"/>
                <w:color w:val="auto"/>
                <w:sz w:val="21"/>
                <w:highlight w:val="none"/>
              </w:rPr>
            </w:pPr>
          </w:p>
        </w:tc>
        <w:tc>
          <w:tcPr>
            <w:tcW w:w="1700" w:type="dxa"/>
            <w:noWrap w:val="0"/>
            <w:vAlign w:val="top"/>
          </w:tcPr>
          <w:p w14:paraId="5FF30021">
            <w:pPr>
              <w:rPr>
                <w:rFonts w:ascii="Arial"/>
                <w:color w:val="auto"/>
                <w:sz w:val="21"/>
                <w:highlight w:val="none"/>
              </w:rPr>
            </w:pPr>
          </w:p>
        </w:tc>
        <w:tc>
          <w:tcPr>
            <w:tcW w:w="992" w:type="dxa"/>
            <w:noWrap w:val="0"/>
            <w:vAlign w:val="top"/>
          </w:tcPr>
          <w:p w14:paraId="3ABB23F4">
            <w:pPr>
              <w:rPr>
                <w:rFonts w:ascii="Arial"/>
                <w:color w:val="auto"/>
                <w:sz w:val="21"/>
                <w:highlight w:val="none"/>
              </w:rPr>
            </w:pPr>
          </w:p>
        </w:tc>
        <w:tc>
          <w:tcPr>
            <w:tcW w:w="1416" w:type="dxa"/>
            <w:noWrap w:val="0"/>
            <w:vAlign w:val="top"/>
          </w:tcPr>
          <w:p w14:paraId="731E9248">
            <w:pPr>
              <w:rPr>
                <w:rFonts w:ascii="Arial"/>
                <w:color w:val="auto"/>
                <w:sz w:val="21"/>
                <w:highlight w:val="none"/>
              </w:rPr>
            </w:pPr>
          </w:p>
        </w:tc>
        <w:tc>
          <w:tcPr>
            <w:tcW w:w="2407" w:type="dxa"/>
            <w:noWrap w:val="0"/>
            <w:vAlign w:val="top"/>
          </w:tcPr>
          <w:p w14:paraId="2E5A9A6C">
            <w:pPr>
              <w:rPr>
                <w:rFonts w:ascii="Arial"/>
                <w:color w:val="auto"/>
                <w:sz w:val="21"/>
                <w:highlight w:val="none"/>
              </w:rPr>
            </w:pPr>
          </w:p>
        </w:tc>
        <w:tc>
          <w:tcPr>
            <w:tcW w:w="1875" w:type="dxa"/>
            <w:noWrap w:val="0"/>
            <w:vAlign w:val="top"/>
          </w:tcPr>
          <w:p w14:paraId="0945C0C8">
            <w:pPr>
              <w:rPr>
                <w:rFonts w:ascii="Arial"/>
                <w:color w:val="auto"/>
                <w:sz w:val="21"/>
                <w:highlight w:val="none"/>
              </w:rPr>
            </w:pPr>
          </w:p>
        </w:tc>
      </w:tr>
      <w:tr w14:paraId="6DEF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27" w:type="dxa"/>
            <w:noWrap w:val="0"/>
            <w:vAlign w:val="top"/>
          </w:tcPr>
          <w:p w14:paraId="6167503B">
            <w:pPr>
              <w:rPr>
                <w:rFonts w:ascii="Arial"/>
                <w:color w:val="auto"/>
                <w:sz w:val="21"/>
                <w:highlight w:val="none"/>
              </w:rPr>
            </w:pPr>
          </w:p>
        </w:tc>
        <w:tc>
          <w:tcPr>
            <w:tcW w:w="1700" w:type="dxa"/>
            <w:noWrap w:val="0"/>
            <w:vAlign w:val="top"/>
          </w:tcPr>
          <w:p w14:paraId="5ACADD97">
            <w:pPr>
              <w:rPr>
                <w:rFonts w:ascii="Arial"/>
                <w:color w:val="auto"/>
                <w:sz w:val="21"/>
                <w:highlight w:val="none"/>
              </w:rPr>
            </w:pPr>
          </w:p>
        </w:tc>
        <w:tc>
          <w:tcPr>
            <w:tcW w:w="992" w:type="dxa"/>
            <w:noWrap w:val="0"/>
            <w:vAlign w:val="top"/>
          </w:tcPr>
          <w:p w14:paraId="24157C52">
            <w:pPr>
              <w:rPr>
                <w:rFonts w:ascii="Arial"/>
                <w:color w:val="auto"/>
                <w:sz w:val="21"/>
                <w:highlight w:val="none"/>
              </w:rPr>
            </w:pPr>
          </w:p>
        </w:tc>
        <w:tc>
          <w:tcPr>
            <w:tcW w:w="1416" w:type="dxa"/>
            <w:noWrap w:val="0"/>
            <w:vAlign w:val="top"/>
          </w:tcPr>
          <w:p w14:paraId="0EA8FEE2">
            <w:pPr>
              <w:rPr>
                <w:rFonts w:ascii="Arial"/>
                <w:color w:val="auto"/>
                <w:sz w:val="21"/>
                <w:highlight w:val="none"/>
              </w:rPr>
            </w:pPr>
          </w:p>
        </w:tc>
        <w:tc>
          <w:tcPr>
            <w:tcW w:w="2407" w:type="dxa"/>
            <w:noWrap w:val="0"/>
            <w:vAlign w:val="top"/>
          </w:tcPr>
          <w:p w14:paraId="6C77A598">
            <w:pPr>
              <w:rPr>
                <w:rFonts w:ascii="Arial"/>
                <w:color w:val="auto"/>
                <w:sz w:val="21"/>
                <w:highlight w:val="none"/>
              </w:rPr>
            </w:pPr>
          </w:p>
        </w:tc>
        <w:tc>
          <w:tcPr>
            <w:tcW w:w="1875" w:type="dxa"/>
            <w:noWrap w:val="0"/>
            <w:vAlign w:val="top"/>
          </w:tcPr>
          <w:p w14:paraId="591101C3">
            <w:pPr>
              <w:rPr>
                <w:rFonts w:ascii="Arial"/>
                <w:color w:val="auto"/>
                <w:sz w:val="21"/>
                <w:highlight w:val="none"/>
              </w:rPr>
            </w:pPr>
          </w:p>
        </w:tc>
      </w:tr>
      <w:tr w14:paraId="4F25F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27" w:type="dxa"/>
            <w:noWrap w:val="0"/>
            <w:vAlign w:val="top"/>
          </w:tcPr>
          <w:p w14:paraId="2794FDE2">
            <w:pPr>
              <w:rPr>
                <w:rFonts w:ascii="Arial"/>
                <w:color w:val="auto"/>
                <w:sz w:val="21"/>
                <w:highlight w:val="none"/>
              </w:rPr>
            </w:pPr>
          </w:p>
        </w:tc>
        <w:tc>
          <w:tcPr>
            <w:tcW w:w="1700" w:type="dxa"/>
            <w:noWrap w:val="0"/>
            <w:vAlign w:val="top"/>
          </w:tcPr>
          <w:p w14:paraId="097ED86C">
            <w:pPr>
              <w:rPr>
                <w:rFonts w:ascii="Arial"/>
                <w:color w:val="auto"/>
                <w:sz w:val="21"/>
                <w:highlight w:val="none"/>
              </w:rPr>
            </w:pPr>
          </w:p>
        </w:tc>
        <w:tc>
          <w:tcPr>
            <w:tcW w:w="992" w:type="dxa"/>
            <w:noWrap w:val="0"/>
            <w:vAlign w:val="top"/>
          </w:tcPr>
          <w:p w14:paraId="70BD72B7">
            <w:pPr>
              <w:rPr>
                <w:rFonts w:ascii="Arial"/>
                <w:color w:val="auto"/>
                <w:sz w:val="21"/>
                <w:highlight w:val="none"/>
              </w:rPr>
            </w:pPr>
          </w:p>
        </w:tc>
        <w:tc>
          <w:tcPr>
            <w:tcW w:w="1416" w:type="dxa"/>
            <w:noWrap w:val="0"/>
            <w:vAlign w:val="top"/>
          </w:tcPr>
          <w:p w14:paraId="025C0A0D">
            <w:pPr>
              <w:rPr>
                <w:rFonts w:ascii="Arial"/>
                <w:color w:val="auto"/>
                <w:sz w:val="21"/>
                <w:highlight w:val="none"/>
              </w:rPr>
            </w:pPr>
          </w:p>
        </w:tc>
        <w:tc>
          <w:tcPr>
            <w:tcW w:w="2407" w:type="dxa"/>
            <w:noWrap w:val="0"/>
            <w:vAlign w:val="top"/>
          </w:tcPr>
          <w:p w14:paraId="5C85B0E9">
            <w:pPr>
              <w:rPr>
                <w:rFonts w:ascii="Arial"/>
                <w:color w:val="auto"/>
                <w:sz w:val="21"/>
                <w:highlight w:val="none"/>
              </w:rPr>
            </w:pPr>
          </w:p>
        </w:tc>
        <w:tc>
          <w:tcPr>
            <w:tcW w:w="1875" w:type="dxa"/>
            <w:noWrap w:val="0"/>
            <w:vAlign w:val="top"/>
          </w:tcPr>
          <w:p w14:paraId="5EAEE739">
            <w:pPr>
              <w:rPr>
                <w:rFonts w:ascii="Arial"/>
                <w:color w:val="auto"/>
                <w:sz w:val="21"/>
                <w:highlight w:val="none"/>
              </w:rPr>
            </w:pPr>
          </w:p>
        </w:tc>
      </w:tr>
      <w:tr w14:paraId="608D5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27" w:type="dxa"/>
            <w:noWrap w:val="0"/>
            <w:vAlign w:val="top"/>
          </w:tcPr>
          <w:p w14:paraId="78C8C984">
            <w:pPr>
              <w:rPr>
                <w:rFonts w:ascii="Arial"/>
                <w:color w:val="auto"/>
                <w:sz w:val="21"/>
                <w:highlight w:val="none"/>
              </w:rPr>
            </w:pPr>
          </w:p>
        </w:tc>
        <w:tc>
          <w:tcPr>
            <w:tcW w:w="1700" w:type="dxa"/>
            <w:noWrap w:val="0"/>
            <w:vAlign w:val="top"/>
          </w:tcPr>
          <w:p w14:paraId="75E29A6B">
            <w:pPr>
              <w:rPr>
                <w:rFonts w:ascii="Arial"/>
                <w:color w:val="auto"/>
                <w:sz w:val="21"/>
                <w:highlight w:val="none"/>
              </w:rPr>
            </w:pPr>
          </w:p>
        </w:tc>
        <w:tc>
          <w:tcPr>
            <w:tcW w:w="992" w:type="dxa"/>
            <w:noWrap w:val="0"/>
            <w:vAlign w:val="top"/>
          </w:tcPr>
          <w:p w14:paraId="02E49E61">
            <w:pPr>
              <w:rPr>
                <w:rFonts w:ascii="Arial"/>
                <w:color w:val="auto"/>
                <w:sz w:val="21"/>
                <w:highlight w:val="none"/>
              </w:rPr>
            </w:pPr>
          </w:p>
        </w:tc>
        <w:tc>
          <w:tcPr>
            <w:tcW w:w="1416" w:type="dxa"/>
            <w:noWrap w:val="0"/>
            <w:vAlign w:val="top"/>
          </w:tcPr>
          <w:p w14:paraId="705B809A">
            <w:pPr>
              <w:rPr>
                <w:rFonts w:ascii="Arial"/>
                <w:color w:val="auto"/>
                <w:sz w:val="21"/>
                <w:highlight w:val="none"/>
              </w:rPr>
            </w:pPr>
          </w:p>
        </w:tc>
        <w:tc>
          <w:tcPr>
            <w:tcW w:w="2407" w:type="dxa"/>
            <w:noWrap w:val="0"/>
            <w:vAlign w:val="top"/>
          </w:tcPr>
          <w:p w14:paraId="400B2877">
            <w:pPr>
              <w:rPr>
                <w:rFonts w:ascii="Arial"/>
                <w:color w:val="auto"/>
                <w:sz w:val="21"/>
                <w:highlight w:val="none"/>
              </w:rPr>
            </w:pPr>
          </w:p>
        </w:tc>
        <w:tc>
          <w:tcPr>
            <w:tcW w:w="1875" w:type="dxa"/>
            <w:noWrap w:val="0"/>
            <w:vAlign w:val="top"/>
          </w:tcPr>
          <w:p w14:paraId="5A2A5BF7">
            <w:pPr>
              <w:rPr>
                <w:rFonts w:ascii="Arial"/>
                <w:color w:val="auto"/>
                <w:sz w:val="21"/>
                <w:highlight w:val="none"/>
              </w:rPr>
            </w:pPr>
          </w:p>
        </w:tc>
      </w:tr>
      <w:tr w14:paraId="3A058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27" w:type="dxa"/>
            <w:noWrap w:val="0"/>
            <w:vAlign w:val="top"/>
          </w:tcPr>
          <w:p w14:paraId="5778C1BF">
            <w:pPr>
              <w:rPr>
                <w:rFonts w:ascii="Arial"/>
                <w:color w:val="auto"/>
                <w:sz w:val="21"/>
                <w:highlight w:val="none"/>
              </w:rPr>
            </w:pPr>
          </w:p>
        </w:tc>
        <w:tc>
          <w:tcPr>
            <w:tcW w:w="1700" w:type="dxa"/>
            <w:noWrap w:val="0"/>
            <w:vAlign w:val="top"/>
          </w:tcPr>
          <w:p w14:paraId="0176B518">
            <w:pPr>
              <w:rPr>
                <w:rFonts w:ascii="Arial"/>
                <w:color w:val="auto"/>
                <w:sz w:val="21"/>
                <w:highlight w:val="none"/>
              </w:rPr>
            </w:pPr>
          </w:p>
        </w:tc>
        <w:tc>
          <w:tcPr>
            <w:tcW w:w="992" w:type="dxa"/>
            <w:noWrap w:val="0"/>
            <w:vAlign w:val="top"/>
          </w:tcPr>
          <w:p w14:paraId="777C3494">
            <w:pPr>
              <w:rPr>
                <w:rFonts w:ascii="Arial"/>
                <w:color w:val="auto"/>
                <w:sz w:val="21"/>
                <w:highlight w:val="none"/>
              </w:rPr>
            </w:pPr>
          </w:p>
        </w:tc>
        <w:tc>
          <w:tcPr>
            <w:tcW w:w="1416" w:type="dxa"/>
            <w:noWrap w:val="0"/>
            <w:vAlign w:val="top"/>
          </w:tcPr>
          <w:p w14:paraId="0C5AFD5B">
            <w:pPr>
              <w:rPr>
                <w:rFonts w:ascii="Arial"/>
                <w:color w:val="auto"/>
                <w:sz w:val="21"/>
                <w:highlight w:val="none"/>
              </w:rPr>
            </w:pPr>
          </w:p>
        </w:tc>
        <w:tc>
          <w:tcPr>
            <w:tcW w:w="2407" w:type="dxa"/>
            <w:noWrap w:val="0"/>
            <w:vAlign w:val="top"/>
          </w:tcPr>
          <w:p w14:paraId="2E754CF1">
            <w:pPr>
              <w:rPr>
                <w:rFonts w:ascii="Arial"/>
                <w:color w:val="auto"/>
                <w:sz w:val="21"/>
                <w:highlight w:val="none"/>
              </w:rPr>
            </w:pPr>
          </w:p>
        </w:tc>
        <w:tc>
          <w:tcPr>
            <w:tcW w:w="1875" w:type="dxa"/>
            <w:noWrap w:val="0"/>
            <w:vAlign w:val="top"/>
          </w:tcPr>
          <w:p w14:paraId="0A3B3565">
            <w:pPr>
              <w:rPr>
                <w:rFonts w:ascii="Arial"/>
                <w:color w:val="auto"/>
                <w:sz w:val="21"/>
                <w:highlight w:val="none"/>
              </w:rPr>
            </w:pPr>
          </w:p>
        </w:tc>
      </w:tr>
      <w:tr w14:paraId="2DC93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27" w:type="dxa"/>
            <w:noWrap w:val="0"/>
            <w:vAlign w:val="top"/>
          </w:tcPr>
          <w:p w14:paraId="0B205F99">
            <w:pPr>
              <w:rPr>
                <w:rFonts w:ascii="Arial"/>
                <w:color w:val="auto"/>
                <w:sz w:val="21"/>
                <w:highlight w:val="none"/>
              </w:rPr>
            </w:pPr>
          </w:p>
        </w:tc>
        <w:tc>
          <w:tcPr>
            <w:tcW w:w="1700" w:type="dxa"/>
            <w:noWrap w:val="0"/>
            <w:vAlign w:val="top"/>
          </w:tcPr>
          <w:p w14:paraId="6259EB7A">
            <w:pPr>
              <w:rPr>
                <w:rFonts w:ascii="Arial"/>
                <w:color w:val="auto"/>
                <w:sz w:val="21"/>
                <w:highlight w:val="none"/>
              </w:rPr>
            </w:pPr>
          </w:p>
        </w:tc>
        <w:tc>
          <w:tcPr>
            <w:tcW w:w="992" w:type="dxa"/>
            <w:noWrap w:val="0"/>
            <w:vAlign w:val="top"/>
          </w:tcPr>
          <w:p w14:paraId="69E48867">
            <w:pPr>
              <w:rPr>
                <w:rFonts w:ascii="Arial"/>
                <w:color w:val="auto"/>
                <w:sz w:val="21"/>
                <w:highlight w:val="none"/>
              </w:rPr>
            </w:pPr>
          </w:p>
        </w:tc>
        <w:tc>
          <w:tcPr>
            <w:tcW w:w="1416" w:type="dxa"/>
            <w:noWrap w:val="0"/>
            <w:vAlign w:val="top"/>
          </w:tcPr>
          <w:p w14:paraId="7722DE9F">
            <w:pPr>
              <w:rPr>
                <w:rFonts w:ascii="Arial"/>
                <w:color w:val="auto"/>
                <w:sz w:val="21"/>
                <w:highlight w:val="none"/>
              </w:rPr>
            </w:pPr>
          </w:p>
        </w:tc>
        <w:tc>
          <w:tcPr>
            <w:tcW w:w="2407" w:type="dxa"/>
            <w:noWrap w:val="0"/>
            <w:vAlign w:val="top"/>
          </w:tcPr>
          <w:p w14:paraId="41E88DFF">
            <w:pPr>
              <w:rPr>
                <w:rFonts w:ascii="Arial"/>
                <w:color w:val="auto"/>
                <w:sz w:val="21"/>
                <w:highlight w:val="none"/>
              </w:rPr>
            </w:pPr>
          </w:p>
        </w:tc>
        <w:tc>
          <w:tcPr>
            <w:tcW w:w="1875" w:type="dxa"/>
            <w:noWrap w:val="0"/>
            <w:vAlign w:val="top"/>
          </w:tcPr>
          <w:p w14:paraId="52C08F77">
            <w:pPr>
              <w:rPr>
                <w:rFonts w:ascii="Arial"/>
                <w:color w:val="auto"/>
                <w:sz w:val="21"/>
                <w:highlight w:val="none"/>
              </w:rPr>
            </w:pPr>
          </w:p>
        </w:tc>
      </w:tr>
      <w:tr w14:paraId="423D6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27" w:type="dxa"/>
            <w:noWrap w:val="0"/>
            <w:vAlign w:val="top"/>
          </w:tcPr>
          <w:p w14:paraId="57360432">
            <w:pPr>
              <w:rPr>
                <w:rFonts w:ascii="Arial"/>
                <w:color w:val="auto"/>
                <w:sz w:val="21"/>
                <w:highlight w:val="none"/>
              </w:rPr>
            </w:pPr>
          </w:p>
        </w:tc>
        <w:tc>
          <w:tcPr>
            <w:tcW w:w="1700" w:type="dxa"/>
            <w:noWrap w:val="0"/>
            <w:vAlign w:val="top"/>
          </w:tcPr>
          <w:p w14:paraId="6B89A779">
            <w:pPr>
              <w:rPr>
                <w:rFonts w:ascii="Arial"/>
                <w:color w:val="auto"/>
                <w:sz w:val="21"/>
                <w:highlight w:val="none"/>
              </w:rPr>
            </w:pPr>
          </w:p>
        </w:tc>
        <w:tc>
          <w:tcPr>
            <w:tcW w:w="992" w:type="dxa"/>
            <w:noWrap w:val="0"/>
            <w:vAlign w:val="top"/>
          </w:tcPr>
          <w:p w14:paraId="30892E98">
            <w:pPr>
              <w:rPr>
                <w:rFonts w:ascii="Arial"/>
                <w:color w:val="auto"/>
                <w:sz w:val="21"/>
                <w:highlight w:val="none"/>
              </w:rPr>
            </w:pPr>
          </w:p>
        </w:tc>
        <w:tc>
          <w:tcPr>
            <w:tcW w:w="1416" w:type="dxa"/>
            <w:noWrap w:val="0"/>
            <w:vAlign w:val="top"/>
          </w:tcPr>
          <w:p w14:paraId="0D461EDF">
            <w:pPr>
              <w:rPr>
                <w:rFonts w:ascii="Arial"/>
                <w:color w:val="auto"/>
                <w:sz w:val="21"/>
                <w:highlight w:val="none"/>
              </w:rPr>
            </w:pPr>
          </w:p>
        </w:tc>
        <w:tc>
          <w:tcPr>
            <w:tcW w:w="2407" w:type="dxa"/>
            <w:noWrap w:val="0"/>
            <w:vAlign w:val="top"/>
          </w:tcPr>
          <w:p w14:paraId="0349BDC0">
            <w:pPr>
              <w:rPr>
                <w:rFonts w:ascii="Arial"/>
                <w:color w:val="auto"/>
                <w:sz w:val="21"/>
                <w:highlight w:val="none"/>
              </w:rPr>
            </w:pPr>
          </w:p>
        </w:tc>
        <w:tc>
          <w:tcPr>
            <w:tcW w:w="1875" w:type="dxa"/>
            <w:noWrap w:val="0"/>
            <w:vAlign w:val="top"/>
          </w:tcPr>
          <w:p w14:paraId="13BA9B8F">
            <w:pPr>
              <w:rPr>
                <w:rFonts w:ascii="Arial"/>
                <w:color w:val="auto"/>
                <w:sz w:val="21"/>
                <w:highlight w:val="none"/>
              </w:rPr>
            </w:pPr>
          </w:p>
        </w:tc>
      </w:tr>
    </w:tbl>
    <w:p w14:paraId="666EFE6B">
      <w:pPr>
        <w:spacing w:before="154" w:line="290" w:lineRule="auto"/>
        <w:ind w:left="2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注明：供应商应按招标文件要求，根据“采购需求”详细列出产品的各项</w:t>
      </w:r>
      <w:r>
        <w:rPr>
          <w:rFonts w:ascii="宋体" w:hAnsi="宋体" w:eastAsia="宋体" w:cs="宋体"/>
          <w:color w:val="auto"/>
          <w:spacing w:val="-5"/>
          <w:sz w:val="24"/>
          <w:szCs w:val="24"/>
          <w:highlight w:val="none"/>
        </w:rPr>
        <w:t>技术要求、技术</w:t>
      </w:r>
      <w:r>
        <w:rPr>
          <w:rFonts w:ascii="宋体" w:hAnsi="宋体" w:eastAsia="宋体" w:cs="宋体"/>
          <w:color w:val="auto"/>
          <w:spacing w:val="-2"/>
          <w:sz w:val="24"/>
          <w:szCs w:val="24"/>
          <w:highlight w:val="none"/>
        </w:rPr>
        <w:t>措施或处理（须提供“采购需求”中要求提交的证明资料）</w:t>
      </w:r>
    </w:p>
    <w:p w14:paraId="34C984AD">
      <w:pPr>
        <w:spacing w:before="78" w:line="219" w:lineRule="auto"/>
        <w:ind w:left="2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供应商名称（加盖公章</w:t>
      </w:r>
      <w:r>
        <w:rPr>
          <w:rFonts w:ascii="宋体" w:hAnsi="宋体" w:eastAsia="宋体" w:cs="宋体"/>
          <w:color w:val="auto"/>
          <w:sz w:val="24"/>
          <w:szCs w:val="24"/>
          <w:highlight w:val="none"/>
        </w:rPr>
        <w:t>）：</w:t>
      </w:r>
    </w:p>
    <w:p w14:paraId="5724B88F">
      <w:pPr>
        <w:spacing w:before="78" w:line="220" w:lineRule="auto"/>
        <w:ind w:left="69"/>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日期：年月日</w:t>
      </w:r>
    </w:p>
    <w:p w14:paraId="44808B23">
      <w:pPr>
        <w:spacing w:line="220" w:lineRule="auto"/>
        <w:rPr>
          <w:rFonts w:ascii="宋体" w:hAnsi="宋体" w:eastAsia="宋体" w:cs="宋体"/>
          <w:color w:val="auto"/>
          <w:sz w:val="24"/>
          <w:szCs w:val="24"/>
          <w:highlight w:val="none"/>
        </w:rPr>
        <w:sectPr>
          <w:footerReference r:id="rId48" w:type="default"/>
          <w:pgSz w:w="11906" w:h="16839"/>
          <w:pgMar w:top="1431" w:right="1247" w:bottom="1209" w:left="1399" w:header="0" w:footer="973" w:gutter="0"/>
          <w:pgNumType w:fmt="decimal"/>
          <w:cols w:space="720" w:num="1"/>
        </w:sectPr>
      </w:pPr>
    </w:p>
    <w:p w14:paraId="3833996A">
      <w:pPr>
        <w:spacing w:before="114" w:line="226" w:lineRule="auto"/>
        <w:ind w:left="2998" w:leftChars="0"/>
        <w:outlineLvl w:val="1"/>
        <w:rPr>
          <w:rFonts w:ascii="宋体" w:hAnsi="宋体" w:eastAsia="宋体" w:cs="宋体"/>
          <w:color w:val="auto"/>
          <w:sz w:val="35"/>
          <w:szCs w:val="35"/>
          <w:highlight w:val="none"/>
        </w:rPr>
      </w:pPr>
      <w:r>
        <w:rPr>
          <w:rFonts w:ascii="宋体" w:hAnsi="宋体" w:eastAsia="宋体" w:cs="宋体"/>
          <w:b/>
          <w:bCs/>
          <w:color w:val="auto"/>
          <w:spacing w:val="5"/>
          <w:sz w:val="35"/>
          <w:szCs w:val="35"/>
          <w:highlight w:val="none"/>
        </w:rPr>
        <w:t>十四、项目实施方案</w:t>
      </w:r>
    </w:p>
    <w:p w14:paraId="20EC1876">
      <w:pPr>
        <w:spacing w:before="78" w:line="219" w:lineRule="auto"/>
        <w:outlineLvl w:val="2"/>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供应商根据“评标办法”自行编写</w:t>
      </w:r>
    </w:p>
    <w:p w14:paraId="5844680B">
      <w:pPr>
        <w:spacing w:line="219" w:lineRule="auto"/>
        <w:rPr>
          <w:rFonts w:ascii="宋体" w:hAnsi="宋体" w:eastAsia="宋体" w:cs="宋体"/>
          <w:color w:val="auto"/>
          <w:sz w:val="24"/>
          <w:szCs w:val="24"/>
          <w:highlight w:val="none"/>
        </w:rPr>
        <w:sectPr>
          <w:footerReference r:id="rId49" w:type="default"/>
          <w:pgSz w:w="11906" w:h="16839"/>
          <w:pgMar w:top="1431" w:right="1785" w:bottom="1149" w:left="1427" w:header="0" w:footer="989" w:gutter="0"/>
          <w:pgNumType w:fmt="decimal"/>
          <w:cols w:space="720" w:num="1"/>
        </w:sectPr>
      </w:pPr>
    </w:p>
    <w:p w14:paraId="4A612D6F">
      <w:pPr>
        <w:spacing w:before="114" w:line="225" w:lineRule="auto"/>
        <w:ind w:left="2096" w:leftChars="0"/>
        <w:outlineLvl w:val="1"/>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十五、投标保证金汇入情况说明</w:t>
      </w:r>
    </w:p>
    <w:p w14:paraId="1A032E20">
      <w:pPr>
        <w:spacing w:before="78" w:line="219" w:lineRule="auto"/>
        <w:outlineLvl w:val="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致：采购代理机构名称</w:t>
      </w:r>
    </w:p>
    <w:p w14:paraId="49E181A1">
      <w:pPr>
        <w:spacing w:before="78" w:line="219" w:lineRule="auto"/>
        <w:ind w:left="48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本单位已按</w:t>
      </w:r>
      <w:r>
        <w:rPr>
          <w:rFonts w:ascii="宋体" w:hAnsi="宋体" w:eastAsia="宋体" w:cs="宋体"/>
          <w:b/>
          <w:bCs/>
          <w:color w:val="auto"/>
          <w:spacing w:val="-3"/>
          <w:sz w:val="24"/>
          <w:szCs w:val="24"/>
          <w:highlight w:val="none"/>
          <w:u w:val="single" w:color="auto"/>
        </w:rPr>
        <w:t>（项目名称</w:t>
      </w:r>
      <w:r>
        <w:rPr>
          <w:rFonts w:ascii="宋体" w:hAnsi="宋体" w:eastAsia="宋体" w:cs="宋体"/>
          <w:b/>
          <w:bCs/>
          <w:color w:val="auto"/>
          <w:spacing w:val="-9"/>
          <w:sz w:val="24"/>
          <w:szCs w:val="24"/>
          <w:highlight w:val="none"/>
          <w:u w:val="single" w:color="auto"/>
        </w:rPr>
        <w:t>）</w:t>
      </w:r>
      <w:r>
        <w:rPr>
          <w:rFonts w:ascii="宋体" w:hAnsi="宋体" w:eastAsia="宋体" w:cs="宋体"/>
          <w:b/>
          <w:bCs/>
          <w:color w:val="auto"/>
          <w:spacing w:val="-9"/>
          <w:sz w:val="24"/>
          <w:szCs w:val="24"/>
          <w:highlight w:val="none"/>
        </w:rPr>
        <w:t>（</w:t>
      </w:r>
      <w:r>
        <w:rPr>
          <w:rFonts w:ascii="宋体" w:hAnsi="宋体" w:eastAsia="宋体" w:cs="宋体"/>
          <w:b/>
          <w:bCs/>
          <w:color w:val="auto"/>
          <w:spacing w:val="-3"/>
          <w:sz w:val="24"/>
          <w:szCs w:val="24"/>
          <w:highlight w:val="none"/>
        </w:rPr>
        <w:t>项目编号</w:t>
      </w:r>
      <w:r>
        <w:rPr>
          <w:rFonts w:ascii="宋体" w:hAnsi="宋体" w:eastAsia="宋体" w:cs="宋体"/>
          <w:b/>
          <w:bCs/>
          <w:color w:val="auto"/>
          <w:spacing w:val="-9"/>
          <w:sz w:val="24"/>
          <w:szCs w:val="24"/>
          <w:highlight w:val="none"/>
        </w:rPr>
        <w:t>：）</w:t>
      </w:r>
      <w:r>
        <w:rPr>
          <w:rFonts w:ascii="宋体" w:hAnsi="宋体" w:eastAsia="宋体" w:cs="宋体"/>
          <w:b/>
          <w:bCs/>
          <w:color w:val="auto"/>
          <w:spacing w:val="-3"/>
          <w:sz w:val="24"/>
          <w:szCs w:val="24"/>
          <w:highlight w:val="none"/>
        </w:rPr>
        <w:t>的招标文件要求，于年月</w:t>
      </w:r>
      <w:r>
        <w:rPr>
          <w:rFonts w:ascii="宋体" w:hAnsi="宋体" w:eastAsia="宋体" w:cs="宋体"/>
          <w:b/>
          <w:bCs/>
          <w:color w:val="auto"/>
          <w:spacing w:val="-4"/>
          <w:sz w:val="24"/>
          <w:szCs w:val="24"/>
          <w:highlight w:val="none"/>
        </w:rPr>
        <w:t>日前</w:t>
      </w:r>
    </w:p>
    <w:p w14:paraId="29EF413E">
      <w:pPr>
        <w:spacing w:before="89" w:line="220" w:lineRule="auto"/>
        <w:ind w:left="2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以（付款形式）方式汇入指定帐户（帐户名</w:t>
      </w:r>
      <w:r>
        <w:rPr>
          <w:rFonts w:ascii="宋体" w:hAnsi="宋体" w:eastAsia="宋体" w:cs="宋体"/>
          <w:b/>
          <w:bCs/>
          <w:color w:val="auto"/>
          <w:spacing w:val="-5"/>
          <w:sz w:val="24"/>
          <w:szCs w:val="24"/>
          <w:highlight w:val="none"/>
        </w:rPr>
        <w:t>称</w:t>
      </w:r>
      <w:r>
        <w:rPr>
          <w:rFonts w:ascii="宋体" w:hAnsi="宋体" w:eastAsia="宋体" w:cs="宋体"/>
          <w:b/>
          <w:bCs/>
          <w:color w:val="auto"/>
          <w:spacing w:val="4"/>
          <w:sz w:val="24"/>
          <w:szCs w:val="24"/>
          <w:highlight w:val="none"/>
        </w:rPr>
        <w:t>：，</w:t>
      </w:r>
      <w:r>
        <w:rPr>
          <w:rFonts w:ascii="宋体" w:hAnsi="宋体" w:eastAsia="宋体" w:cs="宋体"/>
          <w:b/>
          <w:bCs/>
          <w:color w:val="auto"/>
          <w:spacing w:val="-5"/>
          <w:sz w:val="24"/>
          <w:szCs w:val="24"/>
          <w:highlight w:val="none"/>
        </w:rPr>
        <w:t>帐号</w:t>
      </w:r>
      <w:r>
        <w:rPr>
          <w:rFonts w:ascii="宋体" w:hAnsi="宋体" w:eastAsia="宋体" w:cs="宋体"/>
          <w:b/>
          <w:bCs/>
          <w:color w:val="auto"/>
          <w:spacing w:val="4"/>
          <w:sz w:val="24"/>
          <w:szCs w:val="24"/>
          <w:highlight w:val="none"/>
        </w:rPr>
        <w:t>：，</w:t>
      </w:r>
      <w:r>
        <w:rPr>
          <w:rFonts w:ascii="宋体" w:hAnsi="宋体" w:eastAsia="宋体" w:cs="宋体"/>
          <w:b/>
          <w:bCs/>
          <w:color w:val="auto"/>
          <w:spacing w:val="-5"/>
          <w:sz w:val="24"/>
          <w:szCs w:val="24"/>
          <w:highlight w:val="none"/>
        </w:rPr>
        <w:t>开户银行</w:t>
      </w:r>
      <w:r>
        <w:rPr>
          <w:rFonts w:ascii="宋体" w:hAnsi="宋体" w:eastAsia="宋体" w:cs="宋体"/>
          <w:b/>
          <w:bCs/>
          <w:color w:val="auto"/>
          <w:spacing w:val="4"/>
          <w:sz w:val="24"/>
          <w:szCs w:val="24"/>
          <w:highlight w:val="none"/>
        </w:rPr>
        <w:t>：）</w:t>
      </w:r>
      <w:r>
        <w:rPr>
          <w:rFonts w:ascii="宋体" w:hAnsi="宋体" w:eastAsia="宋体" w:cs="宋体"/>
          <w:b/>
          <w:bCs/>
          <w:color w:val="auto"/>
          <w:spacing w:val="-5"/>
          <w:sz w:val="24"/>
          <w:szCs w:val="24"/>
          <w:highlight w:val="none"/>
        </w:rPr>
        <w:t>。</w:t>
      </w:r>
    </w:p>
    <w:p w14:paraId="5497C2B7">
      <w:pPr>
        <w:spacing w:before="89"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本单位投标保证金的汇款情况</w:t>
      </w:r>
      <w:r>
        <w:rPr>
          <w:rFonts w:ascii="宋体" w:hAnsi="宋体" w:eastAsia="宋体" w:cs="宋体"/>
          <w:color w:val="auto"/>
          <w:spacing w:val="-18"/>
          <w:sz w:val="24"/>
          <w:szCs w:val="24"/>
          <w:highlight w:val="none"/>
        </w:rPr>
        <w:t>：（</w:t>
      </w:r>
      <w:r>
        <w:rPr>
          <w:rFonts w:ascii="宋体" w:hAnsi="宋体" w:eastAsia="宋体" w:cs="宋体"/>
          <w:color w:val="auto"/>
          <w:spacing w:val="1"/>
          <w:sz w:val="24"/>
          <w:szCs w:val="24"/>
          <w:highlight w:val="none"/>
        </w:rPr>
        <w:t>详见附件－投标保证金</w:t>
      </w:r>
      <w:r>
        <w:rPr>
          <w:rFonts w:ascii="宋体" w:hAnsi="宋体" w:eastAsia="宋体" w:cs="宋体"/>
          <w:color w:val="auto"/>
          <w:sz w:val="24"/>
          <w:szCs w:val="24"/>
          <w:highlight w:val="none"/>
        </w:rPr>
        <w:t>汇款凭证）</w:t>
      </w:r>
    </w:p>
    <w:p w14:paraId="3AF5FD6B">
      <w:pPr>
        <w:spacing w:before="87" w:line="220"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汇出时间：年月日；</w:t>
      </w:r>
    </w:p>
    <w:p w14:paraId="751D3F7D">
      <w:pPr>
        <w:spacing w:before="88"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汇款金额</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大写）人民币元（小写：￥元</w:t>
      </w:r>
      <w:r>
        <w:rPr>
          <w:rFonts w:ascii="宋体" w:hAnsi="宋体" w:eastAsia="宋体" w:cs="宋体"/>
          <w:color w:val="auto"/>
          <w:spacing w:val="-7"/>
          <w:sz w:val="24"/>
          <w:szCs w:val="24"/>
          <w:highlight w:val="none"/>
        </w:rPr>
        <w:t>），</w:t>
      </w:r>
    </w:p>
    <w:p w14:paraId="66811410">
      <w:pPr>
        <w:spacing w:before="87" w:line="220"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汇款帐户名称</w:t>
      </w:r>
      <w:r>
        <w:rPr>
          <w:rFonts w:ascii="宋体" w:hAnsi="宋体" w:eastAsia="宋体" w:cs="宋体"/>
          <w:color w:val="auto"/>
          <w:spacing w:val="-15"/>
          <w:sz w:val="24"/>
          <w:szCs w:val="24"/>
          <w:highlight w:val="none"/>
        </w:rPr>
        <w:t>：</w:t>
      </w:r>
      <w:r>
        <w:rPr>
          <w:rFonts w:ascii="宋体" w:hAnsi="宋体" w:eastAsia="宋体" w:cs="宋体"/>
          <w:color w:val="auto"/>
          <w:spacing w:val="-15"/>
          <w:sz w:val="24"/>
          <w:szCs w:val="24"/>
          <w:highlight w:val="none"/>
          <w:u w:val="single" w:color="auto"/>
        </w:rPr>
        <w:t>（</w:t>
      </w:r>
      <w:r>
        <w:rPr>
          <w:rFonts w:ascii="宋体" w:hAnsi="宋体" w:eastAsia="宋体" w:cs="宋体"/>
          <w:color w:val="auto"/>
          <w:spacing w:val="1"/>
          <w:sz w:val="24"/>
          <w:szCs w:val="24"/>
          <w:highlight w:val="none"/>
          <w:u w:val="single" w:color="auto"/>
        </w:rPr>
        <w:t>必须是投标时使用的帐户名）</w:t>
      </w:r>
    </w:p>
    <w:p w14:paraId="533BD682">
      <w:pPr>
        <w:spacing w:before="89" w:line="220"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帐号</w:t>
      </w:r>
      <w:r>
        <w:rPr>
          <w:rFonts w:ascii="宋体" w:hAnsi="宋体" w:eastAsia="宋体" w:cs="宋体"/>
          <w:color w:val="auto"/>
          <w:spacing w:val="-18"/>
          <w:sz w:val="24"/>
          <w:szCs w:val="24"/>
          <w:highlight w:val="none"/>
        </w:rPr>
        <w:t>：</w:t>
      </w:r>
      <w:r>
        <w:rPr>
          <w:rFonts w:ascii="宋体" w:hAnsi="宋体" w:eastAsia="宋体" w:cs="宋体"/>
          <w:color w:val="auto"/>
          <w:spacing w:val="-18"/>
          <w:sz w:val="24"/>
          <w:szCs w:val="24"/>
          <w:highlight w:val="none"/>
          <w:u w:val="single" w:color="auto"/>
        </w:rPr>
        <w:t>（</w:t>
      </w:r>
      <w:r>
        <w:rPr>
          <w:rFonts w:ascii="宋体" w:hAnsi="宋体" w:eastAsia="宋体" w:cs="宋体"/>
          <w:color w:val="auto"/>
          <w:spacing w:val="1"/>
          <w:sz w:val="24"/>
          <w:szCs w:val="24"/>
          <w:highlight w:val="none"/>
          <w:u w:val="single" w:color="auto"/>
        </w:rPr>
        <w:t>必须是投标时使用的帐号）</w:t>
      </w:r>
    </w:p>
    <w:p w14:paraId="24F12DC5">
      <w:pPr>
        <w:spacing w:before="88" w:line="221" w:lineRule="auto"/>
        <w:ind w:left="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开户银行：</w:t>
      </w:r>
    </w:p>
    <w:p w14:paraId="17BE1AF0">
      <w:pPr>
        <w:spacing w:before="85" w:line="288" w:lineRule="auto"/>
        <w:ind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本单位谨承诺上述资料是正确、真实的，如因上述证明与事实不符导致的一切损失，</w:t>
      </w:r>
      <w:r>
        <w:rPr>
          <w:rFonts w:ascii="宋体" w:hAnsi="宋体" w:eastAsia="宋体" w:cs="宋体"/>
          <w:color w:val="auto"/>
          <w:spacing w:val="-1"/>
          <w:sz w:val="24"/>
          <w:szCs w:val="24"/>
          <w:highlight w:val="none"/>
        </w:rPr>
        <w:t>本单位保证承担赔偿等一切法律责任。</w:t>
      </w:r>
    </w:p>
    <w:p w14:paraId="47D5392B">
      <w:pPr>
        <w:spacing w:line="220"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投标保证金退回时，请按上述资料退回。</w:t>
      </w:r>
    </w:p>
    <w:p w14:paraId="26605819">
      <w:pPr>
        <w:spacing w:before="86" w:line="219" w:lineRule="auto"/>
        <w:ind w:left="700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（单位公章）</w:t>
      </w:r>
    </w:p>
    <w:p w14:paraId="581B56A4">
      <w:pPr>
        <w:spacing w:before="90" w:line="220" w:lineRule="auto"/>
        <w:ind w:left="6483"/>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年月日</w:t>
      </w:r>
    </w:p>
    <w:p w14:paraId="3BD55F12">
      <w:pPr>
        <w:spacing w:before="85" w:line="221" w:lineRule="auto"/>
        <w:ind w:left="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单位名称：</w:t>
      </w:r>
    </w:p>
    <w:p w14:paraId="5ABAF7FA">
      <w:pPr>
        <w:spacing w:before="87" w:line="221" w:lineRule="auto"/>
        <w:ind w:left="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单位地址：</w:t>
      </w:r>
    </w:p>
    <w:p w14:paraId="59D31E76">
      <w:pPr>
        <w:spacing w:before="87" w:line="213" w:lineRule="auto"/>
        <w:rPr>
          <w:rFonts w:ascii="宋体" w:hAnsi="宋体" w:eastAsia="宋体" w:cs="宋体"/>
          <w:color w:val="auto"/>
          <w:sz w:val="25"/>
          <w:szCs w:val="25"/>
          <w:highlight w:val="none"/>
        </w:rPr>
      </w:pPr>
      <w:r>
        <w:rPr>
          <w:rFonts w:ascii="宋体" w:hAnsi="宋体" w:eastAsia="宋体" w:cs="宋体"/>
          <w:color w:val="auto"/>
          <w:spacing w:val="-4"/>
          <w:sz w:val="24"/>
          <w:szCs w:val="24"/>
          <w:highlight w:val="none"/>
        </w:rPr>
        <w:t>联系人</w:t>
      </w:r>
      <w:r>
        <w:rPr>
          <w:rFonts w:ascii="宋体" w:hAnsi="宋体" w:eastAsia="宋体" w:cs="宋体"/>
          <w:color w:val="auto"/>
          <w:spacing w:val="-6"/>
          <w:sz w:val="24"/>
          <w:szCs w:val="24"/>
          <w:highlight w:val="none"/>
        </w:rPr>
        <w:t>：</w:t>
      </w:r>
      <w:r>
        <w:rPr>
          <w:rFonts w:ascii="宋体" w:hAnsi="宋体" w:eastAsia="宋体" w:cs="宋体"/>
          <w:i/>
          <w:iCs/>
          <w:color w:val="auto"/>
          <w:spacing w:val="-6"/>
          <w:sz w:val="25"/>
          <w:szCs w:val="25"/>
          <w:highlight w:val="none"/>
          <w:u w:val="single" w:color="auto"/>
        </w:rPr>
        <w:t>（</w:t>
      </w:r>
      <w:r>
        <w:rPr>
          <w:rFonts w:ascii="宋体" w:hAnsi="宋体" w:eastAsia="宋体" w:cs="宋体"/>
          <w:i/>
          <w:iCs/>
          <w:color w:val="auto"/>
          <w:spacing w:val="-4"/>
          <w:sz w:val="25"/>
          <w:szCs w:val="25"/>
          <w:highlight w:val="none"/>
          <w:u w:val="single" w:color="auto"/>
        </w:rPr>
        <w:t>投标单位财务）</w:t>
      </w:r>
    </w:p>
    <w:p w14:paraId="355E6B8E">
      <w:pPr>
        <w:spacing w:before="85" w:line="219" w:lineRule="auto"/>
        <w:ind w:left="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单位电话：联系人手机：</w:t>
      </w:r>
    </w:p>
    <w:tbl>
      <w:tblPr>
        <w:tblStyle w:val="18"/>
        <w:tblW w:w="9149" w:type="dxa"/>
        <w:tblInd w:w="35" w:type="dxa"/>
        <w:tblBorders>
          <w:top w:val="dashed" w:color="000000" w:sz="2" w:space="0"/>
          <w:left w:val="dashed" w:color="000000" w:sz="2" w:space="0"/>
          <w:bottom w:val="dashed" w:color="000000" w:sz="2" w:space="0"/>
          <w:right w:val="dashed" w:color="000000" w:sz="2" w:space="0"/>
          <w:insideH w:val="none" w:color="auto" w:sz="0" w:space="0"/>
          <w:insideV w:val="none" w:color="auto" w:sz="0" w:space="0"/>
        </w:tblBorders>
        <w:tblLayout w:type="fixed"/>
        <w:tblCellMar>
          <w:top w:w="0" w:type="dxa"/>
          <w:left w:w="0" w:type="dxa"/>
          <w:bottom w:w="0" w:type="dxa"/>
          <w:right w:w="0" w:type="dxa"/>
        </w:tblCellMar>
      </w:tblPr>
      <w:tblGrid>
        <w:gridCol w:w="9149"/>
      </w:tblGrid>
      <w:tr w14:paraId="0548B68E">
        <w:tblPrEx>
          <w:tblBorders>
            <w:top w:val="dashed" w:color="000000" w:sz="2" w:space="0"/>
            <w:left w:val="dashed" w:color="000000" w:sz="2" w:space="0"/>
            <w:bottom w:val="dashed" w:color="000000" w:sz="2" w:space="0"/>
            <w:right w:val="dashed" w:color="000000" w:sz="2" w:space="0"/>
            <w:insideH w:val="none" w:color="auto" w:sz="0" w:space="0"/>
            <w:insideV w:val="none" w:color="auto" w:sz="0" w:space="0"/>
          </w:tblBorders>
          <w:tblCellMar>
            <w:top w:w="0" w:type="dxa"/>
            <w:left w:w="0" w:type="dxa"/>
            <w:bottom w:w="0" w:type="dxa"/>
            <w:right w:w="0" w:type="dxa"/>
          </w:tblCellMar>
        </w:tblPrEx>
        <w:trPr>
          <w:trHeight w:val="2319" w:hRule="atLeast"/>
        </w:trPr>
        <w:tc>
          <w:tcPr>
            <w:tcW w:w="9149" w:type="dxa"/>
            <w:noWrap w:val="0"/>
            <w:vAlign w:val="top"/>
          </w:tcPr>
          <w:p w14:paraId="2494465F">
            <w:pPr>
              <w:pStyle w:val="17"/>
              <w:spacing w:before="78" w:line="219" w:lineRule="auto"/>
              <w:ind w:left="1360"/>
              <w:rPr>
                <w:color w:val="auto"/>
                <w:highlight w:val="none"/>
              </w:rPr>
            </w:pPr>
            <w:r>
              <w:rPr>
                <w:color w:val="auto"/>
                <w:spacing w:val="-1"/>
                <w:highlight w:val="none"/>
              </w:rPr>
              <w:t>附件一：我方投标保证金汇款凭证（复印件加盖供应商</w:t>
            </w:r>
            <w:r>
              <w:rPr>
                <w:color w:val="auto"/>
                <w:spacing w:val="-2"/>
                <w:highlight w:val="none"/>
              </w:rPr>
              <w:t>公章）</w:t>
            </w:r>
          </w:p>
        </w:tc>
      </w:tr>
    </w:tbl>
    <w:p w14:paraId="1B4B6123">
      <w:pPr>
        <w:spacing w:before="36"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注：本情况说明手写无效。</w:t>
      </w:r>
    </w:p>
    <w:p w14:paraId="22480D40">
      <w:pPr>
        <w:spacing w:line="219" w:lineRule="auto"/>
        <w:rPr>
          <w:rFonts w:ascii="宋体" w:hAnsi="宋体" w:eastAsia="宋体" w:cs="宋体"/>
          <w:color w:val="auto"/>
          <w:sz w:val="24"/>
          <w:szCs w:val="24"/>
          <w:highlight w:val="none"/>
        </w:rPr>
        <w:sectPr>
          <w:footerReference r:id="rId50" w:type="default"/>
          <w:pgSz w:w="11906" w:h="16839"/>
          <w:pgMar w:top="1431" w:right="1184" w:bottom="1209" w:left="1427" w:header="0" w:footer="973" w:gutter="0"/>
          <w:pgNumType w:fmt="decimal"/>
          <w:cols w:space="720" w:num="1"/>
        </w:sectPr>
      </w:pPr>
    </w:p>
    <w:p w14:paraId="0E4E0FAC">
      <w:pPr>
        <w:spacing w:before="114" w:line="225" w:lineRule="auto"/>
        <w:ind w:left="1015" w:leftChars="0"/>
        <w:outlineLvl w:val="1"/>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十六、供应商认为有必要提供的其他材料</w:t>
      </w:r>
    </w:p>
    <w:p w14:paraId="0C925D97">
      <w:pPr>
        <w:spacing w:before="78" w:line="219" w:lineRule="auto"/>
        <w:ind w:left="136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供应商按招标文件要求自行填写，不作统一格式要</w:t>
      </w:r>
      <w:r>
        <w:rPr>
          <w:rFonts w:ascii="宋体" w:hAnsi="宋体" w:eastAsia="宋体" w:cs="宋体"/>
          <w:b/>
          <w:bCs/>
          <w:color w:val="auto"/>
          <w:spacing w:val="-3"/>
          <w:sz w:val="24"/>
          <w:szCs w:val="24"/>
          <w:highlight w:val="none"/>
        </w:rPr>
        <w:t>求。</w:t>
      </w:r>
    </w:p>
    <w:p w14:paraId="097D5765">
      <w:pPr>
        <w:spacing w:line="219" w:lineRule="auto"/>
        <w:rPr>
          <w:rFonts w:ascii="宋体" w:hAnsi="宋体" w:eastAsia="宋体" w:cs="宋体"/>
          <w:color w:val="auto"/>
          <w:sz w:val="24"/>
          <w:szCs w:val="24"/>
          <w:highlight w:val="none"/>
        </w:rPr>
        <w:sectPr>
          <w:footerReference r:id="rId51" w:type="default"/>
          <w:pgSz w:w="11906" w:h="16839"/>
          <w:pgMar w:top="1431" w:right="1785" w:bottom="1209" w:left="1785" w:header="0" w:footer="973" w:gutter="0"/>
          <w:pgNumType w:fmt="decimal"/>
          <w:cols w:space="720" w:num="1"/>
        </w:sectPr>
      </w:pPr>
    </w:p>
    <w:p w14:paraId="567C2509">
      <w:pPr>
        <w:spacing w:before="78" w:line="219" w:lineRule="auto"/>
        <w:ind w:left="19" w:leftChars="0"/>
        <w:outlineLvl w:val="2"/>
        <w:rPr>
          <w:rFonts w:ascii="宋体" w:hAnsi="宋体" w:eastAsia="宋体" w:cs="宋体"/>
          <w:color w:val="auto"/>
          <w:sz w:val="24"/>
          <w:szCs w:val="24"/>
          <w:highlight w:val="none"/>
        </w:rPr>
      </w:pPr>
      <w:r>
        <w:rPr>
          <w:rFonts w:ascii="宋体" w:hAnsi="宋体" w:eastAsia="宋体" w:cs="宋体"/>
          <w:b/>
          <w:bCs/>
          <w:color w:val="auto"/>
          <w:spacing w:val="-17"/>
          <w:sz w:val="24"/>
          <w:szCs w:val="24"/>
          <w:highlight w:val="none"/>
        </w:rPr>
        <w:t>附件</w:t>
      </w:r>
    </w:p>
    <w:p w14:paraId="0761DB3E">
      <w:pPr>
        <w:spacing w:before="24" w:line="219" w:lineRule="auto"/>
        <w:ind w:left="3005" w:leftChars="0"/>
        <w:outlineLvl w:val="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（1）中小企业声明函（货物）</w:t>
      </w:r>
    </w:p>
    <w:p w14:paraId="3338C887">
      <w:pPr>
        <w:spacing w:before="177" w:line="302" w:lineRule="auto"/>
        <w:ind w:firstLine="420"/>
        <w:jc w:val="both"/>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本公司（联合体）郑重声明，根据《政府采购促进中小企业发展管理办法》（财库﹝2020﹞46号）</w:t>
      </w:r>
      <w:r>
        <w:rPr>
          <w:rFonts w:ascii="宋体" w:hAnsi="宋体" w:eastAsia="宋体" w:cs="宋体"/>
          <w:color w:val="auto"/>
          <w:spacing w:val="10"/>
          <w:sz w:val="20"/>
          <w:szCs w:val="20"/>
          <w:highlight w:val="none"/>
        </w:rPr>
        <w:t>的规定，本公司（联合体）参加</w:t>
      </w:r>
      <w:r>
        <w:rPr>
          <w:rFonts w:ascii="宋体" w:hAnsi="宋体" w:eastAsia="宋体" w:cs="宋体"/>
          <w:color w:val="auto"/>
          <w:spacing w:val="10"/>
          <w:sz w:val="20"/>
          <w:szCs w:val="20"/>
          <w:highlight w:val="none"/>
          <w:u w:val="single" w:color="auto"/>
        </w:rPr>
        <w:t>（单位名称）</w:t>
      </w:r>
      <w:r>
        <w:rPr>
          <w:rFonts w:ascii="宋体" w:hAnsi="宋体" w:eastAsia="宋体" w:cs="宋体"/>
          <w:color w:val="auto"/>
          <w:spacing w:val="10"/>
          <w:sz w:val="20"/>
          <w:szCs w:val="20"/>
          <w:highlight w:val="none"/>
        </w:rPr>
        <w:t>的</w:t>
      </w:r>
      <w:r>
        <w:rPr>
          <w:rFonts w:ascii="宋体" w:hAnsi="宋体" w:eastAsia="宋体" w:cs="宋体"/>
          <w:color w:val="auto"/>
          <w:spacing w:val="10"/>
          <w:sz w:val="20"/>
          <w:szCs w:val="20"/>
          <w:highlight w:val="none"/>
          <w:u w:val="single" w:color="auto"/>
        </w:rPr>
        <w:t>（项目名称）</w:t>
      </w:r>
      <w:r>
        <w:rPr>
          <w:rFonts w:ascii="宋体" w:hAnsi="宋体" w:eastAsia="宋体" w:cs="宋体"/>
          <w:color w:val="auto"/>
          <w:spacing w:val="10"/>
          <w:sz w:val="20"/>
          <w:szCs w:val="20"/>
          <w:highlight w:val="none"/>
        </w:rPr>
        <w:t>采购活动</w:t>
      </w:r>
      <w:r>
        <w:rPr>
          <w:rFonts w:ascii="宋体" w:hAnsi="宋体" w:eastAsia="宋体" w:cs="宋体"/>
          <w:color w:val="auto"/>
          <w:spacing w:val="9"/>
          <w:sz w:val="20"/>
          <w:szCs w:val="20"/>
          <w:highlight w:val="none"/>
        </w:rPr>
        <w:t>，提供的货物全部由符合政策</w:t>
      </w:r>
      <w:r>
        <w:rPr>
          <w:rFonts w:ascii="宋体" w:hAnsi="宋体" w:eastAsia="宋体" w:cs="宋体"/>
          <w:color w:val="auto"/>
          <w:spacing w:val="7"/>
          <w:sz w:val="20"/>
          <w:szCs w:val="20"/>
          <w:highlight w:val="none"/>
        </w:rPr>
        <w:t>要求的中小企业制造。相关企业（含联合体中的中小企业、签订分包意向协议的中小企业）的具体情</w:t>
      </w:r>
      <w:r>
        <w:rPr>
          <w:rFonts w:ascii="宋体" w:hAnsi="宋体" w:eastAsia="宋体" w:cs="宋体"/>
          <w:color w:val="auto"/>
          <w:spacing w:val="4"/>
          <w:sz w:val="20"/>
          <w:szCs w:val="20"/>
          <w:highlight w:val="none"/>
        </w:rPr>
        <w:t>况如下：</w:t>
      </w:r>
    </w:p>
    <w:p w14:paraId="23704CEA">
      <w:pPr>
        <w:spacing w:before="3" w:line="276" w:lineRule="auto"/>
        <w:ind w:left="2" w:right="16" w:firstLine="43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u w:val="single" w:color="auto"/>
        </w:rPr>
        <w:t>1.（标的名称</w:t>
      </w:r>
      <w:r>
        <w:rPr>
          <w:rFonts w:ascii="宋体" w:hAnsi="宋体" w:eastAsia="宋体" w:cs="宋体"/>
          <w:color w:val="auto"/>
          <w:spacing w:val="-19"/>
          <w:sz w:val="20"/>
          <w:szCs w:val="20"/>
          <w:highlight w:val="none"/>
          <w:u w:val="single" w:color="auto"/>
        </w:rPr>
        <w:t>）</w:t>
      </w:r>
      <w:r>
        <w:rPr>
          <w:rFonts w:ascii="宋体" w:hAnsi="宋体" w:eastAsia="宋体" w:cs="宋体"/>
          <w:color w:val="auto"/>
          <w:spacing w:val="-19"/>
          <w:sz w:val="20"/>
          <w:szCs w:val="20"/>
          <w:highlight w:val="none"/>
        </w:rPr>
        <w:t>，</w:t>
      </w:r>
      <w:r>
        <w:rPr>
          <w:rFonts w:ascii="宋体" w:hAnsi="宋体" w:eastAsia="宋体" w:cs="宋体"/>
          <w:color w:val="auto"/>
          <w:spacing w:val="-2"/>
          <w:sz w:val="20"/>
          <w:szCs w:val="20"/>
          <w:highlight w:val="none"/>
        </w:rPr>
        <w:t>属于（</w:t>
      </w:r>
      <w:r>
        <w:rPr>
          <w:rFonts w:ascii="宋体" w:hAnsi="宋体" w:eastAsia="宋体" w:cs="宋体"/>
          <w:color w:val="auto"/>
          <w:spacing w:val="-2"/>
          <w:sz w:val="20"/>
          <w:szCs w:val="20"/>
          <w:highlight w:val="none"/>
          <w:u w:val="single" w:color="auto"/>
        </w:rPr>
        <w:t>采购文件中明确</w:t>
      </w:r>
      <w:r>
        <w:rPr>
          <w:rFonts w:ascii="宋体" w:hAnsi="宋体" w:eastAsia="宋体" w:cs="宋体"/>
          <w:color w:val="auto"/>
          <w:spacing w:val="-3"/>
          <w:sz w:val="20"/>
          <w:szCs w:val="20"/>
          <w:highlight w:val="none"/>
          <w:u w:val="single" w:color="auto"/>
        </w:rPr>
        <w:t>的所属行业）行业</w:t>
      </w:r>
      <w:r>
        <w:rPr>
          <w:rFonts w:ascii="宋体" w:hAnsi="宋体" w:eastAsia="宋体" w:cs="宋体"/>
          <w:color w:val="auto"/>
          <w:spacing w:val="-3"/>
          <w:sz w:val="20"/>
          <w:szCs w:val="20"/>
          <w:highlight w:val="none"/>
        </w:rPr>
        <w:t>；制造商</w:t>
      </w:r>
      <w:r>
        <w:rPr>
          <w:rFonts w:ascii="宋体" w:hAnsi="宋体" w:eastAsia="宋体" w:cs="宋体"/>
          <w:color w:val="auto"/>
          <w:spacing w:val="6"/>
          <w:sz w:val="20"/>
          <w:szCs w:val="20"/>
          <w:highlight w:val="none"/>
        </w:rPr>
        <w:t>为</w:t>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5"/>
          <w:sz w:val="20"/>
          <w:szCs w:val="20"/>
          <w:highlight w:val="none"/>
          <w:u w:val="single" w:color="auto"/>
        </w:rPr>
        <w:t>）</w:t>
      </w:r>
      <w:r>
        <w:rPr>
          <w:rFonts w:ascii="宋体" w:hAnsi="宋体" w:eastAsia="宋体" w:cs="宋体"/>
          <w:color w:val="auto"/>
          <w:spacing w:val="15"/>
          <w:sz w:val="20"/>
          <w:szCs w:val="20"/>
          <w:highlight w:val="none"/>
        </w:rPr>
        <w:t>，</w:t>
      </w:r>
      <w:r>
        <w:rPr>
          <w:rFonts w:ascii="宋体" w:hAnsi="宋体" w:eastAsia="宋体" w:cs="宋体"/>
          <w:color w:val="auto"/>
          <w:spacing w:val="6"/>
          <w:sz w:val="20"/>
          <w:szCs w:val="20"/>
          <w:highlight w:val="none"/>
        </w:rPr>
        <w:t>从业人员人，营业收入为万元，资产总额为万元</w:t>
      </w:r>
      <w:r>
        <w:rPr>
          <w:rFonts w:ascii="宋体" w:hAnsi="宋体" w:eastAsia="宋体" w:cs="宋体"/>
          <w:color w:val="auto"/>
          <w:spacing w:val="5"/>
          <w:sz w:val="20"/>
          <w:szCs w:val="20"/>
          <w:highlight w:val="none"/>
        </w:rPr>
        <w:t>1，属于</w:t>
      </w:r>
      <w:r>
        <w:rPr>
          <w:rFonts w:ascii="宋体" w:hAnsi="宋体" w:eastAsia="宋体" w:cs="宋体"/>
          <w:color w:val="auto"/>
          <w:spacing w:val="5"/>
          <w:sz w:val="20"/>
          <w:szCs w:val="20"/>
          <w:highlight w:val="none"/>
          <w:u w:val="single" w:color="auto"/>
        </w:rPr>
        <w:t>（中型企业、</w:t>
      </w:r>
      <w:r>
        <w:rPr>
          <w:rFonts w:ascii="宋体" w:hAnsi="宋体" w:eastAsia="宋体" w:cs="宋体"/>
          <w:color w:val="auto"/>
          <w:spacing w:val="8"/>
          <w:sz w:val="20"/>
          <w:szCs w:val="20"/>
          <w:highlight w:val="none"/>
          <w:u w:val="single" w:color="auto"/>
        </w:rPr>
        <w:t>小型企业、微型企业</w:t>
      </w:r>
      <w:r>
        <w:rPr>
          <w:rFonts w:ascii="宋体" w:hAnsi="宋体" w:eastAsia="宋体" w:cs="宋体"/>
          <w:color w:val="auto"/>
          <w:spacing w:val="2"/>
          <w:sz w:val="20"/>
          <w:szCs w:val="20"/>
          <w:highlight w:val="none"/>
          <w:u w:val="single" w:color="auto"/>
        </w:rPr>
        <w:t>）</w:t>
      </w:r>
      <w:r>
        <w:rPr>
          <w:rFonts w:ascii="宋体" w:hAnsi="宋体" w:eastAsia="宋体" w:cs="宋体"/>
          <w:color w:val="auto"/>
          <w:spacing w:val="2"/>
          <w:sz w:val="20"/>
          <w:szCs w:val="20"/>
          <w:highlight w:val="none"/>
        </w:rPr>
        <w:t>；</w:t>
      </w:r>
    </w:p>
    <w:p w14:paraId="75A4E765">
      <w:pPr>
        <w:spacing w:before="79" w:line="277" w:lineRule="auto"/>
        <w:ind w:left="2" w:right="84" w:firstLine="4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u w:val="single" w:color="auto"/>
        </w:rPr>
        <w:t>2.（标的名称</w:t>
      </w:r>
      <w:r>
        <w:rPr>
          <w:rFonts w:ascii="宋体" w:hAnsi="宋体" w:eastAsia="宋体" w:cs="宋体"/>
          <w:color w:val="auto"/>
          <w:spacing w:val="-19"/>
          <w:sz w:val="20"/>
          <w:szCs w:val="20"/>
          <w:highlight w:val="none"/>
          <w:u w:val="single" w:color="auto"/>
        </w:rPr>
        <w:t>）</w:t>
      </w:r>
      <w:r>
        <w:rPr>
          <w:rFonts w:ascii="宋体" w:hAnsi="宋体" w:eastAsia="宋体" w:cs="宋体"/>
          <w:color w:val="auto"/>
          <w:spacing w:val="-19"/>
          <w:sz w:val="20"/>
          <w:szCs w:val="20"/>
          <w:highlight w:val="none"/>
        </w:rPr>
        <w:t>，</w:t>
      </w:r>
      <w:r>
        <w:rPr>
          <w:rFonts w:ascii="宋体" w:hAnsi="宋体" w:eastAsia="宋体" w:cs="宋体"/>
          <w:color w:val="auto"/>
          <w:spacing w:val="-2"/>
          <w:sz w:val="20"/>
          <w:szCs w:val="20"/>
          <w:highlight w:val="none"/>
        </w:rPr>
        <w:t>属于（</w:t>
      </w:r>
      <w:r>
        <w:rPr>
          <w:rFonts w:ascii="宋体" w:hAnsi="宋体" w:eastAsia="宋体" w:cs="宋体"/>
          <w:color w:val="auto"/>
          <w:spacing w:val="-2"/>
          <w:sz w:val="20"/>
          <w:szCs w:val="20"/>
          <w:highlight w:val="none"/>
          <w:u w:val="single" w:color="auto"/>
        </w:rPr>
        <w:t>采购文件中明确的所属行业）行业</w:t>
      </w:r>
      <w:r>
        <w:rPr>
          <w:rFonts w:ascii="宋体" w:hAnsi="宋体" w:eastAsia="宋体" w:cs="宋体"/>
          <w:color w:val="auto"/>
          <w:spacing w:val="-2"/>
          <w:sz w:val="20"/>
          <w:szCs w:val="20"/>
          <w:highlight w:val="none"/>
        </w:rPr>
        <w:t>；制造商</w:t>
      </w:r>
      <w:r>
        <w:rPr>
          <w:rFonts w:ascii="宋体" w:hAnsi="宋体" w:eastAsia="宋体" w:cs="宋体"/>
          <w:color w:val="auto"/>
          <w:spacing w:val="8"/>
          <w:sz w:val="20"/>
          <w:szCs w:val="20"/>
          <w:highlight w:val="none"/>
        </w:rPr>
        <w:t>为</w:t>
      </w:r>
      <w:r>
        <w:rPr>
          <w:rFonts w:ascii="宋体" w:hAnsi="宋体" w:eastAsia="宋体" w:cs="宋体"/>
          <w:color w:val="auto"/>
          <w:spacing w:val="8"/>
          <w:sz w:val="20"/>
          <w:szCs w:val="20"/>
          <w:highlight w:val="none"/>
          <w:u w:val="single" w:color="auto"/>
        </w:rPr>
        <w:t>（企业名称</w:t>
      </w:r>
      <w:r>
        <w:rPr>
          <w:rFonts w:ascii="宋体" w:hAnsi="宋体" w:eastAsia="宋体" w:cs="宋体"/>
          <w:color w:val="auto"/>
          <w:spacing w:val="15"/>
          <w:sz w:val="20"/>
          <w:szCs w:val="20"/>
          <w:highlight w:val="none"/>
          <w:u w:val="single" w:color="auto"/>
        </w:rPr>
        <w:t>）</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从业人员人，营业收入为万元，资产总额为万元，属于</w:t>
      </w:r>
      <w:r>
        <w:rPr>
          <w:rFonts w:ascii="宋体" w:hAnsi="宋体" w:eastAsia="宋体" w:cs="宋体"/>
          <w:color w:val="auto"/>
          <w:spacing w:val="8"/>
          <w:sz w:val="20"/>
          <w:szCs w:val="20"/>
          <w:highlight w:val="none"/>
          <w:u w:val="single" w:color="auto"/>
        </w:rPr>
        <w:t>（中型企业、小型企业、微型企业</w:t>
      </w:r>
      <w:r>
        <w:rPr>
          <w:rFonts w:ascii="宋体" w:hAnsi="宋体" w:eastAsia="宋体" w:cs="宋体"/>
          <w:color w:val="auto"/>
          <w:spacing w:val="5"/>
          <w:sz w:val="20"/>
          <w:szCs w:val="20"/>
          <w:highlight w:val="none"/>
          <w:u w:val="single" w:color="auto"/>
        </w:rPr>
        <w:t>）</w:t>
      </w:r>
      <w:r>
        <w:rPr>
          <w:rFonts w:ascii="宋体" w:hAnsi="宋体" w:eastAsia="宋体" w:cs="宋体"/>
          <w:color w:val="auto"/>
          <w:spacing w:val="5"/>
          <w:sz w:val="20"/>
          <w:szCs w:val="20"/>
          <w:highlight w:val="none"/>
        </w:rPr>
        <w:t>；</w:t>
      </w:r>
    </w:p>
    <w:p w14:paraId="0310094A">
      <w:pPr>
        <w:spacing w:before="81" w:line="325" w:lineRule="exact"/>
        <w:ind w:left="433"/>
        <w:rPr>
          <w:rFonts w:ascii="宋体" w:hAnsi="宋体" w:eastAsia="宋体" w:cs="宋体"/>
          <w:color w:val="auto"/>
          <w:sz w:val="20"/>
          <w:szCs w:val="20"/>
          <w:highlight w:val="none"/>
        </w:rPr>
      </w:pPr>
      <w:r>
        <w:rPr>
          <w:rFonts w:ascii="宋体" w:hAnsi="宋体" w:eastAsia="宋体" w:cs="宋体"/>
          <w:color w:val="auto"/>
          <w:spacing w:val="-2"/>
          <w:position w:val="3"/>
          <w:sz w:val="20"/>
          <w:szCs w:val="20"/>
          <w:highlight w:val="none"/>
        </w:rPr>
        <w:t>……</w:t>
      </w:r>
    </w:p>
    <w:p w14:paraId="7082308B">
      <w:pPr>
        <w:spacing w:before="2" w:line="301" w:lineRule="auto"/>
        <w:ind w:left="7" w:right="87"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以上企业，不属于大企业的分支机构，不存在控股股东为大企业的情形，也不存在与大企业的负</w:t>
      </w:r>
      <w:r>
        <w:rPr>
          <w:rFonts w:ascii="宋体" w:hAnsi="宋体" w:eastAsia="宋体" w:cs="宋体"/>
          <w:color w:val="auto"/>
          <w:spacing w:val="7"/>
          <w:sz w:val="20"/>
          <w:szCs w:val="20"/>
          <w:highlight w:val="none"/>
        </w:rPr>
        <w:t>责人为同一人的情形。</w:t>
      </w:r>
    </w:p>
    <w:p w14:paraId="37DE4760">
      <w:pPr>
        <w:spacing w:before="1" w:line="227"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本企业对上述声明内容的真实性负责。如有虚假，将依法承担相应责任。</w:t>
      </w:r>
    </w:p>
    <w:p w14:paraId="4D6C211A">
      <w:pPr>
        <w:spacing w:before="80"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企业名称（盖章</w:t>
      </w:r>
      <w:r>
        <w:rPr>
          <w:rFonts w:ascii="宋体" w:hAnsi="宋体" w:eastAsia="宋体" w:cs="宋体"/>
          <w:color w:val="auto"/>
          <w:sz w:val="20"/>
          <w:szCs w:val="20"/>
          <w:highlight w:val="none"/>
        </w:rPr>
        <w:t>）：</w:t>
      </w:r>
    </w:p>
    <w:p w14:paraId="31F0E340">
      <w:pPr>
        <w:spacing w:before="82" w:line="229" w:lineRule="auto"/>
        <w:ind w:left="45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日期：</w:t>
      </w:r>
    </w:p>
    <w:p w14:paraId="1C9D2AC6">
      <w:pPr>
        <w:spacing w:before="65" w:line="228"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注：1.从业人员、营业收入、资产总额填报上一年度数据，无上一年度数据的新成立企业可不填报。</w:t>
      </w:r>
    </w:p>
    <w:p w14:paraId="139508D8">
      <w:pPr>
        <w:spacing w:before="78" w:line="303" w:lineRule="auto"/>
        <w:ind w:left="1" w:right="87"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2.供应商须对声明函的真实性负责，如有虚假，取消中标资格并承担法律相应责任，如供应商不</w:t>
      </w:r>
      <w:r>
        <w:rPr>
          <w:rFonts w:ascii="宋体" w:hAnsi="宋体" w:eastAsia="宋体" w:cs="宋体"/>
          <w:color w:val="auto"/>
          <w:spacing w:val="8"/>
          <w:sz w:val="20"/>
          <w:szCs w:val="20"/>
          <w:highlight w:val="none"/>
        </w:rPr>
        <w:t>属于小微企业的可不填写。</w:t>
      </w:r>
    </w:p>
    <w:p w14:paraId="1914F9B4">
      <w:pPr>
        <w:spacing w:line="303" w:lineRule="auto"/>
        <w:rPr>
          <w:rFonts w:ascii="宋体" w:hAnsi="宋体" w:eastAsia="宋体" w:cs="宋体"/>
          <w:color w:val="auto"/>
          <w:sz w:val="20"/>
          <w:szCs w:val="20"/>
          <w:highlight w:val="none"/>
        </w:rPr>
        <w:sectPr>
          <w:footerReference r:id="rId52" w:type="default"/>
          <w:pgSz w:w="11906" w:h="16839"/>
          <w:pgMar w:top="1431" w:right="1162" w:bottom="1209" w:left="1426" w:header="0" w:footer="973" w:gutter="0"/>
          <w:pgNumType w:fmt="decimal"/>
          <w:cols w:space="720" w:num="1"/>
        </w:sectPr>
      </w:pPr>
    </w:p>
    <w:p w14:paraId="49FE5D0C">
      <w:pPr>
        <w:spacing w:before="55" w:line="221" w:lineRule="auto"/>
        <w:ind w:left="3432" w:leftChars="0"/>
        <w:outlineLvl w:val="2"/>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w:t>
      </w:r>
      <w:r>
        <w:rPr>
          <w:rFonts w:ascii="Times New Roman" w:hAnsi="Times New Roman" w:eastAsia="Times New Roman" w:cs="Times New Roman"/>
          <w:b/>
          <w:bCs/>
          <w:color w:val="auto"/>
          <w:spacing w:val="-4"/>
          <w:sz w:val="28"/>
          <w:szCs w:val="28"/>
          <w:highlight w:val="none"/>
        </w:rPr>
        <w:t>2</w:t>
      </w:r>
      <w:r>
        <w:rPr>
          <w:rFonts w:ascii="宋体" w:hAnsi="宋体" w:eastAsia="宋体" w:cs="宋体"/>
          <w:b/>
          <w:bCs/>
          <w:color w:val="auto"/>
          <w:spacing w:val="-4"/>
          <w:sz w:val="28"/>
          <w:szCs w:val="28"/>
          <w:highlight w:val="none"/>
        </w:rPr>
        <w:t>）监狱企业证明</w:t>
      </w:r>
    </w:p>
    <w:p w14:paraId="457C5C2E">
      <w:pPr>
        <w:spacing w:before="199" w:line="228" w:lineRule="auto"/>
        <w:ind w:left="168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（注：符合条件的监狱企业请提供本函，不符合的不提供</w:t>
      </w:r>
      <w:r>
        <w:rPr>
          <w:rFonts w:ascii="宋体" w:hAnsi="宋体" w:eastAsia="宋体" w:cs="宋体"/>
          <w:color w:val="auto"/>
          <w:spacing w:val="8"/>
          <w:sz w:val="20"/>
          <w:szCs w:val="20"/>
          <w:highlight w:val="none"/>
        </w:rPr>
        <w:t>本函）</w:t>
      </w:r>
    </w:p>
    <w:p w14:paraId="56891E0F">
      <w:pPr>
        <w:spacing w:before="65" w:line="228" w:lineRule="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省级以上监狱管理局、戒毒管理局（含新疆生产建设兵团）出具的属于监狱企业的证明文件。</w:t>
      </w:r>
    </w:p>
    <w:p w14:paraId="2A1FB1FB">
      <w:pPr>
        <w:spacing w:line="228" w:lineRule="auto"/>
        <w:rPr>
          <w:rFonts w:ascii="宋体" w:hAnsi="宋体" w:eastAsia="宋体" w:cs="宋体"/>
          <w:color w:val="auto"/>
          <w:sz w:val="20"/>
          <w:szCs w:val="20"/>
          <w:highlight w:val="none"/>
        </w:rPr>
        <w:sectPr>
          <w:footerReference r:id="rId53" w:type="default"/>
          <w:pgSz w:w="11906" w:h="16839"/>
          <w:pgMar w:top="1402" w:right="1785" w:bottom="1209" w:left="1429" w:header="0" w:footer="973" w:gutter="0"/>
          <w:pgNumType w:fmt="decimal"/>
          <w:cols w:space="720" w:num="1"/>
        </w:sectPr>
      </w:pPr>
    </w:p>
    <w:p w14:paraId="239F5C34">
      <w:pPr>
        <w:spacing w:before="55" w:line="221" w:lineRule="auto"/>
        <w:ind w:left="2733" w:leftChars="0"/>
        <w:outlineLvl w:val="2"/>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w:t>
      </w:r>
      <w:r>
        <w:rPr>
          <w:rFonts w:ascii="Times New Roman" w:hAnsi="Times New Roman" w:eastAsia="Times New Roman" w:cs="Times New Roman"/>
          <w:b/>
          <w:bCs/>
          <w:color w:val="auto"/>
          <w:spacing w:val="-4"/>
          <w:sz w:val="28"/>
          <w:szCs w:val="28"/>
          <w:highlight w:val="none"/>
        </w:rPr>
        <w:t>3</w:t>
      </w:r>
      <w:r>
        <w:rPr>
          <w:rFonts w:ascii="宋体" w:hAnsi="宋体" w:eastAsia="宋体" w:cs="宋体"/>
          <w:b/>
          <w:bCs/>
          <w:color w:val="auto"/>
          <w:spacing w:val="-4"/>
          <w:sz w:val="28"/>
          <w:szCs w:val="28"/>
          <w:highlight w:val="none"/>
        </w:rPr>
        <w:t>）残疾人福利性单位声明函</w:t>
      </w:r>
    </w:p>
    <w:p w14:paraId="190772AF">
      <w:pPr>
        <w:spacing w:before="199" w:line="228" w:lineRule="auto"/>
        <w:ind w:left="127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（注：符合条件的残疾人福利性单位请提供本函，不符合的不提供本函）</w:t>
      </w:r>
    </w:p>
    <w:p w14:paraId="6C7B4930">
      <w:pPr>
        <w:spacing w:before="65" w:line="377" w:lineRule="auto"/>
        <w:ind w:firstLine="421"/>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本单位郑重声明，根据《财政部民政部中国残疾人联合会关于促进残疾人就业政府采购政策的</w:t>
      </w:r>
      <w:r>
        <w:rPr>
          <w:rFonts w:ascii="宋体" w:hAnsi="宋体" w:eastAsia="宋体" w:cs="宋体"/>
          <w:color w:val="auto"/>
          <w:spacing w:val="5"/>
          <w:sz w:val="20"/>
          <w:szCs w:val="20"/>
          <w:highlight w:val="none"/>
        </w:rPr>
        <w:t>通知》（财库〔2017〕141号）的规定，本单位为符合条件的残疾人福利性单位，且本单位参加______</w:t>
      </w:r>
      <w:r>
        <w:rPr>
          <w:rFonts w:ascii="宋体" w:hAnsi="宋体" w:eastAsia="宋体" w:cs="宋体"/>
          <w:color w:val="auto"/>
          <w:spacing w:val="9"/>
          <w:sz w:val="20"/>
          <w:szCs w:val="20"/>
          <w:highlight w:val="none"/>
        </w:rPr>
        <w:t>单位的______项目采购活动提供本单位制造的货物（由本单位承担提供服务</w:t>
      </w:r>
      <w:r>
        <w:rPr>
          <w:rFonts w:ascii="宋体" w:hAnsi="宋体" w:eastAsia="宋体" w:cs="宋体"/>
          <w:color w:val="auto"/>
          <w:spacing w:val="15"/>
          <w:sz w:val="20"/>
          <w:szCs w:val="20"/>
          <w:highlight w:val="none"/>
        </w:rPr>
        <w:t>），</w:t>
      </w:r>
      <w:r>
        <w:rPr>
          <w:rFonts w:ascii="宋体" w:hAnsi="宋体" w:eastAsia="宋体" w:cs="宋体"/>
          <w:color w:val="auto"/>
          <w:spacing w:val="9"/>
          <w:sz w:val="20"/>
          <w:szCs w:val="20"/>
          <w:highlight w:val="none"/>
        </w:rPr>
        <w:t>或者</w:t>
      </w:r>
      <w:r>
        <w:rPr>
          <w:rFonts w:ascii="宋体" w:hAnsi="宋体" w:eastAsia="宋体" w:cs="宋体"/>
          <w:color w:val="auto"/>
          <w:spacing w:val="8"/>
          <w:sz w:val="20"/>
          <w:szCs w:val="20"/>
          <w:highlight w:val="none"/>
        </w:rPr>
        <w:t>提供其他残疾人</w:t>
      </w:r>
      <w:r>
        <w:rPr>
          <w:rFonts w:ascii="宋体" w:hAnsi="宋体" w:eastAsia="宋体" w:cs="宋体"/>
          <w:color w:val="auto"/>
          <w:spacing w:val="9"/>
          <w:sz w:val="20"/>
          <w:szCs w:val="20"/>
          <w:highlight w:val="none"/>
        </w:rPr>
        <w:t>福利性单位制造的货物（不包括使用非残疾人福利性单位注册商标的货物）。</w:t>
      </w:r>
    </w:p>
    <w:p w14:paraId="63F7E728">
      <w:pPr>
        <w:spacing w:before="65" w:line="228" w:lineRule="auto"/>
        <w:ind w:left="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本单位对上述声明的真实性负责。如有虚假，将依法承担相应责任。</w:t>
      </w:r>
    </w:p>
    <w:p w14:paraId="5ACCA674">
      <w:pPr>
        <w:spacing w:before="66" w:line="228" w:lineRule="auto"/>
        <w:ind w:left="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单位名称（盖章</w:t>
      </w:r>
      <w:r>
        <w:rPr>
          <w:rFonts w:ascii="宋体" w:hAnsi="宋体" w:eastAsia="宋体" w:cs="宋体"/>
          <w:color w:val="auto"/>
          <w:spacing w:val="1"/>
          <w:sz w:val="20"/>
          <w:szCs w:val="20"/>
          <w:highlight w:val="none"/>
        </w:rPr>
        <w:t>）：</w:t>
      </w:r>
    </w:p>
    <w:p w14:paraId="42B99B07">
      <w:pPr>
        <w:spacing w:before="65" w:line="229" w:lineRule="auto"/>
        <w:ind w:left="36"/>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p>
    <w:p w14:paraId="62768053">
      <w:pPr>
        <w:spacing w:line="229" w:lineRule="auto"/>
        <w:rPr>
          <w:rFonts w:ascii="宋体" w:hAnsi="宋体" w:eastAsia="宋体" w:cs="宋体"/>
          <w:color w:val="auto"/>
          <w:sz w:val="20"/>
          <w:szCs w:val="20"/>
          <w:highlight w:val="none"/>
        </w:rPr>
        <w:sectPr>
          <w:footerReference r:id="rId54" w:type="default"/>
          <w:pgSz w:w="11906" w:h="16839"/>
          <w:pgMar w:top="1402" w:right="1246" w:bottom="1209" w:left="1425" w:header="0" w:footer="973" w:gutter="0"/>
          <w:pgNumType w:fmt="decimal"/>
          <w:cols w:space="720" w:num="1"/>
        </w:sectPr>
      </w:pPr>
    </w:p>
    <w:p w14:paraId="0F2E0F1D">
      <w:pPr>
        <w:spacing w:before="311" w:line="225" w:lineRule="auto"/>
        <w:ind w:left="1732" w:leftChars="0"/>
        <w:outlineLvl w:val="3"/>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政府采购促进中小企业发展管理办法</w:t>
      </w:r>
    </w:p>
    <w:p w14:paraId="79EC8D90">
      <w:pPr>
        <w:spacing w:before="78" w:line="220" w:lineRule="auto"/>
        <w:ind w:left="363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财库〔2020〕46号</w:t>
      </w:r>
    </w:p>
    <w:p w14:paraId="7ED02D83">
      <w:pPr>
        <w:spacing w:before="78" w:line="254" w:lineRule="auto"/>
        <w:ind w:firstLine="48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第一条</w:t>
      </w:r>
      <w:r>
        <w:rPr>
          <w:rFonts w:ascii="宋体" w:hAnsi="宋体" w:eastAsia="宋体" w:cs="宋体"/>
          <w:color w:val="auto"/>
          <w:sz w:val="24"/>
          <w:szCs w:val="24"/>
          <w:highlight w:val="none"/>
        </w:rPr>
        <w:t>为了发挥政府采购的政策功能，促进</w:t>
      </w:r>
      <w:r>
        <w:rPr>
          <w:rFonts w:ascii="宋体" w:hAnsi="宋体" w:eastAsia="宋体" w:cs="宋体"/>
          <w:color w:val="auto"/>
          <w:spacing w:val="-1"/>
          <w:sz w:val="24"/>
          <w:szCs w:val="24"/>
          <w:highlight w:val="none"/>
        </w:rPr>
        <w:t>中小企业健康发展，根据《中华人民</w:t>
      </w:r>
      <w:r>
        <w:rPr>
          <w:rFonts w:ascii="宋体" w:hAnsi="宋体" w:eastAsia="宋体" w:cs="宋体"/>
          <w:color w:val="auto"/>
          <w:spacing w:val="-7"/>
          <w:sz w:val="24"/>
          <w:szCs w:val="24"/>
          <w:highlight w:val="none"/>
        </w:rPr>
        <w:t>共和国政府采购法》、《中华人民共和国中小企业促进法》等有关法律</w:t>
      </w:r>
      <w:r>
        <w:rPr>
          <w:rFonts w:ascii="宋体" w:hAnsi="宋体" w:eastAsia="宋体" w:cs="宋体"/>
          <w:color w:val="auto"/>
          <w:spacing w:val="-8"/>
          <w:sz w:val="24"/>
          <w:szCs w:val="24"/>
          <w:highlight w:val="none"/>
        </w:rPr>
        <w:t>法规，制定本办法。</w:t>
      </w:r>
    </w:p>
    <w:p w14:paraId="5E067B91">
      <w:pPr>
        <w:spacing w:before="78" w:line="265" w:lineRule="auto"/>
        <w:ind w:right="81" w:firstLine="48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第二条</w:t>
      </w:r>
      <w:r>
        <w:rPr>
          <w:rFonts w:ascii="宋体" w:hAnsi="宋体" w:eastAsia="宋体" w:cs="宋体"/>
          <w:color w:val="auto"/>
          <w:sz w:val="24"/>
          <w:szCs w:val="24"/>
          <w:highlight w:val="none"/>
        </w:rPr>
        <w:t>本办法所称中小企业，是指在中华人</w:t>
      </w:r>
      <w:r>
        <w:rPr>
          <w:rFonts w:ascii="宋体" w:hAnsi="宋体" w:eastAsia="宋体" w:cs="宋体"/>
          <w:color w:val="auto"/>
          <w:spacing w:val="-1"/>
          <w:sz w:val="24"/>
          <w:szCs w:val="24"/>
          <w:highlight w:val="none"/>
        </w:rPr>
        <w:t>民共和国境内依法设立，依据国务院</w:t>
      </w:r>
      <w:r>
        <w:rPr>
          <w:rFonts w:ascii="宋体" w:hAnsi="宋体" w:eastAsia="宋体" w:cs="宋体"/>
          <w:color w:val="auto"/>
          <w:spacing w:val="-3"/>
          <w:sz w:val="24"/>
          <w:szCs w:val="24"/>
          <w:highlight w:val="none"/>
        </w:rPr>
        <w:t>批准的中小企业划分标准确定的中型企业、小型企业和微型</w:t>
      </w:r>
      <w:r>
        <w:rPr>
          <w:rFonts w:ascii="宋体" w:hAnsi="宋体" w:eastAsia="宋体" w:cs="宋体"/>
          <w:color w:val="auto"/>
          <w:spacing w:val="-4"/>
          <w:sz w:val="24"/>
          <w:szCs w:val="24"/>
          <w:highlight w:val="none"/>
        </w:rPr>
        <w:t>企业，但与大企业的负责人为</w:t>
      </w:r>
      <w:r>
        <w:rPr>
          <w:rFonts w:ascii="宋体" w:hAnsi="宋体" w:eastAsia="宋体" w:cs="宋体"/>
          <w:color w:val="auto"/>
          <w:spacing w:val="-1"/>
          <w:sz w:val="24"/>
          <w:szCs w:val="24"/>
          <w:highlight w:val="none"/>
        </w:rPr>
        <w:t>同一人，或者与大企业存在直接控股、管理关系的除外。</w:t>
      </w:r>
    </w:p>
    <w:p w14:paraId="17D65A51">
      <w:pPr>
        <w:spacing w:before="78" w:line="219" w:lineRule="auto"/>
        <w:ind w:left="482"/>
        <w:rPr>
          <w:rFonts w:ascii="宋体" w:hAnsi="宋体" w:eastAsia="宋体" w:cs="宋体"/>
          <w:color w:val="auto"/>
          <w:sz w:val="24"/>
          <w:szCs w:val="24"/>
          <w:highlight w:val="none"/>
        </w:rPr>
      </w:pPr>
      <w:r>
        <w:rPr>
          <w:rFonts w:ascii="宋体" w:hAnsi="宋体" w:eastAsia="宋体" w:cs="宋体"/>
          <w:color w:val="auto"/>
          <w:sz w:val="24"/>
          <w:szCs w:val="24"/>
          <w:highlight w:val="none"/>
        </w:rPr>
        <w:t>符合中小企业划分标准的个体工商户，在政</w:t>
      </w:r>
      <w:r>
        <w:rPr>
          <w:rFonts w:ascii="宋体" w:hAnsi="宋体" w:eastAsia="宋体" w:cs="宋体"/>
          <w:color w:val="auto"/>
          <w:spacing w:val="-1"/>
          <w:sz w:val="24"/>
          <w:szCs w:val="24"/>
          <w:highlight w:val="none"/>
        </w:rPr>
        <w:t>府采购活动中视同中小企业。</w:t>
      </w:r>
    </w:p>
    <w:p w14:paraId="41E51A90">
      <w:pPr>
        <w:spacing w:before="78" w:line="253" w:lineRule="auto"/>
        <w:ind w:left="1" w:firstLine="479"/>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第三条</w:t>
      </w:r>
      <w:r>
        <w:rPr>
          <w:rFonts w:ascii="宋体" w:hAnsi="宋体" w:eastAsia="宋体" w:cs="宋体"/>
          <w:color w:val="auto"/>
          <w:spacing w:val="-1"/>
          <w:sz w:val="24"/>
          <w:szCs w:val="24"/>
          <w:highlight w:val="none"/>
        </w:rPr>
        <w:t>采购人在政府采购活动中应当通</w:t>
      </w:r>
      <w:r>
        <w:rPr>
          <w:rFonts w:ascii="宋体" w:hAnsi="宋体" w:eastAsia="宋体" w:cs="宋体"/>
          <w:color w:val="auto"/>
          <w:spacing w:val="-2"/>
          <w:sz w:val="24"/>
          <w:szCs w:val="24"/>
          <w:highlight w:val="none"/>
        </w:rPr>
        <w:t>过加强采购需求管理，落实预留采购份额、</w:t>
      </w:r>
      <w:r>
        <w:rPr>
          <w:rFonts w:ascii="宋体" w:hAnsi="宋体" w:eastAsia="宋体" w:cs="宋体"/>
          <w:color w:val="auto"/>
          <w:spacing w:val="-7"/>
          <w:sz w:val="24"/>
          <w:szCs w:val="24"/>
          <w:highlight w:val="none"/>
        </w:rPr>
        <w:t>价格评审优惠、优先采购等措施，提高中小企业在政府采购中的份</w:t>
      </w:r>
      <w:r>
        <w:rPr>
          <w:rFonts w:ascii="宋体" w:hAnsi="宋体" w:eastAsia="宋体" w:cs="宋体"/>
          <w:color w:val="auto"/>
          <w:spacing w:val="-8"/>
          <w:sz w:val="24"/>
          <w:szCs w:val="24"/>
          <w:highlight w:val="none"/>
        </w:rPr>
        <w:t>额，支持中小企业发展。</w:t>
      </w:r>
    </w:p>
    <w:p w14:paraId="25791E52">
      <w:pPr>
        <w:spacing w:before="79" w:line="253" w:lineRule="auto"/>
        <w:ind w:left="1" w:right="255" w:firstLine="47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第四条</w:t>
      </w:r>
      <w:r>
        <w:rPr>
          <w:rFonts w:ascii="宋体" w:hAnsi="宋体" w:eastAsia="宋体" w:cs="宋体"/>
          <w:color w:val="auto"/>
          <w:spacing w:val="-2"/>
          <w:sz w:val="24"/>
          <w:szCs w:val="24"/>
          <w:highlight w:val="none"/>
        </w:rPr>
        <w:t>在政府采购活动中，供应商提供的货物、工程或者服务符合下列情形的，</w:t>
      </w:r>
      <w:r>
        <w:rPr>
          <w:rFonts w:ascii="宋体" w:hAnsi="宋体" w:eastAsia="宋体" w:cs="宋体"/>
          <w:color w:val="auto"/>
          <w:spacing w:val="-1"/>
          <w:sz w:val="24"/>
          <w:szCs w:val="24"/>
          <w:highlight w:val="none"/>
        </w:rPr>
        <w:t>享受本办法规定的中小企业扶持政策：</w:t>
      </w:r>
    </w:p>
    <w:p w14:paraId="31A48EC3">
      <w:pPr>
        <w:spacing w:before="78" w:line="253" w:lineRule="auto"/>
        <w:ind w:left="7" w:right="81" w:firstLine="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（一）在货物采购项目中，货物由中小企业制造，即货物由中小企业生产且使用该中</w:t>
      </w:r>
      <w:r>
        <w:rPr>
          <w:rFonts w:ascii="宋体" w:hAnsi="宋体" w:eastAsia="宋体" w:cs="宋体"/>
          <w:color w:val="auto"/>
          <w:spacing w:val="-2"/>
          <w:sz w:val="24"/>
          <w:szCs w:val="24"/>
          <w:highlight w:val="none"/>
        </w:rPr>
        <w:t>小企业商号或者注册商标；</w:t>
      </w:r>
    </w:p>
    <w:p w14:paraId="3FCDA6C4">
      <w:pPr>
        <w:spacing w:before="79" w:line="219" w:lineRule="auto"/>
        <w:ind w:left="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（二）在工程采购项目中，工程由中小企业承建，即工程施工单位为中小企业；</w:t>
      </w:r>
    </w:p>
    <w:p w14:paraId="3C6F292E">
      <w:pPr>
        <w:spacing w:before="79" w:line="254" w:lineRule="auto"/>
        <w:ind w:left="6" w:right="81" w:firstLine="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（三）在服务采购项目中，服务由中小企业承接，即提供服务的人员为中小企业依照</w:t>
      </w:r>
      <w:r>
        <w:rPr>
          <w:rFonts w:ascii="宋体" w:hAnsi="宋体" w:eastAsia="宋体" w:cs="宋体"/>
          <w:color w:val="auto"/>
          <w:spacing w:val="-1"/>
          <w:sz w:val="24"/>
          <w:szCs w:val="24"/>
          <w:highlight w:val="none"/>
        </w:rPr>
        <w:t>《中华人民共和国劳动合同法》订立劳动合同的从业人员。</w:t>
      </w:r>
    </w:p>
    <w:p w14:paraId="21BC9296">
      <w:pPr>
        <w:spacing w:before="78" w:line="290" w:lineRule="auto"/>
        <w:ind w:right="81"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在货物采购项目中，供应商提供的货物既有中小企业制造货物，也有大型企业制造货</w:t>
      </w:r>
      <w:r>
        <w:rPr>
          <w:rFonts w:ascii="宋体" w:hAnsi="宋体" w:eastAsia="宋体" w:cs="宋体"/>
          <w:color w:val="auto"/>
          <w:spacing w:val="-1"/>
          <w:sz w:val="24"/>
          <w:szCs w:val="24"/>
          <w:highlight w:val="none"/>
        </w:rPr>
        <w:t>物的，不享受本办法规定的中小企业扶持政策。</w:t>
      </w:r>
    </w:p>
    <w:p w14:paraId="039E33F5">
      <w:pPr>
        <w:spacing w:before="274" w:line="290" w:lineRule="auto"/>
        <w:ind w:left="1" w:firstLine="50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以联合体形式参加政府采购活动，联合体各方均为中小企</w:t>
      </w:r>
      <w:r>
        <w:rPr>
          <w:rFonts w:ascii="宋体" w:hAnsi="宋体" w:eastAsia="宋体" w:cs="宋体"/>
          <w:color w:val="auto"/>
          <w:spacing w:val="-9"/>
          <w:sz w:val="24"/>
          <w:szCs w:val="24"/>
          <w:highlight w:val="none"/>
        </w:rPr>
        <w:t>业的，联合体视同中小企业。</w:t>
      </w:r>
      <w:r>
        <w:rPr>
          <w:rFonts w:ascii="宋体" w:hAnsi="宋体" w:eastAsia="宋体" w:cs="宋体"/>
          <w:color w:val="auto"/>
          <w:spacing w:val="-1"/>
          <w:sz w:val="24"/>
          <w:szCs w:val="24"/>
          <w:highlight w:val="none"/>
        </w:rPr>
        <w:t>其中，联合体各方均为小微企业的，联合体视同小微企业。</w:t>
      </w:r>
    </w:p>
    <w:p w14:paraId="49B2B112">
      <w:pPr>
        <w:spacing w:before="275" w:line="288" w:lineRule="auto"/>
        <w:ind w:right="81" w:firstLine="480"/>
        <w:jc w:val="both"/>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第五条</w:t>
      </w:r>
      <w:r>
        <w:rPr>
          <w:rFonts w:ascii="宋体" w:hAnsi="宋体" w:eastAsia="宋体" w:cs="宋体"/>
          <w:color w:val="auto"/>
          <w:sz w:val="24"/>
          <w:szCs w:val="24"/>
          <w:highlight w:val="none"/>
        </w:rPr>
        <w:t>采购人在政府采购活动中应当合理确</w:t>
      </w:r>
      <w:r>
        <w:rPr>
          <w:rFonts w:ascii="宋体" w:hAnsi="宋体" w:eastAsia="宋体" w:cs="宋体"/>
          <w:color w:val="auto"/>
          <w:spacing w:val="-1"/>
          <w:sz w:val="24"/>
          <w:szCs w:val="24"/>
          <w:highlight w:val="none"/>
        </w:rPr>
        <w:t>定采购项目的采购需求，不得以企业</w:t>
      </w:r>
      <w:r>
        <w:rPr>
          <w:rFonts w:ascii="宋体" w:hAnsi="宋体" w:eastAsia="宋体" w:cs="宋体"/>
          <w:color w:val="auto"/>
          <w:spacing w:val="-3"/>
          <w:sz w:val="24"/>
          <w:szCs w:val="24"/>
          <w:highlight w:val="none"/>
        </w:rPr>
        <w:t>注册资本、资产总额、营业收入、从业人员、利润、纳税</w:t>
      </w:r>
      <w:r>
        <w:rPr>
          <w:rFonts w:ascii="宋体" w:hAnsi="宋体" w:eastAsia="宋体" w:cs="宋体"/>
          <w:color w:val="auto"/>
          <w:spacing w:val="-4"/>
          <w:sz w:val="24"/>
          <w:szCs w:val="24"/>
          <w:highlight w:val="none"/>
        </w:rPr>
        <w:t>额等规模条件和财务指标作为供</w:t>
      </w:r>
      <w:r>
        <w:rPr>
          <w:rFonts w:ascii="宋体" w:hAnsi="宋体" w:eastAsia="宋体" w:cs="宋体"/>
          <w:color w:val="auto"/>
          <w:spacing w:val="-3"/>
          <w:sz w:val="24"/>
          <w:szCs w:val="24"/>
          <w:highlight w:val="none"/>
        </w:rPr>
        <w:t>应商的资格要求或者评审因素，不得在企业股权结构、经</w:t>
      </w:r>
      <w:r>
        <w:rPr>
          <w:rFonts w:ascii="宋体" w:hAnsi="宋体" w:eastAsia="宋体" w:cs="宋体"/>
          <w:color w:val="auto"/>
          <w:spacing w:val="-4"/>
          <w:sz w:val="24"/>
          <w:szCs w:val="24"/>
          <w:highlight w:val="none"/>
        </w:rPr>
        <w:t>营年限等方面对中小企业实行差</w:t>
      </w:r>
      <w:r>
        <w:rPr>
          <w:rFonts w:ascii="宋体" w:hAnsi="宋体" w:eastAsia="宋体" w:cs="宋体"/>
          <w:color w:val="auto"/>
          <w:spacing w:val="-1"/>
          <w:sz w:val="24"/>
          <w:szCs w:val="24"/>
          <w:highlight w:val="none"/>
        </w:rPr>
        <w:t>别待遇或者歧视待遇。</w:t>
      </w:r>
    </w:p>
    <w:p w14:paraId="04EC4797">
      <w:pPr>
        <w:spacing w:line="288" w:lineRule="auto"/>
        <w:rPr>
          <w:rFonts w:ascii="宋体" w:hAnsi="宋体" w:eastAsia="宋体" w:cs="宋体"/>
          <w:color w:val="auto"/>
          <w:sz w:val="24"/>
          <w:szCs w:val="24"/>
          <w:highlight w:val="none"/>
        </w:rPr>
        <w:sectPr>
          <w:footerReference r:id="rId55" w:type="default"/>
          <w:pgSz w:w="11906" w:h="16839"/>
          <w:pgMar w:top="1431" w:right="1166" w:bottom="1209" w:left="1426" w:header="0" w:footer="973" w:gutter="0"/>
          <w:pgNumType w:fmt="decimal"/>
          <w:cols w:space="720" w:num="1"/>
        </w:sectPr>
      </w:pPr>
    </w:p>
    <w:p w14:paraId="05EFA3B7">
      <w:pPr>
        <w:spacing w:before="48" w:line="288" w:lineRule="auto"/>
        <w:ind w:right="65" w:firstLine="480"/>
        <w:jc w:val="both"/>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第六条</w:t>
      </w:r>
      <w:r>
        <w:rPr>
          <w:rFonts w:ascii="宋体" w:hAnsi="宋体" w:eastAsia="宋体" w:cs="宋体"/>
          <w:color w:val="auto"/>
          <w:sz w:val="24"/>
          <w:szCs w:val="24"/>
          <w:highlight w:val="none"/>
        </w:rPr>
        <w:t>主管预算单位应当组织评估本部门及</w:t>
      </w:r>
      <w:r>
        <w:rPr>
          <w:rFonts w:ascii="宋体" w:hAnsi="宋体" w:eastAsia="宋体" w:cs="宋体"/>
          <w:color w:val="auto"/>
          <w:spacing w:val="-1"/>
          <w:sz w:val="24"/>
          <w:szCs w:val="24"/>
          <w:highlight w:val="none"/>
        </w:rPr>
        <w:t>所属单位政府采购项目，统筹制定面</w:t>
      </w:r>
      <w:r>
        <w:rPr>
          <w:rFonts w:ascii="宋体" w:hAnsi="宋体" w:eastAsia="宋体" w:cs="宋体"/>
          <w:color w:val="auto"/>
          <w:spacing w:val="-3"/>
          <w:sz w:val="24"/>
          <w:szCs w:val="24"/>
          <w:highlight w:val="none"/>
        </w:rPr>
        <w:t>向中小企业预留采购份额的具体方案，对适宜由中小企业提</w:t>
      </w:r>
      <w:r>
        <w:rPr>
          <w:rFonts w:ascii="宋体" w:hAnsi="宋体" w:eastAsia="宋体" w:cs="宋体"/>
          <w:color w:val="auto"/>
          <w:spacing w:val="-4"/>
          <w:sz w:val="24"/>
          <w:szCs w:val="24"/>
          <w:highlight w:val="none"/>
        </w:rPr>
        <w:t>供的采购项目和采购包，预留</w:t>
      </w:r>
      <w:r>
        <w:rPr>
          <w:rFonts w:ascii="宋体" w:hAnsi="宋体" w:eastAsia="宋体" w:cs="宋体"/>
          <w:color w:val="auto"/>
          <w:sz w:val="24"/>
          <w:szCs w:val="24"/>
          <w:highlight w:val="none"/>
        </w:rPr>
        <w:t>采购份额专门面向中小企业采购，并在政府</w:t>
      </w:r>
      <w:r>
        <w:rPr>
          <w:rFonts w:ascii="宋体" w:hAnsi="宋体" w:eastAsia="宋体" w:cs="宋体"/>
          <w:color w:val="auto"/>
          <w:spacing w:val="-1"/>
          <w:sz w:val="24"/>
          <w:szCs w:val="24"/>
          <w:highlight w:val="none"/>
        </w:rPr>
        <w:t>采购预算中单独列示。</w:t>
      </w:r>
    </w:p>
    <w:p w14:paraId="0B119B9A">
      <w:pPr>
        <w:spacing w:before="278" w:line="219"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符合下列情形之一的，可不专门面向中小企业预留采购份额：</w:t>
      </w:r>
    </w:p>
    <w:p w14:paraId="77E38196">
      <w:pPr>
        <w:spacing w:before="78" w:line="253" w:lineRule="auto"/>
        <w:ind w:left="5" w:right="65"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（一）法律法规和国家有关政策明确规定优先或者应当面向事业单位、社会组织等非</w:t>
      </w:r>
      <w:r>
        <w:rPr>
          <w:rFonts w:ascii="宋体" w:hAnsi="宋体" w:eastAsia="宋体" w:cs="宋体"/>
          <w:color w:val="auto"/>
          <w:spacing w:val="-2"/>
          <w:sz w:val="24"/>
          <w:szCs w:val="24"/>
          <w:highlight w:val="none"/>
        </w:rPr>
        <w:t>企业主体采购的；</w:t>
      </w:r>
    </w:p>
    <w:p w14:paraId="5BB90931">
      <w:pPr>
        <w:spacing w:before="78" w:line="253" w:lineRule="auto"/>
        <w:ind w:left="3" w:right="65" w:firstLine="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（二）因确需使用不可替代的专利、专有技术，基础设施限制，或者提供特定公共服</w:t>
      </w:r>
      <w:r>
        <w:rPr>
          <w:rFonts w:ascii="宋体" w:hAnsi="宋体" w:eastAsia="宋体" w:cs="宋体"/>
          <w:color w:val="auto"/>
          <w:spacing w:val="-1"/>
          <w:sz w:val="24"/>
          <w:szCs w:val="24"/>
          <w:highlight w:val="none"/>
        </w:rPr>
        <w:t>务等原因，只能从中小企业之外的供应商处采购的；</w:t>
      </w:r>
    </w:p>
    <w:p w14:paraId="1C4A4FCC">
      <w:pPr>
        <w:spacing w:before="78" w:line="253" w:lineRule="auto"/>
        <w:ind w:left="14" w:right="65"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（三）按照本办法规定预留采购份额无法确保充分供应、充分竞争，或者存在可能影</w:t>
      </w:r>
      <w:r>
        <w:rPr>
          <w:rFonts w:ascii="宋体" w:hAnsi="宋体" w:eastAsia="宋体" w:cs="宋体"/>
          <w:color w:val="auto"/>
          <w:spacing w:val="-2"/>
          <w:sz w:val="24"/>
          <w:szCs w:val="24"/>
          <w:highlight w:val="none"/>
        </w:rPr>
        <w:t>响政府采购目标实现的情形；</w:t>
      </w:r>
    </w:p>
    <w:p w14:paraId="52FBBEA0">
      <w:pPr>
        <w:spacing w:before="79"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（四）框架协议采购项目；</w:t>
      </w:r>
    </w:p>
    <w:p w14:paraId="10437CF7">
      <w:pPr>
        <w:spacing w:before="78"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（五）省级以上人民政府财政部门规定的其他情形。</w:t>
      </w:r>
    </w:p>
    <w:p w14:paraId="44BE10A4">
      <w:pPr>
        <w:spacing w:before="78" w:line="219" w:lineRule="auto"/>
        <w:ind w:left="49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除上述情形外，其他均为适宜由中小企业提供的情形。</w:t>
      </w:r>
    </w:p>
    <w:p w14:paraId="29CB9391">
      <w:pPr>
        <w:spacing w:before="78" w:line="254" w:lineRule="auto"/>
        <w:ind w:left="21" w:right="183" w:firstLine="46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第七条</w:t>
      </w:r>
      <w:r>
        <w:rPr>
          <w:rFonts w:ascii="宋体" w:hAnsi="宋体" w:eastAsia="宋体" w:cs="宋体"/>
          <w:color w:val="auto"/>
          <w:sz w:val="24"/>
          <w:szCs w:val="24"/>
          <w:highlight w:val="none"/>
        </w:rPr>
        <w:t>采购限额标准以上，200万元以下的货物</w:t>
      </w:r>
      <w:r>
        <w:rPr>
          <w:rFonts w:ascii="宋体" w:hAnsi="宋体" w:eastAsia="宋体" w:cs="宋体"/>
          <w:color w:val="auto"/>
          <w:spacing w:val="-1"/>
          <w:sz w:val="24"/>
          <w:szCs w:val="24"/>
          <w:highlight w:val="none"/>
        </w:rPr>
        <w:t>和服务采购项目、400万元以下的工程采购项目，适宜由中小企业提供的，采购人应当专门面向中小企业采购。</w:t>
      </w:r>
    </w:p>
    <w:p w14:paraId="1E28E2C0">
      <w:pPr>
        <w:spacing w:before="79" w:line="265" w:lineRule="auto"/>
        <w:ind w:right="65" w:firstLine="481"/>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第八条</w:t>
      </w:r>
      <w:r>
        <w:rPr>
          <w:rFonts w:ascii="宋体" w:hAnsi="宋体" w:eastAsia="宋体" w:cs="宋体"/>
          <w:color w:val="auto"/>
          <w:spacing w:val="1"/>
          <w:sz w:val="24"/>
          <w:szCs w:val="24"/>
          <w:highlight w:val="none"/>
        </w:rPr>
        <w:t>超过200万元的货物和服务采购项目、超过400万元的工程采购项目中</w:t>
      </w:r>
      <w:r>
        <w:rPr>
          <w:rFonts w:ascii="宋体" w:hAnsi="宋体" w:eastAsia="宋体" w:cs="宋体"/>
          <w:color w:val="auto"/>
          <w:sz w:val="24"/>
          <w:szCs w:val="24"/>
          <w:highlight w:val="none"/>
        </w:rPr>
        <w:t>适宜由中小企业提供的，预留该部分采购项目预算总额的30%以上</w:t>
      </w:r>
      <w:r>
        <w:rPr>
          <w:rFonts w:ascii="宋体" w:hAnsi="宋体" w:eastAsia="宋体" w:cs="宋体"/>
          <w:color w:val="auto"/>
          <w:spacing w:val="-1"/>
          <w:sz w:val="24"/>
          <w:szCs w:val="24"/>
          <w:highlight w:val="none"/>
        </w:rPr>
        <w:t>专门面向中小企业采</w:t>
      </w:r>
      <w:r>
        <w:rPr>
          <w:rFonts w:ascii="宋体" w:hAnsi="宋体" w:eastAsia="宋体" w:cs="宋体"/>
          <w:color w:val="auto"/>
          <w:sz w:val="24"/>
          <w:szCs w:val="24"/>
          <w:highlight w:val="none"/>
        </w:rPr>
        <w:t>购，其中预留给小微企业的比例不低于60%。预留份额</w:t>
      </w:r>
      <w:r>
        <w:rPr>
          <w:rFonts w:ascii="宋体" w:hAnsi="宋体" w:eastAsia="宋体" w:cs="宋体"/>
          <w:color w:val="auto"/>
          <w:spacing w:val="-1"/>
          <w:sz w:val="24"/>
          <w:szCs w:val="24"/>
          <w:highlight w:val="none"/>
        </w:rPr>
        <w:t>通过下列措施进行：</w:t>
      </w:r>
    </w:p>
    <w:p w14:paraId="3732F780">
      <w:pPr>
        <w:spacing w:before="78" w:line="219" w:lineRule="auto"/>
        <w:ind w:left="493" w:leftChars="0"/>
        <w:outlineLvl w:val="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（一）将采购项目整体或者设置采购包专门面向中小企业采购；</w:t>
      </w:r>
    </w:p>
    <w:p w14:paraId="6787D678">
      <w:pPr>
        <w:spacing w:before="79" w:line="254" w:lineRule="auto"/>
        <w:ind w:left="5" w:right="65"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（二）要求供应商以联合体形式参加采购活动，且联合体中中小企业承担的部分达到</w:t>
      </w:r>
      <w:r>
        <w:rPr>
          <w:rFonts w:ascii="宋体" w:hAnsi="宋体" w:eastAsia="宋体" w:cs="宋体"/>
          <w:color w:val="auto"/>
          <w:spacing w:val="-3"/>
          <w:sz w:val="24"/>
          <w:szCs w:val="24"/>
          <w:highlight w:val="none"/>
        </w:rPr>
        <w:t>一定比例；</w:t>
      </w:r>
    </w:p>
    <w:p w14:paraId="6962C5FC">
      <w:pPr>
        <w:spacing w:before="78" w:line="259" w:lineRule="auto"/>
        <w:ind w:left="5" w:right="65" w:firstLine="48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（三）要求获得采购合同的供应商将采购项目中的一定比例分包给一家或者多家中小</w:t>
      </w:r>
      <w:r>
        <w:rPr>
          <w:rFonts w:ascii="宋体" w:hAnsi="宋体" w:eastAsia="宋体" w:cs="宋体"/>
          <w:color w:val="auto"/>
          <w:spacing w:val="-5"/>
          <w:sz w:val="24"/>
          <w:szCs w:val="24"/>
          <w:highlight w:val="none"/>
        </w:rPr>
        <w:t>企业。</w:t>
      </w:r>
    </w:p>
    <w:p w14:paraId="3081C5D0">
      <w:pPr>
        <w:spacing w:before="79" w:line="290" w:lineRule="auto"/>
        <w:ind w:right="65"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组成联合体或者接受分包合同的中小企业与联合体内其他企业、分包企业之间不得存</w:t>
      </w:r>
      <w:r>
        <w:rPr>
          <w:rFonts w:ascii="宋体" w:hAnsi="宋体" w:eastAsia="宋体" w:cs="宋体"/>
          <w:color w:val="auto"/>
          <w:spacing w:val="-1"/>
          <w:sz w:val="24"/>
          <w:szCs w:val="24"/>
          <w:highlight w:val="none"/>
        </w:rPr>
        <w:t>在直接控股、管理关系。</w:t>
      </w:r>
    </w:p>
    <w:p w14:paraId="0E17FA2F">
      <w:pPr>
        <w:spacing w:before="272" w:line="290" w:lineRule="auto"/>
        <w:ind w:left="29" w:firstLine="45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第九条</w:t>
      </w:r>
      <w:r>
        <w:rPr>
          <w:rFonts w:ascii="宋体" w:hAnsi="宋体" w:eastAsia="宋体" w:cs="宋体"/>
          <w:color w:val="auto"/>
          <w:spacing w:val="-2"/>
          <w:sz w:val="24"/>
          <w:szCs w:val="24"/>
          <w:highlight w:val="none"/>
        </w:rPr>
        <w:t>对于经主管预算单位统筹后未预留份额专门面向中小企业采购的采购项目，</w:t>
      </w:r>
      <w:r>
        <w:rPr>
          <w:rFonts w:ascii="宋体" w:hAnsi="宋体" w:eastAsia="宋体" w:cs="宋体"/>
          <w:color w:val="auto"/>
          <w:spacing w:val="-4"/>
          <w:sz w:val="24"/>
          <w:szCs w:val="24"/>
          <w:highlight w:val="none"/>
        </w:rPr>
        <w:t>以及预留份额项目中的非预留部分采购包，采购人、采购代理机构应当对符合本办法</w:t>
      </w:r>
      <w:r>
        <w:rPr>
          <w:rFonts w:ascii="宋体" w:hAnsi="宋体" w:eastAsia="宋体" w:cs="宋体"/>
          <w:color w:val="auto"/>
          <w:spacing w:val="-5"/>
          <w:sz w:val="24"/>
          <w:szCs w:val="24"/>
          <w:highlight w:val="none"/>
        </w:rPr>
        <w:t>规定</w:t>
      </w:r>
    </w:p>
    <w:p w14:paraId="0E17E8DC">
      <w:pPr>
        <w:spacing w:line="290" w:lineRule="auto"/>
        <w:rPr>
          <w:rFonts w:ascii="宋体" w:hAnsi="宋体" w:eastAsia="宋体" w:cs="宋体"/>
          <w:color w:val="auto"/>
          <w:sz w:val="24"/>
          <w:szCs w:val="24"/>
          <w:highlight w:val="none"/>
        </w:rPr>
        <w:sectPr>
          <w:footerReference r:id="rId56" w:type="default"/>
          <w:pgSz w:w="11906" w:h="16839"/>
          <w:pgMar w:top="1405" w:right="1181" w:bottom="1209" w:left="1425" w:header="0" w:footer="973" w:gutter="0"/>
          <w:pgNumType w:fmt="decimal"/>
          <w:cols w:space="720" w:num="1"/>
        </w:sectPr>
      </w:pPr>
    </w:p>
    <w:p w14:paraId="710A6EC8">
      <w:pPr>
        <w:spacing w:before="48" w:line="288" w:lineRule="auto"/>
        <w:ind w:left="1" w:right="105" w:firstLine="18"/>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的小微企业报价给予6%—10%（工程项目为3%—5%）的扣除，用扣除后的价格参加评</w:t>
      </w:r>
      <w:r>
        <w:rPr>
          <w:rFonts w:ascii="宋体" w:hAnsi="宋体" w:eastAsia="宋体" w:cs="宋体"/>
          <w:color w:val="auto"/>
          <w:spacing w:val="-3"/>
          <w:sz w:val="24"/>
          <w:szCs w:val="24"/>
          <w:highlight w:val="none"/>
        </w:rPr>
        <w:t>审。适用招标投标法的政府采购工程建设项目，采用综</w:t>
      </w:r>
      <w:r>
        <w:rPr>
          <w:rFonts w:ascii="宋体" w:hAnsi="宋体" w:eastAsia="宋体" w:cs="宋体"/>
          <w:color w:val="auto"/>
          <w:spacing w:val="-4"/>
          <w:sz w:val="24"/>
          <w:szCs w:val="24"/>
          <w:highlight w:val="none"/>
        </w:rPr>
        <w:t>合评估法但未采用低价优先法计算</w:t>
      </w:r>
      <w:r>
        <w:rPr>
          <w:rFonts w:ascii="宋体" w:hAnsi="宋体" w:eastAsia="宋体" w:cs="宋体"/>
          <w:color w:val="auto"/>
          <w:spacing w:val="-3"/>
          <w:sz w:val="24"/>
          <w:szCs w:val="24"/>
          <w:highlight w:val="none"/>
        </w:rPr>
        <w:t>价格分的，评标时应当在采用原报价进行评分的基础上增加其价格得分的3%</w:t>
      </w:r>
      <w:r>
        <w:rPr>
          <w:rFonts w:ascii="宋体" w:hAnsi="宋体" w:eastAsia="宋体" w:cs="宋体"/>
          <w:color w:val="auto"/>
          <w:spacing w:val="-4"/>
          <w:sz w:val="24"/>
          <w:szCs w:val="24"/>
          <w:highlight w:val="none"/>
        </w:rPr>
        <w:t>—5%作为其</w:t>
      </w:r>
      <w:r>
        <w:rPr>
          <w:rFonts w:ascii="宋体" w:hAnsi="宋体" w:eastAsia="宋体" w:cs="宋体"/>
          <w:color w:val="auto"/>
          <w:spacing w:val="-3"/>
          <w:sz w:val="24"/>
          <w:szCs w:val="24"/>
          <w:highlight w:val="none"/>
        </w:rPr>
        <w:t>价格分。</w:t>
      </w:r>
    </w:p>
    <w:p w14:paraId="0F56D82F">
      <w:pPr>
        <w:spacing w:before="277" w:line="287" w:lineRule="auto"/>
        <w:ind w:right="105" w:firstLine="48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接受大中型企业与小微企业组成联合体或者允许大中型企业</w:t>
      </w:r>
      <w:r>
        <w:rPr>
          <w:rFonts w:ascii="宋体" w:hAnsi="宋体" w:eastAsia="宋体" w:cs="宋体"/>
          <w:color w:val="auto"/>
          <w:spacing w:val="-1"/>
          <w:sz w:val="24"/>
          <w:szCs w:val="24"/>
          <w:highlight w:val="none"/>
        </w:rPr>
        <w:t>向一家或者多家小微企</w:t>
      </w:r>
      <w:r>
        <w:rPr>
          <w:rFonts w:ascii="宋体" w:hAnsi="宋体" w:eastAsia="宋体" w:cs="宋体"/>
          <w:color w:val="auto"/>
          <w:spacing w:val="-3"/>
          <w:sz w:val="24"/>
          <w:szCs w:val="24"/>
          <w:highlight w:val="none"/>
        </w:rPr>
        <w:t>业分包的采购项目，对于联合协议或者分包意向协议约定小</w:t>
      </w:r>
      <w:r>
        <w:rPr>
          <w:rFonts w:ascii="宋体" w:hAnsi="宋体" w:eastAsia="宋体" w:cs="宋体"/>
          <w:color w:val="auto"/>
          <w:spacing w:val="-4"/>
          <w:sz w:val="24"/>
          <w:szCs w:val="24"/>
          <w:highlight w:val="none"/>
        </w:rPr>
        <w:t>微企业的合同份额占到合同总</w:t>
      </w:r>
      <w:r>
        <w:rPr>
          <w:rFonts w:ascii="宋体" w:hAnsi="宋体" w:eastAsia="宋体" w:cs="宋体"/>
          <w:color w:val="auto"/>
          <w:sz w:val="24"/>
          <w:szCs w:val="24"/>
          <w:highlight w:val="none"/>
        </w:rPr>
        <w:t>金额30%以上的，采购人、采购代理机构应当对联合体或</w:t>
      </w:r>
      <w:r>
        <w:rPr>
          <w:rFonts w:ascii="宋体" w:hAnsi="宋体" w:eastAsia="宋体" w:cs="宋体"/>
          <w:color w:val="auto"/>
          <w:spacing w:val="-1"/>
          <w:sz w:val="24"/>
          <w:szCs w:val="24"/>
          <w:highlight w:val="none"/>
        </w:rPr>
        <w:t>者大中型企业的报价给</w:t>
      </w:r>
    </w:p>
    <w:p w14:paraId="6493A80E">
      <w:pPr>
        <w:spacing w:line="288" w:lineRule="auto"/>
        <w:ind w:left="3" w:right="42" w:firstLine="4"/>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予2%-3%（工程项目为1%—2%）的扣除，用</w:t>
      </w:r>
      <w:r>
        <w:rPr>
          <w:rFonts w:ascii="宋体" w:hAnsi="宋体" w:eastAsia="宋体" w:cs="宋体"/>
          <w:color w:val="auto"/>
          <w:spacing w:val="-1"/>
          <w:sz w:val="24"/>
          <w:szCs w:val="24"/>
          <w:highlight w:val="none"/>
        </w:rPr>
        <w:t>扣除后的价格参加评审。适用招标投标法</w:t>
      </w:r>
      <w:r>
        <w:rPr>
          <w:rFonts w:ascii="宋体" w:hAnsi="宋体" w:eastAsia="宋体" w:cs="宋体"/>
          <w:color w:val="auto"/>
          <w:spacing w:val="-3"/>
          <w:sz w:val="24"/>
          <w:szCs w:val="24"/>
          <w:highlight w:val="none"/>
        </w:rPr>
        <w:t>的政府采购工程建设项目，采用综合评估法但未采</w:t>
      </w:r>
      <w:r>
        <w:rPr>
          <w:rFonts w:ascii="宋体" w:hAnsi="宋体" w:eastAsia="宋体" w:cs="宋体"/>
          <w:color w:val="auto"/>
          <w:spacing w:val="-4"/>
          <w:sz w:val="24"/>
          <w:szCs w:val="24"/>
          <w:highlight w:val="none"/>
        </w:rPr>
        <w:t>用低价优先法计算价格分的，评标时应</w:t>
      </w:r>
      <w:r>
        <w:rPr>
          <w:rFonts w:ascii="宋体" w:hAnsi="宋体" w:eastAsia="宋体" w:cs="宋体"/>
          <w:color w:val="auto"/>
          <w:spacing w:val="-3"/>
          <w:sz w:val="24"/>
          <w:szCs w:val="24"/>
          <w:highlight w:val="none"/>
        </w:rPr>
        <w:t>当在采用原报价进行评分的基础上增加其价格得分的1%—2%作为其价</w:t>
      </w:r>
      <w:r>
        <w:rPr>
          <w:rFonts w:ascii="宋体" w:hAnsi="宋体" w:eastAsia="宋体" w:cs="宋体"/>
          <w:color w:val="auto"/>
          <w:spacing w:val="-4"/>
          <w:sz w:val="24"/>
          <w:szCs w:val="24"/>
          <w:highlight w:val="none"/>
        </w:rPr>
        <w:t>格分。组成联合体</w:t>
      </w:r>
      <w:r>
        <w:rPr>
          <w:rFonts w:ascii="宋体" w:hAnsi="宋体" w:eastAsia="宋体" w:cs="宋体"/>
          <w:color w:val="auto"/>
          <w:spacing w:val="-8"/>
          <w:sz w:val="24"/>
          <w:szCs w:val="24"/>
          <w:highlight w:val="none"/>
        </w:rPr>
        <w:t>或者接受分包的小微企业与联合体内其他企业、分包企业之间存在直接控股、管理关系的，</w:t>
      </w:r>
      <w:r>
        <w:rPr>
          <w:rFonts w:ascii="宋体" w:hAnsi="宋体" w:eastAsia="宋体" w:cs="宋体"/>
          <w:color w:val="auto"/>
          <w:spacing w:val="-2"/>
          <w:sz w:val="24"/>
          <w:szCs w:val="24"/>
          <w:highlight w:val="none"/>
        </w:rPr>
        <w:t>不享受价格扣除优惠政策。</w:t>
      </w:r>
    </w:p>
    <w:p w14:paraId="649F5D34">
      <w:pPr>
        <w:spacing w:before="275" w:line="288" w:lineRule="auto"/>
        <w:ind w:right="105" w:firstLine="481"/>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价格扣除比例或者价格分加分比例对小型企业和微型企业同等对待，不作区分。具体</w:t>
      </w:r>
      <w:r>
        <w:rPr>
          <w:rFonts w:ascii="宋体" w:hAnsi="宋体" w:eastAsia="宋体" w:cs="宋体"/>
          <w:color w:val="auto"/>
          <w:spacing w:val="-3"/>
          <w:sz w:val="24"/>
          <w:szCs w:val="24"/>
          <w:highlight w:val="none"/>
        </w:rPr>
        <w:t>采购项目的价格扣除比例或者价格分加分比例，由采购人根</w:t>
      </w:r>
      <w:r>
        <w:rPr>
          <w:rFonts w:ascii="宋体" w:hAnsi="宋体" w:eastAsia="宋体" w:cs="宋体"/>
          <w:color w:val="auto"/>
          <w:spacing w:val="-4"/>
          <w:sz w:val="24"/>
          <w:szCs w:val="24"/>
          <w:highlight w:val="none"/>
        </w:rPr>
        <w:t>据采购标的相关行业平均利润</w:t>
      </w:r>
      <w:r>
        <w:rPr>
          <w:rFonts w:ascii="宋体" w:hAnsi="宋体" w:eastAsia="宋体" w:cs="宋体"/>
          <w:color w:val="auto"/>
          <w:spacing w:val="-1"/>
          <w:sz w:val="24"/>
          <w:szCs w:val="24"/>
          <w:highlight w:val="none"/>
        </w:rPr>
        <w:t>率、市场竞争状况等，在本办法规定的幅度内确定。</w:t>
      </w:r>
    </w:p>
    <w:p w14:paraId="6611ED1A">
      <w:pPr>
        <w:spacing w:before="278" w:line="270" w:lineRule="auto"/>
        <w:ind w:left="1" w:right="42" w:firstLine="479"/>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第十条</w:t>
      </w:r>
      <w:r>
        <w:rPr>
          <w:rFonts w:ascii="宋体" w:hAnsi="宋体" w:eastAsia="宋体" w:cs="宋体"/>
          <w:color w:val="auto"/>
          <w:sz w:val="24"/>
          <w:szCs w:val="24"/>
          <w:highlight w:val="none"/>
        </w:rPr>
        <w:t>采购人应当严格按照本办法规定和主</w:t>
      </w:r>
      <w:r>
        <w:rPr>
          <w:rFonts w:ascii="宋体" w:hAnsi="宋体" w:eastAsia="宋体" w:cs="宋体"/>
          <w:color w:val="auto"/>
          <w:spacing w:val="-1"/>
          <w:sz w:val="24"/>
          <w:szCs w:val="24"/>
          <w:highlight w:val="none"/>
        </w:rPr>
        <w:t>管预算单位制定的预留采购份额具体</w:t>
      </w:r>
      <w:r>
        <w:rPr>
          <w:rFonts w:ascii="宋体" w:hAnsi="宋体" w:eastAsia="宋体" w:cs="宋体"/>
          <w:color w:val="auto"/>
          <w:spacing w:val="-2"/>
          <w:sz w:val="24"/>
          <w:szCs w:val="24"/>
          <w:highlight w:val="none"/>
        </w:rPr>
        <w:t>方案开展采购活动。预留份额的采购项目或者采购包，通过发布公告方式邀请供应商后，</w:t>
      </w:r>
      <w:r>
        <w:rPr>
          <w:rFonts w:ascii="宋体" w:hAnsi="宋体" w:eastAsia="宋体" w:cs="宋体"/>
          <w:color w:val="auto"/>
          <w:spacing w:val="-3"/>
          <w:sz w:val="24"/>
          <w:szCs w:val="24"/>
          <w:highlight w:val="none"/>
        </w:rPr>
        <w:t>符合资格条件的中小企业数量不足3家的，应当中止采购活动，视</w:t>
      </w:r>
      <w:r>
        <w:rPr>
          <w:rFonts w:ascii="宋体" w:hAnsi="宋体" w:eastAsia="宋体" w:cs="宋体"/>
          <w:color w:val="auto"/>
          <w:spacing w:val="-4"/>
          <w:sz w:val="24"/>
          <w:szCs w:val="24"/>
          <w:highlight w:val="none"/>
        </w:rPr>
        <w:t>同未预留份额的采购</w:t>
      </w:r>
      <w:r>
        <w:rPr>
          <w:rFonts w:ascii="宋体" w:hAnsi="宋体" w:eastAsia="宋体" w:cs="宋体"/>
          <w:color w:val="auto"/>
          <w:spacing w:val="-1"/>
          <w:sz w:val="24"/>
          <w:szCs w:val="24"/>
          <w:highlight w:val="none"/>
        </w:rPr>
        <w:t>项目或者采购包，按照本办法第九条有关规定重新组织采购活动。</w:t>
      </w:r>
    </w:p>
    <w:p w14:paraId="0428F666">
      <w:pPr>
        <w:spacing w:before="78" w:line="265" w:lineRule="auto"/>
        <w:ind w:left="6" w:firstLine="474"/>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第十一条</w:t>
      </w:r>
      <w:r>
        <w:rPr>
          <w:rFonts w:ascii="宋体" w:hAnsi="宋体" w:eastAsia="宋体" w:cs="宋体"/>
          <w:color w:val="auto"/>
          <w:spacing w:val="-1"/>
          <w:sz w:val="24"/>
          <w:szCs w:val="24"/>
          <w:highlight w:val="none"/>
        </w:rPr>
        <w:t>中小企业参加政府采购活动，应当出具本办法规定的《中小企业声明函》（附1</w:t>
      </w:r>
      <w:r>
        <w:rPr>
          <w:rFonts w:ascii="宋体" w:hAnsi="宋体" w:eastAsia="宋体" w:cs="宋体"/>
          <w:color w:val="auto"/>
          <w:spacing w:val="10"/>
          <w:sz w:val="24"/>
          <w:szCs w:val="24"/>
          <w:highlight w:val="none"/>
        </w:rPr>
        <w:t>），</w:t>
      </w:r>
      <w:r>
        <w:rPr>
          <w:rFonts w:ascii="宋体" w:hAnsi="宋体" w:eastAsia="宋体" w:cs="宋体"/>
          <w:color w:val="auto"/>
          <w:spacing w:val="-1"/>
          <w:sz w:val="24"/>
          <w:szCs w:val="24"/>
          <w:highlight w:val="none"/>
        </w:rPr>
        <w:t>否则不得享受相关中小企业扶持政策。任何单位和个人不得要求供应商提供《中小企业声明函》之外的中小企业身份证明文件。</w:t>
      </w:r>
    </w:p>
    <w:p w14:paraId="48879C2D">
      <w:pPr>
        <w:spacing w:before="78" w:line="219" w:lineRule="auto"/>
        <w:ind w:left="48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第十二条</w:t>
      </w:r>
      <w:r>
        <w:rPr>
          <w:rFonts w:ascii="宋体" w:hAnsi="宋体" w:eastAsia="宋体" w:cs="宋体"/>
          <w:color w:val="auto"/>
          <w:spacing w:val="-1"/>
          <w:sz w:val="24"/>
          <w:szCs w:val="24"/>
          <w:highlight w:val="none"/>
        </w:rPr>
        <w:t>采购项目涉及中小企业采购的，采购文件应当明确以下内容：</w:t>
      </w:r>
    </w:p>
    <w:p w14:paraId="6AFCE38F">
      <w:pPr>
        <w:spacing w:before="78" w:line="254" w:lineRule="auto"/>
        <w:ind w:right="105" w:firstLine="49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（一）预留份额的采购项目或者采购包，明确该项目或相关采购包专门面向中小企业</w:t>
      </w:r>
      <w:r>
        <w:rPr>
          <w:rFonts w:ascii="宋体" w:hAnsi="宋体" w:eastAsia="宋体" w:cs="宋体"/>
          <w:color w:val="auto"/>
          <w:spacing w:val="-1"/>
          <w:sz w:val="24"/>
          <w:szCs w:val="24"/>
          <w:highlight w:val="none"/>
        </w:rPr>
        <w:t>采购，以及相关标的及预算金额；</w:t>
      </w:r>
    </w:p>
    <w:p w14:paraId="4DBD29A6">
      <w:pPr>
        <w:spacing w:before="78" w:line="254" w:lineRule="auto"/>
        <w:ind w:left="7" w:right="105" w:firstLine="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（二）要求以联合体形式参加或者合同分包的，明确联合协议或者分包意向协议中中</w:t>
      </w:r>
      <w:r>
        <w:rPr>
          <w:rFonts w:ascii="宋体" w:hAnsi="宋体" w:eastAsia="宋体" w:cs="宋体"/>
          <w:color w:val="auto"/>
          <w:spacing w:val="-1"/>
          <w:sz w:val="24"/>
          <w:szCs w:val="24"/>
          <w:highlight w:val="none"/>
        </w:rPr>
        <w:t>小企业合同金额应当达到的比例，并作为供应商资格条件；</w:t>
      </w:r>
    </w:p>
    <w:p w14:paraId="1CE8032A">
      <w:pPr>
        <w:spacing w:before="78" w:line="255" w:lineRule="auto"/>
        <w:ind w:right="105" w:firstLine="49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（三）非预留份额的采购项目或者采购包，明确有关价格扣除比例或者价格分加分比</w:t>
      </w:r>
      <w:r>
        <w:rPr>
          <w:rFonts w:ascii="宋体" w:hAnsi="宋体" w:eastAsia="宋体" w:cs="宋体"/>
          <w:color w:val="auto"/>
          <w:spacing w:val="-5"/>
          <w:sz w:val="24"/>
          <w:szCs w:val="24"/>
          <w:highlight w:val="none"/>
        </w:rPr>
        <w:t>例；</w:t>
      </w:r>
    </w:p>
    <w:p w14:paraId="6FA91C11">
      <w:pPr>
        <w:spacing w:line="255" w:lineRule="auto"/>
        <w:rPr>
          <w:rFonts w:ascii="宋体" w:hAnsi="宋体" w:eastAsia="宋体" w:cs="宋体"/>
          <w:color w:val="auto"/>
          <w:sz w:val="24"/>
          <w:szCs w:val="24"/>
          <w:highlight w:val="none"/>
        </w:rPr>
        <w:sectPr>
          <w:footerReference r:id="rId57" w:type="default"/>
          <w:pgSz w:w="11906" w:h="16839"/>
          <w:pgMar w:top="1405" w:right="1141" w:bottom="1209" w:left="1426" w:header="0" w:footer="973" w:gutter="0"/>
          <w:pgNumType w:fmt="decimal"/>
          <w:cols w:space="720" w:num="1"/>
        </w:sectPr>
      </w:pPr>
    </w:p>
    <w:p w14:paraId="1942E12E">
      <w:pPr>
        <w:spacing w:before="48" w:line="254" w:lineRule="auto"/>
        <w:ind w:left="4" w:right="63" w:firstLine="48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（四）规定依据本办法规定享受扶持政策获得政府采购合同的，小微企业不得将合同</w:t>
      </w:r>
      <w:r>
        <w:rPr>
          <w:rFonts w:ascii="宋体" w:hAnsi="宋体" w:eastAsia="宋体" w:cs="宋体"/>
          <w:color w:val="auto"/>
          <w:spacing w:val="-1"/>
          <w:sz w:val="24"/>
          <w:szCs w:val="24"/>
          <w:highlight w:val="none"/>
        </w:rPr>
        <w:t>分包给大中型企业，中型企业不得将合同分包给大型企业；</w:t>
      </w:r>
    </w:p>
    <w:p w14:paraId="502D6996">
      <w:pPr>
        <w:spacing w:before="78" w:line="254" w:lineRule="auto"/>
        <w:ind w:left="2" w:right="63" w:firstLine="49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（五）采购人认为具备相关条件的，明确对中小企业在资金支付期限、预付款比例等</w:t>
      </w:r>
      <w:r>
        <w:rPr>
          <w:rFonts w:ascii="宋体" w:hAnsi="宋体" w:eastAsia="宋体" w:cs="宋体"/>
          <w:color w:val="auto"/>
          <w:spacing w:val="-2"/>
          <w:sz w:val="24"/>
          <w:szCs w:val="24"/>
          <w:highlight w:val="none"/>
        </w:rPr>
        <w:t>方面的优惠措施；</w:t>
      </w:r>
    </w:p>
    <w:p w14:paraId="6D0FC80B">
      <w:pPr>
        <w:spacing w:before="78"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（六）明确采购标的对应的中小企业划分标准所属行业；</w:t>
      </w:r>
    </w:p>
    <w:p w14:paraId="024A1BA0">
      <w:pPr>
        <w:spacing w:before="78"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（七）法律法规和省级以上人民政府财政部门规定的其他事项。</w:t>
      </w:r>
    </w:p>
    <w:p w14:paraId="31081826">
      <w:pPr>
        <w:spacing w:before="78" w:line="288" w:lineRule="auto"/>
        <w:ind w:right="180" w:firstLine="481"/>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第十三条</w:t>
      </w:r>
      <w:r>
        <w:rPr>
          <w:rFonts w:ascii="宋体" w:hAnsi="宋体" w:eastAsia="宋体" w:cs="宋体"/>
          <w:color w:val="auto"/>
          <w:spacing w:val="-1"/>
          <w:sz w:val="24"/>
          <w:szCs w:val="24"/>
          <w:highlight w:val="none"/>
        </w:rPr>
        <w:t>中标、成交供应商享受本办法规定的中小企业扶持政策的，采购人、采</w:t>
      </w:r>
      <w:r>
        <w:rPr>
          <w:rFonts w:ascii="宋体" w:hAnsi="宋体" w:eastAsia="宋体" w:cs="宋体"/>
          <w:color w:val="auto"/>
          <w:sz w:val="24"/>
          <w:szCs w:val="24"/>
          <w:highlight w:val="none"/>
        </w:rPr>
        <w:t>购代理机构应当随中标、成交结果公开中标、成交供应商的《</w:t>
      </w:r>
      <w:r>
        <w:rPr>
          <w:rFonts w:ascii="宋体" w:hAnsi="宋体" w:eastAsia="宋体" w:cs="宋体"/>
          <w:color w:val="auto"/>
          <w:spacing w:val="-1"/>
          <w:sz w:val="24"/>
          <w:szCs w:val="24"/>
          <w:highlight w:val="none"/>
        </w:rPr>
        <w:t>中小企业声明函》。</w:t>
      </w:r>
    </w:p>
    <w:p w14:paraId="2ACBEB9B">
      <w:pPr>
        <w:spacing w:before="279" w:line="288" w:lineRule="auto"/>
        <w:ind w:left="21" w:right="63" w:firstLine="46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适用招标投标法的政府采购工程建设项目，应当在公示中标候选人时公开中标候选人</w:t>
      </w:r>
      <w:r>
        <w:rPr>
          <w:rFonts w:ascii="宋体" w:hAnsi="宋体" w:eastAsia="宋体" w:cs="宋体"/>
          <w:color w:val="auto"/>
          <w:spacing w:val="-3"/>
          <w:sz w:val="24"/>
          <w:szCs w:val="24"/>
          <w:highlight w:val="none"/>
        </w:rPr>
        <w:t>的《中小企业声明函》。</w:t>
      </w:r>
    </w:p>
    <w:p w14:paraId="3E64D46F">
      <w:pPr>
        <w:spacing w:before="273" w:line="271" w:lineRule="auto"/>
        <w:ind w:left="2" w:right="63" w:firstLine="479"/>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第十四条</w:t>
      </w:r>
      <w:r>
        <w:rPr>
          <w:rFonts w:ascii="宋体" w:hAnsi="宋体" w:eastAsia="宋体" w:cs="宋体"/>
          <w:color w:val="auto"/>
          <w:spacing w:val="-1"/>
          <w:sz w:val="24"/>
          <w:szCs w:val="24"/>
          <w:highlight w:val="none"/>
        </w:rPr>
        <w:t>对于通过预留采购项目、预留专门采购包、要求以联合体形式参加或者</w:t>
      </w:r>
      <w:r>
        <w:rPr>
          <w:rFonts w:ascii="宋体" w:hAnsi="宋体" w:eastAsia="宋体" w:cs="宋体"/>
          <w:color w:val="auto"/>
          <w:spacing w:val="-3"/>
          <w:sz w:val="24"/>
          <w:szCs w:val="24"/>
          <w:highlight w:val="none"/>
        </w:rPr>
        <w:t>合同分包等措施签订的采购合同，应当明确标注本合同</w:t>
      </w:r>
      <w:r>
        <w:rPr>
          <w:rFonts w:ascii="宋体" w:hAnsi="宋体" w:eastAsia="宋体" w:cs="宋体"/>
          <w:color w:val="auto"/>
          <w:spacing w:val="-4"/>
          <w:sz w:val="24"/>
          <w:szCs w:val="24"/>
          <w:highlight w:val="none"/>
        </w:rPr>
        <w:t>为中小企业预留合同。其中，要求</w:t>
      </w:r>
      <w:r>
        <w:rPr>
          <w:rFonts w:ascii="宋体" w:hAnsi="宋体" w:eastAsia="宋体" w:cs="宋体"/>
          <w:color w:val="auto"/>
          <w:spacing w:val="-3"/>
          <w:sz w:val="24"/>
          <w:szCs w:val="24"/>
          <w:highlight w:val="none"/>
        </w:rPr>
        <w:t>以联合体形式参加采购活动或者合同分包的，应当将联</w:t>
      </w:r>
      <w:r>
        <w:rPr>
          <w:rFonts w:ascii="宋体" w:hAnsi="宋体" w:eastAsia="宋体" w:cs="宋体"/>
          <w:color w:val="auto"/>
          <w:spacing w:val="-4"/>
          <w:sz w:val="24"/>
          <w:szCs w:val="24"/>
          <w:highlight w:val="none"/>
        </w:rPr>
        <w:t>合协议或者分包意向协议作为采购</w:t>
      </w:r>
      <w:r>
        <w:rPr>
          <w:rFonts w:ascii="宋体" w:hAnsi="宋体" w:eastAsia="宋体" w:cs="宋体"/>
          <w:color w:val="auto"/>
          <w:spacing w:val="-2"/>
          <w:sz w:val="24"/>
          <w:szCs w:val="24"/>
          <w:highlight w:val="none"/>
        </w:rPr>
        <w:t>合同的组成部分。</w:t>
      </w:r>
    </w:p>
    <w:p w14:paraId="06B3C38C">
      <w:pPr>
        <w:spacing w:before="78" w:line="264" w:lineRule="auto"/>
        <w:ind w:left="1" w:right="63" w:firstLine="48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第十五条</w:t>
      </w:r>
      <w:r>
        <w:rPr>
          <w:rFonts w:ascii="宋体" w:hAnsi="宋体" w:eastAsia="宋体" w:cs="宋体"/>
          <w:color w:val="auto"/>
          <w:spacing w:val="-1"/>
          <w:sz w:val="24"/>
          <w:szCs w:val="24"/>
          <w:highlight w:val="none"/>
        </w:rPr>
        <w:t>鼓励各地区、各部门在采购活动中允许中小企业引入信用担保手段，为</w:t>
      </w:r>
      <w:r>
        <w:rPr>
          <w:rFonts w:ascii="宋体" w:hAnsi="宋体" w:eastAsia="宋体" w:cs="宋体"/>
          <w:color w:val="auto"/>
          <w:spacing w:val="-3"/>
          <w:sz w:val="24"/>
          <w:szCs w:val="24"/>
          <w:highlight w:val="none"/>
        </w:rPr>
        <w:t>中小企业在投标（响应）保证、履约保证等方面提供专业</w:t>
      </w:r>
      <w:r>
        <w:rPr>
          <w:rFonts w:ascii="宋体" w:hAnsi="宋体" w:eastAsia="宋体" w:cs="宋体"/>
          <w:color w:val="auto"/>
          <w:spacing w:val="-4"/>
          <w:sz w:val="24"/>
          <w:szCs w:val="24"/>
          <w:highlight w:val="none"/>
        </w:rPr>
        <w:t>化服务。鼓励中小企业依法合规</w:t>
      </w:r>
      <w:r>
        <w:rPr>
          <w:rFonts w:ascii="宋体" w:hAnsi="宋体" w:eastAsia="宋体" w:cs="宋体"/>
          <w:color w:val="auto"/>
          <w:spacing w:val="-1"/>
          <w:sz w:val="24"/>
          <w:szCs w:val="24"/>
          <w:highlight w:val="none"/>
        </w:rPr>
        <w:t>通过政府采购合同融资。</w:t>
      </w:r>
    </w:p>
    <w:p w14:paraId="6F7D8668">
      <w:pPr>
        <w:spacing w:before="79" w:line="265" w:lineRule="auto"/>
        <w:ind w:left="29" w:firstLine="45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第十六条</w:t>
      </w:r>
      <w:r>
        <w:rPr>
          <w:rFonts w:ascii="宋体" w:hAnsi="宋体" w:eastAsia="宋体" w:cs="宋体"/>
          <w:color w:val="auto"/>
          <w:spacing w:val="-2"/>
          <w:sz w:val="24"/>
          <w:szCs w:val="24"/>
          <w:highlight w:val="none"/>
        </w:rPr>
        <w:t>政府采购监督检查、投诉处理及政府采购行政处罚中对中小企业的认</w:t>
      </w:r>
      <w:r>
        <w:rPr>
          <w:rFonts w:ascii="宋体" w:hAnsi="宋体" w:eastAsia="宋体" w:cs="宋体"/>
          <w:color w:val="auto"/>
          <w:spacing w:val="-3"/>
          <w:sz w:val="24"/>
          <w:szCs w:val="24"/>
          <w:highlight w:val="none"/>
        </w:rPr>
        <w:t>定，</w:t>
      </w:r>
      <w:r>
        <w:rPr>
          <w:rFonts w:ascii="宋体" w:hAnsi="宋体" w:eastAsia="宋体" w:cs="宋体"/>
          <w:color w:val="auto"/>
          <w:spacing w:val="-4"/>
          <w:sz w:val="24"/>
          <w:szCs w:val="24"/>
          <w:highlight w:val="none"/>
        </w:rPr>
        <w:t>由货物制造商或者工程、服务供应商注册登记所在地的县级以上人民政府中小企业主</w:t>
      </w:r>
      <w:r>
        <w:rPr>
          <w:rFonts w:ascii="宋体" w:hAnsi="宋体" w:eastAsia="宋体" w:cs="宋体"/>
          <w:color w:val="auto"/>
          <w:spacing w:val="-5"/>
          <w:sz w:val="24"/>
          <w:szCs w:val="24"/>
          <w:highlight w:val="none"/>
        </w:rPr>
        <w:t>管部</w:t>
      </w:r>
      <w:r>
        <w:rPr>
          <w:rFonts w:ascii="宋体" w:hAnsi="宋体" w:eastAsia="宋体" w:cs="宋体"/>
          <w:color w:val="auto"/>
          <w:spacing w:val="-10"/>
          <w:sz w:val="24"/>
          <w:szCs w:val="24"/>
          <w:highlight w:val="none"/>
        </w:rPr>
        <w:t>门负责。</w:t>
      </w:r>
    </w:p>
    <w:p w14:paraId="747A410E">
      <w:pPr>
        <w:spacing w:before="79" w:line="288" w:lineRule="auto"/>
        <w:ind w:left="3" w:right="183" w:firstLine="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中小企业主管部门应当在收到财政部门或者有关招标投标行政监督部门关于协助开展中小企业认定函后10个工作日内做出书面答复。</w:t>
      </w:r>
    </w:p>
    <w:p w14:paraId="6D4D47A6">
      <w:pPr>
        <w:spacing w:before="280" w:line="264" w:lineRule="auto"/>
        <w:ind w:left="2" w:right="63" w:firstLine="479"/>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第十七条</w:t>
      </w:r>
      <w:r>
        <w:rPr>
          <w:rFonts w:ascii="宋体" w:hAnsi="宋体" w:eastAsia="宋体" w:cs="宋体"/>
          <w:color w:val="auto"/>
          <w:spacing w:val="-1"/>
          <w:sz w:val="24"/>
          <w:szCs w:val="24"/>
          <w:highlight w:val="none"/>
        </w:rPr>
        <w:t>各地区、各部门应当对涉及中小企业采购的预算项目实施全过程绩效管</w:t>
      </w:r>
      <w:r>
        <w:rPr>
          <w:rFonts w:ascii="宋体" w:hAnsi="宋体" w:eastAsia="宋体" w:cs="宋体"/>
          <w:color w:val="auto"/>
          <w:spacing w:val="-3"/>
          <w:sz w:val="24"/>
          <w:szCs w:val="24"/>
          <w:highlight w:val="none"/>
        </w:rPr>
        <w:t>理，合理设置绩效目标和指标，落实扶持中小企业有关</w:t>
      </w:r>
      <w:r>
        <w:rPr>
          <w:rFonts w:ascii="宋体" w:hAnsi="宋体" w:eastAsia="宋体" w:cs="宋体"/>
          <w:color w:val="auto"/>
          <w:spacing w:val="-4"/>
          <w:sz w:val="24"/>
          <w:szCs w:val="24"/>
          <w:highlight w:val="none"/>
        </w:rPr>
        <w:t>政策要求，定期开展绩效监控和评</w:t>
      </w:r>
      <w:r>
        <w:rPr>
          <w:rFonts w:ascii="宋体" w:hAnsi="宋体" w:eastAsia="宋体" w:cs="宋体"/>
          <w:color w:val="auto"/>
          <w:spacing w:val="-1"/>
          <w:sz w:val="24"/>
          <w:szCs w:val="24"/>
          <w:highlight w:val="none"/>
        </w:rPr>
        <w:t>价，强化绩效评价结果应用。</w:t>
      </w:r>
    </w:p>
    <w:p w14:paraId="0880EA7E">
      <w:pPr>
        <w:spacing w:before="78" w:line="264" w:lineRule="auto"/>
        <w:ind w:left="2" w:right="183" w:firstLine="479"/>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第十八条</w:t>
      </w:r>
      <w:r>
        <w:rPr>
          <w:rFonts w:ascii="宋体" w:hAnsi="宋体" w:eastAsia="宋体" w:cs="宋体"/>
          <w:color w:val="auto"/>
          <w:sz w:val="24"/>
          <w:szCs w:val="24"/>
          <w:highlight w:val="none"/>
        </w:rPr>
        <w:t>主管预算单位应当自2022</w:t>
      </w:r>
      <w:r>
        <w:rPr>
          <w:rFonts w:ascii="宋体" w:hAnsi="宋体" w:eastAsia="宋体" w:cs="宋体"/>
          <w:color w:val="auto"/>
          <w:spacing w:val="-1"/>
          <w:sz w:val="24"/>
          <w:szCs w:val="24"/>
          <w:highlight w:val="none"/>
        </w:rPr>
        <w:t>年起向同级财政部门报告本部门上一年度</w:t>
      </w:r>
      <w:r>
        <w:rPr>
          <w:rFonts w:ascii="宋体" w:hAnsi="宋体" w:eastAsia="宋体" w:cs="宋体"/>
          <w:color w:val="auto"/>
          <w:sz w:val="24"/>
          <w:szCs w:val="24"/>
          <w:highlight w:val="none"/>
        </w:rPr>
        <w:t>面向中小企业预留份额和采购的具体情况，并在中国政府采</w:t>
      </w:r>
      <w:r>
        <w:rPr>
          <w:rFonts w:ascii="宋体" w:hAnsi="宋体" w:eastAsia="宋体" w:cs="宋体"/>
          <w:color w:val="auto"/>
          <w:spacing w:val="-1"/>
          <w:sz w:val="24"/>
          <w:szCs w:val="24"/>
          <w:highlight w:val="none"/>
        </w:rPr>
        <w:t>购网公开预留项目执行情况(附2)。未达到本办法规定的预留份额比例的，应当作出说明。</w:t>
      </w:r>
    </w:p>
    <w:p w14:paraId="5FB2C12B">
      <w:pPr>
        <w:spacing w:line="264" w:lineRule="auto"/>
        <w:rPr>
          <w:rFonts w:ascii="宋体" w:hAnsi="宋体" w:eastAsia="宋体" w:cs="宋体"/>
          <w:color w:val="auto"/>
          <w:sz w:val="24"/>
          <w:szCs w:val="24"/>
          <w:highlight w:val="none"/>
        </w:rPr>
        <w:sectPr>
          <w:footerReference r:id="rId58" w:type="default"/>
          <w:pgSz w:w="11906" w:h="16839"/>
          <w:pgMar w:top="1405" w:right="1184" w:bottom="1209" w:left="1425" w:header="0" w:footer="973" w:gutter="0"/>
          <w:pgNumType w:fmt="decimal"/>
          <w:cols w:space="720" w:num="1"/>
        </w:sectPr>
      </w:pPr>
    </w:p>
    <w:p w14:paraId="1EDA7620">
      <w:pPr>
        <w:spacing w:before="46" w:line="265" w:lineRule="auto"/>
        <w:ind w:firstLine="48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第十九条</w:t>
      </w:r>
      <w:r>
        <w:rPr>
          <w:rFonts w:ascii="宋体" w:hAnsi="宋体" w:eastAsia="宋体" w:cs="宋体"/>
          <w:color w:val="auto"/>
          <w:spacing w:val="-1"/>
          <w:sz w:val="24"/>
          <w:szCs w:val="24"/>
          <w:highlight w:val="none"/>
        </w:rPr>
        <w:t>采购人未按本办法规定为中小企业预留采购份额，采购人、采购代理机</w:t>
      </w:r>
      <w:r>
        <w:rPr>
          <w:rFonts w:ascii="宋体" w:hAnsi="宋体" w:eastAsia="宋体" w:cs="宋体"/>
          <w:color w:val="auto"/>
          <w:spacing w:val="-3"/>
          <w:sz w:val="24"/>
          <w:szCs w:val="24"/>
          <w:highlight w:val="none"/>
        </w:rPr>
        <w:t>构未按照本办法规定要求实施价格扣除或者价格分加分的，</w:t>
      </w:r>
      <w:r>
        <w:rPr>
          <w:rFonts w:ascii="宋体" w:hAnsi="宋体" w:eastAsia="宋体" w:cs="宋体"/>
          <w:color w:val="auto"/>
          <w:spacing w:val="-4"/>
          <w:sz w:val="24"/>
          <w:szCs w:val="24"/>
          <w:highlight w:val="none"/>
        </w:rPr>
        <w:t>属于未按照规定执行政府采购</w:t>
      </w:r>
      <w:r>
        <w:rPr>
          <w:rFonts w:ascii="宋体" w:hAnsi="宋体" w:eastAsia="宋体" w:cs="宋体"/>
          <w:color w:val="auto"/>
          <w:sz w:val="24"/>
          <w:szCs w:val="24"/>
          <w:highlight w:val="none"/>
        </w:rPr>
        <w:t>政策，依照《中华人民共和国政府采购法》等国家有</w:t>
      </w:r>
      <w:r>
        <w:rPr>
          <w:rFonts w:ascii="宋体" w:hAnsi="宋体" w:eastAsia="宋体" w:cs="宋体"/>
          <w:color w:val="auto"/>
          <w:spacing w:val="-1"/>
          <w:sz w:val="24"/>
          <w:szCs w:val="24"/>
          <w:highlight w:val="none"/>
        </w:rPr>
        <w:t>关规定追究法律责任。</w:t>
      </w:r>
    </w:p>
    <w:p w14:paraId="26162465">
      <w:pPr>
        <w:spacing w:before="78" w:line="253" w:lineRule="auto"/>
        <w:ind w:left="23" w:right="117" w:firstLine="457"/>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第二十条</w:t>
      </w:r>
      <w:r>
        <w:rPr>
          <w:rFonts w:ascii="宋体" w:hAnsi="宋体" w:eastAsia="宋体" w:cs="宋体"/>
          <w:color w:val="auto"/>
          <w:spacing w:val="-1"/>
          <w:sz w:val="24"/>
          <w:szCs w:val="24"/>
          <w:highlight w:val="none"/>
        </w:rPr>
        <w:t>供应商按照本办法规定提供声明函内容不实的，属于提供虚假材料谋取中标、成交，依照《中华人民共和国政府采购法》等国家有关规定追究相应责任。</w:t>
      </w:r>
    </w:p>
    <w:p w14:paraId="0850CFBF">
      <w:pPr>
        <w:spacing w:before="78" w:line="289" w:lineRule="auto"/>
        <w:ind w:firstLine="48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适用招标投标法的政府采购工程建设项目，供应商按照本办法规定提供声明函内容不</w:t>
      </w:r>
      <w:r>
        <w:rPr>
          <w:rFonts w:ascii="宋体" w:hAnsi="宋体" w:eastAsia="宋体" w:cs="宋体"/>
          <w:color w:val="auto"/>
          <w:spacing w:val="-3"/>
          <w:sz w:val="24"/>
          <w:szCs w:val="24"/>
          <w:highlight w:val="none"/>
        </w:rPr>
        <w:t>实的，属于弄虚作假骗取中标，依照《中华人民共和国招</w:t>
      </w:r>
      <w:r>
        <w:rPr>
          <w:rFonts w:ascii="宋体" w:hAnsi="宋体" w:eastAsia="宋体" w:cs="宋体"/>
          <w:color w:val="auto"/>
          <w:spacing w:val="-4"/>
          <w:sz w:val="24"/>
          <w:szCs w:val="24"/>
          <w:highlight w:val="none"/>
        </w:rPr>
        <w:t>标投标法》等国家有关规定追究</w:t>
      </w:r>
      <w:r>
        <w:rPr>
          <w:rFonts w:ascii="宋体" w:hAnsi="宋体" w:eastAsia="宋体" w:cs="宋体"/>
          <w:color w:val="auto"/>
          <w:spacing w:val="-2"/>
          <w:sz w:val="24"/>
          <w:szCs w:val="24"/>
          <w:highlight w:val="none"/>
        </w:rPr>
        <w:t>相应责任。</w:t>
      </w:r>
    </w:p>
    <w:p w14:paraId="43348782">
      <w:pPr>
        <w:spacing w:before="272" w:line="274" w:lineRule="auto"/>
        <w:ind w:left="1" w:firstLine="479"/>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第二十一条</w:t>
      </w:r>
      <w:r>
        <w:rPr>
          <w:rFonts w:ascii="宋体" w:hAnsi="宋体" w:eastAsia="宋体" w:cs="宋体"/>
          <w:color w:val="auto"/>
          <w:spacing w:val="-1"/>
          <w:sz w:val="24"/>
          <w:szCs w:val="24"/>
          <w:highlight w:val="none"/>
        </w:rPr>
        <w:t>财政部门、中小企业主管部门及其工作人员在履行职责中违反本办法</w:t>
      </w:r>
      <w:r>
        <w:rPr>
          <w:rFonts w:ascii="宋体" w:hAnsi="宋体" w:eastAsia="宋体" w:cs="宋体"/>
          <w:color w:val="auto"/>
          <w:spacing w:val="-3"/>
          <w:sz w:val="24"/>
          <w:szCs w:val="24"/>
          <w:highlight w:val="none"/>
        </w:rPr>
        <w:t>规定及存在其他滥用职权、玩忽职守、徇私舞弊等违法</w:t>
      </w:r>
      <w:r>
        <w:rPr>
          <w:rFonts w:ascii="宋体" w:hAnsi="宋体" w:eastAsia="宋体" w:cs="宋体"/>
          <w:color w:val="auto"/>
          <w:spacing w:val="-4"/>
          <w:sz w:val="24"/>
          <w:szCs w:val="24"/>
          <w:highlight w:val="none"/>
        </w:rPr>
        <w:t>违纪行为的，依照《中华人民共和</w:t>
      </w:r>
      <w:r>
        <w:rPr>
          <w:rFonts w:ascii="宋体" w:hAnsi="宋体" w:eastAsia="宋体" w:cs="宋体"/>
          <w:color w:val="auto"/>
          <w:spacing w:val="-3"/>
          <w:sz w:val="24"/>
          <w:szCs w:val="24"/>
          <w:highlight w:val="none"/>
        </w:rPr>
        <w:t>国政府采购法》、《中华人民共和国公务员法》、《中</w:t>
      </w:r>
      <w:r>
        <w:rPr>
          <w:rFonts w:ascii="宋体" w:hAnsi="宋体" w:eastAsia="宋体" w:cs="宋体"/>
          <w:color w:val="auto"/>
          <w:spacing w:val="-4"/>
          <w:sz w:val="24"/>
          <w:szCs w:val="24"/>
          <w:highlight w:val="none"/>
        </w:rPr>
        <w:t>华人民共和国监察法》、《中华人</w:t>
      </w:r>
      <w:r>
        <w:rPr>
          <w:rFonts w:ascii="宋体" w:hAnsi="宋体" w:eastAsia="宋体" w:cs="宋体"/>
          <w:color w:val="auto"/>
          <w:spacing w:val="-3"/>
          <w:sz w:val="24"/>
          <w:szCs w:val="24"/>
          <w:highlight w:val="none"/>
        </w:rPr>
        <w:t>民共和国政府采购法实施条例》等国家有关规定追究相</w:t>
      </w:r>
      <w:r>
        <w:rPr>
          <w:rFonts w:ascii="宋体" w:hAnsi="宋体" w:eastAsia="宋体" w:cs="宋体"/>
          <w:color w:val="auto"/>
          <w:spacing w:val="-4"/>
          <w:sz w:val="24"/>
          <w:szCs w:val="24"/>
          <w:highlight w:val="none"/>
        </w:rPr>
        <w:t>应责任；涉嫌犯罪的，依法移送有</w:t>
      </w:r>
      <w:r>
        <w:rPr>
          <w:rFonts w:ascii="宋体" w:hAnsi="宋体" w:eastAsia="宋体" w:cs="宋体"/>
          <w:color w:val="auto"/>
          <w:spacing w:val="-2"/>
          <w:sz w:val="24"/>
          <w:szCs w:val="24"/>
          <w:highlight w:val="none"/>
        </w:rPr>
        <w:t>关国家机关处理。</w:t>
      </w:r>
    </w:p>
    <w:p w14:paraId="0E8DE1A5">
      <w:pPr>
        <w:spacing w:before="78" w:line="254" w:lineRule="auto"/>
        <w:ind w:right="117" w:firstLine="480"/>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第二十二条</w:t>
      </w:r>
      <w:r>
        <w:rPr>
          <w:rFonts w:ascii="宋体" w:hAnsi="宋体" w:eastAsia="宋体" w:cs="宋体"/>
          <w:color w:val="auto"/>
          <w:spacing w:val="-1"/>
          <w:sz w:val="24"/>
          <w:szCs w:val="24"/>
          <w:highlight w:val="none"/>
        </w:rPr>
        <w:t>对外援助项目、国家相关资格或者资质管理制度另有规定的项目，不</w:t>
      </w:r>
      <w:r>
        <w:rPr>
          <w:rFonts w:ascii="宋体" w:hAnsi="宋体" w:eastAsia="宋体" w:cs="宋体"/>
          <w:color w:val="auto"/>
          <w:spacing w:val="-2"/>
          <w:sz w:val="24"/>
          <w:szCs w:val="24"/>
          <w:highlight w:val="none"/>
        </w:rPr>
        <w:t>适用本办法。</w:t>
      </w:r>
    </w:p>
    <w:p w14:paraId="22BB0E91">
      <w:pPr>
        <w:spacing w:before="78" w:line="254" w:lineRule="auto"/>
        <w:ind w:left="4" w:right="117" w:firstLine="476"/>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第二十三条</w:t>
      </w:r>
      <w:r>
        <w:rPr>
          <w:rFonts w:ascii="宋体" w:hAnsi="宋体" w:eastAsia="宋体" w:cs="宋体"/>
          <w:color w:val="auto"/>
          <w:spacing w:val="-1"/>
          <w:sz w:val="24"/>
          <w:szCs w:val="24"/>
          <w:highlight w:val="none"/>
        </w:rPr>
        <w:t>关于视同中小企业的其他主体的政府采购扶持政策，由财政部会同有</w:t>
      </w:r>
      <w:r>
        <w:rPr>
          <w:rFonts w:ascii="宋体" w:hAnsi="宋体" w:eastAsia="宋体" w:cs="宋体"/>
          <w:color w:val="auto"/>
          <w:spacing w:val="-2"/>
          <w:sz w:val="24"/>
          <w:szCs w:val="24"/>
          <w:highlight w:val="none"/>
        </w:rPr>
        <w:t>关部门另行规定。</w:t>
      </w:r>
    </w:p>
    <w:p w14:paraId="44301B31">
      <w:pPr>
        <w:spacing w:before="78" w:line="253" w:lineRule="auto"/>
        <w:ind w:left="6" w:right="117" w:firstLine="474"/>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第二十四条</w:t>
      </w:r>
      <w:r>
        <w:rPr>
          <w:rFonts w:ascii="宋体" w:hAnsi="宋体" w:eastAsia="宋体" w:cs="宋体"/>
          <w:color w:val="auto"/>
          <w:spacing w:val="-1"/>
          <w:sz w:val="24"/>
          <w:szCs w:val="24"/>
          <w:highlight w:val="none"/>
        </w:rPr>
        <w:t>省级财政部门可以会同中小企业主管部门根据本办法的规定制定具体</w:t>
      </w:r>
      <w:r>
        <w:rPr>
          <w:rFonts w:ascii="宋体" w:hAnsi="宋体" w:eastAsia="宋体" w:cs="宋体"/>
          <w:color w:val="auto"/>
          <w:spacing w:val="-4"/>
          <w:sz w:val="24"/>
          <w:szCs w:val="24"/>
          <w:highlight w:val="none"/>
        </w:rPr>
        <w:t>实施办法。</w:t>
      </w:r>
    </w:p>
    <w:p w14:paraId="481128C0">
      <w:pPr>
        <w:spacing w:before="79" w:line="270" w:lineRule="auto"/>
        <w:ind w:left="1" w:firstLine="47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第二十五条</w:t>
      </w:r>
      <w:r>
        <w:rPr>
          <w:rFonts w:ascii="宋体" w:hAnsi="宋体" w:eastAsia="宋体" w:cs="宋体"/>
          <w:color w:val="auto"/>
          <w:spacing w:val="-4"/>
          <w:sz w:val="24"/>
          <w:szCs w:val="24"/>
          <w:highlight w:val="none"/>
        </w:rPr>
        <w:t>本办法自2021年1月1日起施行。财政部工业和信息化部关于印发〈政府采购促进中小企业发展暂行办法〉的通知》（财库﹝2011﹞181号）同时废</w:t>
      </w:r>
      <w:r>
        <w:rPr>
          <w:rFonts w:ascii="宋体" w:hAnsi="宋体" w:eastAsia="宋体" w:cs="宋体"/>
          <w:color w:val="auto"/>
          <w:spacing w:val="-6"/>
          <w:sz w:val="24"/>
          <w:szCs w:val="24"/>
          <w:highlight w:val="none"/>
        </w:rPr>
        <w:t>止。</w:t>
      </w:r>
    </w:p>
    <w:p w14:paraId="7B5751BE">
      <w:pPr>
        <w:spacing w:line="270" w:lineRule="auto"/>
        <w:rPr>
          <w:rFonts w:ascii="宋体" w:hAnsi="宋体" w:eastAsia="宋体" w:cs="宋体"/>
          <w:color w:val="auto"/>
          <w:sz w:val="24"/>
          <w:szCs w:val="24"/>
          <w:highlight w:val="none"/>
        </w:rPr>
        <w:sectPr>
          <w:footerReference r:id="rId59" w:type="default"/>
          <w:pgSz w:w="11906" w:h="16839"/>
          <w:pgMar w:top="1405" w:right="1247" w:bottom="1209" w:left="1426" w:header="0" w:footer="973" w:gutter="0"/>
          <w:pgNumType w:fmt="decimal"/>
          <w:cols w:space="720" w:num="1"/>
        </w:sectPr>
      </w:pPr>
    </w:p>
    <w:p w14:paraId="365CC9C5">
      <w:pPr>
        <w:spacing w:before="60" w:line="219" w:lineRule="auto"/>
        <w:ind w:left="859" w:leftChars="0"/>
        <w:outlineLvl w:val="1"/>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财政部关于进一步加大政府采购支持中小企业力度的通知</w:t>
      </w:r>
    </w:p>
    <w:p w14:paraId="0B15F8E2">
      <w:pPr>
        <w:spacing w:before="215" w:line="220" w:lineRule="auto"/>
        <w:ind w:left="34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（财库〔2022〕19号）</w:t>
      </w:r>
    </w:p>
    <w:p w14:paraId="44DE98FE">
      <w:pPr>
        <w:spacing w:before="91" w:line="313" w:lineRule="auto"/>
        <w:ind w:left="3" w:right="2" w:firstLine="7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各中央预算单位，各省、自治区、直辖市、计划单列市财政厅（</w:t>
      </w:r>
      <w:r>
        <w:rPr>
          <w:rFonts w:ascii="宋体" w:hAnsi="宋体" w:eastAsia="宋体" w:cs="宋体"/>
          <w:color w:val="auto"/>
          <w:spacing w:val="7"/>
          <w:sz w:val="20"/>
          <w:szCs w:val="20"/>
          <w:highlight w:val="none"/>
        </w:rPr>
        <w:t>局</w:t>
      </w:r>
      <w:r>
        <w:rPr>
          <w:rFonts w:ascii="宋体" w:hAnsi="宋体" w:eastAsia="宋体" w:cs="宋体"/>
          <w:color w:val="auto"/>
          <w:spacing w:val="2"/>
          <w:sz w:val="20"/>
          <w:szCs w:val="20"/>
          <w:highlight w:val="none"/>
        </w:rPr>
        <w:t>），</w:t>
      </w:r>
      <w:r>
        <w:rPr>
          <w:rFonts w:ascii="宋体" w:hAnsi="宋体" w:eastAsia="宋体" w:cs="宋体"/>
          <w:color w:val="auto"/>
          <w:spacing w:val="7"/>
          <w:sz w:val="20"/>
          <w:szCs w:val="20"/>
          <w:highlight w:val="none"/>
        </w:rPr>
        <w:t>新疆生产建设兵团财政</w:t>
      </w:r>
      <w:r>
        <w:rPr>
          <w:rFonts w:ascii="宋体" w:hAnsi="宋体" w:eastAsia="宋体" w:cs="宋体"/>
          <w:color w:val="auto"/>
          <w:spacing w:val="-1"/>
          <w:sz w:val="20"/>
          <w:szCs w:val="20"/>
          <w:highlight w:val="none"/>
        </w:rPr>
        <w:t>局：</w:t>
      </w:r>
    </w:p>
    <w:p w14:paraId="63B0BDD9">
      <w:pPr>
        <w:spacing w:before="3" w:line="313" w:lineRule="auto"/>
        <w:ind w:left="1" w:right="2" w:firstLine="421"/>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为贯彻落实《国务院关于印发扎实稳住经济一揽子政策</w:t>
      </w:r>
      <w:r>
        <w:rPr>
          <w:rFonts w:ascii="宋体" w:hAnsi="宋体" w:eastAsia="宋体" w:cs="宋体"/>
          <w:color w:val="auto"/>
          <w:spacing w:val="7"/>
          <w:sz w:val="20"/>
          <w:szCs w:val="20"/>
          <w:highlight w:val="none"/>
        </w:rPr>
        <w:t>措施的通知》（国发〔2022〕12号）有关</w:t>
      </w:r>
      <w:r>
        <w:rPr>
          <w:rFonts w:ascii="宋体" w:hAnsi="宋体" w:eastAsia="宋体" w:cs="宋体"/>
          <w:color w:val="auto"/>
          <w:spacing w:val="10"/>
          <w:sz w:val="20"/>
          <w:szCs w:val="20"/>
          <w:highlight w:val="none"/>
        </w:rPr>
        <w:t>要求，做好财政政策支持中小企业纾困解难工作，助力经济平稳健康发</w:t>
      </w:r>
      <w:r>
        <w:rPr>
          <w:rFonts w:ascii="宋体" w:hAnsi="宋体" w:eastAsia="宋体" w:cs="宋体"/>
          <w:color w:val="auto"/>
          <w:spacing w:val="9"/>
          <w:sz w:val="20"/>
          <w:szCs w:val="20"/>
          <w:highlight w:val="none"/>
        </w:rPr>
        <w:t>展，现就加大政府采购支持中</w:t>
      </w:r>
      <w:r>
        <w:rPr>
          <w:rFonts w:ascii="宋体" w:hAnsi="宋体" w:eastAsia="宋体" w:cs="宋体"/>
          <w:color w:val="auto"/>
          <w:spacing w:val="8"/>
          <w:sz w:val="20"/>
          <w:szCs w:val="20"/>
          <w:highlight w:val="none"/>
        </w:rPr>
        <w:t>小企业力度有关事项通知如下：</w:t>
      </w:r>
    </w:p>
    <w:p w14:paraId="4E0FEE63">
      <w:pPr>
        <w:spacing w:before="5" w:line="299" w:lineRule="auto"/>
        <w:ind w:left="1"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一、严格落实支持中小企业政府采购政策。各地区、各部门</w:t>
      </w:r>
      <w:r>
        <w:rPr>
          <w:rFonts w:ascii="宋体" w:hAnsi="宋体" w:eastAsia="宋体" w:cs="宋体"/>
          <w:color w:val="auto"/>
          <w:spacing w:val="9"/>
          <w:sz w:val="20"/>
          <w:szCs w:val="20"/>
          <w:highlight w:val="none"/>
        </w:rPr>
        <w:t>要按照国务院的统一部署，认真落实</w:t>
      </w:r>
      <w:r>
        <w:rPr>
          <w:rFonts w:ascii="宋体" w:hAnsi="宋体" w:eastAsia="宋体" w:cs="宋体"/>
          <w:color w:val="auto"/>
          <w:spacing w:val="8"/>
          <w:sz w:val="20"/>
          <w:szCs w:val="20"/>
          <w:highlight w:val="none"/>
        </w:rPr>
        <w:t>《政府采购促进中小企业发展管理办法》（财库〔2020〕46号）的规定，规</w:t>
      </w:r>
      <w:r>
        <w:rPr>
          <w:rFonts w:ascii="宋体" w:hAnsi="宋体" w:eastAsia="宋体" w:cs="宋体"/>
          <w:color w:val="auto"/>
          <w:spacing w:val="7"/>
          <w:sz w:val="20"/>
          <w:szCs w:val="20"/>
          <w:highlight w:val="none"/>
        </w:rPr>
        <w:t>范资格条件设置，降低中</w:t>
      </w:r>
      <w:r>
        <w:rPr>
          <w:rFonts w:ascii="宋体" w:hAnsi="宋体" w:eastAsia="宋体" w:cs="宋体"/>
          <w:color w:val="auto"/>
          <w:spacing w:val="10"/>
          <w:sz w:val="20"/>
          <w:szCs w:val="20"/>
          <w:highlight w:val="none"/>
        </w:rPr>
        <w:t>小企业参与门槛，灵活采取项目整体预留、合理预留采购包、要求大企</w:t>
      </w:r>
      <w:r>
        <w:rPr>
          <w:rFonts w:ascii="宋体" w:hAnsi="宋体" w:eastAsia="宋体" w:cs="宋体"/>
          <w:color w:val="auto"/>
          <w:spacing w:val="9"/>
          <w:sz w:val="20"/>
          <w:szCs w:val="20"/>
          <w:highlight w:val="none"/>
        </w:rPr>
        <w:t>业与中小企业组成联合体、要</w:t>
      </w:r>
      <w:r>
        <w:rPr>
          <w:rFonts w:ascii="宋体" w:hAnsi="宋体" w:eastAsia="宋体" w:cs="宋体"/>
          <w:color w:val="auto"/>
          <w:spacing w:val="10"/>
          <w:sz w:val="20"/>
          <w:szCs w:val="20"/>
          <w:highlight w:val="none"/>
        </w:rPr>
        <w:t>求大企业向中小企业分包等形式，确保中小企业合同份额。要通过提高预付款</w:t>
      </w:r>
      <w:r>
        <w:rPr>
          <w:rFonts w:ascii="宋体" w:hAnsi="宋体" w:eastAsia="宋体" w:cs="宋体"/>
          <w:color w:val="auto"/>
          <w:spacing w:val="9"/>
          <w:sz w:val="20"/>
          <w:szCs w:val="20"/>
          <w:highlight w:val="none"/>
        </w:rPr>
        <w:t>比例、引入信用担保、</w:t>
      </w:r>
      <w:r>
        <w:rPr>
          <w:rFonts w:ascii="宋体" w:hAnsi="宋体" w:eastAsia="宋体" w:cs="宋体"/>
          <w:color w:val="auto"/>
          <w:spacing w:val="10"/>
          <w:sz w:val="20"/>
          <w:szCs w:val="20"/>
          <w:highlight w:val="none"/>
        </w:rPr>
        <w:t>支持中小企业开展合同融资、免费提供电子采购文件等方式，为中小企</w:t>
      </w:r>
      <w:r>
        <w:rPr>
          <w:rFonts w:ascii="宋体" w:hAnsi="宋体" w:eastAsia="宋体" w:cs="宋体"/>
          <w:color w:val="auto"/>
          <w:spacing w:val="9"/>
          <w:sz w:val="20"/>
          <w:szCs w:val="20"/>
          <w:highlight w:val="none"/>
        </w:rPr>
        <w:t>业参与采购活动提供便利。要</w:t>
      </w:r>
      <w:r>
        <w:rPr>
          <w:rFonts w:ascii="宋体" w:hAnsi="宋体" w:eastAsia="宋体" w:cs="宋体"/>
          <w:color w:val="auto"/>
          <w:spacing w:val="10"/>
          <w:sz w:val="20"/>
          <w:szCs w:val="20"/>
          <w:highlight w:val="none"/>
        </w:rPr>
        <w:t>严格按规定及时支付采购资金，不得收取没有法律</w:t>
      </w:r>
      <w:r>
        <w:rPr>
          <w:rFonts w:ascii="宋体" w:hAnsi="宋体" w:eastAsia="宋体" w:cs="宋体"/>
          <w:color w:val="auto"/>
          <w:spacing w:val="9"/>
          <w:sz w:val="20"/>
          <w:szCs w:val="20"/>
          <w:highlight w:val="none"/>
        </w:rPr>
        <w:t>法规依据的保证金，有效减轻中小企业资金压力。</w:t>
      </w:r>
    </w:p>
    <w:p w14:paraId="491AE620">
      <w:pPr>
        <w:spacing w:before="89" w:line="297" w:lineRule="auto"/>
        <w:ind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二、调整对小微企业的价格评审优惠幅度。货物服务采购项</w:t>
      </w:r>
      <w:r>
        <w:rPr>
          <w:rFonts w:ascii="宋体" w:hAnsi="宋体" w:eastAsia="宋体" w:cs="宋体"/>
          <w:color w:val="auto"/>
          <w:spacing w:val="9"/>
          <w:sz w:val="20"/>
          <w:szCs w:val="20"/>
          <w:highlight w:val="none"/>
        </w:rPr>
        <w:t>目给予小微企业的价格扣除优惠，由</w:t>
      </w:r>
      <w:r>
        <w:rPr>
          <w:rFonts w:ascii="宋体" w:hAnsi="宋体" w:eastAsia="宋体" w:cs="宋体"/>
          <w:color w:val="auto"/>
          <w:spacing w:val="6"/>
          <w:sz w:val="20"/>
          <w:szCs w:val="20"/>
          <w:highlight w:val="none"/>
        </w:rPr>
        <w:t>财库〔2020〕46号文件规定的6%—10%提高至10%—20%。大中型企业与小微企业组成联合体或者大中</w:t>
      </w:r>
      <w:r>
        <w:rPr>
          <w:rFonts w:ascii="宋体" w:hAnsi="宋体" w:eastAsia="宋体" w:cs="宋体"/>
          <w:color w:val="auto"/>
          <w:spacing w:val="8"/>
          <w:sz w:val="20"/>
          <w:szCs w:val="20"/>
          <w:highlight w:val="none"/>
        </w:rPr>
        <w:t>型企业向小微企业分包的，评审优惠幅度由2%—3%提高至4%—6%</w:t>
      </w:r>
      <w:r>
        <w:rPr>
          <w:rFonts w:ascii="宋体" w:hAnsi="宋体" w:eastAsia="宋体" w:cs="宋体"/>
          <w:color w:val="auto"/>
          <w:spacing w:val="7"/>
          <w:sz w:val="20"/>
          <w:szCs w:val="20"/>
          <w:highlight w:val="none"/>
        </w:rPr>
        <w:t>。政府采购工程的价格评审优惠按照</w:t>
      </w:r>
      <w:r>
        <w:rPr>
          <w:rFonts w:ascii="宋体" w:hAnsi="宋体" w:eastAsia="宋体" w:cs="宋体"/>
          <w:color w:val="auto"/>
          <w:spacing w:val="8"/>
          <w:sz w:val="20"/>
          <w:szCs w:val="20"/>
          <w:highlight w:val="none"/>
        </w:rPr>
        <w:t>财库〔2020〕46号文件的规定执行。自本通知执行之日起发布采购公</w:t>
      </w:r>
      <w:r>
        <w:rPr>
          <w:rFonts w:ascii="宋体" w:hAnsi="宋体" w:eastAsia="宋体" w:cs="宋体"/>
          <w:color w:val="auto"/>
          <w:spacing w:val="7"/>
          <w:sz w:val="20"/>
          <w:szCs w:val="20"/>
          <w:highlight w:val="none"/>
        </w:rPr>
        <w:t>告或者发出采购邀请的货物服务</w:t>
      </w:r>
      <w:r>
        <w:rPr>
          <w:rFonts w:ascii="宋体" w:hAnsi="宋体" w:eastAsia="宋体" w:cs="宋体"/>
          <w:color w:val="auto"/>
          <w:spacing w:val="9"/>
          <w:sz w:val="20"/>
          <w:szCs w:val="20"/>
          <w:highlight w:val="none"/>
        </w:rPr>
        <w:t>采购项目，按照本通知规定的评审优惠幅度执行。</w:t>
      </w:r>
    </w:p>
    <w:p w14:paraId="6B2F1925">
      <w:pPr>
        <w:spacing w:before="93" w:line="302" w:lineRule="auto"/>
        <w:ind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三、提高政府采购工程面向中小企业预留份额。400万元以下的工程采购项目适宜由中小企业提供的，采购人应当专门面向中小企业采购。超过400万元的工程采购项目中适宜由中小企业提供的，</w:t>
      </w:r>
      <w:r>
        <w:rPr>
          <w:rFonts w:ascii="宋体" w:hAnsi="宋体" w:eastAsia="宋体" w:cs="宋体"/>
          <w:color w:val="auto"/>
          <w:spacing w:val="8"/>
          <w:sz w:val="20"/>
          <w:szCs w:val="20"/>
          <w:highlight w:val="none"/>
        </w:rPr>
        <w:t>在坚持公开公正、公平竞争原则和统一质量标准的前提下，2022年下半年面向中小企业的预留份额由30%以上阶段性提高至40%以上。发展改革委会同相关工程招投标行政监督部门</w:t>
      </w:r>
      <w:r>
        <w:rPr>
          <w:rFonts w:ascii="宋体" w:hAnsi="宋体" w:eastAsia="宋体" w:cs="宋体"/>
          <w:color w:val="auto"/>
          <w:spacing w:val="7"/>
          <w:sz w:val="20"/>
          <w:szCs w:val="20"/>
          <w:highlight w:val="none"/>
        </w:rPr>
        <w:t>完善工程招投标领域落</w:t>
      </w:r>
      <w:r>
        <w:rPr>
          <w:rFonts w:ascii="宋体" w:hAnsi="宋体" w:eastAsia="宋体" w:cs="宋体"/>
          <w:color w:val="auto"/>
          <w:spacing w:val="10"/>
          <w:sz w:val="20"/>
          <w:szCs w:val="20"/>
          <w:highlight w:val="none"/>
        </w:rPr>
        <w:t>实政府采购支持中小企业政策相关措施。省级财政部门要积极协调发展改革</w:t>
      </w:r>
      <w:r>
        <w:rPr>
          <w:rFonts w:ascii="宋体" w:hAnsi="宋体" w:eastAsia="宋体" w:cs="宋体"/>
          <w:color w:val="auto"/>
          <w:spacing w:val="9"/>
          <w:sz w:val="20"/>
          <w:szCs w:val="20"/>
          <w:highlight w:val="none"/>
        </w:rPr>
        <w:t>、工业和信息化、住房和</w:t>
      </w:r>
      <w:r>
        <w:rPr>
          <w:rFonts w:ascii="宋体" w:hAnsi="宋体" w:eastAsia="宋体" w:cs="宋体"/>
          <w:color w:val="auto"/>
          <w:spacing w:val="10"/>
          <w:sz w:val="20"/>
          <w:szCs w:val="20"/>
          <w:highlight w:val="none"/>
        </w:rPr>
        <w:t>城乡建设、交通、水利、商务、铁路、民航等部门调整完善工程招投标领域</w:t>
      </w:r>
      <w:r>
        <w:rPr>
          <w:rFonts w:ascii="宋体" w:hAnsi="宋体" w:eastAsia="宋体" w:cs="宋体"/>
          <w:color w:val="auto"/>
          <w:spacing w:val="9"/>
          <w:sz w:val="20"/>
          <w:szCs w:val="20"/>
          <w:highlight w:val="none"/>
        </w:rPr>
        <w:t>有关标准文本、评标制度</w:t>
      </w:r>
      <w:r>
        <w:rPr>
          <w:rFonts w:ascii="宋体" w:hAnsi="宋体" w:eastAsia="宋体" w:cs="宋体"/>
          <w:color w:val="auto"/>
          <w:spacing w:val="7"/>
          <w:sz w:val="20"/>
          <w:szCs w:val="20"/>
          <w:highlight w:val="none"/>
        </w:rPr>
        <w:t>等规定和做法，并于2022年6月30日前将落实情况</w:t>
      </w:r>
      <w:r>
        <w:rPr>
          <w:rFonts w:ascii="宋体" w:hAnsi="宋体" w:eastAsia="宋体" w:cs="宋体"/>
          <w:color w:val="auto"/>
          <w:spacing w:val="6"/>
          <w:sz w:val="20"/>
          <w:szCs w:val="20"/>
          <w:highlight w:val="none"/>
        </w:rPr>
        <w:t>汇总报财政部。</w:t>
      </w:r>
    </w:p>
    <w:p w14:paraId="61F77373">
      <w:pPr>
        <w:spacing w:before="90" w:line="271" w:lineRule="auto"/>
        <w:ind w:left="1" w:right="2" w:firstLine="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四、认真做好组织实施。各地区、各部门应当加强组织领导，明确工作责任，细化执行要求，强化监督检查，确保国务院部署落实到位，对通知执行中出现的问题要及时向财政部报告。</w:t>
      </w:r>
    </w:p>
    <w:p w14:paraId="4634EBE1">
      <w:pPr>
        <w:spacing w:before="95" w:line="228" w:lineRule="auto"/>
        <w:ind w:left="42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本通知自2022年7月1日起执行。</w:t>
      </w:r>
    </w:p>
    <w:p w14:paraId="605490A1">
      <w:pPr>
        <w:spacing w:before="92" w:line="228" w:lineRule="auto"/>
        <w:ind w:left="798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财政部</w:t>
      </w:r>
    </w:p>
    <w:p w14:paraId="2B6C5C66">
      <w:pPr>
        <w:spacing w:before="142" w:line="228" w:lineRule="auto"/>
        <w:ind w:left="380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2022年5月30日</w:t>
      </w:r>
    </w:p>
    <w:p w14:paraId="2E5096E0">
      <w:pPr>
        <w:spacing w:line="228" w:lineRule="auto"/>
        <w:rPr>
          <w:rFonts w:ascii="宋体" w:hAnsi="宋体" w:eastAsia="宋体" w:cs="宋体"/>
          <w:color w:val="auto"/>
          <w:sz w:val="20"/>
          <w:szCs w:val="20"/>
          <w:highlight w:val="none"/>
        </w:rPr>
        <w:sectPr>
          <w:footerReference r:id="rId60" w:type="default"/>
          <w:pgSz w:w="11906" w:h="16839"/>
          <w:pgMar w:top="1420" w:right="1247" w:bottom="1209" w:left="1425" w:header="0" w:footer="973" w:gutter="0"/>
          <w:pgNumType w:fmt="decimal"/>
          <w:cols w:space="720" w:num="1"/>
        </w:sectPr>
      </w:pPr>
    </w:p>
    <w:p w14:paraId="39127D2A">
      <w:pPr>
        <w:spacing w:before="65" w:line="222" w:lineRule="auto"/>
        <w:ind w:left="153"/>
        <w:rPr>
          <w:rFonts w:ascii="黑体" w:hAnsi="黑体" w:eastAsia="黑体" w:cs="黑体"/>
          <w:color w:val="auto"/>
          <w:sz w:val="28"/>
          <w:szCs w:val="28"/>
          <w:highlight w:val="none"/>
        </w:rPr>
      </w:pPr>
      <w:r>
        <w:rPr>
          <w:rFonts w:ascii="黑体" w:hAnsi="黑体" w:eastAsia="黑体" w:cs="黑体"/>
          <w:color w:val="auto"/>
          <w:spacing w:val="-1"/>
          <w:sz w:val="28"/>
          <w:szCs w:val="28"/>
          <w:highlight w:val="none"/>
        </w:rPr>
        <w:t>关于印发《吉林省强化政府采购政策支持中小企业发展落实举措》的通知</w:t>
      </w:r>
    </w:p>
    <w:p w14:paraId="4066871E">
      <w:pPr>
        <w:spacing w:before="220" w:line="219" w:lineRule="auto"/>
        <w:ind w:left="33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吉财采购〔2022〕478号</w:t>
      </w:r>
    </w:p>
    <w:p w14:paraId="3E3D591F">
      <w:pPr>
        <w:spacing w:before="234" w:line="308" w:lineRule="auto"/>
        <w:ind w:left="3" w:right="69" w:firstLine="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各省级主管预算单位，各市（州）、县（市、区）</w:t>
      </w:r>
      <w:r>
        <w:rPr>
          <w:rFonts w:ascii="宋体" w:hAnsi="宋体" w:eastAsia="宋体" w:cs="宋体"/>
          <w:color w:val="auto"/>
          <w:spacing w:val="-4"/>
          <w:sz w:val="24"/>
          <w:szCs w:val="24"/>
          <w:highlight w:val="none"/>
        </w:rPr>
        <w:t>财政局，长白山管委会、长春新区、中</w:t>
      </w:r>
      <w:r>
        <w:rPr>
          <w:rFonts w:ascii="宋体" w:hAnsi="宋体" w:eastAsia="宋体" w:cs="宋体"/>
          <w:color w:val="auto"/>
          <w:spacing w:val="-1"/>
          <w:sz w:val="24"/>
          <w:szCs w:val="24"/>
          <w:highlight w:val="none"/>
        </w:rPr>
        <w:t>韩（长春）国际合作示范区管委会财政局，各政府采购代理机构：</w:t>
      </w:r>
    </w:p>
    <w:p w14:paraId="0000E606">
      <w:pPr>
        <w:spacing w:before="1" w:line="307" w:lineRule="auto"/>
        <w:ind w:left="5" w:right="69" w:firstLine="47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现将《吉林省强化政府采购政策支持中小企业发展落实举措》印发给你们，请遵照执</w:t>
      </w:r>
      <w:r>
        <w:rPr>
          <w:rFonts w:ascii="宋体" w:hAnsi="宋体" w:eastAsia="宋体" w:cs="宋体"/>
          <w:color w:val="auto"/>
          <w:spacing w:val="-7"/>
          <w:sz w:val="24"/>
          <w:szCs w:val="24"/>
          <w:highlight w:val="none"/>
        </w:rPr>
        <w:t>行。</w:t>
      </w:r>
    </w:p>
    <w:p w14:paraId="2CFAE00A">
      <w:pPr>
        <w:spacing w:line="219" w:lineRule="auto"/>
        <w:ind w:left="5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附件：吉林省强化政府采购政策支持中小企业发展</w:t>
      </w:r>
      <w:r>
        <w:rPr>
          <w:rFonts w:ascii="宋体" w:hAnsi="宋体" w:eastAsia="宋体" w:cs="宋体"/>
          <w:color w:val="auto"/>
          <w:spacing w:val="-2"/>
          <w:sz w:val="24"/>
          <w:szCs w:val="24"/>
          <w:highlight w:val="none"/>
        </w:rPr>
        <w:t>落实举措</w:t>
      </w:r>
    </w:p>
    <w:p w14:paraId="51A05775">
      <w:pPr>
        <w:spacing w:before="115" w:line="220" w:lineRule="auto"/>
        <w:ind w:left="781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吉林省财政厅</w:t>
      </w:r>
    </w:p>
    <w:p w14:paraId="2C4A3584">
      <w:pPr>
        <w:spacing w:before="112" w:line="220" w:lineRule="auto"/>
        <w:ind w:right="18"/>
        <w:jc w:val="right"/>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2022年6月6日</w:t>
      </w:r>
    </w:p>
    <w:p w14:paraId="0BA72398">
      <w:pPr>
        <w:spacing w:before="115" w:line="219" w:lineRule="auto"/>
        <w:ind w:left="20" w:leftChars="0"/>
        <w:outlineLvl w:val="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附件：</w:t>
      </w:r>
    </w:p>
    <w:p w14:paraId="53E32F81">
      <w:pPr>
        <w:spacing w:before="92" w:line="220" w:lineRule="auto"/>
        <w:ind w:left="141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吉林省强化政府采购政策支持中小企业发展落实举措</w:t>
      </w:r>
    </w:p>
    <w:p w14:paraId="2F24BD6F">
      <w:pPr>
        <w:spacing w:before="65" w:line="369" w:lineRule="auto"/>
        <w:ind w:left="4" w:right="69" w:firstLine="644"/>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为贯彻落实《国务院关于印发扎实稳住经济一揽子政策措施的通知》（国发〔2022〕12号）和</w:t>
      </w:r>
      <w:r>
        <w:rPr>
          <w:rFonts w:ascii="宋体" w:hAnsi="宋体" w:eastAsia="宋体" w:cs="宋体"/>
          <w:color w:val="auto"/>
          <w:spacing w:val="10"/>
          <w:sz w:val="20"/>
          <w:szCs w:val="20"/>
          <w:highlight w:val="none"/>
        </w:rPr>
        <w:t>省政府《稳定全省经济若干措施》要求，积极应对突发疫情对我</w:t>
      </w:r>
      <w:r>
        <w:rPr>
          <w:rFonts w:ascii="宋体" w:hAnsi="宋体" w:eastAsia="宋体" w:cs="宋体"/>
          <w:color w:val="auto"/>
          <w:spacing w:val="9"/>
          <w:sz w:val="20"/>
          <w:szCs w:val="20"/>
          <w:highlight w:val="none"/>
        </w:rPr>
        <w:t>省经济社会影响，做好财政政策支持</w:t>
      </w:r>
      <w:r>
        <w:rPr>
          <w:rFonts w:ascii="宋体" w:hAnsi="宋体" w:eastAsia="宋体" w:cs="宋体"/>
          <w:color w:val="auto"/>
          <w:spacing w:val="10"/>
          <w:sz w:val="20"/>
          <w:szCs w:val="20"/>
          <w:highlight w:val="none"/>
        </w:rPr>
        <w:t>中小企业纾困解难工作，助力全省经济平稳健康发展，按照财政</w:t>
      </w:r>
      <w:r>
        <w:rPr>
          <w:rFonts w:ascii="宋体" w:hAnsi="宋体" w:eastAsia="宋体" w:cs="宋体"/>
          <w:color w:val="auto"/>
          <w:spacing w:val="9"/>
          <w:sz w:val="20"/>
          <w:szCs w:val="20"/>
          <w:highlight w:val="none"/>
        </w:rPr>
        <w:t>部《关于进一步加大政府采购支持中</w:t>
      </w:r>
      <w:r>
        <w:rPr>
          <w:rFonts w:ascii="宋体" w:hAnsi="宋体" w:eastAsia="宋体" w:cs="宋体"/>
          <w:color w:val="auto"/>
          <w:spacing w:val="8"/>
          <w:sz w:val="20"/>
          <w:szCs w:val="20"/>
          <w:highlight w:val="none"/>
        </w:rPr>
        <w:t>小企业力度的通知》（财库〔2022〕19号）规定，提出如下落实措施：</w:t>
      </w:r>
    </w:p>
    <w:p w14:paraId="0DECB69A">
      <w:pPr>
        <w:spacing w:line="228" w:lineRule="auto"/>
        <w:ind w:left="649" w:leftChars="0"/>
        <w:outlineLvl w:val="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一、强化政策落实支持中小企业发展</w:t>
      </w:r>
    </w:p>
    <w:p w14:paraId="6C96AE26">
      <w:pPr>
        <w:spacing w:before="154" w:line="369" w:lineRule="auto"/>
        <w:ind w:right="71" w:firstLine="648"/>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各级预算单位要认真落实《政府采购促进中小企业发展管理办法》（财库〔2020〕46号，以下</w:t>
      </w:r>
      <w:r>
        <w:rPr>
          <w:rFonts w:ascii="宋体" w:hAnsi="宋体" w:eastAsia="宋体" w:cs="宋体"/>
          <w:color w:val="auto"/>
          <w:spacing w:val="9"/>
          <w:sz w:val="20"/>
          <w:szCs w:val="20"/>
          <w:highlight w:val="none"/>
        </w:rPr>
        <w:t>简称《办法》）的规定，加强采购需求管理，规范资格条件设置，降低中小企业</w:t>
      </w:r>
      <w:r>
        <w:rPr>
          <w:rFonts w:ascii="宋体" w:hAnsi="宋体" w:eastAsia="宋体" w:cs="宋体"/>
          <w:color w:val="auto"/>
          <w:spacing w:val="8"/>
          <w:sz w:val="20"/>
          <w:szCs w:val="20"/>
          <w:highlight w:val="none"/>
        </w:rPr>
        <w:t>参加政府采购活动门</w:t>
      </w:r>
      <w:r>
        <w:rPr>
          <w:rFonts w:ascii="宋体" w:hAnsi="宋体" w:eastAsia="宋体" w:cs="宋体"/>
          <w:color w:val="auto"/>
          <w:spacing w:val="7"/>
          <w:sz w:val="20"/>
          <w:szCs w:val="20"/>
          <w:highlight w:val="none"/>
        </w:rPr>
        <w:t>槛。科学编制政府采购预算，提高中小企业预留份额。结合采购项目的实际情况，灵活采取项目整体</w:t>
      </w:r>
      <w:r>
        <w:rPr>
          <w:rFonts w:ascii="宋体" w:hAnsi="宋体" w:eastAsia="宋体" w:cs="宋体"/>
          <w:color w:val="auto"/>
          <w:spacing w:val="10"/>
          <w:sz w:val="20"/>
          <w:szCs w:val="20"/>
          <w:highlight w:val="none"/>
        </w:rPr>
        <w:t>预留、合理预留采购包、要求大企业与中小企业组成联合体或向中小企业分</w:t>
      </w:r>
      <w:r>
        <w:rPr>
          <w:rFonts w:ascii="宋体" w:hAnsi="宋体" w:eastAsia="宋体" w:cs="宋体"/>
          <w:color w:val="auto"/>
          <w:spacing w:val="9"/>
          <w:sz w:val="20"/>
          <w:szCs w:val="20"/>
          <w:highlight w:val="none"/>
        </w:rPr>
        <w:t>包等形式，确保中小企业合同份额。适用招标投标法的政府采购工程项目应严格落实政府采购支持中小企业政策。</w:t>
      </w:r>
    </w:p>
    <w:p w14:paraId="00395E51">
      <w:pPr>
        <w:spacing w:before="1" w:line="226" w:lineRule="auto"/>
        <w:ind w:left="649" w:leftChars="0"/>
        <w:outlineLvl w:val="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二、提高政府采购项目价格评审优惠幅度</w:t>
      </w:r>
    </w:p>
    <w:p w14:paraId="0874D7EB">
      <w:pPr>
        <w:spacing w:before="154" w:line="369" w:lineRule="auto"/>
        <w:ind w:firstLine="680"/>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自2022年7月1日起发布采购公告或者发出采购邀请，未预留份额专门面向中小企业采购的</w:t>
      </w:r>
      <w:r>
        <w:rPr>
          <w:rFonts w:ascii="宋体" w:hAnsi="宋体" w:eastAsia="宋体" w:cs="宋体"/>
          <w:color w:val="auto"/>
          <w:spacing w:val="8"/>
          <w:sz w:val="20"/>
          <w:szCs w:val="20"/>
          <w:highlight w:val="none"/>
        </w:rPr>
        <w:t>货物、服务项目，给予小微企业的价格扣除优惠由《办法》规定的6%-10%提高至</w:t>
      </w:r>
      <w:r>
        <w:rPr>
          <w:rFonts w:ascii="宋体" w:hAnsi="宋体" w:eastAsia="宋体" w:cs="宋体"/>
          <w:color w:val="auto"/>
          <w:spacing w:val="7"/>
          <w:sz w:val="20"/>
          <w:szCs w:val="20"/>
          <w:highlight w:val="none"/>
        </w:rPr>
        <w:t>10%-20%；大中型企</w:t>
      </w:r>
      <w:r>
        <w:rPr>
          <w:rFonts w:ascii="宋体" w:hAnsi="宋体" w:eastAsia="宋体" w:cs="宋体"/>
          <w:color w:val="auto"/>
          <w:spacing w:val="9"/>
          <w:sz w:val="20"/>
          <w:szCs w:val="20"/>
          <w:highlight w:val="none"/>
        </w:rPr>
        <w:t>业与小微企业组成联合体或者大中型企业向小微企业分包的，评审优惠幅度由2%—3%提高至4%—6%。政府采购工程的价格评审优惠按照《办法》的规定执行。</w:t>
      </w:r>
    </w:p>
    <w:p w14:paraId="1E01E6EB">
      <w:pPr>
        <w:spacing w:before="1" w:line="227" w:lineRule="auto"/>
        <w:ind w:left="646" w:leftChars="0"/>
        <w:outlineLvl w:val="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三、提高政府采购工程项目预留份额比例</w:t>
      </w:r>
    </w:p>
    <w:p w14:paraId="31DACFF3">
      <w:pPr>
        <w:spacing w:before="154" w:line="370" w:lineRule="auto"/>
        <w:ind w:right="71" w:firstLine="644"/>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400万元以下的工程采购项目适宜由中小企业提供的，采购人应当专门面向中小企业采购。达</w:t>
      </w:r>
      <w:r>
        <w:rPr>
          <w:rFonts w:ascii="宋体" w:hAnsi="宋体" w:eastAsia="宋体" w:cs="宋体"/>
          <w:color w:val="auto"/>
          <w:spacing w:val="10"/>
          <w:sz w:val="20"/>
          <w:szCs w:val="20"/>
          <w:highlight w:val="none"/>
        </w:rPr>
        <w:t>到或超过400万元的工程采购项目中适宜由中小企业提供的，在坚持公开、公正、公平竞争和统一质</w:t>
      </w:r>
      <w:r>
        <w:rPr>
          <w:rFonts w:ascii="宋体" w:hAnsi="宋体" w:eastAsia="宋体" w:cs="宋体"/>
          <w:color w:val="auto"/>
          <w:spacing w:val="8"/>
          <w:sz w:val="20"/>
          <w:szCs w:val="20"/>
          <w:highlight w:val="none"/>
        </w:rPr>
        <w:t>量标准的前提下，2022年下半年面向中小企业的预留份额由30%以上提高至40%以上。省财政厅将协</w:t>
      </w:r>
      <w:r>
        <w:rPr>
          <w:rFonts w:ascii="宋体" w:hAnsi="宋体" w:eastAsia="宋体" w:cs="宋体"/>
          <w:color w:val="auto"/>
          <w:spacing w:val="10"/>
          <w:sz w:val="20"/>
          <w:szCs w:val="20"/>
          <w:highlight w:val="none"/>
        </w:rPr>
        <w:t>调发改、工信、住建、交通、水利、商务等部门，按照国家相关工程招投</w:t>
      </w:r>
      <w:r>
        <w:rPr>
          <w:rFonts w:ascii="宋体" w:hAnsi="宋体" w:eastAsia="宋体" w:cs="宋体"/>
          <w:color w:val="auto"/>
          <w:spacing w:val="9"/>
          <w:sz w:val="20"/>
          <w:szCs w:val="20"/>
          <w:highlight w:val="none"/>
        </w:rPr>
        <w:t>标行政监督部门对工程招投</w:t>
      </w:r>
    </w:p>
    <w:p w14:paraId="62D5A40F">
      <w:pPr>
        <w:spacing w:line="370" w:lineRule="auto"/>
        <w:rPr>
          <w:rFonts w:ascii="宋体" w:hAnsi="宋体" w:eastAsia="宋体" w:cs="宋体"/>
          <w:color w:val="auto"/>
          <w:sz w:val="20"/>
          <w:szCs w:val="20"/>
          <w:highlight w:val="none"/>
        </w:rPr>
        <w:sectPr>
          <w:footerReference r:id="rId61" w:type="default"/>
          <w:pgSz w:w="11906" w:h="16839"/>
          <w:pgMar w:top="1431" w:right="1178" w:bottom="1209" w:left="1425" w:header="0" w:footer="973" w:gutter="0"/>
          <w:pgNumType w:fmt="decimal"/>
          <w:cols w:space="720" w:num="1"/>
        </w:sectPr>
      </w:pPr>
    </w:p>
    <w:p w14:paraId="23BB9205">
      <w:pPr>
        <w:spacing w:before="127" w:line="369" w:lineRule="auto"/>
        <w:ind w:right="2" w:firstLine="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标领域落实政府采购支持中小企业的政策要求，及时调整完善工程招投</w:t>
      </w:r>
      <w:r>
        <w:rPr>
          <w:rFonts w:ascii="宋体" w:hAnsi="宋体" w:eastAsia="宋体" w:cs="宋体"/>
          <w:color w:val="auto"/>
          <w:spacing w:val="9"/>
          <w:sz w:val="20"/>
          <w:szCs w:val="20"/>
          <w:highlight w:val="none"/>
        </w:rPr>
        <w:t>标领域有关标准文本、评标制度等，支持督促各预算单位严格落实政府采购政策。</w:t>
      </w:r>
    </w:p>
    <w:p w14:paraId="647EE254">
      <w:pPr>
        <w:spacing w:before="1" w:line="227" w:lineRule="auto"/>
        <w:ind w:left="666" w:leftChars="0"/>
        <w:outlineLvl w:val="1"/>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四、降低经营成本提高履约能力</w:t>
      </w:r>
    </w:p>
    <w:p w14:paraId="442A0099">
      <w:pPr>
        <w:spacing w:before="155" w:line="369" w:lineRule="auto"/>
        <w:ind w:right="2" w:firstLine="64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鼓励采购人、采购代理机构在政府采购活动中免收中小企业保证金或降低收取比例。对确需依</w:t>
      </w:r>
      <w:r>
        <w:rPr>
          <w:rFonts w:ascii="宋体" w:hAnsi="宋体" w:eastAsia="宋体" w:cs="宋体"/>
          <w:color w:val="auto"/>
          <w:spacing w:val="10"/>
          <w:sz w:val="20"/>
          <w:szCs w:val="20"/>
          <w:highlight w:val="none"/>
        </w:rPr>
        <w:t>法收取保证金的，应明确收取标准、缴纳方式和退还时限等要求，允许中小</w:t>
      </w:r>
      <w:r>
        <w:rPr>
          <w:rFonts w:ascii="宋体" w:hAnsi="宋体" w:eastAsia="宋体" w:cs="宋体"/>
          <w:color w:val="auto"/>
          <w:spacing w:val="9"/>
          <w:sz w:val="20"/>
          <w:szCs w:val="20"/>
          <w:highlight w:val="none"/>
        </w:rPr>
        <w:t>企业自主选择以支票、汇</w:t>
      </w:r>
      <w:r>
        <w:rPr>
          <w:rFonts w:ascii="宋体" w:hAnsi="宋体" w:eastAsia="宋体" w:cs="宋体"/>
          <w:color w:val="auto"/>
          <w:spacing w:val="6"/>
          <w:sz w:val="20"/>
          <w:szCs w:val="20"/>
          <w:highlight w:val="none"/>
        </w:rPr>
        <w:t>票、本票、保函等非现金形式缴纳或提交，降低经营成本。采购人、采购代理机构应对202</w:t>
      </w:r>
      <w:r>
        <w:rPr>
          <w:rFonts w:ascii="宋体" w:hAnsi="宋体" w:eastAsia="宋体" w:cs="宋体"/>
          <w:color w:val="auto"/>
          <w:spacing w:val="5"/>
          <w:sz w:val="20"/>
          <w:szCs w:val="20"/>
          <w:highlight w:val="none"/>
        </w:rPr>
        <w:t>2年5月前</w:t>
      </w:r>
      <w:r>
        <w:rPr>
          <w:rFonts w:ascii="宋体" w:hAnsi="宋体" w:eastAsia="宋体" w:cs="宋体"/>
          <w:color w:val="auto"/>
          <w:spacing w:val="10"/>
          <w:sz w:val="20"/>
          <w:szCs w:val="20"/>
          <w:highlight w:val="none"/>
        </w:rPr>
        <w:t>实施完成的政府采购项目投标（响应）或履约保证金进行核查清理，对符合</w:t>
      </w:r>
      <w:r>
        <w:rPr>
          <w:rFonts w:ascii="宋体" w:hAnsi="宋体" w:eastAsia="宋体" w:cs="宋体"/>
          <w:color w:val="auto"/>
          <w:spacing w:val="9"/>
          <w:sz w:val="20"/>
          <w:szCs w:val="20"/>
          <w:highlight w:val="none"/>
        </w:rPr>
        <w:t>法定或合同约定退还条件</w:t>
      </w:r>
      <w:r>
        <w:rPr>
          <w:rFonts w:ascii="宋体" w:hAnsi="宋体" w:eastAsia="宋体" w:cs="宋体"/>
          <w:color w:val="auto"/>
          <w:spacing w:val="10"/>
          <w:sz w:val="20"/>
          <w:szCs w:val="20"/>
          <w:highlight w:val="none"/>
        </w:rPr>
        <w:t>的应及时退还，切实减轻中小企业资金压力。采购人在编制采购文件时可结</w:t>
      </w:r>
      <w:r>
        <w:rPr>
          <w:rFonts w:ascii="宋体" w:hAnsi="宋体" w:eastAsia="宋体" w:cs="宋体"/>
          <w:color w:val="auto"/>
          <w:spacing w:val="9"/>
          <w:sz w:val="20"/>
          <w:szCs w:val="20"/>
          <w:highlight w:val="none"/>
        </w:rPr>
        <w:t>合项目实际，明确中小企</w:t>
      </w:r>
      <w:r>
        <w:rPr>
          <w:rFonts w:ascii="宋体" w:hAnsi="宋体" w:eastAsia="宋体" w:cs="宋体"/>
          <w:color w:val="auto"/>
          <w:spacing w:val="10"/>
          <w:sz w:val="20"/>
          <w:szCs w:val="20"/>
          <w:highlight w:val="none"/>
        </w:rPr>
        <w:t>业获得合同后可采取分期付款的方式，最大限度的确定</w:t>
      </w:r>
      <w:r>
        <w:rPr>
          <w:rFonts w:ascii="宋体" w:hAnsi="宋体" w:eastAsia="宋体" w:cs="宋体"/>
          <w:color w:val="auto"/>
          <w:spacing w:val="9"/>
          <w:sz w:val="20"/>
          <w:szCs w:val="20"/>
          <w:highlight w:val="none"/>
        </w:rPr>
        <w:t>首期预付款比例，并尽量缩短资金支付期限。</w:t>
      </w:r>
    </w:p>
    <w:p w14:paraId="6722E27A">
      <w:pPr>
        <w:spacing w:line="227" w:lineRule="auto"/>
        <w:ind w:left="649" w:leftChars="0"/>
        <w:outlineLvl w:val="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五、优化政府采购程序推进全流程电子化</w:t>
      </w:r>
    </w:p>
    <w:p w14:paraId="4A570E09">
      <w:pPr>
        <w:spacing w:before="149" w:line="370" w:lineRule="auto"/>
        <w:ind w:left="1" w:firstLine="664"/>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中小企业参加政府采购活动，对于出具《中小企业声明函》的，任何单位和个人不得</w:t>
      </w:r>
      <w:r>
        <w:rPr>
          <w:rFonts w:ascii="宋体" w:hAnsi="宋体" w:eastAsia="宋体" w:cs="宋体"/>
          <w:color w:val="auto"/>
          <w:spacing w:val="8"/>
          <w:sz w:val="20"/>
          <w:szCs w:val="20"/>
          <w:highlight w:val="none"/>
        </w:rPr>
        <w:t>另行要求</w:t>
      </w:r>
      <w:r>
        <w:rPr>
          <w:rFonts w:ascii="宋体" w:hAnsi="宋体" w:eastAsia="宋体" w:cs="宋体"/>
          <w:color w:val="auto"/>
          <w:spacing w:val="10"/>
          <w:sz w:val="20"/>
          <w:szCs w:val="20"/>
          <w:highlight w:val="none"/>
        </w:rPr>
        <w:t>提供《中小企业声明函》之外的中小企业身份证明文件。对于法人代表</w:t>
      </w:r>
      <w:r>
        <w:rPr>
          <w:rFonts w:ascii="宋体" w:hAnsi="宋体" w:eastAsia="宋体" w:cs="宋体"/>
          <w:color w:val="auto"/>
          <w:spacing w:val="9"/>
          <w:sz w:val="20"/>
          <w:szCs w:val="20"/>
          <w:highlight w:val="none"/>
        </w:rPr>
        <w:t>已经出具委托书的，不得要求</w:t>
      </w:r>
      <w:r>
        <w:rPr>
          <w:rFonts w:ascii="宋体" w:hAnsi="宋体" w:eastAsia="宋体" w:cs="宋体"/>
          <w:color w:val="auto"/>
          <w:spacing w:val="10"/>
          <w:sz w:val="20"/>
          <w:szCs w:val="20"/>
          <w:highlight w:val="none"/>
        </w:rPr>
        <w:t>法人代表亲自领购采购文件或者到场参加开标、谈判等。加快推进全省政府采</w:t>
      </w:r>
      <w:r>
        <w:rPr>
          <w:rFonts w:ascii="宋体" w:hAnsi="宋体" w:eastAsia="宋体" w:cs="宋体"/>
          <w:color w:val="auto"/>
          <w:spacing w:val="9"/>
          <w:sz w:val="20"/>
          <w:szCs w:val="20"/>
          <w:highlight w:val="none"/>
        </w:rPr>
        <w:t>购全流程电子化建设，实现在线发布采购公告、提供采购文件、提交投标（响应）文件，实行电子开</w:t>
      </w:r>
      <w:r>
        <w:rPr>
          <w:rFonts w:ascii="宋体" w:hAnsi="宋体" w:eastAsia="宋体" w:cs="宋体"/>
          <w:color w:val="auto"/>
          <w:spacing w:val="8"/>
          <w:sz w:val="20"/>
          <w:szCs w:val="20"/>
          <w:highlight w:val="none"/>
        </w:rPr>
        <w:t>标、电子评审，提升中小企业参与政府采购活动的便利度。</w:t>
      </w:r>
    </w:p>
    <w:p w14:paraId="0807643B">
      <w:pPr>
        <w:spacing w:line="227" w:lineRule="auto"/>
        <w:ind w:left="648" w:leftChars="0"/>
        <w:outlineLvl w:val="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六、加强项目执行管理提升政府采购透明度</w:t>
      </w:r>
    </w:p>
    <w:p w14:paraId="063A0EC5">
      <w:pPr>
        <w:spacing w:before="153" w:line="369" w:lineRule="auto"/>
        <w:ind w:left="2" w:firstLine="64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采购人、采购代理机构对投标（响应）文件的格式、形式要求应当简化明确，不得因非实质性</w:t>
      </w:r>
      <w:r>
        <w:rPr>
          <w:rFonts w:ascii="宋体" w:hAnsi="宋体" w:eastAsia="宋体" w:cs="宋体"/>
          <w:color w:val="auto"/>
          <w:spacing w:val="10"/>
          <w:sz w:val="20"/>
          <w:szCs w:val="20"/>
          <w:highlight w:val="none"/>
        </w:rPr>
        <w:t>的格式、形式问题限制和影响中小企业投标（响应）。实现电子化采</w:t>
      </w:r>
      <w:r>
        <w:rPr>
          <w:rFonts w:ascii="宋体" w:hAnsi="宋体" w:eastAsia="宋体" w:cs="宋体"/>
          <w:color w:val="auto"/>
          <w:spacing w:val="9"/>
          <w:sz w:val="20"/>
          <w:szCs w:val="20"/>
          <w:highlight w:val="none"/>
        </w:rPr>
        <w:t>购的，采购人、采购代理机构应</w:t>
      </w:r>
      <w:r>
        <w:rPr>
          <w:rFonts w:ascii="宋体" w:hAnsi="宋体" w:eastAsia="宋体" w:cs="宋体"/>
          <w:color w:val="auto"/>
          <w:spacing w:val="10"/>
          <w:sz w:val="20"/>
          <w:szCs w:val="20"/>
          <w:highlight w:val="none"/>
        </w:rPr>
        <w:t>当免费提供电子采购文件；暂未实现电子化采购的，鼓励采购人、采</w:t>
      </w:r>
      <w:r>
        <w:rPr>
          <w:rFonts w:ascii="宋体" w:hAnsi="宋体" w:eastAsia="宋体" w:cs="宋体"/>
          <w:color w:val="auto"/>
          <w:spacing w:val="9"/>
          <w:sz w:val="20"/>
          <w:szCs w:val="20"/>
          <w:highlight w:val="none"/>
        </w:rPr>
        <w:t>购代理机构向中小企业免费提供</w:t>
      </w:r>
      <w:r>
        <w:rPr>
          <w:rFonts w:ascii="宋体" w:hAnsi="宋体" w:eastAsia="宋体" w:cs="宋体"/>
          <w:color w:val="auto"/>
          <w:spacing w:val="10"/>
          <w:sz w:val="20"/>
          <w:szCs w:val="20"/>
          <w:highlight w:val="none"/>
        </w:rPr>
        <w:t>纸质采购文件。各级预算单位在公开政府采购意向时，必须标明是否</w:t>
      </w:r>
      <w:r>
        <w:rPr>
          <w:rFonts w:ascii="宋体" w:hAnsi="宋体" w:eastAsia="宋体" w:cs="宋体"/>
          <w:color w:val="auto"/>
          <w:spacing w:val="9"/>
          <w:sz w:val="20"/>
          <w:szCs w:val="20"/>
          <w:highlight w:val="none"/>
        </w:rPr>
        <w:t>专门面向中小企业采购，便于中</w:t>
      </w:r>
      <w:r>
        <w:rPr>
          <w:rFonts w:ascii="宋体" w:hAnsi="宋体" w:eastAsia="宋体" w:cs="宋体"/>
          <w:color w:val="auto"/>
          <w:spacing w:val="10"/>
          <w:sz w:val="20"/>
          <w:szCs w:val="20"/>
          <w:highlight w:val="none"/>
        </w:rPr>
        <w:t>小企业提前做好参与政府采购活动的各项准备工作。未按照规定进行政府采</w:t>
      </w:r>
      <w:r>
        <w:rPr>
          <w:rFonts w:ascii="宋体" w:hAnsi="宋体" w:eastAsia="宋体" w:cs="宋体"/>
          <w:color w:val="auto"/>
          <w:spacing w:val="9"/>
          <w:sz w:val="20"/>
          <w:szCs w:val="20"/>
          <w:highlight w:val="none"/>
        </w:rPr>
        <w:t>购意向公开的采购项目，</w:t>
      </w:r>
      <w:r>
        <w:rPr>
          <w:rFonts w:ascii="宋体" w:hAnsi="宋体" w:eastAsia="宋体" w:cs="宋体"/>
          <w:color w:val="auto"/>
          <w:spacing w:val="8"/>
          <w:sz w:val="20"/>
          <w:szCs w:val="20"/>
          <w:highlight w:val="none"/>
        </w:rPr>
        <w:t>原则上不得开展采购活动。</w:t>
      </w:r>
    </w:p>
    <w:p w14:paraId="189C292B">
      <w:pPr>
        <w:spacing w:before="4" w:line="369" w:lineRule="auto"/>
        <w:ind w:firstLine="64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各级主管预算单位要加强对本部门、本系统政府采购项目的统筹把握，明确工作责任，周密安</w:t>
      </w:r>
      <w:r>
        <w:rPr>
          <w:rFonts w:ascii="宋体" w:hAnsi="宋体" w:eastAsia="宋体" w:cs="宋体"/>
          <w:color w:val="auto"/>
          <w:spacing w:val="10"/>
          <w:sz w:val="20"/>
          <w:szCs w:val="20"/>
          <w:highlight w:val="none"/>
        </w:rPr>
        <w:t>排部署，严格落实预留采购份额和价格评审优惠措施支持中小企业发展。同时，</w:t>
      </w:r>
      <w:r>
        <w:rPr>
          <w:rFonts w:ascii="宋体" w:hAnsi="宋体" w:eastAsia="宋体" w:cs="宋体"/>
          <w:color w:val="auto"/>
          <w:spacing w:val="9"/>
          <w:sz w:val="20"/>
          <w:szCs w:val="20"/>
          <w:highlight w:val="none"/>
        </w:rPr>
        <w:t>按照六条措施要求，</w:t>
      </w:r>
      <w:r>
        <w:rPr>
          <w:rFonts w:ascii="宋体" w:hAnsi="宋体" w:eastAsia="宋体" w:cs="宋体"/>
          <w:color w:val="auto"/>
          <w:spacing w:val="10"/>
          <w:sz w:val="20"/>
          <w:szCs w:val="20"/>
          <w:highlight w:val="none"/>
        </w:rPr>
        <w:t>要制定具体工作方案，确保政策执行不走样、显成效。各级财政部门应加强</w:t>
      </w:r>
      <w:r>
        <w:rPr>
          <w:rFonts w:ascii="宋体" w:hAnsi="宋体" w:eastAsia="宋体" w:cs="宋体"/>
          <w:color w:val="auto"/>
          <w:spacing w:val="9"/>
          <w:sz w:val="20"/>
          <w:szCs w:val="20"/>
          <w:highlight w:val="none"/>
        </w:rPr>
        <w:t>组织领导，结合本地区实</w:t>
      </w:r>
      <w:r>
        <w:rPr>
          <w:rFonts w:ascii="宋体" w:hAnsi="宋体" w:eastAsia="宋体" w:cs="宋体"/>
          <w:color w:val="auto"/>
          <w:spacing w:val="10"/>
          <w:sz w:val="20"/>
          <w:szCs w:val="20"/>
          <w:highlight w:val="none"/>
        </w:rPr>
        <w:t>际情况明确政策执行要求，加强对采购单位政策执行情况的监督检查，在政</w:t>
      </w:r>
      <w:r>
        <w:rPr>
          <w:rFonts w:ascii="宋体" w:hAnsi="宋体" w:eastAsia="宋体" w:cs="宋体"/>
          <w:color w:val="auto"/>
          <w:spacing w:val="9"/>
          <w:sz w:val="20"/>
          <w:szCs w:val="20"/>
          <w:highlight w:val="none"/>
        </w:rPr>
        <w:t>策执行中好的经验办法和</w:t>
      </w:r>
      <w:r>
        <w:rPr>
          <w:rFonts w:ascii="宋体" w:hAnsi="宋体" w:eastAsia="宋体" w:cs="宋体"/>
          <w:color w:val="auto"/>
          <w:spacing w:val="8"/>
          <w:sz w:val="20"/>
          <w:szCs w:val="20"/>
          <w:highlight w:val="none"/>
        </w:rPr>
        <w:t>遇到的问题及时向省财政厅报告。</w:t>
      </w:r>
    </w:p>
    <w:p w14:paraId="4016E4A3">
      <w:pPr>
        <w:spacing w:line="369" w:lineRule="auto"/>
        <w:rPr>
          <w:rFonts w:ascii="宋体" w:hAnsi="宋体" w:eastAsia="宋体" w:cs="宋体"/>
          <w:color w:val="auto"/>
          <w:sz w:val="20"/>
          <w:szCs w:val="20"/>
          <w:highlight w:val="none"/>
        </w:rPr>
        <w:sectPr>
          <w:footerReference r:id="rId62" w:type="default"/>
          <w:pgSz w:w="11906" w:h="16839"/>
          <w:pgMar w:top="1431" w:right="1247" w:bottom="1209" w:left="1425" w:header="0" w:footer="973" w:gutter="0"/>
          <w:pgNumType w:fmt="decimal"/>
          <w:cols w:space="720" w:num="1"/>
        </w:sectPr>
      </w:pPr>
    </w:p>
    <w:p w14:paraId="5ACDEBF7">
      <w:pPr>
        <w:spacing w:before="113" w:line="225" w:lineRule="auto"/>
        <w:ind w:left="18" w:leftChars="0"/>
        <w:outlineLvl w:val="2"/>
        <w:rPr>
          <w:rFonts w:ascii="宋体" w:hAnsi="宋体" w:eastAsia="宋体" w:cs="宋体"/>
          <w:color w:val="auto"/>
          <w:sz w:val="35"/>
          <w:szCs w:val="35"/>
          <w:highlight w:val="none"/>
        </w:rPr>
      </w:pPr>
      <w:r>
        <w:rPr>
          <w:rFonts w:ascii="宋体" w:hAnsi="宋体" w:eastAsia="宋体" w:cs="宋体"/>
          <w:b/>
          <w:bCs/>
          <w:color w:val="auto"/>
          <w:spacing w:val="7"/>
          <w:sz w:val="35"/>
          <w:szCs w:val="35"/>
          <w:highlight w:val="none"/>
        </w:rPr>
        <w:t>财政部司法部关于政府采购支持监狱企业发展</w:t>
      </w:r>
      <w:r>
        <w:rPr>
          <w:rFonts w:ascii="宋体" w:hAnsi="宋体" w:eastAsia="宋体" w:cs="宋体"/>
          <w:b/>
          <w:bCs/>
          <w:color w:val="auto"/>
          <w:spacing w:val="6"/>
          <w:sz w:val="35"/>
          <w:szCs w:val="35"/>
          <w:highlight w:val="none"/>
        </w:rPr>
        <w:t>有关问题的</w:t>
      </w:r>
    </w:p>
    <w:p w14:paraId="580EC2BD">
      <w:pPr>
        <w:spacing w:before="38" w:line="228" w:lineRule="auto"/>
        <w:ind w:left="4262"/>
        <w:rPr>
          <w:rFonts w:ascii="宋体" w:hAnsi="宋体" w:eastAsia="宋体" w:cs="宋体"/>
          <w:color w:val="auto"/>
          <w:sz w:val="35"/>
          <w:szCs w:val="35"/>
          <w:highlight w:val="none"/>
        </w:rPr>
      </w:pPr>
      <w:r>
        <w:rPr>
          <w:rFonts w:ascii="宋体" w:hAnsi="宋体" w:eastAsia="宋体" w:cs="宋体"/>
          <w:b/>
          <w:bCs/>
          <w:color w:val="auto"/>
          <w:sz w:val="35"/>
          <w:szCs w:val="35"/>
          <w:highlight w:val="none"/>
        </w:rPr>
        <w:t>通知</w:t>
      </w:r>
    </w:p>
    <w:p w14:paraId="29D05DD7">
      <w:pPr>
        <w:spacing w:before="139" w:line="220" w:lineRule="auto"/>
        <w:ind w:left="3629" w:leftChars="0"/>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财库〔2014〕68号</w:t>
      </w:r>
    </w:p>
    <w:p w14:paraId="306D6819">
      <w:pPr>
        <w:spacing w:before="204" w:line="288" w:lineRule="auto"/>
        <w:ind w:left="2" w:right="42" w:hanging="2"/>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党中央有关部门，国务院各部委、各直属机构，全国人大常委会办公厅，全国政协办公厅，</w:t>
      </w:r>
      <w:r>
        <w:rPr>
          <w:rFonts w:ascii="宋体" w:hAnsi="宋体" w:eastAsia="宋体" w:cs="宋体"/>
          <w:color w:val="auto"/>
          <w:spacing w:val="-3"/>
          <w:sz w:val="24"/>
          <w:szCs w:val="24"/>
          <w:highlight w:val="none"/>
        </w:rPr>
        <w:t>高法院，高检院，有关人民团体，中央国家机关</w:t>
      </w:r>
      <w:r>
        <w:rPr>
          <w:rFonts w:ascii="宋体" w:hAnsi="宋体" w:eastAsia="宋体" w:cs="宋体"/>
          <w:color w:val="auto"/>
          <w:spacing w:val="-4"/>
          <w:sz w:val="24"/>
          <w:szCs w:val="24"/>
          <w:highlight w:val="none"/>
        </w:rPr>
        <w:t>政府采购中心，中共中央直属机关采购中</w:t>
      </w:r>
      <w:r>
        <w:rPr>
          <w:rFonts w:ascii="宋体" w:hAnsi="宋体" w:eastAsia="宋体" w:cs="宋体"/>
          <w:color w:val="auto"/>
          <w:spacing w:val="-3"/>
          <w:sz w:val="24"/>
          <w:szCs w:val="24"/>
          <w:highlight w:val="none"/>
        </w:rPr>
        <w:t>心，全国人大机关采购中心，各省、自治区、直</w:t>
      </w:r>
      <w:r>
        <w:rPr>
          <w:rFonts w:ascii="宋体" w:hAnsi="宋体" w:eastAsia="宋体" w:cs="宋体"/>
          <w:color w:val="auto"/>
          <w:spacing w:val="-4"/>
          <w:sz w:val="24"/>
          <w:szCs w:val="24"/>
          <w:highlight w:val="none"/>
        </w:rPr>
        <w:t>辖市、计划单列市财政厅（局）、司法厅</w:t>
      </w:r>
      <w:r>
        <w:rPr>
          <w:rFonts w:ascii="宋体" w:hAnsi="宋体" w:eastAsia="宋体" w:cs="宋体"/>
          <w:color w:val="auto"/>
          <w:spacing w:val="-1"/>
          <w:sz w:val="24"/>
          <w:szCs w:val="24"/>
          <w:highlight w:val="none"/>
        </w:rPr>
        <w:t>（局</w:t>
      </w:r>
      <w:r>
        <w:rPr>
          <w:rFonts w:ascii="宋体" w:hAnsi="宋体" w:eastAsia="宋体" w:cs="宋体"/>
          <w:color w:val="auto"/>
          <w:spacing w:val="5"/>
          <w:sz w:val="24"/>
          <w:szCs w:val="24"/>
          <w:highlight w:val="none"/>
        </w:rPr>
        <w:t>），</w:t>
      </w:r>
      <w:r>
        <w:rPr>
          <w:rFonts w:ascii="宋体" w:hAnsi="宋体" w:eastAsia="宋体" w:cs="宋体"/>
          <w:color w:val="auto"/>
          <w:spacing w:val="-1"/>
          <w:sz w:val="24"/>
          <w:szCs w:val="24"/>
          <w:highlight w:val="none"/>
        </w:rPr>
        <w:t>新疆生产建设兵团财务局、司法局、监狱管理局：</w:t>
      </w:r>
    </w:p>
    <w:p w14:paraId="6DF76511">
      <w:pPr>
        <w:spacing w:line="287" w:lineRule="auto"/>
        <w:ind w:firstLine="478"/>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政府采购支持监狱和戒毒企业（以下简称监狱企业）发展对稳定监狱企业生产，提高</w:t>
      </w:r>
      <w:r>
        <w:rPr>
          <w:rFonts w:ascii="宋体" w:hAnsi="宋体" w:eastAsia="宋体" w:cs="宋体"/>
          <w:color w:val="auto"/>
          <w:spacing w:val="-3"/>
          <w:sz w:val="24"/>
          <w:szCs w:val="24"/>
          <w:highlight w:val="none"/>
        </w:rPr>
        <w:t>财政资金使用效益，为罪犯和戒毒人员提供长期可靠的</w:t>
      </w:r>
      <w:r>
        <w:rPr>
          <w:rFonts w:ascii="宋体" w:hAnsi="宋体" w:eastAsia="宋体" w:cs="宋体"/>
          <w:color w:val="auto"/>
          <w:spacing w:val="-4"/>
          <w:sz w:val="24"/>
          <w:szCs w:val="24"/>
          <w:highlight w:val="none"/>
        </w:rPr>
        <w:t>劳动岗位，提高罪犯和戒毒人员的</w:t>
      </w:r>
      <w:r>
        <w:rPr>
          <w:rFonts w:ascii="宋体" w:hAnsi="宋体" w:eastAsia="宋体" w:cs="宋体"/>
          <w:color w:val="auto"/>
          <w:spacing w:val="-3"/>
          <w:sz w:val="24"/>
          <w:szCs w:val="24"/>
          <w:highlight w:val="none"/>
        </w:rPr>
        <w:t>教育改造质量，减少重新违法犯罪，确保监狱、戒毒场</w:t>
      </w:r>
      <w:r>
        <w:rPr>
          <w:rFonts w:ascii="宋体" w:hAnsi="宋体" w:eastAsia="宋体" w:cs="宋体"/>
          <w:color w:val="auto"/>
          <w:spacing w:val="-4"/>
          <w:sz w:val="24"/>
          <w:szCs w:val="24"/>
          <w:highlight w:val="none"/>
        </w:rPr>
        <w:t>所安全稳定，促进社会和谐稳定具</w:t>
      </w:r>
      <w:r>
        <w:rPr>
          <w:rFonts w:ascii="宋体" w:hAnsi="宋体" w:eastAsia="宋体" w:cs="宋体"/>
          <w:color w:val="auto"/>
          <w:spacing w:val="-7"/>
          <w:sz w:val="24"/>
          <w:szCs w:val="24"/>
          <w:highlight w:val="none"/>
        </w:rPr>
        <w:t>有十分重要的意义。为进一步贯彻落实国务院《关于解决监狱企业困难的实施方案的通知》</w:t>
      </w:r>
      <w:r>
        <w:rPr>
          <w:rFonts w:ascii="宋体" w:hAnsi="宋体" w:eastAsia="宋体" w:cs="宋体"/>
          <w:color w:val="auto"/>
          <w:spacing w:val="-2"/>
          <w:sz w:val="24"/>
          <w:szCs w:val="24"/>
          <w:highlight w:val="none"/>
        </w:rPr>
        <w:t>（国发[2003]7号）文件精神，发挥政府采购支持监狱企业发展的作用，现就有关</w:t>
      </w:r>
      <w:r>
        <w:rPr>
          <w:rFonts w:ascii="宋体" w:hAnsi="宋体" w:eastAsia="宋体" w:cs="宋体"/>
          <w:color w:val="auto"/>
          <w:spacing w:val="-3"/>
          <w:sz w:val="24"/>
          <w:szCs w:val="24"/>
          <w:highlight w:val="none"/>
        </w:rPr>
        <w:t>事项通知如下：</w:t>
      </w:r>
    </w:p>
    <w:p w14:paraId="54EB40E2">
      <w:pPr>
        <w:spacing w:before="3" w:line="276" w:lineRule="auto"/>
        <w:ind w:right="105" w:firstLine="48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一、监狱企业是指由司法部认定的为罪犯、戒毒人员提供生产项目和劳动对象，且全</w:t>
      </w:r>
      <w:r>
        <w:rPr>
          <w:rFonts w:ascii="宋体" w:hAnsi="宋体" w:eastAsia="宋体" w:cs="宋体"/>
          <w:color w:val="auto"/>
          <w:spacing w:val="-3"/>
          <w:sz w:val="24"/>
          <w:szCs w:val="24"/>
          <w:highlight w:val="none"/>
        </w:rPr>
        <w:t>部产权属于司法部监狱管理局、戒毒管理局、直属煤矿管</w:t>
      </w:r>
      <w:r>
        <w:rPr>
          <w:rFonts w:ascii="宋体" w:hAnsi="宋体" w:eastAsia="宋体" w:cs="宋体"/>
          <w:color w:val="auto"/>
          <w:spacing w:val="-4"/>
          <w:sz w:val="24"/>
          <w:szCs w:val="24"/>
          <w:highlight w:val="none"/>
        </w:rPr>
        <w:t>理局，各省、自治区、直辖市监</w:t>
      </w:r>
      <w:r>
        <w:rPr>
          <w:rFonts w:ascii="宋体" w:hAnsi="宋体" w:eastAsia="宋体" w:cs="宋体"/>
          <w:color w:val="auto"/>
          <w:spacing w:val="-3"/>
          <w:sz w:val="24"/>
          <w:szCs w:val="24"/>
          <w:highlight w:val="none"/>
        </w:rPr>
        <w:t>狱管理局、戒毒管理局，各地（设区的市）监狱、强制隔</w:t>
      </w:r>
      <w:r>
        <w:rPr>
          <w:rFonts w:ascii="宋体" w:hAnsi="宋体" w:eastAsia="宋体" w:cs="宋体"/>
          <w:color w:val="auto"/>
          <w:spacing w:val="-4"/>
          <w:sz w:val="24"/>
          <w:szCs w:val="24"/>
          <w:highlight w:val="none"/>
        </w:rPr>
        <w:t>离戒毒所、戒毒康复所，以及新</w:t>
      </w:r>
      <w:r>
        <w:rPr>
          <w:rFonts w:ascii="宋体" w:hAnsi="宋体" w:eastAsia="宋体" w:cs="宋体"/>
          <w:color w:val="auto"/>
          <w:spacing w:val="-3"/>
          <w:sz w:val="24"/>
          <w:szCs w:val="24"/>
          <w:highlight w:val="none"/>
        </w:rPr>
        <w:t>疆生产建设兵团监狱管理局、戒毒管理局的企业。监狱企</w:t>
      </w:r>
      <w:r>
        <w:rPr>
          <w:rFonts w:ascii="宋体" w:hAnsi="宋体" w:eastAsia="宋体" w:cs="宋体"/>
          <w:color w:val="auto"/>
          <w:spacing w:val="-4"/>
          <w:sz w:val="24"/>
          <w:szCs w:val="24"/>
          <w:highlight w:val="none"/>
        </w:rPr>
        <w:t>业参加政府采购活动时，应当提</w:t>
      </w:r>
      <w:r>
        <w:rPr>
          <w:rFonts w:ascii="宋体" w:hAnsi="宋体" w:eastAsia="宋体" w:cs="宋体"/>
          <w:color w:val="auto"/>
          <w:spacing w:val="-3"/>
          <w:sz w:val="24"/>
          <w:szCs w:val="24"/>
          <w:highlight w:val="none"/>
        </w:rPr>
        <w:t>供由省级以上监狱管理局、戒毒管理局（含新疆生产建设</w:t>
      </w:r>
      <w:r>
        <w:rPr>
          <w:rFonts w:ascii="宋体" w:hAnsi="宋体" w:eastAsia="宋体" w:cs="宋体"/>
          <w:color w:val="auto"/>
          <w:spacing w:val="-4"/>
          <w:sz w:val="24"/>
          <w:szCs w:val="24"/>
          <w:highlight w:val="none"/>
        </w:rPr>
        <w:t>兵团）出具的属于监狱企业的证</w:t>
      </w:r>
      <w:r>
        <w:rPr>
          <w:rFonts w:ascii="宋体" w:hAnsi="宋体" w:eastAsia="宋体" w:cs="宋体"/>
          <w:color w:val="auto"/>
          <w:spacing w:val="-3"/>
          <w:sz w:val="24"/>
          <w:szCs w:val="24"/>
          <w:highlight w:val="none"/>
        </w:rPr>
        <w:t>明文件。</w:t>
      </w:r>
    </w:p>
    <w:p w14:paraId="3A64413F">
      <w:pPr>
        <w:spacing w:before="84" w:line="265" w:lineRule="auto"/>
        <w:ind w:left="3" w:right="105"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二、在政府采购活动中，监狱企业视同小型、微型企业，享受预留份额、评审中价格</w:t>
      </w:r>
      <w:r>
        <w:rPr>
          <w:rFonts w:ascii="宋体" w:hAnsi="宋体" w:eastAsia="宋体" w:cs="宋体"/>
          <w:color w:val="auto"/>
          <w:spacing w:val="-3"/>
          <w:sz w:val="24"/>
          <w:szCs w:val="24"/>
          <w:highlight w:val="none"/>
        </w:rPr>
        <w:t>扣除等政府采购促进中小企业发展的政府采购政</w:t>
      </w:r>
      <w:r>
        <w:rPr>
          <w:rFonts w:ascii="宋体" w:hAnsi="宋体" w:eastAsia="宋体" w:cs="宋体"/>
          <w:color w:val="auto"/>
          <w:spacing w:val="-4"/>
          <w:sz w:val="24"/>
          <w:szCs w:val="24"/>
          <w:highlight w:val="none"/>
        </w:rPr>
        <w:t>策。向监狱企业采购的金额，计入面向中</w:t>
      </w:r>
      <w:r>
        <w:rPr>
          <w:rFonts w:ascii="宋体" w:hAnsi="宋体" w:eastAsia="宋体" w:cs="宋体"/>
          <w:color w:val="auto"/>
          <w:spacing w:val="-2"/>
          <w:sz w:val="24"/>
          <w:szCs w:val="24"/>
          <w:highlight w:val="none"/>
        </w:rPr>
        <w:t>小企业采购的统计数据。</w:t>
      </w:r>
    </w:p>
    <w:p w14:paraId="5C71F291">
      <w:pPr>
        <w:spacing w:before="90" w:line="276" w:lineRule="auto"/>
        <w:ind w:right="42" w:firstLine="48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三、各地区、各部门要积极通过预留采购份额支持监狱企业。有制服采购项目的</w:t>
      </w:r>
      <w:r>
        <w:rPr>
          <w:rFonts w:ascii="宋体" w:hAnsi="宋体" w:eastAsia="宋体" w:cs="宋体"/>
          <w:color w:val="auto"/>
          <w:spacing w:val="-9"/>
          <w:sz w:val="24"/>
          <w:szCs w:val="24"/>
          <w:highlight w:val="none"/>
        </w:rPr>
        <w:t>部门，</w:t>
      </w:r>
      <w:r>
        <w:rPr>
          <w:rFonts w:ascii="宋体" w:hAnsi="宋体" w:eastAsia="宋体" w:cs="宋体"/>
          <w:color w:val="auto"/>
          <w:spacing w:val="-2"/>
          <w:sz w:val="24"/>
          <w:szCs w:val="24"/>
          <w:highlight w:val="none"/>
        </w:rPr>
        <w:t>应加强对政府采购预算和计划编制工作的统筹，预留本部门制服采购项目预算总</w:t>
      </w:r>
      <w:r>
        <w:rPr>
          <w:rFonts w:ascii="宋体" w:hAnsi="宋体" w:eastAsia="宋体" w:cs="宋体"/>
          <w:color w:val="auto"/>
          <w:spacing w:val="-3"/>
          <w:sz w:val="24"/>
          <w:szCs w:val="24"/>
          <w:highlight w:val="none"/>
        </w:rPr>
        <w:t>额的30%以上，专门面向监狱企业采购。省级以上政府部门组织的</w:t>
      </w:r>
      <w:r>
        <w:rPr>
          <w:rFonts w:ascii="宋体" w:hAnsi="宋体" w:eastAsia="宋体" w:cs="宋体"/>
          <w:color w:val="auto"/>
          <w:spacing w:val="-4"/>
          <w:sz w:val="24"/>
          <w:szCs w:val="24"/>
          <w:highlight w:val="none"/>
        </w:rPr>
        <w:t>公务员考试、招生考试、等级考</w:t>
      </w:r>
      <w:r>
        <w:rPr>
          <w:rFonts w:ascii="宋体" w:hAnsi="宋体" w:eastAsia="宋体" w:cs="宋体"/>
          <w:color w:val="auto"/>
          <w:spacing w:val="-3"/>
          <w:sz w:val="24"/>
          <w:szCs w:val="24"/>
          <w:highlight w:val="none"/>
        </w:rPr>
        <w:t>试、资格考试的试卷印刷项目原则上应当在符合有关资质</w:t>
      </w:r>
      <w:r>
        <w:rPr>
          <w:rFonts w:ascii="宋体" w:hAnsi="宋体" w:eastAsia="宋体" w:cs="宋体"/>
          <w:color w:val="auto"/>
          <w:spacing w:val="-4"/>
          <w:sz w:val="24"/>
          <w:szCs w:val="24"/>
          <w:highlight w:val="none"/>
        </w:rPr>
        <w:t>的监狱企业范围内采购。各地在</w:t>
      </w:r>
      <w:r>
        <w:rPr>
          <w:rFonts w:ascii="宋体" w:hAnsi="宋体" w:eastAsia="宋体" w:cs="宋体"/>
          <w:color w:val="auto"/>
          <w:spacing w:val="-3"/>
          <w:sz w:val="24"/>
          <w:szCs w:val="24"/>
          <w:highlight w:val="none"/>
        </w:rPr>
        <w:t>免费教科书政府采购工作中，应当根据符合教科书印制资</w:t>
      </w:r>
      <w:r>
        <w:rPr>
          <w:rFonts w:ascii="宋体" w:hAnsi="宋体" w:eastAsia="宋体" w:cs="宋体"/>
          <w:color w:val="auto"/>
          <w:spacing w:val="-4"/>
          <w:sz w:val="24"/>
          <w:szCs w:val="24"/>
          <w:highlight w:val="none"/>
        </w:rPr>
        <w:t>质的监狱企业情况，提出由监狱</w:t>
      </w:r>
      <w:r>
        <w:rPr>
          <w:rFonts w:ascii="宋体" w:hAnsi="宋体" w:eastAsia="宋体" w:cs="宋体"/>
          <w:color w:val="auto"/>
          <w:spacing w:val="-1"/>
          <w:sz w:val="24"/>
          <w:szCs w:val="24"/>
          <w:highlight w:val="none"/>
        </w:rPr>
        <w:t>企业印刷的比例要求。</w:t>
      </w:r>
    </w:p>
    <w:p w14:paraId="20906675">
      <w:pPr>
        <w:spacing w:before="90" w:line="264" w:lineRule="auto"/>
        <w:ind w:right="105" w:firstLine="50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四、各地区可以结合本地区实际，对监狱企业生产的办公用品、家具用具</w:t>
      </w:r>
      <w:r>
        <w:rPr>
          <w:rFonts w:ascii="宋体" w:hAnsi="宋体" w:eastAsia="宋体" w:cs="宋体"/>
          <w:color w:val="auto"/>
          <w:spacing w:val="-5"/>
          <w:sz w:val="24"/>
          <w:szCs w:val="24"/>
          <w:highlight w:val="none"/>
        </w:rPr>
        <w:t>、车辆维修</w:t>
      </w:r>
      <w:r>
        <w:rPr>
          <w:rFonts w:ascii="宋体" w:hAnsi="宋体" w:eastAsia="宋体" w:cs="宋体"/>
          <w:color w:val="auto"/>
          <w:spacing w:val="-3"/>
          <w:sz w:val="24"/>
          <w:szCs w:val="24"/>
          <w:highlight w:val="none"/>
        </w:rPr>
        <w:t>和提供的保养服务、消防设备等，提出预留份额等政府</w:t>
      </w:r>
      <w:r>
        <w:rPr>
          <w:rFonts w:ascii="宋体" w:hAnsi="宋体" w:eastAsia="宋体" w:cs="宋体"/>
          <w:color w:val="auto"/>
          <w:spacing w:val="-4"/>
          <w:sz w:val="24"/>
          <w:szCs w:val="24"/>
          <w:highlight w:val="none"/>
        </w:rPr>
        <w:t>采购支持措施，加大对监狱企业产</w:t>
      </w:r>
      <w:r>
        <w:rPr>
          <w:rFonts w:ascii="宋体" w:hAnsi="宋体" w:eastAsia="宋体" w:cs="宋体"/>
          <w:color w:val="auto"/>
          <w:spacing w:val="-2"/>
          <w:sz w:val="24"/>
          <w:szCs w:val="24"/>
          <w:highlight w:val="none"/>
        </w:rPr>
        <w:t>品的采购力度。</w:t>
      </w:r>
    </w:p>
    <w:p w14:paraId="4C7A1755">
      <w:pPr>
        <w:spacing w:before="91" w:line="270" w:lineRule="auto"/>
        <w:ind w:right="105"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五、各地区、各部门要高度重视，加强组织管理和监督，做好政府采购支持监狱企业</w:t>
      </w:r>
      <w:r>
        <w:rPr>
          <w:rFonts w:ascii="宋体" w:hAnsi="宋体" w:eastAsia="宋体" w:cs="宋体"/>
          <w:color w:val="auto"/>
          <w:spacing w:val="-3"/>
          <w:sz w:val="24"/>
          <w:szCs w:val="24"/>
          <w:highlight w:val="none"/>
        </w:rPr>
        <w:t>发展的相关工作。有关部门要加强监管，确保面向监狱</w:t>
      </w:r>
      <w:r>
        <w:rPr>
          <w:rFonts w:ascii="宋体" w:hAnsi="宋体" w:eastAsia="宋体" w:cs="宋体"/>
          <w:color w:val="auto"/>
          <w:spacing w:val="-4"/>
          <w:sz w:val="24"/>
          <w:szCs w:val="24"/>
          <w:highlight w:val="none"/>
        </w:rPr>
        <w:t>企业采购的工作依法依规进行。各</w:t>
      </w:r>
      <w:r>
        <w:rPr>
          <w:rFonts w:ascii="宋体" w:hAnsi="宋体" w:eastAsia="宋体" w:cs="宋体"/>
          <w:color w:val="auto"/>
          <w:spacing w:val="-3"/>
          <w:sz w:val="24"/>
          <w:szCs w:val="24"/>
          <w:highlight w:val="none"/>
        </w:rPr>
        <w:t>监狱企业要不断提高监狱企业产品的质量和服务水平，</w:t>
      </w:r>
      <w:r>
        <w:rPr>
          <w:rFonts w:ascii="宋体" w:hAnsi="宋体" w:eastAsia="宋体" w:cs="宋体"/>
          <w:color w:val="auto"/>
          <w:spacing w:val="-4"/>
          <w:sz w:val="24"/>
          <w:szCs w:val="24"/>
          <w:highlight w:val="none"/>
        </w:rPr>
        <w:t>为做好监狱企业产品政府采购工作</w:t>
      </w:r>
      <w:r>
        <w:rPr>
          <w:rFonts w:ascii="宋体" w:hAnsi="宋体" w:eastAsia="宋体" w:cs="宋体"/>
          <w:color w:val="auto"/>
          <w:spacing w:val="-2"/>
          <w:sz w:val="24"/>
          <w:szCs w:val="24"/>
          <w:highlight w:val="none"/>
        </w:rPr>
        <w:t>提供有力保障。</w:t>
      </w:r>
    </w:p>
    <w:p w14:paraId="1CB6D092">
      <w:pPr>
        <w:spacing w:line="270" w:lineRule="auto"/>
        <w:rPr>
          <w:rFonts w:ascii="宋体" w:hAnsi="宋体" w:eastAsia="宋体" w:cs="宋体"/>
          <w:color w:val="auto"/>
          <w:sz w:val="24"/>
          <w:szCs w:val="24"/>
          <w:highlight w:val="none"/>
        </w:rPr>
        <w:sectPr>
          <w:footerReference r:id="rId63" w:type="default"/>
          <w:pgSz w:w="11906" w:h="16839"/>
          <w:pgMar w:top="1431" w:right="1141" w:bottom="1209" w:left="1427" w:header="0" w:footer="973" w:gutter="0"/>
          <w:pgNumType w:fmt="decimal"/>
          <w:cols w:space="720" w:num="1"/>
        </w:sectPr>
      </w:pPr>
    </w:p>
    <w:p w14:paraId="0912EABE">
      <w:pPr>
        <w:spacing w:before="48" w:line="220" w:lineRule="auto"/>
        <w:jc w:val="right"/>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中华人民共和国财政部</w:t>
      </w:r>
    </w:p>
    <w:p w14:paraId="6FF7D6CC">
      <w:pPr>
        <w:spacing w:before="88" w:line="220" w:lineRule="auto"/>
        <w:jc w:val="right"/>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中华人民共和国司法部</w:t>
      </w:r>
    </w:p>
    <w:p w14:paraId="38BC4635">
      <w:pPr>
        <w:spacing w:before="85" w:line="220" w:lineRule="auto"/>
        <w:jc w:val="right"/>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2014年6月10日</w:t>
      </w:r>
    </w:p>
    <w:p w14:paraId="6838570F">
      <w:pPr>
        <w:spacing w:line="220" w:lineRule="auto"/>
        <w:rPr>
          <w:rFonts w:ascii="宋体" w:hAnsi="宋体" w:eastAsia="宋体" w:cs="宋体"/>
          <w:color w:val="auto"/>
          <w:sz w:val="24"/>
          <w:szCs w:val="24"/>
          <w:highlight w:val="none"/>
        </w:rPr>
        <w:sectPr>
          <w:footerReference r:id="rId64" w:type="default"/>
          <w:pgSz w:w="11906" w:h="16839"/>
          <w:pgMar w:top="1405" w:right="1247" w:bottom="1209" w:left="1785" w:header="0" w:footer="973" w:gutter="0"/>
          <w:pgNumType w:fmt="decimal"/>
          <w:cols w:space="720" w:num="1"/>
        </w:sectPr>
      </w:pPr>
    </w:p>
    <w:p w14:paraId="031D1523">
      <w:pPr>
        <w:spacing w:before="158" w:line="225" w:lineRule="auto"/>
        <w:ind w:left="1379"/>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关于促进残疾人就业政府采购政策的通知</w:t>
      </w:r>
    </w:p>
    <w:p w14:paraId="43E9C3AD">
      <w:pPr>
        <w:spacing w:before="142" w:line="220" w:lineRule="auto"/>
        <w:ind w:left="356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财库〔2017〕141号</w:t>
      </w:r>
    </w:p>
    <w:p w14:paraId="2AE9F8DA">
      <w:pPr>
        <w:spacing w:before="133" w:line="288" w:lineRule="auto"/>
        <w:ind w:left="1" w:right="16"/>
        <w:jc w:val="both"/>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党中央有关部门，国务院各部委、各直属机构，全国人大常委会办公厅，全国政协办公厅，</w:t>
      </w:r>
      <w:r>
        <w:rPr>
          <w:rFonts w:ascii="宋体" w:hAnsi="宋体" w:eastAsia="宋体" w:cs="宋体"/>
          <w:color w:val="auto"/>
          <w:spacing w:val="-3"/>
          <w:sz w:val="24"/>
          <w:szCs w:val="24"/>
          <w:highlight w:val="none"/>
        </w:rPr>
        <w:t>高法院，高检院，各民主党派中央，有关人民团体，各</w:t>
      </w:r>
      <w:r>
        <w:rPr>
          <w:rFonts w:ascii="宋体" w:hAnsi="宋体" w:eastAsia="宋体" w:cs="宋体"/>
          <w:color w:val="auto"/>
          <w:spacing w:val="-4"/>
          <w:sz w:val="24"/>
          <w:szCs w:val="24"/>
          <w:highlight w:val="none"/>
        </w:rPr>
        <w:t>省、自治区、直辖市、计划单列市</w:t>
      </w:r>
      <w:r>
        <w:rPr>
          <w:rFonts w:ascii="宋体" w:hAnsi="宋体" w:eastAsia="宋体" w:cs="宋体"/>
          <w:color w:val="auto"/>
          <w:spacing w:val="-3"/>
          <w:sz w:val="24"/>
          <w:szCs w:val="24"/>
          <w:highlight w:val="none"/>
        </w:rPr>
        <w:t>财政厅（局）、民政厅（局）、残疾人联合会，新疆生</w:t>
      </w:r>
      <w:r>
        <w:rPr>
          <w:rFonts w:ascii="宋体" w:hAnsi="宋体" w:eastAsia="宋体" w:cs="宋体"/>
          <w:color w:val="auto"/>
          <w:spacing w:val="-4"/>
          <w:sz w:val="24"/>
          <w:szCs w:val="24"/>
          <w:highlight w:val="none"/>
        </w:rPr>
        <w:t>产建设兵团财务局、民政局、残疾</w:t>
      </w:r>
      <w:r>
        <w:rPr>
          <w:rFonts w:ascii="宋体" w:hAnsi="宋体" w:eastAsia="宋体" w:cs="宋体"/>
          <w:color w:val="auto"/>
          <w:spacing w:val="-3"/>
          <w:sz w:val="24"/>
          <w:szCs w:val="24"/>
          <w:highlight w:val="none"/>
        </w:rPr>
        <w:t>人联合会：</w:t>
      </w:r>
    </w:p>
    <w:p w14:paraId="2EF2661B">
      <w:pPr>
        <w:spacing w:before="3" w:line="286" w:lineRule="auto"/>
        <w:ind w:left="1" w:right="80" w:firstLine="481"/>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为了发挥政府采购促进残疾人就业的作用，进一步保障残疾人权益，依照《政府采购</w:t>
      </w:r>
      <w:r>
        <w:rPr>
          <w:rFonts w:ascii="宋体" w:hAnsi="宋体" w:eastAsia="宋体" w:cs="宋体"/>
          <w:color w:val="auto"/>
          <w:spacing w:val="-3"/>
          <w:sz w:val="24"/>
          <w:szCs w:val="24"/>
          <w:highlight w:val="none"/>
        </w:rPr>
        <w:t>法》、《残疾人保障法》等法律法规及相关规定，现就</w:t>
      </w:r>
      <w:r>
        <w:rPr>
          <w:rFonts w:ascii="宋体" w:hAnsi="宋体" w:eastAsia="宋体" w:cs="宋体"/>
          <w:color w:val="auto"/>
          <w:spacing w:val="-4"/>
          <w:sz w:val="24"/>
          <w:szCs w:val="24"/>
          <w:highlight w:val="none"/>
        </w:rPr>
        <w:t>促进残疾人就业政府采购政策通知如下：</w:t>
      </w:r>
    </w:p>
    <w:p w14:paraId="4A5F0BDD">
      <w:pPr>
        <w:spacing w:line="219" w:lineRule="auto"/>
        <w:ind w:left="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一、享受政府采购支持政策的残疾人福利性单位应当同时满足以下条件：</w:t>
      </w:r>
    </w:p>
    <w:p w14:paraId="5FE8AB5A">
      <w:pPr>
        <w:spacing w:before="89" w:line="254" w:lineRule="auto"/>
        <w:ind w:left="20" w:right="80" w:firstLine="47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（一）安置的残疾人占本单位在职职工人数的比例不低于25%（含25%</w:t>
      </w:r>
      <w:r>
        <w:rPr>
          <w:rFonts w:ascii="宋体" w:hAnsi="宋体" w:eastAsia="宋体" w:cs="宋体"/>
          <w:color w:val="auto"/>
          <w:spacing w:val="13"/>
          <w:sz w:val="24"/>
          <w:szCs w:val="24"/>
          <w:highlight w:val="none"/>
        </w:rPr>
        <w:t>），</w:t>
      </w:r>
      <w:r>
        <w:rPr>
          <w:rFonts w:ascii="宋体" w:hAnsi="宋体" w:eastAsia="宋体" w:cs="宋体"/>
          <w:color w:val="auto"/>
          <w:spacing w:val="-2"/>
          <w:sz w:val="24"/>
          <w:szCs w:val="24"/>
          <w:highlight w:val="none"/>
        </w:rPr>
        <w:t>并且安置</w:t>
      </w:r>
      <w:r>
        <w:rPr>
          <w:rFonts w:ascii="宋体" w:hAnsi="宋体" w:eastAsia="宋体" w:cs="宋体"/>
          <w:color w:val="auto"/>
          <w:spacing w:val="-7"/>
          <w:sz w:val="24"/>
          <w:szCs w:val="24"/>
          <w:highlight w:val="none"/>
        </w:rPr>
        <w:t>的残疾人人数不少于10人（含10人</w:t>
      </w:r>
      <w:r>
        <w:rPr>
          <w:rFonts w:ascii="宋体" w:hAnsi="宋体" w:eastAsia="宋体" w:cs="宋体"/>
          <w:color w:val="auto"/>
          <w:spacing w:val="6"/>
          <w:sz w:val="24"/>
          <w:szCs w:val="24"/>
          <w:highlight w:val="none"/>
        </w:rPr>
        <w:t>）；</w:t>
      </w:r>
    </w:p>
    <w:p w14:paraId="69BA0980">
      <w:pPr>
        <w:spacing w:before="87" w:line="219"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（二）依法与安置的每位残疾人签订了一年以上（含一年）的劳</w:t>
      </w:r>
      <w:r>
        <w:rPr>
          <w:rFonts w:ascii="宋体" w:hAnsi="宋体" w:eastAsia="宋体" w:cs="宋体"/>
          <w:color w:val="auto"/>
          <w:spacing w:val="-3"/>
          <w:sz w:val="24"/>
          <w:szCs w:val="24"/>
          <w:highlight w:val="none"/>
        </w:rPr>
        <w:t>动合同或服务协议；</w:t>
      </w:r>
    </w:p>
    <w:p w14:paraId="2340FF2A">
      <w:pPr>
        <w:spacing w:before="88" w:line="254" w:lineRule="auto"/>
        <w:ind w:left="3" w:firstLine="42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（三）为安置的每位残疾人按月足额缴纳了基本养老保</w:t>
      </w:r>
      <w:r>
        <w:rPr>
          <w:rFonts w:ascii="宋体" w:hAnsi="宋体" w:eastAsia="宋体" w:cs="宋体"/>
          <w:color w:val="auto"/>
          <w:spacing w:val="-7"/>
          <w:sz w:val="24"/>
          <w:szCs w:val="24"/>
          <w:highlight w:val="none"/>
        </w:rPr>
        <w:t>险、基本医疗保险、失业保险、</w:t>
      </w:r>
      <w:r>
        <w:rPr>
          <w:rFonts w:ascii="宋体" w:hAnsi="宋体" w:eastAsia="宋体" w:cs="宋体"/>
          <w:color w:val="auto"/>
          <w:spacing w:val="-1"/>
          <w:sz w:val="24"/>
          <w:szCs w:val="24"/>
          <w:highlight w:val="none"/>
        </w:rPr>
        <w:t>工伤保险和生育保险等社会保险费；</w:t>
      </w:r>
    </w:p>
    <w:p w14:paraId="17962DB0">
      <w:pPr>
        <w:spacing w:before="86" w:line="254" w:lineRule="auto"/>
        <w:ind w:left="2" w:right="80" w:firstLine="45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（四）通过银行等金融机构向安置的每位残疾人，按月支付了不低于单位所在区县适</w:t>
      </w:r>
      <w:r>
        <w:rPr>
          <w:rFonts w:ascii="宋体" w:hAnsi="宋体" w:eastAsia="宋体" w:cs="宋体"/>
          <w:color w:val="auto"/>
          <w:spacing w:val="-1"/>
          <w:sz w:val="24"/>
          <w:szCs w:val="24"/>
          <w:highlight w:val="none"/>
        </w:rPr>
        <w:t>用的经省级人民政府批准的月最低工资标准的工资；</w:t>
      </w:r>
    </w:p>
    <w:p w14:paraId="49FB8F62">
      <w:pPr>
        <w:spacing w:before="86" w:line="254" w:lineRule="auto"/>
        <w:ind w:right="80" w:firstLine="47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（五）提供本单位制造的货物、承担的工程或者服务（以下简称产品</w:t>
      </w:r>
      <w:r>
        <w:rPr>
          <w:rFonts w:ascii="宋体" w:hAnsi="宋体" w:eastAsia="宋体" w:cs="宋体"/>
          <w:color w:val="auto"/>
          <w:spacing w:val="-9"/>
          <w:sz w:val="24"/>
          <w:szCs w:val="24"/>
          <w:highlight w:val="none"/>
        </w:rPr>
        <w:t>），</w:t>
      </w:r>
      <w:r>
        <w:rPr>
          <w:rFonts w:ascii="宋体" w:hAnsi="宋体" w:eastAsia="宋体" w:cs="宋体"/>
          <w:color w:val="auto"/>
          <w:spacing w:val="-3"/>
          <w:sz w:val="24"/>
          <w:szCs w:val="24"/>
          <w:highlight w:val="none"/>
        </w:rPr>
        <w:t>或者提供其</w:t>
      </w:r>
      <w:r>
        <w:rPr>
          <w:rFonts w:ascii="宋体" w:hAnsi="宋体" w:eastAsia="宋体" w:cs="宋体"/>
          <w:color w:val="auto"/>
          <w:sz w:val="24"/>
          <w:szCs w:val="24"/>
          <w:highlight w:val="none"/>
        </w:rPr>
        <w:t>他残疾人福利性单位制造的货物（不包括使用非残疾人福利性</w:t>
      </w:r>
      <w:r>
        <w:rPr>
          <w:rFonts w:ascii="宋体" w:hAnsi="宋体" w:eastAsia="宋体" w:cs="宋体"/>
          <w:color w:val="auto"/>
          <w:spacing w:val="-1"/>
          <w:sz w:val="24"/>
          <w:szCs w:val="24"/>
          <w:highlight w:val="none"/>
        </w:rPr>
        <w:t>单位注册商标的货物）。</w:t>
      </w:r>
    </w:p>
    <w:p w14:paraId="580CCCD9">
      <w:pPr>
        <w:spacing w:before="90" w:line="287" w:lineRule="auto"/>
        <w:ind w:right="80" w:firstLine="484"/>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前款所称残疾人是指法定劳动年龄内，持有《中华人民共和国残疾人证》或者《中华</w:t>
      </w:r>
      <w:r>
        <w:rPr>
          <w:rFonts w:ascii="宋体" w:hAnsi="宋体" w:eastAsia="宋体" w:cs="宋体"/>
          <w:color w:val="auto"/>
          <w:spacing w:val="-1"/>
          <w:sz w:val="24"/>
          <w:szCs w:val="24"/>
          <w:highlight w:val="none"/>
        </w:rPr>
        <w:t>人民共和国残疾军人证（1至8级）》的自然人，包括具有劳动条件和劳动意愿的精神残</w:t>
      </w:r>
      <w:r>
        <w:rPr>
          <w:rFonts w:ascii="宋体" w:hAnsi="宋体" w:eastAsia="宋体" w:cs="宋体"/>
          <w:color w:val="auto"/>
          <w:spacing w:val="-3"/>
          <w:sz w:val="24"/>
          <w:szCs w:val="24"/>
          <w:highlight w:val="none"/>
        </w:rPr>
        <w:t>疾人。在职职工人数是指与残疾人福利性单位建立劳动关系</w:t>
      </w:r>
      <w:r>
        <w:rPr>
          <w:rFonts w:ascii="宋体" w:hAnsi="宋体" w:eastAsia="宋体" w:cs="宋体"/>
          <w:color w:val="auto"/>
          <w:spacing w:val="-4"/>
          <w:sz w:val="24"/>
          <w:szCs w:val="24"/>
          <w:highlight w:val="none"/>
        </w:rPr>
        <w:t>并依法签订劳动合同或者服务</w:t>
      </w:r>
      <w:r>
        <w:rPr>
          <w:rFonts w:ascii="宋体" w:hAnsi="宋体" w:eastAsia="宋体" w:cs="宋体"/>
          <w:color w:val="auto"/>
          <w:spacing w:val="-2"/>
          <w:sz w:val="24"/>
          <w:szCs w:val="24"/>
          <w:highlight w:val="none"/>
        </w:rPr>
        <w:t>协议的雇员人数。</w:t>
      </w:r>
    </w:p>
    <w:p w14:paraId="205A1CB9">
      <w:pPr>
        <w:spacing w:before="1" w:line="287" w:lineRule="auto"/>
        <w:ind w:right="80" w:firstLine="484"/>
        <w:jc w:val="both"/>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二、符合条件的残疾人福利性单位在参加政府采购活动时，应当提供本通知规定的《残</w:t>
      </w:r>
      <w:r>
        <w:rPr>
          <w:rFonts w:ascii="宋体" w:hAnsi="宋体" w:eastAsia="宋体" w:cs="宋体"/>
          <w:color w:val="auto"/>
          <w:spacing w:val="-3"/>
          <w:sz w:val="24"/>
          <w:szCs w:val="24"/>
          <w:highlight w:val="none"/>
        </w:rPr>
        <w:t>疾人福利性单位声明函》（见附件</w:t>
      </w:r>
      <w:r>
        <w:rPr>
          <w:rFonts w:ascii="宋体" w:hAnsi="宋体" w:eastAsia="宋体" w:cs="宋体"/>
          <w:color w:val="auto"/>
          <w:spacing w:val="-10"/>
          <w:sz w:val="24"/>
          <w:szCs w:val="24"/>
          <w:highlight w:val="none"/>
        </w:rPr>
        <w:t>），</w:t>
      </w:r>
      <w:r>
        <w:rPr>
          <w:rFonts w:ascii="宋体" w:hAnsi="宋体" w:eastAsia="宋体" w:cs="宋体"/>
          <w:color w:val="auto"/>
          <w:spacing w:val="-3"/>
          <w:sz w:val="24"/>
          <w:szCs w:val="24"/>
          <w:highlight w:val="none"/>
        </w:rPr>
        <w:t>并对声明的真实性负责。任何单位或者个人在政府</w:t>
      </w:r>
      <w:r>
        <w:rPr>
          <w:rFonts w:ascii="宋体" w:hAnsi="宋体" w:eastAsia="宋体" w:cs="宋体"/>
          <w:color w:val="auto"/>
          <w:sz w:val="24"/>
          <w:szCs w:val="24"/>
          <w:highlight w:val="none"/>
        </w:rPr>
        <w:t>采购活动中均不得要求残疾人福利性单位提供其他证</w:t>
      </w:r>
      <w:r>
        <w:rPr>
          <w:rFonts w:ascii="宋体" w:hAnsi="宋体" w:eastAsia="宋体" w:cs="宋体"/>
          <w:color w:val="auto"/>
          <w:spacing w:val="-1"/>
          <w:sz w:val="24"/>
          <w:szCs w:val="24"/>
          <w:highlight w:val="none"/>
        </w:rPr>
        <w:t>明声明函内容的材料。</w:t>
      </w:r>
    </w:p>
    <w:p w14:paraId="3E39DCA2">
      <w:pPr>
        <w:spacing w:line="287" w:lineRule="auto"/>
        <w:ind w:left="23" w:right="80"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中标、成交供应商为残疾人福利性单位的，采购人或者其委托的采购代理</w:t>
      </w:r>
      <w:r>
        <w:rPr>
          <w:rFonts w:ascii="宋体" w:hAnsi="宋体" w:eastAsia="宋体" w:cs="宋体"/>
          <w:color w:val="auto"/>
          <w:spacing w:val="-5"/>
          <w:sz w:val="24"/>
          <w:szCs w:val="24"/>
          <w:highlight w:val="none"/>
        </w:rPr>
        <w:t>机构应当随</w:t>
      </w:r>
      <w:r>
        <w:rPr>
          <w:rFonts w:ascii="宋体" w:hAnsi="宋体" w:eastAsia="宋体" w:cs="宋体"/>
          <w:color w:val="auto"/>
          <w:spacing w:val="-1"/>
          <w:sz w:val="24"/>
          <w:szCs w:val="24"/>
          <w:highlight w:val="none"/>
        </w:rPr>
        <w:t>中标、成交结果同时公告其《残疾人福利性单位声明函》，接受社会监督。</w:t>
      </w:r>
    </w:p>
    <w:p w14:paraId="1575121E">
      <w:pPr>
        <w:spacing w:line="288" w:lineRule="auto"/>
        <w:ind w:left="1" w:right="80" w:firstLine="4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供应商提供的《残疾人福利性单位声明函》与事实不符的，依照《政府采购法》第七</w:t>
      </w:r>
      <w:r>
        <w:rPr>
          <w:rFonts w:ascii="宋体" w:hAnsi="宋体" w:eastAsia="宋体" w:cs="宋体"/>
          <w:color w:val="auto"/>
          <w:spacing w:val="-1"/>
          <w:sz w:val="24"/>
          <w:szCs w:val="24"/>
          <w:highlight w:val="none"/>
        </w:rPr>
        <w:t>十七条第一款的规定追究法律责任。</w:t>
      </w:r>
    </w:p>
    <w:p w14:paraId="51AD53F3">
      <w:pPr>
        <w:spacing w:before="2" w:line="270" w:lineRule="auto"/>
        <w:ind w:right="80"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三、在政府采购活动中，残疾人福利性单位视同小型、微型企业，享受预留份额、评</w:t>
      </w:r>
      <w:r>
        <w:rPr>
          <w:rFonts w:ascii="宋体" w:hAnsi="宋体" w:eastAsia="宋体" w:cs="宋体"/>
          <w:color w:val="auto"/>
          <w:spacing w:val="-3"/>
          <w:sz w:val="24"/>
          <w:szCs w:val="24"/>
          <w:highlight w:val="none"/>
        </w:rPr>
        <w:t>审中价格扣除等促进中小企业发展的政府采购政策。向残疾</w:t>
      </w:r>
      <w:r>
        <w:rPr>
          <w:rFonts w:ascii="宋体" w:hAnsi="宋体" w:eastAsia="宋体" w:cs="宋体"/>
          <w:color w:val="auto"/>
          <w:spacing w:val="-4"/>
          <w:sz w:val="24"/>
          <w:szCs w:val="24"/>
          <w:highlight w:val="none"/>
        </w:rPr>
        <w:t>人福利性单位采购的金额，计</w:t>
      </w:r>
      <w:r>
        <w:rPr>
          <w:rFonts w:ascii="宋体" w:hAnsi="宋体" w:eastAsia="宋体" w:cs="宋体"/>
          <w:color w:val="auto"/>
          <w:spacing w:val="-3"/>
          <w:sz w:val="24"/>
          <w:szCs w:val="24"/>
          <w:highlight w:val="none"/>
        </w:rPr>
        <w:t>入面向中小企业采购的统计数据。残疾人福利性单位属于小</w:t>
      </w:r>
      <w:r>
        <w:rPr>
          <w:rFonts w:ascii="宋体" w:hAnsi="宋体" w:eastAsia="宋体" w:cs="宋体"/>
          <w:color w:val="auto"/>
          <w:spacing w:val="-4"/>
          <w:sz w:val="24"/>
          <w:szCs w:val="24"/>
          <w:highlight w:val="none"/>
        </w:rPr>
        <w:t>型、微型企业的，不重复享受</w:t>
      </w:r>
      <w:r>
        <w:rPr>
          <w:rFonts w:ascii="宋体" w:hAnsi="宋体" w:eastAsia="宋体" w:cs="宋体"/>
          <w:color w:val="auto"/>
          <w:spacing w:val="-3"/>
          <w:sz w:val="24"/>
          <w:szCs w:val="24"/>
          <w:highlight w:val="none"/>
        </w:rPr>
        <w:t>政策。</w:t>
      </w:r>
    </w:p>
    <w:p w14:paraId="7D23D2CC">
      <w:pPr>
        <w:spacing w:before="86" w:line="254" w:lineRule="auto"/>
        <w:ind w:left="20" w:right="80"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四、采购人采购公开招标数额标准以上的货物或者服务，因落实促进残疾</w:t>
      </w:r>
      <w:r>
        <w:rPr>
          <w:rFonts w:ascii="宋体" w:hAnsi="宋体" w:eastAsia="宋体" w:cs="宋体"/>
          <w:color w:val="auto"/>
          <w:spacing w:val="-5"/>
          <w:sz w:val="24"/>
          <w:szCs w:val="24"/>
          <w:highlight w:val="none"/>
        </w:rPr>
        <w:t>人就业政策</w:t>
      </w:r>
      <w:r>
        <w:rPr>
          <w:rFonts w:ascii="宋体" w:hAnsi="宋体" w:eastAsia="宋体" w:cs="宋体"/>
          <w:color w:val="auto"/>
          <w:spacing w:val="-1"/>
          <w:sz w:val="24"/>
          <w:szCs w:val="24"/>
          <w:highlight w:val="none"/>
        </w:rPr>
        <w:t>的需要，依法履行有关报批程序后，可采用公开招标以外的采购方式。</w:t>
      </w:r>
    </w:p>
    <w:p w14:paraId="33A75C39">
      <w:pPr>
        <w:spacing w:line="254" w:lineRule="auto"/>
        <w:rPr>
          <w:rFonts w:ascii="宋体" w:hAnsi="宋体" w:eastAsia="宋体" w:cs="宋体"/>
          <w:color w:val="auto"/>
          <w:sz w:val="24"/>
          <w:szCs w:val="24"/>
          <w:highlight w:val="none"/>
        </w:rPr>
        <w:sectPr>
          <w:footerReference r:id="rId65" w:type="default"/>
          <w:pgSz w:w="11906" w:h="16839"/>
          <w:pgMar w:top="1431" w:right="1167" w:bottom="1209" w:left="1426" w:header="0" w:footer="973" w:gutter="0"/>
          <w:pgNumType w:fmt="decimal"/>
          <w:cols w:space="720" w:num="1"/>
        </w:sectPr>
      </w:pPr>
    </w:p>
    <w:p w14:paraId="665FA1F6">
      <w:pPr>
        <w:spacing w:before="46" w:line="265" w:lineRule="auto"/>
        <w:ind w:right="81" w:firstLine="48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五、对于满足要求的残疾人福利性单位产品，集中采购机构可直接纳入协议供货或者</w:t>
      </w:r>
      <w:r>
        <w:rPr>
          <w:rFonts w:ascii="宋体" w:hAnsi="宋体" w:eastAsia="宋体" w:cs="宋体"/>
          <w:color w:val="auto"/>
          <w:spacing w:val="-3"/>
          <w:sz w:val="24"/>
          <w:szCs w:val="24"/>
          <w:highlight w:val="none"/>
        </w:rPr>
        <w:t>定点采购范围。各地区建设的政府采购电子卖场、电子商城</w:t>
      </w:r>
      <w:r>
        <w:rPr>
          <w:rFonts w:ascii="宋体" w:hAnsi="宋体" w:eastAsia="宋体" w:cs="宋体"/>
          <w:color w:val="auto"/>
          <w:spacing w:val="-4"/>
          <w:sz w:val="24"/>
          <w:szCs w:val="24"/>
          <w:highlight w:val="none"/>
        </w:rPr>
        <w:t>、网上超市等应当设立残疾人</w:t>
      </w:r>
      <w:r>
        <w:rPr>
          <w:rFonts w:ascii="宋体" w:hAnsi="宋体" w:eastAsia="宋体" w:cs="宋体"/>
          <w:color w:val="auto"/>
          <w:sz w:val="24"/>
          <w:szCs w:val="24"/>
          <w:highlight w:val="none"/>
        </w:rPr>
        <w:t>福利性单位产品专栏。鼓励采购人优先选择残疾</w:t>
      </w:r>
      <w:r>
        <w:rPr>
          <w:rFonts w:ascii="宋体" w:hAnsi="宋体" w:eastAsia="宋体" w:cs="宋体"/>
          <w:color w:val="auto"/>
          <w:spacing w:val="-1"/>
          <w:sz w:val="24"/>
          <w:szCs w:val="24"/>
          <w:highlight w:val="none"/>
        </w:rPr>
        <w:t>人福利性单位的产品。</w:t>
      </w:r>
    </w:p>
    <w:p w14:paraId="52F1D1E8">
      <w:pPr>
        <w:spacing w:before="88" w:line="265" w:lineRule="auto"/>
        <w:ind w:firstLine="48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六、省级财政部门可以结合本地区残疾人生产、经营的实际情况，细化政府采购支持</w:t>
      </w:r>
      <w:r>
        <w:rPr>
          <w:rFonts w:ascii="宋体" w:hAnsi="宋体" w:eastAsia="宋体" w:cs="宋体"/>
          <w:color w:val="auto"/>
          <w:spacing w:val="-7"/>
          <w:sz w:val="24"/>
          <w:szCs w:val="24"/>
          <w:highlight w:val="none"/>
        </w:rPr>
        <w:t>措施。对符合国家有关部门规定条件的残疾人辅助性就业机构，可通</w:t>
      </w:r>
      <w:r>
        <w:rPr>
          <w:rFonts w:ascii="宋体" w:hAnsi="宋体" w:eastAsia="宋体" w:cs="宋体"/>
          <w:color w:val="auto"/>
          <w:spacing w:val="-8"/>
          <w:sz w:val="24"/>
          <w:szCs w:val="24"/>
          <w:highlight w:val="none"/>
        </w:rPr>
        <w:t>过上述措施予以支持。</w:t>
      </w:r>
      <w:r>
        <w:rPr>
          <w:rFonts w:ascii="宋体" w:hAnsi="宋体" w:eastAsia="宋体" w:cs="宋体"/>
          <w:color w:val="auto"/>
          <w:spacing w:val="-1"/>
          <w:sz w:val="24"/>
          <w:szCs w:val="24"/>
          <w:highlight w:val="none"/>
        </w:rPr>
        <w:t>各地制定的有关文件应当报财政部备案。</w:t>
      </w:r>
    </w:p>
    <w:p w14:paraId="7EECCA55">
      <w:pPr>
        <w:spacing w:before="88" w:line="219" w:lineRule="auto"/>
        <w:ind w:left="480" w:leftChars="0"/>
        <w:outlineLvl w:val="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七、本通知自2017年10月1日起执行。</w:t>
      </w:r>
    </w:p>
    <w:p w14:paraId="32DE6A77">
      <w:pPr>
        <w:spacing w:before="87" w:line="219" w:lineRule="auto"/>
        <w:ind w:left="5641" w:leftChars="0"/>
        <w:outlineLvl w:val="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财政部民政部中国残疾人联合会</w:t>
      </w:r>
    </w:p>
    <w:p w14:paraId="51C7A60D">
      <w:pPr>
        <w:spacing w:before="89" w:line="220" w:lineRule="auto"/>
        <w:ind w:right="30"/>
        <w:jc w:val="right"/>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2017年8月22日</w:t>
      </w:r>
    </w:p>
    <w:p w14:paraId="6A001B89">
      <w:pPr>
        <w:spacing w:line="220" w:lineRule="auto"/>
        <w:rPr>
          <w:rFonts w:ascii="宋体" w:hAnsi="宋体" w:eastAsia="宋体" w:cs="宋体"/>
          <w:color w:val="auto"/>
          <w:sz w:val="24"/>
          <w:szCs w:val="24"/>
          <w:highlight w:val="none"/>
        </w:rPr>
        <w:sectPr>
          <w:footerReference r:id="rId66" w:type="default"/>
          <w:pgSz w:w="11906" w:h="16839"/>
          <w:pgMar w:top="1405" w:right="1166" w:bottom="1209" w:left="1426" w:header="0" w:footer="973" w:gutter="0"/>
          <w:pgNumType w:fmt="decimal"/>
          <w:cols w:space="720" w:num="1"/>
        </w:sectPr>
      </w:pPr>
    </w:p>
    <w:p w14:paraId="555D88DD">
      <w:pPr>
        <w:spacing w:before="114" w:line="225" w:lineRule="auto"/>
        <w:ind w:left="403"/>
        <w:rPr>
          <w:rFonts w:ascii="宋体" w:hAnsi="宋体" w:eastAsia="宋体" w:cs="宋体"/>
          <w:color w:val="auto"/>
          <w:sz w:val="35"/>
          <w:szCs w:val="35"/>
          <w:highlight w:val="none"/>
        </w:rPr>
      </w:pPr>
      <w:r>
        <w:rPr>
          <w:rFonts w:ascii="宋体" w:hAnsi="宋体" w:eastAsia="宋体" w:cs="宋体"/>
          <w:b/>
          <w:bCs/>
          <w:color w:val="auto"/>
          <w:spacing w:val="6"/>
          <w:sz w:val="35"/>
          <w:szCs w:val="35"/>
          <w:highlight w:val="none"/>
        </w:rPr>
        <w:t>《统计上大中小微型企业划分办法（2017）》修订说明</w:t>
      </w:r>
    </w:p>
    <w:p w14:paraId="2D86224D">
      <w:pPr>
        <w:spacing w:before="141" w:line="220" w:lineRule="auto"/>
        <w:ind w:left="595" w:leftChars="0"/>
        <w:outlineLvl w:val="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一、修订背景</w:t>
      </w:r>
    </w:p>
    <w:p w14:paraId="44E8A7EB">
      <w:pPr>
        <w:spacing w:before="88" w:line="287" w:lineRule="auto"/>
        <w:ind w:left="112" w:firstLine="524"/>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目前执行的《统计上大中小微型企业划分办法》是2011年国家</w:t>
      </w:r>
      <w:r>
        <w:rPr>
          <w:rFonts w:ascii="宋体" w:hAnsi="宋体" w:eastAsia="宋体" w:cs="宋体"/>
          <w:color w:val="auto"/>
          <w:spacing w:val="-1"/>
          <w:sz w:val="24"/>
          <w:szCs w:val="24"/>
          <w:highlight w:val="none"/>
        </w:rPr>
        <w:t>统计局根据工业和信</w:t>
      </w:r>
      <w:r>
        <w:rPr>
          <w:rFonts w:ascii="宋体" w:hAnsi="宋体" w:eastAsia="宋体" w:cs="宋体"/>
          <w:color w:val="auto"/>
          <w:spacing w:val="-7"/>
          <w:sz w:val="24"/>
          <w:szCs w:val="24"/>
          <w:highlight w:val="none"/>
        </w:rPr>
        <w:t>息化部、国家统计局、国家发展改革委、财政部《关于印发中小企业划型标准规定的通知》</w:t>
      </w:r>
      <w:r>
        <w:rPr>
          <w:rFonts w:ascii="宋体" w:hAnsi="宋体" w:eastAsia="宋体" w:cs="宋体"/>
          <w:color w:val="auto"/>
          <w:spacing w:val="-3"/>
          <w:sz w:val="24"/>
          <w:szCs w:val="24"/>
          <w:highlight w:val="none"/>
        </w:rPr>
        <w:t>（工信部联企业〔2011〕300号</w:t>
      </w:r>
      <w:r>
        <w:rPr>
          <w:rFonts w:ascii="宋体" w:hAnsi="宋体" w:eastAsia="宋体" w:cs="宋体"/>
          <w:color w:val="auto"/>
          <w:spacing w:val="-35"/>
          <w:sz w:val="24"/>
          <w:szCs w:val="24"/>
          <w:highlight w:val="none"/>
        </w:rPr>
        <w:t>），</w:t>
      </w:r>
      <w:r>
        <w:rPr>
          <w:rFonts w:ascii="宋体" w:hAnsi="宋体" w:eastAsia="宋体" w:cs="宋体"/>
          <w:color w:val="auto"/>
          <w:spacing w:val="-3"/>
          <w:sz w:val="24"/>
          <w:szCs w:val="24"/>
          <w:highlight w:val="none"/>
        </w:rPr>
        <w:t>同时依据《国民经济行业</w:t>
      </w:r>
      <w:r>
        <w:rPr>
          <w:rFonts w:ascii="宋体" w:hAnsi="宋体" w:eastAsia="宋体" w:cs="宋体"/>
          <w:color w:val="auto"/>
          <w:spacing w:val="-4"/>
          <w:sz w:val="24"/>
          <w:szCs w:val="24"/>
          <w:highlight w:val="none"/>
        </w:rPr>
        <w:t>分类》（GB/T</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4754—2011</w:t>
      </w:r>
      <w:r>
        <w:rPr>
          <w:rFonts w:ascii="宋体" w:hAnsi="宋体" w:eastAsia="宋体" w:cs="宋体"/>
          <w:color w:val="auto"/>
          <w:spacing w:val="-35"/>
          <w:sz w:val="24"/>
          <w:szCs w:val="24"/>
          <w:highlight w:val="none"/>
        </w:rPr>
        <w:t>），</w:t>
      </w:r>
      <w:r>
        <w:rPr>
          <w:rFonts w:ascii="宋体" w:hAnsi="宋体" w:eastAsia="宋体" w:cs="宋体"/>
          <w:color w:val="auto"/>
          <w:spacing w:val="-2"/>
          <w:sz w:val="24"/>
          <w:szCs w:val="24"/>
          <w:highlight w:val="none"/>
        </w:rPr>
        <w:t>制定并颁布的。</w:t>
      </w:r>
    </w:p>
    <w:p w14:paraId="153ABEEF">
      <w:pPr>
        <w:spacing w:before="2" w:line="287" w:lineRule="auto"/>
        <w:ind w:left="113" w:right="30" w:firstLine="480"/>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2017年6月30日，《国民经济行业分类》（GB/T 4754—201</w:t>
      </w:r>
      <w:r>
        <w:rPr>
          <w:rFonts w:ascii="宋体" w:hAnsi="宋体" w:eastAsia="宋体" w:cs="宋体"/>
          <w:color w:val="auto"/>
          <w:spacing w:val="-4"/>
          <w:sz w:val="24"/>
          <w:szCs w:val="24"/>
          <w:highlight w:val="none"/>
        </w:rPr>
        <w:t>7）正式颁布。8月29</w:t>
      </w:r>
      <w:r>
        <w:rPr>
          <w:rFonts w:ascii="宋体" w:hAnsi="宋体" w:eastAsia="宋体" w:cs="宋体"/>
          <w:color w:val="auto"/>
          <w:spacing w:val="-1"/>
          <w:sz w:val="24"/>
          <w:szCs w:val="24"/>
          <w:highlight w:val="none"/>
        </w:rPr>
        <w:t>日，国家统计局印发《关于执行新国民经济行业分类国家</w:t>
      </w:r>
      <w:r>
        <w:rPr>
          <w:rFonts w:ascii="宋体" w:hAnsi="宋体" w:eastAsia="宋体" w:cs="宋体"/>
          <w:color w:val="auto"/>
          <w:spacing w:val="-2"/>
          <w:sz w:val="24"/>
          <w:szCs w:val="24"/>
          <w:highlight w:val="none"/>
        </w:rPr>
        <w:t>标准的通知》（国统字〔2017〕</w:t>
      </w:r>
      <w:r>
        <w:rPr>
          <w:rFonts w:ascii="宋体" w:hAnsi="宋体" w:eastAsia="宋体" w:cs="宋体"/>
          <w:color w:val="auto"/>
          <w:spacing w:val="-4"/>
          <w:sz w:val="24"/>
          <w:szCs w:val="24"/>
          <w:highlight w:val="none"/>
        </w:rPr>
        <w:t>142号</w:t>
      </w:r>
      <w:r>
        <w:rPr>
          <w:rFonts w:ascii="宋体" w:hAnsi="宋体" w:eastAsia="宋体" w:cs="宋体"/>
          <w:color w:val="auto"/>
          <w:spacing w:val="-55"/>
          <w:sz w:val="24"/>
          <w:szCs w:val="24"/>
          <w:highlight w:val="none"/>
        </w:rPr>
        <w:t>），</w:t>
      </w:r>
      <w:r>
        <w:rPr>
          <w:rFonts w:ascii="宋体" w:hAnsi="宋体" w:eastAsia="宋体" w:cs="宋体"/>
          <w:color w:val="auto"/>
          <w:spacing w:val="-4"/>
          <w:sz w:val="24"/>
          <w:szCs w:val="24"/>
          <w:highlight w:val="none"/>
        </w:rPr>
        <w:t>规定从2017年统计年报和2018年</w:t>
      </w:r>
      <w:r>
        <w:rPr>
          <w:rFonts w:ascii="宋体" w:hAnsi="宋体" w:eastAsia="宋体" w:cs="宋体"/>
          <w:color w:val="auto"/>
          <w:spacing w:val="-5"/>
          <w:sz w:val="24"/>
          <w:szCs w:val="24"/>
          <w:highlight w:val="none"/>
        </w:rPr>
        <w:t>定期统计报表起统一使用新分类标准。为此，</w:t>
      </w:r>
      <w:r>
        <w:rPr>
          <w:rFonts w:ascii="宋体" w:hAnsi="宋体" w:eastAsia="宋体" w:cs="宋体"/>
          <w:color w:val="auto"/>
          <w:spacing w:val="1"/>
          <w:sz w:val="24"/>
          <w:szCs w:val="24"/>
          <w:highlight w:val="none"/>
        </w:rPr>
        <w:t>我们对2011年印发的《统计上大中小微型企业划分办法》进行修订。</w:t>
      </w:r>
    </w:p>
    <w:p w14:paraId="1A9CDEDD">
      <w:pPr>
        <w:spacing w:line="220" w:lineRule="auto"/>
        <w:ind w:left="595" w:leftChars="0"/>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二、修订主要内容</w:t>
      </w:r>
    </w:p>
    <w:p w14:paraId="2E217BAC">
      <w:pPr>
        <w:spacing w:before="83" w:line="288" w:lineRule="auto"/>
        <w:ind w:left="112" w:right="42"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本次修订是在2011年《统计上大中小微型企业划分办法》基础上进行的，修订</w:t>
      </w:r>
      <w:r>
        <w:rPr>
          <w:rFonts w:ascii="宋体" w:hAnsi="宋体" w:eastAsia="宋体" w:cs="宋体"/>
          <w:color w:val="auto"/>
          <w:sz w:val="24"/>
          <w:szCs w:val="24"/>
          <w:highlight w:val="none"/>
        </w:rPr>
        <w:t>延续原有的分类原则、方法和结构框架，在保持适用范围不变的情</w:t>
      </w:r>
      <w:r>
        <w:rPr>
          <w:rFonts w:ascii="宋体" w:hAnsi="宋体" w:eastAsia="宋体" w:cs="宋体"/>
          <w:color w:val="auto"/>
          <w:spacing w:val="-1"/>
          <w:sz w:val="24"/>
          <w:szCs w:val="24"/>
          <w:highlight w:val="none"/>
        </w:rPr>
        <w:t>况下,依据标准由《国民经</w:t>
      </w:r>
      <w:r>
        <w:rPr>
          <w:rFonts w:ascii="宋体" w:hAnsi="宋体" w:eastAsia="宋体" w:cs="宋体"/>
          <w:color w:val="auto"/>
          <w:sz w:val="24"/>
          <w:szCs w:val="24"/>
          <w:highlight w:val="none"/>
        </w:rPr>
        <w:t>济行业分类》（GB/T 4754—2011）修改为《国民经济行业分类》（GB</w:t>
      </w:r>
      <w:r>
        <w:rPr>
          <w:rFonts w:ascii="宋体" w:hAnsi="宋体" w:eastAsia="宋体" w:cs="宋体"/>
          <w:color w:val="auto"/>
          <w:spacing w:val="-1"/>
          <w:sz w:val="24"/>
          <w:szCs w:val="24"/>
          <w:highlight w:val="none"/>
        </w:rPr>
        <w:t>/T 4754—2017</w:t>
      </w:r>
      <w:r>
        <w:rPr>
          <w:rFonts w:ascii="宋体" w:hAnsi="宋体" w:eastAsia="宋体" w:cs="宋体"/>
          <w:color w:val="auto"/>
          <w:spacing w:val="-28"/>
          <w:sz w:val="24"/>
          <w:szCs w:val="24"/>
          <w:highlight w:val="none"/>
        </w:rPr>
        <w:t>），</w:t>
      </w:r>
      <w:r>
        <w:rPr>
          <w:rFonts w:ascii="宋体" w:hAnsi="宋体" w:eastAsia="宋体" w:cs="宋体"/>
          <w:color w:val="auto"/>
          <w:sz w:val="24"/>
          <w:szCs w:val="24"/>
          <w:highlight w:val="none"/>
        </w:rPr>
        <w:t>并根据新旧国民经济行业的对应关系，进行了行</w:t>
      </w:r>
      <w:r>
        <w:rPr>
          <w:rFonts w:ascii="宋体" w:hAnsi="宋体" w:eastAsia="宋体" w:cs="宋体"/>
          <w:color w:val="auto"/>
          <w:spacing w:val="-1"/>
          <w:sz w:val="24"/>
          <w:szCs w:val="24"/>
          <w:highlight w:val="none"/>
        </w:rPr>
        <w:t>业所包含类别的对应调整。</w:t>
      </w:r>
    </w:p>
    <w:p w14:paraId="7B6CB295">
      <w:pPr>
        <w:spacing w:line="287" w:lineRule="auto"/>
        <w:ind w:left="111" w:right="25"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将交通运输业中包括的“装卸搬运和运输代理业”修改为“多式联运</w:t>
      </w:r>
      <w:r>
        <w:rPr>
          <w:rFonts w:ascii="宋体" w:hAnsi="宋体" w:eastAsia="宋体" w:cs="宋体"/>
          <w:color w:val="auto"/>
          <w:spacing w:val="-3"/>
          <w:sz w:val="24"/>
          <w:szCs w:val="24"/>
          <w:highlight w:val="none"/>
        </w:rPr>
        <w:t>和运输代理业、</w:t>
      </w:r>
      <w:r>
        <w:rPr>
          <w:rFonts w:ascii="宋体" w:hAnsi="宋体" w:eastAsia="宋体" w:cs="宋体"/>
          <w:color w:val="auto"/>
          <w:spacing w:val="-2"/>
          <w:sz w:val="24"/>
          <w:szCs w:val="24"/>
          <w:highlight w:val="none"/>
        </w:rPr>
        <w:t>装卸搬运”。</w:t>
      </w:r>
    </w:p>
    <w:p w14:paraId="797D124D">
      <w:pPr>
        <w:spacing w:before="2" w:line="287" w:lineRule="auto"/>
        <w:ind w:left="112" w:right="146" w:firstLine="509"/>
        <w:jc w:val="both"/>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仓储业所包括的行业中类，根据《国民经济行业分类》（</w:t>
      </w:r>
      <w:r>
        <w:rPr>
          <w:rFonts w:ascii="宋体" w:hAnsi="宋体" w:eastAsia="宋体" w:cs="宋体"/>
          <w:color w:val="auto"/>
          <w:sz w:val="24"/>
          <w:szCs w:val="24"/>
          <w:highlight w:val="none"/>
        </w:rPr>
        <w:t>GB</w:t>
      </w:r>
      <w:r>
        <w:rPr>
          <w:rFonts w:ascii="宋体" w:hAnsi="宋体" w:eastAsia="宋体" w:cs="宋体"/>
          <w:color w:val="auto"/>
          <w:spacing w:val="9"/>
          <w:sz w:val="24"/>
          <w:szCs w:val="24"/>
          <w:highlight w:val="none"/>
        </w:rPr>
        <w:t>/T 475</w:t>
      </w:r>
      <w:r>
        <w:rPr>
          <w:rFonts w:ascii="宋体" w:hAnsi="宋体" w:eastAsia="宋体" w:cs="宋体"/>
          <w:color w:val="auto"/>
          <w:spacing w:val="8"/>
          <w:sz w:val="24"/>
          <w:szCs w:val="24"/>
          <w:highlight w:val="none"/>
        </w:rPr>
        <w:t>4—2017）调</w:t>
      </w:r>
      <w:r>
        <w:rPr>
          <w:rFonts w:ascii="宋体" w:hAnsi="宋体" w:eastAsia="宋体" w:cs="宋体"/>
          <w:color w:val="auto"/>
          <w:spacing w:val="15"/>
          <w:sz w:val="24"/>
          <w:szCs w:val="24"/>
          <w:highlight w:val="none"/>
        </w:rPr>
        <w:t>整为“通用仓储，低温仓储，危险品仓储，谷物、棉花等农产品仓储，中药材仓储</w:t>
      </w:r>
      <w:r>
        <w:rPr>
          <w:rFonts w:ascii="宋体" w:hAnsi="宋体" w:eastAsia="宋体" w:cs="宋体"/>
          <w:color w:val="auto"/>
          <w:spacing w:val="10"/>
          <w:sz w:val="24"/>
          <w:szCs w:val="24"/>
          <w:highlight w:val="none"/>
        </w:rPr>
        <w:t>和其他仓储业”。</w:t>
      </w:r>
    </w:p>
    <w:p w14:paraId="268CF5D4">
      <w:pPr>
        <w:spacing w:line="219" w:lineRule="auto"/>
        <w:ind w:left="130" w:leftChars="0"/>
        <w:outlineLvl w:val="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附表</w:t>
      </w:r>
    </w:p>
    <w:p w14:paraId="1FB67A6F">
      <w:pPr>
        <w:spacing w:before="90" w:line="220" w:lineRule="auto"/>
        <w:ind w:left="117" w:leftChars="0"/>
        <w:outlineLvl w:val="0"/>
        <w:rPr>
          <w:rFonts w:ascii="宋体" w:hAnsi="宋体" w:eastAsia="宋体" w:cs="宋体"/>
          <w:color w:val="auto"/>
          <w:sz w:val="24"/>
          <w:szCs w:val="24"/>
          <w:highlight w:val="none"/>
        </w:rPr>
      </w:pPr>
      <w:bookmarkStart w:id="10" w:name="_Toc31183"/>
      <w:r>
        <w:rPr>
          <w:rFonts w:ascii="宋体" w:hAnsi="宋体" w:eastAsia="宋体" w:cs="宋体"/>
          <w:color w:val="auto"/>
          <w:spacing w:val="-2"/>
          <w:sz w:val="24"/>
          <w:szCs w:val="24"/>
          <w:highlight w:val="none"/>
        </w:rPr>
        <w:t>统计上大中小微型企业划分标准</w:t>
      </w:r>
      <w:bookmarkEnd w:id="10"/>
    </w:p>
    <w:tbl>
      <w:tblPr>
        <w:tblStyle w:val="18"/>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6365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17" w:type="dxa"/>
            <w:noWrap w:val="0"/>
            <w:vAlign w:val="top"/>
          </w:tcPr>
          <w:p w14:paraId="5656D989">
            <w:pPr>
              <w:pStyle w:val="17"/>
              <w:spacing w:before="159" w:line="221" w:lineRule="auto"/>
              <w:ind w:left="120"/>
              <w:rPr>
                <w:color w:val="auto"/>
                <w:highlight w:val="none"/>
              </w:rPr>
            </w:pPr>
            <w:r>
              <w:rPr>
                <w:b/>
                <w:bCs/>
                <w:color w:val="auto"/>
                <w:spacing w:val="-6"/>
                <w:highlight w:val="none"/>
              </w:rPr>
              <w:t>行业名称</w:t>
            </w:r>
          </w:p>
        </w:tc>
        <w:tc>
          <w:tcPr>
            <w:tcW w:w="1368" w:type="dxa"/>
            <w:noWrap w:val="0"/>
            <w:vAlign w:val="top"/>
          </w:tcPr>
          <w:p w14:paraId="791BD566">
            <w:pPr>
              <w:pStyle w:val="17"/>
              <w:spacing w:before="159" w:line="221" w:lineRule="auto"/>
              <w:ind w:left="116"/>
              <w:rPr>
                <w:color w:val="auto"/>
                <w:highlight w:val="none"/>
              </w:rPr>
            </w:pPr>
            <w:r>
              <w:rPr>
                <w:b/>
                <w:bCs/>
                <w:color w:val="auto"/>
                <w:spacing w:val="-5"/>
                <w:highlight w:val="none"/>
              </w:rPr>
              <w:t>指标名称</w:t>
            </w:r>
          </w:p>
        </w:tc>
        <w:tc>
          <w:tcPr>
            <w:tcW w:w="709" w:type="dxa"/>
            <w:noWrap w:val="0"/>
            <w:vAlign w:val="top"/>
          </w:tcPr>
          <w:p w14:paraId="7A33EF33">
            <w:pPr>
              <w:pStyle w:val="17"/>
              <w:spacing w:before="41" w:line="222" w:lineRule="auto"/>
              <w:ind w:left="113"/>
              <w:rPr>
                <w:color w:val="auto"/>
                <w:highlight w:val="none"/>
              </w:rPr>
            </w:pPr>
            <w:r>
              <w:rPr>
                <w:b/>
                <w:bCs/>
                <w:color w:val="auto"/>
                <w:spacing w:val="-8"/>
                <w:highlight w:val="none"/>
              </w:rPr>
              <w:t>计量</w:t>
            </w:r>
          </w:p>
          <w:p w14:paraId="6A4FE1FB">
            <w:pPr>
              <w:pStyle w:val="17"/>
              <w:spacing w:before="84" w:line="197" w:lineRule="exact"/>
              <w:ind w:left="115"/>
              <w:rPr>
                <w:color w:val="auto"/>
                <w:highlight w:val="none"/>
              </w:rPr>
            </w:pPr>
            <w:r>
              <w:rPr>
                <w:b/>
                <w:bCs/>
                <w:color w:val="auto"/>
                <w:spacing w:val="-9"/>
                <w:position w:val="-2"/>
                <w:highlight w:val="none"/>
              </w:rPr>
              <w:t>单位</w:t>
            </w:r>
          </w:p>
        </w:tc>
        <w:tc>
          <w:tcPr>
            <w:tcW w:w="1124" w:type="dxa"/>
            <w:noWrap w:val="0"/>
            <w:vAlign w:val="top"/>
          </w:tcPr>
          <w:p w14:paraId="4BC44C7C">
            <w:pPr>
              <w:pStyle w:val="17"/>
              <w:spacing w:before="159" w:line="221" w:lineRule="auto"/>
              <w:ind w:left="117"/>
              <w:rPr>
                <w:color w:val="auto"/>
                <w:highlight w:val="none"/>
              </w:rPr>
            </w:pPr>
            <w:r>
              <w:rPr>
                <w:b/>
                <w:bCs/>
                <w:color w:val="auto"/>
                <w:spacing w:val="-9"/>
                <w:highlight w:val="none"/>
              </w:rPr>
              <w:t>大型</w:t>
            </w:r>
          </w:p>
        </w:tc>
        <w:tc>
          <w:tcPr>
            <w:tcW w:w="1700" w:type="dxa"/>
            <w:noWrap w:val="0"/>
            <w:vAlign w:val="top"/>
          </w:tcPr>
          <w:p w14:paraId="696BD253">
            <w:pPr>
              <w:pStyle w:val="17"/>
              <w:spacing w:before="159" w:line="221" w:lineRule="auto"/>
              <w:ind w:left="136"/>
              <w:rPr>
                <w:color w:val="auto"/>
                <w:highlight w:val="none"/>
              </w:rPr>
            </w:pPr>
            <w:r>
              <w:rPr>
                <w:b/>
                <w:bCs/>
                <w:color w:val="auto"/>
                <w:spacing w:val="-19"/>
                <w:highlight w:val="none"/>
              </w:rPr>
              <w:t>中型</w:t>
            </w:r>
          </w:p>
        </w:tc>
        <w:tc>
          <w:tcPr>
            <w:tcW w:w="1425" w:type="dxa"/>
            <w:noWrap w:val="0"/>
            <w:vAlign w:val="top"/>
          </w:tcPr>
          <w:p w14:paraId="5F986FB5">
            <w:pPr>
              <w:pStyle w:val="17"/>
              <w:spacing w:before="159" w:line="222" w:lineRule="auto"/>
              <w:ind w:left="122"/>
              <w:rPr>
                <w:color w:val="auto"/>
                <w:highlight w:val="none"/>
              </w:rPr>
            </w:pPr>
            <w:r>
              <w:rPr>
                <w:b/>
                <w:bCs/>
                <w:color w:val="auto"/>
                <w:spacing w:val="-11"/>
                <w:highlight w:val="none"/>
              </w:rPr>
              <w:t>小型</w:t>
            </w:r>
          </w:p>
        </w:tc>
        <w:tc>
          <w:tcPr>
            <w:tcW w:w="996" w:type="dxa"/>
            <w:noWrap w:val="0"/>
            <w:vAlign w:val="top"/>
          </w:tcPr>
          <w:p w14:paraId="0643B371">
            <w:pPr>
              <w:pStyle w:val="17"/>
              <w:spacing w:before="159" w:line="220" w:lineRule="auto"/>
              <w:ind w:left="116"/>
              <w:rPr>
                <w:color w:val="auto"/>
                <w:highlight w:val="none"/>
              </w:rPr>
            </w:pPr>
            <w:r>
              <w:rPr>
                <w:b/>
                <w:bCs/>
                <w:color w:val="auto"/>
                <w:spacing w:val="-8"/>
                <w:highlight w:val="none"/>
              </w:rPr>
              <w:t>微型</w:t>
            </w:r>
          </w:p>
        </w:tc>
      </w:tr>
      <w:tr w14:paraId="204DE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noWrap w:val="0"/>
            <w:vAlign w:val="top"/>
          </w:tcPr>
          <w:p w14:paraId="2366FD49">
            <w:pPr>
              <w:pStyle w:val="17"/>
              <w:spacing w:before="42" w:line="220" w:lineRule="auto"/>
              <w:ind w:left="116"/>
              <w:rPr>
                <w:color w:val="auto"/>
                <w:highlight w:val="none"/>
              </w:rPr>
            </w:pPr>
            <w:r>
              <w:rPr>
                <w:b/>
                <w:bCs/>
                <w:color w:val="auto"/>
                <w:spacing w:val="-7"/>
                <w:highlight w:val="none"/>
              </w:rPr>
              <w:t>农、林、牧、渔业</w:t>
            </w:r>
          </w:p>
        </w:tc>
        <w:tc>
          <w:tcPr>
            <w:tcW w:w="1368" w:type="dxa"/>
            <w:noWrap w:val="0"/>
            <w:vAlign w:val="top"/>
          </w:tcPr>
          <w:p w14:paraId="67926688">
            <w:pPr>
              <w:pStyle w:val="17"/>
              <w:spacing w:before="37" w:line="220" w:lineRule="auto"/>
              <w:ind w:left="121"/>
              <w:rPr>
                <w:color w:val="auto"/>
                <w:highlight w:val="none"/>
              </w:rPr>
            </w:pPr>
            <w:r>
              <w:rPr>
                <w:b/>
                <w:bCs/>
                <w:color w:val="auto"/>
                <w:spacing w:val="-7"/>
                <w:highlight w:val="none"/>
              </w:rPr>
              <w:t>营业收入</w:t>
            </w:r>
          </w:p>
        </w:tc>
        <w:tc>
          <w:tcPr>
            <w:tcW w:w="709" w:type="dxa"/>
            <w:noWrap w:val="0"/>
            <w:vAlign w:val="top"/>
          </w:tcPr>
          <w:p w14:paraId="6F2DD72C">
            <w:pPr>
              <w:pStyle w:val="17"/>
              <w:spacing w:before="41" w:line="221" w:lineRule="auto"/>
              <w:ind w:left="119"/>
              <w:rPr>
                <w:color w:val="auto"/>
                <w:highlight w:val="none"/>
              </w:rPr>
            </w:pPr>
            <w:r>
              <w:rPr>
                <w:b/>
                <w:bCs/>
                <w:color w:val="auto"/>
                <w:spacing w:val="-11"/>
                <w:highlight w:val="none"/>
              </w:rPr>
              <w:t>万元</w:t>
            </w:r>
          </w:p>
        </w:tc>
        <w:tc>
          <w:tcPr>
            <w:tcW w:w="1124" w:type="dxa"/>
            <w:noWrap w:val="0"/>
            <w:vAlign w:val="top"/>
          </w:tcPr>
          <w:p w14:paraId="2E5AD8AA">
            <w:pPr>
              <w:pStyle w:val="17"/>
              <w:spacing w:before="37" w:line="238" w:lineRule="auto"/>
              <w:ind w:left="111"/>
              <w:rPr>
                <w:color w:val="auto"/>
                <w:highlight w:val="none"/>
              </w:rPr>
            </w:pPr>
            <w:r>
              <w:rPr>
                <w:b/>
                <w:bCs/>
                <w:color w:val="auto"/>
                <w:spacing w:val="-6"/>
                <w:highlight w:val="none"/>
              </w:rPr>
              <w:t>Y≥</w:t>
            </w:r>
          </w:p>
        </w:tc>
        <w:tc>
          <w:tcPr>
            <w:tcW w:w="1700" w:type="dxa"/>
            <w:noWrap w:val="0"/>
            <w:vAlign w:val="top"/>
          </w:tcPr>
          <w:p w14:paraId="17F8F777">
            <w:pPr>
              <w:pStyle w:val="17"/>
              <w:spacing w:before="36" w:line="237" w:lineRule="auto"/>
              <w:ind w:left="238"/>
              <w:rPr>
                <w:color w:val="auto"/>
                <w:highlight w:val="none"/>
              </w:rPr>
            </w:pPr>
            <w:r>
              <w:rPr>
                <w:b/>
                <w:bCs/>
                <w:color w:val="auto"/>
                <w:spacing w:val="11"/>
                <w:highlight w:val="none"/>
              </w:rPr>
              <w:t>500≤Y&lt;</w:t>
            </w:r>
          </w:p>
        </w:tc>
        <w:tc>
          <w:tcPr>
            <w:tcW w:w="1425" w:type="dxa"/>
            <w:noWrap w:val="0"/>
            <w:vAlign w:val="top"/>
          </w:tcPr>
          <w:p w14:paraId="2DC66C09">
            <w:pPr>
              <w:pStyle w:val="17"/>
              <w:spacing w:before="36" w:line="237" w:lineRule="auto"/>
              <w:ind w:left="240"/>
              <w:rPr>
                <w:color w:val="auto"/>
                <w:highlight w:val="none"/>
              </w:rPr>
            </w:pPr>
            <w:r>
              <w:rPr>
                <w:b/>
                <w:bCs/>
                <w:color w:val="auto"/>
                <w:spacing w:val="13"/>
                <w:highlight w:val="none"/>
              </w:rPr>
              <w:t>50≤Y&lt;</w:t>
            </w:r>
          </w:p>
        </w:tc>
        <w:tc>
          <w:tcPr>
            <w:tcW w:w="996" w:type="dxa"/>
            <w:noWrap w:val="0"/>
            <w:vAlign w:val="top"/>
          </w:tcPr>
          <w:p w14:paraId="2EA56DA2">
            <w:pPr>
              <w:pStyle w:val="17"/>
              <w:spacing w:before="42"/>
              <w:ind w:left="112"/>
              <w:rPr>
                <w:color w:val="auto"/>
                <w:highlight w:val="none"/>
              </w:rPr>
            </w:pPr>
            <w:r>
              <w:rPr>
                <w:b/>
                <w:bCs/>
                <w:color w:val="auto"/>
                <w:spacing w:val="-3"/>
                <w:highlight w:val="none"/>
              </w:rPr>
              <w:t>Y＜50</w:t>
            </w:r>
          </w:p>
        </w:tc>
      </w:tr>
      <w:tr w14:paraId="290A0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3145E2AB">
            <w:pPr>
              <w:pStyle w:val="17"/>
              <w:spacing w:before="243" w:line="232" w:lineRule="auto"/>
              <w:ind w:left="119"/>
              <w:rPr>
                <w:color w:val="auto"/>
                <w:highlight w:val="none"/>
              </w:rPr>
            </w:pPr>
            <w:r>
              <w:rPr>
                <w:b/>
                <w:bCs/>
                <w:color w:val="auto"/>
                <w:spacing w:val="-7"/>
                <w:highlight w:val="none"/>
              </w:rPr>
              <w:t>工业*</w:t>
            </w:r>
          </w:p>
        </w:tc>
        <w:tc>
          <w:tcPr>
            <w:tcW w:w="1368" w:type="dxa"/>
            <w:noWrap w:val="0"/>
            <w:vAlign w:val="top"/>
          </w:tcPr>
          <w:p w14:paraId="0E80AAD7">
            <w:pPr>
              <w:pStyle w:val="17"/>
              <w:spacing w:before="36" w:line="221" w:lineRule="auto"/>
              <w:ind w:left="116"/>
              <w:rPr>
                <w:color w:val="auto"/>
                <w:highlight w:val="none"/>
              </w:rPr>
            </w:pPr>
            <w:r>
              <w:rPr>
                <w:b/>
                <w:bCs/>
                <w:color w:val="auto"/>
                <w:spacing w:val="-5"/>
                <w:highlight w:val="none"/>
              </w:rPr>
              <w:t>从业人员</w:t>
            </w:r>
          </w:p>
        </w:tc>
        <w:tc>
          <w:tcPr>
            <w:tcW w:w="709" w:type="dxa"/>
            <w:noWrap w:val="0"/>
            <w:vAlign w:val="top"/>
          </w:tcPr>
          <w:p w14:paraId="4311A0F8">
            <w:pPr>
              <w:pStyle w:val="17"/>
              <w:spacing w:before="43" w:line="223" w:lineRule="auto"/>
              <w:ind w:left="115"/>
              <w:rPr>
                <w:color w:val="auto"/>
                <w:highlight w:val="none"/>
              </w:rPr>
            </w:pPr>
            <w:r>
              <w:rPr>
                <w:b/>
                <w:bCs/>
                <w:color w:val="auto"/>
                <w:spacing w:val="-3"/>
                <w:highlight w:val="none"/>
              </w:rPr>
              <w:t>人</w:t>
            </w:r>
          </w:p>
        </w:tc>
        <w:tc>
          <w:tcPr>
            <w:tcW w:w="1124" w:type="dxa"/>
            <w:noWrap w:val="0"/>
            <w:vAlign w:val="top"/>
          </w:tcPr>
          <w:p w14:paraId="20593DA8">
            <w:pPr>
              <w:pStyle w:val="17"/>
              <w:spacing w:before="43" w:line="238" w:lineRule="auto"/>
              <w:ind w:left="112"/>
              <w:rPr>
                <w:color w:val="auto"/>
                <w:highlight w:val="none"/>
              </w:rPr>
            </w:pPr>
            <w:r>
              <w:rPr>
                <w:b/>
                <w:bCs/>
                <w:color w:val="auto"/>
                <w:spacing w:val="-3"/>
                <w:highlight w:val="none"/>
              </w:rPr>
              <w:t>X≥1000</w:t>
            </w:r>
          </w:p>
        </w:tc>
        <w:tc>
          <w:tcPr>
            <w:tcW w:w="1700" w:type="dxa"/>
            <w:noWrap w:val="0"/>
            <w:vAlign w:val="top"/>
          </w:tcPr>
          <w:p w14:paraId="1369F3D7">
            <w:pPr>
              <w:pStyle w:val="17"/>
              <w:spacing w:before="43" w:line="237" w:lineRule="auto"/>
              <w:ind w:left="118"/>
              <w:rPr>
                <w:color w:val="auto"/>
                <w:highlight w:val="none"/>
              </w:rPr>
            </w:pPr>
            <w:r>
              <w:rPr>
                <w:b/>
                <w:bCs/>
                <w:color w:val="auto"/>
                <w:spacing w:val="-3"/>
                <w:highlight w:val="none"/>
              </w:rPr>
              <w:t>300≤X＜1000</w:t>
            </w:r>
          </w:p>
        </w:tc>
        <w:tc>
          <w:tcPr>
            <w:tcW w:w="1425" w:type="dxa"/>
            <w:noWrap w:val="0"/>
            <w:vAlign w:val="top"/>
          </w:tcPr>
          <w:p w14:paraId="67906AF0">
            <w:pPr>
              <w:pStyle w:val="17"/>
              <w:spacing w:before="35" w:line="237" w:lineRule="auto"/>
              <w:ind w:left="238"/>
              <w:rPr>
                <w:color w:val="auto"/>
                <w:highlight w:val="none"/>
              </w:rPr>
            </w:pPr>
            <w:r>
              <w:rPr>
                <w:b/>
                <w:bCs/>
                <w:color w:val="auto"/>
                <w:spacing w:val="14"/>
                <w:highlight w:val="none"/>
              </w:rPr>
              <w:t>20≤X&lt;</w:t>
            </w:r>
          </w:p>
        </w:tc>
        <w:tc>
          <w:tcPr>
            <w:tcW w:w="996" w:type="dxa"/>
            <w:noWrap w:val="0"/>
            <w:vAlign w:val="top"/>
          </w:tcPr>
          <w:p w14:paraId="50A707DE">
            <w:pPr>
              <w:pStyle w:val="17"/>
              <w:spacing w:before="43"/>
              <w:ind w:left="113"/>
              <w:rPr>
                <w:color w:val="auto"/>
                <w:highlight w:val="none"/>
              </w:rPr>
            </w:pPr>
            <w:r>
              <w:rPr>
                <w:b/>
                <w:bCs/>
                <w:color w:val="auto"/>
                <w:spacing w:val="-3"/>
                <w:highlight w:val="none"/>
              </w:rPr>
              <w:t>X＜20</w:t>
            </w:r>
          </w:p>
        </w:tc>
      </w:tr>
      <w:tr w14:paraId="66E0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6AE4CF99">
            <w:pPr>
              <w:rPr>
                <w:rFonts w:ascii="Arial"/>
                <w:color w:val="auto"/>
                <w:sz w:val="21"/>
                <w:highlight w:val="none"/>
              </w:rPr>
            </w:pPr>
          </w:p>
        </w:tc>
        <w:tc>
          <w:tcPr>
            <w:tcW w:w="1368" w:type="dxa"/>
            <w:noWrap w:val="0"/>
            <w:vAlign w:val="top"/>
          </w:tcPr>
          <w:p w14:paraId="5B55204A">
            <w:pPr>
              <w:pStyle w:val="17"/>
              <w:spacing w:before="38" w:line="220" w:lineRule="auto"/>
              <w:ind w:left="121"/>
              <w:rPr>
                <w:color w:val="auto"/>
                <w:highlight w:val="none"/>
              </w:rPr>
            </w:pPr>
            <w:r>
              <w:rPr>
                <w:b/>
                <w:bCs/>
                <w:color w:val="auto"/>
                <w:spacing w:val="-7"/>
                <w:highlight w:val="none"/>
              </w:rPr>
              <w:t>营业收入</w:t>
            </w:r>
          </w:p>
        </w:tc>
        <w:tc>
          <w:tcPr>
            <w:tcW w:w="709" w:type="dxa"/>
            <w:noWrap w:val="0"/>
            <w:vAlign w:val="top"/>
          </w:tcPr>
          <w:p w14:paraId="0C7282CB">
            <w:pPr>
              <w:pStyle w:val="17"/>
              <w:spacing w:before="43" w:line="221" w:lineRule="auto"/>
              <w:ind w:left="119"/>
              <w:rPr>
                <w:color w:val="auto"/>
                <w:highlight w:val="none"/>
              </w:rPr>
            </w:pPr>
            <w:r>
              <w:rPr>
                <w:b/>
                <w:bCs/>
                <w:color w:val="auto"/>
                <w:spacing w:val="-11"/>
                <w:highlight w:val="none"/>
              </w:rPr>
              <w:t>万元</w:t>
            </w:r>
          </w:p>
        </w:tc>
        <w:tc>
          <w:tcPr>
            <w:tcW w:w="1124" w:type="dxa"/>
            <w:noWrap w:val="0"/>
            <w:vAlign w:val="top"/>
          </w:tcPr>
          <w:p w14:paraId="004F1FCB">
            <w:pPr>
              <w:pStyle w:val="17"/>
              <w:spacing w:before="38" w:line="238" w:lineRule="auto"/>
              <w:ind w:left="111"/>
              <w:rPr>
                <w:color w:val="auto"/>
                <w:highlight w:val="none"/>
              </w:rPr>
            </w:pPr>
            <w:r>
              <w:rPr>
                <w:b/>
                <w:bCs/>
                <w:color w:val="auto"/>
                <w:spacing w:val="-6"/>
                <w:highlight w:val="none"/>
              </w:rPr>
              <w:t>Y≥</w:t>
            </w:r>
          </w:p>
        </w:tc>
        <w:tc>
          <w:tcPr>
            <w:tcW w:w="1700" w:type="dxa"/>
            <w:noWrap w:val="0"/>
            <w:vAlign w:val="top"/>
          </w:tcPr>
          <w:p w14:paraId="6A98EB34">
            <w:pPr>
              <w:pStyle w:val="17"/>
              <w:spacing w:before="38" w:line="237" w:lineRule="auto"/>
              <w:ind w:left="117"/>
              <w:rPr>
                <w:color w:val="auto"/>
                <w:highlight w:val="none"/>
              </w:rPr>
            </w:pPr>
            <w:r>
              <w:rPr>
                <w:b/>
                <w:bCs/>
                <w:color w:val="auto"/>
                <w:spacing w:val="9"/>
                <w:highlight w:val="none"/>
              </w:rPr>
              <w:t>2000≤Y&lt;</w:t>
            </w:r>
          </w:p>
        </w:tc>
        <w:tc>
          <w:tcPr>
            <w:tcW w:w="1425" w:type="dxa"/>
            <w:noWrap w:val="0"/>
            <w:vAlign w:val="top"/>
          </w:tcPr>
          <w:p w14:paraId="6773282B">
            <w:pPr>
              <w:pStyle w:val="17"/>
              <w:spacing w:before="38" w:line="237" w:lineRule="auto"/>
              <w:ind w:left="240"/>
              <w:rPr>
                <w:color w:val="auto"/>
                <w:highlight w:val="none"/>
              </w:rPr>
            </w:pPr>
            <w:r>
              <w:rPr>
                <w:b/>
                <w:bCs/>
                <w:color w:val="auto"/>
                <w:spacing w:val="11"/>
                <w:highlight w:val="none"/>
              </w:rPr>
              <w:t>300≤Y&lt;</w:t>
            </w:r>
          </w:p>
        </w:tc>
        <w:tc>
          <w:tcPr>
            <w:tcW w:w="996" w:type="dxa"/>
            <w:noWrap w:val="0"/>
            <w:vAlign w:val="top"/>
          </w:tcPr>
          <w:p w14:paraId="017CBDAE">
            <w:pPr>
              <w:pStyle w:val="17"/>
              <w:spacing w:before="43"/>
              <w:ind w:left="112"/>
              <w:rPr>
                <w:color w:val="auto"/>
                <w:highlight w:val="none"/>
              </w:rPr>
            </w:pPr>
            <w:r>
              <w:rPr>
                <w:b/>
                <w:bCs/>
                <w:color w:val="auto"/>
                <w:spacing w:val="-3"/>
                <w:highlight w:val="none"/>
              </w:rPr>
              <w:t>Y＜300</w:t>
            </w:r>
          </w:p>
        </w:tc>
      </w:tr>
      <w:tr w14:paraId="2A44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7DBC168B">
            <w:pPr>
              <w:pStyle w:val="17"/>
              <w:spacing w:before="241" w:line="221" w:lineRule="auto"/>
              <w:ind w:left="119"/>
              <w:rPr>
                <w:color w:val="auto"/>
                <w:highlight w:val="none"/>
              </w:rPr>
            </w:pPr>
            <w:r>
              <w:rPr>
                <w:b/>
                <w:bCs/>
                <w:color w:val="auto"/>
                <w:spacing w:val="-6"/>
                <w:highlight w:val="none"/>
              </w:rPr>
              <w:t>建筑业</w:t>
            </w:r>
          </w:p>
        </w:tc>
        <w:tc>
          <w:tcPr>
            <w:tcW w:w="1368" w:type="dxa"/>
            <w:noWrap w:val="0"/>
            <w:vAlign w:val="top"/>
          </w:tcPr>
          <w:p w14:paraId="51F8BFB6">
            <w:pPr>
              <w:pStyle w:val="17"/>
              <w:spacing w:before="37" w:line="220" w:lineRule="auto"/>
              <w:ind w:left="121"/>
              <w:rPr>
                <w:color w:val="auto"/>
                <w:highlight w:val="none"/>
              </w:rPr>
            </w:pPr>
            <w:r>
              <w:rPr>
                <w:b/>
                <w:bCs/>
                <w:color w:val="auto"/>
                <w:spacing w:val="-7"/>
                <w:highlight w:val="none"/>
              </w:rPr>
              <w:t>营业收入</w:t>
            </w:r>
          </w:p>
        </w:tc>
        <w:tc>
          <w:tcPr>
            <w:tcW w:w="709" w:type="dxa"/>
            <w:noWrap w:val="0"/>
            <w:vAlign w:val="top"/>
          </w:tcPr>
          <w:p w14:paraId="3C6D22EC">
            <w:pPr>
              <w:pStyle w:val="17"/>
              <w:spacing w:before="42" w:line="221" w:lineRule="auto"/>
              <w:ind w:left="119"/>
              <w:rPr>
                <w:color w:val="auto"/>
                <w:highlight w:val="none"/>
              </w:rPr>
            </w:pPr>
            <w:r>
              <w:rPr>
                <w:b/>
                <w:bCs/>
                <w:color w:val="auto"/>
                <w:spacing w:val="-11"/>
                <w:highlight w:val="none"/>
              </w:rPr>
              <w:t>万元</w:t>
            </w:r>
          </w:p>
        </w:tc>
        <w:tc>
          <w:tcPr>
            <w:tcW w:w="1124" w:type="dxa"/>
            <w:noWrap w:val="0"/>
            <w:vAlign w:val="top"/>
          </w:tcPr>
          <w:p w14:paraId="4586C7E2">
            <w:pPr>
              <w:pStyle w:val="17"/>
              <w:spacing w:before="37" w:line="238" w:lineRule="auto"/>
              <w:ind w:left="111"/>
              <w:rPr>
                <w:color w:val="auto"/>
                <w:highlight w:val="none"/>
              </w:rPr>
            </w:pPr>
            <w:r>
              <w:rPr>
                <w:b/>
                <w:bCs/>
                <w:color w:val="auto"/>
                <w:spacing w:val="-6"/>
                <w:highlight w:val="none"/>
              </w:rPr>
              <w:t>Y≥</w:t>
            </w:r>
          </w:p>
        </w:tc>
        <w:tc>
          <w:tcPr>
            <w:tcW w:w="1700" w:type="dxa"/>
            <w:noWrap w:val="0"/>
            <w:vAlign w:val="top"/>
          </w:tcPr>
          <w:p w14:paraId="722294C5">
            <w:pPr>
              <w:pStyle w:val="17"/>
              <w:spacing w:before="37" w:line="237" w:lineRule="auto"/>
              <w:ind w:left="116"/>
              <w:rPr>
                <w:color w:val="auto"/>
                <w:highlight w:val="none"/>
              </w:rPr>
            </w:pPr>
            <w:r>
              <w:rPr>
                <w:b/>
                <w:bCs/>
                <w:color w:val="auto"/>
                <w:spacing w:val="9"/>
                <w:highlight w:val="none"/>
              </w:rPr>
              <w:t>6000≤Y&lt;</w:t>
            </w:r>
          </w:p>
        </w:tc>
        <w:tc>
          <w:tcPr>
            <w:tcW w:w="1425" w:type="dxa"/>
            <w:noWrap w:val="0"/>
            <w:vAlign w:val="top"/>
          </w:tcPr>
          <w:p w14:paraId="0EF3A0FA">
            <w:pPr>
              <w:pStyle w:val="17"/>
              <w:spacing w:before="37" w:line="237" w:lineRule="auto"/>
              <w:ind w:left="240"/>
              <w:rPr>
                <w:color w:val="auto"/>
                <w:highlight w:val="none"/>
              </w:rPr>
            </w:pPr>
            <w:r>
              <w:rPr>
                <w:b/>
                <w:bCs/>
                <w:color w:val="auto"/>
                <w:spacing w:val="11"/>
                <w:highlight w:val="none"/>
              </w:rPr>
              <w:t>300≤Y&lt;</w:t>
            </w:r>
          </w:p>
        </w:tc>
        <w:tc>
          <w:tcPr>
            <w:tcW w:w="996" w:type="dxa"/>
            <w:noWrap w:val="0"/>
            <w:vAlign w:val="top"/>
          </w:tcPr>
          <w:p w14:paraId="6ECEC03B">
            <w:pPr>
              <w:pStyle w:val="17"/>
              <w:spacing w:before="42"/>
              <w:ind w:left="112"/>
              <w:rPr>
                <w:color w:val="auto"/>
                <w:highlight w:val="none"/>
              </w:rPr>
            </w:pPr>
            <w:r>
              <w:rPr>
                <w:b/>
                <w:bCs/>
                <w:color w:val="auto"/>
                <w:spacing w:val="-3"/>
                <w:highlight w:val="none"/>
              </w:rPr>
              <w:t>Y＜300</w:t>
            </w:r>
          </w:p>
        </w:tc>
      </w:tr>
      <w:tr w14:paraId="2B1A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3DD3FE0C">
            <w:pPr>
              <w:rPr>
                <w:rFonts w:ascii="Arial"/>
                <w:color w:val="auto"/>
                <w:sz w:val="21"/>
                <w:highlight w:val="none"/>
              </w:rPr>
            </w:pPr>
          </w:p>
        </w:tc>
        <w:tc>
          <w:tcPr>
            <w:tcW w:w="1368" w:type="dxa"/>
            <w:noWrap w:val="0"/>
            <w:vAlign w:val="top"/>
          </w:tcPr>
          <w:p w14:paraId="349D442B">
            <w:pPr>
              <w:pStyle w:val="17"/>
              <w:spacing w:before="37" w:line="220" w:lineRule="auto"/>
              <w:ind w:left="123"/>
              <w:rPr>
                <w:color w:val="auto"/>
                <w:highlight w:val="none"/>
              </w:rPr>
            </w:pPr>
            <w:r>
              <w:rPr>
                <w:b/>
                <w:bCs/>
                <w:color w:val="auto"/>
                <w:spacing w:val="-7"/>
                <w:highlight w:val="none"/>
              </w:rPr>
              <w:t>资产总额</w:t>
            </w:r>
          </w:p>
        </w:tc>
        <w:tc>
          <w:tcPr>
            <w:tcW w:w="709" w:type="dxa"/>
            <w:noWrap w:val="0"/>
            <w:vAlign w:val="top"/>
          </w:tcPr>
          <w:p w14:paraId="2F0EF420">
            <w:pPr>
              <w:pStyle w:val="17"/>
              <w:spacing w:before="44" w:line="221" w:lineRule="auto"/>
              <w:ind w:left="119"/>
              <w:rPr>
                <w:color w:val="auto"/>
                <w:highlight w:val="none"/>
              </w:rPr>
            </w:pPr>
            <w:r>
              <w:rPr>
                <w:b/>
                <w:bCs/>
                <w:color w:val="auto"/>
                <w:spacing w:val="-11"/>
                <w:highlight w:val="none"/>
              </w:rPr>
              <w:t>万元</w:t>
            </w:r>
          </w:p>
        </w:tc>
        <w:tc>
          <w:tcPr>
            <w:tcW w:w="1124" w:type="dxa"/>
            <w:noWrap w:val="0"/>
            <w:vAlign w:val="top"/>
          </w:tcPr>
          <w:p w14:paraId="1E9661EE">
            <w:pPr>
              <w:pStyle w:val="17"/>
              <w:spacing w:before="37" w:line="238" w:lineRule="auto"/>
              <w:ind w:left="114"/>
              <w:rPr>
                <w:color w:val="auto"/>
                <w:highlight w:val="none"/>
              </w:rPr>
            </w:pPr>
            <w:r>
              <w:rPr>
                <w:b/>
                <w:bCs/>
                <w:color w:val="auto"/>
                <w:spacing w:val="-7"/>
                <w:highlight w:val="none"/>
              </w:rPr>
              <w:t>Z≥</w:t>
            </w:r>
          </w:p>
        </w:tc>
        <w:tc>
          <w:tcPr>
            <w:tcW w:w="1700" w:type="dxa"/>
            <w:noWrap w:val="0"/>
            <w:vAlign w:val="top"/>
          </w:tcPr>
          <w:p w14:paraId="0D332978">
            <w:pPr>
              <w:pStyle w:val="17"/>
              <w:spacing w:before="37" w:line="237" w:lineRule="auto"/>
              <w:ind w:left="118"/>
              <w:rPr>
                <w:color w:val="auto"/>
                <w:highlight w:val="none"/>
              </w:rPr>
            </w:pPr>
            <w:r>
              <w:rPr>
                <w:b/>
                <w:bCs/>
                <w:color w:val="auto"/>
                <w:spacing w:val="9"/>
                <w:highlight w:val="none"/>
              </w:rPr>
              <w:t>5000≤Z&lt;</w:t>
            </w:r>
          </w:p>
        </w:tc>
        <w:tc>
          <w:tcPr>
            <w:tcW w:w="1425" w:type="dxa"/>
            <w:noWrap w:val="0"/>
            <w:vAlign w:val="top"/>
          </w:tcPr>
          <w:p w14:paraId="440D9941">
            <w:pPr>
              <w:pStyle w:val="17"/>
              <w:spacing w:before="37" w:line="237" w:lineRule="auto"/>
              <w:ind w:left="240"/>
              <w:rPr>
                <w:color w:val="auto"/>
                <w:highlight w:val="none"/>
              </w:rPr>
            </w:pPr>
            <w:r>
              <w:rPr>
                <w:b/>
                <w:bCs/>
                <w:color w:val="auto"/>
                <w:spacing w:val="11"/>
                <w:highlight w:val="none"/>
              </w:rPr>
              <w:t>300≤Z&lt;</w:t>
            </w:r>
          </w:p>
        </w:tc>
        <w:tc>
          <w:tcPr>
            <w:tcW w:w="996" w:type="dxa"/>
            <w:noWrap w:val="0"/>
            <w:vAlign w:val="top"/>
          </w:tcPr>
          <w:p w14:paraId="48D11DE6">
            <w:pPr>
              <w:pStyle w:val="17"/>
              <w:spacing w:before="45"/>
              <w:ind w:left="115"/>
              <w:rPr>
                <w:color w:val="auto"/>
                <w:highlight w:val="none"/>
              </w:rPr>
            </w:pPr>
            <w:r>
              <w:rPr>
                <w:b/>
                <w:bCs/>
                <w:color w:val="auto"/>
                <w:spacing w:val="-4"/>
                <w:highlight w:val="none"/>
              </w:rPr>
              <w:t>Z＜300</w:t>
            </w:r>
          </w:p>
        </w:tc>
      </w:tr>
      <w:tr w14:paraId="30A24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5A2821B4">
            <w:pPr>
              <w:pStyle w:val="17"/>
              <w:spacing w:before="242" w:line="221" w:lineRule="auto"/>
              <w:ind w:left="115"/>
              <w:rPr>
                <w:color w:val="auto"/>
                <w:highlight w:val="none"/>
              </w:rPr>
            </w:pPr>
            <w:r>
              <w:rPr>
                <w:b/>
                <w:bCs/>
                <w:color w:val="auto"/>
                <w:spacing w:val="-5"/>
                <w:highlight w:val="none"/>
              </w:rPr>
              <w:t>批发业</w:t>
            </w:r>
          </w:p>
        </w:tc>
        <w:tc>
          <w:tcPr>
            <w:tcW w:w="1368" w:type="dxa"/>
            <w:noWrap w:val="0"/>
            <w:vAlign w:val="top"/>
          </w:tcPr>
          <w:p w14:paraId="7F0E57A6">
            <w:pPr>
              <w:pStyle w:val="17"/>
              <w:spacing w:before="38" w:line="221" w:lineRule="auto"/>
              <w:ind w:left="116"/>
              <w:rPr>
                <w:color w:val="auto"/>
                <w:highlight w:val="none"/>
              </w:rPr>
            </w:pPr>
            <w:r>
              <w:rPr>
                <w:b/>
                <w:bCs/>
                <w:color w:val="auto"/>
                <w:spacing w:val="-5"/>
                <w:highlight w:val="none"/>
              </w:rPr>
              <w:t>从业人员</w:t>
            </w:r>
          </w:p>
        </w:tc>
        <w:tc>
          <w:tcPr>
            <w:tcW w:w="709" w:type="dxa"/>
            <w:noWrap w:val="0"/>
            <w:vAlign w:val="top"/>
          </w:tcPr>
          <w:p w14:paraId="31EC368B">
            <w:pPr>
              <w:pStyle w:val="17"/>
              <w:spacing w:before="43" w:line="223" w:lineRule="auto"/>
              <w:ind w:left="115"/>
              <w:rPr>
                <w:color w:val="auto"/>
                <w:highlight w:val="none"/>
              </w:rPr>
            </w:pPr>
            <w:r>
              <w:rPr>
                <w:b/>
                <w:bCs/>
                <w:color w:val="auto"/>
                <w:spacing w:val="-3"/>
                <w:highlight w:val="none"/>
              </w:rPr>
              <w:t>人</w:t>
            </w:r>
          </w:p>
        </w:tc>
        <w:tc>
          <w:tcPr>
            <w:tcW w:w="1124" w:type="dxa"/>
            <w:noWrap w:val="0"/>
            <w:vAlign w:val="top"/>
          </w:tcPr>
          <w:p w14:paraId="5A6F8695">
            <w:pPr>
              <w:pStyle w:val="17"/>
              <w:spacing w:before="44" w:line="238" w:lineRule="auto"/>
              <w:ind w:left="112"/>
              <w:rPr>
                <w:color w:val="auto"/>
                <w:highlight w:val="none"/>
              </w:rPr>
            </w:pPr>
            <w:r>
              <w:rPr>
                <w:b/>
                <w:bCs/>
                <w:color w:val="auto"/>
                <w:spacing w:val="-4"/>
                <w:highlight w:val="none"/>
              </w:rPr>
              <w:t>X≥200</w:t>
            </w:r>
          </w:p>
        </w:tc>
        <w:tc>
          <w:tcPr>
            <w:tcW w:w="1700" w:type="dxa"/>
            <w:noWrap w:val="0"/>
            <w:vAlign w:val="top"/>
          </w:tcPr>
          <w:p w14:paraId="15BC01FF">
            <w:pPr>
              <w:pStyle w:val="17"/>
              <w:spacing w:before="43" w:line="237" w:lineRule="auto"/>
              <w:ind w:left="117"/>
              <w:rPr>
                <w:color w:val="auto"/>
                <w:highlight w:val="none"/>
              </w:rPr>
            </w:pPr>
            <w:r>
              <w:rPr>
                <w:b/>
                <w:bCs/>
                <w:color w:val="auto"/>
                <w:spacing w:val="-4"/>
                <w:highlight w:val="none"/>
              </w:rPr>
              <w:t>20≤X＜200</w:t>
            </w:r>
          </w:p>
        </w:tc>
        <w:tc>
          <w:tcPr>
            <w:tcW w:w="1425" w:type="dxa"/>
            <w:noWrap w:val="0"/>
            <w:vAlign w:val="top"/>
          </w:tcPr>
          <w:p w14:paraId="17C6332F">
            <w:pPr>
              <w:pStyle w:val="17"/>
              <w:spacing w:before="43" w:line="237" w:lineRule="auto"/>
              <w:ind w:left="240"/>
              <w:rPr>
                <w:color w:val="auto"/>
                <w:highlight w:val="none"/>
              </w:rPr>
            </w:pPr>
            <w:r>
              <w:rPr>
                <w:b/>
                <w:bCs/>
                <w:color w:val="auto"/>
                <w:spacing w:val="-4"/>
                <w:highlight w:val="none"/>
              </w:rPr>
              <w:t>5≤X＜20</w:t>
            </w:r>
          </w:p>
        </w:tc>
        <w:tc>
          <w:tcPr>
            <w:tcW w:w="996" w:type="dxa"/>
            <w:noWrap w:val="0"/>
            <w:vAlign w:val="top"/>
          </w:tcPr>
          <w:p w14:paraId="1EE6C0B5">
            <w:pPr>
              <w:pStyle w:val="17"/>
              <w:spacing w:before="44"/>
              <w:ind w:left="113"/>
              <w:rPr>
                <w:color w:val="auto"/>
                <w:highlight w:val="none"/>
              </w:rPr>
            </w:pPr>
            <w:r>
              <w:rPr>
                <w:b/>
                <w:bCs/>
                <w:color w:val="auto"/>
                <w:spacing w:val="-4"/>
                <w:highlight w:val="none"/>
              </w:rPr>
              <w:t>X＜5</w:t>
            </w:r>
          </w:p>
        </w:tc>
      </w:tr>
      <w:tr w14:paraId="5FC22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1730BA59">
            <w:pPr>
              <w:rPr>
                <w:rFonts w:ascii="Arial"/>
                <w:color w:val="auto"/>
                <w:sz w:val="21"/>
                <w:highlight w:val="none"/>
              </w:rPr>
            </w:pPr>
          </w:p>
        </w:tc>
        <w:tc>
          <w:tcPr>
            <w:tcW w:w="1368" w:type="dxa"/>
            <w:noWrap w:val="0"/>
            <w:vAlign w:val="top"/>
          </w:tcPr>
          <w:p w14:paraId="46267E71">
            <w:pPr>
              <w:pStyle w:val="17"/>
              <w:spacing w:before="39" w:line="220" w:lineRule="auto"/>
              <w:ind w:left="121"/>
              <w:rPr>
                <w:color w:val="auto"/>
                <w:highlight w:val="none"/>
              </w:rPr>
            </w:pPr>
            <w:r>
              <w:rPr>
                <w:b/>
                <w:bCs/>
                <w:color w:val="auto"/>
                <w:spacing w:val="-7"/>
                <w:highlight w:val="none"/>
              </w:rPr>
              <w:t>营业收入</w:t>
            </w:r>
          </w:p>
        </w:tc>
        <w:tc>
          <w:tcPr>
            <w:tcW w:w="709" w:type="dxa"/>
            <w:noWrap w:val="0"/>
            <w:vAlign w:val="top"/>
          </w:tcPr>
          <w:p w14:paraId="04DD91C4">
            <w:pPr>
              <w:pStyle w:val="17"/>
              <w:spacing w:before="46" w:line="221" w:lineRule="auto"/>
              <w:ind w:left="119"/>
              <w:rPr>
                <w:color w:val="auto"/>
                <w:highlight w:val="none"/>
              </w:rPr>
            </w:pPr>
            <w:r>
              <w:rPr>
                <w:b/>
                <w:bCs/>
                <w:color w:val="auto"/>
                <w:spacing w:val="-11"/>
                <w:highlight w:val="none"/>
              </w:rPr>
              <w:t>万元</w:t>
            </w:r>
          </w:p>
        </w:tc>
        <w:tc>
          <w:tcPr>
            <w:tcW w:w="1124" w:type="dxa"/>
            <w:noWrap w:val="0"/>
            <w:vAlign w:val="top"/>
          </w:tcPr>
          <w:p w14:paraId="09ACF72E">
            <w:pPr>
              <w:pStyle w:val="17"/>
              <w:spacing w:before="39" w:line="238" w:lineRule="auto"/>
              <w:ind w:left="111"/>
              <w:rPr>
                <w:color w:val="auto"/>
                <w:highlight w:val="none"/>
              </w:rPr>
            </w:pPr>
            <w:r>
              <w:rPr>
                <w:b/>
                <w:bCs/>
                <w:color w:val="auto"/>
                <w:spacing w:val="-6"/>
                <w:highlight w:val="none"/>
              </w:rPr>
              <w:t>Y≥</w:t>
            </w:r>
          </w:p>
        </w:tc>
        <w:tc>
          <w:tcPr>
            <w:tcW w:w="1700" w:type="dxa"/>
            <w:noWrap w:val="0"/>
            <w:vAlign w:val="top"/>
          </w:tcPr>
          <w:p w14:paraId="357A44EA">
            <w:pPr>
              <w:pStyle w:val="17"/>
              <w:spacing w:before="38" w:line="237" w:lineRule="auto"/>
              <w:ind w:left="118"/>
              <w:rPr>
                <w:color w:val="auto"/>
                <w:highlight w:val="none"/>
              </w:rPr>
            </w:pPr>
            <w:r>
              <w:rPr>
                <w:b/>
                <w:bCs/>
                <w:color w:val="auto"/>
                <w:spacing w:val="9"/>
                <w:highlight w:val="none"/>
              </w:rPr>
              <w:t>5000≤Y&lt;</w:t>
            </w:r>
          </w:p>
        </w:tc>
        <w:tc>
          <w:tcPr>
            <w:tcW w:w="1425" w:type="dxa"/>
            <w:noWrap w:val="0"/>
            <w:vAlign w:val="top"/>
          </w:tcPr>
          <w:p w14:paraId="43454015">
            <w:pPr>
              <w:pStyle w:val="17"/>
              <w:spacing w:before="38" w:line="237" w:lineRule="auto"/>
              <w:ind w:left="131"/>
              <w:rPr>
                <w:color w:val="auto"/>
                <w:highlight w:val="none"/>
              </w:rPr>
            </w:pPr>
            <w:r>
              <w:rPr>
                <w:b/>
                <w:bCs/>
                <w:color w:val="auto"/>
                <w:spacing w:val="7"/>
                <w:highlight w:val="none"/>
              </w:rPr>
              <w:t>1000≤Y&lt;</w:t>
            </w:r>
          </w:p>
        </w:tc>
        <w:tc>
          <w:tcPr>
            <w:tcW w:w="996" w:type="dxa"/>
            <w:noWrap w:val="0"/>
            <w:vAlign w:val="top"/>
          </w:tcPr>
          <w:p w14:paraId="77B70D30">
            <w:pPr>
              <w:pStyle w:val="17"/>
              <w:spacing w:before="39" w:line="241" w:lineRule="auto"/>
              <w:ind w:left="112"/>
              <w:rPr>
                <w:color w:val="auto"/>
                <w:highlight w:val="none"/>
              </w:rPr>
            </w:pPr>
            <w:r>
              <w:rPr>
                <w:b/>
                <w:bCs/>
                <w:color w:val="auto"/>
                <w:spacing w:val="21"/>
                <w:w w:val="116"/>
                <w:highlight w:val="none"/>
              </w:rPr>
              <w:t>Y&lt;</w:t>
            </w:r>
          </w:p>
        </w:tc>
      </w:tr>
      <w:tr w14:paraId="1EE28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2FC4B4AF">
            <w:pPr>
              <w:pStyle w:val="17"/>
              <w:spacing w:before="244" w:line="220" w:lineRule="auto"/>
              <w:ind w:left="117"/>
              <w:rPr>
                <w:color w:val="auto"/>
                <w:highlight w:val="none"/>
              </w:rPr>
            </w:pPr>
            <w:r>
              <w:rPr>
                <w:b/>
                <w:bCs/>
                <w:color w:val="auto"/>
                <w:spacing w:val="-6"/>
                <w:highlight w:val="none"/>
              </w:rPr>
              <w:t>零售业</w:t>
            </w:r>
          </w:p>
        </w:tc>
        <w:tc>
          <w:tcPr>
            <w:tcW w:w="1368" w:type="dxa"/>
            <w:noWrap w:val="0"/>
            <w:vAlign w:val="top"/>
          </w:tcPr>
          <w:p w14:paraId="3813CE42">
            <w:pPr>
              <w:pStyle w:val="17"/>
              <w:spacing w:before="40" w:line="221" w:lineRule="auto"/>
              <w:ind w:left="116"/>
              <w:rPr>
                <w:color w:val="auto"/>
                <w:highlight w:val="none"/>
              </w:rPr>
            </w:pPr>
            <w:r>
              <w:rPr>
                <w:b/>
                <w:bCs/>
                <w:color w:val="auto"/>
                <w:spacing w:val="-5"/>
                <w:highlight w:val="none"/>
              </w:rPr>
              <w:t>从业人员</w:t>
            </w:r>
          </w:p>
        </w:tc>
        <w:tc>
          <w:tcPr>
            <w:tcW w:w="709" w:type="dxa"/>
            <w:noWrap w:val="0"/>
            <w:vAlign w:val="top"/>
          </w:tcPr>
          <w:p w14:paraId="49551B76">
            <w:pPr>
              <w:pStyle w:val="17"/>
              <w:spacing w:before="45" w:line="223" w:lineRule="auto"/>
              <w:ind w:left="115"/>
              <w:rPr>
                <w:color w:val="auto"/>
                <w:highlight w:val="none"/>
              </w:rPr>
            </w:pPr>
            <w:r>
              <w:rPr>
                <w:b/>
                <w:bCs/>
                <w:color w:val="auto"/>
                <w:spacing w:val="-3"/>
                <w:highlight w:val="none"/>
              </w:rPr>
              <w:t>人</w:t>
            </w:r>
          </w:p>
        </w:tc>
        <w:tc>
          <w:tcPr>
            <w:tcW w:w="1124" w:type="dxa"/>
            <w:noWrap w:val="0"/>
            <w:vAlign w:val="top"/>
          </w:tcPr>
          <w:p w14:paraId="078E266F">
            <w:pPr>
              <w:pStyle w:val="17"/>
              <w:spacing w:before="45" w:line="238" w:lineRule="auto"/>
              <w:ind w:left="112"/>
              <w:rPr>
                <w:color w:val="auto"/>
                <w:highlight w:val="none"/>
              </w:rPr>
            </w:pPr>
            <w:r>
              <w:rPr>
                <w:b/>
                <w:bCs/>
                <w:color w:val="auto"/>
                <w:spacing w:val="-4"/>
                <w:highlight w:val="none"/>
              </w:rPr>
              <w:t>X≥300</w:t>
            </w:r>
          </w:p>
        </w:tc>
        <w:tc>
          <w:tcPr>
            <w:tcW w:w="1700" w:type="dxa"/>
            <w:noWrap w:val="0"/>
            <w:vAlign w:val="top"/>
          </w:tcPr>
          <w:p w14:paraId="0FA8E271">
            <w:pPr>
              <w:pStyle w:val="17"/>
              <w:spacing w:before="44" w:line="237" w:lineRule="auto"/>
              <w:ind w:left="118"/>
              <w:rPr>
                <w:color w:val="auto"/>
                <w:highlight w:val="none"/>
              </w:rPr>
            </w:pPr>
            <w:r>
              <w:rPr>
                <w:b/>
                <w:bCs/>
                <w:color w:val="auto"/>
                <w:spacing w:val="-4"/>
                <w:highlight w:val="none"/>
              </w:rPr>
              <w:t>50≤X＜300</w:t>
            </w:r>
          </w:p>
        </w:tc>
        <w:tc>
          <w:tcPr>
            <w:tcW w:w="1425" w:type="dxa"/>
            <w:noWrap w:val="0"/>
            <w:vAlign w:val="top"/>
          </w:tcPr>
          <w:p w14:paraId="7BBD8B0E">
            <w:pPr>
              <w:pStyle w:val="17"/>
              <w:spacing w:before="44" w:line="237" w:lineRule="auto"/>
              <w:ind w:left="131"/>
              <w:rPr>
                <w:color w:val="auto"/>
                <w:highlight w:val="none"/>
              </w:rPr>
            </w:pPr>
            <w:r>
              <w:rPr>
                <w:b/>
                <w:bCs/>
                <w:color w:val="auto"/>
                <w:spacing w:val="-6"/>
                <w:highlight w:val="none"/>
              </w:rPr>
              <w:t>10≤X＜50</w:t>
            </w:r>
          </w:p>
        </w:tc>
        <w:tc>
          <w:tcPr>
            <w:tcW w:w="996" w:type="dxa"/>
            <w:noWrap w:val="0"/>
            <w:vAlign w:val="top"/>
          </w:tcPr>
          <w:p w14:paraId="58CA9E0D">
            <w:pPr>
              <w:pStyle w:val="17"/>
              <w:spacing w:before="45"/>
              <w:ind w:left="113"/>
              <w:rPr>
                <w:color w:val="auto"/>
                <w:highlight w:val="none"/>
              </w:rPr>
            </w:pPr>
            <w:r>
              <w:rPr>
                <w:b/>
                <w:bCs/>
                <w:color w:val="auto"/>
                <w:spacing w:val="-3"/>
                <w:highlight w:val="none"/>
              </w:rPr>
              <w:t>X＜10</w:t>
            </w:r>
          </w:p>
        </w:tc>
      </w:tr>
      <w:tr w14:paraId="4B60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34FD8AF3">
            <w:pPr>
              <w:rPr>
                <w:rFonts w:ascii="Arial"/>
                <w:color w:val="auto"/>
                <w:sz w:val="21"/>
                <w:highlight w:val="none"/>
              </w:rPr>
            </w:pPr>
          </w:p>
        </w:tc>
        <w:tc>
          <w:tcPr>
            <w:tcW w:w="1368" w:type="dxa"/>
            <w:noWrap w:val="0"/>
            <w:vAlign w:val="top"/>
          </w:tcPr>
          <w:p w14:paraId="5D8D8618">
            <w:pPr>
              <w:pStyle w:val="17"/>
              <w:spacing w:before="40" w:line="220" w:lineRule="auto"/>
              <w:ind w:left="121"/>
              <w:rPr>
                <w:color w:val="auto"/>
                <w:highlight w:val="none"/>
              </w:rPr>
            </w:pPr>
            <w:r>
              <w:rPr>
                <w:b/>
                <w:bCs/>
                <w:color w:val="auto"/>
                <w:spacing w:val="-7"/>
                <w:highlight w:val="none"/>
              </w:rPr>
              <w:t>营业收入</w:t>
            </w:r>
          </w:p>
        </w:tc>
        <w:tc>
          <w:tcPr>
            <w:tcW w:w="709" w:type="dxa"/>
            <w:noWrap w:val="0"/>
            <w:vAlign w:val="top"/>
          </w:tcPr>
          <w:p w14:paraId="4813511B">
            <w:pPr>
              <w:pStyle w:val="17"/>
              <w:spacing w:before="47" w:line="221" w:lineRule="auto"/>
              <w:ind w:left="119"/>
              <w:rPr>
                <w:color w:val="auto"/>
                <w:highlight w:val="none"/>
              </w:rPr>
            </w:pPr>
            <w:r>
              <w:rPr>
                <w:b/>
                <w:bCs/>
                <w:color w:val="auto"/>
                <w:spacing w:val="-11"/>
                <w:highlight w:val="none"/>
              </w:rPr>
              <w:t>万元</w:t>
            </w:r>
          </w:p>
        </w:tc>
        <w:tc>
          <w:tcPr>
            <w:tcW w:w="1124" w:type="dxa"/>
            <w:noWrap w:val="0"/>
            <w:vAlign w:val="top"/>
          </w:tcPr>
          <w:p w14:paraId="1B31D973">
            <w:pPr>
              <w:pStyle w:val="17"/>
              <w:spacing w:before="40" w:line="238" w:lineRule="auto"/>
              <w:ind w:left="111"/>
              <w:rPr>
                <w:color w:val="auto"/>
                <w:highlight w:val="none"/>
              </w:rPr>
            </w:pPr>
            <w:r>
              <w:rPr>
                <w:b/>
                <w:bCs/>
                <w:color w:val="auto"/>
                <w:spacing w:val="-6"/>
                <w:highlight w:val="none"/>
              </w:rPr>
              <w:t>Y≥</w:t>
            </w:r>
          </w:p>
        </w:tc>
        <w:tc>
          <w:tcPr>
            <w:tcW w:w="1700" w:type="dxa"/>
            <w:noWrap w:val="0"/>
            <w:vAlign w:val="top"/>
          </w:tcPr>
          <w:p w14:paraId="770D250D">
            <w:pPr>
              <w:pStyle w:val="17"/>
              <w:spacing w:before="40" w:line="237" w:lineRule="auto"/>
              <w:ind w:left="238"/>
              <w:rPr>
                <w:color w:val="auto"/>
                <w:highlight w:val="none"/>
              </w:rPr>
            </w:pPr>
            <w:r>
              <w:rPr>
                <w:b/>
                <w:bCs/>
                <w:color w:val="auto"/>
                <w:spacing w:val="11"/>
                <w:highlight w:val="none"/>
              </w:rPr>
              <w:t>500≤Y&lt;</w:t>
            </w:r>
          </w:p>
        </w:tc>
        <w:tc>
          <w:tcPr>
            <w:tcW w:w="1425" w:type="dxa"/>
            <w:noWrap w:val="0"/>
            <w:vAlign w:val="top"/>
          </w:tcPr>
          <w:p w14:paraId="3F4FCC17">
            <w:pPr>
              <w:pStyle w:val="17"/>
              <w:spacing w:before="40" w:line="237" w:lineRule="auto"/>
              <w:ind w:left="131"/>
              <w:rPr>
                <w:color w:val="auto"/>
                <w:highlight w:val="none"/>
              </w:rPr>
            </w:pPr>
            <w:r>
              <w:rPr>
                <w:b/>
                <w:bCs/>
                <w:color w:val="auto"/>
                <w:spacing w:val="8"/>
                <w:highlight w:val="none"/>
              </w:rPr>
              <w:t>100≤Y&lt;</w:t>
            </w:r>
          </w:p>
        </w:tc>
        <w:tc>
          <w:tcPr>
            <w:tcW w:w="996" w:type="dxa"/>
            <w:noWrap w:val="0"/>
            <w:vAlign w:val="top"/>
          </w:tcPr>
          <w:p w14:paraId="4728E8F5">
            <w:pPr>
              <w:pStyle w:val="17"/>
              <w:spacing w:before="48"/>
              <w:ind w:left="112"/>
              <w:rPr>
                <w:color w:val="auto"/>
                <w:highlight w:val="none"/>
              </w:rPr>
            </w:pPr>
            <w:r>
              <w:rPr>
                <w:b/>
                <w:bCs/>
                <w:color w:val="auto"/>
                <w:spacing w:val="-3"/>
                <w:highlight w:val="none"/>
              </w:rPr>
              <w:t>Y＜100</w:t>
            </w:r>
          </w:p>
        </w:tc>
      </w:tr>
      <w:tr w14:paraId="19545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78B0C7B0">
            <w:pPr>
              <w:pStyle w:val="17"/>
              <w:spacing w:before="246" w:line="220" w:lineRule="auto"/>
              <w:ind w:left="120"/>
              <w:rPr>
                <w:color w:val="auto"/>
                <w:highlight w:val="none"/>
              </w:rPr>
            </w:pPr>
            <w:r>
              <w:rPr>
                <w:b/>
                <w:bCs/>
                <w:color w:val="auto"/>
                <w:spacing w:val="-3"/>
                <w:highlight w:val="none"/>
              </w:rPr>
              <w:t>交通运输业*</w:t>
            </w:r>
          </w:p>
        </w:tc>
        <w:tc>
          <w:tcPr>
            <w:tcW w:w="1368" w:type="dxa"/>
            <w:noWrap w:val="0"/>
            <w:vAlign w:val="top"/>
          </w:tcPr>
          <w:p w14:paraId="70F8B123">
            <w:pPr>
              <w:pStyle w:val="17"/>
              <w:spacing w:before="39" w:line="221" w:lineRule="auto"/>
              <w:ind w:left="116"/>
              <w:rPr>
                <w:color w:val="auto"/>
                <w:highlight w:val="none"/>
              </w:rPr>
            </w:pPr>
            <w:r>
              <w:rPr>
                <w:b/>
                <w:bCs/>
                <w:color w:val="auto"/>
                <w:spacing w:val="-5"/>
                <w:highlight w:val="none"/>
              </w:rPr>
              <w:t>从业人员</w:t>
            </w:r>
          </w:p>
        </w:tc>
        <w:tc>
          <w:tcPr>
            <w:tcW w:w="709" w:type="dxa"/>
            <w:noWrap w:val="0"/>
            <w:vAlign w:val="top"/>
          </w:tcPr>
          <w:p w14:paraId="25052A36">
            <w:pPr>
              <w:pStyle w:val="17"/>
              <w:spacing w:before="46" w:line="223" w:lineRule="auto"/>
              <w:ind w:left="115"/>
              <w:rPr>
                <w:color w:val="auto"/>
                <w:highlight w:val="none"/>
              </w:rPr>
            </w:pPr>
            <w:r>
              <w:rPr>
                <w:b/>
                <w:bCs/>
                <w:color w:val="auto"/>
                <w:spacing w:val="-3"/>
                <w:highlight w:val="none"/>
              </w:rPr>
              <w:t>人</w:t>
            </w:r>
          </w:p>
        </w:tc>
        <w:tc>
          <w:tcPr>
            <w:tcW w:w="1124" w:type="dxa"/>
            <w:noWrap w:val="0"/>
            <w:vAlign w:val="top"/>
          </w:tcPr>
          <w:p w14:paraId="283F72E2">
            <w:pPr>
              <w:pStyle w:val="17"/>
              <w:spacing w:before="46" w:line="238" w:lineRule="auto"/>
              <w:ind w:left="112"/>
              <w:rPr>
                <w:color w:val="auto"/>
                <w:highlight w:val="none"/>
              </w:rPr>
            </w:pPr>
            <w:r>
              <w:rPr>
                <w:b/>
                <w:bCs/>
                <w:color w:val="auto"/>
                <w:spacing w:val="-3"/>
                <w:highlight w:val="none"/>
              </w:rPr>
              <w:t>X≥1000</w:t>
            </w:r>
          </w:p>
        </w:tc>
        <w:tc>
          <w:tcPr>
            <w:tcW w:w="1700" w:type="dxa"/>
            <w:noWrap w:val="0"/>
            <w:vAlign w:val="top"/>
          </w:tcPr>
          <w:p w14:paraId="298DB643">
            <w:pPr>
              <w:pStyle w:val="17"/>
              <w:spacing w:before="46" w:line="237" w:lineRule="auto"/>
              <w:ind w:left="118"/>
              <w:rPr>
                <w:color w:val="auto"/>
                <w:highlight w:val="none"/>
              </w:rPr>
            </w:pPr>
            <w:r>
              <w:rPr>
                <w:b/>
                <w:bCs/>
                <w:color w:val="auto"/>
                <w:spacing w:val="-3"/>
                <w:highlight w:val="none"/>
              </w:rPr>
              <w:t>300≤X＜1000</w:t>
            </w:r>
          </w:p>
        </w:tc>
        <w:tc>
          <w:tcPr>
            <w:tcW w:w="1425" w:type="dxa"/>
            <w:noWrap w:val="0"/>
            <w:vAlign w:val="top"/>
          </w:tcPr>
          <w:p w14:paraId="5099C0E0">
            <w:pPr>
              <w:pStyle w:val="17"/>
              <w:spacing w:before="39" w:line="237" w:lineRule="auto"/>
              <w:ind w:left="238"/>
              <w:rPr>
                <w:color w:val="auto"/>
                <w:highlight w:val="none"/>
              </w:rPr>
            </w:pPr>
            <w:r>
              <w:rPr>
                <w:b/>
                <w:bCs/>
                <w:color w:val="auto"/>
                <w:spacing w:val="14"/>
                <w:highlight w:val="none"/>
              </w:rPr>
              <w:t>20≤X&lt;</w:t>
            </w:r>
          </w:p>
        </w:tc>
        <w:tc>
          <w:tcPr>
            <w:tcW w:w="996" w:type="dxa"/>
            <w:noWrap w:val="0"/>
            <w:vAlign w:val="top"/>
          </w:tcPr>
          <w:p w14:paraId="2C154C11">
            <w:pPr>
              <w:pStyle w:val="17"/>
              <w:spacing w:before="47"/>
              <w:ind w:left="113"/>
              <w:rPr>
                <w:color w:val="auto"/>
                <w:highlight w:val="none"/>
              </w:rPr>
            </w:pPr>
            <w:r>
              <w:rPr>
                <w:b/>
                <w:bCs/>
                <w:color w:val="auto"/>
                <w:spacing w:val="-3"/>
                <w:highlight w:val="none"/>
              </w:rPr>
              <w:t>X＜20</w:t>
            </w:r>
          </w:p>
        </w:tc>
      </w:tr>
      <w:tr w14:paraId="52BAD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117" w:type="dxa"/>
            <w:vMerge w:val="continue"/>
            <w:tcBorders>
              <w:top w:val="nil"/>
            </w:tcBorders>
            <w:noWrap w:val="0"/>
            <w:vAlign w:val="top"/>
          </w:tcPr>
          <w:p w14:paraId="61A1D5A7">
            <w:pPr>
              <w:rPr>
                <w:rFonts w:ascii="Arial"/>
                <w:color w:val="auto"/>
                <w:sz w:val="21"/>
                <w:highlight w:val="none"/>
              </w:rPr>
            </w:pPr>
          </w:p>
        </w:tc>
        <w:tc>
          <w:tcPr>
            <w:tcW w:w="1368" w:type="dxa"/>
            <w:noWrap w:val="0"/>
            <w:vAlign w:val="top"/>
          </w:tcPr>
          <w:p w14:paraId="792B113A">
            <w:pPr>
              <w:pStyle w:val="17"/>
              <w:spacing w:before="41" w:line="220" w:lineRule="auto"/>
              <w:ind w:left="121"/>
              <w:rPr>
                <w:color w:val="auto"/>
                <w:highlight w:val="none"/>
              </w:rPr>
            </w:pPr>
            <w:r>
              <w:rPr>
                <w:b/>
                <w:bCs/>
                <w:color w:val="auto"/>
                <w:spacing w:val="-7"/>
                <w:highlight w:val="none"/>
              </w:rPr>
              <w:t>营业收入</w:t>
            </w:r>
          </w:p>
        </w:tc>
        <w:tc>
          <w:tcPr>
            <w:tcW w:w="709" w:type="dxa"/>
            <w:noWrap w:val="0"/>
            <w:vAlign w:val="top"/>
          </w:tcPr>
          <w:p w14:paraId="08738065">
            <w:pPr>
              <w:pStyle w:val="17"/>
              <w:spacing w:before="45" w:line="221" w:lineRule="auto"/>
              <w:ind w:left="119"/>
              <w:rPr>
                <w:color w:val="auto"/>
                <w:highlight w:val="none"/>
              </w:rPr>
            </w:pPr>
            <w:r>
              <w:rPr>
                <w:b/>
                <w:bCs/>
                <w:color w:val="auto"/>
                <w:spacing w:val="-11"/>
                <w:highlight w:val="none"/>
              </w:rPr>
              <w:t>万元</w:t>
            </w:r>
          </w:p>
        </w:tc>
        <w:tc>
          <w:tcPr>
            <w:tcW w:w="1124" w:type="dxa"/>
            <w:noWrap w:val="0"/>
            <w:vAlign w:val="top"/>
          </w:tcPr>
          <w:p w14:paraId="378AB0BB">
            <w:pPr>
              <w:pStyle w:val="17"/>
              <w:spacing w:before="41" w:line="238" w:lineRule="auto"/>
              <w:ind w:left="111"/>
              <w:rPr>
                <w:color w:val="auto"/>
                <w:highlight w:val="none"/>
              </w:rPr>
            </w:pPr>
            <w:r>
              <w:rPr>
                <w:b/>
                <w:bCs/>
                <w:color w:val="auto"/>
                <w:spacing w:val="-6"/>
                <w:highlight w:val="none"/>
              </w:rPr>
              <w:t>Y≥</w:t>
            </w:r>
          </w:p>
        </w:tc>
        <w:tc>
          <w:tcPr>
            <w:tcW w:w="1700" w:type="dxa"/>
            <w:noWrap w:val="0"/>
            <w:vAlign w:val="top"/>
          </w:tcPr>
          <w:p w14:paraId="7D994870">
            <w:pPr>
              <w:pStyle w:val="17"/>
              <w:spacing w:before="40" w:line="237" w:lineRule="auto"/>
              <w:ind w:left="118"/>
              <w:rPr>
                <w:color w:val="auto"/>
                <w:highlight w:val="none"/>
              </w:rPr>
            </w:pPr>
            <w:r>
              <w:rPr>
                <w:b/>
                <w:bCs/>
                <w:color w:val="auto"/>
                <w:spacing w:val="9"/>
                <w:highlight w:val="none"/>
              </w:rPr>
              <w:t>3000≤Y&lt;</w:t>
            </w:r>
          </w:p>
        </w:tc>
        <w:tc>
          <w:tcPr>
            <w:tcW w:w="1425" w:type="dxa"/>
            <w:noWrap w:val="0"/>
            <w:vAlign w:val="top"/>
          </w:tcPr>
          <w:p w14:paraId="3FE2B1F8">
            <w:pPr>
              <w:pStyle w:val="17"/>
              <w:spacing w:before="40" w:line="237" w:lineRule="auto"/>
              <w:ind w:left="238"/>
              <w:rPr>
                <w:color w:val="auto"/>
                <w:highlight w:val="none"/>
              </w:rPr>
            </w:pPr>
            <w:r>
              <w:rPr>
                <w:b/>
                <w:bCs/>
                <w:color w:val="auto"/>
                <w:spacing w:val="11"/>
                <w:highlight w:val="none"/>
              </w:rPr>
              <w:t>200≤Y&lt;</w:t>
            </w:r>
          </w:p>
        </w:tc>
        <w:tc>
          <w:tcPr>
            <w:tcW w:w="996" w:type="dxa"/>
            <w:noWrap w:val="0"/>
            <w:vAlign w:val="top"/>
          </w:tcPr>
          <w:p w14:paraId="1D9BBD2D">
            <w:pPr>
              <w:pStyle w:val="17"/>
              <w:spacing w:before="46"/>
              <w:ind w:left="112"/>
              <w:rPr>
                <w:color w:val="auto"/>
                <w:highlight w:val="none"/>
              </w:rPr>
            </w:pPr>
            <w:r>
              <w:rPr>
                <w:b/>
                <w:bCs/>
                <w:color w:val="auto"/>
                <w:spacing w:val="-3"/>
                <w:highlight w:val="none"/>
              </w:rPr>
              <w:t>Y＜200</w:t>
            </w:r>
          </w:p>
        </w:tc>
      </w:tr>
    </w:tbl>
    <w:p w14:paraId="628C3B09">
      <w:pPr>
        <w:rPr>
          <w:color w:val="auto"/>
          <w:highlight w:val="none"/>
        </w:rPr>
        <w:sectPr>
          <w:footerReference r:id="rId67" w:type="default"/>
          <w:pgSz w:w="11906" w:h="16839"/>
          <w:pgMar w:top="1431" w:right="1141" w:bottom="1149" w:left="1316" w:header="0" w:footer="989" w:gutter="0"/>
          <w:pgNumType w:fmt="decimal"/>
          <w:cols w:space="720" w:num="1"/>
        </w:sectPr>
      </w:pPr>
    </w:p>
    <w:tbl>
      <w:tblPr>
        <w:tblStyle w:val="18"/>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105E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117" w:type="dxa"/>
            <w:vMerge w:val="restart"/>
            <w:tcBorders>
              <w:bottom w:val="nil"/>
            </w:tcBorders>
            <w:noWrap w:val="0"/>
            <w:vAlign w:val="top"/>
          </w:tcPr>
          <w:p w14:paraId="6AD0A63E">
            <w:pPr>
              <w:pStyle w:val="17"/>
              <w:spacing w:before="245" w:line="221" w:lineRule="auto"/>
              <w:ind w:left="115"/>
              <w:rPr>
                <w:color w:val="auto"/>
                <w:highlight w:val="none"/>
              </w:rPr>
            </w:pPr>
            <w:r>
              <w:rPr>
                <w:b/>
                <w:bCs/>
                <w:color w:val="auto"/>
                <w:spacing w:val="-5"/>
                <w:highlight w:val="none"/>
              </w:rPr>
              <w:t>仓储业*</w:t>
            </w:r>
          </w:p>
        </w:tc>
        <w:tc>
          <w:tcPr>
            <w:tcW w:w="1368" w:type="dxa"/>
            <w:noWrap w:val="0"/>
            <w:vAlign w:val="top"/>
          </w:tcPr>
          <w:p w14:paraId="42E4D6D9">
            <w:pPr>
              <w:pStyle w:val="17"/>
              <w:spacing w:before="39" w:line="221" w:lineRule="auto"/>
              <w:ind w:left="116"/>
              <w:rPr>
                <w:color w:val="auto"/>
                <w:highlight w:val="none"/>
              </w:rPr>
            </w:pPr>
            <w:r>
              <w:rPr>
                <w:b/>
                <w:bCs/>
                <w:color w:val="auto"/>
                <w:spacing w:val="-5"/>
                <w:highlight w:val="none"/>
              </w:rPr>
              <w:t>从业人员</w:t>
            </w:r>
          </w:p>
        </w:tc>
        <w:tc>
          <w:tcPr>
            <w:tcW w:w="709" w:type="dxa"/>
            <w:noWrap w:val="0"/>
            <w:vAlign w:val="top"/>
          </w:tcPr>
          <w:p w14:paraId="1530FBD6">
            <w:pPr>
              <w:pStyle w:val="17"/>
              <w:spacing w:before="46" w:line="223" w:lineRule="auto"/>
              <w:ind w:left="115"/>
              <w:rPr>
                <w:color w:val="auto"/>
                <w:highlight w:val="none"/>
              </w:rPr>
            </w:pPr>
            <w:r>
              <w:rPr>
                <w:b/>
                <w:bCs/>
                <w:color w:val="auto"/>
                <w:spacing w:val="-3"/>
                <w:highlight w:val="none"/>
              </w:rPr>
              <w:t>人</w:t>
            </w:r>
          </w:p>
        </w:tc>
        <w:tc>
          <w:tcPr>
            <w:tcW w:w="1124" w:type="dxa"/>
            <w:noWrap w:val="0"/>
            <w:vAlign w:val="top"/>
          </w:tcPr>
          <w:p w14:paraId="3FEDD4A0">
            <w:pPr>
              <w:pStyle w:val="17"/>
              <w:spacing w:before="47" w:line="238" w:lineRule="auto"/>
              <w:ind w:left="112"/>
              <w:rPr>
                <w:color w:val="auto"/>
                <w:highlight w:val="none"/>
              </w:rPr>
            </w:pPr>
            <w:r>
              <w:rPr>
                <w:b/>
                <w:bCs/>
                <w:color w:val="auto"/>
                <w:spacing w:val="-4"/>
                <w:highlight w:val="none"/>
              </w:rPr>
              <w:t>X≥200</w:t>
            </w:r>
          </w:p>
        </w:tc>
        <w:tc>
          <w:tcPr>
            <w:tcW w:w="1700" w:type="dxa"/>
            <w:noWrap w:val="0"/>
            <w:vAlign w:val="top"/>
          </w:tcPr>
          <w:p w14:paraId="69C1BA9E">
            <w:pPr>
              <w:pStyle w:val="17"/>
              <w:spacing w:before="46" w:line="237" w:lineRule="auto"/>
              <w:ind w:left="31"/>
              <w:rPr>
                <w:color w:val="auto"/>
                <w:highlight w:val="none"/>
              </w:rPr>
            </w:pPr>
            <w:r>
              <w:rPr>
                <w:b/>
                <w:bCs/>
                <w:color w:val="auto"/>
                <w:spacing w:val="-5"/>
                <w:highlight w:val="none"/>
              </w:rPr>
              <w:t>100≤X＜200</w:t>
            </w:r>
          </w:p>
        </w:tc>
        <w:tc>
          <w:tcPr>
            <w:tcW w:w="1425" w:type="dxa"/>
            <w:noWrap w:val="0"/>
            <w:vAlign w:val="top"/>
          </w:tcPr>
          <w:p w14:paraId="3FCFCBB4">
            <w:pPr>
              <w:pStyle w:val="17"/>
              <w:spacing w:before="39" w:line="237" w:lineRule="auto"/>
              <w:ind w:left="238"/>
              <w:rPr>
                <w:color w:val="auto"/>
                <w:highlight w:val="none"/>
              </w:rPr>
            </w:pPr>
            <w:r>
              <w:rPr>
                <w:b/>
                <w:bCs/>
                <w:color w:val="auto"/>
                <w:spacing w:val="14"/>
                <w:highlight w:val="none"/>
              </w:rPr>
              <w:t>20≤X&lt;</w:t>
            </w:r>
          </w:p>
        </w:tc>
        <w:tc>
          <w:tcPr>
            <w:tcW w:w="996" w:type="dxa"/>
            <w:noWrap w:val="0"/>
            <w:vAlign w:val="top"/>
          </w:tcPr>
          <w:p w14:paraId="65BB2963">
            <w:pPr>
              <w:pStyle w:val="17"/>
              <w:spacing w:before="47"/>
              <w:ind w:left="113"/>
              <w:rPr>
                <w:color w:val="auto"/>
                <w:highlight w:val="none"/>
              </w:rPr>
            </w:pPr>
            <w:r>
              <w:rPr>
                <w:b/>
                <w:bCs/>
                <w:color w:val="auto"/>
                <w:spacing w:val="-3"/>
                <w:highlight w:val="none"/>
              </w:rPr>
              <w:t>X＜20</w:t>
            </w:r>
          </w:p>
        </w:tc>
      </w:tr>
      <w:tr w14:paraId="196A1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continue"/>
            <w:tcBorders>
              <w:top w:val="nil"/>
            </w:tcBorders>
            <w:noWrap w:val="0"/>
            <w:vAlign w:val="top"/>
          </w:tcPr>
          <w:p w14:paraId="267FFEEB">
            <w:pPr>
              <w:rPr>
                <w:rFonts w:ascii="Arial"/>
                <w:color w:val="auto"/>
                <w:sz w:val="21"/>
                <w:highlight w:val="none"/>
              </w:rPr>
            </w:pPr>
          </w:p>
        </w:tc>
        <w:tc>
          <w:tcPr>
            <w:tcW w:w="1368" w:type="dxa"/>
            <w:noWrap w:val="0"/>
            <w:vAlign w:val="top"/>
          </w:tcPr>
          <w:p w14:paraId="7C25D2D0">
            <w:pPr>
              <w:pStyle w:val="17"/>
              <w:spacing w:before="37" w:line="220" w:lineRule="auto"/>
              <w:ind w:left="121"/>
              <w:rPr>
                <w:color w:val="auto"/>
                <w:highlight w:val="none"/>
              </w:rPr>
            </w:pPr>
            <w:r>
              <w:rPr>
                <w:b/>
                <w:bCs/>
                <w:color w:val="auto"/>
                <w:spacing w:val="-7"/>
                <w:highlight w:val="none"/>
              </w:rPr>
              <w:t>营业收入</w:t>
            </w:r>
          </w:p>
        </w:tc>
        <w:tc>
          <w:tcPr>
            <w:tcW w:w="709" w:type="dxa"/>
            <w:noWrap w:val="0"/>
            <w:vAlign w:val="top"/>
          </w:tcPr>
          <w:p w14:paraId="06376619">
            <w:pPr>
              <w:pStyle w:val="17"/>
              <w:spacing w:before="41" w:line="221" w:lineRule="auto"/>
              <w:ind w:left="119"/>
              <w:rPr>
                <w:color w:val="auto"/>
                <w:highlight w:val="none"/>
              </w:rPr>
            </w:pPr>
            <w:r>
              <w:rPr>
                <w:b/>
                <w:bCs/>
                <w:color w:val="auto"/>
                <w:spacing w:val="-11"/>
                <w:highlight w:val="none"/>
              </w:rPr>
              <w:t>万元</w:t>
            </w:r>
          </w:p>
        </w:tc>
        <w:tc>
          <w:tcPr>
            <w:tcW w:w="1124" w:type="dxa"/>
            <w:noWrap w:val="0"/>
            <w:vAlign w:val="top"/>
          </w:tcPr>
          <w:p w14:paraId="64D845C4">
            <w:pPr>
              <w:pStyle w:val="17"/>
              <w:spacing w:before="37" w:line="238" w:lineRule="auto"/>
              <w:ind w:left="111"/>
              <w:rPr>
                <w:color w:val="auto"/>
                <w:highlight w:val="none"/>
              </w:rPr>
            </w:pPr>
            <w:r>
              <w:rPr>
                <w:b/>
                <w:bCs/>
                <w:color w:val="auto"/>
                <w:spacing w:val="-6"/>
                <w:highlight w:val="none"/>
              </w:rPr>
              <w:t>Y≥</w:t>
            </w:r>
          </w:p>
        </w:tc>
        <w:tc>
          <w:tcPr>
            <w:tcW w:w="1700" w:type="dxa"/>
            <w:noWrap w:val="0"/>
            <w:vAlign w:val="top"/>
          </w:tcPr>
          <w:p w14:paraId="3E3BC14D">
            <w:pPr>
              <w:pStyle w:val="17"/>
              <w:spacing w:before="36" w:line="237" w:lineRule="auto"/>
              <w:ind w:left="131"/>
              <w:rPr>
                <w:color w:val="auto"/>
                <w:highlight w:val="none"/>
              </w:rPr>
            </w:pPr>
            <w:r>
              <w:rPr>
                <w:b/>
                <w:bCs/>
                <w:color w:val="auto"/>
                <w:spacing w:val="7"/>
                <w:highlight w:val="none"/>
              </w:rPr>
              <w:t>1000≤Y&lt;</w:t>
            </w:r>
          </w:p>
        </w:tc>
        <w:tc>
          <w:tcPr>
            <w:tcW w:w="1425" w:type="dxa"/>
            <w:noWrap w:val="0"/>
            <w:vAlign w:val="top"/>
          </w:tcPr>
          <w:p w14:paraId="76DDD909">
            <w:pPr>
              <w:pStyle w:val="17"/>
              <w:spacing w:before="36" w:line="237" w:lineRule="auto"/>
              <w:ind w:left="253"/>
              <w:rPr>
                <w:color w:val="auto"/>
                <w:highlight w:val="none"/>
              </w:rPr>
            </w:pPr>
            <w:r>
              <w:rPr>
                <w:b/>
                <w:bCs/>
                <w:color w:val="auto"/>
                <w:spacing w:val="8"/>
                <w:highlight w:val="none"/>
              </w:rPr>
              <w:t>100≤Y&lt;</w:t>
            </w:r>
          </w:p>
        </w:tc>
        <w:tc>
          <w:tcPr>
            <w:tcW w:w="996" w:type="dxa"/>
            <w:noWrap w:val="0"/>
            <w:vAlign w:val="top"/>
          </w:tcPr>
          <w:p w14:paraId="44F65149">
            <w:pPr>
              <w:pStyle w:val="17"/>
              <w:spacing w:before="42"/>
              <w:ind w:left="112"/>
              <w:rPr>
                <w:color w:val="auto"/>
                <w:highlight w:val="none"/>
              </w:rPr>
            </w:pPr>
            <w:r>
              <w:rPr>
                <w:b/>
                <w:bCs/>
                <w:color w:val="auto"/>
                <w:spacing w:val="-3"/>
                <w:highlight w:val="none"/>
              </w:rPr>
              <w:t>Y＜100</w:t>
            </w:r>
          </w:p>
        </w:tc>
      </w:tr>
      <w:tr w14:paraId="7629C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7C975ADF">
            <w:pPr>
              <w:pStyle w:val="17"/>
              <w:spacing w:before="243" w:line="222" w:lineRule="auto"/>
              <w:ind w:left="133"/>
              <w:rPr>
                <w:color w:val="auto"/>
                <w:highlight w:val="none"/>
              </w:rPr>
            </w:pPr>
            <w:r>
              <w:rPr>
                <w:b/>
                <w:bCs/>
                <w:color w:val="auto"/>
                <w:spacing w:val="-11"/>
                <w:highlight w:val="none"/>
              </w:rPr>
              <w:t>邮政业</w:t>
            </w:r>
          </w:p>
        </w:tc>
        <w:tc>
          <w:tcPr>
            <w:tcW w:w="1368" w:type="dxa"/>
            <w:noWrap w:val="0"/>
            <w:vAlign w:val="top"/>
          </w:tcPr>
          <w:p w14:paraId="7352EC8E">
            <w:pPr>
              <w:pStyle w:val="17"/>
              <w:spacing w:before="36" w:line="221" w:lineRule="auto"/>
              <w:ind w:left="116"/>
              <w:rPr>
                <w:color w:val="auto"/>
                <w:highlight w:val="none"/>
              </w:rPr>
            </w:pPr>
            <w:r>
              <w:rPr>
                <w:b/>
                <w:bCs/>
                <w:color w:val="auto"/>
                <w:spacing w:val="-5"/>
                <w:highlight w:val="none"/>
              </w:rPr>
              <w:t>从业人员</w:t>
            </w:r>
          </w:p>
        </w:tc>
        <w:tc>
          <w:tcPr>
            <w:tcW w:w="709" w:type="dxa"/>
            <w:noWrap w:val="0"/>
            <w:vAlign w:val="top"/>
          </w:tcPr>
          <w:p w14:paraId="5D899D1E">
            <w:pPr>
              <w:pStyle w:val="17"/>
              <w:spacing w:before="44" w:line="223" w:lineRule="auto"/>
              <w:ind w:left="115"/>
              <w:rPr>
                <w:color w:val="auto"/>
                <w:highlight w:val="none"/>
              </w:rPr>
            </w:pPr>
            <w:r>
              <w:rPr>
                <w:b/>
                <w:bCs/>
                <w:color w:val="auto"/>
                <w:spacing w:val="-3"/>
                <w:highlight w:val="none"/>
              </w:rPr>
              <w:t>人</w:t>
            </w:r>
          </w:p>
        </w:tc>
        <w:tc>
          <w:tcPr>
            <w:tcW w:w="1124" w:type="dxa"/>
            <w:noWrap w:val="0"/>
            <w:vAlign w:val="top"/>
          </w:tcPr>
          <w:p w14:paraId="10FE3ACA">
            <w:pPr>
              <w:pStyle w:val="17"/>
              <w:spacing w:before="44" w:line="238" w:lineRule="auto"/>
              <w:ind w:left="112"/>
              <w:rPr>
                <w:color w:val="auto"/>
                <w:highlight w:val="none"/>
              </w:rPr>
            </w:pPr>
            <w:r>
              <w:rPr>
                <w:b/>
                <w:bCs/>
                <w:color w:val="auto"/>
                <w:spacing w:val="-3"/>
                <w:highlight w:val="none"/>
              </w:rPr>
              <w:t>X≥1000</w:t>
            </w:r>
          </w:p>
        </w:tc>
        <w:tc>
          <w:tcPr>
            <w:tcW w:w="1700" w:type="dxa"/>
            <w:noWrap w:val="0"/>
            <w:vAlign w:val="top"/>
          </w:tcPr>
          <w:p w14:paraId="1923555E">
            <w:pPr>
              <w:pStyle w:val="17"/>
              <w:spacing w:before="43" w:line="237" w:lineRule="auto"/>
              <w:ind w:left="118"/>
              <w:rPr>
                <w:color w:val="auto"/>
                <w:highlight w:val="none"/>
              </w:rPr>
            </w:pPr>
            <w:r>
              <w:rPr>
                <w:b/>
                <w:bCs/>
                <w:color w:val="auto"/>
                <w:spacing w:val="-3"/>
                <w:highlight w:val="none"/>
              </w:rPr>
              <w:t>300≤X＜1000</w:t>
            </w:r>
          </w:p>
        </w:tc>
        <w:tc>
          <w:tcPr>
            <w:tcW w:w="1425" w:type="dxa"/>
            <w:noWrap w:val="0"/>
            <w:vAlign w:val="top"/>
          </w:tcPr>
          <w:p w14:paraId="44618BA2">
            <w:pPr>
              <w:pStyle w:val="17"/>
              <w:spacing w:before="36" w:line="237" w:lineRule="auto"/>
              <w:ind w:left="238"/>
              <w:rPr>
                <w:color w:val="auto"/>
                <w:highlight w:val="none"/>
              </w:rPr>
            </w:pPr>
            <w:r>
              <w:rPr>
                <w:b/>
                <w:bCs/>
                <w:color w:val="auto"/>
                <w:spacing w:val="14"/>
                <w:highlight w:val="none"/>
              </w:rPr>
              <w:t>20≤X&lt;</w:t>
            </w:r>
          </w:p>
        </w:tc>
        <w:tc>
          <w:tcPr>
            <w:tcW w:w="996" w:type="dxa"/>
            <w:noWrap w:val="0"/>
            <w:vAlign w:val="top"/>
          </w:tcPr>
          <w:p w14:paraId="2AD71A25">
            <w:pPr>
              <w:pStyle w:val="17"/>
              <w:spacing w:before="44"/>
              <w:ind w:left="113"/>
              <w:rPr>
                <w:color w:val="auto"/>
                <w:highlight w:val="none"/>
              </w:rPr>
            </w:pPr>
            <w:r>
              <w:rPr>
                <w:b/>
                <w:bCs/>
                <w:color w:val="auto"/>
                <w:spacing w:val="-3"/>
                <w:highlight w:val="none"/>
              </w:rPr>
              <w:t>X＜20</w:t>
            </w:r>
          </w:p>
        </w:tc>
      </w:tr>
      <w:tr w14:paraId="758F0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4FC2441D">
            <w:pPr>
              <w:rPr>
                <w:rFonts w:ascii="Arial"/>
                <w:color w:val="auto"/>
                <w:sz w:val="21"/>
                <w:highlight w:val="none"/>
              </w:rPr>
            </w:pPr>
          </w:p>
        </w:tc>
        <w:tc>
          <w:tcPr>
            <w:tcW w:w="1368" w:type="dxa"/>
            <w:noWrap w:val="0"/>
            <w:vAlign w:val="top"/>
          </w:tcPr>
          <w:p w14:paraId="47A97187">
            <w:pPr>
              <w:pStyle w:val="17"/>
              <w:spacing w:before="38" w:line="220" w:lineRule="auto"/>
              <w:ind w:left="121"/>
              <w:rPr>
                <w:color w:val="auto"/>
                <w:highlight w:val="none"/>
              </w:rPr>
            </w:pPr>
            <w:r>
              <w:rPr>
                <w:b/>
                <w:bCs/>
                <w:color w:val="auto"/>
                <w:spacing w:val="-7"/>
                <w:highlight w:val="none"/>
              </w:rPr>
              <w:t>营业收入</w:t>
            </w:r>
          </w:p>
        </w:tc>
        <w:tc>
          <w:tcPr>
            <w:tcW w:w="709" w:type="dxa"/>
            <w:noWrap w:val="0"/>
            <w:vAlign w:val="top"/>
          </w:tcPr>
          <w:p w14:paraId="59711A49">
            <w:pPr>
              <w:pStyle w:val="17"/>
              <w:spacing w:before="43" w:line="221" w:lineRule="auto"/>
              <w:ind w:left="119"/>
              <w:rPr>
                <w:color w:val="auto"/>
                <w:highlight w:val="none"/>
              </w:rPr>
            </w:pPr>
            <w:r>
              <w:rPr>
                <w:b/>
                <w:bCs/>
                <w:color w:val="auto"/>
                <w:spacing w:val="-11"/>
                <w:highlight w:val="none"/>
              </w:rPr>
              <w:t>万元</w:t>
            </w:r>
          </w:p>
        </w:tc>
        <w:tc>
          <w:tcPr>
            <w:tcW w:w="1124" w:type="dxa"/>
            <w:noWrap w:val="0"/>
            <w:vAlign w:val="top"/>
          </w:tcPr>
          <w:p w14:paraId="14CBB7ED">
            <w:pPr>
              <w:pStyle w:val="17"/>
              <w:spacing w:before="38" w:line="238" w:lineRule="auto"/>
              <w:ind w:left="111"/>
              <w:rPr>
                <w:color w:val="auto"/>
                <w:highlight w:val="none"/>
              </w:rPr>
            </w:pPr>
            <w:r>
              <w:rPr>
                <w:b/>
                <w:bCs/>
                <w:color w:val="auto"/>
                <w:spacing w:val="-6"/>
                <w:highlight w:val="none"/>
              </w:rPr>
              <w:t>Y≥</w:t>
            </w:r>
          </w:p>
        </w:tc>
        <w:tc>
          <w:tcPr>
            <w:tcW w:w="1700" w:type="dxa"/>
            <w:noWrap w:val="0"/>
            <w:vAlign w:val="top"/>
          </w:tcPr>
          <w:p w14:paraId="36D57BB4">
            <w:pPr>
              <w:pStyle w:val="17"/>
              <w:spacing w:before="38" w:line="237" w:lineRule="auto"/>
              <w:ind w:left="117"/>
              <w:rPr>
                <w:color w:val="auto"/>
                <w:highlight w:val="none"/>
              </w:rPr>
            </w:pPr>
            <w:r>
              <w:rPr>
                <w:b/>
                <w:bCs/>
                <w:color w:val="auto"/>
                <w:spacing w:val="9"/>
                <w:highlight w:val="none"/>
              </w:rPr>
              <w:t>2000≤Y&lt;</w:t>
            </w:r>
          </w:p>
        </w:tc>
        <w:tc>
          <w:tcPr>
            <w:tcW w:w="1425" w:type="dxa"/>
            <w:noWrap w:val="0"/>
            <w:vAlign w:val="top"/>
          </w:tcPr>
          <w:p w14:paraId="5647288B">
            <w:pPr>
              <w:pStyle w:val="17"/>
              <w:spacing w:before="38" w:line="237" w:lineRule="auto"/>
              <w:ind w:left="253"/>
              <w:rPr>
                <w:color w:val="auto"/>
                <w:highlight w:val="none"/>
              </w:rPr>
            </w:pPr>
            <w:r>
              <w:rPr>
                <w:b/>
                <w:bCs/>
                <w:color w:val="auto"/>
                <w:spacing w:val="8"/>
                <w:highlight w:val="none"/>
              </w:rPr>
              <w:t>100≤Y&lt;</w:t>
            </w:r>
          </w:p>
        </w:tc>
        <w:tc>
          <w:tcPr>
            <w:tcW w:w="996" w:type="dxa"/>
            <w:noWrap w:val="0"/>
            <w:vAlign w:val="top"/>
          </w:tcPr>
          <w:p w14:paraId="257FCF16">
            <w:pPr>
              <w:pStyle w:val="17"/>
              <w:spacing w:before="43"/>
              <w:ind w:left="112"/>
              <w:rPr>
                <w:color w:val="auto"/>
                <w:highlight w:val="none"/>
              </w:rPr>
            </w:pPr>
            <w:r>
              <w:rPr>
                <w:b/>
                <w:bCs/>
                <w:color w:val="auto"/>
                <w:spacing w:val="-3"/>
                <w:highlight w:val="none"/>
              </w:rPr>
              <w:t>Y＜100</w:t>
            </w:r>
          </w:p>
        </w:tc>
      </w:tr>
      <w:tr w14:paraId="257B1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3F829735">
            <w:pPr>
              <w:pStyle w:val="17"/>
              <w:spacing w:before="241" w:line="220" w:lineRule="auto"/>
              <w:ind w:left="115"/>
              <w:rPr>
                <w:color w:val="auto"/>
                <w:highlight w:val="none"/>
              </w:rPr>
            </w:pPr>
            <w:r>
              <w:rPr>
                <w:b/>
                <w:bCs/>
                <w:color w:val="auto"/>
                <w:spacing w:val="-5"/>
                <w:highlight w:val="none"/>
              </w:rPr>
              <w:t>住宿业</w:t>
            </w:r>
          </w:p>
        </w:tc>
        <w:tc>
          <w:tcPr>
            <w:tcW w:w="1368" w:type="dxa"/>
            <w:noWrap w:val="0"/>
            <w:vAlign w:val="top"/>
          </w:tcPr>
          <w:p w14:paraId="1698B7DD">
            <w:pPr>
              <w:pStyle w:val="17"/>
              <w:spacing w:before="37" w:line="221" w:lineRule="auto"/>
              <w:ind w:left="116"/>
              <w:rPr>
                <w:color w:val="auto"/>
                <w:highlight w:val="none"/>
              </w:rPr>
            </w:pPr>
            <w:r>
              <w:rPr>
                <w:b/>
                <w:bCs/>
                <w:color w:val="auto"/>
                <w:spacing w:val="-5"/>
                <w:highlight w:val="none"/>
              </w:rPr>
              <w:t>从业人员</w:t>
            </w:r>
          </w:p>
        </w:tc>
        <w:tc>
          <w:tcPr>
            <w:tcW w:w="709" w:type="dxa"/>
            <w:noWrap w:val="0"/>
            <w:vAlign w:val="top"/>
          </w:tcPr>
          <w:p w14:paraId="2165A7CC">
            <w:pPr>
              <w:pStyle w:val="17"/>
              <w:spacing w:before="44" w:line="223" w:lineRule="auto"/>
              <w:ind w:left="115"/>
              <w:rPr>
                <w:color w:val="auto"/>
                <w:highlight w:val="none"/>
              </w:rPr>
            </w:pPr>
            <w:r>
              <w:rPr>
                <w:b/>
                <w:bCs/>
                <w:color w:val="auto"/>
                <w:spacing w:val="-3"/>
                <w:highlight w:val="none"/>
              </w:rPr>
              <w:t>人</w:t>
            </w:r>
          </w:p>
        </w:tc>
        <w:tc>
          <w:tcPr>
            <w:tcW w:w="1124" w:type="dxa"/>
            <w:noWrap w:val="0"/>
            <w:vAlign w:val="top"/>
          </w:tcPr>
          <w:p w14:paraId="51E88974">
            <w:pPr>
              <w:pStyle w:val="17"/>
              <w:spacing w:before="44" w:line="238" w:lineRule="auto"/>
              <w:ind w:left="112"/>
              <w:rPr>
                <w:color w:val="auto"/>
                <w:highlight w:val="none"/>
              </w:rPr>
            </w:pPr>
            <w:r>
              <w:rPr>
                <w:b/>
                <w:bCs/>
                <w:color w:val="auto"/>
                <w:spacing w:val="-4"/>
                <w:highlight w:val="none"/>
              </w:rPr>
              <w:t>X≥300</w:t>
            </w:r>
          </w:p>
        </w:tc>
        <w:tc>
          <w:tcPr>
            <w:tcW w:w="1700" w:type="dxa"/>
            <w:noWrap w:val="0"/>
            <w:vAlign w:val="top"/>
          </w:tcPr>
          <w:p w14:paraId="7FB2B2AE">
            <w:pPr>
              <w:pStyle w:val="17"/>
              <w:spacing w:before="44" w:line="237" w:lineRule="auto"/>
              <w:ind w:left="31"/>
              <w:rPr>
                <w:color w:val="auto"/>
                <w:highlight w:val="none"/>
              </w:rPr>
            </w:pPr>
            <w:r>
              <w:rPr>
                <w:b/>
                <w:bCs/>
                <w:color w:val="auto"/>
                <w:spacing w:val="-5"/>
                <w:highlight w:val="none"/>
              </w:rPr>
              <w:t>100≤X＜300</w:t>
            </w:r>
          </w:p>
        </w:tc>
        <w:tc>
          <w:tcPr>
            <w:tcW w:w="1425" w:type="dxa"/>
            <w:noWrap w:val="0"/>
            <w:vAlign w:val="top"/>
          </w:tcPr>
          <w:p w14:paraId="471A8635">
            <w:pPr>
              <w:pStyle w:val="17"/>
              <w:spacing w:before="37" w:line="237" w:lineRule="auto"/>
              <w:ind w:left="253"/>
              <w:rPr>
                <w:color w:val="auto"/>
                <w:highlight w:val="none"/>
              </w:rPr>
            </w:pPr>
            <w:r>
              <w:rPr>
                <w:b/>
                <w:bCs/>
                <w:color w:val="auto"/>
                <w:spacing w:val="11"/>
                <w:highlight w:val="none"/>
              </w:rPr>
              <w:t>10≤X&lt;</w:t>
            </w:r>
          </w:p>
        </w:tc>
        <w:tc>
          <w:tcPr>
            <w:tcW w:w="996" w:type="dxa"/>
            <w:noWrap w:val="0"/>
            <w:vAlign w:val="top"/>
          </w:tcPr>
          <w:p w14:paraId="3CE99EB8">
            <w:pPr>
              <w:pStyle w:val="17"/>
              <w:spacing w:before="45"/>
              <w:ind w:left="113"/>
              <w:rPr>
                <w:color w:val="auto"/>
                <w:highlight w:val="none"/>
              </w:rPr>
            </w:pPr>
            <w:r>
              <w:rPr>
                <w:b/>
                <w:bCs/>
                <w:color w:val="auto"/>
                <w:spacing w:val="-3"/>
                <w:highlight w:val="none"/>
              </w:rPr>
              <w:t>X＜10</w:t>
            </w:r>
          </w:p>
        </w:tc>
      </w:tr>
      <w:tr w14:paraId="5398A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continue"/>
            <w:tcBorders>
              <w:top w:val="nil"/>
            </w:tcBorders>
            <w:noWrap w:val="0"/>
            <w:vAlign w:val="top"/>
          </w:tcPr>
          <w:p w14:paraId="0B73372C">
            <w:pPr>
              <w:rPr>
                <w:rFonts w:ascii="Arial"/>
                <w:color w:val="auto"/>
                <w:sz w:val="21"/>
                <w:highlight w:val="none"/>
              </w:rPr>
            </w:pPr>
          </w:p>
        </w:tc>
        <w:tc>
          <w:tcPr>
            <w:tcW w:w="1368" w:type="dxa"/>
            <w:noWrap w:val="0"/>
            <w:vAlign w:val="top"/>
          </w:tcPr>
          <w:p w14:paraId="0BC21448">
            <w:pPr>
              <w:pStyle w:val="17"/>
              <w:spacing w:before="37" w:line="220" w:lineRule="auto"/>
              <w:ind w:left="121"/>
              <w:rPr>
                <w:color w:val="auto"/>
                <w:highlight w:val="none"/>
              </w:rPr>
            </w:pPr>
            <w:r>
              <w:rPr>
                <w:b/>
                <w:bCs/>
                <w:color w:val="auto"/>
                <w:spacing w:val="-7"/>
                <w:highlight w:val="none"/>
              </w:rPr>
              <w:t>营业收入</w:t>
            </w:r>
          </w:p>
        </w:tc>
        <w:tc>
          <w:tcPr>
            <w:tcW w:w="709" w:type="dxa"/>
            <w:noWrap w:val="0"/>
            <w:vAlign w:val="top"/>
          </w:tcPr>
          <w:p w14:paraId="36BE47E8">
            <w:pPr>
              <w:pStyle w:val="17"/>
              <w:spacing w:before="44" w:line="221" w:lineRule="auto"/>
              <w:ind w:left="119"/>
              <w:rPr>
                <w:color w:val="auto"/>
                <w:highlight w:val="none"/>
              </w:rPr>
            </w:pPr>
            <w:r>
              <w:rPr>
                <w:b/>
                <w:bCs/>
                <w:color w:val="auto"/>
                <w:spacing w:val="-11"/>
                <w:highlight w:val="none"/>
              </w:rPr>
              <w:t>万元</w:t>
            </w:r>
          </w:p>
        </w:tc>
        <w:tc>
          <w:tcPr>
            <w:tcW w:w="1124" w:type="dxa"/>
            <w:noWrap w:val="0"/>
            <w:vAlign w:val="top"/>
          </w:tcPr>
          <w:p w14:paraId="4EC99A25">
            <w:pPr>
              <w:pStyle w:val="17"/>
              <w:spacing w:before="37" w:line="238" w:lineRule="auto"/>
              <w:ind w:left="111"/>
              <w:rPr>
                <w:color w:val="auto"/>
                <w:highlight w:val="none"/>
              </w:rPr>
            </w:pPr>
            <w:r>
              <w:rPr>
                <w:b/>
                <w:bCs/>
                <w:color w:val="auto"/>
                <w:spacing w:val="-6"/>
                <w:highlight w:val="none"/>
              </w:rPr>
              <w:t>Y≥</w:t>
            </w:r>
          </w:p>
        </w:tc>
        <w:tc>
          <w:tcPr>
            <w:tcW w:w="1700" w:type="dxa"/>
            <w:noWrap w:val="0"/>
            <w:vAlign w:val="top"/>
          </w:tcPr>
          <w:p w14:paraId="74233445">
            <w:pPr>
              <w:pStyle w:val="17"/>
              <w:spacing w:before="37" w:line="237" w:lineRule="auto"/>
              <w:ind w:left="117"/>
              <w:rPr>
                <w:color w:val="auto"/>
                <w:highlight w:val="none"/>
              </w:rPr>
            </w:pPr>
            <w:r>
              <w:rPr>
                <w:b/>
                <w:bCs/>
                <w:color w:val="auto"/>
                <w:spacing w:val="9"/>
                <w:highlight w:val="none"/>
              </w:rPr>
              <w:t>2000≤Y&lt;</w:t>
            </w:r>
          </w:p>
        </w:tc>
        <w:tc>
          <w:tcPr>
            <w:tcW w:w="1425" w:type="dxa"/>
            <w:noWrap w:val="0"/>
            <w:vAlign w:val="top"/>
          </w:tcPr>
          <w:p w14:paraId="381E6E4F">
            <w:pPr>
              <w:pStyle w:val="17"/>
              <w:spacing w:before="37" w:line="237" w:lineRule="auto"/>
              <w:ind w:left="253"/>
              <w:rPr>
                <w:color w:val="auto"/>
                <w:highlight w:val="none"/>
              </w:rPr>
            </w:pPr>
            <w:r>
              <w:rPr>
                <w:b/>
                <w:bCs/>
                <w:color w:val="auto"/>
                <w:spacing w:val="8"/>
                <w:highlight w:val="none"/>
              </w:rPr>
              <w:t>100≤Y&lt;</w:t>
            </w:r>
          </w:p>
        </w:tc>
        <w:tc>
          <w:tcPr>
            <w:tcW w:w="996" w:type="dxa"/>
            <w:noWrap w:val="0"/>
            <w:vAlign w:val="top"/>
          </w:tcPr>
          <w:p w14:paraId="2B997903">
            <w:pPr>
              <w:pStyle w:val="17"/>
              <w:spacing w:before="45"/>
              <w:ind w:left="112"/>
              <w:rPr>
                <w:color w:val="auto"/>
                <w:highlight w:val="none"/>
              </w:rPr>
            </w:pPr>
            <w:r>
              <w:rPr>
                <w:b/>
                <w:bCs/>
                <w:color w:val="auto"/>
                <w:spacing w:val="-3"/>
                <w:highlight w:val="none"/>
              </w:rPr>
              <w:t>Y＜100</w:t>
            </w:r>
          </w:p>
        </w:tc>
      </w:tr>
      <w:tr w14:paraId="274EF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117" w:type="dxa"/>
            <w:vMerge w:val="restart"/>
            <w:tcBorders>
              <w:bottom w:val="nil"/>
            </w:tcBorders>
            <w:noWrap w:val="0"/>
            <w:vAlign w:val="top"/>
          </w:tcPr>
          <w:p w14:paraId="3E29F822">
            <w:pPr>
              <w:pStyle w:val="17"/>
              <w:spacing w:before="244" w:line="220" w:lineRule="auto"/>
              <w:ind w:left="118"/>
              <w:rPr>
                <w:color w:val="auto"/>
                <w:highlight w:val="none"/>
              </w:rPr>
            </w:pPr>
            <w:r>
              <w:rPr>
                <w:b/>
                <w:bCs/>
                <w:color w:val="auto"/>
                <w:spacing w:val="-6"/>
                <w:highlight w:val="none"/>
              </w:rPr>
              <w:t>餐饮业</w:t>
            </w:r>
          </w:p>
        </w:tc>
        <w:tc>
          <w:tcPr>
            <w:tcW w:w="1368" w:type="dxa"/>
            <w:noWrap w:val="0"/>
            <w:vAlign w:val="top"/>
          </w:tcPr>
          <w:p w14:paraId="01ADFDAA">
            <w:pPr>
              <w:pStyle w:val="17"/>
              <w:spacing w:before="39" w:line="221" w:lineRule="auto"/>
              <w:ind w:left="116"/>
              <w:rPr>
                <w:color w:val="auto"/>
                <w:highlight w:val="none"/>
              </w:rPr>
            </w:pPr>
            <w:r>
              <w:rPr>
                <w:b/>
                <w:bCs/>
                <w:color w:val="auto"/>
                <w:spacing w:val="-5"/>
                <w:highlight w:val="none"/>
              </w:rPr>
              <w:t>从业人员</w:t>
            </w:r>
          </w:p>
        </w:tc>
        <w:tc>
          <w:tcPr>
            <w:tcW w:w="709" w:type="dxa"/>
            <w:noWrap w:val="0"/>
            <w:vAlign w:val="top"/>
          </w:tcPr>
          <w:p w14:paraId="3B3AB357">
            <w:pPr>
              <w:pStyle w:val="17"/>
              <w:spacing w:before="44" w:line="223" w:lineRule="auto"/>
              <w:ind w:left="115"/>
              <w:rPr>
                <w:color w:val="auto"/>
                <w:highlight w:val="none"/>
              </w:rPr>
            </w:pPr>
            <w:r>
              <w:rPr>
                <w:b/>
                <w:bCs/>
                <w:color w:val="auto"/>
                <w:spacing w:val="-3"/>
                <w:highlight w:val="none"/>
              </w:rPr>
              <w:t>人</w:t>
            </w:r>
          </w:p>
        </w:tc>
        <w:tc>
          <w:tcPr>
            <w:tcW w:w="1124" w:type="dxa"/>
            <w:noWrap w:val="0"/>
            <w:vAlign w:val="top"/>
          </w:tcPr>
          <w:p w14:paraId="06E66121">
            <w:pPr>
              <w:pStyle w:val="17"/>
              <w:spacing w:before="44" w:line="238" w:lineRule="auto"/>
              <w:ind w:left="112"/>
              <w:rPr>
                <w:color w:val="auto"/>
                <w:highlight w:val="none"/>
              </w:rPr>
            </w:pPr>
            <w:r>
              <w:rPr>
                <w:b/>
                <w:bCs/>
                <w:color w:val="auto"/>
                <w:spacing w:val="-4"/>
                <w:highlight w:val="none"/>
              </w:rPr>
              <w:t>X≥300</w:t>
            </w:r>
          </w:p>
        </w:tc>
        <w:tc>
          <w:tcPr>
            <w:tcW w:w="1700" w:type="dxa"/>
            <w:noWrap w:val="0"/>
            <w:vAlign w:val="top"/>
          </w:tcPr>
          <w:p w14:paraId="1304CCC8">
            <w:pPr>
              <w:pStyle w:val="17"/>
              <w:spacing w:before="44" w:line="237" w:lineRule="auto"/>
              <w:ind w:left="31"/>
              <w:rPr>
                <w:color w:val="auto"/>
                <w:highlight w:val="none"/>
              </w:rPr>
            </w:pPr>
            <w:r>
              <w:rPr>
                <w:b/>
                <w:bCs/>
                <w:color w:val="auto"/>
                <w:spacing w:val="-5"/>
                <w:highlight w:val="none"/>
              </w:rPr>
              <w:t>100≤X＜300</w:t>
            </w:r>
          </w:p>
        </w:tc>
        <w:tc>
          <w:tcPr>
            <w:tcW w:w="1425" w:type="dxa"/>
            <w:noWrap w:val="0"/>
            <w:vAlign w:val="top"/>
          </w:tcPr>
          <w:p w14:paraId="01E96BBB">
            <w:pPr>
              <w:pStyle w:val="17"/>
              <w:spacing w:before="39" w:line="237" w:lineRule="auto"/>
              <w:ind w:left="253"/>
              <w:rPr>
                <w:color w:val="auto"/>
                <w:highlight w:val="none"/>
              </w:rPr>
            </w:pPr>
            <w:r>
              <w:rPr>
                <w:b/>
                <w:bCs/>
                <w:color w:val="auto"/>
                <w:spacing w:val="11"/>
                <w:highlight w:val="none"/>
              </w:rPr>
              <w:t>10≤X&lt;</w:t>
            </w:r>
          </w:p>
        </w:tc>
        <w:tc>
          <w:tcPr>
            <w:tcW w:w="996" w:type="dxa"/>
            <w:noWrap w:val="0"/>
            <w:vAlign w:val="top"/>
          </w:tcPr>
          <w:p w14:paraId="265B8C21">
            <w:pPr>
              <w:pStyle w:val="17"/>
              <w:spacing w:before="45"/>
              <w:ind w:left="113"/>
              <w:rPr>
                <w:color w:val="auto"/>
                <w:highlight w:val="none"/>
              </w:rPr>
            </w:pPr>
            <w:r>
              <w:rPr>
                <w:b/>
                <w:bCs/>
                <w:color w:val="auto"/>
                <w:spacing w:val="-3"/>
                <w:highlight w:val="none"/>
              </w:rPr>
              <w:t>X＜10</w:t>
            </w:r>
          </w:p>
        </w:tc>
      </w:tr>
      <w:tr w14:paraId="3934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469ED99F">
            <w:pPr>
              <w:rPr>
                <w:rFonts w:ascii="Arial"/>
                <w:color w:val="auto"/>
                <w:sz w:val="21"/>
                <w:highlight w:val="none"/>
              </w:rPr>
            </w:pPr>
          </w:p>
        </w:tc>
        <w:tc>
          <w:tcPr>
            <w:tcW w:w="1368" w:type="dxa"/>
            <w:noWrap w:val="0"/>
            <w:vAlign w:val="top"/>
          </w:tcPr>
          <w:p w14:paraId="791A77EE">
            <w:pPr>
              <w:pStyle w:val="17"/>
              <w:spacing w:before="40" w:line="220" w:lineRule="auto"/>
              <w:ind w:left="121"/>
              <w:rPr>
                <w:color w:val="auto"/>
                <w:highlight w:val="none"/>
              </w:rPr>
            </w:pPr>
            <w:r>
              <w:rPr>
                <w:b/>
                <w:bCs/>
                <w:color w:val="auto"/>
                <w:spacing w:val="-7"/>
                <w:highlight w:val="none"/>
              </w:rPr>
              <w:t>营业收入</w:t>
            </w:r>
          </w:p>
        </w:tc>
        <w:tc>
          <w:tcPr>
            <w:tcW w:w="709" w:type="dxa"/>
            <w:noWrap w:val="0"/>
            <w:vAlign w:val="top"/>
          </w:tcPr>
          <w:p w14:paraId="4BABB7F5">
            <w:pPr>
              <w:pStyle w:val="17"/>
              <w:spacing w:before="46" w:line="221" w:lineRule="auto"/>
              <w:ind w:left="119"/>
              <w:rPr>
                <w:color w:val="auto"/>
                <w:highlight w:val="none"/>
              </w:rPr>
            </w:pPr>
            <w:r>
              <w:rPr>
                <w:b/>
                <w:bCs/>
                <w:color w:val="auto"/>
                <w:spacing w:val="-11"/>
                <w:highlight w:val="none"/>
              </w:rPr>
              <w:t>万元</w:t>
            </w:r>
          </w:p>
        </w:tc>
        <w:tc>
          <w:tcPr>
            <w:tcW w:w="1124" w:type="dxa"/>
            <w:noWrap w:val="0"/>
            <w:vAlign w:val="top"/>
          </w:tcPr>
          <w:p w14:paraId="2B6C8762">
            <w:pPr>
              <w:pStyle w:val="17"/>
              <w:spacing w:before="40" w:line="238" w:lineRule="auto"/>
              <w:ind w:left="111"/>
              <w:rPr>
                <w:color w:val="auto"/>
                <w:highlight w:val="none"/>
              </w:rPr>
            </w:pPr>
            <w:r>
              <w:rPr>
                <w:b/>
                <w:bCs/>
                <w:color w:val="auto"/>
                <w:spacing w:val="-6"/>
                <w:highlight w:val="none"/>
              </w:rPr>
              <w:t>Y≥</w:t>
            </w:r>
          </w:p>
        </w:tc>
        <w:tc>
          <w:tcPr>
            <w:tcW w:w="1700" w:type="dxa"/>
            <w:noWrap w:val="0"/>
            <w:vAlign w:val="top"/>
          </w:tcPr>
          <w:p w14:paraId="36A504AF">
            <w:pPr>
              <w:pStyle w:val="17"/>
              <w:spacing w:before="39" w:line="237" w:lineRule="auto"/>
              <w:ind w:left="117"/>
              <w:rPr>
                <w:color w:val="auto"/>
                <w:highlight w:val="none"/>
              </w:rPr>
            </w:pPr>
            <w:r>
              <w:rPr>
                <w:b/>
                <w:bCs/>
                <w:color w:val="auto"/>
                <w:spacing w:val="9"/>
                <w:highlight w:val="none"/>
              </w:rPr>
              <w:t>2000≤Y&lt;</w:t>
            </w:r>
          </w:p>
        </w:tc>
        <w:tc>
          <w:tcPr>
            <w:tcW w:w="1425" w:type="dxa"/>
            <w:noWrap w:val="0"/>
            <w:vAlign w:val="top"/>
          </w:tcPr>
          <w:p w14:paraId="5FFE25CA">
            <w:pPr>
              <w:pStyle w:val="17"/>
              <w:spacing w:before="39" w:line="237" w:lineRule="auto"/>
              <w:ind w:left="253"/>
              <w:rPr>
                <w:color w:val="auto"/>
                <w:highlight w:val="none"/>
              </w:rPr>
            </w:pPr>
            <w:r>
              <w:rPr>
                <w:b/>
                <w:bCs/>
                <w:color w:val="auto"/>
                <w:spacing w:val="8"/>
                <w:highlight w:val="none"/>
              </w:rPr>
              <w:t>100≤Y&lt;</w:t>
            </w:r>
          </w:p>
        </w:tc>
        <w:tc>
          <w:tcPr>
            <w:tcW w:w="996" w:type="dxa"/>
            <w:noWrap w:val="0"/>
            <w:vAlign w:val="top"/>
          </w:tcPr>
          <w:p w14:paraId="3004C9FF">
            <w:pPr>
              <w:pStyle w:val="17"/>
              <w:spacing w:before="47"/>
              <w:ind w:left="112"/>
              <w:rPr>
                <w:color w:val="auto"/>
                <w:highlight w:val="none"/>
              </w:rPr>
            </w:pPr>
            <w:r>
              <w:rPr>
                <w:b/>
                <w:bCs/>
                <w:color w:val="auto"/>
                <w:spacing w:val="-3"/>
                <w:highlight w:val="none"/>
              </w:rPr>
              <w:t>Y＜100</w:t>
            </w:r>
          </w:p>
        </w:tc>
      </w:tr>
      <w:tr w14:paraId="663DF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restart"/>
            <w:tcBorders>
              <w:bottom w:val="nil"/>
            </w:tcBorders>
            <w:noWrap w:val="0"/>
            <w:vAlign w:val="top"/>
          </w:tcPr>
          <w:p w14:paraId="45A1A766">
            <w:pPr>
              <w:pStyle w:val="17"/>
              <w:spacing w:before="245" w:line="219" w:lineRule="auto"/>
              <w:ind w:left="116"/>
              <w:rPr>
                <w:color w:val="auto"/>
                <w:highlight w:val="none"/>
              </w:rPr>
            </w:pPr>
            <w:r>
              <w:rPr>
                <w:b/>
                <w:bCs/>
                <w:color w:val="auto"/>
                <w:spacing w:val="-4"/>
                <w:highlight w:val="none"/>
              </w:rPr>
              <w:t>信息传输业*</w:t>
            </w:r>
          </w:p>
        </w:tc>
        <w:tc>
          <w:tcPr>
            <w:tcW w:w="1368" w:type="dxa"/>
            <w:noWrap w:val="0"/>
            <w:vAlign w:val="top"/>
          </w:tcPr>
          <w:p w14:paraId="78120F3C">
            <w:pPr>
              <w:pStyle w:val="17"/>
              <w:spacing w:before="41" w:line="221" w:lineRule="auto"/>
              <w:ind w:left="116"/>
              <w:rPr>
                <w:color w:val="auto"/>
                <w:highlight w:val="none"/>
              </w:rPr>
            </w:pPr>
            <w:r>
              <w:rPr>
                <w:b/>
                <w:bCs/>
                <w:color w:val="auto"/>
                <w:spacing w:val="-5"/>
                <w:highlight w:val="none"/>
              </w:rPr>
              <w:t>从业人员</w:t>
            </w:r>
          </w:p>
        </w:tc>
        <w:tc>
          <w:tcPr>
            <w:tcW w:w="709" w:type="dxa"/>
            <w:noWrap w:val="0"/>
            <w:vAlign w:val="top"/>
          </w:tcPr>
          <w:p w14:paraId="6C4433D1">
            <w:pPr>
              <w:pStyle w:val="17"/>
              <w:spacing w:before="46" w:line="223" w:lineRule="auto"/>
              <w:ind w:left="115"/>
              <w:rPr>
                <w:color w:val="auto"/>
                <w:highlight w:val="none"/>
              </w:rPr>
            </w:pPr>
            <w:r>
              <w:rPr>
                <w:b/>
                <w:bCs/>
                <w:color w:val="auto"/>
                <w:spacing w:val="-3"/>
                <w:highlight w:val="none"/>
              </w:rPr>
              <w:t>人</w:t>
            </w:r>
          </w:p>
        </w:tc>
        <w:tc>
          <w:tcPr>
            <w:tcW w:w="1124" w:type="dxa"/>
            <w:noWrap w:val="0"/>
            <w:vAlign w:val="top"/>
          </w:tcPr>
          <w:p w14:paraId="78237662">
            <w:pPr>
              <w:pStyle w:val="17"/>
              <w:spacing w:before="46" w:line="238" w:lineRule="auto"/>
              <w:ind w:left="112"/>
              <w:rPr>
                <w:color w:val="auto"/>
                <w:highlight w:val="none"/>
              </w:rPr>
            </w:pPr>
            <w:r>
              <w:rPr>
                <w:b/>
                <w:bCs/>
                <w:color w:val="auto"/>
                <w:spacing w:val="-3"/>
                <w:highlight w:val="none"/>
              </w:rPr>
              <w:t>X≥2000</w:t>
            </w:r>
          </w:p>
        </w:tc>
        <w:tc>
          <w:tcPr>
            <w:tcW w:w="1700" w:type="dxa"/>
            <w:noWrap w:val="0"/>
            <w:vAlign w:val="top"/>
          </w:tcPr>
          <w:p w14:paraId="66DC9176">
            <w:pPr>
              <w:pStyle w:val="17"/>
              <w:spacing w:before="45" w:line="237" w:lineRule="auto"/>
              <w:ind w:left="131"/>
              <w:rPr>
                <w:color w:val="auto"/>
                <w:highlight w:val="none"/>
              </w:rPr>
            </w:pPr>
            <w:r>
              <w:rPr>
                <w:b/>
                <w:bCs/>
                <w:color w:val="auto"/>
                <w:spacing w:val="-5"/>
                <w:highlight w:val="none"/>
              </w:rPr>
              <w:t>100≤X＜2000</w:t>
            </w:r>
          </w:p>
        </w:tc>
        <w:tc>
          <w:tcPr>
            <w:tcW w:w="1425" w:type="dxa"/>
            <w:noWrap w:val="0"/>
            <w:vAlign w:val="top"/>
          </w:tcPr>
          <w:p w14:paraId="3CD50D1D">
            <w:pPr>
              <w:pStyle w:val="17"/>
              <w:spacing w:before="41" w:line="237" w:lineRule="auto"/>
              <w:ind w:left="253"/>
              <w:rPr>
                <w:color w:val="auto"/>
                <w:highlight w:val="none"/>
              </w:rPr>
            </w:pPr>
            <w:r>
              <w:rPr>
                <w:b/>
                <w:bCs/>
                <w:color w:val="auto"/>
                <w:spacing w:val="11"/>
                <w:highlight w:val="none"/>
              </w:rPr>
              <w:t>10≤X&lt;</w:t>
            </w:r>
          </w:p>
        </w:tc>
        <w:tc>
          <w:tcPr>
            <w:tcW w:w="996" w:type="dxa"/>
            <w:noWrap w:val="0"/>
            <w:vAlign w:val="top"/>
          </w:tcPr>
          <w:p w14:paraId="56509CA2">
            <w:pPr>
              <w:pStyle w:val="17"/>
              <w:spacing w:before="46"/>
              <w:ind w:left="113"/>
              <w:rPr>
                <w:color w:val="auto"/>
                <w:highlight w:val="none"/>
              </w:rPr>
            </w:pPr>
            <w:r>
              <w:rPr>
                <w:b/>
                <w:bCs/>
                <w:color w:val="auto"/>
                <w:spacing w:val="-3"/>
                <w:highlight w:val="none"/>
              </w:rPr>
              <w:t>X＜10</w:t>
            </w:r>
          </w:p>
        </w:tc>
      </w:tr>
      <w:tr w14:paraId="1D121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2117" w:type="dxa"/>
            <w:vMerge w:val="continue"/>
            <w:tcBorders>
              <w:top w:val="nil"/>
            </w:tcBorders>
            <w:noWrap w:val="0"/>
            <w:vAlign w:val="top"/>
          </w:tcPr>
          <w:p w14:paraId="30F85AE0">
            <w:pPr>
              <w:rPr>
                <w:rFonts w:ascii="Arial"/>
                <w:color w:val="auto"/>
                <w:sz w:val="21"/>
                <w:highlight w:val="none"/>
              </w:rPr>
            </w:pPr>
          </w:p>
        </w:tc>
        <w:tc>
          <w:tcPr>
            <w:tcW w:w="1368" w:type="dxa"/>
            <w:noWrap w:val="0"/>
            <w:vAlign w:val="top"/>
          </w:tcPr>
          <w:p w14:paraId="7BE72AEF">
            <w:pPr>
              <w:pStyle w:val="17"/>
              <w:spacing w:before="40" w:line="220" w:lineRule="auto"/>
              <w:ind w:left="121"/>
              <w:rPr>
                <w:color w:val="auto"/>
                <w:highlight w:val="none"/>
              </w:rPr>
            </w:pPr>
            <w:r>
              <w:rPr>
                <w:b/>
                <w:bCs/>
                <w:color w:val="auto"/>
                <w:spacing w:val="-7"/>
                <w:highlight w:val="none"/>
              </w:rPr>
              <w:t>营业收入</w:t>
            </w:r>
          </w:p>
        </w:tc>
        <w:tc>
          <w:tcPr>
            <w:tcW w:w="709" w:type="dxa"/>
            <w:noWrap w:val="0"/>
            <w:vAlign w:val="top"/>
          </w:tcPr>
          <w:p w14:paraId="33BABEE8">
            <w:pPr>
              <w:pStyle w:val="17"/>
              <w:spacing w:before="47" w:line="221" w:lineRule="auto"/>
              <w:ind w:left="119"/>
              <w:rPr>
                <w:color w:val="auto"/>
                <w:highlight w:val="none"/>
              </w:rPr>
            </w:pPr>
            <w:r>
              <w:rPr>
                <w:b/>
                <w:bCs/>
                <w:color w:val="auto"/>
                <w:spacing w:val="-11"/>
                <w:highlight w:val="none"/>
              </w:rPr>
              <w:t>万元</w:t>
            </w:r>
          </w:p>
        </w:tc>
        <w:tc>
          <w:tcPr>
            <w:tcW w:w="1124" w:type="dxa"/>
            <w:noWrap w:val="0"/>
            <w:vAlign w:val="top"/>
          </w:tcPr>
          <w:p w14:paraId="4F72E39E">
            <w:pPr>
              <w:pStyle w:val="17"/>
              <w:spacing w:before="40" w:line="238" w:lineRule="auto"/>
              <w:ind w:left="111"/>
              <w:rPr>
                <w:color w:val="auto"/>
                <w:highlight w:val="none"/>
              </w:rPr>
            </w:pPr>
            <w:r>
              <w:rPr>
                <w:b/>
                <w:bCs/>
                <w:color w:val="auto"/>
                <w:spacing w:val="-6"/>
                <w:highlight w:val="none"/>
              </w:rPr>
              <w:t>Y≥</w:t>
            </w:r>
          </w:p>
        </w:tc>
        <w:tc>
          <w:tcPr>
            <w:tcW w:w="1700" w:type="dxa"/>
            <w:noWrap w:val="0"/>
            <w:vAlign w:val="top"/>
          </w:tcPr>
          <w:p w14:paraId="3E39562A">
            <w:pPr>
              <w:pStyle w:val="17"/>
              <w:spacing w:before="40" w:line="237" w:lineRule="auto"/>
              <w:ind w:left="251"/>
              <w:rPr>
                <w:color w:val="auto"/>
                <w:highlight w:val="none"/>
              </w:rPr>
            </w:pPr>
            <w:r>
              <w:rPr>
                <w:b/>
                <w:bCs/>
                <w:color w:val="auto"/>
                <w:spacing w:val="7"/>
                <w:highlight w:val="none"/>
              </w:rPr>
              <w:t>1000≤Y&lt;</w:t>
            </w:r>
          </w:p>
        </w:tc>
        <w:tc>
          <w:tcPr>
            <w:tcW w:w="1425" w:type="dxa"/>
            <w:noWrap w:val="0"/>
            <w:vAlign w:val="top"/>
          </w:tcPr>
          <w:p w14:paraId="1D401398">
            <w:pPr>
              <w:pStyle w:val="17"/>
              <w:spacing w:before="40" w:line="237" w:lineRule="auto"/>
              <w:ind w:left="253"/>
              <w:rPr>
                <w:color w:val="auto"/>
                <w:highlight w:val="none"/>
              </w:rPr>
            </w:pPr>
            <w:r>
              <w:rPr>
                <w:b/>
                <w:bCs/>
                <w:color w:val="auto"/>
                <w:spacing w:val="8"/>
                <w:highlight w:val="none"/>
              </w:rPr>
              <w:t>100≤Y&lt;</w:t>
            </w:r>
          </w:p>
        </w:tc>
        <w:tc>
          <w:tcPr>
            <w:tcW w:w="996" w:type="dxa"/>
            <w:noWrap w:val="0"/>
            <w:vAlign w:val="top"/>
          </w:tcPr>
          <w:p w14:paraId="0C2A6D5D">
            <w:pPr>
              <w:pStyle w:val="17"/>
              <w:spacing w:before="47"/>
              <w:ind w:left="112"/>
              <w:rPr>
                <w:color w:val="auto"/>
                <w:highlight w:val="none"/>
              </w:rPr>
            </w:pPr>
            <w:r>
              <w:rPr>
                <w:b/>
                <w:bCs/>
                <w:color w:val="auto"/>
                <w:spacing w:val="-3"/>
                <w:highlight w:val="none"/>
              </w:rPr>
              <w:t>Y＜100</w:t>
            </w:r>
          </w:p>
        </w:tc>
      </w:tr>
      <w:tr w14:paraId="4911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519C6A0F">
            <w:pPr>
              <w:pStyle w:val="17"/>
              <w:spacing w:before="41"/>
              <w:ind w:left="118" w:right="246"/>
              <w:rPr>
                <w:color w:val="auto"/>
                <w:highlight w:val="none"/>
              </w:rPr>
            </w:pPr>
            <w:r>
              <w:rPr>
                <w:b/>
                <w:bCs/>
                <w:color w:val="auto"/>
                <w:spacing w:val="-25"/>
                <w:highlight w:val="none"/>
              </w:rPr>
              <w:t>软件和信息技术服</w:t>
            </w:r>
            <w:r>
              <w:rPr>
                <w:b/>
                <w:bCs/>
                <w:color w:val="auto"/>
                <w:spacing w:val="-9"/>
                <w:highlight w:val="none"/>
              </w:rPr>
              <w:t>务业</w:t>
            </w:r>
          </w:p>
        </w:tc>
        <w:tc>
          <w:tcPr>
            <w:tcW w:w="1368" w:type="dxa"/>
            <w:noWrap w:val="0"/>
            <w:vAlign w:val="top"/>
          </w:tcPr>
          <w:p w14:paraId="01542E2F">
            <w:pPr>
              <w:pStyle w:val="17"/>
              <w:spacing w:before="41" w:line="218" w:lineRule="auto"/>
              <w:ind w:left="116"/>
              <w:rPr>
                <w:color w:val="auto"/>
                <w:highlight w:val="none"/>
              </w:rPr>
            </w:pPr>
            <w:r>
              <w:rPr>
                <w:b/>
                <w:bCs/>
                <w:color w:val="auto"/>
                <w:spacing w:val="-5"/>
                <w:highlight w:val="none"/>
              </w:rPr>
              <w:t>从业人员</w:t>
            </w:r>
          </w:p>
        </w:tc>
        <w:tc>
          <w:tcPr>
            <w:tcW w:w="709" w:type="dxa"/>
            <w:noWrap w:val="0"/>
            <w:vAlign w:val="top"/>
          </w:tcPr>
          <w:p w14:paraId="4A56835F">
            <w:pPr>
              <w:pStyle w:val="17"/>
              <w:spacing w:before="41" w:line="218" w:lineRule="auto"/>
              <w:ind w:left="115"/>
              <w:rPr>
                <w:color w:val="auto"/>
                <w:highlight w:val="none"/>
              </w:rPr>
            </w:pPr>
            <w:r>
              <w:rPr>
                <w:b/>
                <w:bCs/>
                <w:color w:val="auto"/>
                <w:spacing w:val="-3"/>
                <w:highlight w:val="none"/>
              </w:rPr>
              <w:t>人</w:t>
            </w:r>
          </w:p>
        </w:tc>
        <w:tc>
          <w:tcPr>
            <w:tcW w:w="1124" w:type="dxa"/>
            <w:noWrap w:val="0"/>
            <w:vAlign w:val="top"/>
          </w:tcPr>
          <w:p w14:paraId="7845F23A">
            <w:pPr>
              <w:pStyle w:val="17"/>
              <w:spacing w:before="41" w:line="218" w:lineRule="auto"/>
              <w:ind w:left="112"/>
              <w:rPr>
                <w:color w:val="auto"/>
                <w:highlight w:val="none"/>
              </w:rPr>
            </w:pPr>
            <w:r>
              <w:rPr>
                <w:b/>
                <w:bCs/>
                <w:color w:val="auto"/>
                <w:spacing w:val="-4"/>
                <w:highlight w:val="none"/>
              </w:rPr>
              <w:t>X≥300</w:t>
            </w:r>
          </w:p>
        </w:tc>
        <w:tc>
          <w:tcPr>
            <w:tcW w:w="1700" w:type="dxa"/>
            <w:noWrap w:val="0"/>
            <w:vAlign w:val="top"/>
          </w:tcPr>
          <w:p w14:paraId="3EF55E92">
            <w:pPr>
              <w:pStyle w:val="17"/>
              <w:spacing w:before="41" w:line="218" w:lineRule="auto"/>
              <w:ind w:left="31"/>
              <w:rPr>
                <w:color w:val="auto"/>
                <w:highlight w:val="none"/>
              </w:rPr>
            </w:pPr>
            <w:r>
              <w:rPr>
                <w:b/>
                <w:bCs/>
                <w:color w:val="auto"/>
                <w:spacing w:val="-5"/>
                <w:highlight w:val="none"/>
              </w:rPr>
              <w:t>100≤X＜300</w:t>
            </w:r>
          </w:p>
        </w:tc>
        <w:tc>
          <w:tcPr>
            <w:tcW w:w="1425" w:type="dxa"/>
            <w:noWrap w:val="0"/>
            <w:vAlign w:val="top"/>
          </w:tcPr>
          <w:p w14:paraId="07D4B44C">
            <w:pPr>
              <w:pStyle w:val="17"/>
              <w:spacing w:before="41" w:line="218" w:lineRule="auto"/>
              <w:ind w:left="253"/>
              <w:rPr>
                <w:color w:val="auto"/>
                <w:highlight w:val="none"/>
              </w:rPr>
            </w:pPr>
            <w:r>
              <w:rPr>
                <w:b/>
                <w:bCs/>
                <w:color w:val="auto"/>
                <w:spacing w:val="11"/>
                <w:highlight w:val="none"/>
              </w:rPr>
              <w:t>10≤X&lt;</w:t>
            </w:r>
          </w:p>
        </w:tc>
        <w:tc>
          <w:tcPr>
            <w:tcW w:w="996" w:type="dxa"/>
            <w:noWrap w:val="0"/>
            <w:vAlign w:val="top"/>
          </w:tcPr>
          <w:p w14:paraId="05B1E1B1">
            <w:pPr>
              <w:pStyle w:val="17"/>
              <w:spacing w:before="41" w:line="218" w:lineRule="auto"/>
              <w:ind w:left="113"/>
              <w:rPr>
                <w:color w:val="auto"/>
                <w:highlight w:val="none"/>
              </w:rPr>
            </w:pPr>
            <w:r>
              <w:rPr>
                <w:b/>
                <w:bCs/>
                <w:color w:val="auto"/>
                <w:spacing w:val="-3"/>
                <w:highlight w:val="none"/>
              </w:rPr>
              <w:t>X＜10</w:t>
            </w:r>
          </w:p>
        </w:tc>
      </w:tr>
      <w:tr w14:paraId="353F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0EC8D289">
            <w:pPr>
              <w:rPr>
                <w:rFonts w:ascii="Arial"/>
                <w:color w:val="auto"/>
                <w:sz w:val="21"/>
                <w:highlight w:val="none"/>
              </w:rPr>
            </w:pPr>
          </w:p>
        </w:tc>
        <w:tc>
          <w:tcPr>
            <w:tcW w:w="1368" w:type="dxa"/>
            <w:noWrap w:val="0"/>
            <w:vAlign w:val="top"/>
          </w:tcPr>
          <w:p w14:paraId="30F97C61">
            <w:pPr>
              <w:pStyle w:val="17"/>
              <w:spacing w:before="40" w:line="219" w:lineRule="auto"/>
              <w:ind w:left="121"/>
              <w:rPr>
                <w:color w:val="auto"/>
                <w:highlight w:val="none"/>
              </w:rPr>
            </w:pPr>
            <w:r>
              <w:rPr>
                <w:b/>
                <w:bCs/>
                <w:color w:val="auto"/>
                <w:spacing w:val="-7"/>
                <w:highlight w:val="none"/>
              </w:rPr>
              <w:t>营业收入</w:t>
            </w:r>
          </w:p>
        </w:tc>
        <w:tc>
          <w:tcPr>
            <w:tcW w:w="709" w:type="dxa"/>
            <w:noWrap w:val="0"/>
            <w:vAlign w:val="top"/>
          </w:tcPr>
          <w:p w14:paraId="75279553">
            <w:pPr>
              <w:pStyle w:val="17"/>
              <w:spacing w:before="40" w:line="219" w:lineRule="auto"/>
              <w:ind w:left="119"/>
              <w:rPr>
                <w:color w:val="auto"/>
                <w:highlight w:val="none"/>
              </w:rPr>
            </w:pPr>
            <w:r>
              <w:rPr>
                <w:b/>
                <w:bCs/>
                <w:color w:val="auto"/>
                <w:spacing w:val="-11"/>
                <w:highlight w:val="none"/>
              </w:rPr>
              <w:t>万元</w:t>
            </w:r>
          </w:p>
        </w:tc>
        <w:tc>
          <w:tcPr>
            <w:tcW w:w="1124" w:type="dxa"/>
            <w:noWrap w:val="0"/>
            <w:vAlign w:val="top"/>
          </w:tcPr>
          <w:p w14:paraId="4AE19B91">
            <w:pPr>
              <w:pStyle w:val="17"/>
              <w:spacing w:before="40" w:line="219" w:lineRule="auto"/>
              <w:ind w:left="111"/>
              <w:rPr>
                <w:color w:val="auto"/>
                <w:highlight w:val="none"/>
              </w:rPr>
            </w:pPr>
            <w:r>
              <w:rPr>
                <w:b/>
                <w:bCs/>
                <w:color w:val="auto"/>
                <w:spacing w:val="-6"/>
                <w:highlight w:val="none"/>
              </w:rPr>
              <w:t>Y≥</w:t>
            </w:r>
          </w:p>
        </w:tc>
        <w:tc>
          <w:tcPr>
            <w:tcW w:w="1700" w:type="dxa"/>
            <w:noWrap w:val="0"/>
            <w:vAlign w:val="top"/>
          </w:tcPr>
          <w:p w14:paraId="0E745E33">
            <w:pPr>
              <w:pStyle w:val="17"/>
              <w:spacing w:before="40" w:line="219" w:lineRule="auto"/>
              <w:ind w:left="131"/>
              <w:rPr>
                <w:color w:val="auto"/>
                <w:highlight w:val="none"/>
              </w:rPr>
            </w:pPr>
            <w:r>
              <w:rPr>
                <w:b/>
                <w:bCs/>
                <w:color w:val="auto"/>
                <w:spacing w:val="7"/>
                <w:highlight w:val="none"/>
              </w:rPr>
              <w:t>1000≤Y&lt;</w:t>
            </w:r>
          </w:p>
        </w:tc>
        <w:tc>
          <w:tcPr>
            <w:tcW w:w="1425" w:type="dxa"/>
            <w:noWrap w:val="0"/>
            <w:vAlign w:val="top"/>
          </w:tcPr>
          <w:p w14:paraId="07887EDC">
            <w:pPr>
              <w:pStyle w:val="17"/>
              <w:spacing w:before="40" w:line="219" w:lineRule="auto"/>
              <w:ind w:left="360"/>
              <w:rPr>
                <w:color w:val="auto"/>
                <w:highlight w:val="none"/>
              </w:rPr>
            </w:pPr>
            <w:r>
              <w:rPr>
                <w:b/>
                <w:bCs/>
                <w:color w:val="auto"/>
                <w:spacing w:val="13"/>
                <w:highlight w:val="none"/>
              </w:rPr>
              <w:t>50≤Y&lt;</w:t>
            </w:r>
          </w:p>
        </w:tc>
        <w:tc>
          <w:tcPr>
            <w:tcW w:w="996" w:type="dxa"/>
            <w:noWrap w:val="0"/>
            <w:vAlign w:val="top"/>
          </w:tcPr>
          <w:p w14:paraId="277743CF">
            <w:pPr>
              <w:pStyle w:val="17"/>
              <w:spacing w:before="40" w:line="219" w:lineRule="auto"/>
              <w:ind w:left="112"/>
              <w:rPr>
                <w:color w:val="auto"/>
                <w:highlight w:val="none"/>
              </w:rPr>
            </w:pPr>
            <w:r>
              <w:rPr>
                <w:b/>
                <w:bCs/>
                <w:color w:val="auto"/>
                <w:spacing w:val="-3"/>
                <w:highlight w:val="none"/>
              </w:rPr>
              <w:t>Y＜50</w:t>
            </w:r>
          </w:p>
        </w:tc>
      </w:tr>
      <w:tr w14:paraId="1041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04B1DBCF">
            <w:pPr>
              <w:pStyle w:val="17"/>
              <w:spacing w:before="189" w:line="220" w:lineRule="auto"/>
              <w:ind w:left="117"/>
              <w:rPr>
                <w:color w:val="auto"/>
                <w:highlight w:val="none"/>
              </w:rPr>
            </w:pPr>
            <w:r>
              <w:rPr>
                <w:b/>
                <w:bCs/>
                <w:color w:val="auto"/>
                <w:spacing w:val="-4"/>
                <w:highlight w:val="none"/>
              </w:rPr>
              <w:t>房地产开发经营</w:t>
            </w:r>
          </w:p>
        </w:tc>
        <w:tc>
          <w:tcPr>
            <w:tcW w:w="1368" w:type="dxa"/>
            <w:noWrap w:val="0"/>
            <w:vAlign w:val="top"/>
          </w:tcPr>
          <w:p w14:paraId="7D746A4C">
            <w:pPr>
              <w:pStyle w:val="17"/>
              <w:spacing w:before="41" w:line="218" w:lineRule="auto"/>
              <w:ind w:left="121"/>
              <w:rPr>
                <w:color w:val="auto"/>
                <w:highlight w:val="none"/>
              </w:rPr>
            </w:pPr>
            <w:r>
              <w:rPr>
                <w:b/>
                <w:bCs/>
                <w:color w:val="auto"/>
                <w:spacing w:val="-7"/>
                <w:highlight w:val="none"/>
              </w:rPr>
              <w:t>营业收入</w:t>
            </w:r>
          </w:p>
        </w:tc>
        <w:tc>
          <w:tcPr>
            <w:tcW w:w="709" w:type="dxa"/>
            <w:noWrap w:val="0"/>
            <w:vAlign w:val="top"/>
          </w:tcPr>
          <w:p w14:paraId="79825A7D">
            <w:pPr>
              <w:pStyle w:val="17"/>
              <w:spacing w:before="41" w:line="218" w:lineRule="auto"/>
              <w:ind w:left="119"/>
              <w:rPr>
                <w:color w:val="auto"/>
                <w:highlight w:val="none"/>
              </w:rPr>
            </w:pPr>
            <w:r>
              <w:rPr>
                <w:b/>
                <w:bCs/>
                <w:color w:val="auto"/>
                <w:spacing w:val="-11"/>
                <w:highlight w:val="none"/>
              </w:rPr>
              <w:t>万元</w:t>
            </w:r>
          </w:p>
        </w:tc>
        <w:tc>
          <w:tcPr>
            <w:tcW w:w="1124" w:type="dxa"/>
            <w:noWrap w:val="0"/>
            <w:vAlign w:val="top"/>
          </w:tcPr>
          <w:p w14:paraId="70C553DF">
            <w:pPr>
              <w:pStyle w:val="17"/>
              <w:spacing w:before="41" w:line="218" w:lineRule="auto"/>
              <w:ind w:left="111"/>
              <w:rPr>
                <w:color w:val="auto"/>
                <w:highlight w:val="none"/>
              </w:rPr>
            </w:pPr>
            <w:r>
              <w:rPr>
                <w:b/>
                <w:bCs/>
                <w:color w:val="auto"/>
                <w:spacing w:val="-6"/>
                <w:highlight w:val="none"/>
              </w:rPr>
              <w:t>Y≥</w:t>
            </w:r>
          </w:p>
        </w:tc>
        <w:tc>
          <w:tcPr>
            <w:tcW w:w="1700" w:type="dxa"/>
            <w:noWrap w:val="0"/>
            <w:vAlign w:val="top"/>
          </w:tcPr>
          <w:p w14:paraId="234EED43">
            <w:pPr>
              <w:pStyle w:val="17"/>
              <w:spacing w:before="41" w:line="218" w:lineRule="auto"/>
              <w:ind w:left="251"/>
              <w:rPr>
                <w:color w:val="auto"/>
                <w:highlight w:val="none"/>
              </w:rPr>
            </w:pPr>
            <w:r>
              <w:rPr>
                <w:b/>
                <w:bCs/>
                <w:color w:val="auto"/>
                <w:spacing w:val="7"/>
                <w:highlight w:val="none"/>
              </w:rPr>
              <w:t>1000≤Y&lt;</w:t>
            </w:r>
          </w:p>
        </w:tc>
        <w:tc>
          <w:tcPr>
            <w:tcW w:w="1425" w:type="dxa"/>
            <w:noWrap w:val="0"/>
            <w:vAlign w:val="top"/>
          </w:tcPr>
          <w:p w14:paraId="36DDDA0C">
            <w:pPr>
              <w:pStyle w:val="17"/>
              <w:spacing w:before="41" w:line="218" w:lineRule="auto"/>
              <w:ind w:left="253"/>
              <w:rPr>
                <w:color w:val="auto"/>
                <w:highlight w:val="none"/>
              </w:rPr>
            </w:pPr>
            <w:r>
              <w:rPr>
                <w:b/>
                <w:bCs/>
                <w:color w:val="auto"/>
                <w:spacing w:val="8"/>
                <w:highlight w:val="none"/>
              </w:rPr>
              <w:t>100≤Y&lt;</w:t>
            </w:r>
          </w:p>
        </w:tc>
        <w:tc>
          <w:tcPr>
            <w:tcW w:w="996" w:type="dxa"/>
            <w:noWrap w:val="0"/>
            <w:vAlign w:val="top"/>
          </w:tcPr>
          <w:p w14:paraId="03D7FBF6">
            <w:pPr>
              <w:pStyle w:val="17"/>
              <w:spacing w:before="41" w:line="218" w:lineRule="auto"/>
              <w:ind w:left="112"/>
              <w:rPr>
                <w:color w:val="auto"/>
                <w:highlight w:val="none"/>
              </w:rPr>
            </w:pPr>
            <w:r>
              <w:rPr>
                <w:b/>
                <w:bCs/>
                <w:color w:val="auto"/>
                <w:spacing w:val="-3"/>
                <w:highlight w:val="none"/>
              </w:rPr>
              <w:t>Y＜100</w:t>
            </w:r>
          </w:p>
        </w:tc>
      </w:tr>
      <w:tr w14:paraId="42E3E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2A6CAF48">
            <w:pPr>
              <w:rPr>
                <w:rFonts w:ascii="Arial"/>
                <w:color w:val="auto"/>
                <w:sz w:val="21"/>
                <w:highlight w:val="none"/>
              </w:rPr>
            </w:pPr>
          </w:p>
        </w:tc>
        <w:tc>
          <w:tcPr>
            <w:tcW w:w="1368" w:type="dxa"/>
            <w:noWrap w:val="0"/>
            <w:vAlign w:val="top"/>
          </w:tcPr>
          <w:p w14:paraId="54D52472">
            <w:pPr>
              <w:pStyle w:val="17"/>
              <w:spacing w:before="41" w:line="218" w:lineRule="auto"/>
              <w:ind w:left="123"/>
              <w:rPr>
                <w:color w:val="auto"/>
                <w:highlight w:val="none"/>
              </w:rPr>
            </w:pPr>
            <w:r>
              <w:rPr>
                <w:b/>
                <w:bCs/>
                <w:color w:val="auto"/>
                <w:spacing w:val="-7"/>
                <w:highlight w:val="none"/>
              </w:rPr>
              <w:t>资产总额</w:t>
            </w:r>
          </w:p>
        </w:tc>
        <w:tc>
          <w:tcPr>
            <w:tcW w:w="709" w:type="dxa"/>
            <w:noWrap w:val="0"/>
            <w:vAlign w:val="top"/>
          </w:tcPr>
          <w:p w14:paraId="2BE12E4C">
            <w:pPr>
              <w:pStyle w:val="17"/>
              <w:spacing w:before="41" w:line="218" w:lineRule="auto"/>
              <w:ind w:left="119"/>
              <w:rPr>
                <w:color w:val="auto"/>
                <w:highlight w:val="none"/>
              </w:rPr>
            </w:pPr>
            <w:r>
              <w:rPr>
                <w:b/>
                <w:bCs/>
                <w:color w:val="auto"/>
                <w:spacing w:val="-11"/>
                <w:highlight w:val="none"/>
              </w:rPr>
              <w:t>万元</w:t>
            </w:r>
          </w:p>
        </w:tc>
        <w:tc>
          <w:tcPr>
            <w:tcW w:w="1124" w:type="dxa"/>
            <w:noWrap w:val="0"/>
            <w:vAlign w:val="top"/>
          </w:tcPr>
          <w:p w14:paraId="1065754B">
            <w:pPr>
              <w:pStyle w:val="17"/>
              <w:spacing w:before="41" w:line="218" w:lineRule="auto"/>
              <w:ind w:left="114"/>
              <w:rPr>
                <w:color w:val="auto"/>
                <w:highlight w:val="none"/>
              </w:rPr>
            </w:pPr>
            <w:r>
              <w:rPr>
                <w:b/>
                <w:bCs/>
                <w:color w:val="auto"/>
                <w:spacing w:val="-7"/>
                <w:highlight w:val="none"/>
              </w:rPr>
              <w:t>Z≥</w:t>
            </w:r>
          </w:p>
        </w:tc>
        <w:tc>
          <w:tcPr>
            <w:tcW w:w="1700" w:type="dxa"/>
            <w:noWrap w:val="0"/>
            <w:vAlign w:val="top"/>
          </w:tcPr>
          <w:p w14:paraId="3E1A07B9">
            <w:pPr>
              <w:pStyle w:val="17"/>
              <w:spacing w:before="41" w:line="218" w:lineRule="auto"/>
              <w:ind w:left="118"/>
              <w:rPr>
                <w:color w:val="auto"/>
                <w:highlight w:val="none"/>
              </w:rPr>
            </w:pPr>
            <w:r>
              <w:rPr>
                <w:b/>
                <w:bCs/>
                <w:color w:val="auto"/>
                <w:spacing w:val="9"/>
                <w:highlight w:val="none"/>
              </w:rPr>
              <w:t>5000≤Z&lt;</w:t>
            </w:r>
          </w:p>
        </w:tc>
        <w:tc>
          <w:tcPr>
            <w:tcW w:w="1425" w:type="dxa"/>
            <w:noWrap w:val="0"/>
            <w:vAlign w:val="top"/>
          </w:tcPr>
          <w:p w14:paraId="4D3077C0">
            <w:pPr>
              <w:pStyle w:val="17"/>
              <w:spacing w:before="41" w:line="218" w:lineRule="auto"/>
              <w:ind w:left="118"/>
              <w:rPr>
                <w:color w:val="auto"/>
                <w:highlight w:val="none"/>
              </w:rPr>
            </w:pPr>
            <w:r>
              <w:rPr>
                <w:b/>
                <w:bCs/>
                <w:color w:val="auto"/>
                <w:spacing w:val="9"/>
                <w:highlight w:val="none"/>
              </w:rPr>
              <w:t>2000≤Z&lt;</w:t>
            </w:r>
          </w:p>
        </w:tc>
        <w:tc>
          <w:tcPr>
            <w:tcW w:w="996" w:type="dxa"/>
            <w:noWrap w:val="0"/>
            <w:vAlign w:val="top"/>
          </w:tcPr>
          <w:p w14:paraId="6F9E7447">
            <w:pPr>
              <w:pStyle w:val="17"/>
              <w:spacing w:before="41" w:line="218" w:lineRule="auto"/>
              <w:ind w:left="115"/>
              <w:rPr>
                <w:color w:val="auto"/>
                <w:highlight w:val="none"/>
              </w:rPr>
            </w:pPr>
            <w:r>
              <w:rPr>
                <w:b/>
                <w:bCs/>
                <w:color w:val="auto"/>
                <w:spacing w:val="23"/>
                <w:w w:val="113"/>
                <w:highlight w:val="none"/>
              </w:rPr>
              <w:t>Z&lt;</w:t>
            </w:r>
          </w:p>
        </w:tc>
      </w:tr>
      <w:tr w14:paraId="0DA0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221AF2FF">
            <w:pPr>
              <w:pStyle w:val="17"/>
              <w:spacing w:before="189" w:line="220" w:lineRule="auto"/>
              <w:ind w:left="116"/>
              <w:rPr>
                <w:color w:val="auto"/>
                <w:highlight w:val="none"/>
              </w:rPr>
            </w:pPr>
            <w:r>
              <w:rPr>
                <w:b/>
                <w:bCs/>
                <w:color w:val="auto"/>
                <w:spacing w:val="-5"/>
                <w:highlight w:val="none"/>
              </w:rPr>
              <w:t>物业管理</w:t>
            </w:r>
          </w:p>
        </w:tc>
        <w:tc>
          <w:tcPr>
            <w:tcW w:w="1368" w:type="dxa"/>
            <w:noWrap w:val="0"/>
            <w:vAlign w:val="top"/>
          </w:tcPr>
          <w:p w14:paraId="4ACFA8AC">
            <w:pPr>
              <w:pStyle w:val="17"/>
              <w:spacing w:before="40" w:line="219" w:lineRule="auto"/>
              <w:ind w:left="116"/>
              <w:rPr>
                <w:color w:val="auto"/>
                <w:highlight w:val="none"/>
              </w:rPr>
            </w:pPr>
            <w:r>
              <w:rPr>
                <w:b/>
                <w:bCs/>
                <w:color w:val="auto"/>
                <w:spacing w:val="-5"/>
                <w:highlight w:val="none"/>
              </w:rPr>
              <w:t>从业人员</w:t>
            </w:r>
          </w:p>
        </w:tc>
        <w:tc>
          <w:tcPr>
            <w:tcW w:w="709" w:type="dxa"/>
            <w:noWrap w:val="0"/>
            <w:vAlign w:val="top"/>
          </w:tcPr>
          <w:p w14:paraId="2B0A9D70">
            <w:pPr>
              <w:pStyle w:val="17"/>
              <w:spacing w:before="40" w:line="219" w:lineRule="auto"/>
              <w:ind w:left="115"/>
              <w:rPr>
                <w:color w:val="auto"/>
                <w:highlight w:val="none"/>
              </w:rPr>
            </w:pPr>
            <w:r>
              <w:rPr>
                <w:b/>
                <w:bCs/>
                <w:color w:val="auto"/>
                <w:spacing w:val="-3"/>
                <w:highlight w:val="none"/>
              </w:rPr>
              <w:t>人</w:t>
            </w:r>
          </w:p>
        </w:tc>
        <w:tc>
          <w:tcPr>
            <w:tcW w:w="1124" w:type="dxa"/>
            <w:noWrap w:val="0"/>
            <w:vAlign w:val="top"/>
          </w:tcPr>
          <w:p w14:paraId="155F14AA">
            <w:pPr>
              <w:pStyle w:val="17"/>
              <w:spacing w:before="40" w:line="219" w:lineRule="auto"/>
              <w:ind w:left="112"/>
              <w:rPr>
                <w:color w:val="auto"/>
                <w:highlight w:val="none"/>
              </w:rPr>
            </w:pPr>
            <w:r>
              <w:rPr>
                <w:b/>
                <w:bCs/>
                <w:color w:val="auto"/>
                <w:spacing w:val="-3"/>
                <w:highlight w:val="none"/>
              </w:rPr>
              <w:t>X≥1000</w:t>
            </w:r>
          </w:p>
        </w:tc>
        <w:tc>
          <w:tcPr>
            <w:tcW w:w="1700" w:type="dxa"/>
            <w:noWrap w:val="0"/>
            <w:vAlign w:val="top"/>
          </w:tcPr>
          <w:p w14:paraId="5378454E">
            <w:pPr>
              <w:pStyle w:val="17"/>
              <w:spacing w:before="40" w:line="219" w:lineRule="auto"/>
              <w:ind w:left="118"/>
              <w:rPr>
                <w:color w:val="auto"/>
                <w:highlight w:val="none"/>
              </w:rPr>
            </w:pPr>
            <w:r>
              <w:rPr>
                <w:b/>
                <w:bCs/>
                <w:color w:val="auto"/>
                <w:spacing w:val="-3"/>
                <w:highlight w:val="none"/>
              </w:rPr>
              <w:t>300≤X＜1000</w:t>
            </w:r>
          </w:p>
        </w:tc>
        <w:tc>
          <w:tcPr>
            <w:tcW w:w="1425" w:type="dxa"/>
            <w:noWrap w:val="0"/>
            <w:vAlign w:val="top"/>
          </w:tcPr>
          <w:p w14:paraId="7576F6E7">
            <w:pPr>
              <w:pStyle w:val="17"/>
              <w:spacing w:before="40" w:line="219" w:lineRule="auto"/>
              <w:ind w:left="133"/>
              <w:rPr>
                <w:color w:val="auto"/>
                <w:highlight w:val="none"/>
              </w:rPr>
            </w:pPr>
            <w:r>
              <w:rPr>
                <w:b/>
                <w:bCs/>
                <w:color w:val="auto"/>
                <w:spacing w:val="8"/>
                <w:highlight w:val="none"/>
              </w:rPr>
              <w:t>100≤X&lt;</w:t>
            </w:r>
          </w:p>
        </w:tc>
        <w:tc>
          <w:tcPr>
            <w:tcW w:w="996" w:type="dxa"/>
            <w:noWrap w:val="0"/>
            <w:vAlign w:val="top"/>
          </w:tcPr>
          <w:p w14:paraId="37A0C7FA">
            <w:pPr>
              <w:pStyle w:val="17"/>
              <w:spacing w:before="40" w:line="219" w:lineRule="auto"/>
              <w:ind w:left="113"/>
              <w:rPr>
                <w:color w:val="auto"/>
                <w:highlight w:val="none"/>
              </w:rPr>
            </w:pPr>
            <w:r>
              <w:rPr>
                <w:b/>
                <w:bCs/>
                <w:color w:val="auto"/>
                <w:spacing w:val="-3"/>
                <w:highlight w:val="none"/>
              </w:rPr>
              <w:t>X＜100</w:t>
            </w:r>
          </w:p>
        </w:tc>
      </w:tr>
      <w:tr w14:paraId="76C5E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1DA1FBD7">
            <w:pPr>
              <w:rPr>
                <w:rFonts w:ascii="Arial"/>
                <w:color w:val="auto"/>
                <w:sz w:val="21"/>
                <w:highlight w:val="none"/>
              </w:rPr>
            </w:pPr>
          </w:p>
        </w:tc>
        <w:tc>
          <w:tcPr>
            <w:tcW w:w="1368" w:type="dxa"/>
            <w:noWrap w:val="0"/>
            <w:vAlign w:val="top"/>
          </w:tcPr>
          <w:p w14:paraId="027842D7">
            <w:pPr>
              <w:pStyle w:val="17"/>
              <w:spacing w:before="41" w:line="218" w:lineRule="auto"/>
              <w:ind w:left="121"/>
              <w:rPr>
                <w:color w:val="auto"/>
                <w:highlight w:val="none"/>
              </w:rPr>
            </w:pPr>
            <w:r>
              <w:rPr>
                <w:b/>
                <w:bCs/>
                <w:color w:val="auto"/>
                <w:spacing w:val="-7"/>
                <w:highlight w:val="none"/>
              </w:rPr>
              <w:t>营业收入</w:t>
            </w:r>
          </w:p>
        </w:tc>
        <w:tc>
          <w:tcPr>
            <w:tcW w:w="709" w:type="dxa"/>
            <w:noWrap w:val="0"/>
            <w:vAlign w:val="top"/>
          </w:tcPr>
          <w:p w14:paraId="2B1DDC39">
            <w:pPr>
              <w:pStyle w:val="17"/>
              <w:spacing w:before="41" w:line="218" w:lineRule="auto"/>
              <w:ind w:left="119"/>
              <w:rPr>
                <w:color w:val="auto"/>
                <w:highlight w:val="none"/>
              </w:rPr>
            </w:pPr>
            <w:r>
              <w:rPr>
                <w:b/>
                <w:bCs/>
                <w:color w:val="auto"/>
                <w:spacing w:val="-11"/>
                <w:highlight w:val="none"/>
              </w:rPr>
              <w:t>万元</w:t>
            </w:r>
          </w:p>
        </w:tc>
        <w:tc>
          <w:tcPr>
            <w:tcW w:w="1124" w:type="dxa"/>
            <w:noWrap w:val="0"/>
            <w:vAlign w:val="top"/>
          </w:tcPr>
          <w:p w14:paraId="502CB28F">
            <w:pPr>
              <w:pStyle w:val="17"/>
              <w:spacing w:before="41" w:line="218" w:lineRule="auto"/>
              <w:ind w:left="111"/>
              <w:rPr>
                <w:color w:val="auto"/>
                <w:highlight w:val="none"/>
              </w:rPr>
            </w:pPr>
            <w:r>
              <w:rPr>
                <w:b/>
                <w:bCs/>
                <w:color w:val="auto"/>
                <w:spacing w:val="-3"/>
                <w:highlight w:val="none"/>
              </w:rPr>
              <w:t>Y≥5000</w:t>
            </w:r>
          </w:p>
        </w:tc>
        <w:tc>
          <w:tcPr>
            <w:tcW w:w="1700" w:type="dxa"/>
            <w:noWrap w:val="0"/>
            <w:vAlign w:val="top"/>
          </w:tcPr>
          <w:p w14:paraId="05A1A3A2">
            <w:pPr>
              <w:pStyle w:val="17"/>
              <w:spacing w:before="41" w:line="218" w:lineRule="auto"/>
              <w:ind w:left="31"/>
              <w:rPr>
                <w:color w:val="auto"/>
                <w:highlight w:val="none"/>
              </w:rPr>
            </w:pPr>
            <w:r>
              <w:rPr>
                <w:b/>
                <w:bCs/>
                <w:color w:val="auto"/>
                <w:spacing w:val="-5"/>
                <w:highlight w:val="none"/>
              </w:rPr>
              <w:t>1000≤Y＜5000</w:t>
            </w:r>
          </w:p>
        </w:tc>
        <w:tc>
          <w:tcPr>
            <w:tcW w:w="1425" w:type="dxa"/>
            <w:noWrap w:val="0"/>
            <w:vAlign w:val="top"/>
          </w:tcPr>
          <w:p w14:paraId="232773F1">
            <w:pPr>
              <w:pStyle w:val="17"/>
              <w:spacing w:before="41" w:line="218" w:lineRule="auto"/>
              <w:ind w:left="240"/>
              <w:rPr>
                <w:color w:val="auto"/>
                <w:highlight w:val="none"/>
              </w:rPr>
            </w:pPr>
            <w:r>
              <w:rPr>
                <w:b/>
                <w:bCs/>
                <w:color w:val="auto"/>
                <w:spacing w:val="11"/>
                <w:highlight w:val="none"/>
              </w:rPr>
              <w:t>500≤Y&lt;</w:t>
            </w:r>
          </w:p>
        </w:tc>
        <w:tc>
          <w:tcPr>
            <w:tcW w:w="996" w:type="dxa"/>
            <w:noWrap w:val="0"/>
            <w:vAlign w:val="top"/>
          </w:tcPr>
          <w:p w14:paraId="7B07E47B">
            <w:pPr>
              <w:pStyle w:val="17"/>
              <w:spacing w:before="41" w:line="218" w:lineRule="auto"/>
              <w:ind w:left="112"/>
              <w:rPr>
                <w:color w:val="auto"/>
                <w:highlight w:val="none"/>
              </w:rPr>
            </w:pPr>
            <w:r>
              <w:rPr>
                <w:b/>
                <w:bCs/>
                <w:color w:val="auto"/>
                <w:spacing w:val="-3"/>
                <w:highlight w:val="none"/>
              </w:rPr>
              <w:t>Y＜500</w:t>
            </w:r>
          </w:p>
        </w:tc>
      </w:tr>
      <w:tr w14:paraId="41B4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restart"/>
            <w:tcBorders>
              <w:bottom w:val="nil"/>
            </w:tcBorders>
            <w:noWrap w:val="0"/>
            <w:vAlign w:val="top"/>
          </w:tcPr>
          <w:p w14:paraId="03A597E7">
            <w:pPr>
              <w:pStyle w:val="17"/>
              <w:spacing w:before="41"/>
              <w:ind w:left="115" w:right="320" w:firstLine="2"/>
              <w:rPr>
                <w:color w:val="auto"/>
                <w:highlight w:val="none"/>
              </w:rPr>
            </w:pPr>
            <w:r>
              <w:rPr>
                <w:b/>
                <w:bCs/>
                <w:color w:val="auto"/>
                <w:spacing w:val="-4"/>
                <w:highlight w:val="none"/>
              </w:rPr>
              <w:t>租赁和商务服务</w:t>
            </w:r>
            <w:r>
              <w:rPr>
                <w:b/>
                <w:bCs/>
                <w:color w:val="auto"/>
                <w:spacing w:val="-3"/>
                <w:highlight w:val="none"/>
              </w:rPr>
              <w:t>业</w:t>
            </w:r>
          </w:p>
        </w:tc>
        <w:tc>
          <w:tcPr>
            <w:tcW w:w="1368" w:type="dxa"/>
            <w:noWrap w:val="0"/>
            <w:vAlign w:val="top"/>
          </w:tcPr>
          <w:p w14:paraId="3C3675C8">
            <w:pPr>
              <w:pStyle w:val="17"/>
              <w:spacing w:before="41" w:line="218" w:lineRule="auto"/>
              <w:ind w:left="116"/>
              <w:rPr>
                <w:color w:val="auto"/>
                <w:highlight w:val="none"/>
              </w:rPr>
            </w:pPr>
            <w:r>
              <w:rPr>
                <w:b/>
                <w:bCs/>
                <w:color w:val="auto"/>
                <w:spacing w:val="-5"/>
                <w:highlight w:val="none"/>
              </w:rPr>
              <w:t>从业人员</w:t>
            </w:r>
          </w:p>
        </w:tc>
        <w:tc>
          <w:tcPr>
            <w:tcW w:w="709" w:type="dxa"/>
            <w:noWrap w:val="0"/>
            <w:vAlign w:val="top"/>
          </w:tcPr>
          <w:p w14:paraId="1F8F2500">
            <w:pPr>
              <w:pStyle w:val="17"/>
              <w:spacing w:before="41" w:line="218" w:lineRule="auto"/>
              <w:ind w:left="115"/>
              <w:rPr>
                <w:color w:val="auto"/>
                <w:highlight w:val="none"/>
              </w:rPr>
            </w:pPr>
            <w:r>
              <w:rPr>
                <w:b/>
                <w:bCs/>
                <w:color w:val="auto"/>
                <w:spacing w:val="-3"/>
                <w:highlight w:val="none"/>
              </w:rPr>
              <w:t>人</w:t>
            </w:r>
          </w:p>
        </w:tc>
        <w:tc>
          <w:tcPr>
            <w:tcW w:w="1124" w:type="dxa"/>
            <w:noWrap w:val="0"/>
            <w:vAlign w:val="top"/>
          </w:tcPr>
          <w:p w14:paraId="047396F6">
            <w:pPr>
              <w:pStyle w:val="17"/>
              <w:spacing w:before="41" w:line="218" w:lineRule="auto"/>
              <w:ind w:left="112"/>
              <w:rPr>
                <w:color w:val="auto"/>
                <w:highlight w:val="none"/>
              </w:rPr>
            </w:pPr>
            <w:r>
              <w:rPr>
                <w:b/>
                <w:bCs/>
                <w:color w:val="auto"/>
                <w:spacing w:val="-4"/>
                <w:highlight w:val="none"/>
              </w:rPr>
              <w:t>X≥300</w:t>
            </w:r>
          </w:p>
        </w:tc>
        <w:tc>
          <w:tcPr>
            <w:tcW w:w="1700" w:type="dxa"/>
            <w:noWrap w:val="0"/>
            <w:vAlign w:val="top"/>
          </w:tcPr>
          <w:p w14:paraId="577DA1F8">
            <w:pPr>
              <w:pStyle w:val="17"/>
              <w:spacing w:before="41" w:line="218" w:lineRule="auto"/>
              <w:ind w:left="31"/>
              <w:rPr>
                <w:color w:val="auto"/>
                <w:highlight w:val="none"/>
              </w:rPr>
            </w:pPr>
            <w:r>
              <w:rPr>
                <w:b/>
                <w:bCs/>
                <w:color w:val="auto"/>
                <w:spacing w:val="-5"/>
                <w:highlight w:val="none"/>
              </w:rPr>
              <w:t>100≤X＜300</w:t>
            </w:r>
          </w:p>
        </w:tc>
        <w:tc>
          <w:tcPr>
            <w:tcW w:w="1425" w:type="dxa"/>
            <w:noWrap w:val="0"/>
            <w:vAlign w:val="top"/>
          </w:tcPr>
          <w:p w14:paraId="4764816F">
            <w:pPr>
              <w:pStyle w:val="17"/>
              <w:spacing w:before="41" w:line="218" w:lineRule="auto"/>
              <w:ind w:left="253"/>
              <w:rPr>
                <w:color w:val="auto"/>
                <w:highlight w:val="none"/>
              </w:rPr>
            </w:pPr>
            <w:r>
              <w:rPr>
                <w:b/>
                <w:bCs/>
                <w:color w:val="auto"/>
                <w:spacing w:val="11"/>
                <w:highlight w:val="none"/>
              </w:rPr>
              <w:t>10≤X&lt;</w:t>
            </w:r>
          </w:p>
        </w:tc>
        <w:tc>
          <w:tcPr>
            <w:tcW w:w="996" w:type="dxa"/>
            <w:noWrap w:val="0"/>
            <w:vAlign w:val="top"/>
          </w:tcPr>
          <w:p w14:paraId="22C75AEB">
            <w:pPr>
              <w:pStyle w:val="17"/>
              <w:spacing w:before="41" w:line="218" w:lineRule="auto"/>
              <w:ind w:left="113"/>
              <w:rPr>
                <w:color w:val="auto"/>
                <w:highlight w:val="none"/>
              </w:rPr>
            </w:pPr>
            <w:r>
              <w:rPr>
                <w:b/>
                <w:bCs/>
                <w:color w:val="auto"/>
                <w:spacing w:val="-3"/>
                <w:highlight w:val="none"/>
              </w:rPr>
              <w:t>X＜10</w:t>
            </w:r>
          </w:p>
        </w:tc>
      </w:tr>
      <w:tr w14:paraId="07534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117" w:type="dxa"/>
            <w:vMerge w:val="continue"/>
            <w:tcBorders>
              <w:top w:val="nil"/>
            </w:tcBorders>
            <w:noWrap w:val="0"/>
            <w:vAlign w:val="top"/>
          </w:tcPr>
          <w:p w14:paraId="64A340A5">
            <w:pPr>
              <w:rPr>
                <w:rFonts w:ascii="Arial"/>
                <w:color w:val="auto"/>
                <w:sz w:val="21"/>
                <w:highlight w:val="none"/>
              </w:rPr>
            </w:pPr>
          </w:p>
        </w:tc>
        <w:tc>
          <w:tcPr>
            <w:tcW w:w="1368" w:type="dxa"/>
            <w:noWrap w:val="0"/>
            <w:vAlign w:val="top"/>
          </w:tcPr>
          <w:p w14:paraId="548FA2B2">
            <w:pPr>
              <w:pStyle w:val="17"/>
              <w:spacing w:before="40" w:line="219" w:lineRule="auto"/>
              <w:ind w:left="123"/>
              <w:rPr>
                <w:color w:val="auto"/>
                <w:highlight w:val="none"/>
              </w:rPr>
            </w:pPr>
            <w:r>
              <w:rPr>
                <w:b/>
                <w:bCs/>
                <w:color w:val="auto"/>
                <w:spacing w:val="-7"/>
                <w:highlight w:val="none"/>
              </w:rPr>
              <w:t>资产总额</w:t>
            </w:r>
          </w:p>
        </w:tc>
        <w:tc>
          <w:tcPr>
            <w:tcW w:w="709" w:type="dxa"/>
            <w:noWrap w:val="0"/>
            <w:vAlign w:val="top"/>
          </w:tcPr>
          <w:p w14:paraId="0F07B922">
            <w:pPr>
              <w:pStyle w:val="17"/>
              <w:spacing w:before="40" w:line="219" w:lineRule="auto"/>
              <w:ind w:left="119"/>
              <w:rPr>
                <w:color w:val="auto"/>
                <w:highlight w:val="none"/>
              </w:rPr>
            </w:pPr>
            <w:r>
              <w:rPr>
                <w:b/>
                <w:bCs/>
                <w:color w:val="auto"/>
                <w:spacing w:val="-11"/>
                <w:highlight w:val="none"/>
              </w:rPr>
              <w:t>万元</w:t>
            </w:r>
          </w:p>
        </w:tc>
        <w:tc>
          <w:tcPr>
            <w:tcW w:w="1124" w:type="dxa"/>
            <w:noWrap w:val="0"/>
            <w:vAlign w:val="top"/>
          </w:tcPr>
          <w:p w14:paraId="5DFFD3FC">
            <w:pPr>
              <w:pStyle w:val="17"/>
              <w:spacing w:before="40" w:line="219" w:lineRule="auto"/>
              <w:ind w:left="114"/>
              <w:rPr>
                <w:color w:val="auto"/>
                <w:highlight w:val="none"/>
              </w:rPr>
            </w:pPr>
            <w:r>
              <w:rPr>
                <w:b/>
                <w:bCs/>
                <w:color w:val="auto"/>
                <w:spacing w:val="-7"/>
                <w:highlight w:val="none"/>
              </w:rPr>
              <w:t>Z≥</w:t>
            </w:r>
          </w:p>
        </w:tc>
        <w:tc>
          <w:tcPr>
            <w:tcW w:w="1700" w:type="dxa"/>
            <w:noWrap w:val="0"/>
            <w:vAlign w:val="top"/>
          </w:tcPr>
          <w:p w14:paraId="6B45EBF0">
            <w:pPr>
              <w:pStyle w:val="17"/>
              <w:spacing w:before="40" w:line="219" w:lineRule="auto"/>
              <w:ind w:left="235"/>
              <w:rPr>
                <w:color w:val="auto"/>
                <w:highlight w:val="none"/>
              </w:rPr>
            </w:pPr>
            <w:r>
              <w:rPr>
                <w:b/>
                <w:bCs/>
                <w:color w:val="auto"/>
                <w:spacing w:val="10"/>
                <w:highlight w:val="none"/>
              </w:rPr>
              <w:t>8000≤Z&lt;</w:t>
            </w:r>
          </w:p>
        </w:tc>
        <w:tc>
          <w:tcPr>
            <w:tcW w:w="1425" w:type="dxa"/>
            <w:noWrap w:val="0"/>
            <w:vAlign w:val="top"/>
          </w:tcPr>
          <w:p w14:paraId="40ECCEFF">
            <w:pPr>
              <w:pStyle w:val="17"/>
              <w:spacing w:before="40" w:line="219" w:lineRule="auto"/>
              <w:ind w:left="253"/>
              <w:rPr>
                <w:color w:val="auto"/>
                <w:highlight w:val="none"/>
              </w:rPr>
            </w:pPr>
            <w:r>
              <w:rPr>
                <w:b/>
                <w:bCs/>
                <w:color w:val="auto"/>
                <w:spacing w:val="8"/>
                <w:highlight w:val="none"/>
              </w:rPr>
              <w:t>100≤Z&lt;</w:t>
            </w:r>
          </w:p>
        </w:tc>
        <w:tc>
          <w:tcPr>
            <w:tcW w:w="996" w:type="dxa"/>
            <w:noWrap w:val="0"/>
            <w:vAlign w:val="top"/>
          </w:tcPr>
          <w:p w14:paraId="2DCBE761">
            <w:pPr>
              <w:pStyle w:val="17"/>
              <w:spacing w:before="40" w:line="219" w:lineRule="auto"/>
              <w:ind w:left="115"/>
              <w:rPr>
                <w:color w:val="auto"/>
                <w:highlight w:val="none"/>
              </w:rPr>
            </w:pPr>
            <w:r>
              <w:rPr>
                <w:b/>
                <w:bCs/>
                <w:color w:val="auto"/>
                <w:spacing w:val="-4"/>
                <w:highlight w:val="none"/>
              </w:rPr>
              <w:t>Z＜100</w:t>
            </w:r>
          </w:p>
        </w:tc>
      </w:tr>
      <w:tr w14:paraId="10F4D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2117" w:type="dxa"/>
            <w:noWrap w:val="0"/>
            <w:vAlign w:val="top"/>
          </w:tcPr>
          <w:p w14:paraId="1D71DBC8">
            <w:pPr>
              <w:pStyle w:val="17"/>
              <w:spacing w:before="225" w:line="220" w:lineRule="auto"/>
              <w:ind w:left="117"/>
              <w:rPr>
                <w:color w:val="auto"/>
                <w:highlight w:val="none"/>
              </w:rPr>
            </w:pPr>
            <w:r>
              <w:rPr>
                <w:b/>
                <w:bCs/>
                <w:color w:val="auto"/>
                <w:spacing w:val="-3"/>
                <w:highlight w:val="none"/>
              </w:rPr>
              <w:t>其他未列明行业*</w:t>
            </w:r>
          </w:p>
        </w:tc>
        <w:tc>
          <w:tcPr>
            <w:tcW w:w="1368" w:type="dxa"/>
            <w:noWrap w:val="0"/>
            <w:vAlign w:val="top"/>
          </w:tcPr>
          <w:p w14:paraId="4A636F9C">
            <w:pPr>
              <w:pStyle w:val="17"/>
              <w:spacing w:before="40" w:line="221" w:lineRule="auto"/>
              <w:ind w:left="116"/>
              <w:rPr>
                <w:color w:val="auto"/>
                <w:highlight w:val="none"/>
              </w:rPr>
            </w:pPr>
            <w:r>
              <w:rPr>
                <w:b/>
                <w:bCs/>
                <w:color w:val="auto"/>
                <w:spacing w:val="-5"/>
                <w:highlight w:val="none"/>
              </w:rPr>
              <w:t>从业人员</w:t>
            </w:r>
          </w:p>
          <w:p w14:paraId="31EDF445">
            <w:pPr>
              <w:pStyle w:val="17"/>
              <w:spacing w:before="84" w:line="223" w:lineRule="auto"/>
              <w:ind w:left="155"/>
              <w:rPr>
                <w:color w:val="auto"/>
                <w:highlight w:val="none"/>
              </w:rPr>
            </w:pPr>
            <w:r>
              <w:rPr>
                <w:b/>
                <w:bCs/>
                <w:color w:val="auto"/>
                <w:spacing w:val="-19"/>
                <w:highlight w:val="none"/>
              </w:rPr>
              <w:t>(X)</w:t>
            </w:r>
          </w:p>
        </w:tc>
        <w:tc>
          <w:tcPr>
            <w:tcW w:w="709" w:type="dxa"/>
            <w:noWrap w:val="0"/>
            <w:vAlign w:val="top"/>
          </w:tcPr>
          <w:p w14:paraId="2785F659">
            <w:pPr>
              <w:pStyle w:val="17"/>
              <w:spacing w:before="225" w:line="223" w:lineRule="auto"/>
              <w:ind w:left="115"/>
              <w:rPr>
                <w:color w:val="auto"/>
                <w:highlight w:val="none"/>
              </w:rPr>
            </w:pPr>
            <w:r>
              <w:rPr>
                <w:b/>
                <w:bCs/>
                <w:color w:val="auto"/>
                <w:spacing w:val="-3"/>
                <w:highlight w:val="none"/>
              </w:rPr>
              <w:t>人</w:t>
            </w:r>
          </w:p>
        </w:tc>
        <w:tc>
          <w:tcPr>
            <w:tcW w:w="1124" w:type="dxa"/>
            <w:noWrap w:val="0"/>
            <w:vAlign w:val="top"/>
          </w:tcPr>
          <w:p w14:paraId="31141DB0">
            <w:pPr>
              <w:pStyle w:val="17"/>
              <w:spacing w:before="225" w:line="238" w:lineRule="auto"/>
              <w:ind w:left="112"/>
              <w:rPr>
                <w:color w:val="auto"/>
                <w:highlight w:val="none"/>
              </w:rPr>
            </w:pPr>
            <w:r>
              <w:rPr>
                <w:b/>
                <w:bCs/>
                <w:color w:val="auto"/>
                <w:spacing w:val="-4"/>
                <w:highlight w:val="none"/>
              </w:rPr>
              <w:t>X≥300</w:t>
            </w:r>
          </w:p>
        </w:tc>
        <w:tc>
          <w:tcPr>
            <w:tcW w:w="1700" w:type="dxa"/>
            <w:noWrap w:val="0"/>
            <w:vAlign w:val="top"/>
          </w:tcPr>
          <w:p w14:paraId="254107D8">
            <w:pPr>
              <w:pStyle w:val="17"/>
              <w:spacing w:before="225" w:line="237" w:lineRule="auto"/>
              <w:ind w:left="31"/>
              <w:rPr>
                <w:color w:val="auto"/>
                <w:highlight w:val="none"/>
              </w:rPr>
            </w:pPr>
            <w:r>
              <w:rPr>
                <w:b/>
                <w:bCs/>
                <w:color w:val="auto"/>
                <w:spacing w:val="-5"/>
                <w:highlight w:val="none"/>
              </w:rPr>
              <w:t>100≤X＜300</w:t>
            </w:r>
          </w:p>
        </w:tc>
        <w:tc>
          <w:tcPr>
            <w:tcW w:w="1425" w:type="dxa"/>
            <w:noWrap w:val="0"/>
            <w:vAlign w:val="top"/>
          </w:tcPr>
          <w:p w14:paraId="463315BD">
            <w:pPr>
              <w:pStyle w:val="17"/>
              <w:spacing w:before="41" w:line="271" w:lineRule="auto"/>
              <w:ind w:left="133" w:right="377" w:firstLine="120"/>
              <w:rPr>
                <w:color w:val="auto"/>
                <w:highlight w:val="none"/>
              </w:rPr>
            </w:pPr>
            <w:r>
              <w:rPr>
                <w:b/>
                <w:bCs/>
                <w:color w:val="auto"/>
                <w:spacing w:val="11"/>
                <w:highlight w:val="none"/>
              </w:rPr>
              <w:t>10≤X&lt;</w:t>
            </w:r>
            <w:r>
              <w:rPr>
                <w:b/>
                <w:bCs/>
                <w:color w:val="auto"/>
                <w:spacing w:val="-11"/>
                <w:highlight w:val="none"/>
              </w:rPr>
              <w:t>100</w:t>
            </w:r>
          </w:p>
        </w:tc>
        <w:tc>
          <w:tcPr>
            <w:tcW w:w="996" w:type="dxa"/>
            <w:noWrap w:val="0"/>
            <w:vAlign w:val="top"/>
          </w:tcPr>
          <w:p w14:paraId="70FDC7F0">
            <w:pPr>
              <w:pStyle w:val="17"/>
              <w:spacing w:before="226"/>
              <w:ind w:left="113"/>
              <w:rPr>
                <w:color w:val="auto"/>
                <w:highlight w:val="none"/>
              </w:rPr>
            </w:pPr>
            <w:r>
              <w:rPr>
                <w:b/>
                <w:bCs/>
                <w:color w:val="auto"/>
                <w:spacing w:val="-3"/>
                <w:highlight w:val="none"/>
              </w:rPr>
              <w:t>X＜10</w:t>
            </w:r>
          </w:p>
        </w:tc>
      </w:tr>
    </w:tbl>
    <w:p w14:paraId="3645D7CF">
      <w:pPr>
        <w:spacing w:before="35" w:line="220" w:lineRule="auto"/>
        <w:ind w:left="1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说明：</w:t>
      </w:r>
    </w:p>
    <w:p w14:paraId="1BB69FFF">
      <w:pPr>
        <w:spacing w:before="88" w:line="254" w:lineRule="auto"/>
        <w:ind w:left="110" w:right="143" w:firstLine="52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1.大型、中型和小型企业须同时满足所列指标的下限，否则下划一</w:t>
      </w:r>
      <w:r>
        <w:rPr>
          <w:rFonts w:ascii="宋体" w:hAnsi="宋体" w:eastAsia="宋体" w:cs="宋体"/>
          <w:color w:val="auto"/>
          <w:spacing w:val="12"/>
          <w:sz w:val="24"/>
          <w:szCs w:val="24"/>
          <w:highlight w:val="none"/>
        </w:rPr>
        <w:t>档；微型企</w:t>
      </w:r>
      <w:r>
        <w:rPr>
          <w:rFonts w:ascii="宋体" w:hAnsi="宋体" w:eastAsia="宋体" w:cs="宋体"/>
          <w:color w:val="auto"/>
          <w:spacing w:val="13"/>
          <w:sz w:val="24"/>
          <w:szCs w:val="24"/>
          <w:highlight w:val="none"/>
        </w:rPr>
        <w:t>业只须满足所列指标中的一项即可。</w:t>
      </w:r>
    </w:p>
    <w:p w14:paraId="2D4A24D7">
      <w:pPr>
        <w:spacing w:before="84" w:line="280" w:lineRule="auto"/>
        <w:ind w:left="110" w:right="46" w:firstLine="45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2.附表中各行业的范围以《国民经济行业分类》（</w:t>
      </w:r>
      <w:r>
        <w:rPr>
          <w:rFonts w:ascii="宋体" w:hAnsi="宋体" w:eastAsia="宋体" w:cs="宋体"/>
          <w:color w:val="auto"/>
          <w:sz w:val="24"/>
          <w:szCs w:val="24"/>
          <w:highlight w:val="none"/>
        </w:rPr>
        <w:t>GB</w:t>
      </w:r>
      <w:r>
        <w:rPr>
          <w:rFonts w:ascii="宋体" w:hAnsi="宋体" w:eastAsia="宋体" w:cs="宋体"/>
          <w:color w:val="auto"/>
          <w:spacing w:val="11"/>
          <w:sz w:val="24"/>
          <w:szCs w:val="24"/>
          <w:highlight w:val="none"/>
        </w:rPr>
        <w:t>/T4754-2017）为准。带*</w:t>
      </w:r>
      <w:r>
        <w:rPr>
          <w:rFonts w:ascii="宋体" w:hAnsi="宋体" w:eastAsia="宋体" w:cs="宋体"/>
          <w:color w:val="auto"/>
          <w:spacing w:val="14"/>
          <w:sz w:val="24"/>
          <w:szCs w:val="24"/>
          <w:highlight w:val="none"/>
        </w:rPr>
        <w:t>的项为行业组合类别，其中，工业包括采矿业，制造业，电力、热</w:t>
      </w:r>
      <w:r>
        <w:rPr>
          <w:rFonts w:ascii="宋体" w:hAnsi="宋体" w:eastAsia="宋体" w:cs="宋体"/>
          <w:color w:val="auto"/>
          <w:spacing w:val="13"/>
          <w:sz w:val="24"/>
          <w:szCs w:val="24"/>
          <w:highlight w:val="none"/>
        </w:rPr>
        <w:t>力、燃气及水生</w:t>
      </w:r>
      <w:r>
        <w:rPr>
          <w:rFonts w:ascii="宋体" w:hAnsi="宋体" w:eastAsia="宋体" w:cs="宋体"/>
          <w:color w:val="auto"/>
          <w:spacing w:val="11"/>
          <w:sz w:val="24"/>
          <w:szCs w:val="24"/>
          <w:highlight w:val="none"/>
        </w:rPr>
        <w:t>产和供应业；交通运输业包括道路运输业，水上运输业，航空运输业，管道运输业，</w:t>
      </w:r>
      <w:r>
        <w:rPr>
          <w:rFonts w:ascii="宋体" w:hAnsi="宋体" w:eastAsia="宋体" w:cs="宋体"/>
          <w:color w:val="auto"/>
          <w:spacing w:val="15"/>
          <w:sz w:val="24"/>
          <w:szCs w:val="24"/>
          <w:highlight w:val="none"/>
        </w:rPr>
        <w:t>多式联运和运输代理业、装卸搬运，不包括铁路运输业；仓储业包括通用仓储，低</w:t>
      </w:r>
      <w:r>
        <w:rPr>
          <w:rFonts w:ascii="宋体" w:hAnsi="宋体" w:eastAsia="宋体" w:cs="宋体"/>
          <w:color w:val="auto"/>
          <w:spacing w:val="11"/>
          <w:sz w:val="24"/>
          <w:szCs w:val="24"/>
          <w:highlight w:val="none"/>
        </w:rPr>
        <w:t>温仓储，危险品仓储，谷物、棉花等农产品仓储</w:t>
      </w:r>
      <w:r>
        <w:rPr>
          <w:rFonts w:ascii="宋体" w:hAnsi="宋体" w:eastAsia="宋体" w:cs="宋体"/>
          <w:color w:val="auto"/>
          <w:spacing w:val="10"/>
          <w:sz w:val="24"/>
          <w:szCs w:val="24"/>
          <w:highlight w:val="none"/>
        </w:rPr>
        <w:t>，中药材仓储和其他仓储业;信息传</w:t>
      </w:r>
      <w:r>
        <w:rPr>
          <w:rFonts w:ascii="宋体" w:hAnsi="宋体" w:eastAsia="宋体" w:cs="宋体"/>
          <w:color w:val="auto"/>
          <w:spacing w:val="15"/>
          <w:sz w:val="24"/>
          <w:szCs w:val="24"/>
          <w:highlight w:val="none"/>
        </w:rPr>
        <w:t>输业包括电信、广播电视和卫星传输服务，互联网和相关服务；其他未列明行业包括科学研究和技术服务业，水利、环境和公共设施管理业，居民服务、修理和其他</w:t>
      </w:r>
      <w:r>
        <w:rPr>
          <w:rFonts w:ascii="宋体" w:hAnsi="宋体" w:eastAsia="宋体" w:cs="宋体"/>
          <w:color w:val="auto"/>
          <w:spacing w:val="11"/>
          <w:sz w:val="24"/>
          <w:szCs w:val="24"/>
          <w:highlight w:val="none"/>
        </w:rPr>
        <w:t>服务业，社会工作，文化、体育和娱乐业，以及房地产中介服务，其他房地产业等，</w:t>
      </w:r>
      <w:r>
        <w:rPr>
          <w:rFonts w:ascii="宋体" w:hAnsi="宋体" w:eastAsia="宋体" w:cs="宋体"/>
          <w:color w:val="auto"/>
          <w:spacing w:val="12"/>
          <w:sz w:val="24"/>
          <w:szCs w:val="24"/>
          <w:highlight w:val="none"/>
        </w:rPr>
        <w:t>不包括自有房地产经营活动。</w:t>
      </w:r>
    </w:p>
    <w:p w14:paraId="541D7C29">
      <w:pPr>
        <w:spacing w:before="85" w:line="274" w:lineRule="auto"/>
        <w:ind w:left="115" w:right="29" w:firstLine="452"/>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3.企业划分指标以现行统计制度为准。（1）从业人</w:t>
      </w:r>
      <w:r>
        <w:rPr>
          <w:rFonts w:ascii="宋体" w:hAnsi="宋体" w:eastAsia="宋体" w:cs="宋体"/>
          <w:color w:val="auto"/>
          <w:spacing w:val="11"/>
          <w:sz w:val="24"/>
          <w:szCs w:val="24"/>
          <w:highlight w:val="none"/>
        </w:rPr>
        <w:t>员，是指期末从业人员数，</w:t>
      </w:r>
      <w:r>
        <w:rPr>
          <w:rFonts w:ascii="宋体" w:hAnsi="宋体" w:eastAsia="宋体" w:cs="宋体"/>
          <w:color w:val="auto"/>
          <w:spacing w:val="8"/>
          <w:sz w:val="24"/>
          <w:szCs w:val="24"/>
          <w:highlight w:val="none"/>
        </w:rPr>
        <w:t>没有期末从业人员数的，采用全年平均人员数代替。（2）营业收入，工</w:t>
      </w:r>
      <w:r>
        <w:rPr>
          <w:rFonts w:ascii="宋体" w:hAnsi="宋体" w:eastAsia="宋体" w:cs="宋体"/>
          <w:color w:val="auto"/>
          <w:spacing w:val="7"/>
          <w:sz w:val="24"/>
          <w:szCs w:val="24"/>
          <w:highlight w:val="none"/>
        </w:rPr>
        <w:t>业、建筑业、</w:t>
      </w:r>
      <w:r>
        <w:rPr>
          <w:rFonts w:ascii="宋体" w:hAnsi="宋体" w:eastAsia="宋体" w:cs="宋体"/>
          <w:color w:val="auto"/>
          <w:spacing w:val="15"/>
          <w:sz w:val="24"/>
          <w:szCs w:val="24"/>
          <w:highlight w:val="none"/>
        </w:rPr>
        <w:t>限额以上批发和零售业、限额以上住宿和餐饮业以及其他设置主营业务收入指标的</w:t>
      </w:r>
      <w:r>
        <w:rPr>
          <w:rFonts w:ascii="宋体" w:hAnsi="宋体" w:eastAsia="宋体" w:cs="宋体"/>
          <w:color w:val="auto"/>
          <w:spacing w:val="12"/>
          <w:sz w:val="24"/>
          <w:szCs w:val="24"/>
          <w:highlight w:val="none"/>
        </w:rPr>
        <w:t>行业，采用主营业务收入；限额以下批发与零售业企业采用商品销售额</w:t>
      </w:r>
      <w:r>
        <w:rPr>
          <w:rFonts w:ascii="宋体" w:hAnsi="宋体" w:eastAsia="宋体" w:cs="宋体"/>
          <w:color w:val="auto"/>
          <w:spacing w:val="11"/>
          <w:sz w:val="24"/>
          <w:szCs w:val="24"/>
          <w:highlight w:val="none"/>
        </w:rPr>
        <w:t>代替；限额</w:t>
      </w:r>
      <w:r>
        <w:rPr>
          <w:rFonts w:ascii="宋体" w:hAnsi="宋体" w:eastAsia="宋体" w:cs="宋体"/>
          <w:color w:val="auto"/>
          <w:spacing w:val="15"/>
          <w:sz w:val="24"/>
          <w:szCs w:val="24"/>
          <w:highlight w:val="none"/>
        </w:rPr>
        <w:t>以下住宿与餐饮业企业采用营业额代替；农、林、牧、渔业企业采用营业总收入代</w:t>
      </w:r>
    </w:p>
    <w:p w14:paraId="2968E8FD">
      <w:pPr>
        <w:spacing w:line="274" w:lineRule="auto"/>
        <w:rPr>
          <w:rFonts w:ascii="宋体" w:hAnsi="宋体" w:eastAsia="宋体" w:cs="宋体"/>
          <w:color w:val="auto"/>
          <w:sz w:val="24"/>
          <w:szCs w:val="24"/>
          <w:highlight w:val="none"/>
        </w:rPr>
        <w:sectPr>
          <w:footerReference r:id="rId68" w:type="default"/>
          <w:pgSz w:w="11906" w:h="16839"/>
          <w:pgMar w:top="1418" w:right="1145" w:bottom="1209" w:left="1316" w:header="0" w:footer="973" w:gutter="0"/>
          <w:pgNumType w:fmt="decimal"/>
          <w:cols w:space="720" w:num="1"/>
        </w:sectPr>
      </w:pPr>
    </w:p>
    <w:p w14:paraId="215DE75B">
      <w:pPr>
        <w:spacing w:before="48" w:line="290" w:lineRule="auto"/>
        <w:ind w:firstLine="1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替；其他未设置主营业务收入的行业，采用营业收入指标。（3）资产总额，采</w:t>
      </w:r>
      <w:r>
        <w:rPr>
          <w:rFonts w:ascii="宋体" w:hAnsi="宋体" w:eastAsia="宋体" w:cs="宋体"/>
          <w:color w:val="auto"/>
          <w:spacing w:val="11"/>
          <w:sz w:val="24"/>
          <w:szCs w:val="24"/>
          <w:highlight w:val="none"/>
        </w:rPr>
        <w:t>用资</w:t>
      </w:r>
      <w:r>
        <w:rPr>
          <w:rFonts w:ascii="宋体" w:hAnsi="宋体" w:eastAsia="宋体" w:cs="宋体"/>
          <w:color w:val="auto"/>
          <w:spacing w:val="9"/>
          <w:sz w:val="24"/>
          <w:szCs w:val="24"/>
          <w:highlight w:val="none"/>
        </w:rPr>
        <w:t>产总计代替。</w:t>
      </w:r>
    </w:p>
    <w:p w14:paraId="73542AEF">
      <w:pPr>
        <w:pStyle w:val="13"/>
        <w:rPr>
          <w:rFonts w:hint="eastAsia"/>
          <w:color w:val="auto"/>
          <w:highlight w:val="none"/>
          <w:lang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1877">
    <w:pPr>
      <w:spacing w:line="173" w:lineRule="auto"/>
      <w:ind w:left="42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6204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76204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AED25">
    <w:pPr>
      <w:spacing w:line="226" w:lineRule="exact"/>
      <w:ind w:left="41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BFB1">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517BFB1">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7FF3">
    <w:pPr>
      <w:spacing w:line="226" w:lineRule="exact"/>
      <w:ind w:left="41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B7286">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200B7286">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971E8">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F5AFA">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269F5AFA">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2220">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A4289">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58A4289">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C071">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770E">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1F26770E">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F1002">
    <w:pPr>
      <w:spacing w:line="226" w:lineRule="exact"/>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C8D62">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0E7C8D62">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0EC74">
    <w:pPr>
      <w:pStyle w:val="2"/>
      <w:spacing w:line="14" w:lineRule="auto"/>
      <w:rPr>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19AF6">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7419AF6">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1692">
    <w:pPr>
      <w:spacing w:line="226" w:lineRule="exact"/>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23343">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08C23343">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46128">
    <w:pPr>
      <w:spacing w:line="226" w:lineRule="exact"/>
      <w:ind w:left="45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0F7FF">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BE0F7FF">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4D74">
    <w:pPr>
      <w:spacing w:line="226" w:lineRule="exact"/>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53BEA">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7E53BEA">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28C1">
    <w:pPr>
      <w:spacing w:line="226" w:lineRule="exact"/>
      <w:ind w:left="41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6708C">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1E86708C">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1EE1D">
    <w:pPr>
      <w:spacing w:line="226" w:lineRule="exact"/>
      <w:ind w:left="464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573AE">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04C573AE">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0EF89">
    <w:pPr>
      <w:spacing w:line="226" w:lineRule="exact"/>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3DABB">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25B3DABB">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C86B">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1203F">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5181203F">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F9B9">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8F4B7">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CE8F4B7">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5B748">
    <w:pPr>
      <w:spacing w:line="226" w:lineRule="exact"/>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A3BD7">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464A3BD7">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BAFF9">
    <w:pPr>
      <w:spacing w:line="226" w:lineRule="exact"/>
      <w:ind w:left="41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2FE2">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5F1A2FE2">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C760F">
    <w:pPr>
      <w:spacing w:line="226" w:lineRule="exact"/>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A843E">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7C8A843E">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5AD6">
    <w:pPr>
      <w:spacing w:line="226" w:lineRule="exact"/>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D5F13">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2DBD5F13">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66888">
    <w:pPr>
      <w:spacing w:line="226" w:lineRule="exact"/>
      <w:ind w:left="41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00116">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75200116">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EFCB2">
    <w:pPr>
      <w:spacing w:line="226" w:lineRule="exact"/>
      <w:ind w:left="41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1026">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6E0C1026">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D6AC3">
    <w:pPr>
      <w:spacing w:line="226" w:lineRule="exact"/>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E938C">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72E938C">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46EA5">
    <w:pPr>
      <w:spacing w:line="226" w:lineRule="exact"/>
      <w:ind w:left="41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E0B6">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2E44E0B6">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8F418">
    <w:pPr>
      <w:spacing w:line="226" w:lineRule="exact"/>
      <w:ind w:left="46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B63B6">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16B63B6">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6516">
    <w:pPr>
      <w:spacing w:line="226" w:lineRule="exact"/>
      <w:ind w:left="45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C8ADE">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4CC8ADE">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F5E5">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8C7BB">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1978C7BB">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B9B27">
    <w:pPr>
      <w:spacing w:line="226" w:lineRule="exact"/>
      <w:ind w:left="46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6C53B">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4126C53B">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BE57">
    <w:pPr>
      <w:spacing w:line="226" w:lineRule="exact"/>
      <w:ind w:left="45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0CF01">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700CF01">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5C034">
    <w:pPr>
      <w:spacing w:line="226" w:lineRule="exact"/>
      <w:ind w:left="45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6C033">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1636C033">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7A99">
    <w:pPr>
      <w:spacing w:line="226" w:lineRule="exact"/>
      <w:ind w:left="45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79D54">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35479D54">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E6C4">
    <w:pPr>
      <w:spacing w:line="226" w:lineRule="exact"/>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5B089">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70F5B089">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6AAE">
    <w:pPr>
      <w:spacing w:line="226" w:lineRule="exact"/>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73E70">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3173E70">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24EFF">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3EAFA">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5643EAFA">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3F3D">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353E5">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754353E5">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1A51D">
    <w:pPr>
      <w:spacing w:line="226" w:lineRule="exact"/>
      <w:ind w:left="45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41C13">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1E341C13">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C63A">
    <w:pPr>
      <w:spacing w:line="226" w:lineRule="exact"/>
      <w:ind w:left="46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54688">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29954688">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E54D">
    <w:pPr>
      <w:spacing w:line="173" w:lineRule="auto"/>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C2C11">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F5C2C11">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0097">
    <w:pPr>
      <w:spacing w:line="226" w:lineRule="exact"/>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87BE1">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5B187BE1">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5B4E1">
    <w:pPr>
      <w:spacing w:line="173" w:lineRule="auto"/>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E6D38">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46DE6D38">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8312">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AD33D">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CAD33D">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82F3C">
    <w:pPr>
      <w:spacing w:line="226" w:lineRule="exact"/>
      <w:ind w:left="41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618E4">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41D618E4">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AA17">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23844">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28623844">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D210">
    <w:pPr>
      <w:spacing w:line="226" w:lineRule="exact"/>
      <w:ind w:left="45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7C2BF">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36D7C2BF">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78EE">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660ED">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77660ED">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B2C19">
    <w:pPr>
      <w:spacing w:line="226" w:lineRule="exact"/>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9ED34">
                          <w:pPr>
                            <w:pStyle w:val="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5479ED34">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E047">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8E715">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15B8E715">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BD6A">
    <w:pPr>
      <w:spacing w:line="226" w:lineRule="exact"/>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CB3B9">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6EBCB3B9">
                    <w:pPr>
                      <w:pStyle w:val="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563A">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19DCD">
                          <w:pPr>
                            <w:pStyle w:val="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53119DCD">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3991">
    <w:pPr>
      <w:spacing w:line="226" w:lineRule="exact"/>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03C65">
                          <w:pPr>
                            <w:pStyle w:val="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5CB03C65">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E00F">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F2DC6">
                          <w:pPr>
                            <w:pStyle w:val="8"/>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512F2DC6">
                    <w:pPr>
                      <w:pStyle w:val="8"/>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2DC5">
    <w:pPr>
      <w:spacing w:line="226" w:lineRule="exact"/>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462F">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2819462F">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2BFF">
    <w:pPr>
      <w:spacing w:line="226" w:lineRule="exact"/>
      <w:ind w:left="45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EDFF6">
                          <w:pPr>
                            <w:pStyle w:val="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52AEDFF6">
                    <w:pPr>
                      <w:pStyle w:val="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BB3A">
    <w:pPr>
      <w:spacing w:line="226" w:lineRule="exact"/>
      <w:ind w:left="45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B6D13">
                          <w:pPr>
                            <w:pStyle w:val="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1F4B6D13">
                    <w:pPr>
                      <w:pStyle w:val="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279D">
    <w:pPr>
      <w:spacing w:line="226" w:lineRule="exact"/>
      <w:ind w:left="45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C229F">
                          <w:pPr>
                            <w:pStyle w:val="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6F5C229F">
                    <w:pPr>
                      <w:pStyle w:val="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0824C">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968BB">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06968BB">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9F64">
    <w:pPr>
      <w:spacing w:line="226" w:lineRule="exact"/>
      <w:ind w:left="41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E2809">
                          <w:pPr>
                            <w:pStyle w:val="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4B5E2809">
                    <w:pPr>
                      <w:pStyle w:val="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2ED0">
    <w:pPr>
      <w:spacing w:line="226" w:lineRule="exact"/>
      <w:ind w:left="45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77FC2">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77877FC2">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39253">
    <w:pPr>
      <w:spacing w:line="226" w:lineRule="exact"/>
      <w:ind w:left="45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02CFB">
                          <w:pPr>
                            <w:pStyle w:val="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43602CFB">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25665">
    <w:pPr>
      <w:spacing w:line="173" w:lineRule="auto"/>
      <w:ind w:left="46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7E008">
                          <w:pPr>
                            <w:pStyle w:val="8"/>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5367E008">
                    <w:pPr>
                      <w:pStyle w:val="8"/>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B8C1">
    <w:pPr>
      <w:spacing w:line="226" w:lineRule="exact"/>
      <w:ind w:left="46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36E94">
                          <w:pPr>
                            <w:pStyle w:val="8"/>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5E136E94">
                    <w:pPr>
                      <w:pStyle w:val="8"/>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A2F35">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A80C">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5744A80C">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83A92">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AE264">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312AE264">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AA25">
    <w:pPr>
      <w:spacing w:line="226" w:lineRule="exact"/>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19C4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7B19C47">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DC38D"/>
    <w:multiLevelType w:val="singleLevel"/>
    <w:tmpl w:val="B1BDC38D"/>
    <w:lvl w:ilvl="0" w:tentative="0">
      <w:start w:val="1"/>
      <w:numFmt w:val="decimal"/>
      <w:lvlText w:val="%1."/>
      <w:lvlJc w:val="left"/>
      <w:pPr>
        <w:tabs>
          <w:tab w:val="left" w:pos="312"/>
        </w:tabs>
      </w:pPr>
    </w:lvl>
  </w:abstractNum>
  <w:abstractNum w:abstractNumId="1">
    <w:nsid w:val="EBFE5157"/>
    <w:multiLevelType w:val="singleLevel"/>
    <w:tmpl w:val="EBFE5157"/>
    <w:lvl w:ilvl="0" w:tentative="0">
      <w:start w:val="1"/>
      <w:numFmt w:val="decimal"/>
      <w:suff w:val="nothing"/>
      <w:lvlText w:val="%1、"/>
      <w:lvlJc w:val="left"/>
    </w:lvl>
  </w:abstractNum>
  <w:abstractNum w:abstractNumId="2">
    <w:nsid w:val="0DB7731A"/>
    <w:multiLevelType w:val="singleLevel"/>
    <w:tmpl w:val="0DB7731A"/>
    <w:lvl w:ilvl="0" w:tentative="0">
      <w:start w:val="18"/>
      <w:numFmt w:val="decimal"/>
      <w:lvlText w:val="%1."/>
      <w:lvlJc w:val="left"/>
      <w:pPr>
        <w:tabs>
          <w:tab w:val="left" w:pos="312"/>
        </w:tabs>
      </w:pPr>
    </w:lvl>
  </w:abstractNum>
  <w:abstractNum w:abstractNumId="3">
    <w:nsid w:val="2A2D21BB"/>
    <w:multiLevelType w:val="singleLevel"/>
    <w:tmpl w:val="2A2D21BB"/>
    <w:lvl w:ilvl="0" w:tentative="0">
      <w:start w:val="1"/>
      <w:numFmt w:val="decimal"/>
      <w:lvlText w:val="%1."/>
      <w:lvlJc w:val="left"/>
      <w:pPr>
        <w:tabs>
          <w:tab w:val="left" w:pos="312"/>
        </w:tabs>
      </w:pPr>
    </w:lvl>
  </w:abstractNum>
  <w:abstractNum w:abstractNumId="4">
    <w:nsid w:val="4E5A0EE7"/>
    <w:multiLevelType w:val="singleLevel"/>
    <w:tmpl w:val="4E5A0EE7"/>
    <w:lvl w:ilvl="0" w:tentative="0">
      <w:start w:val="4"/>
      <w:numFmt w:val="chineseCounting"/>
      <w:suff w:val="space"/>
      <w:lvlText w:val="第%1部分"/>
      <w:lvlJc w:val="left"/>
      <w:rPr>
        <w:rFonts w:hint="eastAsia"/>
      </w:rPr>
    </w:lvl>
  </w:abstractNum>
  <w:abstractNum w:abstractNumId="5">
    <w:nsid w:val="7BAC472B"/>
    <w:multiLevelType w:val="singleLevel"/>
    <w:tmpl w:val="7BAC472B"/>
    <w:lvl w:ilvl="0" w:tentative="0">
      <w:start w:val="3"/>
      <w:numFmt w:val="chineseCounting"/>
      <w:suff w:val="nothing"/>
      <w:lvlText w:val="（%1）"/>
      <w:lvlJc w:val="left"/>
      <w:rPr>
        <w:rFonts w:hint="eastAsia"/>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F57F00E"/>
    <w:rsid w:val="000A3F74"/>
    <w:rsid w:val="012313A8"/>
    <w:rsid w:val="01657894"/>
    <w:rsid w:val="023C65CD"/>
    <w:rsid w:val="025F6CA1"/>
    <w:rsid w:val="0337515C"/>
    <w:rsid w:val="036115CE"/>
    <w:rsid w:val="040A4AA1"/>
    <w:rsid w:val="044D3EF6"/>
    <w:rsid w:val="07A44EDF"/>
    <w:rsid w:val="08B60D54"/>
    <w:rsid w:val="0A1C108A"/>
    <w:rsid w:val="0CA05D40"/>
    <w:rsid w:val="0CEA34BE"/>
    <w:rsid w:val="0F4C5227"/>
    <w:rsid w:val="10615FC6"/>
    <w:rsid w:val="10B717D9"/>
    <w:rsid w:val="117D68B3"/>
    <w:rsid w:val="11F8418B"/>
    <w:rsid w:val="13272F7A"/>
    <w:rsid w:val="1787048B"/>
    <w:rsid w:val="18D07F31"/>
    <w:rsid w:val="193C29C9"/>
    <w:rsid w:val="1BC44D7A"/>
    <w:rsid w:val="1E2353C7"/>
    <w:rsid w:val="1EFF9BCE"/>
    <w:rsid w:val="20032679"/>
    <w:rsid w:val="202A73E1"/>
    <w:rsid w:val="21CC2312"/>
    <w:rsid w:val="23C62FBD"/>
    <w:rsid w:val="262B5D36"/>
    <w:rsid w:val="263273EE"/>
    <w:rsid w:val="2762251A"/>
    <w:rsid w:val="29C54E43"/>
    <w:rsid w:val="2A133007"/>
    <w:rsid w:val="2C471CAE"/>
    <w:rsid w:val="2C7041EC"/>
    <w:rsid w:val="2E8E7EF9"/>
    <w:rsid w:val="2EE43FBD"/>
    <w:rsid w:val="2F758A5E"/>
    <w:rsid w:val="30847806"/>
    <w:rsid w:val="31C5592A"/>
    <w:rsid w:val="32A54325"/>
    <w:rsid w:val="33227CD7"/>
    <w:rsid w:val="339D03C9"/>
    <w:rsid w:val="355F9024"/>
    <w:rsid w:val="373E74E1"/>
    <w:rsid w:val="379FC153"/>
    <w:rsid w:val="37EE4D61"/>
    <w:rsid w:val="381C66E4"/>
    <w:rsid w:val="38C639A1"/>
    <w:rsid w:val="38F941BD"/>
    <w:rsid w:val="39C75357"/>
    <w:rsid w:val="3A863912"/>
    <w:rsid w:val="3B3616FD"/>
    <w:rsid w:val="3B975741"/>
    <w:rsid w:val="3BDD9689"/>
    <w:rsid w:val="3F57F00E"/>
    <w:rsid w:val="3FCE8133"/>
    <w:rsid w:val="3FDF7A6F"/>
    <w:rsid w:val="3FE9BBA4"/>
    <w:rsid w:val="40106538"/>
    <w:rsid w:val="42365D3F"/>
    <w:rsid w:val="42876CE2"/>
    <w:rsid w:val="435B0D8A"/>
    <w:rsid w:val="4554799B"/>
    <w:rsid w:val="46E92F23"/>
    <w:rsid w:val="471C0620"/>
    <w:rsid w:val="485D4C32"/>
    <w:rsid w:val="485F49FE"/>
    <w:rsid w:val="48B23840"/>
    <w:rsid w:val="48CF1B2B"/>
    <w:rsid w:val="4A8B279D"/>
    <w:rsid w:val="4B0709C0"/>
    <w:rsid w:val="4BF076A6"/>
    <w:rsid w:val="4C4A325A"/>
    <w:rsid w:val="4C9D5A7F"/>
    <w:rsid w:val="502D14DE"/>
    <w:rsid w:val="51AE7DE7"/>
    <w:rsid w:val="51CD4BFB"/>
    <w:rsid w:val="52E63C2F"/>
    <w:rsid w:val="53201322"/>
    <w:rsid w:val="53DA2BAD"/>
    <w:rsid w:val="57B343A9"/>
    <w:rsid w:val="580B68A9"/>
    <w:rsid w:val="5B01542B"/>
    <w:rsid w:val="5B667984"/>
    <w:rsid w:val="5EF332DD"/>
    <w:rsid w:val="601E438A"/>
    <w:rsid w:val="6182001B"/>
    <w:rsid w:val="63B7B616"/>
    <w:rsid w:val="64210636"/>
    <w:rsid w:val="64740A1C"/>
    <w:rsid w:val="66B31078"/>
    <w:rsid w:val="67053D91"/>
    <w:rsid w:val="6A557981"/>
    <w:rsid w:val="6A9A31A7"/>
    <w:rsid w:val="6BC26511"/>
    <w:rsid w:val="6BFF4FD7"/>
    <w:rsid w:val="6C8D6AA6"/>
    <w:rsid w:val="6D063E0B"/>
    <w:rsid w:val="6E901CAB"/>
    <w:rsid w:val="6EB05630"/>
    <w:rsid w:val="6F4E4EA9"/>
    <w:rsid w:val="6FFE6C48"/>
    <w:rsid w:val="6FFF9A36"/>
    <w:rsid w:val="70BEBC24"/>
    <w:rsid w:val="71441F7A"/>
    <w:rsid w:val="715E0A8A"/>
    <w:rsid w:val="71C54FAD"/>
    <w:rsid w:val="726227FC"/>
    <w:rsid w:val="73235862"/>
    <w:rsid w:val="739C6BE4"/>
    <w:rsid w:val="73EF8CA8"/>
    <w:rsid w:val="74841487"/>
    <w:rsid w:val="750A653C"/>
    <w:rsid w:val="752B5127"/>
    <w:rsid w:val="76AC3EE1"/>
    <w:rsid w:val="76CC0B8C"/>
    <w:rsid w:val="76EF734A"/>
    <w:rsid w:val="77FD4599"/>
    <w:rsid w:val="77FF6FCD"/>
    <w:rsid w:val="79EE1DBD"/>
    <w:rsid w:val="7A4B60D8"/>
    <w:rsid w:val="7AF75355"/>
    <w:rsid w:val="7B774EB7"/>
    <w:rsid w:val="7BDEF2D1"/>
    <w:rsid w:val="7CBB1486"/>
    <w:rsid w:val="7CF95B0B"/>
    <w:rsid w:val="7D97DA56"/>
    <w:rsid w:val="7DFF58C3"/>
    <w:rsid w:val="7EAEF664"/>
    <w:rsid w:val="7EDD9D06"/>
    <w:rsid w:val="7F7B21BD"/>
    <w:rsid w:val="7FAD0B00"/>
    <w:rsid w:val="7FEB59A9"/>
    <w:rsid w:val="9EFBE90A"/>
    <w:rsid w:val="A4EF1EE6"/>
    <w:rsid w:val="B3BD4D99"/>
    <w:rsid w:val="BD5FA8AF"/>
    <w:rsid w:val="BDFED6F9"/>
    <w:rsid w:val="BF3FD27F"/>
    <w:rsid w:val="CFFCE1D5"/>
    <w:rsid w:val="DFCB77E2"/>
    <w:rsid w:val="ED108DD2"/>
    <w:rsid w:val="EDFD38ED"/>
    <w:rsid w:val="EF5F69B7"/>
    <w:rsid w:val="FA551543"/>
    <w:rsid w:val="FBFB4F36"/>
    <w:rsid w:val="FDBDBC2F"/>
    <w:rsid w:val="FDC7FD6F"/>
    <w:rsid w:val="FDFF370E"/>
    <w:rsid w:val="FE6F2F16"/>
    <w:rsid w:val="FE6F3F2D"/>
    <w:rsid w:val="FEEFB604"/>
    <w:rsid w:val="FF377048"/>
    <w:rsid w:val="FFF26DF5"/>
    <w:rsid w:val="FFFDD8AA"/>
    <w:rsid w:val="FFFF8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toc 3"/>
    <w:basedOn w:val="1"/>
    <w:next w:val="1"/>
    <w:qFormat/>
    <w:uiPriority w:val="0"/>
    <w:pPr>
      <w:ind w:left="840" w:leftChars="4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3">
    <w:name w:val="Body Text First Indent 2"/>
    <w:basedOn w:val="6"/>
    <w:qFormat/>
    <w:uiPriority w:val="0"/>
    <w:pPr>
      <w:ind w:firstLine="420" w:firstLineChars="200"/>
    </w:pPr>
  </w:style>
  <w:style w:type="character" w:styleId="16">
    <w:name w:val="Hyperlink"/>
    <w:basedOn w:val="15"/>
    <w:qFormat/>
    <w:uiPriority w:val="0"/>
    <w:rPr>
      <w:color w:val="0000FF"/>
      <w:u w:val="singl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
    <w:name w:val="font21"/>
    <w:basedOn w:val="15"/>
    <w:qFormat/>
    <w:uiPriority w:val="0"/>
    <w:rPr>
      <w:rFonts w:hint="eastAsia" w:ascii="宋体" w:hAnsi="宋体" w:eastAsia="宋体" w:cs="宋体"/>
      <w:color w:val="000000"/>
      <w:sz w:val="21"/>
      <w:szCs w:val="21"/>
      <w:u w:val="none"/>
    </w:rPr>
  </w:style>
  <w:style w:type="character" w:customStyle="1" w:styleId="21">
    <w:name w:val="font11"/>
    <w:basedOn w:val="15"/>
    <w:qFormat/>
    <w:uiPriority w:val="0"/>
    <w:rPr>
      <w:rFonts w:hint="eastAsia" w:ascii="宋体" w:hAnsi="宋体" w:eastAsia="宋体" w:cs="宋体"/>
      <w:color w:val="000000"/>
      <w:sz w:val="21"/>
      <w:szCs w:val="21"/>
      <w:u w:val="none"/>
    </w:rPr>
  </w:style>
  <w:style w:type="character" w:customStyle="1" w:styleId="22">
    <w:name w:val="font51"/>
    <w:basedOn w:val="15"/>
    <w:qFormat/>
    <w:uiPriority w:val="0"/>
    <w:rPr>
      <w:rFonts w:ascii="minorHAnsi" w:hAnsi="minorHAnsi" w:eastAsia="minorHAnsi" w:cs="minorHAnsi"/>
      <w:color w:val="000000"/>
      <w:sz w:val="21"/>
      <w:szCs w:val="21"/>
      <w:u w:val="none"/>
    </w:rPr>
  </w:style>
  <w:style w:type="paragraph" w:styleId="23">
    <w:name w:val="List Paragraph"/>
    <w:basedOn w:val="1"/>
    <w:unhideWhenUsed/>
    <w:qFormat/>
    <w:uiPriority w:val="99"/>
    <w:pPr>
      <w:ind w:firstLine="420" w:firstLineChars="200"/>
    </w:pPr>
  </w:style>
  <w:style w:type="paragraph" w:customStyle="1" w:styleId="24">
    <w:name w:val="Default"/>
    <w:next w:val="25"/>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theme" Target="theme/theme1.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23384</Words>
  <Characters>26405</Characters>
  <Lines>0</Lines>
  <Paragraphs>0</Paragraphs>
  <TotalTime>39</TotalTime>
  <ScaleCrop>false</ScaleCrop>
  <LinksUpToDate>false</LinksUpToDate>
  <CharactersWithSpaces>26608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2025-09-28T12:34:00Z</dcterms:created>
  <dc:creator>mengyaqing</dc:creator>
  <cp:lastModifiedBy>王</cp:lastModifiedBy>
  <dcterms:modified xsi:type="dcterms:W3CDTF">2026-03-30T01:13:07Z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B0C3C7451D2246E89F562F26C6ADA6D1_13</vt:lpwstr>
  </property>
  <property fmtid="{D5CDD505-2E9C-101B-9397-08002B2CF9AE}" pid="4" name="KSOTemplateDocerSaveRecord">
    <vt:lpwstr>eyJoZGlkIjoiMDUxNjgwODJiMzMwNmU1M2ZlZDFiMTAyMDRkNDhkMDUiLCJ1c2VySWQiOiIyNzY4NjYyODkifQ==</vt:lpwstr>
  </property>
</Properties>
</file>