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70965">
      <w:pPr>
        <w:pStyle w:val="2"/>
        <w:snapToGrid w:val="0"/>
        <w:spacing w:before="0" w:after="0" w:line="288" w:lineRule="auto"/>
        <w:jc w:val="center"/>
        <w:rPr>
          <w:color w:val="000000"/>
        </w:rPr>
      </w:pPr>
      <w:bookmarkStart w:id="0" w:name="OLE_LINK13"/>
      <w:bookmarkStart w:id="1" w:name="OLE_LINK16"/>
      <w:r>
        <w:rPr>
          <w:color w:val="000000"/>
        </w:rPr>
        <w:t>萧山区国有建设用地使用权挂牌出让须知</w:t>
      </w:r>
    </w:p>
    <w:p w14:paraId="5403F66D">
      <w:pPr>
        <w:pStyle w:val="3"/>
        <w:snapToGrid w:val="0"/>
        <w:spacing w:before="249" w:beforeLines="80" w:after="249" w:afterLines="80" w:line="240" w:lineRule="auto"/>
        <w:jc w:val="center"/>
        <w:rPr>
          <w:rFonts w:ascii="Times New Roman"/>
          <w:color w:val="000000"/>
        </w:rPr>
      </w:pPr>
    </w:p>
    <w:p w14:paraId="7512135F">
      <w:pPr>
        <w:pStyle w:val="3"/>
        <w:snapToGrid w:val="0"/>
        <w:spacing w:before="249" w:beforeLines="80" w:after="249" w:afterLines="80" w:line="240" w:lineRule="auto"/>
        <w:jc w:val="center"/>
        <w:rPr>
          <w:rFonts w:ascii="Times New Roman" w:hAnsi="Times New Roman"/>
          <w:color w:val="000000"/>
        </w:rPr>
      </w:pPr>
      <w:r>
        <w:rPr>
          <w:rFonts w:ascii="Times New Roman"/>
          <w:color w:val="000000"/>
        </w:rPr>
        <w:t>第一章</w:t>
      </w:r>
      <w:r>
        <w:rPr>
          <w:rFonts w:ascii="Times New Roman" w:hAnsi="Times New Roman"/>
          <w:color w:val="000000"/>
        </w:rPr>
        <w:t xml:space="preserve">  </w:t>
      </w:r>
      <w:r>
        <w:rPr>
          <w:rFonts w:ascii="Times New Roman"/>
          <w:color w:val="000000"/>
        </w:rPr>
        <w:t>总</w:t>
      </w:r>
      <w:r>
        <w:rPr>
          <w:rFonts w:ascii="Times New Roman" w:hAnsi="Times New Roman"/>
          <w:color w:val="000000"/>
        </w:rPr>
        <w:t xml:space="preserve"> </w:t>
      </w:r>
      <w:r>
        <w:rPr>
          <w:rFonts w:ascii="Times New Roman"/>
          <w:color w:val="000000"/>
        </w:rPr>
        <w:t>则</w:t>
      </w:r>
    </w:p>
    <w:p w14:paraId="5B35A797">
      <w:pPr>
        <w:spacing w:line="360" w:lineRule="auto"/>
        <w:ind w:firstLine="640" w:firstLineChars="200"/>
        <w:rPr>
          <w:rFonts w:ascii="仿宋" w:hAnsi="仿宋" w:eastAsia="仿宋"/>
          <w:sz w:val="32"/>
          <w:szCs w:val="32"/>
        </w:rPr>
      </w:pPr>
      <w:r>
        <w:rPr>
          <w:rFonts w:hint="eastAsia" w:ascii="仿宋" w:hAnsi="仿宋" w:eastAsia="仿宋"/>
          <w:sz w:val="32"/>
          <w:szCs w:val="32"/>
        </w:rPr>
        <w:t>一、根据中华人民共和国有关法律、法规以及《招标拍卖挂牌出让国有建设用地使用权规定》（国土资源部39号令）和《招标拍卖挂牌出让国有土地使用权规范》的规定，为规范国有建设用地使用权挂牌出让活动，结合出让地块具体情况，特制定本须知。</w:t>
      </w:r>
    </w:p>
    <w:p w14:paraId="1A3BF23D">
      <w:pPr>
        <w:spacing w:line="360" w:lineRule="auto"/>
        <w:ind w:firstLine="640" w:firstLineChars="200"/>
        <w:rPr>
          <w:rFonts w:ascii="仿宋" w:hAnsi="仿宋" w:eastAsia="仿宋"/>
          <w:sz w:val="32"/>
          <w:szCs w:val="32"/>
        </w:rPr>
      </w:pPr>
      <w:r>
        <w:rPr>
          <w:rFonts w:hint="eastAsia" w:ascii="仿宋" w:hAnsi="仿宋" w:eastAsia="仿宋"/>
          <w:sz w:val="32"/>
          <w:szCs w:val="32"/>
        </w:rPr>
        <w:t>二、杭州市规划和自然资源局萧山分局为杭州市萧山区人民政府指定的挂牌人，负责主持挂牌出让活动。从事挂牌出让活动的负责人为挂牌主持人。</w:t>
      </w:r>
    </w:p>
    <w:p w14:paraId="0F51C9C5">
      <w:pPr>
        <w:spacing w:line="360" w:lineRule="auto"/>
        <w:ind w:firstLine="640" w:firstLineChars="200"/>
        <w:rPr>
          <w:rFonts w:ascii="仿宋" w:hAnsi="仿宋" w:eastAsia="仿宋"/>
          <w:sz w:val="32"/>
          <w:szCs w:val="32"/>
        </w:rPr>
      </w:pPr>
      <w:r>
        <w:rPr>
          <w:rFonts w:hint="eastAsia" w:ascii="仿宋" w:hAnsi="仿宋" w:eastAsia="仿宋"/>
          <w:sz w:val="32"/>
          <w:szCs w:val="32"/>
        </w:rPr>
        <w:t>三、本次国有建用地使用权挂牌出让通过</w:t>
      </w:r>
      <w:r>
        <w:rPr>
          <w:rFonts w:hint="eastAsia" w:ascii="仿宋" w:hAnsi="仿宋" w:eastAsia="仿宋" w:cs="仿宋"/>
          <w:color w:val="222222"/>
          <w:sz w:val="31"/>
          <w:szCs w:val="31"/>
          <w:shd w:val="clear" w:color="auto" w:fill="FFFFFF"/>
        </w:rPr>
        <w:t>浙江省自然资源智慧交易服务平台（https://www.zjzrzyjy.com/）</w:t>
      </w:r>
      <w:r>
        <w:rPr>
          <w:rFonts w:hint="eastAsia" w:ascii="仿宋" w:hAnsi="仿宋" w:eastAsia="仿宋"/>
          <w:sz w:val="32"/>
          <w:szCs w:val="32"/>
        </w:rPr>
        <w:t>进行，浙江省杭州市湘湖公证处做全过程公证。申请人可通过浙江省国土资源厅、杭州市规划和自然资源局门户网站进入</w:t>
      </w:r>
      <w:r>
        <w:rPr>
          <w:rFonts w:hint="eastAsia" w:ascii="仿宋" w:hAnsi="仿宋" w:eastAsia="仿宋" w:cs="仿宋"/>
          <w:color w:val="222222"/>
          <w:sz w:val="31"/>
          <w:szCs w:val="31"/>
          <w:shd w:val="clear" w:color="auto" w:fill="FFFFFF"/>
        </w:rPr>
        <w:t>浙江省自然资源智慧交易服务平台</w:t>
      </w:r>
      <w:r>
        <w:rPr>
          <w:rFonts w:hint="eastAsia" w:ascii="仿宋" w:hAnsi="仿宋" w:eastAsia="仿宋"/>
          <w:sz w:val="32"/>
          <w:szCs w:val="32"/>
        </w:rPr>
        <w:t>。</w:t>
      </w:r>
    </w:p>
    <w:p w14:paraId="08EC4902">
      <w:pPr>
        <w:spacing w:line="360" w:lineRule="auto"/>
        <w:ind w:firstLine="640" w:firstLineChars="200"/>
        <w:rPr>
          <w:rFonts w:ascii="仿宋" w:hAnsi="仿宋" w:eastAsia="仿宋"/>
          <w:sz w:val="32"/>
          <w:szCs w:val="32"/>
        </w:rPr>
      </w:pPr>
      <w:r>
        <w:rPr>
          <w:rFonts w:hint="eastAsia" w:ascii="仿宋" w:hAnsi="仿宋" w:eastAsia="仿宋"/>
          <w:sz w:val="32"/>
          <w:szCs w:val="32"/>
        </w:rPr>
        <w:t>四、本次国有建设用地使用权挂牌出让遵循公开、公平、公正和诚实信用原则。</w:t>
      </w:r>
    </w:p>
    <w:p w14:paraId="5EB1C82D">
      <w:pPr>
        <w:pStyle w:val="3"/>
        <w:snapToGrid w:val="0"/>
        <w:spacing w:before="249" w:beforeLines="80" w:after="249" w:afterLines="80" w:line="240" w:lineRule="auto"/>
        <w:jc w:val="center"/>
        <w:rPr>
          <w:rFonts w:ascii="Times New Roman"/>
          <w:color w:val="000000"/>
        </w:rPr>
      </w:pPr>
    </w:p>
    <w:p w14:paraId="600D3E35">
      <w:pPr>
        <w:pStyle w:val="3"/>
        <w:snapToGrid w:val="0"/>
        <w:spacing w:before="249" w:beforeLines="80" w:after="249" w:afterLines="80" w:line="240" w:lineRule="auto"/>
        <w:jc w:val="center"/>
        <w:rPr>
          <w:rFonts w:ascii="Times New Roman" w:hAnsi="Times New Roman"/>
          <w:color w:val="000000"/>
        </w:rPr>
      </w:pPr>
      <w:r>
        <w:rPr>
          <w:rFonts w:ascii="Times New Roman"/>
          <w:color w:val="000000"/>
        </w:rPr>
        <w:t>第二章</w:t>
      </w:r>
      <w:r>
        <w:rPr>
          <w:rFonts w:ascii="Times New Roman" w:hAnsi="Times New Roman"/>
          <w:color w:val="000000"/>
        </w:rPr>
        <w:t xml:space="preserve">  </w:t>
      </w:r>
      <w:r>
        <w:rPr>
          <w:rFonts w:ascii="Times New Roman"/>
          <w:color w:val="000000"/>
        </w:rPr>
        <w:t>地</w:t>
      </w:r>
      <w:r>
        <w:rPr>
          <w:rFonts w:ascii="Times New Roman" w:hAnsi="Times New Roman"/>
          <w:color w:val="000000"/>
        </w:rPr>
        <w:t xml:space="preserve"> </w:t>
      </w:r>
      <w:r>
        <w:rPr>
          <w:rFonts w:ascii="Times New Roman"/>
          <w:color w:val="000000"/>
        </w:rPr>
        <w:t>块</w:t>
      </w:r>
    </w:p>
    <w:p w14:paraId="71D3E2C8">
      <w:pPr>
        <w:spacing w:line="360" w:lineRule="auto"/>
        <w:ind w:firstLine="640" w:firstLineChars="200"/>
        <w:rPr>
          <w:rFonts w:ascii="仿宋" w:hAnsi="仿宋" w:eastAsia="仿宋"/>
          <w:sz w:val="32"/>
          <w:szCs w:val="32"/>
        </w:rPr>
      </w:pPr>
      <w:r>
        <w:rPr>
          <w:rFonts w:hint="eastAsia" w:ascii="仿宋" w:hAnsi="仿宋" w:eastAsia="仿宋"/>
          <w:sz w:val="32"/>
          <w:szCs w:val="32"/>
        </w:rPr>
        <w:t>五、挂牌出让地块的基本情况：</w:t>
      </w:r>
    </w:p>
    <w:tbl>
      <w:tblPr>
        <w:tblStyle w:val="9"/>
        <w:tblW w:w="1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4"/>
        <w:gridCol w:w="5819"/>
        <w:gridCol w:w="2100"/>
        <w:gridCol w:w="2350"/>
        <w:gridCol w:w="1750"/>
        <w:gridCol w:w="1975"/>
        <w:gridCol w:w="1722"/>
      </w:tblGrid>
      <w:tr w14:paraId="3BE6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9" w:hRule="atLeast"/>
        </w:trPr>
        <w:tc>
          <w:tcPr>
            <w:tcW w:w="3044" w:type="dxa"/>
            <w:tcBorders>
              <w:top w:val="single" w:color="auto" w:sz="4" w:space="0"/>
              <w:left w:val="single" w:color="auto" w:sz="4" w:space="0"/>
              <w:bottom w:val="single" w:color="auto" w:sz="4" w:space="0"/>
              <w:right w:val="single" w:color="auto" w:sz="4" w:space="0"/>
            </w:tcBorders>
            <w:vAlign w:val="center"/>
          </w:tcPr>
          <w:p w14:paraId="215E5002">
            <w:pPr>
              <w:spacing w:line="360" w:lineRule="auto"/>
              <w:jc w:val="center"/>
              <w:rPr>
                <w:rFonts w:ascii="仿宋" w:hAnsi="仿宋" w:eastAsia="仿宋"/>
                <w:sz w:val="24"/>
              </w:rPr>
            </w:pPr>
            <w:r>
              <w:rPr>
                <w:rFonts w:hint="eastAsia" w:ascii="仿宋" w:hAnsi="仿宋" w:eastAsia="仿宋"/>
                <w:sz w:val="24"/>
              </w:rPr>
              <w:t>地块</w:t>
            </w:r>
            <w:r>
              <w:rPr>
                <w:rFonts w:ascii="仿宋" w:hAnsi="仿宋" w:eastAsia="仿宋"/>
                <w:sz w:val="24"/>
              </w:rPr>
              <w:t>编号</w:t>
            </w:r>
          </w:p>
        </w:tc>
        <w:tc>
          <w:tcPr>
            <w:tcW w:w="5819" w:type="dxa"/>
            <w:tcBorders>
              <w:top w:val="single" w:color="auto" w:sz="4" w:space="0"/>
              <w:left w:val="single" w:color="auto" w:sz="4" w:space="0"/>
              <w:bottom w:val="single" w:color="auto" w:sz="4" w:space="0"/>
              <w:right w:val="single" w:color="auto" w:sz="4" w:space="0"/>
            </w:tcBorders>
            <w:vAlign w:val="center"/>
          </w:tcPr>
          <w:p w14:paraId="5118D5F0">
            <w:pPr>
              <w:spacing w:line="360" w:lineRule="auto"/>
              <w:jc w:val="center"/>
              <w:rPr>
                <w:rFonts w:ascii="仿宋" w:hAnsi="仿宋" w:eastAsia="仿宋"/>
                <w:sz w:val="24"/>
              </w:rPr>
            </w:pPr>
            <w:r>
              <w:rPr>
                <w:rFonts w:hint="eastAsia" w:ascii="仿宋" w:hAnsi="仿宋" w:eastAsia="仿宋"/>
                <w:sz w:val="24"/>
              </w:rPr>
              <w:t>地块坐落</w:t>
            </w:r>
          </w:p>
        </w:tc>
        <w:tc>
          <w:tcPr>
            <w:tcW w:w="2100" w:type="dxa"/>
            <w:tcBorders>
              <w:top w:val="single" w:color="auto" w:sz="4" w:space="0"/>
              <w:left w:val="single" w:color="auto" w:sz="4" w:space="0"/>
              <w:bottom w:val="single" w:color="auto" w:sz="4" w:space="0"/>
              <w:right w:val="single" w:color="auto" w:sz="4" w:space="0"/>
            </w:tcBorders>
            <w:vAlign w:val="center"/>
          </w:tcPr>
          <w:p w14:paraId="7CE65F66">
            <w:pPr>
              <w:spacing w:line="360" w:lineRule="auto"/>
              <w:jc w:val="center"/>
              <w:rPr>
                <w:rFonts w:ascii="仿宋" w:hAnsi="仿宋" w:eastAsia="仿宋"/>
                <w:sz w:val="24"/>
              </w:rPr>
            </w:pPr>
            <w:r>
              <w:rPr>
                <w:rFonts w:hint="eastAsia" w:ascii="仿宋" w:hAnsi="仿宋" w:eastAsia="仿宋"/>
                <w:sz w:val="24"/>
              </w:rPr>
              <w:t>出让</w:t>
            </w:r>
            <w:r>
              <w:rPr>
                <w:rFonts w:ascii="仿宋" w:hAnsi="仿宋" w:eastAsia="仿宋"/>
                <w:sz w:val="24"/>
              </w:rPr>
              <w:t>面积（㎡）</w:t>
            </w:r>
          </w:p>
        </w:tc>
        <w:tc>
          <w:tcPr>
            <w:tcW w:w="2350" w:type="dxa"/>
            <w:tcBorders>
              <w:top w:val="single" w:color="auto" w:sz="4" w:space="0"/>
              <w:left w:val="single" w:color="auto" w:sz="4" w:space="0"/>
              <w:bottom w:val="single" w:color="auto" w:sz="4" w:space="0"/>
              <w:right w:val="single" w:color="auto" w:sz="4" w:space="0"/>
            </w:tcBorders>
            <w:vAlign w:val="center"/>
          </w:tcPr>
          <w:p w14:paraId="58957059">
            <w:pPr>
              <w:spacing w:line="360" w:lineRule="auto"/>
              <w:jc w:val="center"/>
              <w:rPr>
                <w:rFonts w:ascii="仿宋" w:hAnsi="仿宋" w:eastAsia="仿宋"/>
                <w:sz w:val="24"/>
              </w:rPr>
            </w:pPr>
            <w:r>
              <w:rPr>
                <w:rFonts w:ascii="仿宋" w:hAnsi="仿宋" w:eastAsia="仿宋"/>
                <w:sz w:val="24"/>
              </w:rPr>
              <w:t>土地用途</w:t>
            </w:r>
          </w:p>
        </w:tc>
        <w:tc>
          <w:tcPr>
            <w:tcW w:w="1750" w:type="dxa"/>
            <w:tcBorders>
              <w:top w:val="single" w:color="auto" w:sz="4" w:space="0"/>
              <w:left w:val="single" w:color="auto" w:sz="4" w:space="0"/>
              <w:bottom w:val="single" w:color="auto" w:sz="4" w:space="0"/>
              <w:right w:val="single" w:color="auto" w:sz="4" w:space="0"/>
            </w:tcBorders>
            <w:vAlign w:val="center"/>
          </w:tcPr>
          <w:p w14:paraId="2BB66BB1">
            <w:pPr>
              <w:spacing w:line="360" w:lineRule="auto"/>
              <w:jc w:val="center"/>
            </w:pPr>
            <w:r>
              <w:rPr>
                <w:rFonts w:ascii="仿宋" w:hAnsi="仿宋" w:eastAsia="仿宋"/>
                <w:sz w:val="24"/>
              </w:rPr>
              <w:t>出让年限</w:t>
            </w:r>
            <w:r>
              <w:rPr>
                <w:rFonts w:hint="eastAsia" w:ascii="仿宋" w:hAnsi="仿宋" w:eastAsia="仿宋"/>
                <w:sz w:val="24"/>
              </w:rPr>
              <w:t>（年）</w:t>
            </w:r>
          </w:p>
        </w:tc>
        <w:tc>
          <w:tcPr>
            <w:tcW w:w="1975" w:type="dxa"/>
            <w:tcBorders>
              <w:top w:val="single" w:color="auto" w:sz="4" w:space="0"/>
              <w:left w:val="single" w:color="auto" w:sz="4" w:space="0"/>
              <w:bottom w:val="single" w:color="auto" w:sz="4" w:space="0"/>
              <w:right w:val="single" w:color="auto" w:sz="4" w:space="0"/>
            </w:tcBorders>
            <w:vAlign w:val="center"/>
          </w:tcPr>
          <w:p w14:paraId="1AD509F8">
            <w:pPr>
              <w:spacing w:line="360" w:lineRule="auto"/>
              <w:jc w:val="center"/>
              <w:rPr>
                <w:rFonts w:hint="eastAsia" w:ascii="仿宋" w:hAnsi="仿宋" w:eastAsia="仿宋"/>
                <w:sz w:val="24"/>
                <w:lang w:val="en-US" w:eastAsia="zh-CN"/>
              </w:rPr>
            </w:pPr>
            <w:r>
              <w:rPr>
                <w:rFonts w:hint="eastAsia" w:ascii="仿宋" w:hAnsi="仿宋" w:eastAsia="仿宋"/>
                <w:sz w:val="24"/>
              </w:rPr>
              <w:t>挂牌起始价</w:t>
            </w:r>
            <w:r>
              <w:rPr>
                <w:rFonts w:hint="eastAsia" w:ascii="仿宋" w:hAnsi="仿宋" w:eastAsia="仿宋"/>
                <w:sz w:val="24"/>
                <w:lang w:val="en-US" w:eastAsia="zh-CN"/>
              </w:rPr>
              <w:t xml:space="preserve"> </w:t>
            </w:r>
          </w:p>
          <w:p w14:paraId="273D00BC">
            <w:pPr>
              <w:spacing w:line="360" w:lineRule="auto"/>
              <w:jc w:val="center"/>
              <w:rPr>
                <w:rFonts w:ascii="仿宋" w:hAnsi="仿宋" w:eastAsia="仿宋"/>
                <w:sz w:val="24"/>
              </w:rPr>
            </w:pPr>
            <w:r>
              <w:rPr>
                <w:rFonts w:hint="eastAsia" w:ascii="仿宋" w:hAnsi="仿宋" w:eastAsia="仿宋"/>
                <w:sz w:val="24"/>
              </w:rPr>
              <w:t>（万元）</w:t>
            </w:r>
          </w:p>
        </w:tc>
        <w:tc>
          <w:tcPr>
            <w:tcW w:w="1722" w:type="dxa"/>
            <w:tcBorders>
              <w:top w:val="single" w:color="auto" w:sz="4" w:space="0"/>
              <w:left w:val="single" w:color="auto" w:sz="4" w:space="0"/>
              <w:bottom w:val="single" w:color="auto" w:sz="4" w:space="0"/>
              <w:right w:val="single" w:color="auto" w:sz="4" w:space="0"/>
            </w:tcBorders>
            <w:vAlign w:val="center"/>
          </w:tcPr>
          <w:p w14:paraId="1A8D8FD6">
            <w:pPr>
              <w:spacing w:line="360" w:lineRule="auto"/>
              <w:jc w:val="center"/>
              <w:rPr>
                <w:rFonts w:ascii="仿宋" w:hAnsi="仿宋" w:eastAsia="仿宋"/>
                <w:sz w:val="24"/>
              </w:rPr>
            </w:pPr>
            <w:r>
              <w:rPr>
                <w:rFonts w:ascii="仿宋" w:hAnsi="仿宋" w:eastAsia="仿宋"/>
                <w:sz w:val="24"/>
              </w:rPr>
              <w:t>竞买保证金</w:t>
            </w:r>
            <w:r>
              <w:rPr>
                <w:rFonts w:hint="eastAsia" w:ascii="仿宋" w:hAnsi="仿宋" w:eastAsia="仿宋"/>
                <w:sz w:val="24"/>
              </w:rPr>
              <w:t>（万元）</w:t>
            </w:r>
          </w:p>
        </w:tc>
      </w:tr>
      <w:tr w14:paraId="3596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4" w:hRule="atLeast"/>
        </w:trPr>
        <w:tc>
          <w:tcPr>
            <w:tcW w:w="3044" w:type="dxa"/>
            <w:vAlign w:val="center"/>
          </w:tcPr>
          <w:p w14:paraId="421FE462">
            <w:pPr>
              <w:spacing w:line="360" w:lineRule="auto"/>
              <w:jc w:val="center"/>
              <w:rPr>
                <w:rFonts w:ascii="仿宋" w:hAnsi="仿宋" w:eastAsia="仿宋" w:cs="仿宋"/>
                <w:spacing w:val="10"/>
                <w:sz w:val="28"/>
                <w:szCs w:val="28"/>
              </w:rPr>
            </w:pPr>
            <w:r>
              <w:rPr>
                <w:rFonts w:hint="eastAsia" w:ascii="仿宋" w:hAnsi="仿宋" w:eastAsia="仿宋" w:cs="仿宋"/>
                <w:spacing w:val="10"/>
                <w:sz w:val="28"/>
                <w:szCs w:val="28"/>
              </w:rPr>
              <w:t>萧政工</w:t>
            </w:r>
            <w:r>
              <w:rPr>
                <w:rFonts w:hint="eastAsia" w:ascii="仿宋" w:hAnsi="仿宋" w:eastAsia="仿宋" w:cs="仿宋"/>
                <w:spacing w:val="10"/>
                <w:sz w:val="28"/>
                <w:szCs w:val="28"/>
                <w:lang w:val="en-US"/>
              </w:rPr>
              <w:t>出[202</w:t>
            </w:r>
            <w:r>
              <w:rPr>
                <w:rFonts w:hint="eastAsia" w:ascii="仿宋" w:hAnsi="仿宋" w:eastAsia="仿宋" w:cs="仿宋"/>
                <w:spacing w:val="10"/>
                <w:sz w:val="28"/>
                <w:szCs w:val="28"/>
                <w:lang w:val="en-US" w:eastAsia="zh-CN"/>
              </w:rPr>
              <w:t>5</w:t>
            </w:r>
            <w:r>
              <w:rPr>
                <w:rFonts w:hint="eastAsia" w:ascii="仿宋" w:hAnsi="仿宋" w:eastAsia="仿宋" w:cs="仿宋"/>
                <w:spacing w:val="10"/>
                <w:sz w:val="28"/>
                <w:szCs w:val="28"/>
                <w:lang w:val="en-US"/>
              </w:rPr>
              <w:t>]</w:t>
            </w:r>
            <w:r>
              <w:rPr>
                <w:rFonts w:hint="eastAsia" w:ascii="仿宋" w:hAnsi="仿宋" w:eastAsia="仿宋" w:cs="仿宋"/>
                <w:spacing w:val="10"/>
                <w:sz w:val="28"/>
                <w:szCs w:val="28"/>
                <w:lang w:val="en-US" w:eastAsia="zh-CN"/>
              </w:rPr>
              <w:t>36</w:t>
            </w:r>
            <w:r>
              <w:rPr>
                <w:rFonts w:hint="eastAsia" w:ascii="仿宋" w:hAnsi="仿宋" w:eastAsia="仿宋" w:cs="仿宋"/>
                <w:spacing w:val="10"/>
                <w:sz w:val="28"/>
                <w:szCs w:val="28"/>
              </w:rPr>
              <w:t>号</w:t>
            </w:r>
          </w:p>
        </w:tc>
        <w:tc>
          <w:tcPr>
            <w:tcW w:w="5819" w:type="dxa"/>
            <w:vAlign w:val="center"/>
          </w:tcPr>
          <w:p w14:paraId="155ACEF9">
            <w:pPr>
              <w:spacing w:line="360" w:lineRule="auto"/>
              <w:jc w:val="center"/>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lang w:eastAsia="zh-CN"/>
              </w:rPr>
              <w:t>位于</w:t>
            </w:r>
            <w:r>
              <w:rPr>
                <w:rFonts w:hint="eastAsia" w:ascii="仿宋" w:hAnsi="仿宋" w:eastAsia="仿宋" w:cs="仿宋"/>
                <w:spacing w:val="10"/>
                <w:sz w:val="28"/>
                <w:szCs w:val="28"/>
              </w:rPr>
              <w:t>瓜沥镇横埂头村，东至已批准土地，西至运湖河，南至白洋川，北至已批准土地。</w:t>
            </w:r>
          </w:p>
        </w:tc>
        <w:tc>
          <w:tcPr>
            <w:tcW w:w="2100" w:type="dxa"/>
            <w:vAlign w:val="center"/>
          </w:tcPr>
          <w:p w14:paraId="0C48434E">
            <w:pPr>
              <w:spacing w:line="360" w:lineRule="auto"/>
              <w:jc w:val="center"/>
              <w:rPr>
                <w:rFonts w:hint="default" w:ascii="仿宋" w:hAnsi="仿宋" w:eastAsia="仿宋" w:cs="仿宋"/>
                <w:spacing w:val="10"/>
                <w:sz w:val="28"/>
                <w:szCs w:val="28"/>
                <w:lang w:val="en-US" w:eastAsia="zh-CN"/>
              </w:rPr>
            </w:pPr>
            <w:r>
              <w:rPr>
                <w:rFonts w:hint="eastAsia" w:ascii="仿宋" w:hAnsi="仿宋" w:eastAsia="仿宋" w:cs="仿宋"/>
                <w:spacing w:val="10"/>
                <w:sz w:val="28"/>
                <w:szCs w:val="28"/>
              </w:rPr>
              <w:t>18865</w:t>
            </w:r>
          </w:p>
        </w:tc>
        <w:tc>
          <w:tcPr>
            <w:tcW w:w="2350" w:type="dxa"/>
            <w:vAlign w:val="center"/>
          </w:tcPr>
          <w:p w14:paraId="2189F788">
            <w:pPr>
              <w:spacing w:line="360" w:lineRule="auto"/>
              <w:jc w:val="center"/>
              <w:rPr>
                <w:rFonts w:hint="eastAsia" w:ascii="仿宋" w:hAnsi="仿宋" w:eastAsia="仿宋" w:cs="仿宋"/>
                <w:spacing w:val="10"/>
                <w:sz w:val="28"/>
                <w:szCs w:val="28"/>
                <w:lang w:val="en-US" w:eastAsia="zh-CN"/>
              </w:rPr>
            </w:pPr>
            <w:r>
              <w:rPr>
                <w:rFonts w:hint="eastAsia" w:ascii="仿宋" w:hAnsi="仿宋" w:eastAsia="仿宋" w:cs="仿宋"/>
                <w:spacing w:val="10"/>
                <w:sz w:val="28"/>
                <w:szCs w:val="28"/>
              </w:rPr>
              <w:t>一类工业用地兼容二类工业用地（M1/M2）</w:t>
            </w:r>
          </w:p>
        </w:tc>
        <w:tc>
          <w:tcPr>
            <w:tcW w:w="1750" w:type="dxa"/>
            <w:vAlign w:val="center"/>
          </w:tcPr>
          <w:p w14:paraId="45C53190">
            <w:pPr>
              <w:spacing w:line="360" w:lineRule="auto"/>
              <w:jc w:val="center"/>
              <w:rPr>
                <w:rFonts w:hint="default"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30</w:t>
            </w:r>
          </w:p>
        </w:tc>
        <w:tc>
          <w:tcPr>
            <w:tcW w:w="1975" w:type="dxa"/>
            <w:vAlign w:val="center"/>
          </w:tcPr>
          <w:p w14:paraId="745B8C12">
            <w:pPr>
              <w:spacing w:line="360" w:lineRule="auto"/>
              <w:jc w:val="center"/>
              <w:rPr>
                <w:rFonts w:hint="default" w:ascii="仿宋" w:hAnsi="仿宋" w:eastAsia="仿宋" w:cs="仿宋"/>
                <w:spacing w:val="10"/>
                <w:sz w:val="28"/>
                <w:szCs w:val="28"/>
                <w:lang w:val="en-US" w:eastAsia="zh-CN"/>
              </w:rPr>
            </w:pPr>
            <w:r>
              <w:rPr>
                <w:rFonts w:hint="eastAsia" w:ascii="仿宋" w:hAnsi="仿宋" w:eastAsia="仿宋" w:cs="仿宋"/>
                <w:spacing w:val="10"/>
                <w:sz w:val="28"/>
                <w:szCs w:val="28"/>
              </w:rPr>
              <w:t>2124</w:t>
            </w:r>
          </w:p>
        </w:tc>
        <w:tc>
          <w:tcPr>
            <w:tcW w:w="1722" w:type="dxa"/>
            <w:vAlign w:val="center"/>
          </w:tcPr>
          <w:p w14:paraId="483C2C14">
            <w:pPr>
              <w:spacing w:line="360" w:lineRule="auto"/>
              <w:jc w:val="center"/>
              <w:rPr>
                <w:rFonts w:hint="default" w:ascii="仿宋" w:hAnsi="仿宋" w:eastAsia="仿宋" w:cs="仿宋"/>
                <w:spacing w:val="10"/>
                <w:sz w:val="28"/>
                <w:szCs w:val="28"/>
                <w:lang w:val="en-US" w:eastAsia="zh-CN"/>
              </w:rPr>
            </w:pPr>
            <w:r>
              <w:rPr>
                <w:rFonts w:hint="eastAsia" w:ascii="仿宋" w:hAnsi="仿宋" w:eastAsia="仿宋" w:cs="仿宋"/>
                <w:spacing w:val="10"/>
                <w:sz w:val="28"/>
                <w:szCs w:val="28"/>
              </w:rPr>
              <w:t>2124</w:t>
            </w:r>
          </w:p>
        </w:tc>
      </w:tr>
    </w:tbl>
    <w:p w14:paraId="01F73B72">
      <w:pPr>
        <w:spacing w:line="360" w:lineRule="auto"/>
        <w:ind w:firstLine="640" w:firstLineChars="200"/>
        <w:rPr>
          <w:rFonts w:ascii="仿宋" w:hAnsi="仿宋" w:eastAsia="仿宋"/>
          <w:sz w:val="32"/>
          <w:szCs w:val="32"/>
        </w:rPr>
      </w:pPr>
      <w:r>
        <w:rPr>
          <w:rFonts w:hint="eastAsia" w:ascii="仿宋" w:hAnsi="仿宋" w:eastAsia="仿宋"/>
          <w:sz w:val="32"/>
          <w:szCs w:val="32"/>
        </w:rPr>
        <w:t>地块经济技术、规划指标要求：</w:t>
      </w:r>
    </w:p>
    <w:tbl>
      <w:tblPr>
        <w:tblStyle w:val="9"/>
        <w:tblpPr w:leftFromText="180" w:rightFromText="180" w:vertAnchor="text" w:tblpX="-278" w:tblpY="1"/>
        <w:tblOverlap w:val="never"/>
        <w:tblW w:w="12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4"/>
        <w:gridCol w:w="1608"/>
        <w:gridCol w:w="2028"/>
        <w:gridCol w:w="1750"/>
        <w:gridCol w:w="1518"/>
        <w:gridCol w:w="1518"/>
        <w:gridCol w:w="2063"/>
      </w:tblGrid>
      <w:tr w14:paraId="4697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1614" w:type="dxa"/>
          </w:tcPr>
          <w:p w14:paraId="49A1CA18">
            <w:pPr>
              <w:spacing w:line="360" w:lineRule="auto"/>
              <w:rPr>
                <w:rFonts w:ascii="仿宋" w:hAnsi="仿宋" w:eastAsia="仿宋"/>
                <w:sz w:val="24"/>
              </w:rPr>
            </w:pPr>
            <w:r>
              <w:rPr>
                <w:rFonts w:hint="eastAsia" w:ascii="仿宋" w:hAnsi="仿宋" w:eastAsia="仿宋"/>
                <w:sz w:val="24"/>
              </w:rPr>
              <w:t>亩均年税收(万元/亩)</w:t>
            </w:r>
          </w:p>
        </w:tc>
        <w:tc>
          <w:tcPr>
            <w:tcW w:w="1608" w:type="dxa"/>
          </w:tcPr>
          <w:p w14:paraId="40AEB451">
            <w:pPr>
              <w:spacing w:line="360" w:lineRule="auto"/>
              <w:rPr>
                <w:rFonts w:ascii="仿宋" w:hAnsi="仿宋" w:eastAsia="仿宋"/>
                <w:sz w:val="24"/>
              </w:rPr>
            </w:pPr>
            <w:r>
              <w:rPr>
                <w:rFonts w:hint="eastAsia" w:ascii="仿宋" w:hAnsi="仿宋" w:eastAsia="仿宋"/>
                <w:sz w:val="24"/>
              </w:rPr>
              <w:t>固定资产投资强度(万元/亩)</w:t>
            </w:r>
          </w:p>
        </w:tc>
        <w:tc>
          <w:tcPr>
            <w:tcW w:w="2028" w:type="dxa"/>
          </w:tcPr>
          <w:p w14:paraId="674678C6">
            <w:pPr>
              <w:spacing w:line="360" w:lineRule="auto"/>
              <w:rPr>
                <w:rFonts w:ascii="仿宋" w:hAnsi="仿宋" w:eastAsia="仿宋"/>
                <w:sz w:val="24"/>
              </w:rPr>
            </w:pPr>
            <w:bookmarkStart w:id="2" w:name="OLE_LINK2"/>
            <w:r>
              <w:rPr>
                <w:rFonts w:hint="eastAsia" w:ascii="仿宋" w:hAnsi="仿宋" w:eastAsia="仿宋"/>
                <w:sz w:val="24"/>
              </w:rPr>
              <w:t>单位能耗增加值</w:t>
            </w:r>
            <w:bookmarkEnd w:id="2"/>
            <w:r>
              <w:rPr>
                <w:rFonts w:hint="eastAsia" w:ascii="仿宋" w:hAnsi="仿宋" w:eastAsia="仿宋"/>
                <w:sz w:val="24"/>
              </w:rPr>
              <w:t>(</w:t>
            </w:r>
            <w:bookmarkStart w:id="3" w:name="OLE_LINK4"/>
            <w:r>
              <w:rPr>
                <w:rFonts w:hint="eastAsia" w:ascii="仿宋" w:hAnsi="仿宋" w:eastAsia="仿宋"/>
                <w:sz w:val="24"/>
              </w:rPr>
              <w:t>万元/吨标煤</w:t>
            </w:r>
            <w:bookmarkEnd w:id="3"/>
            <w:r>
              <w:rPr>
                <w:rFonts w:hint="eastAsia" w:ascii="仿宋" w:hAnsi="仿宋" w:eastAsia="仿宋"/>
                <w:sz w:val="24"/>
              </w:rPr>
              <w:t>)</w:t>
            </w:r>
          </w:p>
        </w:tc>
        <w:tc>
          <w:tcPr>
            <w:tcW w:w="1750" w:type="dxa"/>
          </w:tcPr>
          <w:p w14:paraId="0731E802">
            <w:pPr>
              <w:spacing w:line="360" w:lineRule="auto"/>
              <w:rPr>
                <w:rFonts w:ascii="仿宋" w:hAnsi="仿宋" w:eastAsia="仿宋"/>
                <w:sz w:val="24"/>
              </w:rPr>
            </w:pPr>
            <w:bookmarkStart w:id="4" w:name="OLE_LINK5"/>
            <w:r>
              <w:rPr>
                <w:rFonts w:hint="eastAsia" w:ascii="仿宋" w:hAnsi="仿宋" w:eastAsia="仿宋"/>
                <w:sz w:val="24"/>
              </w:rPr>
              <w:t>单位排放增加值</w:t>
            </w:r>
            <w:bookmarkEnd w:id="4"/>
            <w:r>
              <w:rPr>
                <w:rFonts w:hint="eastAsia" w:ascii="仿宋" w:hAnsi="仿宋" w:eastAsia="仿宋"/>
                <w:sz w:val="24"/>
              </w:rPr>
              <w:t>(</w:t>
            </w:r>
            <w:bookmarkStart w:id="5" w:name="OLE_LINK7"/>
            <w:r>
              <w:rPr>
                <w:rFonts w:hint="eastAsia" w:ascii="仿宋" w:hAnsi="仿宋" w:eastAsia="仿宋"/>
                <w:sz w:val="24"/>
              </w:rPr>
              <w:t>万元/吨</w:t>
            </w:r>
            <w:bookmarkEnd w:id="5"/>
            <w:r>
              <w:rPr>
                <w:rFonts w:hint="eastAsia" w:ascii="仿宋" w:hAnsi="仿宋" w:eastAsia="仿宋"/>
                <w:sz w:val="24"/>
              </w:rPr>
              <w:t>)</w:t>
            </w:r>
          </w:p>
        </w:tc>
        <w:tc>
          <w:tcPr>
            <w:tcW w:w="1518" w:type="dxa"/>
          </w:tcPr>
          <w:p w14:paraId="657E3C1B">
            <w:pPr>
              <w:spacing w:line="360" w:lineRule="auto"/>
              <w:rPr>
                <w:rFonts w:ascii="仿宋" w:hAnsi="仿宋" w:eastAsia="仿宋"/>
                <w:sz w:val="24"/>
              </w:rPr>
            </w:pPr>
            <w:bookmarkStart w:id="6" w:name="OLE_LINK8"/>
            <w:r>
              <w:rPr>
                <w:rFonts w:hint="eastAsia" w:ascii="仿宋" w:hAnsi="仿宋" w:eastAsia="仿宋"/>
                <w:sz w:val="24"/>
              </w:rPr>
              <w:t>R&amp;D经费支出与主营业务收入之比</w:t>
            </w:r>
            <w:bookmarkEnd w:id="6"/>
            <w:r>
              <w:rPr>
                <w:rFonts w:hint="eastAsia" w:ascii="仿宋" w:hAnsi="仿宋" w:eastAsia="仿宋"/>
                <w:sz w:val="24"/>
              </w:rPr>
              <w:t>（</w:t>
            </w:r>
            <w:bookmarkStart w:id="7" w:name="OLE_LINK10"/>
            <w:r>
              <w:rPr>
                <w:rFonts w:hint="eastAsia" w:ascii="仿宋" w:hAnsi="仿宋" w:eastAsia="仿宋"/>
                <w:sz w:val="24"/>
              </w:rPr>
              <w:t>%</w:t>
            </w:r>
            <w:bookmarkEnd w:id="7"/>
            <w:r>
              <w:rPr>
                <w:rFonts w:hint="eastAsia" w:ascii="仿宋" w:hAnsi="仿宋" w:eastAsia="仿宋"/>
                <w:sz w:val="24"/>
              </w:rPr>
              <w:t>）</w:t>
            </w:r>
          </w:p>
        </w:tc>
        <w:tc>
          <w:tcPr>
            <w:tcW w:w="1518" w:type="dxa"/>
          </w:tcPr>
          <w:p w14:paraId="462C428F">
            <w:pPr>
              <w:spacing w:line="360" w:lineRule="auto"/>
              <w:rPr>
                <w:rFonts w:ascii="仿宋" w:hAnsi="仿宋" w:eastAsia="仿宋"/>
                <w:sz w:val="24"/>
              </w:rPr>
            </w:pPr>
            <w:r>
              <w:rPr>
                <w:rFonts w:ascii="仿宋" w:hAnsi="仿宋" w:eastAsia="仿宋"/>
                <w:sz w:val="24"/>
              </w:rPr>
              <w:t>容积率</w:t>
            </w:r>
            <w:r>
              <w:rPr>
                <w:rFonts w:hint="eastAsia" w:ascii="仿宋" w:hAnsi="仿宋" w:eastAsia="仿宋"/>
                <w:sz w:val="24"/>
              </w:rPr>
              <w:t>(含)</w:t>
            </w:r>
          </w:p>
        </w:tc>
        <w:tc>
          <w:tcPr>
            <w:tcW w:w="2063" w:type="dxa"/>
          </w:tcPr>
          <w:p w14:paraId="66C387DE">
            <w:pPr>
              <w:spacing w:line="360" w:lineRule="auto"/>
              <w:rPr>
                <w:rFonts w:ascii="仿宋" w:hAnsi="仿宋" w:eastAsia="仿宋"/>
                <w:sz w:val="24"/>
              </w:rPr>
            </w:pPr>
            <w:r>
              <w:rPr>
                <w:rFonts w:hint="eastAsia" w:ascii="仿宋" w:hAnsi="仿宋" w:eastAsia="仿宋"/>
                <w:sz w:val="24"/>
                <w:lang w:eastAsia="zh-CN"/>
              </w:rPr>
              <w:t>总投资额（万元）</w:t>
            </w:r>
          </w:p>
        </w:tc>
      </w:tr>
      <w:tr w14:paraId="70EA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614" w:type="dxa"/>
            <w:vAlign w:val="center"/>
          </w:tcPr>
          <w:p w14:paraId="2C6824B7">
            <w:pPr>
              <w:spacing w:line="360" w:lineRule="auto"/>
              <w:jc w:val="center"/>
              <w:rPr>
                <w:rFonts w:hint="default"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≥48</w:t>
            </w:r>
          </w:p>
        </w:tc>
        <w:tc>
          <w:tcPr>
            <w:tcW w:w="1608" w:type="dxa"/>
            <w:vAlign w:val="center"/>
          </w:tcPr>
          <w:p w14:paraId="729C0DF2">
            <w:pPr>
              <w:spacing w:line="360" w:lineRule="auto"/>
              <w:jc w:val="center"/>
              <w:rPr>
                <w:rFonts w:hint="default"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≥420</w:t>
            </w:r>
          </w:p>
        </w:tc>
        <w:tc>
          <w:tcPr>
            <w:tcW w:w="2028" w:type="dxa"/>
            <w:vAlign w:val="center"/>
          </w:tcPr>
          <w:p w14:paraId="254CB170">
            <w:pPr>
              <w:spacing w:line="360" w:lineRule="auto"/>
              <w:jc w:val="center"/>
              <w:rPr>
                <w:rFonts w:hint="default" w:ascii="仿宋" w:hAnsi="仿宋" w:eastAsia="仿宋" w:cs="仿宋"/>
                <w:spacing w:val="10"/>
                <w:sz w:val="28"/>
                <w:szCs w:val="28"/>
                <w:lang w:val="en-US" w:eastAsia="zh-CN"/>
              </w:rPr>
            </w:pPr>
            <w:bookmarkStart w:id="8" w:name="OLE_LINK14"/>
            <w:bookmarkStart w:id="9" w:name="OLE_LINK3"/>
            <w:r>
              <w:rPr>
                <w:rFonts w:hint="eastAsia" w:ascii="仿宋" w:hAnsi="仿宋" w:eastAsia="仿宋" w:cs="仿宋"/>
                <w:spacing w:val="10"/>
                <w:sz w:val="28"/>
                <w:szCs w:val="28"/>
                <w:lang w:val="en-US" w:eastAsia="zh-CN"/>
              </w:rPr>
              <w:t>≥</w:t>
            </w:r>
            <w:bookmarkEnd w:id="8"/>
            <w:bookmarkEnd w:id="9"/>
            <w:r>
              <w:rPr>
                <w:rFonts w:hint="eastAsia" w:ascii="仿宋" w:hAnsi="仿宋" w:eastAsia="仿宋" w:cs="仿宋"/>
                <w:spacing w:val="10"/>
                <w:sz w:val="28"/>
                <w:szCs w:val="28"/>
                <w:lang w:val="en-US" w:eastAsia="zh-CN"/>
              </w:rPr>
              <w:t>1.32</w:t>
            </w:r>
          </w:p>
        </w:tc>
        <w:tc>
          <w:tcPr>
            <w:tcW w:w="1750" w:type="dxa"/>
            <w:vAlign w:val="center"/>
          </w:tcPr>
          <w:p w14:paraId="166240B3">
            <w:pPr>
              <w:spacing w:line="360" w:lineRule="auto"/>
              <w:jc w:val="center"/>
              <w:rPr>
                <w:rFonts w:hint="default" w:ascii="仿宋" w:hAnsi="仿宋" w:eastAsia="仿宋" w:cs="仿宋"/>
                <w:spacing w:val="10"/>
                <w:sz w:val="28"/>
                <w:szCs w:val="28"/>
                <w:lang w:val="en-US" w:eastAsia="zh-CN"/>
              </w:rPr>
            </w:pPr>
            <w:bookmarkStart w:id="10" w:name="OLE_LINK15"/>
            <w:bookmarkStart w:id="11" w:name="OLE_LINK6"/>
            <w:r>
              <w:rPr>
                <w:rFonts w:hint="eastAsia" w:ascii="仿宋" w:hAnsi="仿宋" w:eastAsia="仿宋" w:cs="仿宋"/>
                <w:spacing w:val="10"/>
                <w:sz w:val="28"/>
                <w:szCs w:val="28"/>
                <w:lang w:val="en-US" w:eastAsia="zh-CN"/>
              </w:rPr>
              <w:t>≥</w:t>
            </w:r>
            <w:bookmarkEnd w:id="10"/>
            <w:bookmarkEnd w:id="11"/>
            <w:r>
              <w:rPr>
                <w:rFonts w:hint="eastAsia" w:ascii="仿宋" w:hAnsi="仿宋" w:eastAsia="仿宋" w:cs="仿宋"/>
                <w:spacing w:val="10"/>
                <w:sz w:val="28"/>
                <w:szCs w:val="28"/>
                <w:lang w:val="en-US" w:eastAsia="zh-CN"/>
              </w:rPr>
              <w:t>242</w:t>
            </w:r>
          </w:p>
        </w:tc>
        <w:tc>
          <w:tcPr>
            <w:tcW w:w="1518" w:type="dxa"/>
            <w:vAlign w:val="center"/>
          </w:tcPr>
          <w:p w14:paraId="194A0E2D">
            <w:pPr>
              <w:spacing w:line="360" w:lineRule="auto"/>
              <w:jc w:val="center"/>
              <w:rPr>
                <w:rFonts w:hint="default" w:ascii="仿宋" w:hAnsi="仿宋" w:eastAsia="仿宋" w:cs="仿宋"/>
                <w:spacing w:val="10"/>
                <w:sz w:val="28"/>
                <w:szCs w:val="28"/>
                <w:lang w:val="en-US" w:eastAsia="zh-CN"/>
              </w:rPr>
            </w:pPr>
            <w:bookmarkStart w:id="12" w:name="OLE_LINK9"/>
            <w:r>
              <w:rPr>
                <w:rFonts w:hint="eastAsia" w:ascii="仿宋" w:hAnsi="仿宋" w:eastAsia="仿宋" w:cs="仿宋"/>
                <w:spacing w:val="10"/>
                <w:sz w:val="28"/>
                <w:szCs w:val="28"/>
                <w:lang w:val="en-US" w:eastAsia="zh-CN"/>
              </w:rPr>
              <w:t>≥</w:t>
            </w:r>
            <w:bookmarkEnd w:id="12"/>
            <w:r>
              <w:rPr>
                <w:rFonts w:hint="eastAsia" w:ascii="仿宋" w:hAnsi="仿宋" w:eastAsia="仿宋" w:cs="仿宋"/>
                <w:spacing w:val="10"/>
                <w:sz w:val="28"/>
                <w:szCs w:val="28"/>
                <w:lang w:val="en-US" w:eastAsia="zh-CN"/>
              </w:rPr>
              <w:t>1.0</w:t>
            </w:r>
          </w:p>
        </w:tc>
        <w:tc>
          <w:tcPr>
            <w:tcW w:w="1518" w:type="dxa"/>
            <w:vAlign w:val="center"/>
          </w:tcPr>
          <w:p w14:paraId="7DE329A1">
            <w:pPr>
              <w:spacing w:line="360" w:lineRule="auto"/>
              <w:jc w:val="center"/>
              <w:rPr>
                <w:rFonts w:hint="default"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1.5-3.0</w:t>
            </w:r>
          </w:p>
        </w:tc>
        <w:tc>
          <w:tcPr>
            <w:tcW w:w="2063" w:type="dxa"/>
            <w:vAlign w:val="center"/>
          </w:tcPr>
          <w:p w14:paraId="76331F25">
            <w:pPr>
              <w:spacing w:line="360" w:lineRule="auto"/>
              <w:jc w:val="center"/>
              <w:rPr>
                <w:rFonts w:hint="default" w:ascii="仿宋" w:hAnsi="仿宋" w:eastAsia="仿宋" w:cs="仿宋"/>
                <w:spacing w:val="10"/>
                <w:sz w:val="28"/>
                <w:szCs w:val="28"/>
                <w:lang w:val="en-US" w:eastAsia="zh-CN"/>
              </w:rPr>
            </w:pPr>
            <w:r>
              <w:rPr>
                <w:rFonts w:hint="eastAsia" w:ascii="仿宋" w:hAnsi="仿宋" w:eastAsia="仿宋" w:cs="仿宋"/>
                <w:spacing w:val="10"/>
                <w:sz w:val="28"/>
                <w:szCs w:val="28"/>
                <w:lang w:val="en-US" w:eastAsia="zh-CN"/>
              </w:rPr>
              <w:t>≥11885</w:t>
            </w:r>
          </w:p>
        </w:tc>
      </w:tr>
    </w:tbl>
    <w:p w14:paraId="3E0DFF95">
      <w:pPr>
        <w:spacing w:line="360" w:lineRule="auto"/>
        <w:rPr>
          <w:rFonts w:hint="eastAsia" w:ascii="仿宋" w:hAnsi="仿宋" w:eastAsia="仿宋"/>
          <w:sz w:val="32"/>
          <w:szCs w:val="32"/>
        </w:rPr>
      </w:pPr>
    </w:p>
    <w:p w14:paraId="00714D85">
      <w:pPr>
        <w:spacing w:line="360" w:lineRule="auto"/>
        <w:ind w:firstLine="640" w:firstLineChars="200"/>
        <w:rPr>
          <w:rFonts w:hint="eastAsia" w:ascii="仿宋" w:hAnsi="仿宋" w:eastAsia="仿宋"/>
          <w:sz w:val="32"/>
          <w:szCs w:val="32"/>
        </w:rPr>
      </w:pPr>
    </w:p>
    <w:p w14:paraId="4AB0726D">
      <w:pPr>
        <w:spacing w:line="360" w:lineRule="auto"/>
        <w:ind w:firstLine="640" w:firstLineChars="200"/>
        <w:rPr>
          <w:rFonts w:hint="eastAsia" w:ascii="仿宋" w:hAnsi="仿宋" w:eastAsia="仿宋"/>
          <w:sz w:val="32"/>
          <w:szCs w:val="32"/>
        </w:rPr>
      </w:pPr>
    </w:p>
    <w:p w14:paraId="102B7B2B">
      <w:pPr>
        <w:spacing w:line="360" w:lineRule="auto"/>
        <w:ind w:firstLine="640" w:firstLineChars="200"/>
        <w:rPr>
          <w:rFonts w:hint="eastAsia" w:ascii="仿宋" w:hAnsi="仿宋" w:eastAsia="仿宋"/>
          <w:sz w:val="32"/>
          <w:szCs w:val="32"/>
        </w:rPr>
      </w:pPr>
    </w:p>
    <w:p w14:paraId="25E0154D">
      <w:pPr>
        <w:spacing w:line="360" w:lineRule="auto"/>
        <w:ind w:firstLine="640" w:firstLineChars="200"/>
        <w:rPr>
          <w:rFonts w:hint="eastAsia" w:ascii="仿宋" w:hAnsi="仿宋" w:eastAsia="仿宋"/>
          <w:sz w:val="32"/>
          <w:szCs w:val="32"/>
        </w:rPr>
      </w:pPr>
    </w:p>
    <w:p w14:paraId="77ED55C3">
      <w:pPr>
        <w:spacing w:line="360" w:lineRule="auto"/>
        <w:ind w:firstLine="640" w:firstLineChars="200"/>
        <w:rPr>
          <w:rFonts w:hint="eastAsia" w:ascii="仿宋" w:hAnsi="仿宋" w:eastAsia="仿宋"/>
          <w:sz w:val="32"/>
          <w:szCs w:val="32"/>
        </w:rPr>
      </w:pPr>
    </w:p>
    <w:p w14:paraId="342E376C">
      <w:pPr>
        <w:spacing w:line="360" w:lineRule="auto"/>
        <w:ind w:firstLine="640" w:firstLineChars="200"/>
        <w:rPr>
          <w:rFonts w:ascii="仿宋" w:hAnsi="仿宋" w:eastAsia="仿宋"/>
          <w:sz w:val="32"/>
          <w:szCs w:val="32"/>
        </w:rPr>
      </w:pPr>
      <w:r>
        <w:rPr>
          <w:rFonts w:hint="eastAsia" w:ascii="仿宋" w:hAnsi="仿宋" w:eastAsia="仿宋"/>
          <w:sz w:val="32"/>
          <w:szCs w:val="32"/>
        </w:rPr>
        <w:t>地块上述各指标涉及《浙江省工业等项目建设用地控制指标（2014）》要求的，还应符合文件控制指标要求。</w:t>
      </w:r>
    </w:p>
    <w:p w14:paraId="04906F72">
      <w:pPr>
        <w:spacing w:line="360" w:lineRule="auto"/>
        <w:ind w:firstLine="640" w:firstLineChars="200"/>
        <w:rPr>
          <w:rFonts w:ascii="仿宋" w:hAnsi="仿宋" w:eastAsia="仿宋"/>
          <w:sz w:val="32"/>
          <w:szCs w:val="32"/>
        </w:rPr>
      </w:pPr>
      <w:r>
        <w:rPr>
          <w:rFonts w:hint="eastAsia" w:ascii="仿宋" w:hAnsi="仿宋" w:eastAsia="仿宋"/>
          <w:sz w:val="32"/>
          <w:szCs w:val="32"/>
        </w:rPr>
        <w:t>地块发证面积以实测为准。</w:t>
      </w:r>
    </w:p>
    <w:p w14:paraId="376E5FBF">
      <w:pPr>
        <w:pStyle w:val="3"/>
        <w:snapToGrid w:val="0"/>
        <w:spacing w:before="249" w:beforeLines="80" w:after="249" w:afterLines="80" w:line="240" w:lineRule="auto"/>
        <w:jc w:val="center"/>
        <w:rPr>
          <w:rFonts w:ascii="Times New Roman" w:hAnsi="Times New Roman"/>
          <w:color w:val="000000"/>
        </w:rPr>
      </w:pPr>
      <w:r>
        <w:rPr>
          <w:rFonts w:ascii="Times New Roman"/>
          <w:color w:val="000000"/>
        </w:rPr>
        <w:t>第三章</w:t>
      </w:r>
      <w:r>
        <w:rPr>
          <w:rFonts w:ascii="Times New Roman" w:hAnsi="Times New Roman"/>
          <w:color w:val="000000"/>
        </w:rPr>
        <w:t xml:space="preserve">    </w:t>
      </w:r>
      <w:r>
        <w:rPr>
          <w:rFonts w:ascii="Times New Roman"/>
          <w:color w:val="000000"/>
        </w:rPr>
        <w:t>建设要求</w:t>
      </w:r>
    </w:p>
    <w:p w14:paraId="4344C31D">
      <w:pPr>
        <w:spacing w:line="360" w:lineRule="auto"/>
        <w:ind w:firstLine="640" w:firstLineChars="200"/>
        <w:rPr>
          <w:rFonts w:ascii="仿宋" w:hAnsi="仿宋" w:eastAsia="仿宋"/>
          <w:sz w:val="32"/>
          <w:szCs w:val="32"/>
        </w:rPr>
      </w:pPr>
      <w:r>
        <w:rPr>
          <w:rFonts w:hint="eastAsia" w:ascii="仿宋" w:hAnsi="仿宋" w:eastAsia="仿宋"/>
          <w:sz w:val="32"/>
          <w:szCs w:val="32"/>
        </w:rPr>
        <w:t>六、地块的建设规模必须符合国家和杭州市萧山区的有关规定，项目须经杭州市萧山区发展和改革局批准。</w:t>
      </w:r>
    </w:p>
    <w:p w14:paraId="6BDAB92C">
      <w:pPr>
        <w:spacing w:line="360" w:lineRule="auto"/>
        <w:ind w:firstLine="640" w:firstLineChars="200"/>
        <w:rPr>
          <w:rFonts w:ascii="仿宋" w:hAnsi="仿宋" w:eastAsia="仿宋"/>
          <w:sz w:val="32"/>
          <w:szCs w:val="32"/>
        </w:rPr>
      </w:pPr>
      <w:r>
        <w:rPr>
          <w:rFonts w:hint="eastAsia" w:ascii="仿宋" w:hAnsi="仿宋" w:eastAsia="仿宋"/>
          <w:sz w:val="32"/>
          <w:szCs w:val="32"/>
        </w:rPr>
        <w:t>七、建筑方案须符合城市规划的要求：</w:t>
      </w:r>
    </w:p>
    <w:p w14:paraId="2333F205">
      <w:pPr>
        <w:spacing w:line="360" w:lineRule="auto"/>
        <w:ind w:firstLine="640" w:firstLineChars="200"/>
        <w:rPr>
          <w:rFonts w:ascii="仿宋" w:hAnsi="仿宋" w:eastAsia="仿宋"/>
          <w:sz w:val="32"/>
          <w:szCs w:val="32"/>
        </w:rPr>
      </w:pPr>
      <w:r>
        <w:rPr>
          <w:rFonts w:hint="eastAsia" w:ascii="仿宋" w:hAnsi="仿宋" w:eastAsia="仿宋"/>
          <w:color w:val="000000"/>
          <w:sz w:val="32"/>
          <w:szCs w:val="32"/>
        </w:rPr>
        <w:t>具体的建设要求以《建设</w:t>
      </w:r>
      <w:r>
        <w:rPr>
          <w:rFonts w:hint="eastAsia" w:ascii="仿宋" w:hAnsi="仿宋" w:eastAsia="仿宋"/>
          <w:color w:val="000000"/>
          <w:sz w:val="32"/>
          <w:szCs w:val="32"/>
          <w:lang w:val="en-US" w:eastAsia="zh-CN"/>
        </w:rPr>
        <w:t>用地</w:t>
      </w:r>
      <w:r>
        <w:rPr>
          <w:rFonts w:hint="eastAsia" w:ascii="仿宋" w:hAnsi="仿宋" w:eastAsia="仿宋"/>
          <w:color w:val="000000"/>
          <w:sz w:val="32"/>
          <w:szCs w:val="32"/>
        </w:rPr>
        <w:t>规划条件》为准。</w:t>
      </w:r>
    </w:p>
    <w:p w14:paraId="6F0F6A5E">
      <w:pPr>
        <w:pStyle w:val="3"/>
        <w:snapToGrid w:val="0"/>
        <w:spacing w:before="249" w:beforeLines="80" w:after="249" w:afterLines="80" w:line="240" w:lineRule="auto"/>
        <w:jc w:val="center"/>
        <w:rPr>
          <w:rFonts w:ascii="Times New Roman" w:hAnsi="Times New Roman"/>
          <w:color w:val="000000"/>
        </w:rPr>
      </w:pPr>
      <w:r>
        <w:rPr>
          <w:rFonts w:ascii="Times New Roman"/>
          <w:color w:val="000000"/>
        </w:rPr>
        <w:t>第四章</w:t>
      </w:r>
      <w:r>
        <w:rPr>
          <w:rFonts w:ascii="Times New Roman" w:hAnsi="Times New Roman"/>
          <w:color w:val="000000"/>
        </w:rPr>
        <w:t xml:space="preserve">  </w:t>
      </w:r>
      <w:r>
        <w:rPr>
          <w:rFonts w:ascii="Times New Roman"/>
          <w:color w:val="000000"/>
        </w:rPr>
        <w:t>竞买人资格及要求</w:t>
      </w:r>
    </w:p>
    <w:p w14:paraId="7A318FCF">
      <w:pPr>
        <w:spacing w:line="360" w:lineRule="auto"/>
        <w:ind w:firstLine="640" w:firstLineChars="200"/>
        <w:rPr>
          <w:rFonts w:ascii="仿宋" w:hAnsi="仿宋" w:eastAsia="仿宋"/>
          <w:sz w:val="32"/>
          <w:szCs w:val="32"/>
        </w:rPr>
      </w:pPr>
      <w:r>
        <w:rPr>
          <w:rFonts w:hint="eastAsia" w:ascii="仿宋" w:hAnsi="仿宋" w:eastAsia="仿宋"/>
          <w:sz w:val="32"/>
          <w:szCs w:val="32"/>
        </w:rPr>
        <w:t>八、挂牌出让土地受让对象：</w:t>
      </w:r>
    </w:p>
    <w:p w14:paraId="591569BA">
      <w:pPr>
        <w:spacing w:line="360" w:lineRule="auto"/>
        <w:ind w:firstLine="620" w:firstLineChars="200"/>
        <w:rPr>
          <w:rFonts w:hint="eastAsia" w:ascii="仿宋" w:hAnsi="仿宋" w:eastAsia="仿宋" w:cs="仿宋"/>
          <w:b w:val="0"/>
          <w:bCs w:val="0"/>
          <w:i w:val="0"/>
          <w:iCs w:val="0"/>
          <w:caps w:val="0"/>
          <w:color w:val="222222"/>
          <w:spacing w:val="0"/>
          <w:sz w:val="31"/>
          <w:szCs w:val="31"/>
          <w:shd w:val="clear" w:fill="FFFFFF"/>
        </w:rPr>
      </w:pPr>
      <w:r>
        <w:rPr>
          <w:rFonts w:ascii="仿宋" w:hAnsi="仿宋" w:eastAsia="仿宋" w:cs="仿宋"/>
          <w:b w:val="0"/>
          <w:bCs w:val="0"/>
          <w:i w:val="0"/>
          <w:iCs w:val="0"/>
          <w:caps w:val="0"/>
          <w:color w:val="222222"/>
          <w:spacing w:val="0"/>
          <w:sz w:val="31"/>
          <w:szCs w:val="31"/>
          <w:shd w:val="clear" w:fill="FFFFFF"/>
        </w:rPr>
        <w:t>竞买人资格：</w:t>
      </w:r>
      <w:r>
        <w:rPr>
          <w:rFonts w:hint="eastAsia" w:ascii="仿宋" w:hAnsi="仿宋" w:eastAsia="仿宋"/>
          <w:sz w:val="32"/>
          <w:szCs w:val="32"/>
        </w:rPr>
        <w:t>竞买人须为中华人民共和国境内的公司、企业、其他组织，自然人不得参加本土地的挂牌出让活动，同时须符合挂牌文件相关要求。非萧山区注册登记的竞得者必须在萧山区注册具有独立核算的项目公司。</w:t>
      </w:r>
    </w:p>
    <w:p w14:paraId="2785E14F">
      <w:pPr>
        <w:spacing w:line="360" w:lineRule="auto"/>
        <w:ind w:firstLine="640" w:firstLineChars="200"/>
        <w:rPr>
          <w:rFonts w:ascii="仿宋" w:hAnsi="仿宋" w:eastAsia="仿宋"/>
          <w:sz w:val="32"/>
          <w:szCs w:val="32"/>
        </w:rPr>
      </w:pPr>
      <w:r>
        <w:rPr>
          <w:rFonts w:hint="eastAsia" w:ascii="仿宋" w:hAnsi="仿宋" w:eastAsia="仿宋"/>
          <w:sz w:val="32"/>
          <w:szCs w:val="32"/>
        </w:rPr>
        <w:t>上述地块土地竞得者必须严格按照土地使用权出让合同规定的条件进行开发建设。杭州市规划和自然资源局萧山分局根据挂牌出让结果与竞得人签订《国有建设用地使用权出让合同》。</w:t>
      </w:r>
    </w:p>
    <w:p w14:paraId="5AB56C5F">
      <w:pPr>
        <w:spacing w:line="360" w:lineRule="auto"/>
        <w:ind w:firstLine="640" w:firstLineChars="200"/>
        <w:rPr>
          <w:rFonts w:ascii="仿宋" w:hAnsi="仿宋" w:eastAsia="仿宋"/>
          <w:sz w:val="32"/>
          <w:szCs w:val="32"/>
        </w:rPr>
      </w:pPr>
      <w:r>
        <w:rPr>
          <w:rFonts w:hint="eastAsia" w:ascii="仿宋" w:hAnsi="仿宋" w:eastAsia="仿宋"/>
          <w:sz w:val="32"/>
          <w:szCs w:val="32"/>
        </w:rPr>
        <w:t>竞得人拟成立新公司进行开发建设的，于网上交易系统竞买申请时一并申请，并在申请书中明确新公司的出资构成（区外企业竞得的必须成立新公司），申请人向杭州市规划和自然资源局萧山分局申请备案。竞得人在签订土地成交确认书之日起7个工作日内与出让人先行签订《国有建设用地使用权出让合同》，在竞得人按约定的内容成立新公司后，再由出让人与新公司签订《国有建设用地使用权出让合同补充协议》。竞得人在新公司中的出资构成必须与事先向出让人申请约定一致。</w:t>
      </w:r>
    </w:p>
    <w:p w14:paraId="5A717128">
      <w:pPr>
        <w:spacing w:line="360" w:lineRule="auto"/>
        <w:ind w:firstLine="640" w:firstLineChars="200"/>
        <w:rPr>
          <w:rFonts w:ascii="仿宋" w:hAnsi="仿宋" w:eastAsia="仿宋"/>
          <w:sz w:val="32"/>
          <w:szCs w:val="32"/>
        </w:rPr>
      </w:pPr>
      <w:r>
        <w:rPr>
          <w:rFonts w:hint="eastAsia" w:ascii="仿宋" w:hAnsi="仿宋" w:eastAsia="仿宋"/>
          <w:sz w:val="32"/>
          <w:szCs w:val="32"/>
        </w:rPr>
        <w:t>九、竞得价为土地出让总价款（不含城市基础设施配套费）。其它有关规费及契税由竞得人按规定另行缴纳。</w:t>
      </w:r>
    </w:p>
    <w:p w14:paraId="2C5F3CAE">
      <w:pPr>
        <w:spacing w:line="360" w:lineRule="auto"/>
        <w:ind w:firstLine="640" w:firstLineChars="200"/>
        <w:rPr>
          <w:rFonts w:ascii="仿宋" w:hAnsi="仿宋" w:eastAsia="仿宋"/>
          <w:sz w:val="32"/>
          <w:szCs w:val="32"/>
        </w:rPr>
      </w:pPr>
      <w:r>
        <w:rPr>
          <w:rFonts w:hint="eastAsia" w:ascii="仿宋" w:hAnsi="仿宋" w:eastAsia="仿宋"/>
          <w:sz w:val="32"/>
          <w:szCs w:val="32"/>
        </w:rPr>
        <w:t>根据国发〔2008〕3号及国土资发〔2009〕101号文件规定，工业用地出让期限内，竞得人在符合规划、不改变土地用途的前提下增加容积率的，经核准，不再增收土地价款。</w:t>
      </w:r>
    </w:p>
    <w:p w14:paraId="5923F3DA">
      <w:pPr>
        <w:spacing w:line="360" w:lineRule="auto"/>
        <w:ind w:firstLine="640" w:firstLineChars="200"/>
        <w:rPr>
          <w:rFonts w:ascii="仿宋" w:hAnsi="仿宋" w:eastAsia="仿宋"/>
          <w:sz w:val="32"/>
          <w:szCs w:val="32"/>
        </w:rPr>
      </w:pPr>
      <w:r>
        <w:rPr>
          <w:rFonts w:hint="eastAsia" w:ascii="仿宋" w:hAnsi="仿宋" w:eastAsia="仿宋"/>
          <w:sz w:val="32"/>
          <w:szCs w:val="32"/>
        </w:rPr>
        <w:t>地块建筑总面积按规划设计条件中的建设用地面积和规定的容积率计算。</w:t>
      </w:r>
    </w:p>
    <w:p w14:paraId="2057B6F2">
      <w:pPr>
        <w:spacing w:line="360" w:lineRule="auto"/>
        <w:ind w:firstLine="640" w:firstLineChars="200"/>
        <w:rPr>
          <w:rFonts w:ascii="仿宋" w:hAnsi="仿宋" w:eastAsia="仿宋"/>
          <w:sz w:val="32"/>
          <w:szCs w:val="32"/>
        </w:rPr>
      </w:pPr>
      <w:r>
        <w:rPr>
          <w:rFonts w:hint="eastAsia" w:ascii="仿宋" w:hAnsi="仿宋" w:eastAsia="仿宋"/>
          <w:sz w:val="32"/>
          <w:szCs w:val="32"/>
        </w:rPr>
        <w:t>十、竞买人获得挂牌文件后应仔细审阅挂牌文件，并对出让地块进行实地踏勘，对挂牌文件或挂牌出让地块有异议的，应当在竞买前提出。竞买人参加竞价即视为无异议。</w:t>
      </w:r>
    </w:p>
    <w:p w14:paraId="78E2CD2F">
      <w:pPr>
        <w:pStyle w:val="3"/>
        <w:snapToGrid w:val="0"/>
        <w:spacing w:before="249" w:beforeLines="80" w:after="249" w:afterLines="80" w:line="240" w:lineRule="auto"/>
        <w:jc w:val="center"/>
        <w:rPr>
          <w:rFonts w:ascii="Times New Roman" w:hAnsi="Times New Roman"/>
          <w:color w:val="000000"/>
        </w:rPr>
      </w:pPr>
      <w:r>
        <w:rPr>
          <w:rFonts w:ascii="Times New Roman" w:hAnsi="Times New Roman"/>
          <w:color w:val="000000"/>
        </w:rPr>
        <w:t xml:space="preserve">第五章  </w:t>
      </w:r>
      <w:r>
        <w:rPr>
          <w:rFonts w:hint="eastAsia" w:ascii="Times New Roman" w:hAnsi="Times New Roman"/>
          <w:color w:val="000000"/>
        </w:rPr>
        <w:t>网上挂牌报价及</w:t>
      </w:r>
      <w:r>
        <w:rPr>
          <w:rFonts w:ascii="Times New Roman" w:hAnsi="Times New Roman"/>
          <w:color w:val="000000"/>
        </w:rPr>
        <w:t>竞价</w:t>
      </w:r>
    </w:p>
    <w:p w14:paraId="09238947">
      <w:pPr>
        <w:spacing w:line="360" w:lineRule="auto"/>
        <w:ind w:firstLine="640" w:firstLineChars="200"/>
        <w:rPr>
          <w:rFonts w:ascii="仿宋" w:hAnsi="仿宋" w:eastAsia="仿宋"/>
          <w:sz w:val="32"/>
          <w:szCs w:val="32"/>
        </w:rPr>
      </w:pPr>
      <w:r>
        <w:rPr>
          <w:rFonts w:hint="eastAsia" w:ascii="仿宋" w:hAnsi="仿宋" w:eastAsia="仿宋"/>
          <w:sz w:val="32"/>
          <w:szCs w:val="32"/>
        </w:rPr>
        <w:t xml:space="preserve">十一、挂牌出让依照以下程序进行： </w:t>
      </w:r>
    </w:p>
    <w:p w14:paraId="7C96D371">
      <w:pPr>
        <w:spacing w:line="360" w:lineRule="auto"/>
        <w:ind w:firstLine="640" w:firstLineChars="200"/>
        <w:rPr>
          <w:rFonts w:ascii="仿宋" w:hAnsi="仿宋" w:eastAsia="仿宋"/>
          <w:sz w:val="32"/>
          <w:szCs w:val="32"/>
        </w:rPr>
      </w:pPr>
      <w:r>
        <w:rPr>
          <w:rFonts w:hint="eastAsia" w:ascii="仿宋" w:hAnsi="仿宋" w:eastAsia="仿宋"/>
          <w:sz w:val="32"/>
          <w:szCs w:val="32"/>
        </w:rPr>
        <w:t>（一）信息发布：出让人在网上交易系统发布国有建设用地使用权出让公告。</w:t>
      </w:r>
    </w:p>
    <w:p w14:paraId="52B55B5F">
      <w:pPr>
        <w:spacing w:line="360" w:lineRule="auto"/>
        <w:ind w:firstLine="640" w:firstLineChars="200"/>
        <w:rPr>
          <w:rFonts w:ascii="仿宋" w:hAnsi="仿宋" w:eastAsia="仿宋"/>
          <w:sz w:val="32"/>
          <w:szCs w:val="32"/>
        </w:rPr>
      </w:pPr>
      <w:r>
        <w:rPr>
          <w:rFonts w:hint="eastAsia" w:ascii="仿宋" w:hAnsi="仿宋" w:eastAsia="仿宋"/>
          <w:sz w:val="32"/>
          <w:szCs w:val="32"/>
        </w:rPr>
        <w:t>（二）竞买申请：竞买申请人在网上交易系统注册报名，交纳竞买保证金。</w:t>
      </w:r>
    </w:p>
    <w:p w14:paraId="36EB8947">
      <w:pPr>
        <w:spacing w:line="360" w:lineRule="auto"/>
        <w:ind w:firstLine="640" w:firstLineChars="200"/>
        <w:rPr>
          <w:rFonts w:ascii="仿宋" w:hAnsi="仿宋" w:eastAsia="仿宋"/>
          <w:sz w:val="32"/>
          <w:szCs w:val="32"/>
        </w:rPr>
      </w:pPr>
      <w:r>
        <w:rPr>
          <w:rFonts w:hint="eastAsia" w:ascii="仿宋" w:hAnsi="仿宋" w:eastAsia="仿宋"/>
          <w:sz w:val="32"/>
          <w:szCs w:val="32"/>
        </w:rPr>
        <w:t>（三）竞买报价：竞买人在网上交易系统提交竞买报价、限时竞价。</w:t>
      </w:r>
    </w:p>
    <w:p w14:paraId="143239E9">
      <w:pPr>
        <w:spacing w:line="360" w:lineRule="auto"/>
        <w:ind w:firstLine="640" w:firstLineChars="200"/>
        <w:rPr>
          <w:rFonts w:ascii="仿宋" w:hAnsi="仿宋" w:eastAsia="仿宋"/>
          <w:sz w:val="32"/>
          <w:szCs w:val="32"/>
        </w:rPr>
      </w:pPr>
      <w:r>
        <w:rPr>
          <w:rFonts w:hint="eastAsia" w:ascii="仿宋" w:hAnsi="仿宋" w:eastAsia="仿宋"/>
          <w:sz w:val="32"/>
          <w:szCs w:val="32"/>
        </w:rPr>
        <w:t>（四）成交确认：出让人根据《挂牌出让文件》、《浙江省国有建设用地使用权网上交易规则》和竞价结果确定竞得入选人和成交价格。经审核通过后，签订《成交确认书》。</w:t>
      </w:r>
    </w:p>
    <w:p w14:paraId="4BFA510D">
      <w:pPr>
        <w:spacing w:line="360" w:lineRule="auto"/>
        <w:ind w:firstLine="640" w:firstLineChars="200"/>
        <w:rPr>
          <w:rFonts w:ascii="仿宋" w:hAnsi="仿宋" w:eastAsia="仿宋"/>
          <w:sz w:val="32"/>
          <w:szCs w:val="32"/>
        </w:rPr>
      </w:pPr>
      <w:r>
        <w:rPr>
          <w:rFonts w:hint="eastAsia" w:ascii="仿宋" w:hAnsi="仿宋" w:eastAsia="仿宋"/>
          <w:sz w:val="32"/>
          <w:szCs w:val="32"/>
        </w:rPr>
        <w:t>（五）签订交地协议和履约监管协议：竞得人按照《成交确认书》要求，与做地单位签订《交地协议书》，与监管单位签订《履约监管协议》。</w:t>
      </w:r>
    </w:p>
    <w:p w14:paraId="510C553F">
      <w:pPr>
        <w:spacing w:line="360" w:lineRule="auto"/>
        <w:ind w:firstLine="640" w:firstLineChars="200"/>
        <w:rPr>
          <w:rFonts w:ascii="仿宋" w:hAnsi="仿宋" w:eastAsia="仿宋"/>
          <w:sz w:val="32"/>
          <w:szCs w:val="32"/>
        </w:rPr>
      </w:pPr>
      <w:r>
        <w:rPr>
          <w:rFonts w:hint="eastAsia" w:ascii="仿宋" w:hAnsi="仿宋" w:eastAsia="仿宋"/>
          <w:sz w:val="32"/>
          <w:szCs w:val="32"/>
        </w:rPr>
        <w:t>（六）签订合同：出让人与竞得人签订《杭州市国有建设用地使用权出让合同》。</w:t>
      </w:r>
    </w:p>
    <w:p w14:paraId="124CBD6F">
      <w:pPr>
        <w:spacing w:line="360" w:lineRule="auto"/>
        <w:ind w:firstLine="640" w:firstLineChars="200"/>
        <w:rPr>
          <w:rFonts w:ascii="仿宋" w:hAnsi="仿宋" w:eastAsia="仿宋"/>
          <w:sz w:val="32"/>
          <w:szCs w:val="32"/>
        </w:rPr>
      </w:pPr>
      <w:r>
        <w:rPr>
          <w:rFonts w:hint="eastAsia" w:ascii="仿宋" w:hAnsi="仿宋" w:eastAsia="仿宋"/>
          <w:sz w:val="32"/>
          <w:szCs w:val="32"/>
        </w:rPr>
        <w:t>（七）结果公布：出让人公布出让结果。</w:t>
      </w:r>
    </w:p>
    <w:p w14:paraId="6D45CB3B">
      <w:pPr>
        <w:spacing w:line="360" w:lineRule="auto"/>
        <w:ind w:firstLine="640" w:firstLineChars="200"/>
        <w:rPr>
          <w:rFonts w:ascii="仿宋" w:hAnsi="仿宋" w:eastAsia="仿宋"/>
          <w:sz w:val="32"/>
          <w:szCs w:val="32"/>
        </w:rPr>
      </w:pPr>
      <w:r>
        <w:rPr>
          <w:rFonts w:hint="eastAsia" w:ascii="仿宋" w:hAnsi="仿宋" w:eastAsia="仿宋"/>
          <w:sz w:val="32"/>
          <w:szCs w:val="32"/>
        </w:rPr>
        <w:t>十二、 竞买申请和资格获取有关事项；</w:t>
      </w:r>
    </w:p>
    <w:p w14:paraId="646DFA0F">
      <w:pPr>
        <w:spacing w:line="360" w:lineRule="auto"/>
        <w:ind w:firstLine="640" w:firstLineChars="200"/>
        <w:rPr>
          <w:rFonts w:hint="eastAsia" w:ascii="仿宋" w:hAnsi="仿宋" w:eastAsia="仿宋"/>
          <w:sz w:val="32"/>
          <w:szCs w:val="32"/>
          <w:u w:val="none"/>
        </w:rPr>
      </w:pPr>
      <w:r>
        <w:rPr>
          <w:rFonts w:hint="eastAsia" w:ascii="仿宋" w:hAnsi="仿宋" w:eastAsia="仿宋"/>
          <w:sz w:val="32"/>
          <w:szCs w:val="32"/>
          <w:u w:val="none"/>
        </w:rPr>
        <w:t>（一）办理数字证书</w:t>
      </w:r>
    </w:p>
    <w:p w14:paraId="6DA089E9">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rPr>
        <w:t>本次国有建设用地使用权出让在浙江省自然资源智慧交易服务平台进行，竞买申请人需办理数字证书（CA认证），具体办理流程详见交易平台提供的操作手册、操作指南。</w:t>
      </w:r>
      <w:r>
        <w:rPr>
          <w:rFonts w:hint="eastAsia" w:ascii="仿宋" w:hAnsi="仿宋" w:eastAsia="仿宋"/>
          <w:b w:val="0"/>
          <w:bCs w:val="0"/>
          <w:sz w:val="32"/>
          <w:szCs w:val="32"/>
        </w:rPr>
        <w:t>联合申请竞买的，联合竞买各方均须办理数字证书。</w:t>
      </w:r>
      <w:r>
        <w:rPr>
          <w:rFonts w:hint="eastAsia" w:ascii="仿宋" w:hAnsi="仿宋" w:eastAsia="仿宋"/>
          <w:sz w:val="32"/>
          <w:szCs w:val="32"/>
        </w:rPr>
        <w:t>数字证书有效期为一年。已持有数字证书的竞买申请人，无需重新办理；如数字证书过期的，需办理延期手续。</w:t>
      </w:r>
    </w:p>
    <w:p w14:paraId="53AA6577">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rPr>
        <w:t>申请办理数字证书（CA认证）网址：</w:t>
      </w:r>
      <w:r>
        <w:rPr>
          <w:rFonts w:hint="eastAsia" w:ascii="仿宋" w:hAnsi="仿宋" w:eastAsia="仿宋"/>
          <w:sz w:val="32"/>
          <w:szCs w:val="32"/>
        </w:rPr>
        <w:fldChar w:fldCharType="begin"/>
      </w:r>
      <w:r>
        <w:rPr>
          <w:rFonts w:hint="eastAsia" w:ascii="仿宋" w:hAnsi="仿宋" w:eastAsia="仿宋"/>
          <w:sz w:val="32"/>
          <w:szCs w:val="32"/>
        </w:rPr>
        <w:instrText xml:space="preserve"> HYPERLINK "https://www.zjzrzyjy.com/portalBrowse/certificate-guide" \t "_blank" </w:instrText>
      </w:r>
      <w:r>
        <w:rPr>
          <w:rFonts w:hint="eastAsia" w:ascii="仿宋" w:hAnsi="仿宋" w:eastAsia="仿宋"/>
          <w:sz w:val="32"/>
          <w:szCs w:val="32"/>
        </w:rPr>
        <w:fldChar w:fldCharType="separate"/>
      </w:r>
      <w:r>
        <w:rPr>
          <w:rFonts w:hint="eastAsia" w:ascii="仿宋" w:hAnsi="仿宋" w:eastAsia="仿宋"/>
          <w:sz w:val="32"/>
          <w:szCs w:val="32"/>
        </w:rPr>
        <w:t>https://www.zjzrzyjy.com/portalBrowse/certificate-guide</w:t>
      </w:r>
      <w:r>
        <w:rPr>
          <w:rFonts w:hint="eastAsia" w:ascii="仿宋" w:hAnsi="仿宋" w:eastAsia="仿宋"/>
          <w:sz w:val="32"/>
          <w:szCs w:val="32"/>
        </w:rPr>
        <w:fldChar w:fldCharType="end"/>
      </w:r>
    </w:p>
    <w:p w14:paraId="46892850">
      <w:pPr>
        <w:spacing w:line="360" w:lineRule="auto"/>
        <w:ind w:firstLine="640" w:firstLineChars="200"/>
        <w:rPr>
          <w:rFonts w:ascii="仿宋" w:hAnsi="仿宋" w:eastAsia="仿宋"/>
          <w:sz w:val="32"/>
          <w:szCs w:val="32"/>
        </w:rPr>
      </w:pPr>
      <w:r>
        <w:rPr>
          <w:rFonts w:hint="eastAsia" w:ascii="仿宋" w:hAnsi="仿宋" w:eastAsia="仿宋"/>
          <w:sz w:val="32"/>
          <w:szCs w:val="32"/>
        </w:rPr>
        <w:t>（二）申请竞买</w:t>
      </w:r>
    </w:p>
    <w:p w14:paraId="2342C9B9">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rPr>
        <w:t>申请人可于</w:t>
      </w:r>
      <w:bookmarkStart w:id="13" w:name="OLE_LINK11"/>
      <w:r>
        <w:rPr>
          <w:rFonts w:hint="eastAsia" w:ascii="仿宋" w:hAnsi="仿宋" w:eastAsia="仿宋"/>
          <w:b/>
          <w:bCs/>
          <w:color w:val="auto"/>
          <w:sz w:val="32"/>
          <w:szCs w:val="32"/>
          <w:highlight w:val="none"/>
        </w:rPr>
        <w:t>202</w:t>
      </w: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年</w:t>
      </w:r>
      <w:r>
        <w:rPr>
          <w:rFonts w:hint="eastAsia" w:ascii="仿宋" w:hAnsi="仿宋" w:eastAsia="仿宋"/>
          <w:b/>
          <w:bCs/>
          <w:color w:val="auto"/>
          <w:sz w:val="32"/>
          <w:szCs w:val="32"/>
          <w:highlight w:val="none"/>
          <w:lang w:val="en-US" w:eastAsia="zh-CN"/>
        </w:rPr>
        <w:t>10</w:t>
      </w:r>
      <w:r>
        <w:rPr>
          <w:rFonts w:hint="eastAsia" w:ascii="仿宋" w:hAnsi="仿宋" w:eastAsia="仿宋"/>
          <w:b/>
          <w:bCs/>
          <w:color w:val="auto"/>
          <w:sz w:val="32"/>
          <w:szCs w:val="32"/>
          <w:highlight w:val="none"/>
        </w:rPr>
        <w:t>月</w:t>
      </w:r>
      <w:r>
        <w:rPr>
          <w:rFonts w:hint="eastAsia" w:ascii="仿宋" w:hAnsi="仿宋" w:eastAsia="仿宋"/>
          <w:b/>
          <w:bCs/>
          <w:color w:val="auto"/>
          <w:sz w:val="32"/>
          <w:szCs w:val="32"/>
          <w:highlight w:val="none"/>
          <w:lang w:val="en-US" w:eastAsia="zh-CN"/>
        </w:rPr>
        <w:t>20</w:t>
      </w:r>
      <w:r>
        <w:rPr>
          <w:rFonts w:hint="eastAsia" w:ascii="仿宋" w:hAnsi="仿宋" w:eastAsia="仿宋"/>
          <w:b/>
          <w:bCs/>
          <w:color w:val="auto"/>
          <w:sz w:val="32"/>
          <w:szCs w:val="32"/>
          <w:highlight w:val="none"/>
        </w:rPr>
        <w:t>日</w:t>
      </w:r>
      <w:bookmarkEnd w:id="13"/>
      <w:r>
        <w:rPr>
          <w:rFonts w:hint="eastAsia" w:ascii="仿宋" w:hAnsi="仿宋" w:eastAsia="仿宋"/>
          <w:b/>
          <w:bCs/>
          <w:color w:val="auto"/>
          <w:sz w:val="32"/>
          <w:szCs w:val="32"/>
          <w:highlight w:val="none"/>
          <w:lang w:val="en-US" w:eastAsia="zh-CN"/>
        </w:rPr>
        <w:t>9:00</w:t>
      </w:r>
      <w:r>
        <w:rPr>
          <w:rFonts w:hint="eastAsia" w:ascii="仿宋" w:hAnsi="仿宋" w:eastAsia="仿宋"/>
          <w:b/>
          <w:bCs/>
          <w:color w:val="auto"/>
          <w:sz w:val="32"/>
          <w:szCs w:val="32"/>
          <w:highlight w:val="none"/>
        </w:rPr>
        <w:t>至</w:t>
      </w:r>
      <w:bookmarkStart w:id="14" w:name="OLE_LINK1"/>
      <w:r>
        <w:rPr>
          <w:rFonts w:hint="eastAsia" w:ascii="仿宋" w:hAnsi="仿宋" w:eastAsia="仿宋"/>
          <w:b/>
          <w:bCs/>
          <w:color w:val="auto"/>
          <w:sz w:val="32"/>
          <w:szCs w:val="32"/>
          <w:highlight w:val="none"/>
        </w:rPr>
        <w:t>202</w:t>
      </w:r>
      <w:r>
        <w:rPr>
          <w:rFonts w:hint="eastAsia" w:ascii="仿宋" w:hAnsi="仿宋" w:eastAsia="仿宋"/>
          <w:b/>
          <w:bCs/>
          <w:color w:val="auto"/>
          <w:sz w:val="32"/>
          <w:szCs w:val="32"/>
          <w:highlight w:val="none"/>
          <w:lang w:val="en-US" w:eastAsia="zh-CN"/>
        </w:rPr>
        <w:t>5</w:t>
      </w:r>
      <w:r>
        <w:rPr>
          <w:rFonts w:hint="eastAsia" w:ascii="仿宋" w:hAnsi="仿宋" w:eastAsia="仿宋"/>
          <w:b/>
          <w:bCs/>
          <w:color w:val="auto"/>
          <w:sz w:val="32"/>
          <w:szCs w:val="32"/>
          <w:highlight w:val="none"/>
        </w:rPr>
        <w:t>年</w:t>
      </w:r>
      <w:r>
        <w:rPr>
          <w:rFonts w:hint="eastAsia" w:ascii="仿宋" w:hAnsi="仿宋" w:eastAsia="仿宋"/>
          <w:b/>
          <w:bCs/>
          <w:color w:val="auto"/>
          <w:sz w:val="32"/>
          <w:szCs w:val="32"/>
          <w:highlight w:val="none"/>
          <w:lang w:val="en-US" w:eastAsia="zh-CN"/>
        </w:rPr>
        <w:t>10</w:t>
      </w:r>
      <w:r>
        <w:rPr>
          <w:rFonts w:hint="eastAsia" w:ascii="仿宋" w:hAnsi="仿宋" w:eastAsia="仿宋"/>
          <w:b/>
          <w:bCs/>
          <w:color w:val="auto"/>
          <w:sz w:val="32"/>
          <w:szCs w:val="32"/>
          <w:highlight w:val="none"/>
        </w:rPr>
        <w:t>月</w:t>
      </w:r>
      <w:r>
        <w:rPr>
          <w:rFonts w:hint="eastAsia" w:ascii="仿宋" w:hAnsi="仿宋" w:eastAsia="仿宋"/>
          <w:b/>
          <w:bCs/>
          <w:color w:val="auto"/>
          <w:sz w:val="32"/>
          <w:szCs w:val="32"/>
          <w:highlight w:val="none"/>
          <w:lang w:val="en-US" w:eastAsia="zh-CN"/>
        </w:rPr>
        <w:t>28</w:t>
      </w:r>
      <w:r>
        <w:rPr>
          <w:rFonts w:hint="eastAsia" w:ascii="仿宋" w:hAnsi="仿宋" w:eastAsia="仿宋"/>
          <w:b/>
          <w:bCs/>
          <w:color w:val="auto"/>
          <w:sz w:val="32"/>
          <w:szCs w:val="32"/>
          <w:highlight w:val="none"/>
        </w:rPr>
        <w:t>日</w:t>
      </w:r>
      <w:bookmarkEnd w:id="14"/>
      <w:r>
        <w:rPr>
          <w:rFonts w:hint="eastAsia" w:ascii="仿宋" w:hAnsi="仿宋" w:eastAsia="仿宋"/>
          <w:b/>
          <w:bCs/>
          <w:color w:val="auto"/>
          <w:sz w:val="32"/>
          <w:szCs w:val="32"/>
          <w:highlight w:val="none"/>
        </w:rPr>
        <w:t>17:00</w:t>
      </w:r>
      <w:r>
        <w:rPr>
          <w:rFonts w:hint="eastAsia" w:ascii="仿宋" w:hAnsi="仿宋" w:eastAsia="仿宋"/>
          <w:b/>
          <w:bCs/>
          <w:color w:val="000000" w:themeColor="text1"/>
          <w:sz w:val="32"/>
          <w:szCs w:val="32"/>
          <w:highlight w:val="none"/>
          <w14:textFill>
            <w14:solidFill>
              <w14:schemeClr w14:val="tx1"/>
            </w14:solidFill>
          </w14:textFill>
        </w:rPr>
        <w:t>,</w:t>
      </w:r>
      <w:r>
        <w:rPr>
          <w:rFonts w:hint="eastAsia" w:ascii="仿宋" w:hAnsi="仿宋" w:eastAsia="仿宋"/>
          <w:sz w:val="32"/>
          <w:szCs w:val="32"/>
          <w:highlight w:val="none"/>
        </w:rPr>
        <w:t>凭数字证书，登录</w:t>
      </w:r>
      <w:r>
        <w:rPr>
          <w:rFonts w:hint="eastAsia" w:ascii="仿宋" w:hAnsi="仿宋" w:eastAsia="仿宋" w:cs="仿宋"/>
          <w:color w:val="222222"/>
          <w:sz w:val="31"/>
          <w:szCs w:val="31"/>
          <w:highlight w:val="none"/>
          <w:shd w:val="clear" w:color="auto" w:fill="FFFFFF"/>
        </w:rPr>
        <w:t>浙江省自然资源智慧交易服务平台</w:t>
      </w:r>
      <w:r>
        <w:rPr>
          <w:rFonts w:hint="eastAsia" w:ascii="仿宋" w:hAnsi="仿宋" w:eastAsia="仿宋"/>
          <w:sz w:val="32"/>
          <w:szCs w:val="32"/>
          <w:highlight w:val="none"/>
        </w:rPr>
        <w:t>，按系统提示提交竞买申请，具体步骤如下：</w:t>
      </w:r>
    </w:p>
    <w:p w14:paraId="1FE019A6">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1、登录</w:t>
      </w:r>
      <w:r>
        <w:rPr>
          <w:rFonts w:hint="eastAsia" w:ascii="仿宋" w:hAnsi="仿宋" w:eastAsia="仿宋" w:cs="仿宋"/>
          <w:color w:val="222222"/>
          <w:sz w:val="31"/>
          <w:szCs w:val="31"/>
          <w:highlight w:val="none"/>
          <w:shd w:val="clear" w:color="auto" w:fill="FFFFFF"/>
        </w:rPr>
        <w:t>浙江省自然资源智慧交易服务平台</w:t>
      </w:r>
      <w:r>
        <w:rPr>
          <w:rFonts w:hint="eastAsia" w:ascii="仿宋" w:hAnsi="仿宋" w:eastAsia="仿宋"/>
          <w:sz w:val="32"/>
          <w:szCs w:val="32"/>
          <w:highlight w:val="none"/>
        </w:rPr>
        <w:t>主页；</w:t>
      </w:r>
    </w:p>
    <w:p w14:paraId="4870AEB1">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eastAsia="zh-CN"/>
        </w:rPr>
        <w:t>点击国有土地使用权交易系统进入“云上选地”界面，</w:t>
      </w:r>
      <w:r>
        <w:rPr>
          <w:rFonts w:hint="eastAsia" w:ascii="仿宋" w:hAnsi="仿宋" w:eastAsia="仿宋"/>
          <w:sz w:val="32"/>
          <w:szCs w:val="32"/>
          <w:highlight w:val="none"/>
        </w:rPr>
        <w:t>通过行政区选择，进入萧山区交易厅；</w:t>
      </w:r>
    </w:p>
    <w:p w14:paraId="447C9E95">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3、点击欲竞买地块项目下的“竞买申请”按钮后，按系统提示逐步进行竞买申请，向系统提交竞买申请书和声明书；</w:t>
      </w:r>
    </w:p>
    <w:p w14:paraId="58D15A97">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4、系统进入缴纳竞买保证金页面，竞买申请人必须选择相应的银行缴纳竞买保证金，并打印缴纳保证金通知单。</w:t>
      </w:r>
    </w:p>
    <w:p w14:paraId="3B5A4640">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（三）缴纳竞买保证金</w:t>
      </w:r>
    </w:p>
    <w:p w14:paraId="5B084C6B">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申请人在</w:t>
      </w:r>
      <w:bookmarkStart w:id="15" w:name="OLE_LINK12"/>
      <w:r>
        <w:rPr>
          <w:rFonts w:hint="eastAsia" w:ascii="仿宋" w:hAnsi="仿宋" w:eastAsia="仿宋"/>
          <w:b/>
          <w:bCs/>
          <w:color w:val="000000" w:themeColor="text1"/>
          <w:sz w:val="32"/>
          <w:szCs w:val="32"/>
          <w:highlight w:val="none"/>
          <w14:textFill>
            <w14:solidFill>
              <w14:schemeClr w14:val="tx1"/>
            </w14:solidFill>
          </w14:textFill>
        </w:rPr>
        <w:t>202</w:t>
      </w:r>
      <w:r>
        <w:rPr>
          <w:rFonts w:hint="eastAsia" w:ascii="仿宋" w:hAnsi="仿宋" w:eastAsia="仿宋"/>
          <w:b/>
          <w:bCs/>
          <w:color w:val="000000" w:themeColor="text1"/>
          <w:sz w:val="32"/>
          <w:szCs w:val="32"/>
          <w:highlight w:val="none"/>
          <w:lang w:val="en-US" w:eastAsia="zh-CN"/>
          <w14:textFill>
            <w14:solidFill>
              <w14:schemeClr w14:val="tx1"/>
            </w14:solidFill>
          </w14:textFill>
        </w:rPr>
        <w:t>5</w:t>
      </w:r>
      <w:r>
        <w:rPr>
          <w:rFonts w:hint="eastAsia" w:ascii="仿宋" w:hAnsi="仿宋" w:eastAsia="仿宋"/>
          <w:b/>
          <w:bCs/>
          <w:color w:val="000000" w:themeColor="text1"/>
          <w:sz w:val="32"/>
          <w:szCs w:val="32"/>
          <w:highlight w:val="none"/>
          <w14:textFill>
            <w14:solidFill>
              <w14:schemeClr w14:val="tx1"/>
            </w14:solidFill>
          </w14:textFill>
        </w:rPr>
        <w:t>年</w:t>
      </w:r>
      <w:r>
        <w:rPr>
          <w:rFonts w:hint="eastAsia" w:ascii="仿宋" w:hAnsi="仿宋" w:eastAsia="仿宋"/>
          <w:b/>
          <w:bCs/>
          <w:color w:val="000000" w:themeColor="text1"/>
          <w:sz w:val="32"/>
          <w:szCs w:val="32"/>
          <w:highlight w:val="none"/>
          <w:lang w:val="en-US" w:eastAsia="zh-CN"/>
          <w14:textFill>
            <w14:solidFill>
              <w14:schemeClr w14:val="tx1"/>
            </w14:solidFill>
          </w14:textFill>
        </w:rPr>
        <w:t>10</w:t>
      </w:r>
      <w:r>
        <w:rPr>
          <w:rFonts w:hint="eastAsia" w:ascii="仿宋" w:hAnsi="仿宋" w:eastAsia="仿宋"/>
          <w:b/>
          <w:bCs/>
          <w:color w:val="000000" w:themeColor="text1"/>
          <w:sz w:val="32"/>
          <w:szCs w:val="32"/>
          <w:highlight w:val="none"/>
          <w14:textFill>
            <w14:solidFill>
              <w14:schemeClr w14:val="tx1"/>
            </w14:solidFill>
          </w14:textFill>
        </w:rPr>
        <w:t>月</w:t>
      </w:r>
      <w:r>
        <w:rPr>
          <w:rFonts w:hint="eastAsia" w:ascii="仿宋" w:hAnsi="仿宋" w:eastAsia="仿宋"/>
          <w:b/>
          <w:bCs/>
          <w:color w:val="000000" w:themeColor="text1"/>
          <w:sz w:val="32"/>
          <w:szCs w:val="32"/>
          <w:highlight w:val="none"/>
          <w:lang w:val="en-US" w:eastAsia="zh-CN"/>
          <w14:textFill>
            <w14:solidFill>
              <w14:schemeClr w14:val="tx1"/>
            </w14:solidFill>
          </w14:textFill>
        </w:rPr>
        <w:t>28</w:t>
      </w:r>
      <w:r>
        <w:rPr>
          <w:rFonts w:hint="eastAsia" w:ascii="仿宋" w:hAnsi="仿宋" w:eastAsia="仿宋"/>
          <w:b/>
          <w:bCs/>
          <w:color w:val="000000" w:themeColor="text1"/>
          <w:sz w:val="32"/>
          <w:szCs w:val="32"/>
          <w:highlight w:val="none"/>
          <w14:textFill>
            <w14:solidFill>
              <w14:schemeClr w14:val="tx1"/>
            </w14:solidFill>
          </w14:textFill>
        </w:rPr>
        <w:t>日</w:t>
      </w:r>
      <w:bookmarkEnd w:id="15"/>
      <w:r>
        <w:rPr>
          <w:rFonts w:hint="eastAsia" w:ascii="仿宋" w:hAnsi="仿宋" w:eastAsia="仿宋"/>
          <w:b/>
          <w:bCs/>
          <w:color w:val="000000" w:themeColor="text1"/>
          <w:sz w:val="32"/>
          <w:szCs w:val="32"/>
          <w:highlight w:val="none"/>
          <w14:textFill>
            <w14:solidFill>
              <w14:schemeClr w14:val="tx1"/>
            </w14:solidFill>
          </w14:textFill>
        </w:rPr>
        <w:t>17:00</w:t>
      </w:r>
      <w:r>
        <w:rPr>
          <w:rFonts w:hint="eastAsia" w:ascii="仿宋" w:hAnsi="仿宋" w:eastAsia="仿宋"/>
          <w:color w:val="000000" w:themeColor="text1"/>
          <w:sz w:val="32"/>
          <w:szCs w:val="32"/>
          <w:highlight w:val="none"/>
          <w14:textFill>
            <w14:solidFill>
              <w14:schemeClr w14:val="tx1"/>
            </w14:solidFill>
          </w14:textFill>
        </w:rPr>
        <w:t>前</w:t>
      </w:r>
      <w:r>
        <w:rPr>
          <w:rFonts w:hint="eastAsia" w:ascii="仿宋" w:hAnsi="仿宋" w:eastAsia="仿宋"/>
          <w:sz w:val="32"/>
          <w:szCs w:val="32"/>
          <w:highlight w:val="none"/>
        </w:rPr>
        <w:t>（以银行实际到账时间为准）按缴纳竞买保证金通知单要求将竞买保证金人民币</w:t>
      </w:r>
      <w:r>
        <w:rPr>
          <w:rFonts w:hint="eastAsia" w:ascii="仿宋" w:hAnsi="仿宋" w:eastAsia="仿宋"/>
          <w:b/>
          <w:bCs/>
          <w:color w:val="000000" w:themeColor="text1"/>
          <w:sz w:val="32"/>
          <w:szCs w:val="32"/>
          <w:highlight w:val="none"/>
          <w:lang w:val="en-US" w:eastAsia="zh-CN"/>
          <w14:textFill>
            <w14:solidFill>
              <w14:schemeClr w14:val="tx1"/>
            </w14:solidFill>
          </w14:textFill>
        </w:rPr>
        <w:t>2124</w:t>
      </w:r>
      <w:r>
        <w:rPr>
          <w:rFonts w:hint="eastAsia" w:ascii="仿宋" w:hAnsi="仿宋" w:eastAsia="仿宋"/>
          <w:sz w:val="32"/>
          <w:szCs w:val="32"/>
          <w:highlight w:val="none"/>
        </w:rPr>
        <w:t>万元缴纳到指定账户。</w:t>
      </w:r>
    </w:p>
    <w:p w14:paraId="58A92094">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竞买保证金应由竞买申请人缴纳，其他单位和个人不得代缴。竞得人的竞买保证金自动转作该地块的合同定金，不再退还。挂牌人在挂牌出让结束后两个工作日内退回未竞得人的竞买保证金，保证金不计息。</w:t>
      </w:r>
    </w:p>
    <w:p w14:paraId="3A9654F0">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（四）获取竞买资格</w:t>
      </w:r>
    </w:p>
    <w:p w14:paraId="08340D54">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竞买申请人按时、足额缴纳竞买保证金后，系统自动生成《竞买通知书》，通知竞买申请人可参与该地块的竞买，成为竞买人。</w:t>
      </w:r>
    </w:p>
    <w:p w14:paraId="6F616461">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十三、本次挂牌出让地块起始价及增价幅度：</w:t>
      </w:r>
    </w:p>
    <w:p w14:paraId="4465D60D">
      <w:pPr>
        <w:tabs>
          <w:tab w:val="left" w:pos="630"/>
        </w:tabs>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本次地块出让起始价为人民币</w:t>
      </w:r>
      <w:r>
        <w:rPr>
          <w:rFonts w:hint="eastAsia" w:ascii="仿宋" w:hAnsi="仿宋" w:eastAsia="仿宋"/>
          <w:b/>
          <w:bCs/>
          <w:color w:val="000000" w:themeColor="text1"/>
          <w:sz w:val="32"/>
          <w:szCs w:val="32"/>
          <w:highlight w:val="none"/>
          <w:lang w:val="en-US" w:eastAsia="zh-CN"/>
          <w14:textFill>
            <w14:solidFill>
              <w14:schemeClr w14:val="tx1"/>
            </w14:solidFill>
          </w14:textFill>
        </w:rPr>
        <w:t>2124</w:t>
      </w:r>
      <w:r>
        <w:rPr>
          <w:rFonts w:hint="eastAsia" w:ascii="仿宋" w:hAnsi="仿宋" w:eastAsia="仿宋"/>
          <w:sz w:val="32"/>
          <w:szCs w:val="32"/>
          <w:highlight w:val="none"/>
        </w:rPr>
        <w:t>万元，按投报价格最高者确定竞得人。竞买人每次报价应高于挂牌出让公示栏的最高报价，每次增价幅度为人民币1万元或1万元的整数倍。竞买人可在满足增价幅度的条件下进行多次报价。</w:t>
      </w:r>
    </w:p>
    <w:p w14:paraId="4E10B222">
      <w:pPr>
        <w:pStyle w:val="4"/>
        <w:spacing w:line="360" w:lineRule="auto"/>
        <w:ind w:firstLine="640" w:firstLineChars="200"/>
        <w:rPr>
          <w:rFonts w:ascii="仿宋" w:hAnsi="仿宋" w:eastAsia="仿宋"/>
          <w:color w:val="000000"/>
          <w:sz w:val="32"/>
          <w:szCs w:val="32"/>
          <w:highlight w:val="none"/>
        </w:rPr>
      </w:pPr>
      <w:r>
        <w:rPr>
          <w:rFonts w:hint="eastAsia" w:ascii="仿宋" w:hAnsi="仿宋" w:eastAsia="仿宋"/>
          <w:sz w:val="32"/>
          <w:szCs w:val="32"/>
          <w:highlight w:val="none"/>
        </w:rPr>
        <w:t>十四、</w:t>
      </w:r>
      <w:r>
        <w:rPr>
          <w:rFonts w:hint="eastAsia" w:ascii="仿宋" w:hAnsi="仿宋" w:eastAsia="仿宋"/>
          <w:color w:val="000000"/>
          <w:sz w:val="32"/>
          <w:szCs w:val="32"/>
          <w:highlight w:val="none"/>
        </w:rPr>
        <w:t>网上挂牌时间</w:t>
      </w:r>
    </w:p>
    <w:p w14:paraId="2A69F977">
      <w:pPr>
        <w:spacing w:line="360" w:lineRule="auto"/>
        <w:ind w:firstLine="640" w:firstLineChars="200"/>
        <w:rPr>
          <w:rFonts w:ascii="仿宋" w:hAnsi="仿宋" w:eastAsia="仿宋" w:cs="宋体"/>
          <w:color w:val="FF0000"/>
          <w:kern w:val="0"/>
          <w:sz w:val="32"/>
          <w:szCs w:val="32"/>
          <w:highlight w:val="none"/>
        </w:rPr>
      </w:pPr>
      <w:r>
        <w:rPr>
          <w:rFonts w:hint="eastAsia" w:ascii="仿宋" w:hAnsi="仿宋" w:eastAsia="仿宋"/>
          <w:color w:val="000000"/>
          <w:sz w:val="32"/>
          <w:szCs w:val="32"/>
          <w:highlight w:val="none"/>
        </w:rPr>
        <w:t>挂牌时间为</w:t>
      </w:r>
      <w:r>
        <w:rPr>
          <w:rFonts w:hint="eastAsia" w:ascii="仿宋" w:hAnsi="仿宋" w:eastAsia="仿宋"/>
          <w:b/>
          <w:bCs/>
          <w:color w:val="000000" w:themeColor="text1"/>
          <w:sz w:val="32"/>
          <w:szCs w:val="32"/>
          <w:highlight w:val="none"/>
          <w14:textFill>
            <w14:solidFill>
              <w14:schemeClr w14:val="tx1"/>
            </w14:solidFill>
          </w14:textFill>
        </w:rPr>
        <w:t>202</w:t>
      </w:r>
      <w:r>
        <w:rPr>
          <w:rFonts w:hint="eastAsia" w:ascii="仿宋" w:hAnsi="仿宋" w:eastAsia="仿宋"/>
          <w:b/>
          <w:bCs/>
          <w:color w:val="000000" w:themeColor="text1"/>
          <w:sz w:val="32"/>
          <w:szCs w:val="32"/>
          <w:highlight w:val="none"/>
          <w:lang w:val="en-US" w:eastAsia="zh-CN"/>
          <w14:textFill>
            <w14:solidFill>
              <w14:schemeClr w14:val="tx1"/>
            </w14:solidFill>
          </w14:textFill>
        </w:rPr>
        <w:t>5</w:t>
      </w:r>
      <w:r>
        <w:rPr>
          <w:rFonts w:hint="eastAsia" w:ascii="仿宋" w:hAnsi="仿宋" w:eastAsia="仿宋"/>
          <w:b/>
          <w:bCs/>
          <w:color w:val="000000" w:themeColor="text1"/>
          <w:sz w:val="32"/>
          <w:szCs w:val="32"/>
          <w:highlight w:val="none"/>
          <w14:textFill>
            <w14:solidFill>
              <w14:schemeClr w14:val="tx1"/>
            </w14:solidFill>
          </w14:textFill>
        </w:rPr>
        <w:t>年</w:t>
      </w:r>
      <w:r>
        <w:rPr>
          <w:rFonts w:hint="eastAsia" w:ascii="仿宋" w:hAnsi="仿宋" w:eastAsia="仿宋"/>
          <w:b/>
          <w:bCs/>
          <w:color w:val="000000" w:themeColor="text1"/>
          <w:sz w:val="32"/>
          <w:szCs w:val="32"/>
          <w:highlight w:val="none"/>
          <w:lang w:val="en-US" w:eastAsia="zh-CN"/>
          <w14:textFill>
            <w14:solidFill>
              <w14:schemeClr w14:val="tx1"/>
            </w14:solidFill>
          </w14:textFill>
        </w:rPr>
        <w:t>10</w:t>
      </w:r>
      <w:r>
        <w:rPr>
          <w:rFonts w:hint="eastAsia" w:ascii="仿宋" w:hAnsi="仿宋" w:eastAsia="仿宋"/>
          <w:b/>
          <w:bCs/>
          <w:color w:val="000000" w:themeColor="text1"/>
          <w:sz w:val="32"/>
          <w:szCs w:val="32"/>
          <w:highlight w:val="none"/>
          <w14:textFill>
            <w14:solidFill>
              <w14:schemeClr w14:val="tx1"/>
            </w14:solidFill>
          </w14:textFill>
        </w:rPr>
        <w:t>月</w:t>
      </w:r>
      <w:r>
        <w:rPr>
          <w:rFonts w:hint="eastAsia" w:ascii="仿宋" w:hAnsi="仿宋" w:eastAsia="仿宋"/>
          <w:b/>
          <w:bCs/>
          <w:color w:val="000000" w:themeColor="text1"/>
          <w:sz w:val="32"/>
          <w:szCs w:val="32"/>
          <w:highlight w:val="none"/>
          <w:lang w:val="en-US" w:eastAsia="zh-CN"/>
          <w14:textFill>
            <w14:solidFill>
              <w14:schemeClr w14:val="tx1"/>
            </w14:solidFill>
          </w14:textFill>
        </w:rPr>
        <w:t>20</w:t>
      </w:r>
      <w:r>
        <w:rPr>
          <w:rFonts w:hint="eastAsia" w:ascii="仿宋" w:hAnsi="仿宋" w:eastAsia="仿宋"/>
          <w:b/>
          <w:bCs/>
          <w:color w:val="000000" w:themeColor="text1"/>
          <w:sz w:val="32"/>
          <w:szCs w:val="32"/>
          <w:highlight w:val="none"/>
          <w14:textFill>
            <w14:solidFill>
              <w14:schemeClr w14:val="tx1"/>
            </w14:solidFill>
          </w14:textFill>
        </w:rPr>
        <w:t>日</w:t>
      </w:r>
      <w:r>
        <w:rPr>
          <w:rFonts w:hint="eastAsia" w:ascii="仿宋" w:hAnsi="仿宋" w:eastAsia="仿宋"/>
          <w:b/>
          <w:bCs/>
          <w:color w:val="000000" w:themeColor="text1"/>
          <w:sz w:val="32"/>
          <w:szCs w:val="32"/>
          <w:highlight w:val="none"/>
          <w:lang w:val="en-US" w:eastAsia="zh-CN"/>
          <w14:textFill>
            <w14:solidFill>
              <w14:schemeClr w14:val="tx1"/>
            </w14:solidFill>
          </w14:textFill>
        </w:rPr>
        <w:t>9:00</w:t>
      </w:r>
      <w:r>
        <w:rPr>
          <w:rFonts w:hint="eastAsia" w:ascii="仿宋" w:hAnsi="仿宋" w:eastAsia="仿宋"/>
          <w:b/>
          <w:bCs/>
          <w:color w:val="000000" w:themeColor="text1"/>
          <w:sz w:val="32"/>
          <w:szCs w:val="32"/>
          <w:highlight w:val="none"/>
          <w14:textFill>
            <w14:solidFill>
              <w14:schemeClr w14:val="tx1"/>
            </w14:solidFill>
          </w14:textFill>
        </w:rPr>
        <w:t>至202</w:t>
      </w:r>
      <w:r>
        <w:rPr>
          <w:rFonts w:hint="eastAsia" w:ascii="仿宋" w:hAnsi="仿宋" w:eastAsia="仿宋"/>
          <w:b/>
          <w:bCs/>
          <w:color w:val="000000" w:themeColor="text1"/>
          <w:sz w:val="32"/>
          <w:szCs w:val="32"/>
          <w:highlight w:val="none"/>
          <w:lang w:val="en-US" w:eastAsia="zh-CN"/>
          <w14:textFill>
            <w14:solidFill>
              <w14:schemeClr w14:val="tx1"/>
            </w14:solidFill>
          </w14:textFill>
        </w:rPr>
        <w:t>5</w:t>
      </w:r>
      <w:r>
        <w:rPr>
          <w:rFonts w:hint="eastAsia" w:ascii="仿宋" w:hAnsi="仿宋" w:eastAsia="仿宋"/>
          <w:b/>
          <w:bCs/>
          <w:color w:val="000000" w:themeColor="text1"/>
          <w:sz w:val="32"/>
          <w:szCs w:val="32"/>
          <w:highlight w:val="none"/>
          <w14:textFill>
            <w14:solidFill>
              <w14:schemeClr w14:val="tx1"/>
            </w14:solidFill>
          </w14:textFill>
        </w:rPr>
        <w:t>年</w:t>
      </w:r>
      <w:r>
        <w:rPr>
          <w:rFonts w:hint="eastAsia" w:ascii="仿宋" w:hAnsi="仿宋" w:eastAsia="仿宋"/>
          <w:b/>
          <w:bCs/>
          <w:color w:val="000000" w:themeColor="text1"/>
          <w:sz w:val="32"/>
          <w:szCs w:val="32"/>
          <w:highlight w:val="none"/>
          <w:lang w:val="en-US" w:eastAsia="zh-CN"/>
          <w14:textFill>
            <w14:solidFill>
              <w14:schemeClr w14:val="tx1"/>
            </w14:solidFill>
          </w14:textFill>
        </w:rPr>
        <w:t>10</w:t>
      </w:r>
      <w:r>
        <w:rPr>
          <w:rFonts w:hint="eastAsia" w:ascii="仿宋" w:hAnsi="仿宋" w:eastAsia="仿宋"/>
          <w:b/>
          <w:bCs/>
          <w:color w:val="000000" w:themeColor="text1"/>
          <w:sz w:val="32"/>
          <w:szCs w:val="32"/>
          <w:highlight w:val="none"/>
          <w14:textFill>
            <w14:solidFill>
              <w14:schemeClr w14:val="tx1"/>
            </w14:solidFill>
          </w14:textFill>
        </w:rPr>
        <w:t>月</w:t>
      </w:r>
      <w:r>
        <w:rPr>
          <w:rFonts w:hint="eastAsia" w:ascii="仿宋" w:hAnsi="仿宋" w:eastAsia="仿宋"/>
          <w:b/>
          <w:bCs/>
          <w:color w:val="000000" w:themeColor="text1"/>
          <w:sz w:val="32"/>
          <w:szCs w:val="32"/>
          <w:highlight w:val="none"/>
          <w:lang w:val="en-US" w:eastAsia="zh-CN"/>
          <w14:textFill>
            <w14:solidFill>
              <w14:schemeClr w14:val="tx1"/>
            </w14:solidFill>
          </w14:textFill>
        </w:rPr>
        <w:t>30</w:t>
      </w:r>
      <w:r>
        <w:rPr>
          <w:rFonts w:hint="eastAsia" w:ascii="仿宋" w:hAnsi="仿宋" w:eastAsia="仿宋"/>
          <w:b/>
          <w:bCs/>
          <w:color w:val="000000" w:themeColor="text1"/>
          <w:sz w:val="32"/>
          <w:szCs w:val="32"/>
          <w:highlight w:val="none"/>
          <w14:textFill>
            <w14:solidFill>
              <w14:schemeClr w14:val="tx1"/>
            </w14:solidFill>
          </w14:textFill>
        </w:rPr>
        <w:t>日</w:t>
      </w:r>
      <w:r>
        <w:rPr>
          <w:rFonts w:hint="eastAsia" w:ascii="仿宋" w:hAnsi="仿宋" w:eastAsia="仿宋"/>
          <w:b/>
          <w:bCs/>
          <w:color w:val="000000" w:themeColor="text1"/>
          <w:sz w:val="32"/>
          <w:szCs w:val="32"/>
          <w:highlight w:val="none"/>
          <w:lang w:val="en-US" w:eastAsia="zh-CN"/>
          <w14:textFill>
            <w14:solidFill>
              <w14:schemeClr w14:val="tx1"/>
            </w14:solidFill>
          </w14:textFill>
        </w:rPr>
        <w:t>9:00</w:t>
      </w:r>
      <w:r>
        <w:rPr>
          <w:rFonts w:hint="eastAsia" w:ascii="仿宋" w:hAnsi="仿宋" w:eastAsia="仿宋"/>
          <w:b/>
          <w:bCs/>
          <w:color w:val="000000" w:themeColor="text1"/>
          <w:sz w:val="32"/>
          <w:szCs w:val="32"/>
          <w:highlight w:val="none"/>
          <w14:textFill>
            <w14:solidFill>
              <w14:schemeClr w14:val="tx1"/>
            </w14:solidFill>
          </w14:textFill>
        </w:rPr>
        <w:t>。</w:t>
      </w:r>
    </w:p>
    <w:p w14:paraId="590A31E3">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涉及土地使用条件变更等影响土地价格的重大变动、补充公告发布时间距挂牌活动开始时间少于20日的，挂牌活动时间相应顺延。</w:t>
      </w:r>
    </w:p>
    <w:p w14:paraId="1DDBCF3F">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十五、网上挂牌出让报价、竞价规则</w:t>
      </w:r>
    </w:p>
    <w:p w14:paraId="74F57970">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本次挂牌出让采用挂牌报价、限时竞价方式进行。</w:t>
      </w:r>
    </w:p>
    <w:p w14:paraId="56A514FC">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（一）挂牌报价按以下程序进行：</w:t>
      </w:r>
    </w:p>
    <w:p w14:paraId="369A7AF4">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1、取得网上挂牌报价资格的竞买人可参与网上挂牌报价，报价以增价方式进行，竞买人初次报价不得低于起始价，每次加价不得小于规定的增价幅度。</w:t>
      </w:r>
    </w:p>
    <w:p w14:paraId="49F5C921">
      <w:pPr>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2、网上交易系统接受符合条件的报价，即时更新显示挂牌价格和有效报价人。在报价期内，竞买人在满足增加幅度的条件下可多次进行报价。竞买人的报价，一经提交并经网上交易系统服务器记录，不得修改或者撤回。</w:t>
      </w:r>
    </w:p>
    <w:p w14:paraId="4B470B97">
      <w:pPr>
        <w:spacing w:line="360" w:lineRule="auto"/>
        <w:ind w:firstLine="640" w:firstLineChars="200"/>
        <w:rPr>
          <w:rFonts w:ascii="仿宋" w:hAnsi="仿宋" w:eastAsia="仿宋"/>
          <w:sz w:val="32"/>
          <w:szCs w:val="32"/>
        </w:rPr>
      </w:pPr>
      <w:r>
        <w:rPr>
          <w:rFonts w:hint="eastAsia" w:ascii="仿宋" w:hAnsi="仿宋" w:eastAsia="仿宋"/>
          <w:sz w:val="32"/>
          <w:szCs w:val="32"/>
          <w:highlight w:val="none"/>
        </w:rPr>
        <w:t>3、在公告规定的网上挂牌截止时间前</w:t>
      </w:r>
      <w:r>
        <w:rPr>
          <w:rFonts w:ascii="仿宋" w:hAnsi="仿宋" w:eastAsia="仿宋"/>
          <w:sz w:val="32"/>
          <w:szCs w:val="32"/>
          <w:highlight w:val="none"/>
        </w:rPr>
        <w:t>4</w:t>
      </w:r>
      <w:r>
        <w:rPr>
          <w:rFonts w:hint="eastAsia" w:ascii="仿宋" w:hAnsi="仿宋" w:eastAsia="仿宋"/>
          <w:sz w:val="32"/>
          <w:szCs w:val="32"/>
          <w:highlight w:val="none"/>
        </w:rPr>
        <w:t>分钟，系统将最高有效</w:t>
      </w:r>
      <w:r>
        <w:rPr>
          <w:rFonts w:hint="eastAsia" w:ascii="仿宋" w:hAnsi="仿宋" w:eastAsia="仿宋"/>
          <w:sz w:val="32"/>
          <w:szCs w:val="32"/>
        </w:rPr>
        <w:t>报价进行提示。挂牌截止时，系统自动关闭报价通道。</w:t>
      </w:r>
    </w:p>
    <w:p w14:paraId="279F6943">
      <w:pPr>
        <w:spacing w:line="360" w:lineRule="auto"/>
        <w:ind w:firstLine="640" w:firstLineChars="200"/>
        <w:rPr>
          <w:rFonts w:ascii="仿宋" w:hAnsi="仿宋" w:eastAsia="仿宋"/>
          <w:sz w:val="32"/>
          <w:szCs w:val="32"/>
        </w:rPr>
      </w:pPr>
      <w:r>
        <w:rPr>
          <w:rFonts w:hint="eastAsia" w:ascii="仿宋" w:hAnsi="仿宋" w:eastAsia="仿宋"/>
          <w:sz w:val="32"/>
          <w:szCs w:val="32"/>
        </w:rPr>
        <w:t>4、网上挂牌期限截止时，无人参与网上报价的，挂牌结束，挂牌不成交。</w:t>
      </w:r>
    </w:p>
    <w:p w14:paraId="3B545F7C">
      <w:pPr>
        <w:spacing w:line="360" w:lineRule="auto"/>
        <w:ind w:firstLine="640" w:firstLineChars="200"/>
        <w:rPr>
          <w:rFonts w:ascii="仿宋" w:hAnsi="仿宋" w:eastAsia="仿宋"/>
          <w:sz w:val="32"/>
          <w:szCs w:val="32"/>
        </w:rPr>
      </w:pPr>
      <w:r>
        <w:rPr>
          <w:rFonts w:hint="eastAsia" w:ascii="仿宋" w:hAnsi="仿宋" w:eastAsia="仿宋"/>
          <w:sz w:val="32"/>
          <w:szCs w:val="32"/>
        </w:rPr>
        <w:t>5、挂牌期内有一个或者一个以上的竞买人报价的，在网上挂牌期限截止后，系统提示竞买人是否参与限时竞价，提示时间设定为</w:t>
      </w:r>
      <w:r>
        <w:rPr>
          <w:rFonts w:ascii="仿宋" w:hAnsi="仿宋" w:eastAsia="仿宋"/>
          <w:sz w:val="32"/>
          <w:szCs w:val="32"/>
        </w:rPr>
        <w:t>10</w:t>
      </w:r>
      <w:r>
        <w:rPr>
          <w:rFonts w:hint="eastAsia" w:ascii="仿宋" w:hAnsi="仿宋" w:eastAsia="仿宋"/>
          <w:sz w:val="32"/>
          <w:szCs w:val="32"/>
        </w:rPr>
        <w:t>分钟。</w:t>
      </w:r>
    </w:p>
    <w:p w14:paraId="730D3902">
      <w:pPr>
        <w:spacing w:line="360" w:lineRule="auto"/>
        <w:ind w:firstLine="640" w:firstLineChars="200"/>
        <w:rPr>
          <w:rFonts w:ascii="仿宋" w:hAnsi="仿宋" w:eastAsia="仿宋"/>
          <w:sz w:val="32"/>
          <w:szCs w:val="32"/>
        </w:rPr>
      </w:pPr>
      <w:r>
        <w:rPr>
          <w:rFonts w:hint="eastAsia" w:ascii="仿宋" w:hAnsi="仿宋" w:eastAsia="仿宋"/>
          <w:sz w:val="32"/>
          <w:szCs w:val="32"/>
        </w:rPr>
        <w:t>6、无竞买人选择参与限时竞价的，挂牌交易结束。挂牌出价最高且不低于起价的有效报价人为竞得入选人。</w:t>
      </w:r>
    </w:p>
    <w:p w14:paraId="65743735">
      <w:pPr>
        <w:spacing w:line="360" w:lineRule="auto"/>
        <w:ind w:firstLine="640" w:firstLineChars="200"/>
        <w:rPr>
          <w:rFonts w:ascii="仿宋" w:hAnsi="仿宋" w:eastAsia="仿宋"/>
          <w:sz w:val="32"/>
          <w:szCs w:val="32"/>
        </w:rPr>
      </w:pPr>
      <w:r>
        <w:rPr>
          <w:rFonts w:hint="eastAsia" w:ascii="仿宋" w:hAnsi="仿宋" w:eastAsia="仿宋"/>
          <w:sz w:val="32"/>
          <w:szCs w:val="32"/>
        </w:rPr>
        <w:t>7、有竞买人选择参与限时竞价的，系统进入限时竞价程序，所有竞买人均可参与限时竞价。</w:t>
      </w:r>
    </w:p>
    <w:p w14:paraId="680421C8">
      <w:pPr>
        <w:spacing w:line="360" w:lineRule="auto"/>
        <w:ind w:firstLine="640" w:firstLineChars="200"/>
        <w:rPr>
          <w:rFonts w:ascii="仿宋" w:hAnsi="仿宋" w:eastAsia="仿宋"/>
          <w:sz w:val="32"/>
          <w:szCs w:val="32"/>
        </w:rPr>
      </w:pPr>
      <w:r>
        <w:rPr>
          <w:rFonts w:hint="eastAsia" w:ascii="仿宋" w:hAnsi="仿宋" w:eastAsia="仿宋"/>
          <w:sz w:val="32"/>
          <w:szCs w:val="32"/>
        </w:rPr>
        <w:t>（二）限时竞价按以下程序进行：</w:t>
      </w:r>
    </w:p>
    <w:p w14:paraId="126235F9">
      <w:pPr>
        <w:spacing w:line="360" w:lineRule="auto"/>
        <w:ind w:firstLine="640" w:firstLineChars="200"/>
        <w:rPr>
          <w:rFonts w:ascii="仿宋" w:hAnsi="仿宋" w:eastAsia="仿宋"/>
          <w:sz w:val="32"/>
          <w:szCs w:val="32"/>
        </w:rPr>
      </w:pPr>
      <w:r>
        <w:rPr>
          <w:rFonts w:hint="eastAsia" w:ascii="仿宋" w:hAnsi="仿宋" w:eastAsia="仿宋"/>
          <w:sz w:val="32"/>
          <w:szCs w:val="32"/>
        </w:rPr>
        <w:t>1、进入限时竞价阶段，竞买人每次报价不得小于规定的增加幅度，交易系统以</w:t>
      </w:r>
      <w:r>
        <w:rPr>
          <w:rFonts w:ascii="仿宋" w:hAnsi="仿宋" w:eastAsia="仿宋"/>
          <w:sz w:val="32"/>
          <w:szCs w:val="32"/>
        </w:rPr>
        <w:t>4</w:t>
      </w:r>
      <w:r>
        <w:rPr>
          <w:rFonts w:hint="eastAsia" w:ascii="仿宋" w:hAnsi="仿宋" w:eastAsia="仿宋"/>
          <w:sz w:val="32"/>
          <w:szCs w:val="32"/>
        </w:rPr>
        <w:t>分钟为竞价时限，如在</w:t>
      </w:r>
      <w:r>
        <w:rPr>
          <w:rFonts w:ascii="仿宋" w:hAnsi="仿宋" w:eastAsia="仿宋"/>
          <w:sz w:val="32"/>
          <w:szCs w:val="32"/>
        </w:rPr>
        <w:t>4</w:t>
      </w:r>
      <w:r>
        <w:rPr>
          <w:rFonts w:hint="eastAsia" w:ascii="仿宋" w:hAnsi="仿宋" w:eastAsia="仿宋"/>
          <w:sz w:val="32"/>
          <w:szCs w:val="32"/>
        </w:rPr>
        <w:t>分钟倒计时内有新的有效报价，系统即从接受新的有效报价起重新计时。</w:t>
      </w:r>
    </w:p>
    <w:p w14:paraId="67A0A5D3">
      <w:pPr>
        <w:spacing w:line="360" w:lineRule="auto"/>
        <w:ind w:firstLine="640" w:firstLineChars="200"/>
        <w:rPr>
          <w:rFonts w:ascii="仿宋" w:hAnsi="仿宋" w:eastAsia="仿宋"/>
          <w:sz w:val="32"/>
          <w:szCs w:val="32"/>
        </w:rPr>
      </w:pPr>
      <w:r>
        <w:rPr>
          <w:rFonts w:hint="eastAsia" w:ascii="仿宋" w:hAnsi="仿宋" w:eastAsia="仿宋"/>
          <w:sz w:val="32"/>
          <w:szCs w:val="32"/>
        </w:rPr>
        <w:t>2、每次</w:t>
      </w:r>
      <w:r>
        <w:rPr>
          <w:rFonts w:ascii="仿宋" w:hAnsi="仿宋" w:eastAsia="仿宋"/>
          <w:sz w:val="32"/>
          <w:szCs w:val="32"/>
        </w:rPr>
        <w:t>4</w:t>
      </w:r>
      <w:r>
        <w:rPr>
          <w:rFonts w:hint="eastAsia" w:ascii="仿宋" w:hAnsi="仿宋" w:eastAsia="仿宋"/>
          <w:sz w:val="32"/>
          <w:szCs w:val="32"/>
        </w:rPr>
        <w:t>分钟倒计时的最后</w:t>
      </w:r>
      <w:r>
        <w:rPr>
          <w:rFonts w:ascii="仿宋" w:hAnsi="仿宋" w:eastAsia="仿宋"/>
          <w:sz w:val="32"/>
          <w:szCs w:val="32"/>
        </w:rPr>
        <w:t xml:space="preserve">1 </w:t>
      </w:r>
      <w:r>
        <w:rPr>
          <w:rFonts w:hint="eastAsia" w:ascii="仿宋" w:hAnsi="仿宋" w:eastAsia="仿宋"/>
          <w:sz w:val="32"/>
          <w:szCs w:val="32"/>
        </w:rPr>
        <w:t>分钟内，网上交易系统自动出现限时竞价即将截止的</w:t>
      </w:r>
      <w:r>
        <w:rPr>
          <w:rFonts w:ascii="仿宋" w:hAnsi="仿宋" w:eastAsia="仿宋"/>
          <w:sz w:val="32"/>
          <w:szCs w:val="32"/>
        </w:rPr>
        <w:t>3</w:t>
      </w:r>
      <w:r>
        <w:rPr>
          <w:rFonts w:hint="eastAsia" w:ascii="仿宋" w:hAnsi="仿宋" w:eastAsia="仿宋"/>
          <w:sz w:val="32"/>
          <w:szCs w:val="32"/>
        </w:rPr>
        <w:t>次提示。</w:t>
      </w:r>
      <w:r>
        <w:rPr>
          <w:rFonts w:ascii="仿宋" w:hAnsi="仿宋" w:eastAsia="仿宋"/>
          <w:sz w:val="32"/>
          <w:szCs w:val="32"/>
        </w:rPr>
        <w:t>4</w:t>
      </w:r>
      <w:r>
        <w:rPr>
          <w:rFonts w:hint="eastAsia" w:ascii="仿宋" w:hAnsi="仿宋" w:eastAsia="仿宋"/>
          <w:sz w:val="32"/>
          <w:szCs w:val="32"/>
        </w:rPr>
        <w:t>分钟倒计时截止，限时竞价结束，系统不再接受新的报价，并显示最高报价。</w:t>
      </w:r>
    </w:p>
    <w:p w14:paraId="4F7D7E9D">
      <w:pPr>
        <w:spacing w:line="360" w:lineRule="auto"/>
        <w:ind w:firstLine="640" w:firstLineChars="200"/>
        <w:rPr>
          <w:rFonts w:ascii="仿宋" w:hAnsi="仿宋" w:eastAsia="仿宋"/>
          <w:sz w:val="32"/>
          <w:szCs w:val="32"/>
        </w:rPr>
      </w:pPr>
      <w:r>
        <w:rPr>
          <w:rFonts w:hint="eastAsia" w:ascii="仿宋" w:hAnsi="仿宋" w:eastAsia="仿宋"/>
          <w:sz w:val="32"/>
          <w:szCs w:val="32"/>
        </w:rPr>
        <w:t>3、限时竞价截止时，按下列规定确定竞得入选人：</w:t>
      </w:r>
    </w:p>
    <w:p w14:paraId="1317E330">
      <w:pPr>
        <w:spacing w:line="360" w:lineRule="auto"/>
        <w:ind w:firstLine="640" w:firstLineChars="200"/>
        <w:rPr>
          <w:rFonts w:ascii="仿宋" w:hAnsi="仿宋" w:eastAsia="仿宋"/>
          <w:sz w:val="32"/>
          <w:szCs w:val="32"/>
        </w:rPr>
      </w:pPr>
      <w:r>
        <w:rPr>
          <w:rFonts w:hint="eastAsia" w:ascii="仿宋" w:hAnsi="仿宋" w:eastAsia="仿宋"/>
          <w:sz w:val="32"/>
          <w:szCs w:val="32"/>
        </w:rPr>
        <w:t>（1）限时竞价期间无人报价的，挂牌截止时出价最高者为竞得入选人，但报价低于起价的除外；</w:t>
      </w:r>
      <w:r>
        <w:rPr>
          <w:rFonts w:ascii="仿宋" w:hAnsi="仿宋" w:eastAsia="仿宋"/>
          <w:sz w:val="32"/>
          <w:szCs w:val="32"/>
        </w:rPr>
        <w:t xml:space="preserve"> </w:t>
      </w:r>
    </w:p>
    <w:p w14:paraId="773A9BD6">
      <w:pPr>
        <w:spacing w:line="360" w:lineRule="auto"/>
        <w:ind w:firstLine="640" w:firstLineChars="200"/>
        <w:rPr>
          <w:rFonts w:ascii="仿宋" w:hAnsi="仿宋" w:eastAsia="仿宋"/>
          <w:sz w:val="32"/>
          <w:szCs w:val="32"/>
        </w:rPr>
      </w:pPr>
      <w:r>
        <w:rPr>
          <w:rFonts w:hint="eastAsia" w:ascii="仿宋" w:hAnsi="仿宋" w:eastAsia="仿宋"/>
          <w:sz w:val="32"/>
          <w:szCs w:val="32"/>
        </w:rPr>
        <w:t>（2）限时竞价期间有人报价的，报价最高者即为竞得入选人，但报价低于起价的除外；</w:t>
      </w:r>
    </w:p>
    <w:p w14:paraId="37219789">
      <w:pPr>
        <w:spacing w:line="360" w:lineRule="auto"/>
        <w:ind w:firstLine="640" w:firstLineChars="200"/>
        <w:rPr>
          <w:rFonts w:ascii="仿宋" w:hAnsi="仿宋" w:eastAsia="仿宋"/>
          <w:sz w:val="32"/>
          <w:szCs w:val="32"/>
        </w:rPr>
      </w:pPr>
      <w:r>
        <w:rPr>
          <w:rFonts w:hint="eastAsia" w:ascii="仿宋" w:hAnsi="仿宋" w:eastAsia="仿宋"/>
          <w:sz w:val="32"/>
          <w:szCs w:val="32"/>
        </w:rPr>
        <w:t>（三）以下情形为无效报价：</w:t>
      </w:r>
    </w:p>
    <w:p w14:paraId="4B70BBF8">
      <w:pPr>
        <w:spacing w:line="360" w:lineRule="auto"/>
        <w:ind w:firstLine="640" w:firstLineChars="200"/>
        <w:rPr>
          <w:rFonts w:ascii="仿宋" w:hAnsi="仿宋" w:eastAsia="仿宋"/>
          <w:sz w:val="32"/>
          <w:szCs w:val="32"/>
        </w:rPr>
      </w:pPr>
      <w:r>
        <w:rPr>
          <w:rFonts w:hint="eastAsia" w:ascii="仿宋" w:hAnsi="仿宋" w:eastAsia="仿宋"/>
          <w:sz w:val="32"/>
          <w:szCs w:val="32"/>
        </w:rPr>
        <w:t>1、未按增加幅度规定报价的；</w:t>
      </w:r>
    </w:p>
    <w:p w14:paraId="1D63009C">
      <w:pPr>
        <w:spacing w:line="360" w:lineRule="auto"/>
        <w:ind w:firstLine="640" w:firstLineChars="200"/>
        <w:rPr>
          <w:rFonts w:ascii="仿宋" w:hAnsi="仿宋" w:eastAsia="仿宋"/>
          <w:sz w:val="32"/>
          <w:szCs w:val="32"/>
        </w:rPr>
      </w:pPr>
      <w:r>
        <w:rPr>
          <w:rFonts w:hint="eastAsia" w:ascii="仿宋" w:hAnsi="仿宋" w:eastAsia="仿宋"/>
          <w:sz w:val="32"/>
          <w:szCs w:val="32"/>
        </w:rPr>
        <w:t>2、报价低于起价的</w:t>
      </w:r>
    </w:p>
    <w:p w14:paraId="5E8BAE0F">
      <w:pPr>
        <w:spacing w:line="360" w:lineRule="auto"/>
        <w:ind w:firstLine="640" w:firstLineChars="200"/>
        <w:rPr>
          <w:rFonts w:ascii="仿宋" w:hAnsi="仿宋" w:eastAsia="仿宋"/>
          <w:sz w:val="32"/>
          <w:szCs w:val="32"/>
        </w:rPr>
      </w:pPr>
      <w:r>
        <w:rPr>
          <w:rFonts w:hint="eastAsia" w:ascii="仿宋" w:hAnsi="仿宋" w:eastAsia="仿宋"/>
          <w:sz w:val="32"/>
          <w:szCs w:val="32"/>
        </w:rPr>
        <w:t>3、其它按规定应属无效的。</w:t>
      </w:r>
    </w:p>
    <w:p w14:paraId="5C3385BE">
      <w:pPr>
        <w:spacing w:line="360" w:lineRule="auto"/>
        <w:ind w:firstLine="640" w:firstLineChars="200"/>
        <w:rPr>
          <w:rFonts w:ascii="仿宋" w:hAnsi="仿宋" w:eastAsia="仿宋"/>
          <w:sz w:val="32"/>
          <w:szCs w:val="32"/>
        </w:rPr>
      </w:pPr>
      <w:r>
        <w:rPr>
          <w:rFonts w:hint="eastAsia" w:ascii="仿宋" w:hAnsi="仿宋" w:eastAsia="仿宋"/>
          <w:sz w:val="32"/>
          <w:szCs w:val="32"/>
        </w:rPr>
        <w:t>十六、受让人资格审核</w:t>
      </w:r>
    </w:p>
    <w:p w14:paraId="026D2C78">
      <w:pPr>
        <w:spacing w:line="360" w:lineRule="auto"/>
        <w:ind w:firstLine="640" w:firstLineChars="200"/>
        <w:rPr>
          <w:rFonts w:ascii="仿宋" w:hAnsi="仿宋" w:eastAsia="仿宋"/>
          <w:sz w:val="32"/>
          <w:szCs w:val="32"/>
        </w:rPr>
      </w:pPr>
      <w:r>
        <w:rPr>
          <w:rFonts w:hint="eastAsia" w:ascii="仿宋" w:hAnsi="仿宋" w:eastAsia="仿宋"/>
          <w:sz w:val="32"/>
          <w:szCs w:val="32"/>
        </w:rPr>
        <w:t>国有建设用地使用权网上挂牌出让采取资格后审方式，即先竞买，后审查资格。竞买申请人应认真、全面、系统阅读《挂牌出让文件》、《浙江省国有建设用地使用权网上交易规则》，竞买人申请竞买即视为对上述内容、规则等无异议。</w:t>
      </w:r>
    </w:p>
    <w:p w14:paraId="20E99FD4">
      <w:pPr>
        <w:spacing w:line="360" w:lineRule="auto"/>
        <w:ind w:firstLine="640" w:firstLineChars="200"/>
        <w:rPr>
          <w:rFonts w:ascii="仿宋" w:hAnsi="仿宋" w:eastAsia="仿宋"/>
          <w:sz w:val="32"/>
          <w:szCs w:val="32"/>
        </w:rPr>
      </w:pPr>
      <w:r>
        <w:rPr>
          <w:rFonts w:hint="eastAsia" w:ascii="仿宋" w:hAnsi="仿宋" w:eastAsia="仿宋"/>
          <w:sz w:val="32"/>
          <w:szCs w:val="32"/>
        </w:rPr>
        <w:t>竞得入选人应当从竞得之日起5个工作日内持从网上下载打印的《竞得入选人通知书》和下列资料到杭州市规划和自然资源局萧山分局接受资格审核。</w:t>
      </w:r>
    </w:p>
    <w:p w14:paraId="4437CFCA">
      <w:pPr>
        <w:spacing w:line="360" w:lineRule="auto"/>
        <w:ind w:firstLine="640" w:firstLineChars="200"/>
        <w:rPr>
          <w:rFonts w:ascii="仿宋" w:hAnsi="仿宋" w:eastAsia="仿宋"/>
          <w:sz w:val="32"/>
          <w:szCs w:val="32"/>
        </w:rPr>
      </w:pPr>
      <w:r>
        <w:rPr>
          <w:rFonts w:hint="eastAsia" w:ascii="仿宋" w:hAnsi="仿宋" w:eastAsia="仿宋"/>
          <w:sz w:val="32"/>
          <w:szCs w:val="32"/>
        </w:rPr>
        <w:t>（一）从网上下载打印的《竞买申请书》，法人加盖公章，法人代表签名。</w:t>
      </w:r>
    </w:p>
    <w:p w14:paraId="5D71969A">
      <w:pPr>
        <w:spacing w:line="360" w:lineRule="auto"/>
        <w:ind w:firstLine="640" w:firstLineChars="200"/>
        <w:rPr>
          <w:rFonts w:ascii="仿宋" w:hAnsi="仿宋" w:eastAsia="仿宋"/>
          <w:sz w:val="32"/>
          <w:szCs w:val="32"/>
        </w:rPr>
      </w:pPr>
      <w:r>
        <w:rPr>
          <w:rFonts w:hint="eastAsia" w:ascii="仿宋" w:hAnsi="仿宋" w:eastAsia="仿宋"/>
          <w:sz w:val="32"/>
          <w:szCs w:val="32"/>
        </w:rPr>
        <w:t>（二）从网上下载打印的《竞买声明书》，法人加盖公章。</w:t>
      </w:r>
    </w:p>
    <w:p w14:paraId="2A4A37B7">
      <w:pPr>
        <w:spacing w:line="360" w:lineRule="auto"/>
        <w:ind w:firstLine="640" w:firstLineChars="200"/>
        <w:rPr>
          <w:rFonts w:ascii="仿宋" w:hAnsi="仿宋" w:eastAsia="仿宋"/>
          <w:sz w:val="32"/>
          <w:szCs w:val="32"/>
        </w:rPr>
      </w:pPr>
      <w:r>
        <w:rPr>
          <w:rFonts w:hint="eastAsia" w:ascii="仿宋" w:hAnsi="仿宋" w:eastAsia="仿宋"/>
          <w:sz w:val="32"/>
          <w:szCs w:val="32"/>
        </w:rPr>
        <w:t>（三）单位资格证明复印件，机关事业单位提供组织机构代码证，社会团体提供法人登记证书，企业及其他组织提供有效的工商营业执照副本。</w:t>
      </w:r>
    </w:p>
    <w:p w14:paraId="627A07D9">
      <w:pPr>
        <w:spacing w:line="360" w:lineRule="auto"/>
        <w:ind w:firstLine="640" w:firstLineChars="200"/>
        <w:rPr>
          <w:rFonts w:ascii="仿宋" w:hAnsi="仿宋" w:eastAsia="仿宋"/>
          <w:sz w:val="32"/>
          <w:szCs w:val="32"/>
        </w:rPr>
      </w:pPr>
      <w:r>
        <w:rPr>
          <w:rFonts w:hint="eastAsia" w:ascii="仿宋" w:hAnsi="仿宋" w:eastAsia="仿宋"/>
          <w:sz w:val="32"/>
          <w:szCs w:val="32"/>
        </w:rPr>
        <w:t>（四）法定代表人身份证明（原件）和身份证或护照复印件（申请人委托他人办理的，应提交授权委托书及委托代理人的有效身份证明文件原件）。</w:t>
      </w:r>
    </w:p>
    <w:p w14:paraId="2A0B1FB6">
      <w:pPr>
        <w:spacing w:line="360" w:lineRule="auto"/>
        <w:ind w:firstLine="640" w:firstLineChars="200"/>
        <w:rPr>
          <w:rFonts w:ascii="仿宋" w:hAnsi="仿宋" w:eastAsia="仿宋"/>
          <w:sz w:val="32"/>
          <w:szCs w:val="32"/>
        </w:rPr>
      </w:pPr>
      <w:r>
        <w:rPr>
          <w:rFonts w:hint="eastAsia" w:ascii="仿宋" w:hAnsi="仿宋" w:eastAsia="仿宋"/>
          <w:sz w:val="32"/>
          <w:szCs w:val="32"/>
        </w:rPr>
        <w:t>（五）竞得人需成立项目公司进行开发建设的，从网上下载打印《拟成立新公司申请书》，法人加盖公章（自然人签名）。</w:t>
      </w:r>
    </w:p>
    <w:p w14:paraId="45E13371">
      <w:pPr>
        <w:spacing w:line="360" w:lineRule="auto"/>
        <w:ind w:firstLine="640" w:firstLineChars="200"/>
        <w:rPr>
          <w:rFonts w:ascii="仿宋" w:hAnsi="仿宋" w:eastAsia="仿宋"/>
          <w:sz w:val="32"/>
          <w:szCs w:val="32"/>
        </w:rPr>
      </w:pPr>
      <w:r>
        <w:rPr>
          <w:rFonts w:hint="eastAsia" w:ascii="仿宋" w:hAnsi="仿宋" w:eastAsia="仿宋"/>
          <w:sz w:val="32"/>
          <w:szCs w:val="32"/>
        </w:rPr>
        <w:t>（六）联合申请各方必须提供满足各自条件的资格证明文件（复印件）及联合竞买协议书（原件），协议应规定联合各方的权利、义务，并明确签订《国有建设用地使用权出让合同》时的受让人。</w:t>
      </w:r>
    </w:p>
    <w:p w14:paraId="4BB6E434">
      <w:pPr>
        <w:spacing w:line="360" w:lineRule="auto"/>
        <w:ind w:firstLine="640" w:firstLineChars="200"/>
        <w:rPr>
          <w:rFonts w:ascii="仿宋" w:hAnsi="仿宋" w:eastAsia="仿宋"/>
          <w:sz w:val="32"/>
          <w:szCs w:val="32"/>
        </w:rPr>
      </w:pPr>
      <w:r>
        <w:rPr>
          <w:rFonts w:hint="eastAsia" w:ascii="仿宋" w:hAnsi="仿宋" w:eastAsia="仿宋"/>
          <w:sz w:val="32"/>
          <w:szCs w:val="32"/>
        </w:rPr>
        <w:t>上述材料应提供简体中文版，涉外或涉港澳台的，还应翻译成简体中文并经依法公证、确认。</w:t>
      </w:r>
    </w:p>
    <w:p w14:paraId="02231F8B">
      <w:pPr>
        <w:spacing w:line="360" w:lineRule="auto"/>
        <w:ind w:firstLine="640" w:firstLineChars="200"/>
        <w:rPr>
          <w:rFonts w:ascii="仿宋" w:hAnsi="仿宋" w:eastAsia="仿宋"/>
          <w:sz w:val="32"/>
          <w:szCs w:val="32"/>
        </w:rPr>
      </w:pPr>
      <w:r>
        <w:rPr>
          <w:rFonts w:hint="eastAsia" w:ascii="仿宋" w:hAnsi="仿宋" w:eastAsia="仿宋"/>
          <w:sz w:val="32"/>
          <w:szCs w:val="32"/>
        </w:rPr>
        <w:t>通过审核后，即视为成交，须当场与出让人签订《成交确认书》。委托他人代签的，应提交法定代表人亲笔签名并盖章的授权委托书。《成交确认书》对出让人和竞得人具有法律效力，出让人改变挂牌结果的，或者竞得人放弃竞得宗地的，应当承担法律责任。</w:t>
      </w:r>
    </w:p>
    <w:p w14:paraId="11450001">
      <w:pPr>
        <w:spacing w:line="360" w:lineRule="auto"/>
        <w:ind w:firstLine="640" w:firstLineChars="200"/>
        <w:rPr>
          <w:rFonts w:ascii="仿宋" w:hAnsi="仿宋" w:eastAsia="仿宋"/>
          <w:sz w:val="32"/>
          <w:szCs w:val="32"/>
        </w:rPr>
      </w:pPr>
    </w:p>
    <w:p w14:paraId="61B9B548">
      <w:pPr>
        <w:pStyle w:val="3"/>
        <w:snapToGrid w:val="0"/>
        <w:spacing w:before="249" w:beforeLines="80" w:after="249" w:afterLines="80" w:line="240" w:lineRule="auto"/>
        <w:jc w:val="center"/>
        <w:rPr>
          <w:rFonts w:ascii="Times New Roman" w:hAnsi="Times New Roman"/>
          <w:color w:val="000000"/>
        </w:rPr>
      </w:pPr>
      <w:r>
        <w:rPr>
          <w:rFonts w:ascii="Times New Roman" w:hAnsi="Times New Roman"/>
          <w:color w:val="000000"/>
        </w:rPr>
        <w:t>第六章  其 他</w:t>
      </w:r>
    </w:p>
    <w:p w14:paraId="5EFAE405">
      <w:pPr>
        <w:spacing w:line="360" w:lineRule="auto"/>
        <w:ind w:firstLine="640" w:firstLineChars="200"/>
        <w:rPr>
          <w:rFonts w:ascii="仿宋" w:hAnsi="仿宋" w:eastAsia="仿宋"/>
          <w:sz w:val="32"/>
          <w:szCs w:val="32"/>
        </w:rPr>
      </w:pPr>
      <w:r>
        <w:rPr>
          <w:rFonts w:hint="eastAsia" w:ascii="仿宋" w:hAnsi="仿宋" w:eastAsia="仿宋"/>
          <w:sz w:val="32"/>
          <w:szCs w:val="32"/>
        </w:rPr>
        <w:t>十七、竞得入选人有下列行为之一的，竞得入选结果无效，竞买保证金不予退还，造成损失的，应当依法承担赔偿责任：</w:t>
      </w:r>
    </w:p>
    <w:p w14:paraId="45309937">
      <w:pPr>
        <w:spacing w:line="360" w:lineRule="auto"/>
        <w:ind w:firstLine="640" w:firstLineChars="200"/>
        <w:rPr>
          <w:rFonts w:ascii="仿宋" w:hAnsi="仿宋" w:eastAsia="仿宋"/>
          <w:sz w:val="32"/>
          <w:szCs w:val="32"/>
        </w:rPr>
      </w:pPr>
      <w:r>
        <w:rPr>
          <w:rFonts w:hint="eastAsia" w:ascii="仿宋" w:hAnsi="仿宋" w:eastAsia="仿宋"/>
          <w:sz w:val="32"/>
          <w:szCs w:val="32"/>
        </w:rPr>
        <w:t>（一）提供虚假文件隐瞒事实的；</w:t>
      </w:r>
    </w:p>
    <w:p w14:paraId="276EAEDE">
      <w:pPr>
        <w:spacing w:line="360" w:lineRule="auto"/>
        <w:ind w:firstLine="640" w:firstLineChars="200"/>
        <w:rPr>
          <w:rFonts w:ascii="仿宋" w:hAnsi="仿宋" w:eastAsia="仿宋"/>
          <w:sz w:val="32"/>
          <w:szCs w:val="32"/>
        </w:rPr>
      </w:pPr>
      <w:r>
        <w:rPr>
          <w:rFonts w:hint="eastAsia" w:ascii="仿宋" w:hAnsi="仿宋" w:eastAsia="仿宋"/>
          <w:sz w:val="32"/>
          <w:szCs w:val="32"/>
        </w:rPr>
        <w:t>（二）采取行贿、恶意串通等非法手段竞得的；</w:t>
      </w:r>
    </w:p>
    <w:p w14:paraId="6E4D24C9">
      <w:pPr>
        <w:spacing w:line="360" w:lineRule="auto"/>
        <w:ind w:firstLine="640" w:firstLineChars="200"/>
        <w:rPr>
          <w:rFonts w:ascii="仿宋" w:hAnsi="仿宋" w:eastAsia="仿宋"/>
          <w:sz w:val="32"/>
          <w:szCs w:val="32"/>
        </w:rPr>
      </w:pPr>
      <w:r>
        <w:rPr>
          <w:rFonts w:hint="eastAsia" w:ascii="仿宋" w:hAnsi="仿宋" w:eastAsia="仿宋"/>
          <w:sz w:val="32"/>
          <w:szCs w:val="32"/>
        </w:rPr>
        <w:t>（三）其他违法违规竞买行为。</w:t>
      </w:r>
    </w:p>
    <w:p w14:paraId="58F19B86">
      <w:pPr>
        <w:spacing w:line="360" w:lineRule="auto"/>
        <w:ind w:firstLine="640" w:firstLineChars="200"/>
        <w:rPr>
          <w:rFonts w:ascii="仿宋" w:hAnsi="仿宋" w:eastAsia="仿宋"/>
          <w:sz w:val="32"/>
          <w:szCs w:val="32"/>
        </w:rPr>
      </w:pPr>
      <w:r>
        <w:rPr>
          <w:rFonts w:hint="eastAsia" w:ascii="仿宋" w:hAnsi="仿宋" w:eastAsia="仿宋"/>
          <w:sz w:val="32"/>
          <w:szCs w:val="32"/>
        </w:rPr>
        <w:t>十八、若</w:t>
      </w:r>
      <w:bookmarkStart w:id="16" w:name="OLE_LINK23"/>
      <w:r>
        <w:rPr>
          <w:rFonts w:hint="eastAsia" w:ascii="仿宋" w:hAnsi="仿宋" w:eastAsia="仿宋"/>
          <w:sz w:val="32"/>
          <w:szCs w:val="32"/>
        </w:rPr>
        <w:t>竞得入选人</w:t>
      </w:r>
      <w:bookmarkEnd w:id="16"/>
      <w:r>
        <w:rPr>
          <w:rFonts w:hint="eastAsia" w:ascii="仿宋" w:hAnsi="仿宋" w:eastAsia="仿宋"/>
          <w:sz w:val="32"/>
          <w:szCs w:val="32"/>
        </w:rPr>
        <w:t>资格不符合竞买人条件，即视为违约，出让人有权取消竞得入选人的竞得资格，竞买保证金不予返还，出让人有权对该国有建设用地使用权另行出让。此外，竞得入选人还将承担本次挂牌出让活动所支出的全部费用及由此造成的相应损失。</w:t>
      </w:r>
    </w:p>
    <w:p w14:paraId="6AC60060">
      <w:pPr>
        <w:spacing w:line="360" w:lineRule="auto"/>
        <w:ind w:firstLine="640" w:firstLineChars="200"/>
        <w:rPr>
          <w:rFonts w:ascii="仿宋" w:hAnsi="仿宋" w:eastAsia="仿宋"/>
          <w:sz w:val="32"/>
          <w:szCs w:val="32"/>
        </w:rPr>
      </w:pPr>
      <w:r>
        <w:rPr>
          <w:rFonts w:hint="eastAsia" w:ascii="仿宋" w:hAnsi="仿宋" w:eastAsia="仿宋"/>
          <w:sz w:val="32"/>
          <w:szCs w:val="32"/>
        </w:rPr>
        <w:t>十九、有下列情形之一的，出让人应当终止挂牌活动，并通知竞买人：</w:t>
      </w:r>
    </w:p>
    <w:p w14:paraId="29CFC66E">
      <w:pPr>
        <w:spacing w:line="360" w:lineRule="auto"/>
        <w:ind w:firstLine="640" w:firstLineChars="200"/>
        <w:rPr>
          <w:rFonts w:ascii="仿宋" w:hAnsi="仿宋" w:eastAsia="仿宋"/>
          <w:sz w:val="32"/>
          <w:szCs w:val="32"/>
        </w:rPr>
      </w:pPr>
      <w:r>
        <w:rPr>
          <w:rFonts w:hint="eastAsia" w:ascii="仿宋" w:hAnsi="仿宋" w:eastAsia="仿宋"/>
          <w:sz w:val="32"/>
          <w:szCs w:val="32"/>
        </w:rPr>
        <w:t>（一）竞买人串通损害国家利益、社会利益或他人合法权益的；</w:t>
      </w:r>
    </w:p>
    <w:p w14:paraId="6429B373">
      <w:pPr>
        <w:spacing w:line="360" w:lineRule="auto"/>
        <w:ind w:firstLine="640" w:firstLineChars="200"/>
        <w:rPr>
          <w:rFonts w:ascii="仿宋" w:hAnsi="仿宋" w:eastAsia="仿宋"/>
          <w:sz w:val="32"/>
          <w:szCs w:val="32"/>
        </w:rPr>
      </w:pPr>
      <w:r>
        <w:rPr>
          <w:rFonts w:hint="eastAsia" w:ascii="仿宋" w:hAnsi="仿宋" w:eastAsia="仿宋"/>
          <w:sz w:val="32"/>
          <w:szCs w:val="32"/>
        </w:rPr>
        <w:t>（二）挂牌工作人员、监督人员私下接触竞买人，以致影响挂牌公正性的；</w:t>
      </w:r>
    </w:p>
    <w:p w14:paraId="1BC85882">
      <w:pPr>
        <w:spacing w:line="360" w:lineRule="auto"/>
        <w:ind w:firstLine="640" w:firstLineChars="200"/>
        <w:rPr>
          <w:rFonts w:ascii="仿宋" w:hAnsi="仿宋" w:eastAsia="仿宋"/>
          <w:sz w:val="32"/>
          <w:szCs w:val="32"/>
        </w:rPr>
      </w:pPr>
      <w:r>
        <w:rPr>
          <w:rFonts w:hint="eastAsia" w:ascii="仿宋" w:hAnsi="仿宋" w:eastAsia="仿宋"/>
          <w:sz w:val="32"/>
          <w:szCs w:val="32"/>
        </w:rPr>
        <w:t>（三）应当依法终止挂牌活动的其他情形。</w:t>
      </w:r>
    </w:p>
    <w:p w14:paraId="58713F6C">
      <w:pPr>
        <w:spacing w:line="360" w:lineRule="auto"/>
        <w:ind w:firstLine="640" w:firstLineChars="200"/>
        <w:rPr>
          <w:rFonts w:ascii="仿宋" w:hAnsi="仿宋" w:eastAsia="仿宋"/>
          <w:sz w:val="32"/>
          <w:szCs w:val="32"/>
        </w:rPr>
      </w:pPr>
      <w:r>
        <w:rPr>
          <w:rFonts w:hint="eastAsia" w:ascii="仿宋" w:hAnsi="仿宋" w:eastAsia="仿宋"/>
          <w:sz w:val="32"/>
          <w:szCs w:val="32"/>
        </w:rPr>
        <w:t>二十、竞得人有下列行为之一的，视为违约，出让人可取消其竞得人资格，竞买保证金不予退还：</w:t>
      </w:r>
    </w:p>
    <w:p w14:paraId="3E112D36">
      <w:pPr>
        <w:spacing w:line="360" w:lineRule="auto"/>
        <w:ind w:firstLine="640" w:firstLineChars="200"/>
        <w:rPr>
          <w:rFonts w:ascii="仿宋" w:hAnsi="仿宋" w:eastAsia="仿宋"/>
          <w:sz w:val="32"/>
          <w:szCs w:val="32"/>
        </w:rPr>
      </w:pPr>
      <w:r>
        <w:rPr>
          <w:rFonts w:hint="eastAsia" w:ascii="仿宋" w:hAnsi="仿宋" w:eastAsia="仿宋"/>
          <w:sz w:val="32"/>
          <w:szCs w:val="32"/>
        </w:rPr>
        <w:t>（一）竞得人逾期或拒绝签订《成交确认书》的；</w:t>
      </w:r>
    </w:p>
    <w:p w14:paraId="05B05A7A">
      <w:pPr>
        <w:spacing w:line="360" w:lineRule="auto"/>
        <w:ind w:firstLine="640" w:firstLineChars="200"/>
        <w:rPr>
          <w:rFonts w:ascii="仿宋" w:hAnsi="仿宋" w:eastAsia="仿宋"/>
          <w:sz w:val="32"/>
          <w:szCs w:val="32"/>
        </w:rPr>
      </w:pPr>
      <w:r>
        <w:rPr>
          <w:rFonts w:hint="eastAsia" w:ascii="仿宋" w:hAnsi="仿宋" w:eastAsia="仿宋"/>
          <w:sz w:val="32"/>
          <w:szCs w:val="32"/>
        </w:rPr>
        <w:t>（二）竞得人逾期或拒绝签订《国有建设用地使用权出让合同》的；</w:t>
      </w:r>
    </w:p>
    <w:p w14:paraId="1F4D8821">
      <w:pPr>
        <w:spacing w:line="360" w:lineRule="auto"/>
        <w:ind w:firstLine="640" w:firstLineChars="200"/>
        <w:rPr>
          <w:rFonts w:ascii="仿宋" w:hAnsi="仿宋" w:eastAsia="仿宋"/>
          <w:sz w:val="32"/>
          <w:szCs w:val="32"/>
        </w:rPr>
      </w:pPr>
      <w:r>
        <w:rPr>
          <w:rFonts w:hint="eastAsia" w:ascii="仿宋" w:hAnsi="仿宋" w:eastAsia="仿宋"/>
          <w:sz w:val="32"/>
          <w:szCs w:val="32"/>
        </w:rPr>
        <w:t>给出让人造成的损失超过竞买保证金数额的，竞买人应当对超过部分予以赔偿，并承担相应的经济和法律责任。</w:t>
      </w:r>
    </w:p>
    <w:p w14:paraId="5BB8D2DF">
      <w:pPr>
        <w:spacing w:line="360" w:lineRule="auto"/>
        <w:ind w:firstLine="640" w:firstLineChars="200"/>
        <w:rPr>
          <w:rFonts w:ascii="仿宋" w:hAnsi="仿宋" w:eastAsia="仿宋"/>
          <w:sz w:val="32"/>
          <w:szCs w:val="32"/>
        </w:rPr>
      </w:pPr>
      <w:r>
        <w:rPr>
          <w:rFonts w:hint="eastAsia" w:ascii="仿宋" w:hAnsi="仿宋" w:eastAsia="仿宋"/>
          <w:sz w:val="32"/>
          <w:szCs w:val="32"/>
        </w:rPr>
        <w:t>二十一、</w:t>
      </w:r>
      <w:r>
        <w:rPr>
          <w:rFonts w:hint="eastAsia" w:ascii="仿宋" w:hAnsi="仿宋" w:eastAsia="仿宋" w:cs="仿宋"/>
          <w:color w:val="222222"/>
          <w:sz w:val="31"/>
          <w:szCs w:val="31"/>
          <w:shd w:val="clear" w:color="auto" w:fill="FFFFFF"/>
        </w:rPr>
        <w:t>浙江省自然资源智慧交易服务平台</w:t>
      </w:r>
      <w:r>
        <w:rPr>
          <w:rFonts w:hint="eastAsia" w:ascii="仿宋" w:hAnsi="仿宋" w:eastAsia="仿宋"/>
          <w:sz w:val="32"/>
          <w:szCs w:val="32"/>
        </w:rPr>
        <w:t>凭CA数字证书、用户名和密码进行身份认证。竞买申请人、竞买人应当防范网络风险，保护个人电脑操作系统的安全，并妥善保管CA数字证书和密码。因竞买申请人、竞买人个人电脑操作系统被侵入或其他自身原因导致CA数字证书遗失、密码泄漏或被他人冒用、盗用的法律后果等造成的损失，由竞买申请人、竞买人自行承担。</w:t>
      </w:r>
    </w:p>
    <w:p w14:paraId="0A5A2560">
      <w:pPr>
        <w:spacing w:line="360" w:lineRule="auto"/>
        <w:ind w:firstLine="640" w:firstLineChars="200"/>
        <w:rPr>
          <w:rFonts w:ascii="仿宋" w:hAnsi="仿宋" w:eastAsia="仿宋"/>
          <w:sz w:val="32"/>
          <w:szCs w:val="32"/>
        </w:rPr>
      </w:pPr>
      <w:r>
        <w:rPr>
          <w:rFonts w:hint="eastAsia" w:ascii="仿宋" w:hAnsi="仿宋" w:eastAsia="仿宋"/>
          <w:sz w:val="32"/>
          <w:szCs w:val="32"/>
        </w:rPr>
        <w:t>二十二、竞买申请人、竞买人在</w:t>
      </w:r>
      <w:r>
        <w:rPr>
          <w:rFonts w:hint="eastAsia" w:ascii="仿宋" w:hAnsi="仿宋" w:eastAsia="仿宋" w:cs="仿宋"/>
          <w:color w:val="222222"/>
          <w:sz w:val="31"/>
          <w:szCs w:val="31"/>
          <w:shd w:val="clear" w:color="auto" w:fill="FFFFFF"/>
        </w:rPr>
        <w:t>浙江省自然资源智慧交易服务平台</w:t>
      </w:r>
      <w:r>
        <w:rPr>
          <w:rFonts w:hint="eastAsia" w:ascii="仿宋" w:hAnsi="仿宋" w:eastAsia="仿宋"/>
          <w:sz w:val="32"/>
          <w:szCs w:val="32"/>
        </w:rPr>
        <w:t>实施的所有行为，均被系统服务器自动记录，视为其自身真实或经合法授权的行为。竞买申请人、竞买人在网上挂牌出让活动中实施的任何行为所产生的法律后果，均由其自行承担。</w:t>
      </w:r>
    </w:p>
    <w:p w14:paraId="6BF768B3">
      <w:pPr>
        <w:spacing w:line="360" w:lineRule="auto"/>
        <w:ind w:firstLine="640" w:firstLineChars="200"/>
        <w:rPr>
          <w:rFonts w:ascii="仿宋" w:hAnsi="仿宋" w:eastAsia="仿宋"/>
          <w:sz w:val="32"/>
          <w:szCs w:val="32"/>
        </w:rPr>
      </w:pPr>
      <w:r>
        <w:rPr>
          <w:rFonts w:hint="eastAsia" w:ascii="仿宋" w:hAnsi="仿宋" w:eastAsia="仿宋"/>
          <w:sz w:val="32"/>
          <w:szCs w:val="32"/>
        </w:rPr>
        <w:t>二十三、因竞买人使用的计算机遭遇网络堵塞、病毒入侵、硬件故障或者遗失数字证书、遗忘或者泄露密码等原因不能正常登录网上交易系统进行申请、报价、竞价的，后果由竞买申请人自行承担，网上交易活动不受影响。</w:t>
      </w:r>
    </w:p>
    <w:p w14:paraId="4688F194">
      <w:pPr>
        <w:pStyle w:val="3"/>
        <w:snapToGrid w:val="0"/>
        <w:spacing w:before="249" w:beforeLines="80" w:after="249" w:afterLines="80" w:line="240" w:lineRule="auto"/>
        <w:ind w:firstLine="200"/>
        <w:jc w:val="center"/>
        <w:rPr>
          <w:rFonts w:ascii="Times New Roman" w:hAnsi="Times New Roman"/>
          <w:color w:val="FF0000"/>
        </w:rPr>
      </w:pPr>
      <w:r>
        <w:rPr>
          <w:rFonts w:ascii="Times New Roman" w:hAnsi="Times New Roman"/>
        </w:rPr>
        <w:t>第七章  附 则</w:t>
      </w:r>
    </w:p>
    <w:p w14:paraId="4422F25A">
      <w:pPr>
        <w:spacing w:line="360" w:lineRule="auto"/>
        <w:ind w:firstLine="640" w:firstLineChars="200"/>
        <w:rPr>
          <w:rFonts w:ascii="仿宋" w:hAnsi="仿宋" w:eastAsia="仿宋"/>
          <w:sz w:val="32"/>
          <w:szCs w:val="32"/>
        </w:rPr>
      </w:pPr>
      <w:r>
        <w:rPr>
          <w:rFonts w:hint="eastAsia" w:ascii="仿宋" w:hAnsi="仿宋" w:eastAsia="仿宋"/>
          <w:sz w:val="32"/>
          <w:szCs w:val="32"/>
        </w:rPr>
        <w:t>二十四、地块以挂牌方式出让。在实施开发建设中，竞得者须遵守萧山区建设要求，涉及有关问题由地块所在地</w:t>
      </w:r>
      <w:r>
        <w:rPr>
          <w:rStyle w:val="11"/>
          <w:rFonts w:ascii="仿宋" w:hAnsi="仿宋" w:eastAsia="仿宋" w:cs="仿宋"/>
          <w:i w:val="0"/>
          <w:iCs w:val="0"/>
          <w:caps w:val="0"/>
          <w:color w:val="222222"/>
          <w:spacing w:val="0"/>
          <w:sz w:val="31"/>
          <w:szCs w:val="31"/>
          <w:shd w:val="clear" w:fill="FFFFFF"/>
        </w:rPr>
        <w:t>杭州市萧山区</w:t>
      </w:r>
      <w:r>
        <w:rPr>
          <w:rStyle w:val="11"/>
          <w:rFonts w:hint="eastAsia" w:ascii="仿宋" w:hAnsi="仿宋" w:eastAsia="仿宋" w:cs="仿宋"/>
          <w:i w:val="0"/>
          <w:iCs w:val="0"/>
          <w:caps w:val="0"/>
          <w:color w:val="222222"/>
          <w:spacing w:val="0"/>
          <w:sz w:val="31"/>
          <w:szCs w:val="31"/>
          <w:shd w:val="clear" w:fill="FFFFFF"/>
          <w:lang w:val="en-US" w:eastAsia="zh-CN"/>
        </w:rPr>
        <w:t>瓜沥</w:t>
      </w:r>
      <w:r>
        <w:rPr>
          <w:rStyle w:val="11"/>
          <w:rFonts w:ascii="仿宋" w:hAnsi="仿宋" w:eastAsia="仿宋" w:cs="仿宋"/>
          <w:i w:val="0"/>
          <w:iCs w:val="0"/>
          <w:caps w:val="0"/>
          <w:color w:val="222222"/>
          <w:spacing w:val="0"/>
          <w:sz w:val="31"/>
          <w:szCs w:val="31"/>
          <w:shd w:val="clear" w:fill="FFFFFF"/>
        </w:rPr>
        <w:t>镇人民政府</w:t>
      </w:r>
      <w:r>
        <w:rPr>
          <w:rFonts w:hint="eastAsia" w:ascii="仿宋" w:hAnsi="仿宋" w:eastAsia="仿宋"/>
          <w:sz w:val="32"/>
          <w:szCs w:val="32"/>
        </w:rPr>
        <w:t>处理。同时对上述地块其他要求明确如下：</w:t>
      </w:r>
    </w:p>
    <w:p w14:paraId="23E0D5B3">
      <w:pPr>
        <w:spacing w:line="360" w:lineRule="auto"/>
        <w:ind w:firstLine="640" w:firstLineChars="200"/>
        <w:rPr>
          <w:rFonts w:ascii="仿宋" w:hAnsi="仿宋" w:eastAsia="仿宋"/>
          <w:sz w:val="32"/>
          <w:szCs w:val="32"/>
        </w:rPr>
      </w:pPr>
      <w:r>
        <w:rPr>
          <w:rFonts w:hint="eastAsia" w:ascii="仿宋" w:hAnsi="仿宋" w:eastAsia="仿宋"/>
          <w:sz w:val="32"/>
          <w:szCs w:val="32"/>
        </w:rPr>
        <w:t>（一）地块竞得者必须在土地出让成交后三个月内在由</w:t>
      </w:r>
      <w:r>
        <w:rPr>
          <w:rFonts w:hint="eastAsia" w:ascii="仿宋" w:hAnsi="仿宋" w:eastAsia="仿宋"/>
          <w:b/>
          <w:bCs/>
          <w:sz w:val="32"/>
          <w:szCs w:val="32"/>
        </w:rPr>
        <w:t>地块所在地</w:t>
      </w:r>
      <w:r>
        <w:rPr>
          <w:rFonts w:hint="eastAsia" w:ascii="仿宋" w:hAnsi="仿宋" w:eastAsia="仿宋"/>
          <w:sz w:val="32"/>
          <w:szCs w:val="32"/>
        </w:rPr>
        <w:t>注册成立公司；</w:t>
      </w:r>
    </w:p>
    <w:p w14:paraId="74C348C8">
      <w:pPr>
        <w:spacing w:line="360" w:lineRule="auto"/>
        <w:ind w:firstLine="640" w:firstLineChars="200"/>
        <w:rPr>
          <w:rFonts w:ascii="仿宋" w:hAnsi="仿宋" w:eastAsia="仿宋"/>
          <w:sz w:val="32"/>
          <w:szCs w:val="32"/>
        </w:rPr>
      </w:pPr>
      <w:r>
        <w:rPr>
          <w:rFonts w:hint="eastAsia" w:ascii="仿宋" w:hAnsi="仿宋" w:eastAsia="仿宋"/>
          <w:sz w:val="32"/>
          <w:szCs w:val="32"/>
        </w:rPr>
        <w:t>（二）已在由</w:t>
      </w:r>
      <w:r>
        <w:rPr>
          <w:rFonts w:hint="eastAsia" w:ascii="仿宋" w:hAnsi="仿宋" w:eastAsia="仿宋"/>
          <w:b/>
          <w:bCs/>
          <w:sz w:val="32"/>
          <w:szCs w:val="32"/>
        </w:rPr>
        <w:t>地块所在地</w:t>
      </w:r>
      <w:r>
        <w:rPr>
          <w:rFonts w:hint="eastAsia" w:ascii="仿宋" w:hAnsi="仿宋" w:eastAsia="仿宋"/>
          <w:sz w:val="32"/>
          <w:szCs w:val="32"/>
        </w:rPr>
        <w:t>注册符合各自地块注册要求公司的竞得者，不需再单独注册成立公司。</w:t>
      </w:r>
    </w:p>
    <w:p w14:paraId="110A5A49">
      <w:pPr>
        <w:spacing w:line="360" w:lineRule="auto"/>
        <w:ind w:firstLine="640" w:firstLineChars="200"/>
        <w:rPr>
          <w:rFonts w:ascii="仿宋" w:hAnsi="仿宋" w:eastAsia="仿宋"/>
          <w:sz w:val="32"/>
          <w:szCs w:val="32"/>
        </w:rPr>
      </w:pPr>
      <w:r>
        <w:rPr>
          <w:rFonts w:hint="eastAsia" w:ascii="仿宋" w:hAnsi="仿宋" w:eastAsia="仿宋"/>
          <w:sz w:val="32"/>
          <w:szCs w:val="32"/>
        </w:rPr>
        <w:t>（三）地块涉及的高压线、通信线、农用线和地下管道维持原状。</w:t>
      </w:r>
    </w:p>
    <w:p w14:paraId="02601CAD">
      <w:pPr>
        <w:spacing w:line="360" w:lineRule="auto"/>
        <w:ind w:firstLine="640" w:firstLineChars="200"/>
        <w:rPr>
          <w:rFonts w:ascii="仿宋" w:hAnsi="仿宋" w:eastAsia="仿宋"/>
          <w:sz w:val="32"/>
          <w:szCs w:val="32"/>
        </w:rPr>
      </w:pPr>
      <w:r>
        <w:rPr>
          <w:rFonts w:hint="eastAsia" w:ascii="仿宋" w:hAnsi="仿宋" w:eastAsia="仿宋"/>
          <w:sz w:val="32"/>
          <w:szCs w:val="32"/>
        </w:rPr>
        <w:t>二十五、杭州市规划和自然资源局萧山分局以现状挂牌出让国有建设用地使用权，开发建设中涉及的有关通水、通电、通讯、道路、排污等事项由竞得者与由地块所在</w:t>
      </w:r>
      <w:r>
        <w:rPr>
          <w:rStyle w:val="11"/>
          <w:rFonts w:ascii="仿宋" w:hAnsi="仿宋" w:eastAsia="仿宋" w:cs="仿宋"/>
          <w:i w:val="0"/>
          <w:iCs w:val="0"/>
          <w:caps w:val="0"/>
          <w:color w:val="222222"/>
          <w:spacing w:val="0"/>
          <w:sz w:val="31"/>
          <w:szCs w:val="31"/>
          <w:shd w:val="clear" w:fill="FFFFFF"/>
        </w:rPr>
        <w:t>杭州市萧山区</w:t>
      </w:r>
      <w:r>
        <w:rPr>
          <w:rStyle w:val="11"/>
          <w:rFonts w:hint="eastAsia" w:ascii="仿宋" w:hAnsi="仿宋" w:eastAsia="仿宋" w:cs="仿宋"/>
          <w:i w:val="0"/>
          <w:iCs w:val="0"/>
          <w:caps w:val="0"/>
          <w:color w:val="222222"/>
          <w:spacing w:val="0"/>
          <w:sz w:val="31"/>
          <w:szCs w:val="31"/>
          <w:shd w:val="clear" w:fill="FFFFFF"/>
          <w:lang w:val="en-US" w:eastAsia="zh-CN"/>
        </w:rPr>
        <w:t>瓜沥</w:t>
      </w:r>
      <w:r>
        <w:rPr>
          <w:rStyle w:val="11"/>
          <w:rFonts w:ascii="仿宋" w:hAnsi="仿宋" w:eastAsia="仿宋" w:cs="仿宋"/>
          <w:i w:val="0"/>
          <w:iCs w:val="0"/>
          <w:caps w:val="0"/>
          <w:color w:val="222222"/>
          <w:spacing w:val="0"/>
          <w:sz w:val="31"/>
          <w:szCs w:val="31"/>
          <w:shd w:val="clear" w:fill="FFFFFF"/>
        </w:rPr>
        <w:t>镇人民政府</w:t>
      </w:r>
      <w:r>
        <w:rPr>
          <w:rFonts w:hint="eastAsia" w:ascii="仿宋" w:hAnsi="仿宋" w:eastAsia="仿宋"/>
          <w:sz w:val="32"/>
          <w:szCs w:val="32"/>
        </w:rPr>
        <w:t>协调处理。</w:t>
      </w:r>
    </w:p>
    <w:p w14:paraId="3999EE76">
      <w:pPr>
        <w:spacing w:line="360" w:lineRule="auto"/>
        <w:ind w:firstLine="640" w:firstLineChars="200"/>
        <w:rPr>
          <w:rFonts w:ascii="仿宋" w:hAnsi="仿宋" w:eastAsia="仿宋"/>
          <w:sz w:val="32"/>
          <w:szCs w:val="32"/>
        </w:rPr>
      </w:pPr>
      <w:r>
        <w:rPr>
          <w:rFonts w:hint="eastAsia" w:ascii="仿宋" w:hAnsi="仿宋" w:eastAsia="仿宋"/>
          <w:sz w:val="32"/>
          <w:szCs w:val="32"/>
        </w:rPr>
        <w:t>二十六、本次挂牌出让地块内如遇管、线等设施的，由竞得者自行处理，费用自负。</w:t>
      </w:r>
    </w:p>
    <w:p w14:paraId="5C7BFBAF">
      <w:pPr>
        <w:spacing w:line="360" w:lineRule="auto"/>
        <w:ind w:firstLine="640" w:firstLineChars="200"/>
        <w:rPr>
          <w:rFonts w:ascii="仿宋" w:hAnsi="仿宋" w:eastAsia="仿宋"/>
          <w:sz w:val="32"/>
          <w:szCs w:val="32"/>
        </w:rPr>
      </w:pPr>
      <w:r>
        <w:rPr>
          <w:rFonts w:hint="eastAsia" w:ascii="仿宋" w:hAnsi="仿宋" w:eastAsia="仿宋"/>
          <w:sz w:val="32"/>
          <w:szCs w:val="32"/>
        </w:rPr>
        <w:t>二十七、付款期限与交地</w:t>
      </w:r>
    </w:p>
    <w:p w14:paraId="76D78103">
      <w:pPr>
        <w:spacing w:line="360" w:lineRule="auto"/>
        <w:ind w:firstLine="640" w:firstLineChars="200"/>
        <w:rPr>
          <w:rFonts w:ascii="仿宋" w:hAnsi="仿宋" w:eastAsia="仿宋"/>
          <w:sz w:val="32"/>
          <w:szCs w:val="32"/>
        </w:rPr>
      </w:pPr>
      <w:r>
        <w:rPr>
          <w:rFonts w:hint="eastAsia" w:ascii="仿宋" w:hAnsi="仿宋" w:eastAsia="仿宋"/>
          <w:sz w:val="32"/>
          <w:szCs w:val="32"/>
        </w:rPr>
        <w:t>在签订《国有建设用地使用权出让合同》前竞得者需与做地单位（监管单位）签订《交地协议书》、《产业项目履约监管协议书》（履约监管协议由各镇街、平台负责监管。规划资源分局根据亩产培增计划的要求，采取“二次”年检的方式，督促镇街、平台履行监管职责）。在签订《国有建设用地使用权出让合同》之日起3日内一次性全部付清国有建设用地使用权出让价款（截止时间如遇法定节假日，截止时间相应顺延）。出让合同签订后，土地出让金缴清后3日内签订《国有建设用地交地确认书》（截止时间如遇法定节假日，截止时间相应顺延）。在交地确认书签订之日起6个月内开工，在开工之日起</w:t>
      </w:r>
      <w:r>
        <w:rPr>
          <w:rFonts w:hint="eastAsia" w:ascii="仿宋" w:hAnsi="仿宋" w:eastAsia="仿宋"/>
          <w:sz w:val="32"/>
          <w:szCs w:val="32"/>
          <w:lang w:val="en-US" w:eastAsia="zh-CN"/>
        </w:rPr>
        <w:t>36</w:t>
      </w:r>
      <w:r>
        <w:rPr>
          <w:rFonts w:hint="eastAsia" w:ascii="仿宋" w:hAnsi="仿宋" w:eastAsia="仿宋"/>
          <w:sz w:val="32"/>
          <w:szCs w:val="32"/>
        </w:rPr>
        <w:t>个月内竣工</w:t>
      </w:r>
      <w:r>
        <w:rPr>
          <w:rFonts w:hint="eastAsia" w:ascii="仿宋" w:hAnsi="仿宋" w:eastAsia="仿宋"/>
          <w:color w:val="000000" w:themeColor="text1"/>
          <w:sz w:val="32"/>
          <w:szCs w:val="32"/>
          <w14:textFill>
            <w14:solidFill>
              <w14:schemeClr w14:val="tx1"/>
            </w14:solidFill>
          </w14:textFill>
        </w:rPr>
        <w:t>，在竣工之日起</w:t>
      </w:r>
      <w:r>
        <w:rPr>
          <w:rFonts w:ascii="仿宋" w:hAnsi="仿宋" w:eastAsia="仿宋"/>
          <w:color w:val="000000" w:themeColor="text1"/>
          <w:sz w:val="32"/>
          <w:szCs w:val="32"/>
          <w14:textFill>
            <w14:solidFill>
              <w14:schemeClr w14:val="tx1"/>
            </w14:solidFill>
          </w14:textFill>
        </w:rPr>
        <w:t>24</w:t>
      </w:r>
      <w:r>
        <w:rPr>
          <w:rFonts w:hint="eastAsia" w:ascii="仿宋" w:hAnsi="仿宋" w:eastAsia="仿宋"/>
          <w:color w:val="000000" w:themeColor="text1"/>
          <w:sz w:val="32"/>
          <w:szCs w:val="32"/>
          <w14:textFill>
            <w14:solidFill>
              <w14:schemeClr w14:val="tx1"/>
            </w14:solidFill>
          </w14:textFill>
        </w:rPr>
        <w:t>个</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14:textFill>
            <w14:solidFill>
              <w14:schemeClr w14:val="tx1"/>
            </w14:solidFill>
          </w14:textFill>
        </w:rPr>
        <w:t>内达产。</w:t>
      </w:r>
    </w:p>
    <w:p w14:paraId="51F60CE4">
      <w:pPr>
        <w:spacing w:line="360" w:lineRule="auto"/>
        <w:ind w:firstLine="640" w:firstLineChars="200"/>
        <w:rPr>
          <w:rFonts w:ascii="仿宋" w:hAnsi="仿宋" w:eastAsia="仿宋"/>
          <w:sz w:val="32"/>
          <w:szCs w:val="32"/>
        </w:rPr>
      </w:pPr>
      <w:r>
        <w:rPr>
          <w:rFonts w:hint="eastAsia" w:ascii="仿宋" w:hAnsi="仿宋" w:eastAsia="仿宋"/>
          <w:sz w:val="32"/>
          <w:szCs w:val="32"/>
        </w:rPr>
        <w:t>二十八、挂牌结束后，国有建设用地使用权出让款价的20%作为受让人与杭州市规划和自然资源局萧山分局签订《国有建设用地使用权出让合同》的定金。竞买人在竞买有效期内撤销其竞买文件的，出让人不予退还保证金。且负责赔偿挂牌人挂牌出让活动的全部费用，并承担相应的经济和法律责任。</w:t>
      </w:r>
    </w:p>
    <w:p w14:paraId="3EE217C7">
      <w:pPr>
        <w:spacing w:line="360" w:lineRule="auto"/>
        <w:ind w:firstLine="640" w:firstLineChars="200"/>
        <w:rPr>
          <w:rFonts w:ascii="仿宋" w:hAnsi="仿宋" w:eastAsia="仿宋"/>
          <w:sz w:val="32"/>
          <w:szCs w:val="32"/>
        </w:rPr>
      </w:pPr>
      <w:r>
        <w:rPr>
          <w:rFonts w:hint="eastAsia" w:ascii="仿宋" w:hAnsi="仿宋" w:eastAsia="仿宋"/>
          <w:sz w:val="32"/>
          <w:szCs w:val="32"/>
        </w:rPr>
        <w:t>二十九、不动产证等权证的办理由竞得人自行办理，费用由竞得人自理。</w:t>
      </w:r>
      <w:bookmarkStart w:id="17" w:name="_GoBack"/>
      <w:bookmarkEnd w:id="17"/>
    </w:p>
    <w:p w14:paraId="0E183CE7">
      <w:pPr>
        <w:spacing w:line="360" w:lineRule="auto"/>
        <w:ind w:firstLine="640" w:firstLineChars="200"/>
        <w:rPr>
          <w:rFonts w:ascii="仿宋" w:hAnsi="仿宋" w:eastAsia="仿宋"/>
          <w:sz w:val="32"/>
          <w:szCs w:val="32"/>
        </w:rPr>
      </w:pPr>
      <w:r>
        <w:rPr>
          <w:rFonts w:hint="eastAsia" w:ascii="仿宋" w:hAnsi="仿宋" w:eastAsia="仿宋"/>
          <w:sz w:val="32"/>
          <w:szCs w:val="32"/>
        </w:rPr>
        <w:t>三十、有关事项说明：</w:t>
      </w:r>
    </w:p>
    <w:p w14:paraId="29688887">
      <w:pPr>
        <w:spacing w:line="360" w:lineRule="auto"/>
        <w:ind w:firstLine="640" w:firstLineChars="200"/>
        <w:rPr>
          <w:rFonts w:ascii="仿宋" w:hAnsi="仿宋" w:eastAsia="仿宋"/>
          <w:sz w:val="32"/>
          <w:szCs w:val="32"/>
        </w:rPr>
      </w:pPr>
      <w:r>
        <w:rPr>
          <w:rFonts w:hint="eastAsia" w:ascii="仿宋" w:hAnsi="仿宋" w:eastAsia="仿宋"/>
          <w:sz w:val="32"/>
          <w:szCs w:val="32"/>
        </w:rPr>
        <w:t>为了进一步规范经营性国有建设用地使用权出让活动，坚持公平、公正、公开的原则，经集体研究决定，对下列事项作进一步的说明：</w:t>
      </w:r>
    </w:p>
    <w:p w14:paraId="5E206023">
      <w:pPr>
        <w:spacing w:line="360" w:lineRule="auto"/>
        <w:ind w:firstLine="640" w:firstLineChars="200"/>
        <w:rPr>
          <w:rFonts w:ascii="仿宋" w:hAnsi="仿宋" w:eastAsia="仿宋"/>
          <w:sz w:val="32"/>
          <w:szCs w:val="32"/>
        </w:rPr>
      </w:pPr>
      <w:r>
        <w:rPr>
          <w:rFonts w:hint="eastAsia" w:ascii="仿宋" w:hAnsi="仿宋" w:eastAsia="仿宋"/>
          <w:sz w:val="32"/>
          <w:szCs w:val="32"/>
        </w:rPr>
        <w:t>（一）国有建设用地使用权出让金必须严格按照挂牌文件和土地出让合同中约定的时间缴纳。如果延期缴纳的，自滞纳之日起，每日按迟延支付款项的1‰向出让人缴纳滞纳金。</w:t>
      </w:r>
    </w:p>
    <w:p w14:paraId="5EAECE9D">
      <w:pPr>
        <w:spacing w:line="360" w:lineRule="auto"/>
        <w:ind w:firstLine="640" w:firstLineChars="200"/>
        <w:rPr>
          <w:rFonts w:ascii="仿宋" w:hAnsi="仿宋" w:eastAsia="仿宋"/>
          <w:sz w:val="32"/>
          <w:szCs w:val="32"/>
        </w:rPr>
      </w:pPr>
      <w:r>
        <w:rPr>
          <w:rFonts w:hint="eastAsia" w:ascii="仿宋" w:hAnsi="仿宋" w:eastAsia="仿宋"/>
          <w:sz w:val="32"/>
          <w:szCs w:val="32"/>
        </w:rPr>
        <w:t>（二）任何一期款项付款超过60天的，出让人有权解除出让合同，收回土地，受让人无权要求返还定金。</w:t>
      </w:r>
    </w:p>
    <w:p w14:paraId="63B5FEEA">
      <w:pPr>
        <w:spacing w:line="360" w:lineRule="auto"/>
        <w:ind w:firstLine="640" w:firstLineChars="200"/>
        <w:rPr>
          <w:rFonts w:ascii="仿宋" w:hAnsi="仿宋" w:eastAsia="仿宋"/>
          <w:sz w:val="32"/>
          <w:szCs w:val="32"/>
        </w:rPr>
      </w:pPr>
      <w:r>
        <w:rPr>
          <w:rFonts w:hint="eastAsia" w:ascii="仿宋" w:hAnsi="仿宋" w:eastAsia="仿宋"/>
          <w:sz w:val="32"/>
          <w:szCs w:val="32"/>
        </w:rPr>
        <w:t>（三）受让人未能按照本合同约定日期或同意延建所另行约定日期开工建设的，每延期一日，应向出让人支付相当于国有建设用地使用权出让总价款0.5‰的违约金，出让人有权要求受让人继续履约。</w:t>
      </w:r>
    </w:p>
    <w:p w14:paraId="2874A77D">
      <w:pPr>
        <w:spacing w:line="360" w:lineRule="auto"/>
        <w:ind w:firstLine="640" w:firstLineChars="200"/>
        <w:rPr>
          <w:rFonts w:ascii="仿宋" w:hAnsi="仿宋" w:eastAsia="仿宋"/>
          <w:sz w:val="32"/>
          <w:szCs w:val="32"/>
        </w:rPr>
      </w:pPr>
      <w:r>
        <w:rPr>
          <w:rFonts w:hint="eastAsia" w:ascii="仿宋" w:hAnsi="仿宋" w:eastAsia="仿宋"/>
          <w:sz w:val="32"/>
          <w:szCs w:val="32"/>
        </w:rPr>
        <w:t>受让人未能按照本合同约定日期或同意延建所另行约定日期竣工的，每延期一日，应向出让人支付相当于国有建设用地使用权出让总价款0.5‰的违约金。</w:t>
      </w:r>
    </w:p>
    <w:p w14:paraId="6650D7B0">
      <w:pPr>
        <w:numPr>
          <w:ilvl w:val="0"/>
          <w:numId w:val="1"/>
        </w:numPr>
        <w:spacing w:line="360" w:lineRule="auto"/>
        <w:ind w:firstLine="640" w:firstLineChars="200"/>
        <w:rPr>
          <w:rFonts w:ascii="仿宋" w:hAnsi="仿宋" w:eastAsia="仿宋"/>
          <w:sz w:val="32"/>
          <w:szCs w:val="32"/>
        </w:rPr>
      </w:pPr>
      <w:r>
        <w:rPr>
          <w:rFonts w:hint="eastAsia" w:ascii="仿宋" w:hAnsi="仿宋" w:eastAsia="仿宋"/>
          <w:sz w:val="32"/>
          <w:szCs w:val="32"/>
        </w:rPr>
        <w:t>受让人应当按照合同约定的时间进行开发建设，宗地构成闲置的，受让人接受按照闲置土地处置有关法律、法规及政策规定进行的处理。</w:t>
      </w:r>
    </w:p>
    <w:p w14:paraId="291A9C45">
      <w:pPr>
        <w:spacing w:line="360" w:lineRule="auto"/>
        <w:ind w:firstLine="640" w:firstLineChars="200"/>
        <w:rPr>
          <w:rFonts w:ascii="仿宋" w:hAnsi="仿宋" w:eastAsia="仿宋"/>
          <w:sz w:val="32"/>
          <w:szCs w:val="32"/>
        </w:rPr>
      </w:pPr>
      <w:r>
        <w:rPr>
          <w:rFonts w:hint="eastAsia" w:ascii="仿宋" w:hAnsi="仿宋" w:eastAsia="仿宋"/>
          <w:sz w:val="32"/>
          <w:szCs w:val="32"/>
        </w:rPr>
        <w:t>（五）国有建设用地使用权出让金必须全部缴清后方可交地。</w:t>
      </w:r>
    </w:p>
    <w:p w14:paraId="4647BD59">
      <w:pPr>
        <w:spacing w:line="360" w:lineRule="auto"/>
        <w:ind w:firstLine="640" w:firstLineChars="200"/>
        <w:rPr>
          <w:rFonts w:ascii="仿宋" w:hAnsi="仿宋" w:eastAsia="仿宋"/>
          <w:sz w:val="32"/>
          <w:szCs w:val="32"/>
        </w:rPr>
      </w:pPr>
      <w:r>
        <w:rPr>
          <w:rFonts w:hint="eastAsia" w:ascii="仿宋" w:hAnsi="仿宋" w:eastAsia="仿宋"/>
          <w:sz w:val="32"/>
          <w:szCs w:val="32"/>
        </w:rPr>
        <w:t>三十</w:t>
      </w:r>
      <w:r>
        <w:rPr>
          <w:rFonts w:hint="eastAsia" w:ascii="仿宋" w:hAnsi="仿宋" w:eastAsia="仿宋"/>
          <w:sz w:val="32"/>
          <w:szCs w:val="32"/>
          <w:lang w:eastAsia="zh-CN"/>
        </w:rPr>
        <w:t>一</w:t>
      </w:r>
      <w:r>
        <w:rPr>
          <w:rFonts w:hint="eastAsia" w:ascii="仿宋" w:hAnsi="仿宋" w:eastAsia="仿宋"/>
          <w:sz w:val="32"/>
          <w:szCs w:val="32"/>
        </w:rPr>
        <w:t>、出让人对本《出让须知》有解释权，未尽事宜，按照《招标拍卖挂牌出让国有建设用地使用权规范》和《浙江省国有建设用地使用权网上交易规则》有关规定执行。</w:t>
      </w:r>
    </w:p>
    <w:p w14:paraId="56AA1807">
      <w:pPr>
        <w:spacing w:line="360" w:lineRule="auto"/>
        <w:ind w:firstLine="640" w:firstLineChars="200"/>
        <w:rPr>
          <w:rFonts w:ascii="仿宋" w:hAnsi="仿宋" w:eastAsia="仿宋"/>
          <w:sz w:val="32"/>
          <w:szCs w:val="32"/>
        </w:rPr>
      </w:pPr>
      <w:r>
        <w:rPr>
          <w:rFonts w:hint="eastAsia" w:ascii="仿宋" w:hAnsi="仿宋" w:eastAsia="仿宋"/>
          <w:sz w:val="32"/>
          <w:szCs w:val="32"/>
        </w:rPr>
        <w:t>三十二、挂牌工作人员对挂牌出让标的，无论采取任何方式所作的介绍及评论，均作为参考性意见，不构成对挂牌出让标的任何担保。</w:t>
      </w:r>
    </w:p>
    <w:p w14:paraId="2B9C2902">
      <w:pPr>
        <w:spacing w:line="360" w:lineRule="auto"/>
        <w:ind w:firstLine="640" w:firstLineChars="200"/>
        <w:rPr>
          <w:rFonts w:ascii="仿宋" w:hAnsi="仿宋" w:eastAsia="仿宋"/>
          <w:sz w:val="32"/>
          <w:szCs w:val="32"/>
        </w:rPr>
      </w:pPr>
      <w:r>
        <w:rPr>
          <w:rFonts w:hint="eastAsia" w:ascii="仿宋" w:hAnsi="仿宋" w:eastAsia="仿宋"/>
          <w:sz w:val="32"/>
          <w:szCs w:val="32"/>
        </w:rPr>
        <w:t>三十三、本次国有建设用地使用权挂牌出让活动所未料事项，由挂牌领导小组负责处理。</w:t>
      </w:r>
      <w:bookmarkEnd w:id="0"/>
    </w:p>
    <w:bookmarkEnd w:id="1"/>
    <w:p w14:paraId="21E02CEC"/>
    <w:p w14:paraId="3BEEB3AE">
      <w:r>
        <w:rPr>
          <w:rFonts w:hint="eastAsia"/>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EA695"/>
    <w:multiLevelType w:val="singleLevel"/>
    <w:tmpl w:val="09BEA695"/>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mYTkzN2U4MGQ1ZjYzOTJhMGEyZjVhYjBlNzg2MzEifQ=="/>
    <w:docVar w:name="KSO_WPS_MARK_KEY" w:val="f50a03e8-4e3b-4efa-b22b-b449b11e9e10"/>
  </w:docVars>
  <w:rsids>
    <w:rsidRoot w:val="003568EF"/>
    <w:rsid w:val="00004B9C"/>
    <w:rsid w:val="00024AD7"/>
    <w:rsid w:val="00037197"/>
    <w:rsid w:val="00042F7B"/>
    <w:rsid w:val="00047C95"/>
    <w:rsid w:val="000C7025"/>
    <w:rsid w:val="000D3456"/>
    <w:rsid w:val="00145E2B"/>
    <w:rsid w:val="0016581B"/>
    <w:rsid w:val="00171361"/>
    <w:rsid w:val="001734C4"/>
    <w:rsid w:val="00192597"/>
    <w:rsid w:val="001E3D5B"/>
    <w:rsid w:val="00237701"/>
    <w:rsid w:val="00266AE3"/>
    <w:rsid w:val="0029225E"/>
    <w:rsid w:val="0029798C"/>
    <w:rsid w:val="002A4A73"/>
    <w:rsid w:val="002C4280"/>
    <w:rsid w:val="002F3607"/>
    <w:rsid w:val="003120D9"/>
    <w:rsid w:val="003162CC"/>
    <w:rsid w:val="003311E5"/>
    <w:rsid w:val="0033435F"/>
    <w:rsid w:val="00346487"/>
    <w:rsid w:val="003568EF"/>
    <w:rsid w:val="004C0C46"/>
    <w:rsid w:val="004E3DCA"/>
    <w:rsid w:val="004E5554"/>
    <w:rsid w:val="004E61CB"/>
    <w:rsid w:val="004F4290"/>
    <w:rsid w:val="0056573B"/>
    <w:rsid w:val="00582FA4"/>
    <w:rsid w:val="00593D34"/>
    <w:rsid w:val="005A3EA9"/>
    <w:rsid w:val="005E234A"/>
    <w:rsid w:val="00693CA6"/>
    <w:rsid w:val="006A125E"/>
    <w:rsid w:val="007327F9"/>
    <w:rsid w:val="00733ACE"/>
    <w:rsid w:val="00743680"/>
    <w:rsid w:val="00786DF4"/>
    <w:rsid w:val="007920A8"/>
    <w:rsid w:val="007B3D76"/>
    <w:rsid w:val="0080584C"/>
    <w:rsid w:val="00815CA2"/>
    <w:rsid w:val="00832E2C"/>
    <w:rsid w:val="00840E3C"/>
    <w:rsid w:val="0084400E"/>
    <w:rsid w:val="00894713"/>
    <w:rsid w:val="008D0040"/>
    <w:rsid w:val="008E65BB"/>
    <w:rsid w:val="0098086B"/>
    <w:rsid w:val="00A17765"/>
    <w:rsid w:val="00B25948"/>
    <w:rsid w:val="00B25D15"/>
    <w:rsid w:val="00B428D9"/>
    <w:rsid w:val="00B458D7"/>
    <w:rsid w:val="00B91A7D"/>
    <w:rsid w:val="00B925B0"/>
    <w:rsid w:val="00BC60B2"/>
    <w:rsid w:val="00BF5D24"/>
    <w:rsid w:val="00C265A2"/>
    <w:rsid w:val="00CC2A8A"/>
    <w:rsid w:val="00CC6DC1"/>
    <w:rsid w:val="00CD122D"/>
    <w:rsid w:val="00CE3F26"/>
    <w:rsid w:val="00CF7535"/>
    <w:rsid w:val="00D02D8F"/>
    <w:rsid w:val="00D441A2"/>
    <w:rsid w:val="00D90D99"/>
    <w:rsid w:val="00D94D91"/>
    <w:rsid w:val="00E65AC5"/>
    <w:rsid w:val="00E9445C"/>
    <w:rsid w:val="00EA6CEF"/>
    <w:rsid w:val="00EA749C"/>
    <w:rsid w:val="00ED3488"/>
    <w:rsid w:val="00EE25F2"/>
    <w:rsid w:val="00F07A3B"/>
    <w:rsid w:val="00F133E5"/>
    <w:rsid w:val="00F167D9"/>
    <w:rsid w:val="00F3679F"/>
    <w:rsid w:val="00F83E08"/>
    <w:rsid w:val="00F91F46"/>
    <w:rsid w:val="00FA0DF7"/>
    <w:rsid w:val="00FB6BFE"/>
    <w:rsid w:val="00FE7CA9"/>
    <w:rsid w:val="01E35365"/>
    <w:rsid w:val="02A6345D"/>
    <w:rsid w:val="02EC5FC7"/>
    <w:rsid w:val="03C26749"/>
    <w:rsid w:val="04142E23"/>
    <w:rsid w:val="043A43CF"/>
    <w:rsid w:val="04C66705"/>
    <w:rsid w:val="04DD72B3"/>
    <w:rsid w:val="05F84208"/>
    <w:rsid w:val="077B3AC8"/>
    <w:rsid w:val="07E31891"/>
    <w:rsid w:val="08445947"/>
    <w:rsid w:val="097E3F6B"/>
    <w:rsid w:val="099E529F"/>
    <w:rsid w:val="09B54EBD"/>
    <w:rsid w:val="0A2170A6"/>
    <w:rsid w:val="0A653EB1"/>
    <w:rsid w:val="0AC976C1"/>
    <w:rsid w:val="0AF60C36"/>
    <w:rsid w:val="0B180242"/>
    <w:rsid w:val="0BD20C57"/>
    <w:rsid w:val="0C2B7F1C"/>
    <w:rsid w:val="0CB63409"/>
    <w:rsid w:val="0CD301D7"/>
    <w:rsid w:val="0D0F286A"/>
    <w:rsid w:val="0E1037BB"/>
    <w:rsid w:val="0ED86BF0"/>
    <w:rsid w:val="0F3A448D"/>
    <w:rsid w:val="0F557D79"/>
    <w:rsid w:val="0F7C5773"/>
    <w:rsid w:val="100A4F75"/>
    <w:rsid w:val="10105C86"/>
    <w:rsid w:val="10EB25FC"/>
    <w:rsid w:val="10F6152F"/>
    <w:rsid w:val="114A6E4A"/>
    <w:rsid w:val="11890C9F"/>
    <w:rsid w:val="11E73013"/>
    <w:rsid w:val="12301B77"/>
    <w:rsid w:val="12D25AE3"/>
    <w:rsid w:val="13022D0B"/>
    <w:rsid w:val="131C20FB"/>
    <w:rsid w:val="13C724CC"/>
    <w:rsid w:val="13E40530"/>
    <w:rsid w:val="144A4FE5"/>
    <w:rsid w:val="14676E60"/>
    <w:rsid w:val="151349D7"/>
    <w:rsid w:val="15157D8F"/>
    <w:rsid w:val="1613074A"/>
    <w:rsid w:val="1621323F"/>
    <w:rsid w:val="16372780"/>
    <w:rsid w:val="17486368"/>
    <w:rsid w:val="175E0CE4"/>
    <w:rsid w:val="18010408"/>
    <w:rsid w:val="18700F1F"/>
    <w:rsid w:val="19BF7956"/>
    <w:rsid w:val="19D94ECD"/>
    <w:rsid w:val="19DA2689"/>
    <w:rsid w:val="1A964389"/>
    <w:rsid w:val="1BA000B1"/>
    <w:rsid w:val="1BC8139B"/>
    <w:rsid w:val="1BEB0BF1"/>
    <w:rsid w:val="1C2C7899"/>
    <w:rsid w:val="1C327B0C"/>
    <w:rsid w:val="1C8256C5"/>
    <w:rsid w:val="1C8F06A0"/>
    <w:rsid w:val="1C9F6950"/>
    <w:rsid w:val="1D5F4368"/>
    <w:rsid w:val="1DC60F93"/>
    <w:rsid w:val="1EA56F30"/>
    <w:rsid w:val="1EA93068"/>
    <w:rsid w:val="1F4535B6"/>
    <w:rsid w:val="1F4826FE"/>
    <w:rsid w:val="1F555C99"/>
    <w:rsid w:val="1F7A1B6F"/>
    <w:rsid w:val="20290876"/>
    <w:rsid w:val="202A3D31"/>
    <w:rsid w:val="20761FDB"/>
    <w:rsid w:val="20840357"/>
    <w:rsid w:val="20A114FF"/>
    <w:rsid w:val="21290F6F"/>
    <w:rsid w:val="219B5BB2"/>
    <w:rsid w:val="21E74435"/>
    <w:rsid w:val="23777F4D"/>
    <w:rsid w:val="238C37CC"/>
    <w:rsid w:val="23FC63EE"/>
    <w:rsid w:val="242E1C8E"/>
    <w:rsid w:val="24464B6A"/>
    <w:rsid w:val="247A5BB5"/>
    <w:rsid w:val="24A15A3F"/>
    <w:rsid w:val="24A42CC3"/>
    <w:rsid w:val="24FC6D4E"/>
    <w:rsid w:val="25A42208"/>
    <w:rsid w:val="25C00EA8"/>
    <w:rsid w:val="25CD143B"/>
    <w:rsid w:val="264E74E0"/>
    <w:rsid w:val="26B615AF"/>
    <w:rsid w:val="271823E4"/>
    <w:rsid w:val="278346F6"/>
    <w:rsid w:val="2861757A"/>
    <w:rsid w:val="288F3223"/>
    <w:rsid w:val="2A1C242C"/>
    <w:rsid w:val="2A994305"/>
    <w:rsid w:val="2AF165E2"/>
    <w:rsid w:val="2AF77E4C"/>
    <w:rsid w:val="2B61546C"/>
    <w:rsid w:val="2C143EC1"/>
    <w:rsid w:val="2E05377F"/>
    <w:rsid w:val="2E4E5407"/>
    <w:rsid w:val="2E8C5391"/>
    <w:rsid w:val="2E8F0E4A"/>
    <w:rsid w:val="2E9932A3"/>
    <w:rsid w:val="2EBF19C2"/>
    <w:rsid w:val="2FC35981"/>
    <w:rsid w:val="300B1DEB"/>
    <w:rsid w:val="307B3A5B"/>
    <w:rsid w:val="31834580"/>
    <w:rsid w:val="31FD0C8C"/>
    <w:rsid w:val="32301424"/>
    <w:rsid w:val="32DA24B5"/>
    <w:rsid w:val="33A909C1"/>
    <w:rsid w:val="33B50445"/>
    <w:rsid w:val="34314779"/>
    <w:rsid w:val="348A2F11"/>
    <w:rsid w:val="34A83D19"/>
    <w:rsid w:val="34B06550"/>
    <w:rsid w:val="350D25E9"/>
    <w:rsid w:val="3558582D"/>
    <w:rsid w:val="355D03B0"/>
    <w:rsid w:val="35FB37DB"/>
    <w:rsid w:val="36200693"/>
    <w:rsid w:val="36774B90"/>
    <w:rsid w:val="37061BA7"/>
    <w:rsid w:val="37330ED2"/>
    <w:rsid w:val="3793105A"/>
    <w:rsid w:val="37F9544E"/>
    <w:rsid w:val="38FB467B"/>
    <w:rsid w:val="3A7827F9"/>
    <w:rsid w:val="3A855F8E"/>
    <w:rsid w:val="3AF6347C"/>
    <w:rsid w:val="3AF820F5"/>
    <w:rsid w:val="3B5733E5"/>
    <w:rsid w:val="3B6A6219"/>
    <w:rsid w:val="3B7958D0"/>
    <w:rsid w:val="3BB9630C"/>
    <w:rsid w:val="3C0B1D45"/>
    <w:rsid w:val="3D414D28"/>
    <w:rsid w:val="3D9A4ECD"/>
    <w:rsid w:val="3DBF27A4"/>
    <w:rsid w:val="3E652490"/>
    <w:rsid w:val="3E6677F6"/>
    <w:rsid w:val="3ECF1D44"/>
    <w:rsid w:val="3ECF5C4B"/>
    <w:rsid w:val="3EF76F56"/>
    <w:rsid w:val="3F21626B"/>
    <w:rsid w:val="3FA868EB"/>
    <w:rsid w:val="3FCC7074"/>
    <w:rsid w:val="40FE4E41"/>
    <w:rsid w:val="412E6D71"/>
    <w:rsid w:val="416E27E4"/>
    <w:rsid w:val="41780CC1"/>
    <w:rsid w:val="419158DF"/>
    <w:rsid w:val="41C37C00"/>
    <w:rsid w:val="41D06A3C"/>
    <w:rsid w:val="424E6BB3"/>
    <w:rsid w:val="42B23D5F"/>
    <w:rsid w:val="4364538A"/>
    <w:rsid w:val="43FC7700"/>
    <w:rsid w:val="44C93311"/>
    <w:rsid w:val="44D926A7"/>
    <w:rsid w:val="45AF3DF0"/>
    <w:rsid w:val="45F203B7"/>
    <w:rsid w:val="46B225AE"/>
    <w:rsid w:val="46D60CDA"/>
    <w:rsid w:val="46E44703"/>
    <w:rsid w:val="47015186"/>
    <w:rsid w:val="47BD0E74"/>
    <w:rsid w:val="480165CA"/>
    <w:rsid w:val="48671845"/>
    <w:rsid w:val="48721F75"/>
    <w:rsid w:val="49102A07"/>
    <w:rsid w:val="49754BD9"/>
    <w:rsid w:val="4B5A355A"/>
    <w:rsid w:val="4BF811F0"/>
    <w:rsid w:val="4BFD0293"/>
    <w:rsid w:val="4CB65401"/>
    <w:rsid w:val="4CE0596C"/>
    <w:rsid w:val="4DA61186"/>
    <w:rsid w:val="4DAA16B8"/>
    <w:rsid w:val="4F055A98"/>
    <w:rsid w:val="4F816AA7"/>
    <w:rsid w:val="4FC652ED"/>
    <w:rsid w:val="4FE636F8"/>
    <w:rsid w:val="512A3955"/>
    <w:rsid w:val="517E2489"/>
    <w:rsid w:val="51AB47A4"/>
    <w:rsid w:val="51E90E1F"/>
    <w:rsid w:val="52BB0328"/>
    <w:rsid w:val="532367A8"/>
    <w:rsid w:val="5377180D"/>
    <w:rsid w:val="542273DB"/>
    <w:rsid w:val="54B9166E"/>
    <w:rsid w:val="55556C1A"/>
    <w:rsid w:val="55694F5E"/>
    <w:rsid w:val="564B3359"/>
    <w:rsid w:val="565B4D34"/>
    <w:rsid w:val="56E731D5"/>
    <w:rsid w:val="57574444"/>
    <w:rsid w:val="57F30094"/>
    <w:rsid w:val="588401FC"/>
    <w:rsid w:val="58E07702"/>
    <w:rsid w:val="59376AF9"/>
    <w:rsid w:val="598D1CFE"/>
    <w:rsid w:val="5A4532B2"/>
    <w:rsid w:val="5AAF764A"/>
    <w:rsid w:val="5BB2583C"/>
    <w:rsid w:val="5C8E2D63"/>
    <w:rsid w:val="5CA4210D"/>
    <w:rsid w:val="5CBD526A"/>
    <w:rsid w:val="5CD03965"/>
    <w:rsid w:val="5CD508DC"/>
    <w:rsid w:val="5CDD759E"/>
    <w:rsid w:val="5E1D22D7"/>
    <w:rsid w:val="5E5D506F"/>
    <w:rsid w:val="5EA71CCF"/>
    <w:rsid w:val="5EBC0FA3"/>
    <w:rsid w:val="5ECB022A"/>
    <w:rsid w:val="605D75B9"/>
    <w:rsid w:val="61E6013F"/>
    <w:rsid w:val="61FD0515"/>
    <w:rsid w:val="634A5A6B"/>
    <w:rsid w:val="638D3AA0"/>
    <w:rsid w:val="63BE466D"/>
    <w:rsid w:val="642C64CE"/>
    <w:rsid w:val="64600A39"/>
    <w:rsid w:val="64E474B0"/>
    <w:rsid w:val="65904CE4"/>
    <w:rsid w:val="65B87BB2"/>
    <w:rsid w:val="660B2D2A"/>
    <w:rsid w:val="6623094C"/>
    <w:rsid w:val="666D166A"/>
    <w:rsid w:val="668478C8"/>
    <w:rsid w:val="675B30A1"/>
    <w:rsid w:val="677619AE"/>
    <w:rsid w:val="67A634CA"/>
    <w:rsid w:val="67D363A2"/>
    <w:rsid w:val="681A7E84"/>
    <w:rsid w:val="68753BBD"/>
    <w:rsid w:val="68840FC4"/>
    <w:rsid w:val="693A2BF9"/>
    <w:rsid w:val="69806646"/>
    <w:rsid w:val="6BF37355"/>
    <w:rsid w:val="6C0E7AD8"/>
    <w:rsid w:val="6C157310"/>
    <w:rsid w:val="6C3E39DD"/>
    <w:rsid w:val="6C4E7A54"/>
    <w:rsid w:val="6CA62B6B"/>
    <w:rsid w:val="6CA711ED"/>
    <w:rsid w:val="6CE2535E"/>
    <w:rsid w:val="6D62745B"/>
    <w:rsid w:val="6DA65EC3"/>
    <w:rsid w:val="6E1A698B"/>
    <w:rsid w:val="6EDA3E8C"/>
    <w:rsid w:val="6F752079"/>
    <w:rsid w:val="6FDB4045"/>
    <w:rsid w:val="701C0D99"/>
    <w:rsid w:val="7035424B"/>
    <w:rsid w:val="706250E5"/>
    <w:rsid w:val="70FB6400"/>
    <w:rsid w:val="717E5D95"/>
    <w:rsid w:val="71EA1D08"/>
    <w:rsid w:val="72485EE8"/>
    <w:rsid w:val="72517DCD"/>
    <w:rsid w:val="73940FC6"/>
    <w:rsid w:val="73C230D8"/>
    <w:rsid w:val="74656161"/>
    <w:rsid w:val="758A7A97"/>
    <w:rsid w:val="75D27682"/>
    <w:rsid w:val="768A40CF"/>
    <w:rsid w:val="76EB1A60"/>
    <w:rsid w:val="76EE7029"/>
    <w:rsid w:val="77123160"/>
    <w:rsid w:val="77E61333"/>
    <w:rsid w:val="77FE01D1"/>
    <w:rsid w:val="78032B60"/>
    <w:rsid w:val="78BA4279"/>
    <w:rsid w:val="7A344A7E"/>
    <w:rsid w:val="7B261B6B"/>
    <w:rsid w:val="7B267940"/>
    <w:rsid w:val="7B27539C"/>
    <w:rsid w:val="7B570138"/>
    <w:rsid w:val="7B5A26F2"/>
    <w:rsid w:val="7B7D43E0"/>
    <w:rsid w:val="7C0A2777"/>
    <w:rsid w:val="7C29661A"/>
    <w:rsid w:val="7CA046C4"/>
    <w:rsid w:val="7D277596"/>
    <w:rsid w:val="7E17407C"/>
    <w:rsid w:val="7E3D00C1"/>
    <w:rsid w:val="7EE23388"/>
    <w:rsid w:val="7F1D01D6"/>
    <w:rsid w:val="7F1F2E04"/>
    <w:rsid w:val="7FA439DD"/>
    <w:rsid w:val="7FB0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7"/>
    <w:qFormat/>
    <w:uiPriority w:val="0"/>
    <w:pPr>
      <w:spacing w:line="540" w:lineRule="exact"/>
    </w:pPr>
    <w:rPr>
      <w:sz w:val="28"/>
      <w:szCs w:val="20"/>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99"/>
    <w:pPr>
      <w:spacing w:beforeAutospacing="1" w:afterAutospacing="1"/>
      <w:jc w:val="left"/>
    </w:pPr>
    <w:rPr>
      <w:kern w:val="0"/>
      <w:sz w:val="24"/>
    </w:rPr>
  </w:style>
  <w:style w:type="character" w:styleId="11">
    <w:name w:val="Strong"/>
    <w:basedOn w:val="10"/>
    <w:qFormat/>
    <w:uiPriority w:val="22"/>
    <w:rPr>
      <w:b/>
    </w:rPr>
  </w:style>
  <w:style w:type="character" w:styleId="12">
    <w:name w:val="Hyperlink"/>
    <w:basedOn w:val="10"/>
    <w:semiHidden/>
    <w:unhideWhenUsed/>
    <w:qFormat/>
    <w:uiPriority w:val="99"/>
    <w:rPr>
      <w:color w:val="0000FF"/>
      <w:u w:val="single"/>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character" w:customStyle="1" w:styleId="15">
    <w:name w:val="标题 1 Char"/>
    <w:basedOn w:val="10"/>
    <w:link w:val="2"/>
    <w:qFormat/>
    <w:uiPriority w:val="0"/>
    <w:rPr>
      <w:rFonts w:ascii="Times New Roman" w:hAnsi="Times New Roman" w:eastAsia="宋体" w:cs="Times New Roman"/>
      <w:b/>
      <w:bCs/>
      <w:kern w:val="44"/>
      <w:sz w:val="44"/>
      <w:szCs w:val="44"/>
    </w:rPr>
  </w:style>
  <w:style w:type="character" w:customStyle="1" w:styleId="16">
    <w:name w:val="标题 2 Char"/>
    <w:basedOn w:val="10"/>
    <w:link w:val="3"/>
    <w:qFormat/>
    <w:uiPriority w:val="0"/>
    <w:rPr>
      <w:rFonts w:ascii="Arial" w:hAnsi="Arial" w:eastAsia="黑体" w:cs="Times New Roman"/>
      <w:b/>
      <w:bCs/>
      <w:sz w:val="32"/>
      <w:szCs w:val="32"/>
    </w:rPr>
  </w:style>
  <w:style w:type="character" w:customStyle="1" w:styleId="17">
    <w:name w:val="正文文本 Char"/>
    <w:basedOn w:val="10"/>
    <w:link w:val="4"/>
    <w:qFormat/>
    <w:uiPriority w:val="0"/>
    <w:rPr>
      <w:rFonts w:ascii="Times New Roman" w:hAnsi="Times New Roman" w:eastAsia="宋体" w:cs="Times New Roman"/>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6253</Words>
  <Characters>6457</Characters>
  <Lines>48</Lines>
  <Paragraphs>13</Paragraphs>
  <TotalTime>0</TotalTime>
  <ScaleCrop>false</ScaleCrop>
  <LinksUpToDate>false</LinksUpToDate>
  <CharactersWithSpaces>6482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2021-04-14T02:26:00Z</dcterms:created>
  <dc:creator>陈柯达</dc:creator>
  <cp:lastModifiedBy>小雅</cp:lastModifiedBy>
  <dcterms:modified xsi:type="dcterms:W3CDTF">2025-09-29T02:05:19Z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E4920E299D4342E797F7E81756D77670</vt:lpwstr>
  </property>
  <property fmtid="{D5CDD505-2E9C-101B-9397-08002B2CF9AE}" pid="4" name="KSOTemplateDocerSaveRecord">
    <vt:lpwstr>eyJoZGlkIjoiMzIzMjkxNzU4MTc3MTNjZmM1MWUxZGRiMTI5ZGM0YjIiLCJ1c2VySWQiOiI1OTM0MjY3MTEifQ==</vt:lpwstr>
  </property>
</Properties>
</file>