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0" w:firstLineChars="200"/>
        <w:rPr>
          <w:color w:val="auto"/>
          <w:sz w:val="24"/>
          <w:szCs w:val="24"/>
          <w:highlight w:val="none"/>
        </w:rPr>
      </w:pPr>
    </w:p>
    <w:p>
      <w:pPr>
        <w:spacing w:line="360" w:lineRule="auto"/>
        <w:ind w:firstLine="480" w:firstLineChars="200"/>
        <w:rPr>
          <w:color w:val="auto"/>
          <w:sz w:val="24"/>
          <w:szCs w:val="24"/>
          <w:highlight w:val="none"/>
        </w:rPr>
      </w:pPr>
    </w:p>
    <w:p>
      <w:pPr>
        <w:numPr>
          <w:ilvl w:val="0"/>
          <w:numId w:val="0"/>
        </w:numPr>
        <w:spacing w:line="360" w:lineRule="auto"/>
        <w:ind w:leftChars="0"/>
        <w:jc w:val="center"/>
        <w:outlineLvl w:val="0"/>
        <w:rPr>
          <w:b/>
          <w:bCs/>
          <w:color w:val="auto"/>
          <w:sz w:val="52"/>
          <w:szCs w:val="52"/>
          <w:highlight w:val="none"/>
        </w:rPr>
      </w:pPr>
      <w:bookmarkStart w:id="0" w:name="_Toc16294"/>
      <w:bookmarkStart w:id="1" w:name="_Toc8084"/>
      <w:bookmarkStart w:id="2" w:name="_Toc13324"/>
      <w:bookmarkStart w:id="3" w:name="_Toc13488"/>
      <w:bookmarkStart w:id="4" w:name="_Toc23307"/>
      <w:r>
        <w:rPr>
          <w:rFonts w:hint="eastAsia"/>
          <w:b/>
          <w:bCs/>
          <w:color w:val="auto"/>
          <w:sz w:val="52"/>
          <w:szCs w:val="52"/>
          <w:highlight w:val="none"/>
        </w:rPr>
        <w:t>政府采购竞争性磋商文件</w:t>
      </w:r>
      <w:bookmarkEnd w:id="0"/>
      <w:bookmarkEnd w:id="1"/>
      <w:bookmarkEnd w:id="2"/>
      <w:bookmarkEnd w:id="3"/>
      <w:bookmarkEnd w:id="4"/>
    </w:p>
    <w:p>
      <w:pPr>
        <w:numPr>
          <w:ilvl w:val="0"/>
          <w:numId w:val="0"/>
        </w:numPr>
        <w:spacing w:line="360" w:lineRule="auto"/>
        <w:ind w:leftChars="0"/>
        <w:jc w:val="both"/>
        <w:rPr>
          <w:rFonts w:hint="eastAsia"/>
          <w:b/>
          <w:bCs/>
          <w:color w:val="auto"/>
          <w:sz w:val="32"/>
          <w:szCs w:val="32"/>
          <w:highlight w:val="none"/>
        </w:rPr>
      </w:pPr>
    </w:p>
    <w:p>
      <w:pPr>
        <w:numPr>
          <w:ilvl w:val="0"/>
          <w:numId w:val="0"/>
        </w:numPr>
        <w:spacing w:line="360" w:lineRule="auto"/>
        <w:ind w:leftChars="0"/>
        <w:jc w:val="center"/>
        <w:outlineLvl w:val="0"/>
        <w:rPr>
          <w:b/>
          <w:bCs/>
          <w:color w:val="auto"/>
          <w:sz w:val="32"/>
          <w:szCs w:val="32"/>
          <w:highlight w:val="none"/>
        </w:rPr>
      </w:pPr>
      <w:bookmarkStart w:id="5" w:name="_Toc5076"/>
      <w:bookmarkStart w:id="6" w:name="_Toc1694"/>
      <w:bookmarkStart w:id="7" w:name="_Toc635"/>
      <w:bookmarkStart w:id="8" w:name="_Toc23395"/>
      <w:bookmarkStart w:id="9" w:name="_Toc22810"/>
      <w:r>
        <w:rPr>
          <w:rFonts w:hint="eastAsia"/>
          <w:b/>
          <w:bCs/>
          <w:color w:val="auto"/>
          <w:sz w:val="32"/>
          <w:szCs w:val="32"/>
          <w:highlight w:val="none"/>
        </w:rPr>
        <w:t>第一册</w:t>
      </w:r>
      <w:bookmarkEnd w:id="5"/>
      <w:bookmarkEnd w:id="6"/>
      <w:bookmarkEnd w:id="7"/>
      <w:bookmarkEnd w:id="8"/>
      <w:bookmarkEnd w:id="9"/>
    </w:p>
    <w:p>
      <w:pPr>
        <w:spacing w:line="360" w:lineRule="auto"/>
        <w:ind w:firstLine="480" w:firstLineChars="200"/>
        <w:jc w:val="center"/>
        <w:rPr>
          <w:color w:val="auto"/>
          <w:sz w:val="24"/>
          <w:szCs w:val="24"/>
          <w:highlight w:val="none"/>
        </w:rPr>
      </w:pPr>
    </w:p>
    <w:p>
      <w:pPr>
        <w:pStyle w:val="10"/>
        <w:rPr>
          <w:color w:val="auto"/>
          <w:highlight w:val="none"/>
        </w:rPr>
      </w:pPr>
    </w:p>
    <w:p>
      <w:pPr>
        <w:spacing w:line="360" w:lineRule="auto"/>
        <w:ind w:firstLine="2249" w:firstLineChars="800"/>
        <w:jc w:val="center"/>
        <w:rPr>
          <w:b/>
          <w:bCs/>
          <w:color w:val="auto"/>
          <w:sz w:val="28"/>
          <w:szCs w:val="28"/>
          <w:highlight w:val="none"/>
        </w:rPr>
      </w:pPr>
    </w:p>
    <w:p>
      <w:pPr>
        <w:spacing w:line="360" w:lineRule="auto"/>
        <w:ind w:firstLine="2249" w:firstLineChars="800"/>
        <w:jc w:val="center"/>
        <w:rPr>
          <w:b/>
          <w:bCs/>
          <w:color w:val="auto"/>
          <w:sz w:val="28"/>
          <w:szCs w:val="28"/>
          <w:highlight w:val="none"/>
        </w:rPr>
      </w:pPr>
    </w:p>
    <w:p>
      <w:pPr>
        <w:numPr>
          <w:ilvl w:val="0"/>
          <w:numId w:val="0"/>
        </w:numPr>
        <w:spacing w:line="360" w:lineRule="auto"/>
        <w:ind w:firstLine="2249" w:firstLineChars="800"/>
        <w:jc w:val="both"/>
        <w:rPr>
          <w:rFonts w:hint="eastAsia"/>
          <w:b/>
          <w:bCs/>
          <w:color w:val="auto"/>
          <w:sz w:val="28"/>
          <w:szCs w:val="28"/>
          <w:highlight w:val="none"/>
          <w:lang w:eastAsia="zh-CN"/>
        </w:rPr>
      </w:pPr>
      <w:bookmarkStart w:id="10" w:name="_Toc5345"/>
      <w:bookmarkStart w:id="11" w:name="_Toc14520"/>
      <w:bookmarkStart w:id="12" w:name="_Toc22219"/>
      <w:bookmarkStart w:id="13" w:name="_Toc12774"/>
      <w:bookmarkStart w:id="14" w:name="_Toc950"/>
      <w:r>
        <w:rPr>
          <w:rFonts w:hint="eastAsia"/>
          <w:b/>
          <w:bCs/>
          <w:color w:val="auto"/>
          <w:sz w:val="28"/>
          <w:szCs w:val="28"/>
          <w:highlight w:val="none"/>
          <w:lang w:val="en-US" w:eastAsia="zh-CN"/>
        </w:rPr>
        <w:t>文件</w:t>
      </w:r>
      <w:r>
        <w:rPr>
          <w:rFonts w:hint="eastAsia"/>
          <w:b/>
          <w:bCs/>
          <w:color w:val="auto"/>
          <w:sz w:val="28"/>
          <w:szCs w:val="28"/>
          <w:highlight w:val="none"/>
        </w:rPr>
        <w:t>编号：</w:t>
      </w:r>
      <w:bookmarkEnd w:id="10"/>
      <w:bookmarkEnd w:id="11"/>
      <w:bookmarkEnd w:id="12"/>
      <w:bookmarkEnd w:id="13"/>
      <w:bookmarkEnd w:id="14"/>
      <w:r>
        <w:rPr>
          <w:rFonts w:hint="eastAsia"/>
          <w:b/>
          <w:bCs/>
          <w:color w:val="auto"/>
          <w:sz w:val="28"/>
          <w:szCs w:val="28"/>
          <w:highlight w:val="none"/>
          <w:lang w:eastAsia="zh-CN"/>
        </w:rPr>
        <w:t>SDLX2025008</w:t>
      </w:r>
    </w:p>
    <w:p>
      <w:pPr>
        <w:numPr>
          <w:ilvl w:val="0"/>
          <w:numId w:val="0"/>
        </w:numPr>
        <w:spacing w:line="360" w:lineRule="auto"/>
        <w:ind w:firstLine="2249" w:firstLineChars="800"/>
        <w:jc w:val="both"/>
        <w:rPr>
          <w:rFonts w:hint="default" w:eastAsia="宋体"/>
          <w:b/>
          <w:bCs/>
          <w:color w:val="auto"/>
          <w:sz w:val="28"/>
          <w:szCs w:val="28"/>
          <w:highlight w:val="none"/>
          <w:lang w:val="en-US" w:eastAsia="zh-CN"/>
        </w:rPr>
      </w:pPr>
      <w:r>
        <w:rPr>
          <w:rFonts w:hint="eastAsia"/>
          <w:b/>
          <w:bCs/>
          <w:color w:val="auto"/>
          <w:sz w:val="28"/>
          <w:szCs w:val="28"/>
          <w:highlight w:val="none"/>
          <w:lang w:eastAsia="zh-CN"/>
        </w:rPr>
        <w:t>项目</w:t>
      </w:r>
      <w:r>
        <w:rPr>
          <w:rFonts w:hint="eastAsia"/>
          <w:b/>
          <w:bCs/>
          <w:color w:val="auto"/>
          <w:sz w:val="28"/>
          <w:szCs w:val="28"/>
          <w:highlight w:val="none"/>
        </w:rPr>
        <w:t>编号：</w:t>
      </w:r>
      <w:r>
        <w:rPr>
          <w:rFonts w:hint="eastAsia"/>
          <w:b/>
          <w:bCs/>
          <w:color w:val="auto"/>
          <w:sz w:val="28"/>
          <w:szCs w:val="28"/>
          <w:highlight w:val="none"/>
          <w:lang w:val="en-US" w:eastAsia="zh-CN"/>
        </w:rPr>
        <w:t>SDGP371302000202502000059</w:t>
      </w:r>
    </w:p>
    <w:p>
      <w:pPr>
        <w:numPr>
          <w:ilvl w:val="0"/>
          <w:numId w:val="0"/>
        </w:numPr>
        <w:spacing w:line="360" w:lineRule="auto"/>
        <w:ind w:left="2235" w:leftChars="1016" w:firstLine="0" w:firstLineChars="0"/>
        <w:jc w:val="both"/>
        <w:rPr>
          <w:rFonts w:hint="eastAsia" w:eastAsia="宋体"/>
          <w:b/>
          <w:bCs/>
          <w:color w:val="auto"/>
          <w:sz w:val="28"/>
          <w:szCs w:val="28"/>
          <w:highlight w:val="none"/>
          <w:lang w:val="en-US" w:eastAsia="zh-CN"/>
        </w:rPr>
      </w:pPr>
      <w:r>
        <w:rPr>
          <w:rFonts w:hint="eastAsia"/>
          <w:b/>
          <w:bCs/>
          <w:color w:val="auto"/>
          <w:sz w:val="28"/>
          <w:szCs w:val="28"/>
          <w:highlight w:val="none"/>
        </w:rPr>
        <w:t>项目名称:</w:t>
      </w:r>
      <w:r>
        <w:rPr>
          <w:rFonts w:hint="eastAsia"/>
          <w:b/>
          <w:bCs/>
          <w:color w:val="auto"/>
          <w:sz w:val="28"/>
          <w:szCs w:val="28"/>
          <w:highlight w:val="none"/>
          <w:lang w:val="en-US" w:eastAsia="zh-CN"/>
        </w:rPr>
        <w:t xml:space="preserve"> </w:t>
      </w:r>
      <w:r>
        <w:rPr>
          <w:rFonts w:hint="eastAsia"/>
          <w:b/>
          <w:bCs/>
          <w:color w:val="auto"/>
          <w:sz w:val="28"/>
          <w:szCs w:val="28"/>
          <w:highlight w:val="none"/>
          <w:lang w:eastAsia="zh-CN"/>
        </w:rPr>
        <w:t xml:space="preserve">临沂第三十六中学挡土墙支护工程 </w:t>
      </w:r>
    </w:p>
    <w:p>
      <w:pPr>
        <w:keepNext w:val="0"/>
        <w:keepLines w:val="0"/>
        <w:widowControl/>
        <w:suppressLineNumbers w:val="0"/>
        <w:ind w:firstLine="2249" w:firstLineChars="800"/>
        <w:jc w:val="left"/>
        <w:rPr>
          <w:color w:val="auto"/>
          <w:highlight w:val="none"/>
        </w:rPr>
      </w:pPr>
      <w:r>
        <w:rPr>
          <w:rFonts w:hint="eastAsia" w:ascii="宋体" w:hAnsi="宋体" w:eastAsia="宋体" w:cs="宋体"/>
          <w:b/>
          <w:bCs/>
          <w:color w:val="auto"/>
          <w:sz w:val="28"/>
          <w:szCs w:val="28"/>
          <w:highlight w:val="none"/>
          <w:lang w:val="en-US" w:eastAsia="zh-CN"/>
        </w:rPr>
        <w:t>项目包号：A包</w:t>
      </w:r>
    </w:p>
    <w:p>
      <w:pPr>
        <w:pStyle w:val="10"/>
        <w:rPr>
          <w:color w:val="auto"/>
          <w:highlight w:val="none"/>
        </w:rPr>
      </w:pPr>
    </w:p>
    <w:p>
      <w:pPr>
        <w:spacing w:line="360" w:lineRule="auto"/>
        <w:ind w:firstLine="480" w:firstLineChars="200"/>
        <w:jc w:val="center"/>
        <w:rPr>
          <w:color w:val="auto"/>
          <w:sz w:val="24"/>
          <w:szCs w:val="24"/>
          <w:highlight w:val="none"/>
        </w:rPr>
      </w:pPr>
    </w:p>
    <w:p>
      <w:pPr>
        <w:spacing w:line="360" w:lineRule="auto"/>
        <w:ind w:firstLine="480" w:firstLineChars="200"/>
        <w:jc w:val="center"/>
        <w:rPr>
          <w:color w:val="auto"/>
          <w:sz w:val="24"/>
          <w:szCs w:val="24"/>
          <w:highlight w:val="none"/>
          <w:lang w:val="en-US"/>
        </w:rPr>
      </w:pPr>
    </w:p>
    <w:p>
      <w:pPr>
        <w:spacing w:line="360" w:lineRule="auto"/>
        <w:ind w:firstLine="480" w:firstLineChars="200"/>
        <w:jc w:val="center"/>
        <w:rPr>
          <w:color w:val="auto"/>
          <w:sz w:val="24"/>
          <w:szCs w:val="24"/>
          <w:highlight w:val="none"/>
        </w:rPr>
      </w:pPr>
    </w:p>
    <w:p>
      <w:pPr>
        <w:spacing w:line="360" w:lineRule="auto"/>
        <w:ind w:firstLine="480" w:firstLineChars="200"/>
        <w:jc w:val="center"/>
        <w:rPr>
          <w:color w:val="auto"/>
          <w:sz w:val="24"/>
          <w:szCs w:val="24"/>
          <w:highlight w:val="none"/>
        </w:rPr>
      </w:pPr>
    </w:p>
    <w:p>
      <w:pPr>
        <w:spacing w:line="360" w:lineRule="auto"/>
        <w:ind w:firstLine="480" w:firstLineChars="200"/>
        <w:jc w:val="center"/>
        <w:rPr>
          <w:color w:val="auto"/>
          <w:sz w:val="24"/>
          <w:szCs w:val="24"/>
          <w:highlight w:val="none"/>
        </w:rPr>
      </w:pPr>
    </w:p>
    <w:p>
      <w:pPr>
        <w:spacing w:line="360" w:lineRule="auto"/>
        <w:jc w:val="center"/>
        <w:rPr>
          <w:b/>
          <w:bCs/>
          <w:color w:val="auto"/>
          <w:sz w:val="28"/>
          <w:szCs w:val="28"/>
          <w:highlight w:val="none"/>
        </w:rPr>
      </w:pPr>
    </w:p>
    <w:p>
      <w:pPr>
        <w:spacing w:line="360" w:lineRule="auto"/>
        <w:ind w:firstLine="2249" w:firstLineChars="800"/>
        <w:jc w:val="center"/>
        <w:rPr>
          <w:b/>
          <w:bCs/>
          <w:color w:val="auto"/>
          <w:sz w:val="28"/>
          <w:szCs w:val="28"/>
          <w:highlight w:val="none"/>
        </w:rPr>
      </w:pPr>
    </w:p>
    <w:p>
      <w:pPr>
        <w:numPr>
          <w:ilvl w:val="0"/>
          <w:numId w:val="0"/>
        </w:numPr>
        <w:spacing w:line="360" w:lineRule="auto"/>
        <w:ind w:firstLine="2249" w:firstLineChars="800"/>
        <w:jc w:val="both"/>
        <w:outlineLvl w:val="0"/>
        <w:rPr>
          <w:rFonts w:hint="eastAsia" w:ascii="宋体" w:hAnsi="宋体" w:eastAsia="宋体" w:cs="宋体"/>
          <w:b/>
          <w:bCs/>
          <w:color w:val="auto"/>
          <w:sz w:val="28"/>
          <w:szCs w:val="28"/>
          <w:highlight w:val="none"/>
          <w:lang w:eastAsia="zh-CN"/>
        </w:rPr>
      </w:pPr>
      <w:bookmarkStart w:id="15" w:name="_Toc5961"/>
      <w:bookmarkStart w:id="16" w:name="_Toc17333"/>
      <w:bookmarkStart w:id="17" w:name="_Toc23539"/>
      <w:bookmarkStart w:id="18" w:name="_Toc10137"/>
      <w:bookmarkStart w:id="19" w:name="_Toc27448"/>
      <w:bookmarkStart w:id="20" w:name="_Toc12883"/>
      <w:bookmarkStart w:id="21" w:name="_Toc22860"/>
      <w:r>
        <w:rPr>
          <w:rFonts w:hint="eastAsia" w:ascii="宋体" w:hAnsi="宋体" w:eastAsia="宋体" w:cs="宋体"/>
          <w:b/>
          <w:bCs/>
          <w:color w:val="auto"/>
          <w:sz w:val="28"/>
          <w:szCs w:val="28"/>
          <w:highlight w:val="none"/>
          <w:lang w:eastAsia="zh-CN"/>
        </w:rPr>
        <w:t>采</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lang w:eastAsia="zh-CN"/>
        </w:rPr>
        <w:t xml:space="preserve"> </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lang w:eastAsia="zh-CN"/>
        </w:rPr>
        <w:t xml:space="preserve">购 </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lang w:eastAsia="zh-CN"/>
        </w:rPr>
        <w:t>人：</w:t>
      </w:r>
      <w:bookmarkEnd w:id="15"/>
      <w:bookmarkEnd w:id="16"/>
      <w:bookmarkEnd w:id="17"/>
      <w:bookmarkEnd w:id="18"/>
      <w:bookmarkEnd w:id="19"/>
      <w:bookmarkEnd w:id="20"/>
      <w:bookmarkEnd w:id="21"/>
      <w:r>
        <w:rPr>
          <w:rFonts w:hint="eastAsia" w:cs="宋体"/>
          <w:b/>
          <w:bCs/>
          <w:color w:val="auto"/>
          <w:sz w:val="28"/>
          <w:szCs w:val="28"/>
          <w:highlight w:val="none"/>
          <w:lang w:eastAsia="zh-CN"/>
        </w:rPr>
        <w:t>临沂第三十六中学</w:t>
      </w:r>
    </w:p>
    <w:p>
      <w:pPr>
        <w:numPr>
          <w:ilvl w:val="0"/>
          <w:numId w:val="0"/>
        </w:numPr>
        <w:spacing w:line="360" w:lineRule="auto"/>
        <w:ind w:firstLine="2249" w:firstLineChars="800"/>
        <w:jc w:val="both"/>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采购代理机构：山东立行建设项目管理有限公司</w:t>
      </w:r>
    </w:p>
    <w:p>
      <w:pPr>
        <w:numPr>
          <w:ilvl w:val="0"/>
          <w:numId w:val="0"/>
        </w:numPr>
        <w:spacing w:line="360" w:lineRule="auto"/>
        <w:ind w:firstLine="2249" w:firstLineChars="800"/>
        <w:jc w:val="both"/>
        <w:outlineLvl w:val="0"/>
        <w:rPr>
          <w:color w:val="auto"/>
          <w:sz w:val="24"/>
          <w:szCs w:val="24"/>
          <w:highlight w:val="none"/>
          <w:lang w:val="en-US"/>
        </w:rPr>
        <w:sectPr>
          <w:headerReference r:id="rId3" w:type="default"/>
          <w:footerReference r:id="rId4" w:type="default"/>
          <w:pgSz w:w="11930" w:h="16840"/>
          <w:pgMar w:top="1580" w:right="500" w:bottom="900" w:left="700" w:header="720" w:footer="719" w:gutter="0"/>
          <w:pgNumType w:start="1"/>
          <w:cols w:space="720" w:num="1"/>
        </w:sectPr>
      </w:pPr>
      <w:bookmarkStart w:id="22" w:name="_Toc28180"/>
      <w:bookmarkStart w:id="23" w:name="_Toc14854"/>
      <w:bookmarkStart w:id="24" w:name="_Toc30081"/>
      <w:bookmarkStart w:id="25" w:name="_Toc922"/>
      <w:bookmarkStart w:id="26" w:name="_Toc2605"/>
      <w:r>
        <w:rPr>
          <w:rFonts w:hint="eastAsia" w:ascii="宋体" w:hAnsi="宋体" w:eastAsia="宋体" w:cs="宋体"/>
          <w:b/>
          <w:bCs/>
          <w:color w:val="auto"/>
          <w:sz w:val="28"/>
          <w:szCs w:val="28"/>
          <w:highlight w:val="none"/>
          <w:lang w:eastAsia="zh-CN"/>
        </w:rPr>
        <w:t xml:space="preserve">发 </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lang w:eastAsia="zh-CN"/>
        </w:rPr>
        <w:t>出 日 期：</w:t>
      </w:r>
      <w:r>
        <w:rPr>
          <w:rFonts w:hint="eastAsia" w:cs="宋体"/>
          <w:b/>
          <w:bCs/>
          <w:color w:val="auto"/>
          <w:sz w:val="28"/>
          <w:szCs w:val="28"/>
          <w:highlight w:val="none"/>
          <w:lang w:eastAsia="zh-CN"/>
        </w:rPr>
        <w:t>2025年0</w:t>
      </w:r>
      <w:r>
        <w:rPr>
          <w:rFonts w:hint="eastAsia" w:cs="宋体"/>
          <w:b/>
          <w:bCs/>
          <w:color w:val="auto"/>
          <w:sz w:val="28"/>
          <w:szCs w:val="28"/>
          <w:highlight w:val="none"/>
          <w:lang w:val="en-US" w:eastAsia="zh-CN"/>
        </w:rPr>
        <w:t>4</w:t>
      </w:r>
      <w:r>
        <w:rPr>
          <w:rFonts w:hint="eastAsia" w:cs="宋体"/>
          <w:b/>
          <w:bCs/>
          <w:color w:val="auto"/>
          <w:sz w:val="28"/>
          <w:szCs w:val="28"/>
          <w:highlight w:val="none"/>
          <w:lang w:eastAsia="zh-CN"/>
        </w:rPr>
        <w:t>月</w:t>
      </w:r>
      <w:r>
        <w:rPr>
          <w:rFonts w:hint="eastAsia" w:ascii="宋体" w:hAnsi="宋体" w:eastAsia="宋体" w:cs="宋体"/>
          <w:b/>
          <w:bCs/>
          <w:color w:val="auto"/>
          <w:sz w:val="28"/>
          <w:szCs w:val="28"/>
          <w:highlight w:val="none"/>
          <w:lang w:val="en-US" w:eastAsia="zh-CN"/>
        </w:rPr>
        <w:t xml:space="preserve"> </w:t>
      </w:r>
      <w:bookmarkEnd w:id="22"/>
      <w:bookmarkEnd w:id="23"/>
      <w:bookmarkEnd w:id="24"/>
      <w:bookmarkEnd w:id="25"/>
      <w:bookmarkEnd w:id="26"/>
    </w:p>
    <w:p>
      <w:pPr>
        <w:spacing w:line="360" w:lineRule="auto"/>
        <w:ind w:firstLine="643" w:firstLineChars="20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目</w:t>
      </w:r>
      <w:r>
        <w:rPr>
          <w:rFonts w:hint="eastAsia" w:ascii="宋体" w:hAnsi="宋体" w:eastAsia="宋体" w:cs="宋体"/>
          <w:b/>
          <w:bCs/>
          <w:color w:val="auto"/>
          <w:sz w:val="32"/>
          <w:szCs w:val="32"/>
          <w:highlight w:val="none"/>
        </w:rPr>
        <w:tab/>
      </w:r>
      <w:r>
        <w:rPr>
          <w:rFonts w:hint="eastAsia" w:ascii="宋体" w:hAnsi="宋体" w:eastAsia="宋体" w:cs="宋体"/>
          <w:b/>
          <w:bCs/>
          <w:color w:val="auto"/>
          <w:sz w:val="32"/>
          <w:szCs w:val="32"/>
          <w:highlight w:val="none"/>
        </w:rPr>
        <w:t>录</w:t>
      </w:r>
    </w:p>
    <w:p>
      <w:pPr>
        <w:spacing w:before="0" w:beforeLines="0" w:after="0" w:afterLines="0" w:line="240" w:lineRule="auto"/>
        <w:ind w:left="0" w:leftChars="0" w:right="0" w:rightChars="0" w:firstLine="0" w:firstLineChars="0"/>
        <w:jc w:val="center"/>
        <w:rPr>
          <w:color w:val="auto"/>
          <w:highlight w:val="none"/>
        </w:rPr>
      </w:pPr>
    </w:p>
    <w:p>
      <w:pPr>
        <w:pStyle w:val="52"/>
        <w:tabs>
          <w:tab w:val="right" w:leader="dot" w:pos="9096"/>
        </w:tabs>
        <w:spacing w:line="600" w:lineRule="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\l _Toc635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rPr>
        <w:t>第一册</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_Toc635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pPr>
        <w:pStyle w:val="52"/>
        <w:tabs>
          <w:tab w:val="right" w:leader="dot" w:pos="9096"/>
        </w:tabs>
        <w:spacing w:line="60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\l _Toc11270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第 1 章 供应商须知</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_Toc11270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7</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pPr>
        <w:pStyle w:val="52"/>
        <w:tabs>
          <w:tab w:val="right" w:leader="dot" w:pos="9096"/>
        </w:tabs>
        <w:spacing w:line="60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\l _Toc30249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rPr>
        <w:t>第二册</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_Toc30249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23</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pPr>
        <w:pStyle w:val="52"/>
        <w:tabs>
          <w:tab w:val="right" w:leader="dot" w:pos="9096"/>
        </w:tabs>
        <w:spacing w:line="60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\l _Toc28827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rPr>
        <w:t>第2章</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采购邀请</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_Toc28827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25</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pPr>
        <w:pStyle w:val="52"/>
        <w:tabs>
          <w:tab w:val="right" w:leader="dot" w:pos="9096"/>
        </w:tabs>
        <w:spacing w:line="60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\l _Toc30930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rPr>
        <w:t>第3章</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供应商须知资料表</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_Toc30930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30</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pPr>
        <w:pStyle w:val="52"/>
        <w:tabs>
          <w:tab w:val="right" w:leader="dot" w:pos="9096"/>
        </w:tabs>
        <w:spacing w:line="60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\l _Toc9595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rPr>
        <w:t>第4章</w:t>
      </w:r>
      <w:r>
        <w:rPr>
          <w:rFonts w:hint="eastAsia" w:ascii="宋体" w:hAnsi="宋体" w:eastAsia="宋体" w:cs="宋体"/>
          <w:b/>
          <w:bCs/>
          <w:color w:val="auto"/>
          <w:sz w:val="24"/>
          <w:szCs w:val="24"/>
          <w:highlight w:val="none"/>
          <w:lang w:val="en-US" w:eastAsia="zh-CN"/>
        </w:rPr>
        <w:t xml:space="preserve"> 采购</w:t>
      </w:r>
      <w:r>
        <w:rPr>
          <w:rFonts w:hint="eastAsia" w:ascii="宋体" w:hAnsi="宋体" w:eastAsia="宋体" w:cs="宋体"/>
          <w:b/>
          <w:bCs/>
          <w:color w:val="auto"/>
          <w:sz w:val="24"/>
          <w:szCs w:val="24"/>
          <w:highlight w:val="none"/>
        </w:rPr>
        <w:t>需求及技术规格</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_Toc9595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34</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pPr>
        <w:pStyle w:val="52"/>
        <w:tabs>
          <w:tab w:val="right" w:leader="dot" w:pos="9096"/>
        </w:tabs>
        <w:spacing w:line="60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\l _Toc23776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rPr>
        <w:t>第5章</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评审方法和标准</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_Toc23776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35</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pPr>
        <w:pStyle w:val="52"/>
        <w:tabs>
          <w:tab w:val="right" w:leader="dot" w:pos="9096"/>
        </w:tabs>
        <w:spacing w:line="60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\l _Toc30705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lang w:val="en-US" w:eastAsia="zh-CN"/>
        </w:rPr>
        <w:t xml:space="preserve">第6章 </w:t>
      </w:r>
      <w:r>
        <w:rPr>
          <w:rFonts w:hint="eastAsia" w:ascii="宋体" w:hAnsi="宋体" w:eastAsia="宋体" w:cs="宋体"/>
          <w:b/>
          <w:bCs/>
          <w:color w:val="auto"/>
          <w:sz w:val="24"/>
          <w:szCs w:val="24"/>
          <w:highlight w:val="none"/>
        </w:rPr>
        <w:t>响应文件格式</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_Toc30705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44</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pPr>
        <w:pStyle w:val="52"/>
        <w:tabs>
          <w:tab w:val="right" w:leader="dot" w:pos="9096"/>
        </w:tabs>
        <w:spacing w:line="60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\l _Toc8958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lang w:val="en-US" w:eastAsia="zh-CN"/>
        </w:rPr>
        <w:t>第7章 政府采购合同格式</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_Toc8958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74</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pPr>
        <w:spacing w:line="600" w:lineRule="auto"/>
        <w:rPr>
          <w:color w:val="auto"/>
          <w:highlight w:val="none"/>
        </w:rPr>
      </w:pPr>
      <w:r>
        <w:rPr>
          <w:rFonts w:hint="eastAsia" w:ascii="宋体" w:hAnsi="宋体" w:eastAsia="宋体" w:cs="宋体"/>
          <w:b/>
          <w:color w:val="auto"/>
          <w:sz w:val="24"/>
          <w:szCs w:val="24"/>
          <w:highlight w:val="none"/>
        </w:rPr>
        <w:fldChar w:fldCharType="end"/>
      </w:r>
    </w:p>
    <w:p>
      <w:pPr>
        <w:pStyle w:val="19"/>
        <w:tabs>
          <w:tab w:val="right" w:leader="dot" w:pos="9096"/>
        </w:tabs>
        <w:rPr>
          <w:color w:val="auto"/>
          <w:highlight w:val="none"/>
        </w:rPr>
      </w:pPr>
      <w:r>
        <w:rPr>
          <w:b/>
          <w:bCs/>
          <w:color w:val="auto"/>
          <w:sz w:val="32"/>
          <w:szCs w:val="32"/>
          <w:highlight w:val="none"/>
        </w:rPr>
        <w:fldChar w:fldCharType="begin"/>
      </w:r>
      <w:r>
        <w:rPr>
          <w:b/>
          <w:bCs/>
          <w:color w:val="auto"/>
          <w:sz w:val="32"/>
          <w:szCs w:val="32"/>
          <w:highlight w:val="none"/>
        </w:rPr>
        <w:instrText xml:space="preserve">TOC \o "1-1" \h \u </w:instrText>
      </w:r>
      <w:r>
        <w:rPr>
          <w:b/>
          <w:bCs/>
          <w:color w:val="auto"/>
          <w:sz w:val="32"/>
          <w:szCs w:val="32"/>
          <w:highlight w:val="none"/>
        </w:rPr>
        <w:fldChar w:fldCharType="separate"/>
      </w:r>
    </w:p>
    <w:p>
      <w:pPr>
        <w:spacing w:line="360" w:lineRule="auto"/>
        <w:jc w:val="center"/>
        <w:rPr>
          <w:bCs/>
          <w:color w:val="auto"/>
          <w:szCs w:val="32"/>
          <w:highlight w:val="none"/>
        </w:rPr>
      </w:pPr>
      <w:r>
        <w:rPr>
          <w:bCs/>
          <w:color w:val="auto"/>
          <w:szCs w:val="32"/>
          <w:highlight w:val="none"/>
        </w:rPr>
        <w:fldChar w:fldCharType="end"/>
      </w:r>
    </w:p>
    <w:p>
      <w:pPr>
        <w:spacing w:line="360" w:lineRule="auto"/>
        <w:jc w:val="center"/>
        <w:rPr>
          <w:bCs/>
          <w:color w:val="auto"/>
          <w:szCs w:val="32"/>
          <w:highlight w:val="none"/>
        </w:rPr>
      </w:pPr>
    </w:p>
    <w:p>
      <w:pPr>
        <w:spacing w:line="360" w:lineRule="auto"/>
        <w:jc w:val="center"/>
        <w:rPr>
          <w:bCs/>
          <w:color w:val="auto"/>
          <w:szCs w:val="32"/>
          <w:highlight w:val="none"/>
        </w:rPr>
      </w:pPr>
    </w:p>
    <w:p>
      <w:pPr>
        <w:spacing w:line="360" w:lineRule="auto"/>
        <w:jc w:val="center"/>
        <w:rPr>
          <w:bCs/>
          <w:color w:val="auto"/>
          <w:szCs w:val="32"/>
          <w:highlight w:val="none"/>
        </w:rPr>
      </w:pPr>
    </w:p>
    <w:p>
      <w:pPr>
        <w:spacing w:line="360" w:lineRule="auto"/>
        <w:jc w:val="center"/>
        <w:rPr>
          <w:bCs/>
          <w:color w:val="auto"/>
          <w:szCs w:val="32"/>
          <w:highlight w:val="none"/>
        </w:rPr>
      </w:pPr>
    </w:p>
    <w:p>
      <w:pPr>
        <w:spacing w:line="360" w:lineRule="auto"/>
        <w:jc w:val="center"/>
        <w:rPr>
          <w:bCs/>
          <w:color w:val="auto"/>
          <w:szCs w:val="32"/>
          <w:highlight w:val="none"/>
        </w:rPr>
      </w:pPr>
    </w:p>
    <w:p>
      <w:pPr>
        <w:spacing w:line="360" w:lineRule="auto"/>
        <w:jc w:val="center"/>
        <w:rPr>
          <w:bCs/>
          <w:color w:val="auto"/>
          <w:szCs w:val="32"/>
          <w:highlight w:val="none"/>
        </w:rPr>
      </w:pPr>
    </w:p>
    <w:p>
      <w:pPr>
        <w:spacing w:line="360" w:lineRule="auto"/>
        <w:jc w:val="center"/>
        <w:rPr>
          <w:bCs/>
          <w:color w:val="auto"/>
          <w:szCs w:val="32"/>
          <w:highlight w:val="none"/>
        </w:rPr>
      </w:pPr>
    </w:p>
    <w:p>
      <w:pPr>
        <w:spacing w:line="360" w:lineRule="auto"/>
        <w:jc w:val="center"/>
        <w:rPr>
          <w:bCs/>
          <w:color w:val="auto"/>
          <w:szCs w:val="32"/>
          <w:highlight w:val="none"/>
        </w:rPr>
      </w:pPr>
    </w:p>
    <w:p>
      <w:pPr>
        <w:spacing w:line="360" w:lineRule="auto"/>
        <w:jc w:val="center"/>
        <w:rPr>
          <w:bCs/>
          <w:color w:val="auto"/>
          <w:szCs w:val="32"/>
          <w:highlight w:val="none"/>
        </w:rPr>
      </w:pPr>
    </w:p>
    <w:p>
      <w:pPr>
        <w:spacing w:line="360" w:lineRule="auto"/>
        <w:jc w:val="center"/>
        <w:rPr>
          <w:bCs/>
          <w:color w:val="auto"/>
          <w:szCs w:val="32"/>
          <w:highlight w:val="none"/>
        </w:rPr>
      </w:pPr>
    </w:p>
    <w:p>
      <w:pPr>
        <w:spacing w:line="360" w:lineRule="auto"/>
        <w:jc w:val="both"/>
        <w:rPr>
          <w:bCs/>
          <w:color w:val="auto"/>
          <w:szCs w:val="32"/>
          <w:highlight w:val="none"/>
        </w:rPr>
      </w:pPr>
    </w:p>
    <w:p>
      <w:pPr>
        <w:spacing w:line="360" w:lineRule="auto"/>
        <w:jc w:val="center"/>
        <w:outlineLvl w:val="0"/>
        <w:rPr>
          <w:b/>
          <w:bCs/>
          <w:color w:val="auto"/>
          <w:sz w:val="40"/>
          <w:szCs w:val="40"/>
          <w:highlight w:val="none"/>
        </w:rPr>
      </w:pPr>
      <w:bookmarkStart w:id="27" w:name="_Toc2111"/>
      <w:bookmarkStart w:id="28" w:name="_Toc7509"/>
      <w:bookmarkStart w:id="29" w:name="_Toc16208"/>
      <w:bookmarkStart w:id="30" w:name="_Toc12907"/>
      <w:bookmarkStart w:id="31" w:name="_Toc25614"/>
      <w:r>
        <w:rPr>
          <w:rFonts w:hint="eastAsia"/>
          <w:b/>
          <w:bCs/>
          <w:color w:val="auto"/>
          <w:sz w:val="36"/>
          <w:szCs w:val="36"/>
          <w:highlight w:val="none"/>
        </w:rPr>
        <w:t>第1章</w:t>
      </w:r>
      <w:bookmarkStart w:id="32" w:name="第1章供应商须知"/>
      <w:bookmarkEnd w:id="32"/>
      <w:bookmarkStart w:id="33" w:name="_bookmark0"/>
      <w:bookmarkEnd w:id="33"/>
      <w:r>
        <w:rPr>
          <w:rFonts w:hint="eastAsia"/>
          <w:b/>
          <w:bCs/>
          <w:color w:val="auto"/>
          <w:sz w:val="36"/>
          <w:szCs w:val="36"/>
          <w:highlight w:val="none"/>
          <w:lang w:val="en-US" w:eastAsia="zh-CN"/>
        </w:rPr>
        <w:t xml:space="preserve"> </w:t>
      </w:r>
      <w:r>
        <w:rPr>
          <w:rFonts w:hint="eastAsia"/>
          <w:b/>
          <w:bCs/>
          <w:color w:val="auto"/>
          <w:sz w:val="36"/>
          <w:szCs w:val="36"/>
          <w:highlight w:val="none"/>
        </w:rPr>
        <w:t>供应商须知</w:t>
      </w:r>
      <w:bookmarkEnd w:id="27"/>
      <w:bookmarkEnd w:id="28"/>
      <w:bookmarkEnd w:id="29"/>
      <w:bookmarkEnd w:id="30"/>
      <w:bookmarkEnd w:id="31"/>
    </w:p>
    <w:p>
      <w:pPr>
        <w:spacing w:line="360" w:lineRule="auto"/>
        <w:jc w:val="center"/>
        <w:outlineLvl w:val="1"/>
        <w:rPr>
          <w:color w:val="auto"/>
          <w:sz w:val="24"/>
          <w:szCs w:val="24"/>
          <w:highlight w:val="none"/>
        </w:rPr>
      </w:pPr>
      <w:bookmarkStart w:id="34" w:name="一___总_则"/>
      <w:bookmarkEnd w:id="34"/>
      <w:bookmarkStart w:id="35" w:name="_Toc31384"/>
      <w:bookmarkStart w:id="36" w:name="_Toc20075"/>
      <w:bookmarkStart w:id="37" w:name="_Toc4061"/>
      <w:bookmarkStart w:id="38" w:name="_Toc4350"/>
      <w:r>
        <w:rPr>
          <w:rFonts w:hint="eastAsia"/>
          <w:b/>
          <w:bCs/>
          <w:color w:val="auto"/>
          <w:sz w:val="32"/>
          <w:szCs w:val="32"/>
          <w:highlight w:val="none"/>
        </w:rPr>
        <w:t>一</w:t>
      </w:r>
      <w:r>
        <w:rPr>
          <w:rFonts w:hint="eastAsia"/>
          <w:b/>
          <w:bCs/>
          <w:color w:val="auto"/>
          <w:sz w:val="32"/>
          <w:szCs w:val="32"/>
          <w:highlight w:val="none"/>
          <w:lang w:eastAsia="zh-CN"/>
        </w:rPr>
        <w:t>、</w:t>
      </w:r>
      <w:r>
        <w:rPr>
          <w:rFonts w:hint="eastAsia"/>
          <w:b/>
          <w:bCs/>
          <w:color w:val="auto"/>
          <w:sz w:val="32"/>
          <w:szCs w:val="32"/>
          <w:highlight w:val="none"/>
        </w:rPr>
        <w:t>总 则</w:t>
      </w:r>
      <w:bookmarkEnd w:id="35"/>
      <w:bookmarkEnd w:id="36"/>
      <w:bookmarkEnd w:id="37"/>
      <w:bookmarkEnd w:id="38"/>
    </w:p>
    <w:p>
      <w:pPr>
        <w:spacing w:line="360" w:lineRule="auto"/>
        <w:ind w:firstLine="482" w:firstLineChars="200"/>
        <w:rPr>
          <w:color w:val="auto"/>
          <w:sz w:val="24"/>
          <w:szCs w:val="24"/>
          <w:highlight w:val="none"/>
        </w:rPr>
      </w:pPr>
      <w:bookmarkStart w:id="39" w:name="1.采购人、采购代理机构及供应商"/>
      <w:bookmarkEnd w:id="39"/>
      <w:r>
        <w:rPr>
          <w:rFonts w:hint="eastAsia"/>
          <w:b/>
          <w:bCs/>
          <w:color w:val="auto"/>
          <w:sz w:val="24"/>
          <w:szCs w:val="24"/>
          <w:highlight w:val="none"/>
          <w:lang w:val="en-US"/>
        </w:rPr>
        <w:t>1.</w:t>
      </w:r>
      <w:r>
        <w:rPr>
          <w:rFonts w:hint="eastAsia"/>
          <w:b/>
          <w:bCs/>
          <w:color w:val="auto"/>
          <w:sz w:val="24"/>
          <w:szCs w:val="24"/>
          <w:highlight w:val="none"/>
        </w:rPr>
        <w:t>采购人、采购代理机构及供应商</w:t>
      </w:r>
    </w:p>
    <w:p>
      <w:pPr>
        <w:spacing w:line="360" w:lineRule="auto"/>
        <w:ind w:firstLine="480" w:firstLineChars="200"/>
        <w:rPr>
          <w:color w:val="auto"/>
          <w:sz w:val="24"/>
          <w:szCs w:val="24"/>
          <w:highlight w:val="none"/>
        </w:rPr>
      </w:pPr>
      <w:r>
        <w:rPr>
          <w:rFonts w:hint="eastAsia"/>
          <w:color w:val="auto"/>
          <w:sz w:val="24"/>
          <w:szCs w:val="24"/>
          <w:highlight w:val="none"/>
          <w:lang w:val="en-US"/>
        </w:rPr>
        <w:t>1.1</w:t>
      </w:r>
      <w:r>
        <w:rPr>
          <w:rFonts w:hint="eastAsia"/>
          <w:color w:val="auto"/>
          <w:sz w:val="24"/>
          <w:szCs w:val="24"/>
          <w:highlight w:val="none"/>
        </w:rPr>
        <w:t>采购人：是指依法开展政府采购活动的国家机关、事业单位、团体组织。本项目的采购人见</w:t>
      </w:r>
      <w:r>
        <w:rPr>
          <w:rFonts w:hint="eastAsia"/>
          <w:color w:val="auto"/>
          <w:sz w:val="24"/>
          <w:szCs w:val="24"/>
          <w:highlight w:val="none"/>
          <w:u w:val="single"/>
        </w:rPr>
        <w:t>供应商须知资料表</w:t>
      </w:r>
      <w:r>
        <w:rPr>
          <w:rFonts w:hint="eastAsia"/>
          <w:color w:val="auto"/>
          <w:sz w:val="24"/>
          <w:szCs w:val="24"/>
          <w:highlight w:val="none"/>
        </w:rPr>
        <w:t>。</w:t>
      </w:r>
    </w:p>
    <w:p>
      <w:pPr>
        <w:spacing w:line="360" w:lineRule="auto"/>
        <w:ind w:firstLine="480" w:firstLineChars="200"/>
        <w:rPr>
          <w:color w:val="auto"/>
          <w:sz w:val="24"/>
          <w:szCs w:val="24"/>
          <w:highlight w:val="none"/>
        </w:rPr>
      </w:pPr>
      <w:r>
        <w:rPr>
          <w:rFonts w:hint="eastAsia"/>
          <w:color w:val="auto"/>
          <w:sz w:val="24"/>
          <w:szCs w:val="24"/>
          <w:highlight w:val="none"/>
          <w:lang w:val="en-US"/>
        </w:rPr>
        <w:t>1.2</w:t>
      </w:r>
      <w:r>
        <w:rPr>
          <w:rFonts w:hint="eastAsia"/>
          <w:color w:val="auto"/>
          <w:sz w:val="24"/>
          <w:szCs w:val="24"/>
          <w:highlight w:val="none"/>
        </w:rPr>
        <w:t>采购代理机构：是指集中采购机构或从事采购代理业务的社会中介机构，本项目的采购代理机构见</w:t>
      </w:r>
      <w:r>
        <w:rPr>
          <w:rFonts w:hint="eastAsia"/>
          <w:color w:val="auto"/>
          <w:sz w:val="24"/>
          <w:szCs w:val="24"/>
          <w:highlight w:val="none"/>
          <w:u w:val="single"/>
        </w:rPr>
        <w:t>供应商须知资料表</w:t>
      </w:r>
      <w:r>
        <w:rPr>
          <w:rFonts w:hint="eastAsia"/>
          <w:color w:val="auto"/>
          <w:sz w:val="24"/>
          <w:szCs w:val="24"/>
          <w:highlight w:val="none"/>
        </w:rPr>
        <w:t>。</w:t>
      </w:r>
    </w:p>
    <w:p>
      <w:pPr>
        <w:spacing w:line="360" w:lineRule="auto"/>
        <w:ind w:firstLine="480" w:firstLineChars="200"/>
        <w:rPr>
          <w:color w:val="auto"/>
          <w:sz w:val="24"/>
          <w:szCs w:val="24"/>
          <w:highlight w:val="none"/>
        </w:rPr>
      </w:pPr>
      <w:r>
        <w:rPr>
          <w:rFonts w:hint="eastAsia"/>
          <w:color w:val="auto"/>
          <w:sz w:val="24"/>
          <w:szCs w:val="24"/>
          <w:highlight w:val="none"/>
          <w:lang w:val="en-US"/>
        </w:rPr>
        <w:t>1.3</w:t>
      </w:r>
      <w:r>
        <w:rPr>
          <w:rFonts w:hint="eastAsia"/>
          <w:color w:val="auto"/>
          <w:sz w:val="24"/>
          <w:szCs w:val="24"/>
          <w:highlight w:val="none"/>
        </w:rPr>
        <w:t>供应商：是指响应磋商、参加报价竞争的法人、其他组织或者自然人。潜在供应商：以竞争性磋商文件规定的方式获取本项目竞争性磋商文件的法人、其他组织或者自然人。</w:t>
      </w:r>
    </w:p>
    <w:p>
      <w:pPr>
        <w:spacing w:line="360" w:lineRule="auto"/>
        <w:ind w:firstLine="480" w:firstLineChars="200"/>
        <w:rPr>
          <w:color w:val="auto"/>
          <w:sz w:val="24"/>
          <w:szCs w:val="24"/>
          <w:highlight w:val="none"/>
        </w:rPr>
      </w:pPr>
      <w:r>
        <w:rPr>
          <w:rFonts w:hint="eastAsia"/>
          <w:color w:val="auto"/>
          <w:sz w:val="24"/>
          <w:szCs w:val="24"/>
          <w:highlight w:val="none"/>
        </w:rPr>
        <w:t>本项目的供应商须满足以下条件：</w:t>
      </w:r>
    </w:p>
    <w:p>
      <w:pPr>
        <w:spacing w:line="360" w:lineRule="auto"/>
        <w:ind w:firstLine="480" w:firstLineChars="200"/>
        <w:rPr>
          <w:color w:val="auto"/>
          <w:sz w:val="24"/>
          <w:szCs w:val="24"/>
          <w:highlight w:val="none"/>
        </w:rPr>
      </w:pPr>
      <w:r>
        <w:rPr>
          <w:rFonts w:hint="eastAsia"/>
          <w:color w:val="auto"/>
          <w:sz w:val="24"/>
          <w:szCs w:val="24"/>
          <w:highlight w:val="none"/>
          <w:lang w:val="en-US"/>
        </w:rPr>
        <w:t>1.3.1</w:t>
      </w:r>
      <w:r>
        <w:rPr>
          <w:rFonts w:hint="eastAsia"/>
          <w:color w:val="auto"/>
          <w:sz w:val="24"/>
          <w:szCs w:val="24"/>
          <w:highlight w:val="none"/>
        </w:rPr>
        <w:t>在中华人民共和国境内注册，能够独立承担民事责任，有生产或供应能力的本国供应商。</w:t>
      </w:r>
    </w:p>
    <w:p>
      <w:pPr>
        <w:spacing w:line="360" w:lineRule="auto"/>
        <w:ind w:firstLine="480" w:firstLineChars="200"/>
        <w:rPr>
          <w:color w:val="auto"/>
          <w:sz w:val="24"/>
          <w:szCs w:val="24"/>
          <w:highlight w:val="none"/>
        </w:rPr>
      </w:pPr>
      <w:r>
        <w:rPr>
          <w:rFonts w:hint="eastAsia"/>
          <w:color w:val="auto"/>
          <w:sz w:val="24"/>
          <w:szCs w:val="24"/>
          <w:highlight w:val="none"/>
          <w:lang w:val="en-US"/>
        </w:rPr>
        <w:t>1.3.2</w:t>
      </w:r>
      <w:r>
        <w:rPr>
          <w:rFonts w:hint="eastAsia"/>
          <w:color w:val="auto"/>
          <w:sz w:val="24"/>
          <w:szCs w:val="24"/>
          <w:highlight w:val="none"/>
        </w:rPr>
        <w:t>具备《中华人民共和国政府采购法》第二十二条关于供应商条件的规定，遵守本项目采购人本级和上级财政部门政府采购的有关规定。</w:t>
      </w:r>
    </w:p>
    <w:p>
      <w:pPr>
        <w:spacing w:line="360" w:lineRule="auto"/>
        <w:ind w:firstLine="480" w:firstLineChars="200"/>
        <w:rPr>
          <w:color w:val="auto"/>
          <w:sz w:val="24"/>
          <w:szCs w:val="24"/>
          <w:highlight w:val="none"/>
        </w:rPr>
      </w:pPr>
      <w:r>
        <w:rPr>
          <w:rFonts w:hint="eastAsia"/>
          <w:color w:val="auto"/>
          <w:sz w:val="24"/>
          <w:szCs w:val="24"/>
          <w:highlight w:val="none"/>
          <w:lang w:val="en-US"/>
        </w:rPr>
        <w:t>1.3.3</w:t>
      </w:r>
      <w:r>
        <w:rPr>
          <w:rFonts w:hint="eastAsia"/>
          <w:color w:val="auto"/>
          <w:sz w:val="24"/>
          <w:szCs w:val="24"/>
          <w:highlight w:val="none"/>
        </w:rPr>
        <w:t>以竞争性磋商文件规定的方式获得了本项目的竞争性磋商文件。</w:t>
      </w:r>
    </w:p>
    <w:p>
      <w:pPr>
        <w:spacing w:line="360" w:lineRule="auto"/>
        <w:ind w:firstLine="480" w:firstLineChars="200"/>
        <w:rPr>
          <w:color w:val="auto"/>
          <w:sz w:val="24"/>
          <w:szCs w:val="24"/>
          <w:highlight w:val="none"/>
        </w:rPr>
      </w:pPr>
      <w:r>
        <w:rPr>
          <w:rFonts w:hint="eastAsia"/>
          <w:color w:val="auto"/>
          <w:sz w:val="24"/>
          <w:szCs w:val="24"/>
          <w:highlight w:val="none"/>
          <w:lang w:val="en-US"/>
        </w:rPr>
        <w:t>1.3.4</w:t>
      </w:r>
      <w:r>
        <w:rPr>
          <w:rFonts w:hint="eastAsia"/>
          <w:color w:val="auto"/>
          <w:sz w:val="24"/>
          <w:szCs w:val="24"/>
          <w:highlight w:val="none"/>
        </w:rPr>
        <w:t>符合</w:t>
      </w:r>
      <w:r>
        <w:rPr>
          <w:rFonts w:hint="eastAsia"/>
          <w:color w:val="auto"/>
          <w:sz w:val="24"/>
          <w:szCs w:val="24"/>
          <w:highlight w:val="none"/>
          <w:u w:val="single"/>
        </w:rPr>
        <w:t>供应商须知资料表</w:t>
      </w:r>
      <w:r>
        <w:rPr>
          <w:rFonts w:hint="eastAsia"/>
          <w:color w:val="auto"/>
          <w:sz w:val="24"/>
          <w:szCs w:val="24"/>
          <w:highlight w:val="none"/>
        </w:rPr>
        <w:t>中规定的其他资格要求。</w:t>
      </w:r>
    </w:p>
    <w:p>
      <w:pPr>
        <w:spacing w:line="360" w:lineRule="auto"/>
        <w:ind w:firstLine="480" w:firstLineChars="200"/>
        <w:rPr>
          <w:color w:val="auto"/>
          <w:sz w:val="24"/>
          <w:szCs w:val="24"/>
          <w:highlight w:val="none"/>
        </w:rPr>
      </w:pPr>
      <w:r>
        <w:rPr>
          <w:rFonts w:hint="eastAsia"/>
          <w:color w:val="auto"/>
          <w:sz w:val="24"/>
          <w:szCs w:val="24"/>
          <w:highlight w:val="none"/>
          <w:lang w:val="en-US"/>
        </w:rPr>
        <w:t>1.3.5</w:t>
      </w:r>
      <w:r>
        <w:rPr>
          <w:rFonts w:hint="eastAsia"/>
          <w:color w:val="auto"/>
          <w:sz w:val="24"/>
          <w:szCs w:val="24"/>
          <w:highlight w:val="none"/>
        </w:rPr>
        <w:t>若</w:t>
      </w:r>
      <w:r>
        <w:rPr>
          <w:rFonts w:hint="eastAsia"/>
          <w:color w:val="auto"/>
          <w:sz w:val="24"/>
          <w:szCs w:val="24"/>
          <w:highlight w:val="none"/>
          <w:u w:val="single"/>
        </w:rPr>
        <w:t>供应商须知资料表</w:t>
      </w:r>
      <w:r>
        <w:rPr>
          <w:rFonts w:hint="eastAsia"/>
          <w:color w:val="auto"/>
          <w:sz w:val="24"/>
          <w:szCs w:val="24"/>
          <w:highlight w:val="none"/>
        </w:rPr>
        <w:t>中写明专门面向中小企业采购的，如供应商为非中小企业，其响应文件将被认定为响应文件无效。</w:t>
      </w:r>
    </w:p>
    <w:p>
      <w:pPr>
        <w:spacing w:line="360" w:lineRule="auto"/>
        <w:ind w:firstLine="480" w:firstLineChars="200"/>
        <w:rPr>
          <w:color w:val="auto"/>
          <w:sz w:val="24"/>
          <w:szCs w:val="24"/>
          <w:highlight w:val="none"/>
        </w:rPr>
      </w:pPr>
      <w:r>
        <w:rPr>
          <w:rFonts w:hint="eastAsia"/>
          <w:color w:val="auto"/>
          <w:sz w:val="24"/>
          <w:szCs w:val="24"/>
          <w:highlight w:val="none"/>
          <w:lang w:val="en-US"/>
        </w:rPr>
        <w:t>1.3.6</w:t>
      </w:r>
      <w:r>
        <w:rPr>
          <w:rFonts w:hint="eastAsia"/>
          <w:color w:val="auto"/>
          <w:sz w:val="24"/>
          <w:szCs w:val="24"/>
          <w:highlight w:val="none"/>
        </w:rPr>
        <w:t>进口产品,是指通过中国海关报关验放进入中国境内且产自关境外的产品。若</w:t>
      </w:r>
      <w:r>
        <w:rPr>
          <w:rFonts w:hint="eastAsia"/>
          <w:color w:val="auto"/>
          <w:sz w:val="24"/>
          <w:szCs w:val="24"/>
          <w:highlight w:val="none"/>
          <w:u w:val="single"/>
        </w:rPr>
        <w:t>供应商须知资料表</w:t>
      </w:r>
      <w:r>
        <w:rPr>
          <w:rFonts w:hint="eastAsia"/>
          <w:color w:val="auto"/>
          <w:sz w:val="24"/>
          <w:szCs w:val="24"/>
          <w:highlight w:val="none"/>
        </w:rPr>
        <w:t>中写明允许采购进口产品，供应商应保证所报产品可履行合法报通关手续进入中国关境内。</w:t>
      </w:r>
    </w:p>
    <w:p>
      <w:pPr>
        <w:spacing w:line="360" w:lineRule="auto"/>
        <w:ind w:firstLine="480" w:firstLineChars="200"/>
        <w:rPr>
          <w:color w:val="auto"/>
          <w:sz w:val="24"/>
          <w:szCs w:val="24"/>
          <w:highlight w:val="none"/>
        </w:rPr>
      </w:pPr>
      <w:r>
        <w:rPr>
          <w:rFonts w:hint="eastAsia"/>
          <w:color w:val="auto"/>
          <w:sz w:val="24"/>
          <w:szCs w:val="24"/>
          <w:highlight w:val="none"/>
        </w:rPr>
        <w:t>若</w:t>
      </w:r>
      <w:r>
        <w:rPr>
          <w:rFonts w:hint="eastAsia"/>
          <w:color w:val="auto"/>
          <w:sz w:val="24"/>
          <w:szCs w:val="24"/>
          <w:highlight w:val="none"/>
          <w:u w:val="single"/>
        </w:rPr>
        <w:t>供应商须知资料表</w:t>
      </w:r>
      <w:r>
        <w:rPr>
          <w:rFonts w:hint="eastAsia"/>
          <w:color w:val="auto"/>
          <w:sz w:val="24"/>
          <w:szCs w:val="24"/>
          <w:highlight w:val="none"/>
        </w:rPr>
        <w:t>中未写明允许采购进口产品，如供应商所报产品为进口产品，其响应文件将被认定为无效。</w:t>
      </w:r>
    </w:p>
    <w:p>
      <w:pPr>
        <w:spacing w:line="360" w:lineRule="auto"/>
        <w:ind w:firstLine="480" w:firstLineChars="200"/>
        <w:rPr>
          <w:color w:val="auto"/>
          <w:sz w:val="24"/>
          <w:szCs w:val="24"/>
          <w:highlight w:val="none"/>
        </w:rPr>
      </w:pPr>
      <w:r>
        <w:rPr>
          <w:rFonts w:hint="eastAsia"/>
          <w:color w:val="auto"/>
          <w:sz w:val="24"/>
          <w:szCs w:val="24"/>
          <w:highlight w:val="none"/>
          <w:lang w:val="en-US"/>
        </w:rPr>
        <w:t>1.4</w:t>
      </w:r>
      <w:r>
        <w:rPr>
          <w:rFonts w:hint="eastAsia"/>
          <w:color w:val="auto"/>
          <w:sz w:val="24"/>
          <w:szCs w:val="24"/>
          <w:highlight w:val="none"/>
        </w:rPr>
        <w:t>如</w:t>
      </w:r>
      <w:r>
        <w:rPr>
          <w:rFonts w:hint="eastAsia"/>
          <w:color w:val="auto"/>
          <w:sz w:val="24"/>
          <w:szCs w:val="24"/>
          <w:highlight w:val="none"/>
          <w:u w:val="single"/>
        </w:rPr>
        <w:t>供应商须知资料表</w:t>
      </w:r>
      <w:r>
        <w:rPr>
          <w:rFonts w:hint="eastAsia"/>
          <w:color w:val="auto"/>
          <w:sz w:val="24"/>
          <w:szCs w:val="24"/>
          <w:highlight w:val="none"/>
        </w:rPr>
        <w:t>中允许联合体进行响应，对联合体规定如下：</w:t>
      </w:r>
    </w:p>
    <w:p>
      <w:pPr>
        <w:spacing w:line="360" w:lineRule="auto"/>
        <w:ind w:firstLine="480" w:firstLineChars="200"/>
        <w:rPr>
          <w:color w:val="auto"/>
          <w:sz w:val="24"/>
          <w:szCs w:val="24"/>
          <w:highlight w:val="none"/>
        </w:rPr>
      </w:pPr>
      <w:r>
        <w:rPr>
          <w:rFonts w:hint="eastAsia"/>
          <w:color w:val="auto"/>
          <w:sz w:val="24"/>
          <w:szCs w:val="24"/>
          <w:highlight w:val="none"/>
          <w:lang w:val="en-US"/>
        </w:rPr>
        <w:t>1.4.1</w:t>
      </w:r>
      <w:r>
        <w:rPr>
          <w:rFonts w:hint="eastAsia"/>
          <w:color w:val="auto"/>
          <w:sz w:val="24"/>
          <w:szCs w:val="24"/>
          <w:highlight w:val="none"/>
        </w:rPr>
        <w:t>两个以上供应商可以组成一个联合体，以一个供应商的身份响应。</w:t>
      </w:r>
    </w:p>
    <w:p>
      <w:pPr>
        <w:spacing w:line="360" w:lineRule="auto"/>
        <w:ind w:firstLine="480" w:firstLineChars="200"/>
        <w:rPr>
          <w:color w:val="auto"/>
          <w:sz w:val="24"/>
          <w:szCs w:val="24"/>
          <w:highlight w:val="none"/>
        </w:rPr>
      </w:pPr>
      <w:r>
        <w:rPr>
          <w:rFonts w:hint="eastAsia"/>
          <w:color w:val="auto"/>
          <w:sz w:val="24"/>
          <w:szCs w:val="24"/>
          <w:highlight w:val="none"/>
          <w:lang w:val="en-US"/>
        </w:rPr>
        <w:t>1.4.2</w:t>
      </w:r>
      <w:r>
        <w:rPr>
          <w:rFonts w:hint="eastAsia"/>
          <w:color w:val="auto"/>
          <w:sz w:val="24"/>
          <w:szCs w:val="24"/>
          <w:highlight w:val="none"/>
        </w:rPr>
        <w:t>联合体各方均应符合 1.3.2 规定。</w:t>
      </w:r>
    </w:p>
    <w:p>
      <w:pPr>
        <w:spacing w:line="360" w:lineRule="auto"/>
        <w:ind w:firstLine="480" w:firstLineChars="200"/>
        <w:rPr>
          <w:color w:val="auto"/>
          <w:sz w:val="24"/>
          <w:szCs w:val="24"/>
          <w:highlight w:val="none"/>
        </w:rPr>
      </w:pPr>
      <w:r>
        <w:rPr>
          <w:rFonts w:hint="eastAsia"/>
          <w:color w:val="auto"/>
          <w:sz w:val="24"/>
          <w:szCs w:val="24"/>
          <w:highlight w:val="none"/>
          <w:lang w:val="en-US"/>
        </w:rPr>
        <w:t>1.4.3</w:t>
      </w:r>
      <w:r>
        <w:rPr>
          <w:rFonts w:hint="eastAsia"/>
          <w:color w:val="auto"/>
          <w:sz w:val="24"/>
          <w:szCs w:val="24"/>
          <w:highlight w:val="none"/>
        </w:rPr>
        <w:t>采购人根据采购项目对供应商的特殊要求，联合体中至少应当有一方符合相关规定。</w:t>
      </w:r>
    </w:p>
    <w:p>
      <w:pPr>
        <w:spacing w:line="360" w:lineRule="auto"/>
        <w:ind w:firstLine="480" w:firstLineChars="200"/>
        <w:rPr>
          <w:color w:val="auto"/>
          <w:sz w:val="24"/>
          <w:szCs w:val="24"/>
          <w:highlight w:val="none"/>
        </w:rPr>
      </w:pPr>
      <w:r>
        <w:rPr>
          <w:rFonts w:hint="eastAsia"/>
          <w:color w:val="auto"/>
          <w:sz w:val="24"/>
          <w:szCs w:val="24"/>
          <w:highlight w:val="none"/>
          <w:lang w:val="en-US"/>
        </w:rPr>
        <w:t>1.4.4</w:t>
      </w:r>
      <w:r>
        <w:rPr>
          <w:rFonts w:hint="eastAsia"/>
          <w:color w:val="auto"/>
          <w:sz w:val="24"/>
          <w:szCs w:val="24"/>
          <w:highlight w:val="none"/>
        </w:rPr>
        <w:t>联合体各方应签订共同响应协议，明确约定联合体各方承担的工作和相应的责任，并将共同响应协议连同响应文件一并提交，否则其响应文件将被认定为无效。</w:t>
      </w:r>
    </w:p>
    <w:p>
      <w:pPr>
        <w:spacing w:line="360" w:lineRule="auto"/>
        <w:ind w:firstLine="480" w:firstLineChars="200"/>
        <w:rPr>
          <w:color w:val="auto"/>
          <w:sz w:val="24"/>
          <w:szCs w:val="24"/>
          <w:highlight w:val="none"/>
        </w:rPr>
      </w:pPr>
      <w:r>
        <w:rPr>
          <w:rFonts w:hint="eastAsia"/>
          <w:color w:val="auto"/>
          <w:sz w:val="24"/>
          <w:szCs w:val="24"/>
          <w:highlight w:val="none"/>
          <w:lang w:val="en-US"/>
        </w:rPr>
        <w:t>1.4.5</w:t>
      </w:r>
      <w:r>
        <w:rPr>
          <w:rFonts w:hint="eastAsia"/>
          <w:color w:val="auto"/>
          <w:sz w:val="24"/>
          <w:szCs w:val="24"/>
          <w:highlight w:val="none"/>
        </w:rPr>
        <w:t>大中型企业、其他自然人、法人或者其他组织与小型、微型企业组成联合体共同参加响应，共同响应协议中应写明小型、微型企业的协议合同金额占到共同响应协议响应总金额的比例。</w:t>
      </w:r>
    </w:p>
    <w:p>
      <w:pPr>
        <w:spacing w:line="360" w:lineRule="auto"/>
        <w:ind w:firstLine="480" w:firstLineChars="200"/>
        <w:rPr>
          <w:color w:val="auto"/>
          <w:sz w:val="24"/>
          <w:szCs w:val="24"/>
          <w:highlight w:val="none"/>
        </w:rPr>
      </w:pPr>
      <w:r>
        <w:rPr>
          <w:rFonts w:hint="eastAsia"/>
          <w:color w:val="auto"/>
          <w:sz w:val="24"/>
          <w:szCs w:val="24"/>
          <w:highlight w:val="none"/>
          <w:lang w:val="en-US"/>
        </w:rPr>
        <w:t>1.4.6</w:t>
      </w:r>
      <w:r>
        <w:rPr>
          <w:rFonts w:hint="eastAsia"/>
          <w:color w:val="auto"/>
          <w:sz w:val="24"/>
          <w:szCs w:val="24"/>
          <w:highlight w:val="none"/>
        </w:rPr>
        <w:t>以联合体形式参加政府采购活动的，联合体各方不得再单独参加或者与其他供应商另外组成联合体参加本项目，否则其响应文件将被认定为无效。</w:t>
      </w:r>
    </w:p>
    <w:p>
      <w:pPr>
        <w:spacing w:line="360" w:lineRule="auto"/>
        <w:ind w:firstLine="480" w:firstLineChars="200"/>
        <w:rPr>
          <w:color w:val="auto"/>
          <w:sz w:val="24"/>
          <w:szCs w:val="24"/>
          <w:highlight w:val="none"/>
        </w:rPr>
      </w:pPr>
      <w:r>
        <w:rPr>
          <w:rFonts w:hint="eastAsia"/>
          <w:color w:val="auto"/>
          <w:sz w:val="24"/>
          <w:szCs w:val="24"/>
          <w:highlight w:val="none"/>
          <w:lang w:val="en-US"/>
        </w:rPr>
        <w:t>1.4.7</w:t>
      </w:r>
      <w:r>
        <w:rPr>
          <w:rFonts w:hint="eastAsia"/>
          <w:color w:val="auto"/>
          <w:sz w:val="24"/>
          <w:szCs w:val="24"/>
          <w:highlight w:val="none"/>
        </w:rPr>
        <w:t>对联合体响应的其他资格要求见</w:t>
      </w:r>
      <w:r>
        <w:rPr>
          <w:rFonts w:hint="eastAsia"/>
          <w:color w:val="auto"/>
          <w:sz w:val="24"/>
          <w:szCs w:val="24"/>
          <w:highlight w:val="none"/>
          <w:u w:val="single"/>
        </w:rPr>
        <w:t>供应商须知资料表</w:t>
      </w:r>
      <w:r>
        <w:rPr>
          <w:rFonts w:hint="eastAsia"/>
          <w:color w:val="auto"/>
          <w:sz w:val="24"/>
          <w:szCs w:val="24"/>
          <w:highlight w:val="none"/>
        </w:rPr>
        <w:t>。</w:t>
      </w:r>
    </w:p>
    <w:p>
      <w:pPr>
        <w:spacing w:line="360" w:lineRule="auto"/>
        <w:ind w:firstLine="480" w:firstLineChars="200"/>
        <w:rPr>
          <w:color w:val="auto"/>
          <w:sz w:val="24"/>
          <w:szCs w:val="24"/>
          <w:highlight w:val="none"/>
        </w:rPr>
      </w:pPr>
      <w:r>
        <w:rPr>
          <w:rFonts w:hint="eastAsia"/>
          <w:color w:val="auto"/>
          <w:sz w:val="24"/>
          <w:szCs w:val="24"/>
          <w:highlight w:val="none"/>
          <w:lang w:val="en-US"/>
        </w:rPr>
        <w:t>1.5</w:t>
      </w:r>
      <w:r>
        <w:rPr>
          <w:rFonts w:hint="eastAsia"/>
          <w:color w:val="auto"/>
          <w:sz w:val="24"/>
          <w:szCs w:val="24"/>
          <w:highlight w:val="none"/>
        </w:rPr>
        <w:t>货物，是指供应商按响应文件第八部分的要求，向采购人提供全新的、未使用</w:t>
      </w:r>
    </w:p>
    <w:p>
      <w:pPr>
        <w:spacing w:line="360" w:lineRule="auto"/>
        <w:rPr>
          <w:color w:val="auto"/>
          <w:sz w:val="24"/>
          <w:szCs w:val="24"/>
          <w:highlight w:val="none"/>
        </w:rPr>
      </w:pPr>
      <w:r>
        <w:rPr>
          <w:rFonts w:hint="eastAsia"/>
          <w:color w:val="auto"/>
          <w:sz w:val="24"/>
          <w:szCs w:val="24"/>
          <w:highlight w:val="none"/>
        </w:rPr>
        <w:t>过的各种形态和种类的物品，包括原材料、燃料、设备、产品等。</w:t>
      </w:r>
    </w:p>
    <w:p>
      <w:pPr>
        <w:spacing w:line="360" w:lineRule="auto"/>
        <w:ind w:firstLine="480" w:firstLineChars="200"/>
        <w:rPr>
          <w:rFonts w:hint="eastAsia"/>
          <w:color w:val="auto"/>
          <w:sz w:val="24"/>
          <w:szCs w:val="24"/>
          <w:highlight w:val="none"/>
        </w:rPr>
      </w:pPr>
      <w:r>
        <w:rPr>
          <w:rFonts w:hint="eastAsia"/>
          <w:color w:val="auto"/>
          <w:sz w:val="24"/>
          <w:szCs w:val="24"/>
          <w:highlight w:val="none"/>
          <w:lang w:val="en-US"/>
        </w:rPr>
        <w:t>1.6</w:t>
      </w:r>
      <w:r>
        <w:rPr>
          <w:rFonts w:hint="eastAsia"/>
          <w:color w:val="auto"/>
          <w:sz w:val="24"/>
          <w:szCs w:val="24"/>
          <w:highlight w:val="none"/>
        </w:rPr>
        <w:t>服务，是指供应商按响应文件第八部分的要求，完成规定的货物供货过程中须承担的制造、运输、吊拉、安装、调试、技术协助、培训及其他各项义务。</w:t>
      </w:r>
    </w:p>
    <w:p>
      <w:pPr>
        <w:keepNext w:val="0"/>
        <w:keepLines w:val="0"/>
        <w:widowControl/>
        <w:suppressLineNumbers w:val="0"/>
        <w:ind w:firstLine="480" w:firstLineChars="200"/>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1.7工程，是指建设工程，包括建筑物和构筑物的新建、改建、扩建、装修、拆除、 </w:t>
      </w:r>
    </w:p>
    <w:p>
      <w:pPr>
        <w:keepNext w:val="0"/>
        <w:keepLines w:val="0"/>
        <w:widowControl/>
        <w:suppressLineNumbers w:val="0"/>
        <w:jc w:val="left"/>
        <w:rPr>
          <w:rFonts w:hint="eastAsia" w:eastAsia="宋体"/>
          <w:color w:val="auto"/>
          <w:highlight w:val="none"/>
          <w:lang w:val="en-US" w:eastAsia="zh-CN"/>
        </w:rPr>
      </w:pPr>
      <w:r>
        <w:rPr>
          <w:rFonts w:hint="eastAsia" w:ascii="宋体" w:hAnsi="宋体" w:eastAsia="宋体" w:cs="宋体"/>
          <w:color w:val="auto"/>
          <w:kern w:val="0"/>
          <w:sz w:val="24"/>
          <w:szCs w:val="24"/>
          <w:highlight w:val="none"/>
          <w:lang w:val="en-US" w:eastAsia="zh-CN" w:bidi="ar"/>
        </w:rPr>
        <w:t>修缮等。</w:t>
      </w:r>
    </w:p>
    <w:p>
      <w:pPr>
        <w:spacing w:line="360" w:lineRule="auto"/>
        <w:ind w:firstLine="480" w:firstLineChars="200"/>
        <w:rPr>
          <w:color w:val="auto"/>
          <w:sz w:val="24"/>
          <w:szCs w:val="24"/>
          <w:highlight w:val="none"/>
        </w:rPr>
      </w:pPr>
      <w:r>
        <w:rPr>
          <w:rFonts w:hint="eastAsia"/>
          <w:color w:val="auto"/>
          <w:sz w:val="24"/>
          <w:szCs w:val="24"/>
          <w:highlight w:val="none"/>
          <w:lang w:val="en-US"/>
        </w:rPr>
        <w:t>1.</w:t>
      </w:r>
      <w:r>
        <w:rPr>
          <w:rFonts w:hint="eastAsia"/>
          <w:color w:val="auto"/>
          <w:sz w:val="24"/>
          <w:szCs w:val="24"/>
          <w:highlight w:val="none"/>
          <w:lang w:val="en-US" w:eastAsia="zh-CN"/>
        </w:rPr>
        <w:t>8</w:t>
      </w:r>
      <w:r>
        <w:rPr>
          <w:rFonts w:hint="eastAsia"/>
          <w:color w:val="auto"/>
          <w:sz w:val="24"/>
          <w:szCs w:val="24"/>
          <w:highlight w:val="none"/>
        </w:rPr>
        <w:t>综合评分法，是指响应文件满足磋商文件全部实质性要求且按评审因素的量化指标评审得分最高的供应商为成交候选供应商的评审方法。</w:t>
      </w:r>
    </w:p>
    <w:p>
      <w:pPr>
        <w:spacing w:line="360" w:lineRule="auto"/>
        <w:ind w:firstLine="480" w:firstLineChars="200"/>
        <w:rPr>
          <w:color w:val="auto"/>
          <w:sz w:val="24"/>
          <w:szCs w:val="24"/>
          <w:highlight w:val="none"/>
        </w:rPr>
      </w:pPr>
      <w:r>
        <w:rPr>
          <w:rFonts w:hint="eastAsia"/>
          <w:color w:val="auto"/>
          <w:sz w:val="24"/>
          <w:szCs w:val="24"/>
          <w:highlight w:val="none"/>
          <w:lang w:val="en-US"/>
        </w:rPr>
        <w:t>1.</w:t>
      </w:r>
      <w:r>
        <w:rPr>
          <w:rFonts w:hint="eastAsia"/>
          <w:color w:val="auto"/>
          <w:sz w:val="24"/>
          <w:szCs w:val="24"/>
          <w:highlight w:val="none"/>
          <w:lang w:val="en-US" w:eastAsia="zh-CN"/>
        </w:rPr>
        <w:t>9</w:t>
      </w:r>
      <w:r>
        <w:rPr>
          <w:rFonts w:hint="eastAsia"/>
          <w:color w:val="auto"/>
          <w:sz w:val="24"/>
          <w:szCs w:val="24"/>
          <w:highlight w:val="none"/>
        </w:rPr>
        <w:t>单位负责人为同一人或者存在直接控股、管理关系的不同供应商，不得参加同一合同项下的政府采购活动，否则其相关响应文件均将被认定为</w:t>
      </w:r>
      <w:r>
        <w:rPr>
          <w:rFonts w:hint="eastAsia"/>
          <w:b/>
          <w:bCs/>
          <w:color w:val="auto"/>
          <w:sz w:val="24"/>
          <w:szCs w:val="24"/>
          <w:highlight w:val="none"/>
        </w:rPr>
        <w:t>响应文件无效</w:t>
      </w:r>
      <w:r>
        <w:rPr>
          <w:rFonts w:hint="eastAsia"/>
          <w:color w:val="auto"/>
          <w:sz w:val="24"/>
          <w:szCs w:val="24"/>
          <w:highlight w:val="none"/>
        </w:rPr>
        <w:t>。</w:t>
      </w:r>
    </w:p>
    <w:p>
      <w:pPr>
        <w:spacing w:line="360" w:lineRule="auto"/>
        <w:ind w:firstLine="480" w:firstLineChars="200"/>
        <w:rPr>
          <w:color w:val="auto"/>
          <w:sz w:val="24"/>
          <w:szCs w:val="24"/>
          <w:highlight w:val="none"/>
        </w:rPr>
      </w:pPr>
      <w:r>
        <w:rPr>
          <w:rFonts w:hint="eastAsia"/>
          <w:color w:val="auto"/>
          <w:sz w:val="24"/>
          <w:szCs w:val="24"/>
          <w:highlight w:val="none"/>
          <w:lang w:val="en-US"/>
        </w:rPr>
        <w:t>1.</w:t>
      </w:r>
      <w:r>
        <w:rPr>
          <w:rFonts w:hint="eastAsia"/>
          <w:color w:val="auto"/>
          <w:sz w:val="24"/>
          <w:szCs w:val="24"/>
          <w:highlight w:val="none"/>
          <w:lang w:val="en-US" w:eastAsia="zh-CN"/>
        </w:rPr>
        <w:t>10</w:t>
      </w:r>
      <w:r>
        <w:rPr>
          <w:rFonts w:hint="eastAsia"/>
          <w:color w:val="auto"/>
          <w:sz w:val="24"/>
          <w:szCs w:val="24"/>
          <w:highlight w:val="none"/>
        </w:rPr>
        <w:t>各供应商须对本项目指定一个项目负责人，对本项目所有事宜全程负责。未经采购人同意中途不得更换项目负责人。</w:t>
      </w:r>
    </w:p>
    <w:p>
      <w:pPr>
        <w:spacing w:line="360" w:lineRule="auto"/>
        <w:ind w:firstLine="482" w:firstLineChars="200"/>
        <w:rPr>
          <w:b/>
          <w:bCs/>
          <w:color w:val="auto"/>
          <w:sz w:val="24"/>
          <w:szCs w:val="24"/>
          <w:highlight w:val="none"/>
        </w:rPr>
      </w:pPr>
      <w:bookmarkStart w:id="40" w:name="2.资金来源"/>
      <w:bookmarkEnd w:id="40"/>
      <w:r>
        <w:rPr>
          <w:rFonts w:hint="eastAsia"/>
          <w:b/>
          <w:bCs/>
          <w:color w:val="auto"/>
          <w:sz w:val="24"/>
          <w:szCs w:val="24"/>
          <w:highlight w:val="none"/>
          <w:lang w:val="en-US"/>
        </w:rPr>
        <w:t>2.</w:t>
      </w:r>
      <w:r>
        <w:rPr>
          <w:rFonts w:hint="eastAsia"/>
          <w:b/>
          <w:bCs/>
          <w:color w:val="auto"/>
          <w:sz w:val="24"/>
          <w:szCs w:val="24"/>
          <w:highlight w:val="none"/>
        </w:rPr>
        <w:t>资金来源</w:t>
      </w:r>
    </w:p>
    <w:p>
      <w:pPr>
        <w:spacing w:line="360" w:lineRule="auto"/>
        <w:ind w:firstLine="480" w:firstLineChars="200"/>
        <w:rPr>
          <w:color w:val="auto"/>
          <w:sz w:val="24"/>
          <w:szCs w:val="24"/>
          <w:highlight w:val="none"/>
        </w:rPr>
      </w:pPr>
      <w:r>
        <w:rPr>
          <w:rFonts w:hint="eastAsia"/>
          <w:color w:val="auto"/>
          <w:sz w:val="24"/>
          <w:szCs w:val="24"/>
          <w:highlight w:val="none"/>
          <w:lang w:val="en-US"/>
        </w:rPr>
        <w:t>2.1</w:t>
      </w:r>
      <w:r>
        <w:rPr>
          <w:rFonts w:hint="eastAsia"/>
          <w:color w:val="auto"/>
          <w:sz w:val="24"/>
          <w:szCs w:val="24"/>
          <w:highlight w:val="none"/>
        </w:rPr>
        <w:t>本项目的采购人已获得足以支付本次磋商后所签订的合同项下的资金（包括财政性资金和本项目采购中无法与财政性资金分割的非财政性资金，预采购项目除外。）。</w:t>
      </w:r>
    </w:p>
    <w:p>
      <w:pPr>
        <w:spacing w:line="360" w:lineRule="auto"/>
        <w:ind w:firstLine="480" w:firstLineChars="200"/>
        <w:rPr>
          <w:color w:val="auto"/>
          <w:sz w:val="24"/>
          <w:szCs w:val="24"/>
          <w:highlight w:val="none"/>
        </w:rPr>
      </w:pPr>
      <w:r>
        <w:rPr>
          <w:rFonts w:hint="eastAsia"/>
          <w:color w:val="auto"/>
          <w:sz w:val="24"/>
          <w:szCs w:val="24"/>
          <w:highlight w:val="none"/>
          <w:lang w:val="en-US"/>
        </w:rPr>
        <w:t>2.2</w:t>
      </w:r>
      <w:r>
        <w:rPr>
          <w:rFonts w:hint="eastAsia"/>
          <w:color w:val="auto"/>
          <w:sz w:val="24"/>
          <w:szCs w:val="24"/>
          <w:highlight w:val="none"/>
        </w:rPr>
        <w:t>项目预算金额和分项或分包最高限价</w:t>
      </w:r>
      <w:r>
        <w:rPr>
          <w:rFonts w:hint="eastAsia"/>
          <w:color w:val="auto"/>
          <w:sz w:val="24"/>
          <w:szCs w:val="24"/>
          <w:highlight w:val="none"/>
          <w:u w:val="single"/>
        </w:rPr>
        <w:t>见供应商须知资料表</w:t>
      </w:r>
      <w:r>
        <w:rPr>
          <w:rFonts w:hint="eastAsia"/>
          <w:color w:val="auto"/>
          <w:sz w:val="24"/>
          <w:szCs w:val="24"/>
          <w:highlight w:val="none"/>
        </w:rPr>
        <w:t>。</w:t>
      </w:r>
    </w:p>
    <w:p>
      <w:pPr>
        <w:spacing w:line="360" w:lineRule="auto"/>
        <w:ind w:firstLine="480" w:firstLineChars="200"/>
        <w:rPr>
          <w:color w:val="auto"/>
          <w:sz w:val="24"/>
          <w:szCs w:val="24"/>
          <w:highlight w:val="none"/>
        </w:rPr>
      </w:pPr>
      <w:r>
        <w:rPr>
          <w:rFonts w:hint="eastAsia"/>
          <w:color w:val="auto"/>
          <w:sz w:val="24"/>
          <w:szCs w:val="24"/>
          <w:highlight w:val="none"/>
          <w:lang w:val="en-US"/>
        </w:rPr>
        <w:t>2.3</w:t>
      </w:r>
      <w:r>
        <w:rPr>
          <w:rFonts w:hint="eastAsia"/>
          <w:color w:val="auto"/>
          <w:sz w:val="24"/>
          <w:szCs w:val="24"/>
          <w:highlight w:val="none"/>
        </w:rPr>
        <w:t>供应商报价超过竞争性磋商文件规定的预算金额或者分项、分包最高限价的，其响应文件将被认定为无效。</w:t>
      </w:r>
    </w:p>
    <w:p>
      <w:pPr>
        <w:spacing w:line="360" w:lineRule="auto"/>
        <w:ind w:firstLine="482" w:firstLineChars="200"/>
        <w:rPr>
          <w:b/>
          <w:bCs/>
          <w:color w:val="auto"/>
          <w:sz w:val="24"/>
          <w:szCs w:val="24"/>
          <w:highlight w:val="none"/>
        </w:rPr>
      </w:pPr>
      <w:bookmarkStart w:id="41" w:name="3.响应费用"/>
      <w:bookmarkEnd w:id="41"/>
      <w:r>
        <w:rPr>
          <w:rFonts w:hint="eastAsia"/>
          <w:b/>
          <w:bCs/>
          <w:color w:val="auto"/>
          <w:sz w:val="24"/>
          <w:szCs w:val="24"/>
          <w:highlight w:val="none"/>
          <w:lang w:val="en-US"/>
        </w:rPr>
        <w:t>3.</w:t>
      </w:r>
      <w:r>
        <w:rPr>
          <w:rFonts w:hint="eastAsia"/>
          <w:b/>
          <w:bCs/>
          <w:color w:val="auto"/>
          <w:sz w:val="24"/>
          <w:szCs w:val="24"/>
          <w:highlight w:val="none"/>
        </w:rPr>
        <w:t>响应费用</w:t>
      </w:r>
    </w:p>
    <w:p>
      <w:pPr>
        <w:spacing w:line="360" w:lineRule="auto"/>
        <w:ind w:firstLine="480" w:firstLineChars="200"/>
        <w:rPr>
          <w:rFonts w:hint="eastAsia"/>
          <w:b/>
          <w:bCs/>
          <w:color w:val="auto"/>
          <w:sz w:val="24"/>
          <w:szCs w:val="24"/>
          <w:highlight w:val="none"/>
        </w:rPr>
      </w:pPr>
      <w:r>
        <w:rPr>
          <w:rFonts w:hint="eastAsia"/>
          <w:color w:val="auto"/>
          <w:sz w:val="24"/>
          <w:szCs w:val="24"/>
          <w:highlight w:val="none"/>
        </w:rPr>
        <w:t>不论响应的结果如何，供应商应承担所有与准备和参加响应有关的费用。</w:t>
      </w:r>
      <w:bookmarkStart w:id="42" w:name="4.适用法律"/>
      <w:bookmarkEnd w:id="42"/>
    </w:p>
    <w:p>
      <w:pPr>
        <w:spacing w:line="360" w:lineRule="auto"/>
        <w:ind w:firstLine="482" w:firstLineChars="200"/>
        <w:rPr>
          <w:b/>
          <w:bCs/>
          <w:color w:val="auto"/>
          <w:sz w:val="24"/>
          <w:szCs w:val="24"/>
          <w:highlight w:val="none"/>
        </w:rPr>
      </w:pPr>
      <w:r>
        <w:rPr>
          <w:rFonts w:hint="eastAsia"/>
          <w:b/>
          <w:bCs/>
          <w:color w:val="auto"/>
          <w:sz w:val="24"/>
          <w:szCs w:val="24"/>
          <w:highlight w:val="none"/>
        </w:rPr>
        <w:t>4.适用法律</w:t>
      </w:r>
    </w:p>
    <w:p>
      <w:pPr>
        <w:spacing w:line="360" w:lineRule="auto"/>
        <w:ind w:firstLine="480" w:firstLineChars="200"/>
        <w:rPr>
          <w:color w:val="auto"/>
          <w:sz w:val="24"/>
          <w:szCs w:val="24"/>
          <w:highlight w:val="none"/>
        </w:rPr>
      </w:pPr>
      <w:r>
        <w:rPr>
          <w:rFonts w:hint="eastAsia"/>
          <w:color w:val="auto"/>
          <w:sz w:val="24"/>
          <w:szCs w:val="24"/>
          <w:highlight w:val="none"/>
        </w:rPr>
        <w:t>本项目采购人、采购代理机构、供应商、磋商小组的相关行为均受《中华人民共和国政府采购法》、《中华人民共和国政府采购法实施条例》及本项目本级和上级财政部门政府采购有关规定的约束和保护。</w:t>
      </w:r>
    </w:p>
    <w:p>
      <w:pPr>
        <w:spacing w:line="360" w:lineRule="auto"/>
        <w:ind w:firstLine="643" w:firstLineChars="200"/>
        <w:jc w:val="center"/>
        <w:outlineLvl w:val="1"/>
        <w:rPr>
          <w:b/>
          <w:bCs/>
          <w:color w:val="auto"/>
          <w:sz w:val="32"/>
          <w:szCs w:val="32"/>
          <w:highlight w:val="none"/>
        </w:rPr>
      </w:pPr>
      <w:bookmarkStart w:id="43" w:name="二___竞争性磋商文件"/>
      <w:bookmarkEnd w:id="43"/>
      <w:bookmarkStart w:id="44" w:name="_Toc14436"/>
      <w:bookmarkStart w:id="45" w:name="_Toc6014"/>
      <w:bookmarkStart w:id="46" w:name="_Toc9617"/>
      <w:bookmarkStart w:id="47" w:name="_Toc24143"/>
      <w:r>
        <w:rPr>
          <w:rFonts w:hint="eastAsia"/>
          <w:b/>
          <w:bCs/>
          <w:color w:val="auto"/>
          <w:sz w:val="32"/>
          <w:szCs w:val="32"/>
          <w:highlight w:val="none"/>
        </w:rPr>
        <w:t>二、竞争性磋商文件</w:t>
      </w:r>
      <w:bookmarkEnd w:id="44"/>
      <w:bookmarkEnd w:id="45"/>
      <w:bookmarkEnd w:id="46"/>
      <w:bookmarkEnd w:id="47"/>
    </w:p>
    <w:p>
      <w:pPr>
        <w:spacing w:line="360" w:lineRule="auto"/>
        <w:ind w:firstLine="480" w:firstLineChars="200"/>
        <w:rPr>
          <w:color w:val="auto"/>
          <w:sz w:val="24"/>
          <w:szCs w:val="24"/>
          <w:highlight w:val="none"/>
        </w:rPr>
      </w:pPr>
    </w:p>
    <w:p>
      <w:pPr>
        <w:spacing w:line="360" w:lineRule="auto"/>
        <w:ind w:firstLine="482" w:firstLineChars="200"/>
        <w:rPr>
          <w:b/>
          <w:bCs/>
          <w:color w:val="auto"/>
          <w:sz w:val="24"/>
          <w:szCs w:val="24"/>
          <w:highlight w:val="none"/>
        </w:rPr>
      </w:pPr>
      <w:bookmarkStart w:id="48" w:name="5.竞争性磋商文件构成"/>
      <w:bookmarkEnd w:id="48"/>
      <w:r>
        <w:rPr>
          <w:rFonts w:hint="eastAsia"/>
          <w:b/>
          <w:bCs/>
          <w:color w:val="auto"/>
          <w:sz w:val="24"/>
          <w:szCs w:val="24"/>
          <w:highlight w:val="none"/>
          <w:lang w:val="en-US"/>
        </w:rPr>
        <w:t xml:space="preserve">5. </w:t>
      </w:r>
      <w:r>
        <w:rPr>
          <w:rFonts w:hint="eastAsia"/>
          <w:b/>
          <w:bCs/>
          <w:color w:val="auto"/>
          <w:sz w:val="24"/>
          <w:szCs w:val="24"/>
          <w:highlight w:val="none"/>
        </w:rPr>
        <w:t>竞争性磋商文件构成</w:t>
      </w:r>
    </w:p>
    <w:p>
      <w:pPr>
        <w:spacing w:line="360" w:lineRule="auto"/>
        <w:ind w:firstLine="480" w:firstLineChars="200"/>
        <w:rPr>
          <w:rFonts w:hint="eastAsia"/>
          <w:color w:val="auto"/>
          <w:sz w:val="24"/>
          <w:szCs w:val="24"/>
          <w:highlight w:val="none"/>
        </w:rPr>
      </w:pPr>
      <w:r>
        <w:rPr>
          <w:rFonts w:hint="eastAsia"/>
          <w:color w:val="auto"/>
          <w:sz w:val="24"/>
          <w:szCs w:val="24"/>
          <w:highlight w:val="none"/>
          <w:lang w:val="en-US"/>
        </w:rPr>
        <w:t>5.1</w:t>
      </w:r>
      <w:r>
        <w:rPr>
          <w:rFonts w:hint="eastAsia"/>
          <w:color w:val="auto"/>
          <w:sz w:val="24"/>
          <w:szCs w:val="24"/>
          <w:highlight w:val="none"/>
        </w:rPr>
        <w:t>竞争性磋商文件分为 2 册共 7 章，内容如下：</w:t>
      </w:r>
    </w:p>
    <w:p>
      <w:pPr>
        <w:spacing w:line="360" w:lineRule="auto"/>
        <w:ind w:firstLine="480" w:firstLineChars="200"/>
        <w:outlineLvl w:val="0"/>
        <w:rPr>
          <w:color w:val="auto"/>
          <w:sz w:val="24"/>
          <w:szCs w:val="24"/>
          <w:highlight w:val="none"/>
        </w:rPr>
      </w:pPr>
      <w:bookmarkStart w:id="49" w:name="_Toc27715"/>
      <w:bookmarkStart w:id="50" w:name="_Toc4429"/>
      <w:bookmarkStart w:id="51" w:name="_Toc1925"/>
      <w:bookmarkStart w:id="52" w:name="_Toc6140"/>
      <w:bookmarkStart w:id="53" w:name="_Toc14023"/>
      <w:r>
        <w:rPr>
          <w:rFonts w:hint="eastAsia"/>
          <w:color w:val="auto"/>
          <w:sz w:val="24"/>
          <w:szCs w:val="24"/>
          <w:highlight w:val="none"/>
        </w:rPr>
        <w:t>第一册</w:t>
      </w:r>
      <w:bookmarkEnd w:id="49"/>
      <w:bookmarkEnd w:id="50"/>
      <w:bookmarkEnd w:id="51"/>
      <w:bookmarkEnd w:id="52"/>
      <w:bookmarkEnd w:id="53"/>
    </w:p>
    <w:p>
      <w:pPr>
        <w:spacing w:line="360" w:lineRule="auto"/>
        <w:ind w:firstLine="480" w:firstLineChars="200"/>
        <w:outlineLvl w:val="0"/>
        <w:rPr>
          <w:rFonts w:hint="eastAsia"/>
          <w:color w:val="auto"/>
          <w:sz w:val="24"/>
          <w:szCs w:val="24"/>
          <w:highlight w:val="none"/>
        </w:rPr>
      </w:pPr>
      <w:bookmarkStart w:id="54" w:name="_Toc15931"/>
      <w:bookmarkStart w:id="55" w:name="_Toc11270"/>
      <w:bookmarkStart w:id="56" w:name="_Toc3687"/>
      <w:bookmarkStart w:id="57" w:name="_Toc13375"/>
      <w:bookmarkStart w:id="58" w:name="_Toc5783"/>
      <w:r>
        <w:rPr>
          <w:rFonts w:hint="eastAsia"/>
          <w:color w:val="auto"/>
          <w:sz w:val="24"/>
          <w:szCs w:val="24"/>
          <w:highlight w:val="none"/>
        </w:rPr>
        <w:t>第 1 章 供应商须知</w:t>
      </w:r>
      <w:bookmarkEnd w:id="54"/>
      <w:bookmarkEnd w:id="55"/>
      <w:bookmarkEnd w:id="56"/>
      <w:bookmarkEnd w:id="57"/>
      <w:bookmarkEnd w:id="58"/>
    </w:p>
    <w:p>
      <w:pPr>
        <w:spacing w:line="360" w:lineRule="auto"/>
        <w:ind w:firstLine="480" w:firstLineChars="200"/>
        <w:outlineLvl w:val="1"/>
        <w:rPr>
          <w:color w:val="auto"/>
          <w:sz w:val="24"/>
          <w:szCs w:val="24"/>
          <w:highlight w:val="none"/>
        </w:rPr>
      </w:pPr>
      <w:bookmarkStart w:id="59" w:name="_Toc8400"/>
      <w:bookmarkStart w:id="60" w:name="_Toc3786"/>
      <w:bookmarkStart w:id="61" w:name="_Toc21679"/>
      <w:bookmarkStart w:id="62" w:name="_Toc13526"/>
      <w:r>
        <w:rPr>
          <w:rFonts w:hint="eastAsia"/>
          <w:color w:val="auto"/>
          <w:sz w:val="24"/>
          <w:szCs w:val="24"/>
          <w:highlight w:val="none"/>
        </w:rPr>
        <w:t>第二册</w:t>
      </w:r>
      <w:bookmarkEnd w:id="59"/>
      <w:bookmarkEnd w:id="60"/>
      <w:bookmarkEnd w:id="61"/>
      <w:bookmarkEnd w:id="62"/>
    </w:p>
    <w:p>
      <w:pPr>
        <w:spacing w:line="360" w:lineRule="auto"/>
        <w:ind w:firstLine="480" w:firstLineChars="200"/>
        <w:rPr>
          <w:color w:val="auto"/>
          <w:sz w:val="24"/>
          <w:szCs w:val="24"/>
          <w:highlight w:val="none"/>
        </w:rPr>
      </w:pPr>
      <w:r>
        <w:rPr>
          <w:rFonts w:hint="eastAsia"/>
          <w:color w:val="auto"/>
          <w:sz w:val="24"/>
          <w:szCs w:val="24"/>
          <w:highlight w:val="none"/>
        </w:rPr>
        <w:t>第 2 章 采购邀请</w:t>
      </w:r>
    </w:p>
    <w:p>
      <w:pPr>
        <w:spacing w:line="360" w:lineRule="auto"/>
        <w:ind w:firstLine="480" w:firstLineChars="200"/>
        <w:rPr>
          <w:color w:val="auto"/>
          <w:sz w:val="24"/>
          <w:szCs w:val="24"/>
          <w:highlight w:val="none"/>
        </w:rPr>
      </w:pPr>
      <w:r>
        <w:rPr>
          <w:rFonts w:hint="eastAsia"/>
          <w:color w:val="auto"/>
          <w:sz w:val="24"/>
          <w:szCs w:val="24"/>
          <w:highlight w:val="none"/>
        </w:rPr>
        <w:t>第 3 章 供应商须知资料表</w:t>
      </w:r>
    </w:p>
    <w:p>
      <w:pPr>
        <w:spacing w:line="360" w:lineRule="auto"/>
        <w:ind w:firstLine="480" w:firstLineChars="200"/>
        <w:rPr>
          <w:rFonts w:hint="eastAsia"/>
          <w:color w:val="auto"/>
          <w:sz w:val="24"/>
          <w:szCs w:val="24"/>
          <w:highlight w:val="none"/>
        </w:rPr>
      </w:pPr>
      <w:r>
        <w:rPr>
          <w:rFonts w:hint="eastAsia"/>
          <w:color w:val="auto"/>
          <w:sz w:val="24"/>
          <w:szCs w:val="24"/>
          <w:highlight w:val="none"/>
        </w:rPr>
        <w:t xml:space="preserve">第 4 章 </w:t>
      </w:r>
      <w:r>
        <w:rPr>
          <w:rFonts w:hint="eastAsia"/>
          <w:color w:val="auto"/>
          <w:sz w:val="24"/>
          <w:szCs w:val="24"/>
          <w:highlight w:val="none"/>
          <w:lang w:val="en-US" w:eastAsia="zh-CN"/>
        </w:rPr>
        <w:t>采购</w:t>
      </w:r>
      <w:r>
        <w:rPr>
          <w:rFonts w:hint="eastAsia"/>
          <w:color w:val="auto"/>
          <w:sz w:val="24"/>
          <w:szCs w:val="24"/>
          <w:highlight w:val="none"/>
        </w:rPr>
        <w:t>需求及技术规格</w:t>
      </w:r>
    </w:p>
    <w:p>
      <w:pPr>
        <w:spacing w:line="360" w:lineRule="auto"/>
        <w:ind w:firstLine="480" w:firstLineChars="200"/>
        <w:rPr>
          <w:color w:val="auto"/>
          <w:sz w:val="24"/>
          <w:szCs w:val="24"/>
          <w:highlight w:val="none"/>
        </w:rPr>
      </w:pPr>
      <w:r>
        <w:rPr>
          <w:rFonts w:hint="eastAsia"/>
          <w:color w:val="auto"/>
          <w:sz w:val="24"/>
          <w:szCs w:val="24"/>
          <w:highlight w:val="none"/>
        </w:rPr>
        <w:t>第 5 章</w:t>
      </w:r>
      <w:r>
        <w:rPr>
          <w:rFonts w:hint="eastAsia"/>
          <w:color w:val="auto"/>
          <w:sz w:val="24"/>
          <w:szCs w:val="24"/>
          <w:highlight w:val="none"/>
          <w:lang w:val="en-US" w:eastAsia="zh-CN"/>
        </w:rPr>
        <w:t xml:space="preserve"> </w:t>
      </w:r>
      <w:r>
        <w:rPr>
          <w:rFonts w:hint="eastAsia"/>
          <w:color w:val="auto"/>
          <w:sz w:val="24"/>
          <w:szCs w:val="24"/>
          <w:highlight w:val="none"/>
        </w:rPr>
        <w:t>评审方法和标准</w:t>
      </w:r>
    </w:p>
    <w:p>
      <w:pPr>
        <w:spacing w:line="360" w:lineRule="auto"/>
        <w:ind w:firstLine="480" w:firstLineChars="200"/>
        <w:rPr>
          <w:color w:val="auto"/>
          <w:sz w:val="24"/>
          <w:szCs w:val="24"/>
          <w:highlight w:val="none"/>
        </w:rPr>
      </w:pPr>
      <w:r>
        <w:rPr>
          <w:rFonts w:hint="eastAsia"/>
          <w:color w:val="auto"/>
          <w:sz w:val="24"/>
          <w:szCs w:val="24"/>
          <w:highlight w:val="none"/>
        </w:rPr>
        <w:t>第 6 章</w:t>
      </w:r>
      <w:r>
        <w:rPr>
          <w:rFonts w:hint="eastAsia"/>
          <w:color w:val="auto"/>
          <w:sz w:val="24"/>
          <w:szCs w:val="24"/>
          <w:highlight w:val="none"/>
          <w:lang w:val="en-US" w:eastAsia="zh-CN"/>
        </w:rPr>
        <w:t xml:space="preserve"> </w:t>
      </w:r>
      <w:r>
        <w:rPr>
          <w:rFonts w:hint="eastAsia"/>
          <w:color w:val="auto"/>
          <w:sz w:val="24"/>
          <w:szCs w:val="24"/>
          <w:highlight w:val="none"/>
        </w:rPr>
        <w:t>响应文件格式</w:t>
      </w:r>
    </w:p>
    <w:p>
      <w:pPr>
        <w:spacing w:line="360" w:lineRule="auto"/>
        <w:ind w:firstLine="480" w:firstLineChars="200"/>
        <w:rPr>
          <w:color w:val="auto"/>
          <w:sz w:val="24"/>
          <w:szCs w:val="24"/>
          <w:highlight w:val="none"/>
        </w:rPr>
      </w:pPr>
      <w:r>
        <w:rPr>
          <w:rFonts w:hint="eastAsia"/>
          <w:color w:val="auto"/>
          <w:sz w:val="24"/>
          <w:szCs w:val="24"/>
          <w:highlight w:val="none"/>
        </w:rPr>
        <w:t>第 7 章</w:t>
      </w:r>
      <w:r>
        <w:rPr>
          <w:rFonts w:hint="eastAsia"/>
          <w:color w:val="auto"/>
          <w:sz w:val="24"/>
          <w:szCs w:val="24"/>
          <w:highlight w:val="none"/>
          <w:lang w:val="en-US" w:eastAsia="zh-CN"/>
        </w:rPr>
        <w:t xml:space="preserve"> </w:t>
      </w:r>
      <w:r>
        <w:rPr>
          <w:rFonts w:hint="eastAsia"/>
          <w:color w:val="auto"/>
          <w:sz w:val="24"/>
          <w:szCs w:val="24"/>
          <w:highlight w:val="none"/>
        </w:rPr>
        <w:t>政府采购合同格式</w:t>
      </w:r>
    </w:p>
    <w:p>
      <w:pPr>
        <w:spacing w:line="360" w:lineRule="auto"/>
        <w:ind w:firstLine="480" w:firstLineChars="200"/>
        <w:rPr>
          <w:color w:val="auto"/>
          <w:sz w:val="24"/>
          <w:szCs w:val="24"/>
          <w:highlight w:val="none"/>
        </w:rPr>
      </w:pPr>
      <w:r>
        <w:rPr>
          <w:rFonts w:hint="eastAsia"/>
          <w:color w:val="auto"/>
          <w:sz w:val="24"/>
          <w:szCs w:val="24"/>
          <w:highlight w:val="none"/>
          <w:lang w:val="en-US"/>
        </w:rPr>
        <w:t>5.2</w:t>
      </w:r>
      <w:r>
        <w:rPr>
          <w:rFonts w:hint="eastAsia"/>
          <w:color w:val="auto"/>
          <w:sz w:val="24"/>
          <w:szCs w:val="24"/>
          <w:highlight w:val="none"/>
        </w:rPr>
        <w:t>竞争性磋商文件中有不一致的，有澄清的部分以最终的澄清更正内容为准； 未澄清的，以供应商须知资料表为准；供应商须知资料表不涉及的内容，以编排在后的描述为准。</w:t>
      </w:r>
    </w:p>
    <w:p>
      <w:pPr>
        <w:spacing w:line="360" w:lineRule="auto"/>
        <w:ind w:firstLine="480" w:firstLineChars="200"/>
        <w:rPr>
          <w:color w:val="auto"/>
          <w:sz w:val="24"/>
          <w:szCs w:val="24"/>
          <w:highlight w:val="none"/>
        </w:rPr>
      </w:pPr>
      <w:r>
        <w:rPr>
          <w:rFonts w:hint="eastAsia"/>
          <w:color w:val="auto"/>
          <w:sz w:val="24"/>
          <w:szCs w:val="24"/>
          <w:highlight w:val="none"/>
          <w:lang w:val="en-US"/>
        </w:rPr>
        <w:t>5.3</w:t>
      </w:r>
      <w:r>
        <w:rPr>
          <w:rFonts w:hint="eastAsia"/>
          <w:color w:val="auto"/>
          <w:sz w:val="24"/>
          <w:szCs w:val="24"/>
          <w:highlight w:val="none"/>
        </w:rPr>
        <w:t>供应商应认真阅读竞争性磋商文件所有的事项、格式、条款和技术规范等。如供应商没有按照竞争性磋商文件要求提交全部资料，或者响应文件没有对竞争性磋商文件在各方面都做出实质性响应，可能导致其响应文件将被认定为无效，</w:t>
      </w:r>
      <w:r>
        <w:rPr>
          <w:rFonts w:hint="eastAsia"/>
          <w:b/>
          <w:bCs/>
          <w:color w:val="auto"/>
          <w:sz w:val="24"/>
          <w:szCs w:val="24"/>
          <w:highlight w:val="none"/>
        </w:rPr>
        <w:t>该风险由供应商承担。</w:t>
      </w:r>
    </w:p>
    <w:p>
      <w:pPr>
        <w:spacing w:line="360" w:lineRule="auto"/>
        <w:ind w:firstLine="480" w:firstLineChars="200"/>
        <w:outlineLvl w:val="1"/>
        <w:rPr>
          <w:color w:val="auto"/>
          <w:sz w:val="24"/>
          <w:szCs w:val="24"/>
          <w:highlight w:val="none"/>
        </w:rPr>
      </w:pPr>
      <w:bookmarkStart w:id="63" w:name="_Toc6019"/>
      <w:bookmarkStart w:id="64" w:name="_Toc5495"/>
      <w:bookmarkStart w:id="65" w:name="_Toc29801"/>
      <w:bookmarkStart w:id="66" w:name="_Toc12162"/>
      <w:r>
        <w:rPr>
          <w:rFonts w:hint="eastAsia"/>
          <w:color w:val="auto"/>
          <w:sz w:val="24"/>
          <w:szCs w:val="24"/>
          <w:highlight w:val="none"/>
          <w:lang w:val="en-US"/>
        </w:rPr>
        <w:t>5.4</w:t>
      </w:r>
      <w:r>
        <w:rPr>
          <w:rFonts w:hint="eastAsia"/>
          <w:color w:val="auto"/>
          <w:sz w:val="24"/>
          <w:szCs w:val="24"/>
          <w:highlight w:val="none"/>
        </w:rPr>
        <w:t>响应文件以中文编印，且以中文为准。</w:t>
      </w:r>
      <w:bookmarkEnd w:id="63"/>
      <w:bookmarkEnd w:id="64"/>
      <w:bookmarkEnd w:id="65"/>
      <w:bookmarkEnd w:id="66"/>
    </w:p>
    <w:p>
      <w:pPr>
        <w:spacing w:line="360" w:lineRule="auto"/>
        <w:ind w:firstLine="480" w:firstLineChars="200"/>
        <w:rPr>
          <w:color w:val="auto"/>
          <w:sz w:val="24"/>
          <w:szCs w:val="24"/>
          <w:highlight w:val="none"/>
        </w:rPr>
      </w:pPr>
      <w:r>
        <w:rPr>
          <w:rFonts w:hint="eastAsia"/>
          <w:color w:val="auto"/>
          <w:sz w:val="24"/>
          <w:szCs w:val="24"/>
          <w:highlight w:val="none"/>
          <w:lang w:val="en-US"/>
        </w:rPr>
        <w:t>5.5</w:t>
      </w:r>
      <w:r>
        <w:rPr>
          <w:rFonts w:hint="eastAsia"/>
          <w:color w:val="auto"/>
          <w:sz w:val="24"/>
          <w:szCs w:val="24"/>
          <w:highlight w:val="none"/>
        </w:rPr>
        <w:t>除非有特殊要求，响应文件不单独提供响应货物使用地的自然环境、气候条件、公用设施等情况，供应商被视为熟悉上述与履行合同有关的一切情况。</w:t>
      </w:r>
    </w:p>
    <w:p>
      <w:pPr>
        <w:spacing w:line="360" w:lineRule="auto"/>
        <w:ind w:firstLine="480" w:firstLineChars="200"/>
        <w:outlineLvl w:val="1"/>
        <w:rPr>
          <w:color w:val="auto"/>
          <w:sz w:val="24"/>
          <w:szCs w:val="24"/>
          <w:highlight w:val="none"/>
        </w:rPr>
      </w:pPr>
      <w:bookmarkStart w:id="67" w:name="_Toc16573"/>
      <w:bookmarkStart w:id="68" w:name="_Toc31625"/>
      <w:bookmarkStart w:id="69" w:name="_Toc19777"/>
      <w:bookmarkStart w:id="70" w:name="_Toc22520"/>
      <w:r>
        <w:rPr>
          <w:rFonts w:hint="eastAsia"/>
          <w:color w:val="auto"/>
          <w:sz w:val="24"/>
          <w:szCs w:val="24"/>
          <w:highlight w:val="none"/>
          <w:lang w:val="en-US"/>
        </w:rPr>
        <w:t>5.6</w:t>
      </w:r>
      <w:r>
        <w:rPr>
          <w:rFonts w:hint="eastAsia"/>
          <w:color w:val="auto"/>
          <w:sz w:val="24"/>
          <w:szCs w:val="24"/>
          <w:highlight w:val="none"/>
        </w:rPr>
        <w:t>现场考察或者答疑会及相关事项见</w:t>
      </w:r>
      <w:r>
        <w:rPr>
          <w:rFonts w:hint="eastAsia"/>
          <w:color w:val="auto"/>
          <w:sz w:val="24"/>
          <w:szCs w:val="24"/>
          <w:highlight w:val="none"/>
          <w:u w:val="single"/>
        </w:rPr>
        <w:t>供应商须知资料表</w:t>
      </w:r>
      <w:r>
        <w:rPr>
          <w:rFonts w:hint="eastAsia"/>
          <w:color w:val="auto"/>
          <w:sz w:val="24"/>
          <w:szCs w:val="24"/>
          <w:highlight w:val="none"/>
        </w:rPr>
        <w:t>。</w:t>
      </w:r>
      <w:bookmarkEnd w:id="67"/>
      <w:bookmarkEnd w:id="68"/>
      <w:bookmarkEnd w:id="69"/>
      <w:bookmarkEnd w:id="70"/>
    </w:p>
    <w:p>
      <w:pPr>
        <w:spacing w:line="360" w:lineRule="auto"/>
        <w:ind w:firstLine="480" w:firstLineChars="200"/>
        <w:rPr>
          <w:color w:val="auto"/>
          <w:sz w:val="24"/>
          <w:szCs w:val="24"/>
          <w:highlight w:val="none"/>
        </w:rPr>
      </w:pPr>
      <w:r>
        <w:rPr>
          <w:rFonts w:hint="eastAsia"/>
          <w:color w:val="auto"/>
          <w:sz w:val="24"/>
          <w:szCs w:val="24"/>
          <w:highlight w:val="none"/>
          <w:lang w:val="en-US"/>
        </w:rPr>
        <w:t>5.6.1</w:t>
      </w:r>
      <w:r>
        <w:rPr>
          <w:rFonts w:hint="eastAsia"/>
          <w:color w:val="auto"/>
          <w:sz w:val="24"/>
          <w:szCs w:val="24"/>
          <w:highlight w:val="none"/>
        </w:rPr>
        <w:t>响应文件第二册第三部分“供应商须知资料表”规定组织踏勘现场的，采购人按规定的时间、地点组织供应商踏勘项目现场，踏勘现场所发生的费用由供应商承担。</w:t>
      </w:r>
    </w:p>
    <w:p>
      <w:pPr>
        <w:spacing w:line="360" w:lineRule="auto"/>
        <w:ind w:firstLine="480" w:firstLineChars="200"/>
        <w:rPr>
          <w:color w:val="auto"/>
          <w:sz w:val="24"/>
          <w:szCs w:val="24"/>
          <w:highlight w:val="none"/>
        </w:rPr>
      </w:pPr>
      <w:r>
        <w:rPr>
          <w:rFonts w:hint="eastAsia"/>
          <w:color w:val="auto"/>
          <w:sz w:val="24"/>
          <w:szCs w:val="24"/>
          <w:highlight w:val="none"/>
          <w:lang w:val="en-US"/>
        </w:rPr>
        <w:t>5.6.2</w:t>
      </w:r>
      <w:r>
        <w:rPr>
          <w:rFonts w:hint="eastAsia"/>
          <w:color w:val="auto"/>
          <w:sz w:val="24"/>
          <w:szCs w:val="24"/>
          <w:highlight w:val="none"/>
        </w:rPr>
        <w:t>采购人向供应商提供的有关现场的资料和数据，是采购人现有的能使供应商</w:t>
      </w:r>
    </w:p>
    <w:p>
      <w:pPr>
        <w:spacing w:line="360" w:lineRule="auto"/>
        <w:rPr>
          <w:color w:val="auto"/>
          <w:sz w:val="24"/>
          <w:szCs w:val="24"/>
          <w:highlight w:val="none"/>
        </w:rPr>
      </w:pPr>
      <w:r>
        <w:rPr>
          <w:rFonts w:hint="eastAsia"/>
          <w:color w:val="auto"/>
          <w:sz w:val="24"/>
          <w:szCs w:val="24"/>
          <w:highlight w:val="none"/>
        </w:rPr>
        <w:t>利用的资料，采购人对供应商由此而做出的推论、理解和结论概不负责。</w:t>
      </w:r>
    </w:p>
    <w:p>
      <w:pPr>
        <w:spacing w:line="360" w:lineRule="auto"/>
        <w:ind w:firstLine="480" w:firstLineChars="200"/>
        <w:rPr>
          <w:color w:val="auto"/>
          <w:sz w:val="24"/>
          <w:szCs w:val="24"/>
          <w:highlight w:val="none"/>
        </w:rPr>
      </w:pPr>
      <w:r>
        <w:rPr>
          <w:rFonts w:hint="eastAsia"/>
          <w:color w:val="auto"/>
          <w:sz w:val="24"/>
          <w:szCs w:val="24"/>
          <w:highlight w:val="none"/>
          <w:lang w:val="en-US"/>
        </w:rPr>
        <w:t>5.6.3</w:t>
      </w:r>
      <w:r>
        <w:rPr>
          <w:rFonts w:hint="eastAsia"/>
          <w:color w:val="auto"/>
          <w:sz w:val="24"/>
          <w:szCs w:val="24"/>
          <w:highlight w:val="none"/>
        </w:rPr>
        <w:t>供应商经过采购人的允许，可进入项目现场踏勘，对供货（或施工）现场及其范围环境进行考察，以获取有关编制响应文件和签署实施合同所需的各项资料，但供应商及其人员不得因此使采购人及其人员承担有关的责任和蒙受损失。供应商并应对由此次踏勘现场而造成的死亡、人身伤害、财产损失、损害以及任何其它损失、损害和引起的费用和开支承担责任。</w:t>
      </w:r>
    </w:p>
    <w:p>
      <w:pPr>
        <w:spacing w:line="360" w:lineRule="auto"/>
        <w:ind w:firstLine="480" w:firstLineChars="200"/>
        <w:rPr>
          <w:color w:val="auto"/>
          <w:sz w:val="24"/>
          <w:szCs w:val="24"/>
          <w:highlight w:val="none"/>
        </w:rPr>
      </w:pPr>
      <w:r>
        <w:rPr>
          <w:rFonts w:hint="eastAsia"/>
          <w:color w:val="auto"/>
          <w:sz w:val="24"/>
          <w:szCs w:val="24"/>
          <w:highlight w:val="none"/>
          <w:lang w:val="en-US"/>
        </w:rPr>
        <w:t>5.</w:t>
      </w:r>
      <w:r>
        <w:rPr>
          <w:rFonts w:hint="eastAsia"/>
          <w:color w:val="auto"/>
          <w:sz w:val="24"/>
          <w:szCs w:val="24"/>
          <w:highlight w:val="none"/>
          <w:lang w:val="en-US" w:eastAsia="zh-CN"/>
        </w:rPr>
        <w:t>7</w:t>
      </w:r>
      <w:r>
        <w:rPr>
          <w:rFonts w:hint="eastAsia"/>
          <w:color w:val="auto"/>
          <w:sz w:val="24"/>
          <w:szCs w:val="24"/>
          <w:highlight w:val="none"/>
        </w:rPr>
        <w:t>不论响应过程和响应文件结果如何，供应商的响应文件（含电子版）均不退还。</w:t>
      </w:r>
    </w:p>
    <w:p>
      <w:pPr>
        <w:spacing w:line="360" w:lineRule="auto"/>
        <w:ind w:firstLine="480" w:firstLineChars="200"/>
        <w:rPr>
          <w:color w:val="auto"/>
          <w:sz w:val="24"/>
          <w:szCs w:val="24"/>
          <w:highlight w:val="none"/>
        </w:rPr>
      </w:pPr>
      <w:r>
        <w:rPr>
          <w:rFonts w:hint="eastAsia"/>
          <w:color w:val="auto"/>
          <w:sz w:val="24"/>
          <w:szCs w:val="24"/>
          <w:highlight w:val="none"/>
          <w:lang w:val="en-US"/>
        </w:rPr>
        <w:t>5.</w:t>
      </w:r>
      <w:r>
        <w:rPr>
          <w:rFonts w:hint="eastAsia"/>
          <w:color w:val="auto"/>
          <w:sz w:val="24"/>
          <w:szCs w:val="24"/>
          <w:highlight w:val="none"/>
          <w:lang w:val="en-US" w:eastAsia="zh-CN"/>
        </w:rPr>
        <w:t>8</w:t>
      </w:r>
      <w:r>
        <w:rPr>
          <w:rFonts w:hint="eastAsia"/>
          <w:color w:val="auto"/>
          <w:sz w:val="24"/>
          <w:szCs w:val="24"/>
          <w:highlight w:val="none"/>
        </w:rPr>
        <w:t>除响应文件中另有规定外，响应文件所使用的时间单位“天”、“日”均指日历天，且所有时刻均为北京时间。</w:t>
      </w:r>
    </w:p>
    <w:p>
      <w:pPr>
        <w:spacing w:line="360" w:lineRule="auto"/>
        <w:ind w:firstLine="480" w:firstLineChars="200"/>
        <w:rPr>
          <w:color w:val="auto"/>
          <w:sz w:val="24"/>
          <w:szCs w:val="24"/>
          <w:highlight w:val="none"/>
        </w:rPr>
      </w:pPr>
      <w:r>
        <w:rPr>
          <w:rFonts w:hint="eastAsia"/>
          <w:color w:val="auto"/>
          <w:sz w:val="24"/>
          <w:szCs w:val="24"/>
          <w:highlight w:val="none"/>
          <w:lang w:val="en-US"/>
        </w:rPr>
        <w:t>5.</w:t>
      </w:r>
      <w:r>
        <w:rPr>
          <w:rFonts w:hint="eastAsia"/>
          <w:color w:val="auto"/>
          <w:sz w:val="24"/>
          <w:szCs w:val="24"/>
          <w:highlight w:val="none"/>
          <w:lang w:val="en-US" w:eastAsia="zh-CN"/>
        </w:rPr>
        <w:t>9</w:t>
      </w:r>
      <w:r>
        <w:rPr>
          <w:rFonts w:hint="eastAsia"/>
          <w:color w:val="auto"/>
          <w:sz w:val="24"/>
          <w:szCs w:val="24"/>
          <w:highlight w:val="none"/>
        </w:rPr>
        <w:t>参与响应响应文件活动的各方应对响应文件和响应文件中的商业和技术等秘密保密，违者应对由此造成的后果承担法律责任。</w:t>
      </w:r>
    </w:p>
    <w:p>
      <w:pPr>
        <w:spacing w:line="360" w:lineRule="auto"/>
        <w:ind w:firstLine="480" w:firstLineChars="200"/>
        <w:rPr>
          <w:color w:val="auto"/>
          <w:sz w:val="24"/>
          <w:szCs w:val="24"/>
          <w:highlight w:val="none"/>
        </w:rPr>
      </w:pPr>
      <w:r>
        <w:rPr>
          <w:rFonts w:hint="eastAsia"/>
          <w:color w:val="auto"/>
          <w:sz w:val="24"/>
          <w:szCs w:val="24"/>
          <w:highlight w:val="none"/>
          <w:lang w:val="en-US"/>
        </w:rPr>
        <w:t>5.</w:t>
      </w:r>
      <w:r>
        <w:rPr>
          <w:rFonts w:hint="eastAsia"/>
          <w:color w:val="auto"/>
          <w:sz w:val="24"/>
          <w:szCs w:val="24"/>
          <w:highlight w:val="none"/>
          <w:lang w:val="en-US" w:eastAsia="zh-CN"/>
        </w:rPr>
        <w:t>10</w:t>
      </w:r>
      <w:r>
        <w:rPr>
          <w:rFonts w:hint="eastAsia"/>
          <w:color w:val="auto"/>
          <w:sz w:val="24"/>
          <w:szCs w:val="24"/>
          <w:highlight w:val="none"/>
        </w:rPr>
        <w:t>供应商应自行承担其准备和参加响应文件活动发生的所有费用。不论响应文件结果如何，采购人及采购代理机构在任何情况下无义务也无责任承担这些费用。</w:t>
      </w:r>
    </w:p>
    <w:p>
      <w:pPr>
        <w:spacing w:line="360" w:lineRule="auto"/>
        <w:ind w:firstLine="482" w:firstLineChars="200"/>
        <w:rPr>
          <w:b/>
          <w:bCs/>
          <w:color w:val="auto"/>
          <w:sz w:val="24"/>
          <w:szCs w:val="24"/>
          <w:highlight w:val="none"/>
        </w:rPr>
      </w:pPr>
      <w:bookmarkStart w:id="71" w:name="6.竞争性磋商文件的澄清与修改"/>
      <w:bookmarkEnd w:id="71"/>
      <w:r>
        <w:rPr>
          <w:rFonts w:hint="eastAsia"/>
          <w:b/>
          <w:bCs/>
          <w:color w:val="auto"/>
          <w:sz w:val="24"/>
          <w:szCs w:val="24"/>
          <w:highlight w:val="none"/>
          <w:lang w:val="en-US"/>
        </w:rPr>
        <w:t>6.</w:t>
      </w:r>
      <w:r>
        <w:rPr>
          <w:rFonts w:hint="eastAsia"/>
          <w:b/>
          <w:bCs/>
          <w:color w:val="auto"/>
          <w:sz w:val="24"/>
          <w:szCs w:val="24"/>
          <w:highlight w:val="none"/>
        </w:rPr>
        <w:t>竞争性磋商文件的澄清与修改</w:t>
      </w:r>
    </w:p>
    <w:p>
      <w:pPr>
        <w:spacing w:line="360" w:lineRule="auto"/>
        <w:ind w:firstLine="480" w:firstLineChars="200"/>
        <w:rPr>
          <w:rFonts w:hint="eastAsia"/>
          <w:color w:val="auto"/>
          <w:sz w:val="24"/>
          <w:szCs w:val="24"/>
          <w:highlight w:val="none"/>
        </w:rPr>
      </w:pPr>
      <w:r>
        <w:rPr>
          <w:rFonts w:hint="eastAsia"/>
          <w:color w:val="auto"/>
          <w:sz w:val="24"/>
          <w:szCs w:val="24"/>
          <w:highlight w:val="none"/>
          <w:lang w:val="en-US"/>
        </w:rPr>
        <w:t>6.1</w:t>
      </w:r>
      <w:r>
        <w:rPr>
          <w:rFonts w:hint="eastAsia"/>
          <w:color w:val="auto"/>
          <w:sz w:val="24"/>
          <w:szCs w:val="24"/>
          <w:highlight w:val="none"/>
        </w:rPr>
        <w:t>采购人可主动地或在解答供应商提出的澄清问题时对竞争性磋商文件澄清或修改。采购代理机构将以发布澄清（更正）公告的方式，澄清或修改竞争性磋商文件，澄清或修改内容作为竞争性磋商文件的组成部分。</w:t>
      </w:r>
      <w:r>
        <w:rPr>
          <w:rFonts w:hint="eastAsia"/>
          <w:color w:val="auto"/>
          <w:sz w:val="24"/>
          <w:szCs w:val="24"/>
          <w:highlight w:val="none"/>
          <w:lang w:val="en-US" w:eastAsia="zh-CN"/>
        </w:rPr>
        <w:t xml:space="preserve">如果本项目在开标前通过临沂市公共资 </w:t>
      </w:r>
    </w:p>
    <w:p>
      <w:pPr>
        <w:spacing w:line="360" w:lineRule="auto"/>
        <w:rPr>
          <w:color w:val="auto"/>
          <w:sz w:val="24"/>
          <w:szCs w:val="24"/>
          <w:highlight w:val="none"/>
        </w:rPr>
      </w:pPr>
      <w:r>
        <w:rPr>
          <w:rFonts w:hint="eastAsia"/>
          <w:color w:val="auto"/>
          <w:sz w:val="24"/>
          <w:szCs w:val="24"/>
          <w:highlight w:val="none"/>
          <w:lang w:val="en-US" w:eastAsia="zh-CN"/>
        </w:rPr>
        <w:t>源交易网发布了答疑文件，请供应商自行下载答疑文件（请自行关注），并依据答疑文件制作响应文件，否则后果自负。</w:t>
      </w:r>
    </w:p>
    <w:p>
      <w:pPr>
        <w:spacing w:line="360" w:lineRule="auto"/>
        <w:ind w:firstLine="480" w:firstLineChars="200"/>
        <w:rPr>
          <w:color w:val="auto"/>
          <w:sz w:val="24"/>
          <w:szCs w:val="24"/>
          <w:highlight w:val="none"/>
        </w:rPr>
      </w:pPr>
      <w:r>
        <w:rPr>
          <w:rFonts w:hint="eastAsia"/>
          <w:color w:val="auto"/>
          <w:sz w:val="24"/>
          <w:szCs w:val="24"/>
          <w:highlight w:val="none"/>
          <w:lang w:val="en-US"/>
        </w:rPr>
        <w:t>6.2</w:t>
      </w:r>
      <w:r>
        <w:rPr>
          <w:rFonts w:hint="eastAsia"/>
          <w:color w:val="auto"/>
          <w:sz w:val="24"/>
          <w:szCs w:val="24"/>
          <w:highlight w:val="none"/>
        </w:rPr>
        <w:t>澄清或者修改的内容可能影响响应文件编制的，采购代理机构应当在报价截止时间至少5日前，将以书面或公告等形式通知所有获取竞争性磋商文件的潜在供应商，并对其具有约束力。供应商在收到上述通知后，应及时向采购代理机构回函确认。供应商未回复的，视同已知晓澄清或者修改的内容。 因潜在供应商原因或通讯线路故障导致逾期送达或无法送达，采购代理机构不因此承担任何责任，有关的磋商采购活动可以继续有效进行。</w:t>
      </w:r>
    </w:p>
    <w:p>
      <w:pPr>
        <w:spacing w:line="360" w:lineRule="auto"/>
        <w:ind w:firstLine="480" w:firstLineChars="200"/>
        <w:rPr>
          <w:color w:val="auto"/>
          <w:sz w:val="24"/>
          <w:szCs w:val="24"/>
          <w:highlight w:val="none"/>
        </w:rPr>
      </w:pPr>
      <w:r>
        <w:rPr>
          <w:rFonts w:hint="eastAsia"/>
          <w:color w:val="auto"/>
          <w:sz w:val="24"/>
          <w:szCs w:val="24"/>
          <w:highlight w:val="none"/>
          <w:lang w:val="en-US"/>
        </w:rPr>
        <w:t>6.3</w:t>
      </w:r>
      <w:r>
        <w:rPr>
          <w:rFonts w:hint="eastAsia"/>
          <w:color w:val="auto"/>
          <w:sz w:val="24"/>
          <w:szCs w:val="24"/>
          <w:highlight w:val="none"/>
        </w:rPr>
        <w:t>供应商认为响应文件存在歧视性条款或不合理要求等需要澄清的，应在规定时间内一次性全部提出。如在规定时间内，供应商对响应文件中的各项条款未提出异议，即认为同意和接受响应文件。</w:t>
      </w:r>
    </w:p>
    <w:p>
      <w:pPr>
        <w:spacing w:line="360" w:lineRule="auto"/>
        <w:ind w:firstLine="482" w:firstLineChars="200"/>
        <w:rPr>
          <w:b/>
          <w:bCs/>
          <w:color w:val="auto"/>
          <w:sz w:val="24"/>
          <w:szCs w:val="24"/>
          <w:highlight w:val="none"/>
        </w:rPr>
      </w:pPr>
      <w:bookmarkStart w:id="72" w:name="7.提交响应文件截止时间的顺延"/>
      <w:bookmarkEnd w:id="72"/>
      <w:r>
        <w:rPr>
          <w:rFonts w:hint="eastAsia"/>
          <w:b/>
          <w:bCs/>
          <w:color w:val="auto"/>
          <w:sz w:val="24"/>
          <w:szCs w:val="24"/>
          <w:highlight w:val="none"/>
          <w:lang w:val="en-US"/>
        </w:rPr>
        <w:t>7.</w:t>
      </w:r>
      <w:r>
        <w:rPr>
          <w:rFonts w:hint="eastAsia"/>
          <w:b/>
          <w:bCs/>
          <w:color w:val="auto"/>
          <w:sz w:val="24"/>
          <w:szCs w:val="24"/>
          <w:highlight w:val="none"/>
        </w:rPr>
        <w:t>提交响应文件截止时间的顺延</w:t>
      </w:r>
    </w:p>
    <w:p>
      <w:pPr>
        <w:spacing w:line="360" w:lineRule="auto"/>
        <w:ind w:firstLine="480" w:firstLineChars="200"/>
        <w:rPr>
          <w:color w:val="auto"/>
          <w:sz w:val="24"/>
          <w:szCs w:val="24"/>
          <w:highlight w:val="none"/>
        </w:rPr>
      </w:pPr>
      <w:r>
        <w:rPr>
          <w:rFonts w:hint="eastAsia"/>
          <w:color w:val="auto"/>
          <w:sz w:val="24"/>
          <w:szCs w:val="24"/>
          <w:highlight w:val="none"/>
        </w:rPr>
        <w:t>为使供应商准备响应时有足够的时间对竞争性磋商文件的澄清或者修改部分进行研究，采购人将依法决定是否顺延提交响应文件截止时间。</w:t>
      </w:r>
    </w:p>
    <w:p>
      <w:pPr>
        <w:spacing w:line="360" w:lineRule="auto"/>
        <w:ind w:firstLine="480" w:firstLineChars="200"/>
        <w:rPr>
          <w:color w:val="auto"/>
          <w:sz w:val="24"/>
          <w:szCs w:val="24"/>
          <w:highlight w:val="none"/>
        </w:rPr>
      </w:pPr>
    </w:p>
    <w:p>
      <w:pPr>
        <w:spacing w:line="360" w:lineRule="auto"/>
        <w:ind w:firstLine="480" w:firstLineChars="200"/>
        <w:rPr>
          <w:color w:val="auto"/>
          <w:sz w:val="24"/>
          <w:szCs w:val="24"/>
          <w:highlight w:val="none"/>
        </w:rPr>
        <w:sectPr>
          <w:pgSz w:w="11930" w:h="16840"/>
          <w:pgMar w:top="1580" w:right="1417" w:bottom="900" w:left="1417" w:header="0" w:footer="719" w:gutter="0"/>
          <w:cols w:space="720" w:num="1"/>
        </w:sectPr>
      </w:pPr>
    </w:p>
    <w:p>
      <w:pPr>
        <w:spacing w:line="360" w:lineRule="auto"/>
        <w:ind w:firstLine="643" w:firstLineChars="200"/>
        <w:jc w:val="center"/>
        <w:rPr>
          <w:b/>
          <w:bCs/>
          <w:color w:val="auto"/>
          <w:sz w:val="32"/>
          <w:szCs w:val="32"/>
          <w:highlight w:val="none"/>
          <w:lang w:val="en-US"/>
        </w:rPr>
      </w:pPr>
      <w:bookmarkStart w:id="73" w:name="8._编制要求"/>
      <w:bookmarkEnd w:id="73"/>
      <w:bookmarkStart w:id="74" w:name="三___响应文件的编制"/>
      <w:bookmarkEnd w:id="74"/>
      <w:r>
        <w:rPr>
          <w:rFonts w:hint="eastAsia"/>
          <w:b/>
          <w:bCs/>
          <w:color w:val="auto"/>
          <w:sz w:val="32"/>
          <w:szCs w:val="32"/>
          <w:highlight w:val="none"/>
        </w:rPr>
        <w:t>三、响应文件的编制</w:t>
      </w:r>
    </w:p>
    <w:p>
      <w:pPr>
        <w:spacing w:line="360" w:lineRule="auto"/>
        <w:ind w:firstLine="482" w:firstLineChars="200"/>
        <w:rPr>
          <w:b/>
          <w:bCs/>
          <w:color w:val="auto"/>
          <w:sz w:val="24"/>
          <w:szCs w:val="24"/>
          <w:highlight w:val="none"/>
          <w:lang w:val="en-US"/>
        </w:rPr>
      </w:pPr>
      <w:r>
        <w:rPr>
          <w:rFonts w:hint="eastAsia"/>
          <w:b/>
          <w:bCs/>
          <w:color w:val="auto"/>
          <w:sz w:val="24"/>
          <w:szCs w:val="24"/>
          <w:highlight w:val="none"/>
          <w:lang w:val="en-US"/>
        </w:rPr>
        <w:t>8.编制要求</w:t>
      </w:r>
    </w:p>
    <w:p>
      <w:pPr>
        <w:spacing w:line="360" w:lineRule="auto"/>
        <w:ind w:firstLine="480" w:firstLineChars="200"/>
        <w:rPr>
          <w:color w:val="auto"/>
          <w:sz w:val="24"/>
          <w:szCs w:val="24"/>
          <w:highlight w:val="none"/>
        </w:rPr>
      </w:pPr>
      <w:r>
        <w:rPr>
          <w:rFonts w:hint="eastAsia"/>
          <w:color w:val="auto"/>
          <w:sz w:val="24"/>
          <w:szCs w:val="24"/>
          <w:highlight w:val="none"/>
          <w:lang w:val="en-US"/>
        </w:rPr>
        <w:t>8.1</w:t>
      </w:r>
      <w:r>
        <w:rPr>
          <w:rFonts w:hint="eastAsia"/>
          <w:color w:val="auto"/>
          <w:sz w:val="24"/>
          <w:szCs w:val="24"/>
          <w:highlight w:val="none"/>
        </w:rPr>
        <w:t>供应商应仔细阅读磋商文件的所有内容，按照磋商文件的要求及格式编制响应文件，并保证其真实性。若供应商没有按照磋商文件要求提交全部实质性要求资料或对实质性要求未作响应是供应商的风险，其</w:t>
      </w:r>
      <w:r>
        <w:rPr>
          <w:rFonts w:hint="eastAsia"/>
          <w:b/>
          <w:bCs/>
          <w:color w:val="auto"/>
          <w:sz w:val="24"/>
          <w:szCs w:val="24"/>
          <w:highlight w:val="none"/>
        </w:rPr>
        <w:t>响应文件将会被拒绝</w:t>
      </w:r>
      <w:r>
        <w:rPr>
          <w:rFonts w:hint="eastAsia"/>
          <w:color w:val="auto"/>
          <w:sz w:val="24"/>
          <w:szCs w:val="24"/>
          <w:highlight w:val="none"/>
        </w:rPr>
        <w:t>。</w:t>
      </w:r>
    </w:p>
    <w:p>
      <w:pPr>
        <w:spacing w:line="360" w:lineRule="auto"/>
        <w:ind w:firstLine="480" w:firstLineChars="200"/>
        <w:rPr>
          <w:color w:val="auto"/>
          <w:sz w:val="24"/>
          <w:szCs w:val="24"/>
          <w:highlight w:val="none"/>
        </w:rPr>
      </w:pPr>
      <w:r>
        <w:rPr>
          <w:rFonts w:hint="eastAsia"/>
          <w:color w:val="auto"/>
          <w:sz w:val="24"/>
          <w:szCs w:val="24"/>
          <w:highlight w:val="none"/>
          <w:lang w:val="en-US"/>
        </w:rPr>
        <w:t>8.2</w:t>
      </w:r>
      <w:r>
        <w:rPr>
          <w:rFonts w:hint="eastAsia"/>
          <w:color w:val="auto"/>
          <w:sz w:val="24"/>
          <w:szCs w:val="24"/>
          <w:highlight w:val="none"/>
        </w:rPr>
        <w:t>供应商对多个分包进行响应文件的，应以分包为单位编制响应文件，每一包响应文件均需满足本响应文件对响应文件的签署、盖章要求。</w:t>
      </w:r>
    </w:p>
    <w:p>
      <w:pPr>
        <w:spacing w:line="360" w:lineRule="auto"/>
        <w:ind w:firstLine="480" w:firstLineChars="200"/>
        <w:outlineLvl w:val="1"/>
        <w:rPr>
          <w:color w:val="auto"/>
          <w:sz w:val="24"/>
          <w:szCs w:val="24"/>
          <w:highlight w:val="none"/>
        </w:rPr>
      </w:pPr>
      <w:bookmarkStart w:id="75" w:name="_Toc5517"/>
      <w:bookmarkStart w:id="76" w:name="_Toc22769"/>
      <w:bookmarkStart w:id="77" w:name="_Toc14676"/>
      <w:bookmarkStart w:id="78" w:name="_Toc13716"/>
      <w:r>
        <w:rPr>
          <w:rFonts w:hint="eastAsia"/>
          <w:color w:val="auto"/>
          <w:sz w:val="24"/>
          <w:szCs w:val="24"/>
          <w:highlight w:val="none"/>
          <w:lang w:val="en-US"/>
        </w:rPr>
        <w:t>8.3</w:t>
      </w:r>
      <w:r>
        <w:rPr>
          <w:rFonts w:hint="eastAsia"/>
          <w:color w:val="auto"/>
          <w:sz w:val="24"/>
          <w:szCs w:val="24"/>
          <w:highlight w:val="none"/>
        </w:rPr>
        <w:t>封面设置</w:t>
      </w:r>
      <w:bookmarkEnd w:id="75"/>
      <w:bookmarkEnd w:id="76"/>
      <w:bookmarkEnd w:id="77"/>
      <w:bookmarkEnd w:id="78"/>
    </w:p>
    <w:p>
      <w:pPr>
        <w:spacing w:line="360" w:lineRule="auto"/>
        <w:ind w:firstLine="480" w:firstLineChars="200"/>
        <w:rPr>
          <w:color w:val="auto"/>
          <w:sz w:val="24"/>
          <w:szCs w:val="24"/>
          <w:highlight w:val="none"/>
        </w:rPr>
      </w:pPr>
      <w:r>
        <w:rPr>
          <w:rFonts w:hint="eastAsia"/>
          <w:color w:val="auto"/>
          <w:sz w:val="24"/>
          <w:szCs w:val="24"/>
          <w:highlight w:val="none"/>
        </w:rPr>
        <w:t>响应文件材料封面设置包括：“响应文件”、项目名称、项目编号、所投包号、供应商名称。</w:t>
      </w:r>
    </w:p>
    <w:p>
      <w:pPr>
        <w:spacing w:line="360" w:lineRule="auto"/>
        <w:ind w:firstLine="480" w:firstLineChars="200"/>
        <w:rPr>
          <w:color w:val="auto"/>
          <w:sz w:val="24"/>
          <w:szCs w:val="24"/>
          <w:highlight w:val="none"/>
        </w:rPr>
      </w:pPr>
      <w:r>
        <w:rPr>
          <w:rFonts w:hint="eastAsia"/>
          <w:color w:val="auto"/>
          <w:sz w:val="24"/>
          <w:szCs w:val="24"/>
          <w:highlight w:val="none"/>
          <w:lang w:val="en-US"/>
        </w:rPr>
        <w:t>8.4</w:t>
      </w:r>
      <w:r>
        <w:rPr>
          <w:rFonts w:hint="eastAsia"/>
          <w:color w:val="auto"/>
          <w:sz w:val="24"/>
          <w:szCs w:val="24"/>
          <w:highlight w:val="none"/>
        </w:rPr>
        <w:t>供应商应按响应文件的要求及格式编写其响应文件；不得缺少或留空任何响应文件要求填写的表格或资料。</w:t>
      </w:r>
    </w:p>
    <w:p>
      <w:pPr>
        <w:spacing w:line="360" w:lineRule="auto"/>
        <w:ind w:firstLine="480" w:firstLineChars="200"/>
        <w:rPr>
          <w:color w:val="auto"/>
          <w:sz w:val="24"/>
          <w:szCs w:val="24"/>
          <w:highlight w:val="none"/>
        </w:rPr>
      </w:pPr>
      <w:r>
        <w:rPr>
          <w:rFonts w:hint="eastAsia"/>
          <w:color w:val="auto"/>
          <w:sz w:val="24"/>
          <w:szCs w:val="24"/>
          <w:highlight w:val="none"/>
          <w:lang w:val="en-US"/>
        </w:rPr>
        <w:t>8.5</w:t>
      </w:r>
      <w:r>
        <w:rPr>
          <w:rFonts w:hint="eastAsia"/>
          <w:color w:val="auto"/>
          <w:sz w:val="24"/>
          <w:szCs w:val="24"/>
          <w:highlight w:val="none"/>
        </w:rPr>
        <w:t>供应商应编制响应文件目录、内容，标注连续页码。</w:t>
      </w:r>
    </w:p>
    <w:p>
      <w:pPr>
        <w:spacing w:line="360" w:lineRule="auto"/>
        <w:ind w:firstLine="480" w:firstLineChars="200"/>
        <w:rPr>
          <w:color w:val="auto"/>
          <w:sz w:val="24"/>
          <w:szCs w:val="24"/>
          <w:highlight w:val="none"/>
        </w:rPr>
      </w:pPr>
      <w:r>
        <w:rPr>
          <w:rFonts w:hint="eastAsia"/>
          <w:color w:val="auto"/>
          <w:sz w:val="24"/>
          <w:szCs w:val="24"/>
          <w:highlight w:val="none"/>
          <w:lang w:val="en-US"/>
        </w:rPr>
        <w:t>8.6</w:t>
      </w:r>
      <w:r>
        <w:rPr>
          <w:rFonts w:hint="eastAsia"/>
          <w:color w:val="auto"/>
          <w:sz w:val="24"/>
          <w:szCs w:val="24"/>
          <w:highlight w:val="none"/>
        </w:rPr>
        <w:t>关于兼投不兼中要求详见：</w:t>
      </w:r>
      <w:r>
        <w:rPr>
          <w:rFonts w:hint="eastAsia"/>
          <w:color w:val="auto"/>
          <w:sz w:val="24"/>
          <w:szCs w:val="24"/>
          <w:highlight w:val="none"/>
          <w:u w:val="single"/>
        </w:rPr>
        <w:t>供应商须知资料表</w:t>
      </w:r>
      <w:r>
        <w:rPr>
          <w:rFonts w:hint="eastAsia"/>
          <w:color w:val="auto"/>
          <w:sz w:val="24"/>
          <w:szCs w:val="24"/>
          <w:highlight w:val="none"/>
        </w:rPr>
        <w:t>。</w:t>
      </w:r>
    </w:p>
    <w:p>
      <w:pPr>
        <w:spacing w:line="360" w:lineRule="auto"/>
        <w:ind w:firstLine="482" w:firstLineChars="200"/>
        <w:rPr>
          <w:b/>
          <w:bCs/>
          <w:color w:val="auto"/>
          <w:sz w:val="24"/>
          <w:szCs w:val="24"/>
          <w:highlight w:val="none"/>
        </w:rPr>
      </w:pPr>
      <w:bookmarkStart w:id="79" w:name="9.响应范围及响应文件中标准和计量单位的使用"/>
      <w:bookmarkEnd w:id="79"/>
      <w:r>
        <w:rPr>
          <w:rFonts w:hint="eastAsia"/>
          <w:b/>
          <w:bCs/>
          <w:color w:val="auto"/>
          <w:sz w:val="24"/>
          <w:szCs w:val="24"/>
          <w:highlight w:val="none"/>
          <w:lang w:val="en-US"/>
        </w:rPr>
        <w:t>9.</w:t>
      </w:r>
      <w:r>
        <w:rPr>
          <w:rFonts w:hint="eastAsia"/>
          <w:b/>
          <w:bCs/>
          <w:color w:val="auto"/>
          <w:sz w:val="24"/>
          <w:szCs w:val="24"/>
          <w:highlight w:val="none"/>
        </w:rPr>
        <w:t>响应范围及响应文件中标准和计量单位的使用</w:t>
      </w:r>
    </w:p>
    <w:p>
      <w:pPr>
        <w:spacing w:line="360" w:lineRule="auto"/>
        <w:ind w:firstLine="480" w:firstLineChars="200"/>
        <w:rPr>
          <w:color w:val="auto"/>
          <w:sz w:val="24"/>
          <w:szCs w:val="24"/>
          <w:highlight w:val="none"/>
        </w:rPr>
      </w:pPr>
      <w:r>
        <w:rPr>
          <w:rFonts w:hint="eastAsia"/>
          <w:color w:val="auto"/>
          <w:sz w:val="24"/>
          <w:szCs w:val="24"/>
          <w:highlight w:val="none"/>
          <w:lang w:val="en-US"/>
        </w:rPr>
        <w:t>9.1</w:t>
      </w:r>
      <w:r>
        <w:rPr>
          <w:rFonts w:hint="eastAsia"/>
          <w:color w:val="auto"/>
          <w:sz w:val="24"/>
          <w:szCs w:val="24"/>
          <w:highlight w:val="none"/>
        </w:rPr>
        <w:t>供应商可对竞争性磋商文件其中一个或几个分包进行响应。除非在</w:t>
      </w:r>
      <w:r>
        <w:rPr>
          <w:rFonts w:hint="eastAsia"/>
          <w:color w:val="auto"/>
          <w:sz w:val="24"/>
          <w:szCs w:val="24"/>
          <w:highlight w:val="none"/>
          <w:u w:val="single"/>
        </w:rPr>
        <w:t>供应商须知资料表</w:t>
      </w:r>
      <w:r>
        <w:rPr>
          <w:rFonts w:hint="eastAsia"/>
          <w:color w:val="auto"/>
          <w:sz w:val="24"/>
          <w:szCs w:val="24"/>
          <w:highlight w:val="none"/>
        </w:rPr>
        <w:t>中另有规定。</w:t>
      </w:r>
    </w:p>
    <w:p>
      <w:pPr>
        <w:spacing w:line="360" w:lineRule="auto"/>
        <w:ind w:firstLine="480" w:firstLineChars="200"/>
        <w:rPr>
          <w:color w:val="auto"/>
          <w:sz w:val="24"/>
          <w:szCs w:val="24"/>
          <w:highlight w:val="none"/>
        </w:rPr>
      </w:pPr>
      <w:r>
        <w:rPr>
          <w:rFonts w:hint="eastAsia"/>
          <w:color w:val="auto"/>
          <w:sz w:val="24"/>
          <w:szCs w:val="24"/>
          <w:highlight w:val="none"/>
          <w:lang w:val="en-US"/>
        </w:rPr>
        <w:t>9.2</w:t>
      </w:r>
      <w:r>
        <w:rPr>
          <w:rFonts w:hint="eastAsia"/>
          <w:color w:val="auto"/>
          <w:sz w:val="24"/>
          <w:szCs w:val="24"/>
          <w:highlight w:val="none"/>
        </w:rPr>
        <w:t>供应商应当对竞争性磋商文件中“</w:t>
      </w:r>
      <w:r>
        <w:rPr>
          <w:rFonts w:hint="eastAsia"/>
          <w:color w:val="auto"/>
          <w:sz w:val="24"/>
          <w:szCs w:val="24"/>
          <w:highlight w:val="none"/>
          <w:lang w:val="en-US" w:eastAsia="zh-CN"/>
        </w:rPr>
        <w:t>工程量清单</w:t>
      </w:r>
      <w:r>
        <w:rPr>
          <w:rFonts w:hint="eastAsia"/>
          <w:color w:val="auto"/>
          <w:sz w:val="24"/>
          <w:szCs w:val="24"/>
          <w:highlight w:val="none"/>
        </w:rPr>
        <w:t>”所列的所有内容进行响应， 如仅响应某一包中的部分内容，其响应文件将被认定为无效。</w:t>
      </w:r>
    </w:p>
    <w:p>
      <w:pPr>
        <w:spacing w:line="360" w:lineRule="auto"/>
        <w:ind w:firstLine="480" w:firstLineChars="200"/>
        <w:rPr>
          <w:color w:val="auto"/>
          <w:sz w:val="24"/>
          <w:szCs w:val="24"/>
          <w:highlight w:val="none"/>
        </w:rPr>
      </w:pPr>
      <w:r>
        <w:rPr>
          <w:rFonts w:hint="eastAsia"/>
          <w:color w:val="auto"/>
          <w:sz w:val="24"/>
          <w:szCs w:val="24"/>
          <w:highlight w:val="none"/>
          <w:lang w:val="en-US"/>
        </w:rPr>
        <w:t>9.3</w:t>
      </w:r>
      <w:r>
        <w:rPr>
          <w:rFonts w:hint="eastAsia"/>
          <w:color w:val="auto"/>
          <w:sz w:val="24"/>
          <w:szCs w:val="24"/>
          <w:highlight w:val="none"/>
        </w:rPr>
        <w:t>无论竞争性磋商文件第 4 章</w:t>
      </w:r>
      <w:r>
        <w:rPr>
          <w:rFonts w:hint="eastAsia"/>
          <w:color w:val="auto"/>
          <w:sz w:val="24"/>
          <w:szCs w:val="24"/>
          <w:highlight w:val="none"/>
          <w:lang w:val="en-US" w:eastAsia="zh-CN"/>
        </w:rPr>
        <w:t>采购</w:t>
      </w:r>
      <w:r>
        <w:rPr>
          <w:rFonts w:hint="eastAsia"/>
          <w:color w:val="auto"/>
          <w:sz w:val="24"/>
          <w:szCs w:val="24"/>
          <w:highlight w:val="none"/>
        </w:rPr>
        <w:t>需求一览表及技术规格中是否要求，供应商所报货物均应符合国家强制性标准。</w:t>
      </w:r>
    </w:p>
    <w:p>
      <w:pPr>
        <w:spacing w:line="360" w:lineRule="auto"/>
        <w:ind w:firstLine="480" w:firstLineChars="200"/>
        <w:rPr>
          <w:color w:val="auto"/>
          <w:sz w:val="24"/>
          <w:szCs w:val="24"/>
          <w:highlight w:val="none"/>
        </w:rPr>
      </w:pPr>
      <w:r>
        <w:rPr>
          <w:rFonts w:hint="eastAsia"/>
          <w:color w:val="auto"/>
          <w:sz w:val="24"/>
          <w:szCs w:val="24"/>
          <w:highlight w:val="none"/>
          <w:lang w:val="en-US"/>
        </w:rPr>
        <w:t>9.4</w:t>
      </w:r>
      <w:r>
        <w:rPr>
          <w:rFonts w:hint="eastAsia"/>
          <w:color w:val="auto"/>
          <w:sz w:val="24"/>
          <w:szCs w:val="24"/>
          <w:highlight w:val="none"/>
        </w:rPr>
        <w:t>除竞争性磋商文件中有特殊要求外，响应文件中所使用的计量单位，应采用中华人民共和国法定计量单位。</w:t>
      </w:r>
    </w:p>
    <w:p>
      <w:pPr>
        <w:spacing w:line="360" w:lineRule="auto"/>
        <w:ind w:firstLine="482" w:firstLineChars="200"/>
        <w:rPr>
          <w:b/>
          <w:bCs/>
          <w:color w:val="auto"/>
          <w:sz w:val="24"/>
          <w:szCs w:val="24"/>
          <w:highlight w:val="none"/>
        </w:rPr>
      </w:pPr>
      <w:bookmarkStart w:id="80" w:name="10.响应文件构成"/>
      <w:bookmarkEnd w:id="80"/>
      <w:r>
        <w:rPr>
          <w:rFonts w:hint="eastAsia"/>
          <w:b/>
          <w:bCs/>
          <w:color w:val="auto"/>
          <w:sz w:val="24"/>
          <w:szCs w:val="24"/>
          <w:highlight w:val="none"/>
          <w:lang w:val="en-US"/>
        </w:rPr>
        <w:t>10.</w:t>
      </w:r>
      <w:r>
        <w:rPr>
          <w:rFonts w:hint="eastAsia"/>
          <w:b/>
          <w:bCs/>
          <w:color w:val="auto"/>
          <w:sz w:val="24"/>
          <w:szCs w:val="24"/>
          <w:highlight w:val="none"/>
        </w:rPr>
        <w:t>响应文件构成</w:t>
      </w:r>
    </w:p>
    <w:p>
      <w:pPr>
        <w:spacing w:line="360" w:lineRule="auto"/>
        <w:ind w:firstLine="480" w:firstLineChars="200"/>
        <w:rPr>
          <w:color w:val="auto"/>
          <w:sz w:val="24"/>
          <w:szCs w:val="24"/>
          <w:highlight w:val="none"/>
        </w:rPr>
      </w:pPr>
      <w:r>
        <w:rPr>
          <w:rFonts w:hint="eastAsia"/>
          <w:color w:val="auto"/>
          <w:sz w:val="24"/>
          <w:szCs w:val="24"/>
          <w:highlight w:val="none"/>
          <w:lang w:val="en-US"/>
        </w:rPr>
        <w:t>10.1.</w:t>
      </w:r>
      <w:r>
        <w:rPr>
          <w:rFonts w:hint="eastAsia"/>
          <w:color w:val="auto"/>
          <w:sz w:val="24"/>
          <w:szCs w:val="24"/>
          <w:highlight w:val="none"/>
        </w:rPr>
        <w:t>供应商应完整地按竞争性磋商文件提供的响应文件格式及要求编写响应文件。竞争性磋商文件中资格审查和符合性审查涉及的事项不满足竞争性磋商文件要求的，其响应文件将被认定为无效。</w:t>
      </w:r>
    </w:p>
    <w:p>
      <w:pPr>
        <w:spacing w:line="360" w:lineRule="auto"/>
        <w:ind w:firstLine="480" w:firstLineChars="200"/>
        <w:rPr>
          <w:color w:val="auto"/>
          <w:sz w:val="24"/>
          <w:szCs w:val="24"/>
          <w:highlight w:val="none"/>
        </w:rPr>
      </w:pPr>
      <w:r>
        <w:rPr>
          <w:rFonts w:hint="eastAsia"/>
          <w:color w:val="auto"/>
          <w:sz w:val="24"/>
          <w:szCs w:val="24"/>
          <w:highlight w:val="none"/>
          <w:lang w:val="en-US"/>
        </w:rPr>
        <w:t>10.2</w:t>
      </w:r>
      <w:r>
        <w:rPr>
          <w:rFonts w:hint="eastAsia"/>
          <w:color w:val="auto"/>
          <w:sz w:val="24"/>
          <w:szCs w:val="24"/>
          <w:highlight w:val="none"/>
        </w:rPr>
        <w:t>上述文件应按照竞争性磋商文件规定签署和盖公章或经公章授权的其他单位章（以下统称公章）。采用公章授权方式的，应当在响应文件第一部分附公章授权书（格式自定）。</w:t>
      </w:r>
    </w:p>
    <w:p>
      <w:pPr>
        <w:spacing w:line="360" w:lineRule="auto"/>
        <w:ind w:firstLine="480" w:firstLineChars="200"/>
        <w:rPr>
          <w:color w:val="auto"/>
          <w:sz w:val="24"/>
          <w:szCs w:val="24"/>
          <w:highlight w:val="none"/>
        </w:rPr>
      </w:pPr>
      <w:r>
        <w:rPr>
          <w:rFonts w:hint="eastAsia"/>
          <w:color w:val="auto"/>
          <w:sz w:val="24"/>
          <w:szCs w:val="24"/>
          <w:highlight w:val="none"/>
          <w:lang w:val="en-US"/>
        </w:rPr>
        <w:t>10.3</w:t>
      </w:r>
      <w:r>
        <w:rPr>
          <w:rFonts w:hint="eastAsia"/>
          <w:color w:val="auto"/>
          <w:sz w:val="24"/>
          <w:szCs w:val="24"/>
          <w:highlight w:val="none"/>
        </w:rPr>
        <w:t>供应商应提交证明文件，证明其提供内容符合响应文件规定。该证明文件是响应文件的一部分。</w:t>
      </w:r>
    </w:p>
    <w:p>
      <w:pPr>
        <w:spacing w:line="360" w:lineRule="auto"/>
        <w:ind w:firstLine="480" w:firstLineChars="200"/>
        <w:outlineLvl w:val="1"/>
        <w:rPr>
          <w:color w:val="auto"/>
          <w:sz w:val="24"/>
          <w:szCs w:val="24"/>
          <w:highlight w:val="none"/>
        </w:rPr>
      </w:pPr>
      <w:bookmarkStart w:id="81" w:name="_Toc22646"/>
      <w:bookmarkStart w:id="82" w:name="_Toc6839"/>
      <w:bookmarkStart w:id="83" w:name="_Toc5531"/>
      <w:bookmarkStart w:id="84" w:name="_Toc14164"/>
      <w:r>
        <w:rPr>
          <w:rFonts w:hint="eastAsia"/>
          <w:color w:val="auto"/>
          <w:sz w:val="24"/>
          <w:szCs w:val="24"/>
          <w:highlight w:val="none"/>
          <w:lang w:val="en-US"/>
        </w:rPr>
        <w:t>10.4</w:t>
      </w:r>
      <w:r>
        <w:rPr>
          <w:rFonts w:hint="eastAsia"/>
          <w:color w:val="auto"/>
          <w:sz w:val="24"/>
          <w:szCs w:val="24"/>
          <w:highlight w:val="none"/>
        </w:rPr>
        <w:t>上款所述的证明文件，可以是文字资料、图纸和数据等。</w:t>
      </w:r>
      <w:bookmarkEnd w:id="81"/>
      <w:bookmarkEnd w:id="82"/>
      <w:bookmarkEnd w:id="83"/>
      <w:bookmarkEnd w:id="84"/>
    </w:p>
    <w:p>
      <w:pPr>
        <w:spacing w:line="360" w:lineRule="auto"/>
        <w:ind w:firstLine="480" w:firstLineChars="200"/>
        <w:rPr>
          <w:color w:val="auto"/>
          <w:sz w:val="24"/>
          <w:szCs w:val="24"/>
          <w:highlight w:val="none"/>
        </w:rPr>
      </w:pPr>
      <w:r>
        <w:rPr>
          <w:rFonts w:hint="eastAsia"/>
          <w:color w:val="auto"/>
          <w:sz w:val="24"/>
          <w:szCs w:val="24"/>
          <w:highlight w:val="none"/>
          <w:lang w:val="en-US"/>
        </w:rPr>
        <w:t>10.5</w:t>
      </w:r>
      <w:r>
        <w:rPr>
          <w:rFonts w:hint="eastAsia"/>
          <w:color w:val="auto"/>
          <w:sz w:val="24"/>
          <w:szCs w:val="24"/>
          <w:highlight w:val="none"/>
          <w:lang w:val="en-US" w:eastAsia="zh-CN"/>
        </w:rPr>
        <w:t>（电子标）</w:t>
      </w:r>
      <w:r>
        <w:rPr>
          <w:rFonts w:hint="eastAsia"/>
          <w:color w:val="auto"/>
          <w:sz w:val="24"/>
          <w:szCs w:val="24"/>
          <w:highlight w:val="none"/>
        </w:rPr>
        <w:t>本项目采用电子响应文件，须使用用于证明供应商身份的单位电子签名的实名认证证书和用于供应商编制电子响应文件的响应文件制作软件。</w:t>
      </w:r>
    </w:p>
    <w:p>
      <w:pPr>
        <w:spacing w:line="360" w:lineRule="auto"/>
        <w:ind w:firstLine="480" w:firstLineChars="200"/>
        <w:rPr>
          <w:color w:val="auto"/>
          <w:sz w:val="24"/>
          <w:szCs w:val="24"/>
          <w:highlight w:val="none"/>
        </w:rPr>
      </w:pPr>
      <w:r>
        <w:rPr>
          <w:rFonts w:hint="eastAsia"/>
          <w:color w:val="auto"/>
          <w:sz w:val="24"/>
          <w:szCs w:val="24"/>
          <w:highlight w:val="none"/>
        </w:rPr>
        <w:t xml:space="preserve">申 请 办 理 实 名 认 证 证 书 的 方 式 详 见 </w:t>
      </w:r>
      <w:r>
        <w:rPr>
          <w:rFonts w:hint="eastAsia"/>
          <w:b/>
          <w:bCs/>
          <w:color w:val="auto"/>
          <w:sz w:val="24"/>
          <w:szCs w:val="24"/>
          <w:highlight w:val="none"/>
        </w:rPr>
        <w:t>临 沂 市 公 共 资 源 交 易 中 心 网（</w:t>
      </w:r>
      <w:r>
        <w:rPr>
          <w:b/>
          <w:bCs/>
          <w:color w:val="auto"/>
          <w:highlight w:val="none"/>
        </w:rPr>
        <w:fldChar w:fldCharType="begin"/>
      </w:r>
      <w:r>
        <w:rPr>
          <w:b/>
          <w:bCs/>
          <w:color w:val="auto"/>
          <w:highlight w:val="none"/>
        </w:rPr>
        <w:instrText xml:space="preserve"> HYPERLINK "http://ggzyjy.linyi.gov.cn/linyi/" \h </w:instrText>
      </w:r>
      <w:r>
        <w:rPr>
          <w:b/>
          <w:bCs/>
          <w:color w:val="auto"/>
          <w:highlight w:val="none"/>
        </w:rPr>
        <w:fldChar w:fldCharType="separate"/>
      </w:r>
      <w:r>
        <w:rPr>
          <w:rFonts w:hint="eastAsia"/>
          <w:b/>
          <w:bCs/>
          <w:color w:val="auto"/>
          <w:sz w:val="24"/>
          <w:szCs w:val="24"/>
          <w:highlight w:val="none"/>
        </w:rPr>
        <w:t>http://ggzyjy.linyi.gov.cn/linyi/</w:t>
      </w:r>
      <w:r>
        <w:rPr>
          <w:rFonts w:hint="eastAsia"/>
          <w:b/>
          <w:bCs/>
          <w:color w:val="auto"/>
          <w:sz w:val="24"/>
          <w:szCs w:val="24"/>
          <w:highlight w:val="none"/>
        </w:rPr>
        <w:fldChar w:fldCharType="end"/>
      </w:r>
      <w:r>
        <w:rPr>
          <w:rFonts w:hint="eastAsia"/>
          <w:b/>
          <w:bCs/>
          <w:color w:val="auto"/>
          <w:sz w:val="24"/>
          <w:szCs w:val="24"/>
          <w:highlight w:val="none"/>
        </w:rPr>
        <w:t>）</w:t>
      </w:r>
      <w:r>
        <w:rPr>
          <w:rFonts w:hint="eastAsia"/>
          <w:color w:val="auto"/>
          <w:sz w:val="24"/>
          <w:szCs w:val="24"/>
          <w:highlight w:val="none"/>
        </w:rPr>
        <w:t>“公告通知”栏目。</w:t>
      </w:r>
    </w:p>
    <w:p>
      <w:pPr>
        <w:spacing w:line="360" w:lineRule="auto"/>
        <w:ind w:firstLine="480" w:firstLineChars="200"/>
        <w:rPr>
          <w:color w:val="auto"/>
          <w:sz w:val="24"/>
          <w:szCs w:val="24"/>
          <w:highlight w:val="none"/>
        </w:rPr>
      </w:pPr>
      <w:r>
        <w:rPr>
          <w:rFonts w:hint="eastAsia"/>
          <w:color w:val="auto"/>
          <w:sz w:val="24"/>
          <w:szCs w:val="24"/>
          <w:highlight w:val="none"/>
        </w:rPr>
        <w:t xml:space="preserve">电 子 响 应 文 件 基 本 流 程 ： </w:t>
      </w:r>
      <w:r>
        <w:rPr>
          <w:rFonts w:hint="eastAsia"/>
          <w:b/>
          <w:bCs/>
          <w:color w:val="auto"/>
          <w:sz w:val="24"/>
          <w:szCs w:val="24"/>
          <w:highlight w:val="none"/>
        </w:rPr>
        <w:t>登 录 临 沂 市 公 共 资 源 交 易 中 心 网</w:t>
      </w:r>
      <w:r>
        <w:rPr>
          <w:b/>
          <w:bCs/>
          <w:color w:val="auto"/>
          <w:highlight w:val="none"/>
        </w:rPr>
        <w:fldChar w:fldCharType="begin"/>
      </w:r>
      <w:r>
        <w:rPr>
          <w:b/>
          <w:bCs/>
          <w:color w:val="auto"/>
          <w:highlight w:val="none"/>
        </w:rPr>
        <w:instrText xml:space="preserve"> HYPERLINK "http://ggzyjy.linyi.gov.cn/linyi/" \h </w:instrText>
      </w:r>
      <w:r>
        <w:rPr>
          <w:b/>
          <w:bCs/>
          <w:color w:val="auto"/>
          <w:highlight w:val="none"/>
        </w:rPr>
        <w:fldChar w:fldCharType="separate"/>
      </w:r>
      <w:r>
        <w:rPr>
          <w:rFonts w:hint="eastAsia"/>
          <w:b/>
          <w:bCs/>
          <w:color w:val="auto"/>
          <w:sz w:val="24"/>
          <w:szCs w:val="24"/>
          <w:highlight w:val="none"/>
        </w:rPr>
        <w:t>（http://ggzyjy.linyi.gov.cn/linyi/</w:t>
      </w:r>
      <w:r>
        <w:rPr>
          <w:rFonts w:hint="eastAsia"/>
          <w:b/>
          <w:bCs/>
          <w:color w:val="auto"/>
          <w:sz w:val="24"/>
          <w:szCs w:val="24"/>
          <w:highlight w:val="none"/>
        </w:rPr>
        <w:fldChar w:fldCharType="end"/>
      </w:r>
      <w:r>
        <w:rPr>
          <w:rFonts w:hint="eastAsia"/>
          <w:b/>
          <w:bCs/>
          <w:color w:val="auto"/>
          <w:sz w:val="24"/>
          <w:szCs w:val="24"/>
          <w:highlight w:val="none"/>
        </w:rPr>
        <w:t>）“电子交易系统”</w:t>
      </w:r>
      <w:r>
        <w:rPr>
          <w:rFonts w:hint="eastAsia"/>
          <w:b w:val="0"/>
          <w:bCs w:val="0"/>
          <w:color w:val="auto"/>
          <w:sz w:val="24"/>
          <w:szCs w:val="24"/>
          <w:highlight w:val="none"/>
        </w:rPr>
        <w:t>，</w:t>
      </w:r>
      <w:r>
        <w:rPr>
          <w:rFonts w:hint="eastAsia"/>
          <w:color w:val="auto"/>
          <w:sz w:val="24"/>
          <w:szCs w:val="24"/>
          <w:highlight w:val="none"/>
        </w:rPr>
        <w:t>下载电子响应文件操作手册及响应文件制作软件，按照操作手册安装响应文件制作软件，使用实名认证证书打开响应文件制作软件，按提示和操作手册导入电子竞争性磋商文件，编制电子响应文件，使用实名认证证书对电子响应文件进行签章、加密，生成的电子响应文件（扩展名为.LYTF 文件，不得对已生成的响应文件进行任何修改、压缩、解压等操作），于提交响应文件截止时间前自行上传至</w:t>
      </w:r>
      <w:r>
        <w:rPr>
          <w:rFonts w:hint="eastAsia"/>
          <w:color w:val="auto"/>
          <w:sz w:val="24"/>
          <w:szCs w:val="24"/>
          <w:highlight w:val="none"/>
          <w:u w:val="single"/>
        </w:rPr>
        <w:t>临沂市公共资源</w:t>
      </w:r>
      <w:r>
        <w:rPr>
          <w:rFonts w:hint="eastAsia"/>
          <w:color w:val="auto"/>
          <w:sz w:val="24"/>
          <w:szCs w:val="24"/>
          <w:highlight w:val="none"/>
        </w:rPr>
        <w:t>电子交易系统。</w:t>
      </w:r>
    </w:p>
    <w:p>
      <w:pPr>
        <w:spacing w:line="360" w:lineRule="auto"/>
        <w:ind w:firstLine="482" w:firstLineChars="200"/>
        <w:rPr>
          <w:b/>
          <w:bCs/>
          <w:color w:val="auto"/>
          <w:sz w:val="24"/>
          <w:szCs w:val="24"/>
          <w:highlight w:val="none"/>
        </w:rPr>
      </w:pPr>
      <w:r>
        <w:rPr>
          <w:rFonts w:hint="eastAsia"/>
          <w:b/>
          <w:bCs/>
          <w:color w:val="auto"/>
          <w:sz w:val="24"/>
          <w:szCs w:val="24"/>
          <w:highlight w:val="none"/>
          <w:lang w:val="en-US"/>
        </w:rPr>
        <w:t>10.5.1</w:t>
      </w:r>
      <w:r>
        <w:rPr>
          <w:rFonts w:hint="eastAsia"/>
          <w:b/>
          <w:bCs/>
          <w:color w:val="auto"/>
          <w:sz w:val="24"/>
          <w:szCs w:val="24"/>
          <w:highlight w:val="none"/>
        </w:rPr>
        <w:t>本项目不需提供纸质投标文件，供应商应在临沂市公共资源交易系统内制作电子版投标文件，详细内容请见电子化招标投标通知。投标人手册请到临沂市公共资源交易网下载。</w:t>
      </w:r>
    </w:p>
    <w:p>
      <w:pPr>
        <w:spacing w:line="360" w:lineRule="auto"/>
        <w:ind w:firstLine="482" w:firstLineChars="200"/>
        <w:rPr>
          <w:b/>
          <w:bCs/>
          <w:color w:val="auto"/>
          <w:sz w:val="24"/>
          <w:szCs w:val="24"/>
          <w:highlight w:val="none"/>
        </w:rPr>
      </w:pPr>
      <w:r>
        <w:rPr>
          <w:rFonts w:hint="eastAsia"/>
          <w:b/>
          <w:bCs/>
          <w:color w:val="auto"/>
          <w:sz w:val="24"/>
          <w:szCs w:val="24"/>
          <w:highlight w:val="none"/>
        </w:rPr>
        <w:t>具体要求请各潜在供应商自行登录“临沂市公共资源交易中心 ”网站查看相关通知。本项目实行计算机辅助评标，电子投标文件制作工具下载 ：投标文件制作工具( 临沂版)，使用 CA 锁进行电子投标文件制作加解密。</w:t>
      </w:r>
    </w:p>
    <w:p>
      <w:pPr>
        <w:spacing w:line="360" w:lineRule="auto"/>
        <w:ind w:firstLine="482" w:firstLineChars="200"/>
        <w:rPr>
          <w:b/>
          <w:bCs/>
          <w:color w:val="auto"/>
          <w:sz w:val="24"/>
          <w:szCs w:val="24"/>
          <w:highlight w:val="none"/>
        </w:rPr>
      </w:pPr>
      <w:r>
        <w:rPr>
          <w:rFonts w:hint="eastAsia"/>
          <w:b/>
          <w:bCs/>
          <w:color w:val="auto"/>
          <w:sz w:val="24"/>
          <w:szCs w:val="24"/>
          <w:highlight w:val="none"/>
        </w:rPr>
        <w:t>投标人需要登陆临沂市公共资源交易网 -- 企业用户登录 -- 政府采购项目， 使用 CA 锁从网上下载采购文件，使用电子投标文件制作专用软件制作电子投标文件，并使用 CA 锁进行电子投标文件制作加解密、电子签章等，并于投标截止时间之前将加密版（ LYTF 格式）电子文件上传至电子招投标交易平台。 在电子开评标系统使用过程中，供应商提供的 CA 锁出现解密失败或无法解密的情况，其后果自负。</w:t>
      </w:r>
    </w:p>
    <w:p>
      <w:pPr>
        <w:spacing w:line="360" w:lineRule="auto"/>
        <w:ind w:firstLine="482" w:firstLineChars="200"/>
        <w:rPr>
          <w:b/>
          <w:bCs/>
          <w:color w:val="auto"/>
          <w:sz w:val="24"/>
          <w:szCs w:val="24"/>
          <w:highlight w:val="none"/>
        </w:rPr>
      </w:pPr>
      <w:r>
        <w:rPr>
          <w:rFonts w:hint="eastAsia"/>
          <w:b/>
          <w:bCs/>
          <w:color w:val="auto"/>
          <w:sz w:val="24"/>
          <w:szCs w:val="24"/>
          <w:highlight w:val="none"/>
        </w:rPr>
        <w:t>供应商手册请到临沂市公共资源交易网自行下载。</w:t>
      </w:r>
    </w:p>
    <w:p>
      <w:pPr>
        <w:spacing w:line="360" w:lineRule="auto"/>
        <w:ind w:firstLine="482" w:firstLineChars="200"/>
        <w:rPr>
          <w:b/>
          <w:bCs/>
          <w:color w:val="auto"/>
          <w:sz w:val="24"/>
          <w:szCs w:val="24"/>
          <w:highlight w:val="none"/>
        </w:rPr>
      </w:pPr>
      <w:r>
        <w:rPr>
          <w:rFonts w:hint="eastAsia"/>
          <w:b/>
          <w:bCs/>
          <w:color w:val="auto"/>
          <w:sz w:val="24"/>
          <w:szCs w:val="24"/>
          <w:highlight w:val="none"/>
        </w:rPr>
        <w:t>系统使用技术问题请拨打电话：0539-8770063</w:t>
      </w:r>
      <w:r>
        <w:rPr>
          <w:rFonts w:hint="eastAsia"/>
          <w:b/>
          <w:bCs/>
          <w:color w:val="auto"/>
          <w:sz w:val="24"/>
          <w:szCs w:val="24"/>
          <w:highlight w:val="none"/>
        </w:rPr>
        <w:tab/>
      </w:r>
      <w:r>
        <w:rPr>
          <w:rFonts w:hint="eastAsia"/>
          <w:b/>
          <w:bCs/>
          <w:color w:val="auto"/>
          <w:sz w:val="24"/>
          <w:szCs w:val="24"/>
          <w:highlight w:val="none"/>
        </w:rPr>
        <w:t>0539-8770139</w:t>
      </w:r>
    </w:p>
    <w:p>
      <w:pPr>
        <w:spacing w:line="360" w:lineRule="auto"/>
        <w:ind w:firstLine="482" w:firstLineChars="200"/>
        <w:rPr>
          <w:b/>
          <w:bCs/>
          <w:color w:val="auto"/>
          <w:sz w:val="24"/>
          <w:szCs w:val="24"/>
          <w:highlight w:val="none"/>
        </w:rPr>
      </w:pPr>
      <w:r>
        <w:rPr>
          <w:rFonts w:hint="eastAsia"/>
          <w:b/>
          <w:bCs/>
          <w:color w:val="auto"/>
          <w:sz w:val="24"/>
          <w:szCs w:val="24"/>
          <w:highlight w:val="none"/>
        </w:rPr>
        <w:t>若投标人实名认证证书即将到期或已过期，请确保在开标时实名认证证书在有效期内，投标人实名认证证书在续期后务必在开标前重新制作和上传电子投标文件， 否则将造成电子投标文件无法进行解密。</w:t>
      </w:r>
    </w:p>
    <w:p>
      <w:pPr>
        <w:spacing w:line="360" w:lineRule="auto"/>
        <w:ind w:firstLine="482" w:firstLineChars="200"/>
        <w:rPr>
          <w:b/>
          <w:bCs/>
          <w:color w:val="auto"/>
          <w:sz w:val="24"/>
          <w:szCs w:val="24"/>
          <w:highlight w:val="none"/>
        </w:rPr>
        <w:sectPr>
          <w:pgSz w:w="11930" w:h="16840"/>
          <w:pgMar w:top="1520" w:right="1417" w:bottom="900" w:left="1417" w:header="0" w:footer="719" w:gutter="0"/>
          <w:cols w:space="720" w:num="1"/>
        </w:sectPr>
      </w:pPr>
    </w:p>
    <w:p>
      <w:pPr>
        <w:spacing w:line="360" w:lineRule="auto"/>
        <w:ind w:firstLine="482" w:firstLineChars="200"/>
        <w:rPr>
          <w:b/>
          <w:bCs/>
          <w:color w:val="auto"/>
          <w:sz w:val="24"/>
          <w:szCs w:val="24"/>
          <w:highlight w:val="none"/>
        </w:rPr>
      </w:pPr>
      <w:r>
        <w:rPr>
          <w:rFonts w:hint="eastAsia"/>
          <w:b/>
          <w:bCs/>
          <w:color w:val="auto"/>
          <w:sz w:val="24"/>
          <w:szCs w:val="24"/>
          <w:highlight w:val="none"/>
        </w:rPr>
        <w:t>因投标人以下原因，投标将被拒绝：</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1</w:t>
      </w:r>
      <w:r>
        <w:rPr>
          <w:rFonts w:hint="eastAsia"/>
          <w:b/>
          <w:bCs/>
          <w:color w:val="auto"/>
          <w:sz w:val="24"/>
          <w:szCs w:val="24"/>
          <w:highlight w:val="none"/>
        </w:rPr>
        <w:t>）投标截止时间前，投标人未成功上传投标文件的；</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2</w:t>
      </w:r>
      <w:r>
        <w:rPr>
          <w:rFonts w:hint="eastAsia"/>
          <w:b/>
          <w:bCs/>
          <w:color w:val="auto"/>
          <w:sz w:val="24"/>
          <w:szCs w:val="24"/>
          <w:highlight w:val="none"/>
        </w:rPr>
        <w:t>）对已生成的电子投标文件进行破解、修改、压缩等不当操作，或自备的解密电脑环境配置不当等原因导致无法解密的；</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3</w:t>
      </w:r>
      <w:r>
        <w:rPr>
          <w:rFonts w:hint="eastAsia"/>
          <w:b/>
          <w:bCs/>
          <w:color w:val="auto"/>
          <w:sz w:val="24"/>
          <w:szCs w:val="24"/>
          <w:highlight w:val="none"/>
        </w:rPr>
        <w:t>）开标时，实名认证证书过期失效、密码丢失，或者投标人实名认证证书在续期后未在开标前重新制作和上传电子投标文件，导致无法解密的。</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4</w:t>
      </w:r>
      <w:r>
        <w:rPr>
          <w:rFonts w:hint="eastAsia"/>
          <w:b/>
          <w:bCs/>
          <w:color w:val="auto"/>
          <w:sz w:val="24"/>
          <w:szCs w:val="24"/>
          <w:highlight w:val="none"/>
        </w:rPr>
        <w:t>）投标截止时间后，投标人在规定时长内未能成功解密的。</w:t>
      </w:r>
    </w:p>
    <w:p>
      <w:pPr>
        <w:spacing w:line="360" w:lineRule="auto"/>
        <w:ind w:firstLine="482" w:firstLineChars="200"/>
        <w:rPr>
          <w:b/>
          <w:bCs/>
          <w:color w:val="auto"/>
          <w:sz w:val="24"/>
          <w:szCs w:val="24"/>
          <w:highlight w:val="none"/>
        </w:rPr>
      </w:pPr>
      <w:r>
        <w:rPr>
          <w:rFonts w:hint="eastAsia"/>
          <w:b/>
          <w:bCs/>
          <w:color w:val="auto"/>
          <w:sz w:val="24"/>
          <w:szCs w:val="24"/>
          <w:highlight w:val="none"/>
          <w:lang w:val="en-US"/>
        </w:rPr>
        <w:t>10.5.2</w:t>
      </w:r>
      <w:r>
        <w:rPr>
          <w:rFonts w:hint="eastAsia"/>
          <w:b/>
          <w:bCs/>
          <w:color w:val="auto"/>
          <w:sz w:val="24"/>
          <w:szCs w:val="24"/>
          <w:highlight w:val="none"/>
        </w:rPr>
        <w:t>本项目实行“不见面”开标，各投标人不需到开标现场递交磋商文件。投标人需在开标前（建议至少提前半小时）登录临沂市公共资源交易中心网站--电子交易系统--不见面开标系统（</w:t>
      </w:r>
      <w:r>
        <w:rPr>
          <w:color w:val="auto"/>
          <w:highlight w:val="none"/>
        </w:rPr>
        <w:fldChar w:fldCharType="begin"/>
      </w:r>
      <w:r>
        <w:rPr>
          <w:color w:val="auto"/>
          <w:highlight w:val="none"/>
        </w:rPr>
        <w:instrText xml:space="preserve"> HYPERLINK "http://ggzyjy.linyi.gov.cn/BidOpening/bidopeninghallaction/hall/login" \h </w:instrText>
      </w:r>
      <w:r>
        <w:rPr>
          <w:color w:val="auto"/>
          <w:highlight w:val="none"/>
        </w:rPr>
        <w:fldChar w:fldCharType="separate"/>
      </w:r>
      <w:r>
        <w:rPr>
          <w:rFonts w:hint="eastAsia"/>
          <w:b/>
          <w:bCs/>
          <w:color w:val="auto"/>
          <w:sz w:val="24"/>
          <w:szCs w:val="24"/>
          <w:highlight w:val="none"/>
        </w:rPr>
        <w:t>http://ggzyjy.linyi.gov.cn/BidOpening/bidopeninghallaction/hall/login</w:t>
      </w:r>
      <w:r>
        <w:rPr>
          <w:rFonts w:hint="eastAsia"/>
          <w:b/>
          <w:bCs/>
          <w:color w:val="auto"/>
          <w:sz w:val="24"/>
          <w:szCs w:val="24"/>
          <w:highlight w:val="none"/>
        </w:rPr>
        <w:fldChar w:fldCharType="end"/>
      </w:r>
      <w:r>
        <w:rPr>
          <w:rFonts w:hint="eastAsia"/>
          <w:b/>
          <w:bCs/>
          <w:color w:val="auto"/>
          <w:sz w:val="24"/>
          <w:szCs w:val="24"/>
          <w:highlight w:val="none"/>
        </w:rPr>
        <w:t>）-进行签到以及对投标文件进行解密，具体操作流程详见临沂市公共资源交易中心网站, “办事指南”中“临沂市不见面开标及远程评标操作手册"下载“不见面开标投标人操作手册”并按照其要求，在开标时做好相关准备工作 。因操作人不按操作规程、不熟悉开标系统由此造成开标不成功的后果由投标人自行承担。</w:t>
      </w:r>
    </w:p>
    <w:p>
      <w:pPr>
        <w:spacing w:line="360" w:lineRule="auto"/>
        <w:ind w:firstLine="482" w:firstLineChars="200"/>
        <w:rPr>
          <w:b/>
          <w:bCs/>
          <w:color w:val="auto"/>
          <w:sz w:val="24"/>
          <w:szCs w:val="24"/>
          <w:highlight w:val="none"/>
        </w:rPr>
      </w:pPr>
      <w:r>
        <w:rPr>
          <w:rFonts w:hint="eastAsia"/>
          <w:b/>
          <w:bCs/>
          <w:color w:val="auto"/>
          <w:sz w:val="24"/>
          <w:szCs w:val="24"/>
          <w:highlight w:val="none"/>
        </w:rPr>
        <w:t>投标人基本操作流程如下：登录开标大厅（选择投标人身份）--进入本项目-- 点击我已阅读--投标人签到（输入信息显示签到成功--点击确定）--开标时间截止后进行投标文件解密（解密时长为投标截止时间后</w:t>
      </w:r>
      <w:r>
        <w:rPr>
          <w:rFonts w:hint="eastAsia"/>
          <w:b/>
          <w:bCs/>
          <w:color w:val="auto"/>
          <w:sz w:val="24"/>
          <w:szCs w:val="24"/>
          <w:highlight w:val="none"/>
          <w:lang w:eastAsia="zh-CN"/>
        </w:rPr>
        <w:t>十分钟</w:t>
      </w:r>
      <w:r>
        <w:rPr>
          <w:rFonts w:hint="eastAsia"/>
          <w:b/>
          <w:bCs/>
          <w:color w:val="auto"/>
          <w:sz w:val="24"/>
          <w:szCs w:val="24"/>
          <w:highlight w:val="none"/>
        </w:rPr>
        <w:t>以内，务必在规定的时间内解密）。</w:t>
      </w:r>
    </w:p>
    <w:p>
      <w:pPr>
        <w:spacing w:line="360" w:lineRule="auto"/>
        <w:ind w:firstLine="482" w:firstLineChars="200"/>
        <w:rPr>
          <w:b/>
          <w:bCs/>
          <w:color w:val="auto"/>
          <w:sz w:val="24"/>
          <w:szCs w:val="24"/>
          <w:highlight w:val="none"/>
        </w:rPr>
      </w:pPr>
      <w:r>
        <w:rPr>
          <w:rFonts w:hint="eastAsia"/>
          <w:b/>
          <w:bCs/>
          <w:color w:val="auto"/>
          <w:sz w:val="24"/>
          <w:szCs w:val="24"/>
          <w:highlight w:val="none"/>
        </w:rPr>
        <w:t>注意事项：</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1</w:t>
      </w:r>
      <w:r>
        <w:rPr>
          <w:rFonts w:hint="eastAsia"/>
          <w:b/>
          <w:bCs/>
          <w:color w:val="auto"/>
          <w:sz w:val="24"/>
          <w:szCs w:val="24"/>
          <w:highlight w:val="none"/>
        </w:rPr>
        <w:t>）投标人必须在开标前（建议至少提前半小时）登录网上不见面开标系统进行电子签到。</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2</w:t>
      </w:r>
      <w:r>
        <w:rPr>
          <w:rFonts w:hint="eastAsia"/>
          <w:b/>
          <w:bCs/>
          <w:color w:val="auto"/>
          <w:sz w:val="24"/>
          <w:szCs w:val="24"/>
          <w:highlight w:val="none"/>
        </w:rPr>
        <w:t>）开标时，投标人可在系统内观看开标过程。</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3</w:t>
      </w:r>
      <w:r>
        <w:rPr>
          <w:rFonts w:hint="eastAsia"/>
          <w:b/>
          <w:bCs/>
          <w:color w:val="auto"/>
          <w:sz w:val="24"/>
          <w:szCs w:val="24"/>
          <w:highlight w:val="none"/>
        </w:rPr>
        <w:t>）各投标人须于投标截止时间之前将加密版电子投标文件上传至电子招投标交易平台，过时视为投标文件未送达。</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4</w:t>
      </w:r>
      <w:r>
        <w:rPr>
          <w:rFonts w:hint="eastAsia"/>
          <w:b/>
          <w:bCs/>
          <w:color w:val="auto"/>
          <w:sz w:val="24"/>
          <w:szCs w:val="24"/>
          <w:highlight w:val="none"/>
        </w:rPr>
        <w:t>）未在规定时间内解密的，其投标文件将被退回，视为无效标。（因电子开标系统本身原因等不可抗力原因除外）。</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5</w:t>
      </w:r>
      <w:r>
        <w:rPr>
          <w:rFonts w:hint="eastAsia"/>
          <w:b/>
          <w:bCs/>
          <w:color w:val="auto"/>
          <w:sz w:val="24"/>
          <w:szCs w:val="24"/>
          <w:highlight w:val="none"/>
        </w:rPr>
        <w:t>）投标人可自行查看唱标信息。</w:t>
      </w:r>
    </w:p>
    <w:p>
      <w:pPr>
        <w:spacing w:line="360" w:lineRule="auto"/>
        <w:ind w:firstLine="482" w:firstLineChars="200"/>
        <w:rPr>
          <w:b/>
          <w:bCs/>
          <w:color w:val="auto"/>
          <w:sz w:val="24"/>
          <w:szCs w:val="24"/>
          <w:highlight w:val="none"/>
        </w:rPr>
      </w:pPr>
      <w:r>
        <w:rPr>
          <w:rFonts w:hint="eastAsia"/>
          <w:b/>
          <w:bCs/>
          <w:color w:val="auto"/>
          <w:sz w:val="24"/>
          <w:szCs w:val="24"/>
          <w:highlight w:val="none"/>
        </w:rPr>
        <w:t>（</w:t>
      </w:r>
      <w:r>
        <w:rPr>
          <w:rFonts w:hint="eastAsia"/>
          <w:b/>
          <w:bCs/>
          <w:color w:val="auto"/>
          <w:sz w:val="24"/>
          <w:szCs w:val="24"/>
          <w:highlight w:val="none"/>
          <w:lang w:val="en-US"/>
        </w:rPr>
        <w:t>6</w:t>
      </w:r>
      <w:r>
        <w:rPr>
          <w:rFonts w:hint="eastAsia"/>
          <w:b/>
          <w:bCs/>
          <w:color w:val="auto"/>
          <w:sz w:val="24"/>
          <w:szCs w:val="24"/>
          <w:highlight w:val="none"/>
        </w:rPr>
        <w:t>）投标人务必按照网上不见面开标操作手册的要求设置参与网上不见面开标的电脑环境，若因投标人自己的原因，如电脑环境未按要求设置导致签到失败、解密失败或无法解密等，视为该投标人自动放弃投标，后果由投标人自行承担。</w:t>
      </w:r>
    </w:p>
    <w:p>
      <w:pPr>
        <w:autoSpaceDE/>
        <w:autoSpaceDN/>
        <w:spacing w:line="360" w:lineRule="auto"/>
        <w:ind w:firstLine="482" w:firstLineChars="200"/>
        <w:rPr>
          <w:b/>
          <w:bCs/>
          <w:color w:val="auto"/>
          <w:kern w:val="1"/>
          <w:sz w:val="24"/>
          <w:szCs w:val="20"/>
          <w:highlight w:val="none"/>
          <w:lang w:val="en-US"/>
        </w:rPr>
      </w:pPr>
      <w:r>
        <w:rPr>
          <w:rFonts w:hint="eastAsia"/>
          <w:b/>
          <w:bCs/>
          <w:color w:val="auto"/>
          <w:kern w:val="1"/>
          <w:sz w:val="24"/>
          <w:szCs w:val="20"/>
          <w:highlight w:val="none"/>
        </w:rPr>
        <w:t>特别提示：</w:t>
      </w:r>
      <w:r>
        <w:rPr>
          <w:rFonts w:hint="eastAsia"/>
          <w:b/>
          <w:bCs/>
          <w:color w:val="auto"/>
          <w:kern w:val="1"/>
          <w:sz w:val="24"/>
          <w:szCs w:val="20"/>
          <w:highlight w:val="none"/>
          <w:lang w:val="en-US"/>
        </w:rPr>
        <w:t>为降低企业制度性成本，提升公共资源交易服务水平，进一步优化营商环境，根据《山东省深化公共资源交易平台整合共享实施方案》（鲁政办字〔2019〕209号）和《关于积极应对疫情创新做好招投标工作保障经济平稳运行的通知》（发改电〔2020〕170号）要求，自2021年4月19日起，政府采购类项目启用不见面远程二次（多次）报价功能。评审委员会发起二次（多次）报价指令，各类供应商进行网上在线报价。</w:t>
      </w:r>
      <w:r>
        <w:rPr>
          <w:rFonts w:hint="eastAsia"/>
          <w:b/>
          <w:bCs/>
          <w:color w:val="auto"/>
          <w:kern w:val="1"/>
          <w:sz w:val="24"/>
          <w:szCs w:val="20"/>
          <w:highlight w:val="none"/>
        </w:rPr>
        <w:t>因供应商自身原因，未</w:t>
      </w:r>
      <w:r>
        <w:rPr>
          <w:rFonts w:hint="eastAsia"/>
          <w:b/>
          <w:bCs/>
          <w:color w:val="auto"/>
          <w:kern w:val="1"/>
          <w:sz w:val="24"/>
          <w:szCs w:val="20"/>
          <w:highlight w:val="none"/>
          <w:lang w:val="en-US"/>
        </w:rPr>
        <w:t>在规定时间内</w:t>
      </w:r>
      <w:r>
        <w:rPr>
          <w:rFonts w:hint="eastAsia"/>
          <w:b/>
          <w:bCs/>
          <w:color w:val="auto"/>
          <w:kern w:val="1"/>
          <w:sz w:val="24"/>
          <w:szCs w:val="20"/>
          <w:highlight w:val="none"/>
        </w:rPr>
        <w:t>参加最后报价环节的，视为供应商放弃本项目最后报价的机会，该行为带来的一切后果由供应商自行承担。</w:t>
      </w:r>
      <w:r>
        <w:rPr>
          <w:rFonts w:hint="eastAsia"/>
          <w:b/>
          <w:bCs/>
          <w:color w:val="auto"/>
          <w:kern w:val="1"/>
          <w:sz w:val="24"/>
          <w:szCs w:val="20"/>
          <w:highlight w:val="none"/>
          <w:lang w:val="en-US"/>
        </w:rPr>
        <w:t>具体操作指南详见（http://ggzyjy.linyi.gov.cn/linyi/xwzx/008002/20210415/c4feb8ff-736a-4454-92c4-a9a35a70c024.html）</w:t>
      </w:r>
    </w:p>
    <w:p>
      <w:pPr>
        <w:pStyle w:val="2"/>
        <w:rPr>
          <w:b/>
          <w:bCs/>
          <w:color w:val="auto"/>
          <w:kern w:val="1"/>
          <w:szCs w:val="20"/>
          <w:highlight w:val="none"/>
          <w:lang w:val="en-US"/>
        </w:rPr>
      </w:pPr>
    </w:p>
    <w:p>
      <w:pPr>
        <w:pStyle w:val="32"/>
        <w:ind w:firstLine="482"/>
        <w:rPr>
          <w:rFonts w:hAnsi="宋体" w:cs="宋体"/>
          <w:b/>
          <w:bCs/>
          <w:color w:val="auto"/>
          <w:kern w:val="1"/>
          <w:sz w:val="24"/>
          <w:highlight w:val="none"/>
        </w:rPr>
      </w:pPr>
    </w:p>
    <w:p>
      <w:pPr>
        <w:rPr>
          <w:b/>
          <w:bCs/>
          <w:color w:val="auto"/>
          <w:kern w:val="1"/>
          <w:sz w:val="24"/>
          <w:szCs w:val="20"/>
          <w:highlight w:val="none"/>
          <w:lang w:val="en-US"/>
        </w:rPr>
      </w:pPr>
    </w:p>
    <w:p>
      <w:pPr>
        <w:pStyle w:val="2"/>
        <w:ind w:left="0"/>
        <w:rPr>
          <w:b/>
          <w:bCs/>
          <w:color w:val="auto"/>
          <w:kern w:val="1"/>
          <w:szCs w:val="20"/>
          <w:highlight w:val="none"/>
          <w:lang w:val="en-US"/>
        </w:rPr>
      </w:pPr>
      <w:r>
        <w:rPr>
          <w:rFonts w:hint="eastAsia"/>
          <w:color w:val="auto"/>
          <w:sz w:val="20"/>
          <w:highlight w:val="none"/>
          <w:lang w:val="en-US"/>
        </w:rPr>
        <w:t xml:space="preserve">              </w:t>
      </w:r>
      <w:r>
        <w:rPr>
          <w:color w:val="auto"/>
          <w:sz w:val="20"/>
          <w:highlight w:val="none"/>
          <w:lang w:val="en-US" w:bidi="ar-SA"/>
        </w:rPr>
        <w:drawing>
          <wp:inline distT="0" distB="0" distL="114300" distR="114300">
            <wp:extent cx="5673725" cy="2136140"/>
            <wp:effectExtent l="0" t="0" r="3175" b="1651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a:stretch>
                      <a:fillRect/>
                    </a:stretch>
                  </pic:blipFill>
                  <pic:spPr>
                    <a:xfrm>
                      <a:off x="0" y="0"/>
                      <a:ext cx="5673725" cy="2136140"/>
                    </a:xfrm>
                    <a:prstGeom prst="rect">
                      <a:avLst/>
                    </a:prstGeom>
                    <a:noFill/>
                    <a:ln>
                      <a:noFill/>
                    </a:ln>
                  </pic:spPr>
                </pic:pic>
              </a:graphicData>
            </a:graphic>
          </wp:inline>
        </w:drawing>
      </w:r>
    </w:p>
    <w:p>
      <w:pPr>
        <w:pStyle w:val="32"/>
        <w:ind w:firstLine="482"/>
        <w:rPr>
          <w:rFonts w:hAnsi="宋体" w:cs="宋体"/>
          <w:b/>
          <w:bCs/>
          <w:color w:val="auto"/>
          <w:kern w:val="1"/>
          <w:sz w:val="24"/>
          <w:highlight w:val="none"/>
        </w:rPr>
      </w:pPr>
    </w:p>
    <w:p>
      <w:pPr>
        <w:rPr>
          <w:b/>
          <w:bCs/>
          <w:color w:val="auto"/>
          <w:kern w:val="1"/>
          <w:sz w:val="24"/>
          <w:szCs w:val="20"/>
          <w:highlight w:val="none"/>
          <w:lang w:val="en-US"/>
        </w:rPr>
      </w:pPr>
    </w:p>
    <w:p>
      <w:pPr>
        <w:pStyle w:val="2"/>
        <w:rPr>
          <w:b/>
          <w:bCs/>
          <w:color w:val="auto"/>
          <w:kern w:val="1"/>
          <w:szCs w:val="20"/>
          <w:highlight w:val="none"/>
          <w:lang w:val="en-US"/>
        </w:rPr>
      </w:pPr>
    </w:p>
    <w:p>
      <w:pPr>
        <w:pStyle w:val="32"/>
        <w:ind w:firstLine="482"/>
        <w:rPr>
          <w:rFonts w:hAnsi="宋体" w:cs="宋体"/>
          <w:b/>
          <w:bCs/>
          <w:color w:val="auto"/>
          <w:kern w:val="1"/>
          <w:sz w:val="24"/>
          <w:highlight w:val="none"/>
        </w:rPr>
      </w:pPr>
      <w:r>
        <w:rPr>
          <w:rFonts w:hint="eastAsia" w:hAnsi="宋体" w:cs="宋体"/>
          <w:b/>
          <w:bCs/>
          <w:color w:val="auto"/>
          <w:kern w:val="1"/>
          <w:sz w:val="24"/>
          <w:highlight w:val="none"/>
        </w:rPr>
        <w:t>进入项目后选择新增报价</w:t>
      </w:r>
    </w:p>
    <w:p>
      <w:pPr>
        <w:rPr>
          <w:b/>
          <w:bCs/>
          <w:color w:val="auto"/>
          <w:kern w:val="1"/>
          <w:sz w:val="24"/>
          <w:szCs w:val="20"/>
          <w:highlight w:val="none"/>
          <w:lang w:val="en-US"/>
        </w:rPr>
      </w:pPr>
    </w:p>
    <w:p>
      <w:pPr>
        <w:pStyle w:val="2"/>
        <w:rPr>
          <w:b/>
          <w:bCs/>
          <w:color w:val="auto"/>
          <w:kern w:val="1"/>
          <w:szCs w:val="20"/>
          <w:highlight w:val="none"/>
          <w:lang w:val="en-US"/>
        </w:rPr>
      </w:pPr>
    </w:p>
    <w:p>
      <w:pPr>
        <w:pStyle w:val="32"/>
        <w:ind w:firstLine="400"/>
        <w:rPr>
          <w:color w:val="auto"/>
          <w:sz w:val="20"/>
          <w:highlight w:val="none"/>
        </w:rPr>
      </w:pPr>
      <w:r>
        <w:rPr>
          <w:color w:val="auto"/>
          <w:sz w:val="20"/>
          <w:highlight w:val="none"/>
        </w:rPr>
        <w:drawing>
          <wp:inline distT="0" distB="0" distL="114300" distR="114300">
            <wp:extent cx="5410200" cy="1953260"/>
            <wp:effectExtent l="0" t="0" r="0" b="8890"/>
            <wp:docPr id="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a:picLocks noChangeAspect="1"/>
                    </pic:cNvPicPr>
                  </pic:nvPicPr>
                  <pic:blipFill>
                    <a:blip r:embed="rId11"/>
                    <a:stretch>
                      <a:fillRect/>
                    </a:stretch>
                  </pic:blipFill>
                  <pic:spPr>
                    <a:xfrm>
                      <a:off x="0" y="0"/>
                      <a:ext cx="5410200" cy="1953260"/>
                    </a:xfrm>
                    <a:prstGeom prst="rect">
                      <a:avLst/>
                    </a:prstGeom>
                    <a:noFill/>
                    <a:ln>
                      <a:noFill/>
                    </a:ln>
                  </pic:spPr>
                </pic:pic>
              </a:graphicData>
            </a:graphic>
          </wp:inline>
        </w:drawing>
      </w:r>
    </w:p>
    <w:p>
      <w:pPr>
        <w:rPr>
          <w:color w:val="auto"/>
          <w:sz w:val="20"/>
          <w:highlight w:val="none"/>
        </w:rPr>
      </w:pPr>
    </w:p>
    <w:p>
      <w:pPr>
        <w:pStyle w:val="2"/>
        <w:rPr>
          <w:color w:val="auto"/>
          <w:sz w:val="20"/>
          <w:highlight w:val="none"/>
        </w:rPr>
      </w:pPr>
    </w:p>
    <w:p>
      <w:pPr>
        <w:pStyle w:val="32"/>
        <w:ind w:firstLine="400"/>
        <w:rPr>
          <w:color w:val="auto"/>
          <w:sz w:val="20"/>
          <w:highlight w:val="none"/>
        </w:rPr>
      </w:pPr>
    </w:p>
    <w:p>
      <w:pPr>
        <w:ind w:firstLine="442" w:firstLineChars="200"/>
        <w:rPr>
          <w:rFonts w:hint="eastAsia"/>
          <w:b/>
          <w:bCs/>
          <w:color w:val="auto"/>
          <w:highlight w:val="none"/>
          <w:lang w:val="en-US"/>
        </w:rPr>
      </w:pPr>
    </w:p>
    <w:p>
      <w:pPr>
        <w:ind w:firstLine="442" w:firstLineChars="200"/>
        <w:rPr>
          <w:b/>
          <w:bCs/>
          <w:color w:val="auto"/>
          <w:highlight w:val="none"/>
          <w:lang w:val="en-US"/>
        </w:rPr>
      </w:pPr>
      <w:r>
        <w:rPr>
          <w:rFonts w:hint="eastAsia"/>
          <w:b/>
          <w:bCs/>
          <w:color w:val="auto"/>
          <w:highlight w:val="none"/>
          <w:lang w:val="en-US"/>
        </w:rPr>
        <w:t>在报价截止之前录入二次报价提交</w:t>
      </w:r>
    </w:p>
    <w:p>
      <w:pPr>
        <w:rPr>
          <w:color w:val="auto"/>
          <w:highlight w:val="none"/>
          <w:lang w:val="en-US"/>
        </w:rPr>
      </w:pPr>
    </w:p>
    <w:p>
      <w:pPr>
        <w:spacing w:line="360" w:lineRule="auto"/>
        <w:ind w:left="440" w:leftChars="200" w:firstLine="0" w:firstLineChars="0"/>
        <w:rPr>
          <w:b/>
          <w:bCs/>
          <w:color w:val="auto"/>
          <w:sz w:val="24"/>
          <w:szCs w:val="24"/>
          <w:highlight w:val="none"/>
        </w:rPr>
      </w:pPr>
      <w:r>
        <w:rPr>
          <w:color w:val="auto"/>
          <w:highlight w:val="none"/>
          <w:lang w:val="en-US" w:bidi="ar-SA"/>
        </w:rPr>
        <w:drawing>
          <wp:inline distT="0" distB="0" distL="114300" distR="114300">
            <wp:extent cx="5805170" cy="1601470"/>
            <wp:effectExtent l="0" t="0" r="5080" b="177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5805170" cy="1601470"/>
                    </a:xfrm>
                    <a:prstGeom prst="rect">
                      <a:avLst/>
                    </a:prstGeom>
                    <a:noFill/>
                    <a:ln>
                      <a:noFill/>
                    </a:ln>
                  </pic:spPr>
                </pic:pic>
              </a:graphicData>
            </a:graphic>
          </wp:inline>
        </w:drawing>
      </w:r>
      <w:r>
        <w:rPr>
          <w:rFonts w:hint="eastAsia"/>
          <w:b/>
          <w:bCs/>
          <w:color w:val="auto"/>
          <w:sz w:val="24"/>
          <w:szCs w:val="24"/>
          <w:highlight w:val="none"/>
          <w:lang w:val="en-US"/>
        </w:rPr>
        <w:t>10.6</w:t>
      </w:r>
      <w:r>
        <w:rPr>
          <w:rFonts w:hint="eastAsia"/>
          <w:b/>
          <w:bCs/>
          <w:color w:val="auto"/>
          <w:sz w:val="24"/>
          <w:szCs w:val="24"/>
          <w:highlight w:val="none"/>
        </w:rPr>
        <w:t>供应商提交的响应文件应包含以下各个部分，具体组成内容见第 6 章响应文件格式。</w:t>
      </w:r>
    </w:p>
    <w:p>
      <w:pPr>
        <w:spacing w:line="360" w:lineRule="auto"/>
        <w:ind w:firstLine="482" w:firstLineChars="200"/>
        <w:rPr>
          <w:rFonts w:hint="eastAsia"/>
          <w:b/>
          <w:bCs/>
          <w:color w:val="auto"/>
          <w:sz w:val="24"/>
          <w:szCs w:val="24"/>
          <w:highlight w:val="none"/>
        </w:rPr>
      </w:pPr>
      <w:r>
        <w:rPr>
          <w:rFonts w:hint="eastAsia"/>
          <w:b/>
          <w:bCs/>
          <w:color w:val="auto"/>
          <w:sz w:val="24"/>
          <w:szCs w:val="24"/>
          <w:highlight w:val="none"/>
          <w:lang w:val="en-US"/>
        </w:rPr>
        <w:t>10.6.1</w:t>
      </w:r>
      <w:r>
        <w:rPr>
          <w:rFonts w:hint="eastAsia"/>
          <w:b/>
          <w:bCs/>
          <w:color w:val="auto"/>
          <w:sz w:val="24"/>
          <w:szCs w:val="24"/>
          <w:highlight w:val="none"/>
        </w:rPr>
        <w:t>商务部分</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报价一览表</w:t>
      </w:r>
    </w:p>
    <w:p>
      <w:pPr>
        <w:numPr>
          <w:ilvl w:val="0"/>
          <w:numId w:val="1"/>
        </w:numPr>
        <w:spacing w:line="360" w:lineRule="auto"/>
        <w:ind w:left="-42" w:leftChars="0" w:firstLine="482" w:firstLineChars="0"/>
        <w:rPr>
          <w:rFonts w:hint="eastAsia"/>
          <w:color w:val="auto"/>
          <w:highlight w:val="none"/>
        </w:rPr>
      </w:pPr>
      <w:r>
        <w:rPr>
          <w:rFonts w:hint="eastAsia" w:ascii="宋体" w:hAnsi="宋体" w:eastAsia="宋体" w:cs="宋体"/>
          <w:color w:val="auto"/>
          <w:sz w:val="24"/>
          <w:szCs w:val="24"/>
          <w:highlight w:val="none"/>
          <w:lang w:val="en-US" w:eastAsia="zh-CN"/>
        </w:rPr>
        <w:t>已标价工程量清单</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lang w:eastAsia="zh-CN"/>
        </w:rPr>
        <w:t>投标函</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法定代表人或负责人身份证明书、法定代表人授权委托书</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响应文件须知资料表要求的其他资格证明文件</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报价人基本情况表</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项目管理机构</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业绩一览表</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声明承诺函</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商务条款偏离表</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其他用于评分的证明材料</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供应商关联单位的说明</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其他材料</w:t>
      </w:r>
    </w:p>
    <w:p>
      <w:pPr>
        <w:numPr>
          <w:ilvl w:val="0"/>
          <w:numId w:val="1"/>
        </w:numPr>
        <w:spacing w:line="360" w:lineRule="auto"/>
        <w:ind w:left="-42" w:leftChars="0" w:firstLine="482" w:firstLineChars="0"/>
        <w:rPr>
          <w:rFonts w:hint="eastAsia"/>
          <w:color w:val="auto"/>
          <w:sz w:val="24"/>
          <w:szCs w:val="24"/>
          <w:highlight w:val="none"/>
        </w:rPr>
      </w:pPr>
      <w:r>
        <w:rPr>
          <w:rFonts w:hint="eastAsia"/>
          <w:color w:val="auto"/>
          <w:sz w:val="24"/>
          <w:szCs w:val="24"/>
          <w:highlight w:val="none"/>
        </w:rPr>
        <w:t>符合价格扣除条件的供应商需提供的资料</w:t>
      </w:r>
    </w:p>
    <w:p>
      <w:pPr>
        <w:spacing w:line="360" w:lineRule="auto"/>
        <w:ind w:firstLine="482" w:firstLineChars="200"/>
        <w:rPr>
          <w:rFonts w:hint="eastAsia"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lang w:val="en-US"/>
        </w:rPr>
        <w:t>10.6.2资信部分</w:t>
      </w:r>
    </w:p>
    <w:p>
      <w:pPr>
        <w:numPr>
          <w:ilvl w:val="0"/>
          <w:numId w:val="2"/>
        </w:num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供应商合格有效的具有统一社会信用代码的营业执照原件的彩色扫描件，资质证书</w:t>
      </w:r>
      <w:r>
        <w:rPr>
          <w:rFonts w:hint="eastAsia" w:ascii="宋体" w:hAnsi="宋体" w:cs="宋体"/>
          <w:color w:val="auto"/>
          <w:sz w:val="24"/>
          <w:highlight w:val="none"/>
          <w:lang w:val="en-US" w:eastAsia="zh-CN"/>
        </w:rPr>
        <w:t>及安全生产许可证</w:t>
      </w:r>
      <w:r>
        <w:rPr>
          <w:rFonts w:hint="eastAsia" w:ascii="宋体" w:hAnsi="宋体" w:cs="宋体"/>
          <w:color w:val="auto"/>
          <w:sz w:val="24"/>
          <w:highlight w:val="none"/>
        </w:rPr>
        <w:t>原件的彩色扫描件</w:t>
      </w:r>
      <w:r>
        <w:rPr>
          <w:rFonts w:hint="eastAsia" w:ascii="宋体" w:hAnsi="宋体" w:cs="宋体"/>
          <w:color w:val="auto"/>
          <w:sz w:val="24"/>
          <w:highlight w:val="none"/>
          <w:lang w:eastAsia="zh-CN"/>
        </w:rPr>
        <w:t>。</w:t>
      </w:r>
    </w:p>
    <w:p>
      <w:pPr>
        <w:numPr>
          <w:ilvl w:val="0"/>
          <w:numId w:val="2"/>
        </w:numPr>
        <w:spacing w:line="360" w:lineRule="auto"/>
        <w:ind w:firstLine="480" w:firstLineChars="200"/>
        <w:rPr>
          <w:rFonts w:hint="eastAsia" w:ascii="宋体" w:hAnsi="宋体" w:cs="宋体"/>
          <w:color w:val="auto"/>
          <w:sz w:val="24"/>
          <w:highlight w:val="none"/>
        </w:rPr>
      </w:pPr>
      <w:r>
        <w:rPr>
          <w:rFonts w:hint="eastAsia"/>
          <w:color w:val="auto"/>
          <w:sz w:val="24"/>
          <w:szCs w:val="24"/>
          <w:highlight w:val="none"/>
        </w:rPr>
        <w:t>法定代表人</w:t>
      </w:r>
      <w:r>
        <w:rPr>
          <w:rFonts w:hint="eastAsia"/>
          <w:color w:val="auto"/>
          <w:sz w:val="24"/>
          <w:szCs w:val="24"/>
          <w:highlight w:val="none"/>
          <w:lang w:val="en-US" w:eastAsia="zh-CN"/>
        </w:rPr>
        <w:t>证明</w:t>
      </w:r>
      <w:r>
        <w:rPr>
          <w:rFonts w:hint="eastAsia"/>
          <w:color w:val="auto"/>
          <w:sz w:val="24"/>
          <w:szCs w:val="24"/>
          <w:highlight w:val="none"/>
        </w:rPr>
        <w:t>或法定代表人授权委托书</w:t>
      </w:r>
      <w:r>
        <w:rPr>
          <w:rFonts w:hint="eastAsia"/>
          <w:color w:val="auto"/>
          <w:sz w:val="24"/>
          <w:szCs w:val="24"/>
          <w:highlight w:val="none"/>
          <w:lang w:eastAsia="zh-CN"/>
        </w:rPr>
        <w:t>。</w:t>
      </w:r>
    </w:p>
    <w:p>
      <w:pPr>
        <w:spacing w:line="360" w:lineRule="auto"/>
        <w:ind w:firstLine="480" w:firstLineChars="200"/>
        <w:rPr>
          <w:rFonts w:hint="eastAsia" w:ascii="宋体" w:hAnsi="宋体" w:cs="宋体"/>
          <w:color w:val="auto"/>
          <w:sz w:val="24"/>
          <w:highlight w:val="none"/>
        </w:rPr>
      </w:pPr>
      <w:r>
        <w:rPr>
          <w:rFonts w:hint="eastAsia" w:cs="宋体"/>
          <w:color w:val="auto"/>
          <w:sz w:val="24"/>
          <w:highlight w:val="none"/>
          <w:lang w:val="en-US" w:eastAsia="zh-CN"/>
        </w:rPr>
        <w:t>（3）拟承揽本工程的项目经理须具有贰级及以上注册建造师证书（相关专业）、安全生产考核合格证书（B证）的原件彩色扫描件。</w:t>
      </w:r>
    </w:p>
    <w:p>
      <w:pPr>
        <w:spacing w:line="440" w:lineRule="exact"/>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）财务报告或其基本开户银行出具的资信证明</w:t>
      </w:r>
      <w:r>
        <w:rPr>
          <w:rFonts w:hint="eastAsia" w:ascii="宋体" w:hAnsi="宋体" w:cs="宋体"/>
          <w:color w:val="auto"/>
          <w:sz w:val="24"/>
          <w:highlight w:val="none"/>
          <w:lang w:val="en-US" w:eastAsia="zh-CN"/>
        </w:rPr>
        <w:t>或具有良好的商业信誉和健全的财务会计制度承诺函（详见附件）</w:t>
      </w:r>
      <w:r>
        <w:rPr>
          <w:rFonts w:hint="eastAsia" w:ascii="宋体" w:hAnsi="宋体" w:cs="宋体"/>
          <w:color w:val="auto"/>
          <w:sz w:val="24"/>
          <w:highlight w:val="none"/>
        </w:rPr>
        <w:t>。为了促进中小企业发展，根据《财政部关于开展政府采购信用担保试点工作方案》（财库 [2012]124 号）文件规定，</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提供了财政部门认可的政府采购专业担保机构出具的投标担保函，可不用提供其他财务状况报告</w:t>
      </w:r>
      <w:r>
        <w:rPr>
          <w:rFonts w:hint="eastAsia" w:ascii="宋体" w:hAnsi="宋体" w:cs="宋体"/>
          <w:color w:val="auto"/>
          <w:sz w:val="24"/>
          <w:highlight w:val="none"/>
          <w:lang w:eastAsia="zh-CN"/>
        </w:rPr>
        <w:t>。</w:t>
      </w:r>
    </w:p>
    <w:p>
      <w:pPr>
        <w:spacing w:line="44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lang w:eastAsia="zh-CN"/>
        </w:rPr>
        <w:t>）</w:t>
      </w:r>
      <w:r>
        <w:rPr>
          <w:rFonts w:hint="eastAsia" w:ascii="宋体" w:hAnsi="宋体" w:cs="宋体"/>
          <w:color w:val="auto"/>
          <w:sz w:val="24"/>
          <w:highlight w:val="none"/>
        </w:rPr>
        <w:t>依法缴纳税收和社会保障资金的相关材料</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或承诺函（详见附件）</w:t>
      </w:r>
      <w:r>
        <w:rPr>
          <w:rFonts w:hint="eastAsia" w:ascii="宋体" w:hAnsi="宋体" w:cs="宋体"/>
          <w:color w:val="auto"/>
          <w:sz w:val="24"/>
          <w:highlight w:val="none"/>
          <w:lang w:eastAsia="zh-CN"/>
        </w:rPr>
        <w:t>】</w:t>
      </w:r>
      <w:r>
        <w:rPr>
          <w:rFonts w:hint="eastAsia" w:ascii="宋体" w:hAnsi="宋体" w:cs="宋体"/>
          <w:color w:val="auto"/>
          <w:sz w:val="24"/>
          <w:highlight w:val="none"/>
        </w:rPr>
        <w:t>（依法免税或不需要缴纳社会保障资金的供应商，应提供相应文件证明其依法免税或不需要缴纳社会保障资金。）</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 xml:space="preserve"> </w:t>
      </w:r>
    </w:p>
    <w:p>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）参加政府采购活动前3年内在经营活动中没有重大违法记录的书面声明（附件）。</w:t>
      </w:r>
    </w:p>
    <w:p>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信用记录（供应商在中国政府采购网未被列入政府采购严重违法失信行为记录名单，在“信用中国”网站未被列入失信被执行人、重大税收违法案件当事人名单，以及不存在《中华人民共和国政府采购法实施条例》第十九条规定的行政处罚记录，查询截止时间为投标截止时间，本条记录由招标代理机构查询）</w:t>
      </w:r>
    </w:p>
    <w:p>
      <w:pPr>
        <w:spacing w:line="44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备注：上述资料由磋商小组进行审查，未按“10.6.</w:t>
      </w:r>
      <w:r>
        <w:rPr>
          <w:rFonts w:hint="eastAsia" w:ascii="宋体" w:hAnsi="宋体" w:cs="宋体"/>
          <w:b/>
          <w:bCs/>
          <w:color w:val="auto"/>
          <w:sz w:val="24"/>
          <w:highlight w:val="none"/>
          <w:lang w:val="en-US" w:eastAsia="zh-CN"/>
        </w:rPr>
        <w:t>2</w:t>
      </w:r>
      <w:r>
        <w:rPr>
          <w:rFonts w:hint="eastAsia" w:ascii="宋体" w:hAnsi="宋体" w:cs="宋体"/>
          <w:b/>
          <w:bCs/>
          <w:color w:val="auto"/>
          <w:sz w:val="24"/>
          <w:highlight w:val="none"/>
        </w:rPr>
        <w:t>资信部分”要求递交规定资格、资质证明文件的，资格性审查不予通过。</w:t>
      </w:r>
    </w:p>
    <w:p>
      <w:pPr>
        <w:widowControl/>
        <w:snapToGrid w:val="0"/>
        <w:spacing w:line="440" w:lineRule="exact"/>
        <w:ind w:firstLine="482" w:firstLineChars="200"/>
        <w:textAlignment w:val="baseline"/>
        <w:rPr>
          <w:rFonts w:hint="eastAsia" w:ascii="宋体" w:hAnsi="宋体" w:cs="宋体"/>
          <w:b/>
          <w:bCs/>
          <w:color w:val="auto"/>
          <w:sz w:val="24"/>
          <w:highlight w:val="none"/>
        </w:rPr>
      </w:pPr>
      <w:r>
        <w:rPr>
          <w:rFonts w:hint="eastAsia" w:ascii="宋体" w:hAnsi="宋体" w:cs="宋体"/>
          <w:b/>
          <w:bCs/>
          <w:color w:val="auto"/>
          <w:sz w:val="24"/>
          <w:highlight w:val="none"/>
        </w:rPr>
        <w:t>对于已按照国家、省等规定采用电子版证书或证明的相关资料（含网络媒体资料），供应商提供电子文档证明（含完整网络截图）即可。</w:t>
      </w:r>
    </w:p>
    <w:p>
      <w:pPr>
        <w:spacing w:line="440" w:lineRule="exact"/>
        <w:ind w:firstLine="482" w:firstLineChars="200"/>
        <w:rPr>
          <w:rFonts w:hint="eastAsia"/>
          <w:b/>
          <w:bCs/>
          <w:color w:val="auto"/>
          <w:sz w:val="24"/>
          <w:szCs w:val="24"/>
          <w:highlight w:val="none"/>
          <w:lang w:val="en-US"/>
        </w:rPr>
      </w:pPr>
      <w:r>
        <w:rPr>
          <w:rFonts w:hint="eastAsia" w:ascii="宋体" w:hAnsi="宋体" w:cs="宋体"/>
          <w:b/>
          <w:color w:val="auto"/>
          <w:sz w:val="24"/>
          <w:highlight w:val="none"/>
        </w:rPr>
        <w:t>供应商须对提交的资格证明真实性、有效性、完整性负责，并保证无不诚信记录。资格证明的字迹、印章必须完整、清晰，否则其响应文件将会被拒绝。</w:t>
      </w:r>
    </w:p>
    <w:p>
      <w:pPr>
        <w:numPr>
          <w:ilvl w:val="0"/>
          <w:numId w:val="0"/>
        </w:numPr>
        <w:spacing w:line="360" w:lineRule="auto"/>
        <w:ind w:firstLine="482" w:firstLineChars="200"/>
        <w:rPr>
          <w:b/>
          <w:bCs/>
          <w:color w:val="auto"/>
          <w:sz w:val="24"/>
          <w:szCs w:val="24"/>
          <w:highlight w:val="none"/>
        </w:rPr>
      </w:pPr>
      <w:r>
        <w:rPr>
          <w:rFonts w:hint="eastAsia"/>
          <w:b/>
          <w:bCs/>
          <w:color w:val="auto"/>
          <w:sz w:val="24"/>
          <w:szCs w:val="24"/>
          <w:highlight w:val="none"/>
          <w:lang w:val="en-US"/>
        </w:rPr>
        <w:t>10.6.3</w:t>
      </w:r>
      <w:r>
        <w:rPr>
          <w:rFonts w:hint="eastAsia"/>
          <w:b/>
          <w:bCs/>
          <w:color w:val="auto"/>
          <w:sz w:val="24"/>
          <w:szCs w:val="24"/>
          <w:highlight w:val="none"/>
        </w:rPr>
        <w:t>技术部分</w:t>
      </w:r>
    </w:p>
    <w:p>
      <w:pPr>
        <w:spacing w:line="360" w:lineRule="auto"/>
        <w:ind w:firstLine="480" w:firstLineChars="200"/>
        <w:rPr>
          <w:rFonts w:hint="eastAsia"/>
          <w:color w:val="auto"/>
          <w:sz w:val="24"/>
          <w:szCs w:val="24"/>
          <w:highlight w:val="none"/>
          <w:lang w:val="en-US"/>
        </w:rPr>
      </w:pPr>
      <w:r>
        <w:rPr>
          <w:rFonts w:hint="eastAsia"/>
          <w:color w:val="auto"/>
          <w:sz w:val="24"/>
          <w:szCs w:val="24"/>
          <w:highlight w:val="none"/>
          <w:lang w:val="en-US"/>
        </w:rPr>
        <w:t>（1）技术偏离表</w:t>
      </w:r>
    </w:p>
    <w:p>
      <w:pPr>
        <w:spacing w:line="360" w:lineRule="auto"/>
        <w:ind w:firstLine="480" w:firstLineChars="200"/>
        <w:rPr>
          <w:rFonts w:hint="eastAsia"/>
          <w:color w:val="auto"/>
          <w:sz w:val="24"/>
          <w:szCs w:val="24"/>
          <w:highlight w:val="none"/>
          <w:lang w:val="en-US"/>
        </w:rPr>
      </w:pPr>
      <w:r>
        <w:rPr>
          <w:rFonts w:hint="eastAsia"/>
          <w:color w:val="auto"/>
          <w:sz w:val="24"/>
          <w:szCs w:val="24"/>
          <w:highlight w:val="none"/>
          <w:lang w:val="en-US"/>
        </w:rPr>
        <w:t>（2）总体概述</w:t>
      </w:r>
    </w:p>
    <w:p>
      <w:pPr>
        <w:spacing w:line="360" w:lineRule="auto"/>
        <w:ind w:firstLine="480" w:firstLineChars="200"/>
        <w:rPr>
          <w:rFonts w:hint="eastAsia"/>
          <w:color w:val="auto"/>
          <w:sz w:val="24"/>
          <w:szCs w:val="24"/>
          <w:highlight w:val="none"/>
          <w:lang w:val="en-US"/>
        </w:rPr>
      </w:pPr>
      <w:r>
        <w:rPr>
          <w:rFonts w:hint="eastAsia"/>
          <w:color w:val="auto"/>
          <w:sz w:val="24"/>
          <w:szCs w:val="24"/>
          <w:highlight w:val="none"/>
          <w:lang w:val="en-US"/>
        </w:rPr>
        <w:t>（3）施工进度计划和各阶段进度的保证措施及违约责任承诺</w:t>
      </w:r>
    </w:p>
    <w:p>
      <w:pPr>
        <w:spacing w:line="360" w:lineRule="auto"/>
        <w:ind w:firstLine="480" w:firstLineChars="200"/>
        <w:rPr>
          <w:rFonts w:hint="eastAsia"/>
          <w:color w:val="auto"/>
          <w:sz w:val="24"/>
          <w:szCs w:val="24"/>
          <w:highlight w:val="none"/>
          <w:lang w:val="en-US"/>
        </w:rPr>
      </w:pPr>
      <w:r>
        <w:rPr>
          <w:rFonts w:hint="eastAsia"/>
          <w:color w:val="auto"/>
          <w:sz w:val="24"/>
          <w:szCs w:val="24"/>
          <w:highlight w:val="none"/>
          <w:lang w:val="en-US"/>
        </w:rPr>
        <w:t>（4）项目管理班子配备、劳动力、机械设备和材料投入计划</w:t>
      </w:r>
    </w:p>
    <w:p>
      <w:pPr>
        <w:spacing w:line="360" w:lineRule="auto"/>
        <w:ind w:firstLine="480" w:firstLineChars="200"/>
        <w:rPr>
          <w:rFonts w:hint="eastAsia"/>
          <w:color w:val="auto"/>
          <w:sz w:val="24"/>
          <w:szCs w:val="24"/>
          <w:highlight w:val="none"/>
          <w:lang w:val="en-US"/>
        </w:rPr>
      </w:pPr>
      <w:r>
        <w:rPr>
          <w:rFonts w:hint="eastAsia"/>
          <w:color w:val="auto"/>
          <w:sz w:val="24"/>
          <w:szCs w:val="24"/>
          <w:highlight w:val="none"/>
          <w:lang w:val="en-US"/>
        </w:rPr>
        <w:t>（5）施工平面布置和临时设施布置</w:t>
      </w:r>
    </w:p>
    <w:p>
      <w:pPr>
        <w:spacing w:line="360" w:lineRule="auto"/>
        <w:ind w:firstLine="480" w:firstLineChars="200"/>
        <w:rPr>
          <w:rFonts w:hint="eastAsia"/>
          <w:color w:val="auto"/>
          <w:sz w:val="24"/>
          <w:szCs w:val="24"/>
          <w:highlight w:val="none"/>
          <w:lang w:val="en-US"/>
        </w:rPr>
      </w:pPr>
      <w:r>
        <w:rPr>
          <w:rFonts w:hint="eastAsia"/>
          <w:color w:val="auto"/>
          <w:sz w:val="24"/>
          <w:szCs w:val="24"/>
          <w:highlight w:val="none"/>
          <w:lang w:val="en-US"/>
        </w:rPr>
        <w:t>（6）关键施工技术、工艺及工程项目实施的重点、难点分析和解决方案</w:t>
      </w:r>
    </w:p>
    <w:p>
      <w:pPr>
        <w:spacing w:line="360" w:lineRule="auto"/>
        <w:ind w:firstLine="480" w:firstLineChars="200"/>
        <w:rPr>
          <w:rFonts w:hint="eastAsia"/>
          <w:color w:val="auto"/>
          <w:sz w:val="24"/>
          <w:szCs w:val="24"/>
          <w:highlight w:val="none"/>
          <w:lang w:val="en-US"/>
        </w:rPr>
      </w:pPr>
      <w:r>
        <w:rPr>
          <w:rFonts w:hint="eastAsia"/>
          <w:color w:val="auto"/>
          <w:sz w:val="24"/>
          <w:szCs w:val="24"/>
          <w:highlight w:val="none"/>
          <w:lang w:val="en-US"/>
        </w:rPr>
        <w:t>（7）安全文明施工措施</w:t>
      </w:r>
    </w:p>
    <w:p>
      <w:pPr>
        <w:spacing w:line="360" w:lineRule="auto"/>
        <w:ind w:firstLine="480" w:firstLineChars="200"/>
        <w:rPr>
          <w:rFonts w:hint="eastAsia"/>
          <w:color w:val="auto"/>
          <w:sz w:val="24"/>
          <w:szCs w:val="24"/>
          <w:highlight w:val="none"/>
          <w:lang w:val="en-US"/>
        </w:rPr>
      </w:pPr>
      <w:r>
        <w:rPr>
          <w:rFonts w:hint="eastAsia"/>
          <w:color w:val="auto"/>
          <w:sz w:val="24"/>
          <w:szCs w:val="24"/>
          <w:highlight w:val="none"/>
          <w:lang w:val="en-US"/>
        </w:rPr>
        <w:t xml:space="preserve"> (8) 质量保证和质量违约责任承诺</w:t>
      </w:r>
    </w:p>
    <w:p>
      <w:pPr>
        <w:spacing w:line="360" w:lineRule="auto"/>
        <w:ind w:firstLine="480" w:firstLineChars="200"/>
        <w:rPr>
          <w:color w:val="auto"/>
          <w:sz w:val="24"/>
          <w:szCs w:val="24"/>
          <w:highlight w:val="none"/>
        </w:rPr>
      </w:pPr>
      <w:r>
        <w:rPr>
          <w:rFonts w:hint="eastAsia"/>
          <w:color w:val="auto"/>
          <w:sz w:val="24"/>
          <w:szCs w:val="24"/>
          <w:highlight w:val="none"/>
          <w:lang w:val="en-US"/>
        </w:rPr>
        <w:t>10.6.4</w:t>
      </w:r>
      <w:r>
        <w:rPr>
          <w:rFonts w:hint="eastAsia"/>
          <w:color w:val="auto"/>
          <w:sz w:val="24"/>
          <w:szCs w:val="24"/>
          <w:highlight w:val="none"/>
        </w:rPr>
        <w:t>关于“技术响应表”的特别说明</w:t>
      </w:r>
    </w:p>
    <w:p>
      <w:pPr>
        <w:spacing w:line="360" w:lineRule="auto"/>
        <w:ind w:firstLine="480" w:firstLineChars="200"/>
        <w:rPr>
          <w:color w:val="auto"/>
          <w:sz w:val="24"/>
          <w:szCs w:val="24"/>
          <w:highlight w:val="none"/>
        </w:rPr>
      </w:pPr>
      <w:r>
        <w:rPr>
          <w:rFonts w:hint="eastAsia"/>
          <w:color w:val="auto"/>
          <w:sz w:val="24"/>
          <w:szCs w:val="24"/>
          <w:highlight w:val="none"/>
          <w:lang w:val="en-US"/>
        </w:rPr>
        <w:t>10.6.4.1</w:t>
      </w:r>
      <w:r>
        <w:rPr>
          <w:rFonts w:hint="eastAsia"/>
          <w:color w:val="auto"/>
          <w:sz w:val="24"/>
          <w:szCs w:val="24"/>
          <w:highlight w:val="none"/>
        </w:rPr>
        <w:t>为合理节约政府采购评审成本，提倡诚实信用的磋商行为，特别要求供应商应本着诚信精神，在本次响应文件的“技术响应表”中，均以审慎的态度明确、清楚地披露各项响应情况。供应商须对照磋商文件技术规格、参数与要求，逐条说明所投货物与服务是否做出了实质性响应，</w:t>
      </w:r>
    </w:p>
    <w:p>
      <w:pPr>
        <w:spacing w:line="360" w:lineRule="auto"/>
        <w:ind w:firstLine="480" w:firstLineChars="200"/>
        <w:rPr>
          <w:color w:val="auto"/>
          <w:sz w:val="24"/>
          <w:szCs w:val="24"/>
          <w:highlight w:val="none"/>
        </w:rPr>
      </w:pPr>
      <w:r>
        <w:rPr>
          <w:rFonts w:hint="eastAsia"/>
          <w:color w:val="auto"/>
          <w:sz w:val="24"/>
          <w:szCs w:val="24"/>
          <w:highlight w:val="none"/>
          <w:lang w:val="en-US"/>
        </w:rPr>
        <w:t>10.6.4.2</w:t>
      </w:r>
      <w:r>
        <w:rPr>
          <w:rFonts w:hint="eastAsia"/>
          <w:color w:val="auto"/>
          <w:sz w:val="24"/>
          <w:szCs w:val="24"/>
          <w:highlight w:val="none"/>
        </w:rPr>
        <w:t>响应程度分为“无偏离”、“正偏离”、“负偏离”。</w:t>
      </w:r>
    </w:p>
    <w:p>
      <w:pPr>
        <w:spacing w:line="360" w:lineRule="auto"/>
        <w:ind w:firstLine="480" w:firstLineChars="200"/>
        <w:rPr>
          <w:color w:val="auto"/>
          <w:sz w:val="24"/>
          <w:szCs w:val="24"/>
          <w:highlight w:val="none"/>
        </w:rPr>
      </w:pPr>
      <w:r>
        <w:rPr>
          <w:rFonts w:hint="eastAsia"/>
          <w:color w:val="auto"/>
          <w:sz w:val="24"/>
          <w:szCs w:val="24"/>
          <w:highlight w:val="none"/>
          <w:lang w:val="en-US"/>
        </w:rPr>
        <w:t>10.6.4.2.1</w:t>
      </w:r>
      <w:r>
        <w:rPr>
          <w:rFonts w:hint="eastAsia"/>
          <w:color w:val="auto"/>
          <w:sz w:val="24"/>
          <w:szCs w:val="24"/>
          <w:highlight w:val="none"/>
        </w:rPr>
        <w:t>“正偏离”是指所投产品或方案的技术及功能相比磋商文件的要求技术更先进、档次更高、更适合采购人使用。标注“正偏离”的，供应商必须注明认为“正偏离”的理由。</w:t>
      </w:r>
    </w:p>
    <w:p>
      <w:pPr>
        <w:spacing w:line="360" w:lineRule="auto"/>
        <w:ind w:firstLine="480" w:firstLineChars="200"/>
        <w:rPr>
          <w:color w:val="auto"/>
          <w:sz w:val="24"/>
          <w:szCs w:val="24"/>
          <w:highlight w:val="none"/>
        </w:rPr>
      </w:pPr>
      <w:r>
        <w:rPr>
          <w:rFonts w:hint="eastAsia"/>
          <w:color w:val="auto"/>
          <w:sz w:val="24"/>
          <w:szCs w:val="24"/>
          <w:highlight w:val="none"/>
          <w:lang w:val="en-US"/>
        </w:rPr>
        <w:t>10.6.4.2.2</w:t>
      </w:r>
      <w:r>
        <w:rPr>
          <w:rFonts w:hint="eastAsia"/>
          <w:color w:val="auto"/>
          <w:sz w:val="24"/>
          <w:szCs w:val="24"/>
          <w:highlight w:val="none"/>
        </w:rPr>
        <w:t>“负偏离”是指所投产品或方案的技术及功能相比磋商文件的要求存在瑕疵和不足。</w:t>
      </w:r>
    </w:p>
    <w:p>
      <w:pPr>
        <w:spacing w:line="360" w:lineRule="auto"/>
        <w:ind w:firstLine="480" w:firstLineChars="200"/>
        <w:rPr>
          <w:color w:val="auto"/>
          <w:sz w:val="24"/>
          <w:szCs w:val="24"/>
          <w:highlight w:val="none"/>
        </w:rPr>
      </w:pPr>
      <w:r>
        <w:rPr>
          <w:rFonts w:hint="eastAsia"/>
          <w:color w:val="auto"/>
          <w:sz w:val="24"/>
          <w:szCs w:val="24"/>
          <w:highlight w:val="none"/>
          <w:lang w:val="en-US"/>
        </w:rPr>
        <w:t>10.6.4.2.3</w:t>
      </w:r>
      <w:r>
        <w:rPr>
          <w:rFonts w:hint="eastAsia"/>
          <w:color w:val="auto"/>
          <w:sz w:val="24"/>
          <w:szCs w:val="24"/>
          <w:highlight w:val="none"/>
        </w:rPr>
        <w:t>本次磋商不允许供应商复制粘贴磋商文件的技术要求作为其响应文件的响应情况。</w:t>
      </w:r>
    </w:p>
    <w:p>
      <w:pPr>
        <w:spacing w:line="360" w:lineRule="auto"/>
        <w:ind w:firstLine="480" w:firstLineChars="200"/>
        <w:rPr>
          <w:color w:val="auto"/>
          <w:sz w:val="24"/>
          <w:szCs w:val="24"/>
          <w:highlight w:val="none"/>
        </w:rPr>
      </w:pPr>
      <w:r>
        <w:rPr>
          <w:rFonts w:hint="eastAsia"/>
          <w:color w:val="auto"/>
          <w:sz w:val="24"/>
          <w:szCs w:val="24"/>
          <w:highlight w:val="none"/>
          <w:lang w:val="en-US"/>
        </w:rPr>
        <w:t>10.6.5</w:t>
      </w:r>
      <w:r>
        <w:rPr>
          <w:rFonts w:hint="eastAsia"/>
          <w:color w:val="auto"/>
          <w:sz w:val="24"/>
          <w:szCs w:val="24"/>
          <w:highlight w:val="none"/>
        </w:rPr>
        <w:t>关于质保期的特别说明</w:t>
      </w:r>
    </w:p>
    <w:p>
      <w:pPr>
        <w:spacing w:line="360" w:lineRule="auto"/>
        <w:ind w:firstLine="480" w:firstLineChars="200"/>
        <w:rPr>
          <w:color w:val="auto"/>
          <w:sz w:val="24"/>
          <w:szCs w:val="24"/>
          <w:highlight w:val="none"/>
        </w:rPr>
      </w:pPr>
      <w:r>
        <w:rPr>
          <w:rFonts w:hint="eastAsia"/>
          <w:color w:val="auto"/>
          <w:sz w:val="24"/>
          <w:szCs w:val="24"/>
          <w:highlight w:val="none"/>
          <w:lang w:val="en-US"/>
        </w:rPr>
        <w:t>10.6.5.1</w:t>
      </w:r>
      <w:r>
        <w:rPr>
          <w:rFonts w:hint="eastAsia"/>
          <w:color w:val="auto"/>
          <w:sz w:val="24"/>
          <w:szCs w:val="24"/>
          <w:highlight w:val="none"/>
        </w:rPr>
        <w:t>本次磋商项目质保期见</w:t>
      </w:r>
      <w:r>
        <w:rPr>
          <w:rFonts w:hint="eastAsia"/>
          <w:color w:val="auto"/>
          <w:sz w:val="24"/>
          <w:szCs w:val="24"/>
          <w:highlight w:val="none"/>
          <w:u w:val="single"/>
        </w:rPr>
        <w:t>供应商须知资料表</w:t>
      </w:r>
      <w:r>
        <w:rPr>
          <w:rFonts w:hint="eastAsia"/>
          <w:color w:val="auto"/>
          <w:sz w:val="24"/>
          <w:szCs w:val="24"/>
          <w:highlight w:val="none"/>
        </w:rPr>
        <w:t>或第 4 章技术要求及说明。</w:t>
      </w:r>
    </w:p>
    <w:p>
      <w:pPr>
        <w:spacing w:line="360" w:lineRule="auto"/>
        <w:ind w:firstLine="480" w:firstLineChars="200"/>
        <w:rPr>
          <w:color w:val="auto"/>
          <w:sz w:val="24"/>
          <w:szCs w:val="24"/>
          <w:highlight w:val="none"/>
        </w:rPr>
      </w:pPr>
      <w:r>
        <w:rPr>
          <w:rFonts w:hint="eastAsia"/>
          <w:color w:val="auto"/>
          <w:sz w:val="24"/>
          <w:szCs w:val="24"/>
          <w:highlight w:val="none"/>
          <w:lang w:val="en-US"/>
        </w:rPr>
        <w:t>10.6.5.2</w:t>
      </w:r>
      <w:r>
        <w:rPr>
          <w:rFonts w:hint="eastAsia"/>
          <w:color w:val="auto"/>
          <w:sz w:val="24"/>
          <w:szCs w:val="24"/>
          <w:highlight w:val="none"/>
        </w:rPr>
        <w:t>磋商文件第二册如无特殊要求的，</w:t>
      </w:r>
      <w:r>
        <w:rPr>
          <w:rFonts w:hint="eastAsia"/>
          <w:color w:val="auto"/>
          <w:sz w:val="24"/>
          <w:szCs w:val="24"/>
          <w:highlight w:val="none"/>
          <w:lang w:val="en-US" w:eastAsia="zh-CN"/>
        </w:rPr>
        <w:t>质保期最短 2 年。</w:t>
      </w:r>
    </w:p>
    <w:p>
      <w:pPr>
        <w:spacing w:line="360" w:lineRule="auto"/>
        <w:ind w:firstLine="480" w:firstLineChars="200"/>
        <w:rPr>
          <w:color w:val="auto"/>
          <w:sz w:val="24"/>
          <w:szCs w:val="24"/>
          <w:highlight w:val="none"/>
        </w:rPr>
      </w:pPr>
      <w:r>
        <w:rPr>
          <w:rFonts w:hint="eastAsia"/>
          <w:color w:val="auto"/>
          <w:sz w:val="24"/>
          <w:szCs w:val="24"/>
          <w:highlight w:val="none"/>
          <w:lang w:val="en-US"/>
        </w:rPr>
        <w:t>10.6.5.3</w:t>
      </w:r>
      <w:r>
        <w:rPr>
          <w:rFonts w:hint="eastAsia"/>
          <w:color w:val="auto"/>
          <w:sz w:val="24"/>
          <w:szCs w:val="24"/>
          <w:highlight w:val="none"/>
        </w:rPr>
        <w:t>质保期大于磋商文件要求的，供应商视所投情况提供制造商出具的质保函。</w:t>
      </w:r>
    </w:p>
    <w:p>
      <w:pPr>
        <w:spacing w:line="360" w:lineRule="auto"/>
        <w:ind w:firstLine="480" w:firstLineChars="200"/>
        <w:outlineLvl w:val="1"/>
        <w:rPr>
          <w:color w:val="auto"/>
          <w:sz w:val="24"/>
          <w:szCs w:val="24"/>
          <w:highlight w:val="none"/>
        </w:rPr>
      </w:pPr>
      <w:bookmarkStart w:id="85" w:name="_Toc30496"/>
      <w:bookmarkStart w:id="86" w:name="_Toc2598"/>
      <w:bookmarkStart w:id="87" w:name="_Toc2953"/>
      <w:bookmarkStart w:id="88" w:name="_Toc26987"/>
      <w:r>
        <w:rPr>
          <w:rFonts w:hint="eastAsia"/>
          <w:color w:val="auto"/>
          <w:sz w:val="24"/>
          <w:szCs w:val="24"/>
          <w:highlight w:val="none"/>
          <w:lang w:val="en-US"/>
        </w:rPr>
        <w:t>10.7</w:t>
      </w:r>
      <w:r>
        <w:rPr>
          <w:rFonts w:hint="eastAsia"/>
          <w:color w:val="auto"/>
          <w:sz w:val="24"/>
          <w:szCs w:val="24"/>
          <w:highlight w:val="none"/>
        </w:rPr>
        <w:t>证明响应标的合格性和符合竞争性磋商文件规定的技术文件</w:t>
      </w:r>
      <w:bookmarkEnd w:id="85"/>
      <w:bookmarkEnd w:id="86"/>
      <w:bookmarkEnd w:id="87"/>
      <w:bookmarkEnd w:id="88"/>
    </w:p>
    <w:p>
      <w:pPr>
        <w:spacing w:line="360" w:lineRule="auto"/>
        <w:ind w:firstLine="480" w:firstLineChars="200"/>
        <w:rPr>
          <w:color w:val="auto"/>
          <w:sz w:val="24"/>
          <w:szCs w:val="24"/>
          <w:highlight w:val="none"/>
        </w:rPr>
      </w:pPr>
      <w:r>
        <w:rPr>
          <w:rFonts w:hint="eastAsia"/>
          <w:color w:val="auto"/>
          <w:sz w:val="24"/>
          <w:szCs w:val="24"/>
          <w:highlight w:val="none"/>
          <w:lang w:val="en-US"/>
        </w:rPr>
        <w:t>10.7.1</w:t>
      </w:r>
      <w:r>
        <w:rPr>
          <w:rFonts w:hint="eastAsia"/>
          <w:color w:val="auto"/>
          <w:sz w:val="24"/>
          <w:szCs w:val="24"/>
          <w:highlight w:val="none"/>
        </w:rPr>
        <w:t>供应商应提交证明文件，证明其响应内容符合竞争性磋商文件规定。该证明文件是响应文件的一部分。</w:t>
      </w:r>
    </w:p>
    <w:p>
      <w:pPr>
        <w:spacing w:line="360" w:lineRule="auto"/>
        <w:ind w:firstLine="480" w:firstLineChars="200"/>
        <w:rPr>
          <w:color w:val="auto"/>
          <w:sz w:val="24"/>
          <w:szCs w:val="24"/>
          <w:highlight w:val="none"/>
        </w:rPr>
      </w:pPr>
      <w:r>
        <w:rPr>
          <w:rFonts w:hint="eastAsia"/>
          <w:color w:val="auto"/>
          <w:sz w:val="24"/>
          <w:szCs w:val="24"/>
          <w:highlight w:val="none"/>
          <w:lang w:val="en-US"/>
        </w:rPr>
        <w:t>10.7.2</w:t>
      </w:r>
      <w:r>
        <w:rPr>
          <w:rFonts w:hint="eastAsia"/>
          <w:color w:val="auto"/>
          <w:sz w:val="24"/>
          <w:szCs w:val="24"/>
          <w:highlight w:val="none"/>
        </w:rPr>
        <w:t>上款所述的证明文件，可以是文字资料、图纸和数据，它包括：</w:t>
      </w:r>
    </w:p>
    <w:p>
      <w:pPr>
        <w:spacing w:line="360" w:lineRule="auto"/>
        <w:ind w:firstLine="480" w:firstLineChars="200"/>
        <w:rPr>
          <w:color w:val="auto"/>
          <w:sz w:val="24"/>
          <w:szCs w:val="24"/>
          <w:highlight w:val="none"/>
        </w:rPr>
      </w:pPr>
      <w:r>
        <w:rPr>
          <w:rFonts w:hint="eastAsia"/>
          <w:color w:val="auto"/>
          <w:sz w:val="24"/>
          <w:szCs w:val="24"/>
          <w:highlight w:val="none"/>
          <w:lang w:val="en-US"/>
        </w:rPr>
        <w:t>10.7.2.1</w:t>
      </w:r>
      <w:r>
        <w:rPr>
          <w:rFonts w:hint="eastAsia"/>
          <w:color w:val="auto"/>
          <w:sz w:val="24"/>
          <w:szCs w:val="24"/>
          <w:highlight w:val="none"/>
        </w:rPr>
        <w:t>货物主要技术规格和性能的详细说明；</w:t>
      </w:r>
    </w:p>
    <w:p>
      <w:pPr>
        <w:spacing w:line="360" w:lineRule="auto"/>
        <w:ind w:firstLine="480" w:firstLineChars="200"/>
        <w:rPr>
          <w:color w:val="auto"/>
          <w:sz w:val="24"/>
          <w:szCs w:val="24"/>
          <w:highlight w:val="none"/>
        </w:rPr>
      </w:pPr>
      <w:r>
        <w:rPr>
          <w:rFonts w:hint="eastAsia"/>
          <w:color w:val="auto"/>
          <w:sz w:val="24"/>
          <w:szCs w:val="24"/>
          <w:highlight w:val="none"/>
          <w:lang w:val="en-US"/>
        </w:rPr>
        <w:t>10.7.2.2</w:t>
      </w:r>
      <w:r>
        <w:rPr>
          <w:rFonts w:hint="eastAsia"/>
          <w:color w:val="auto"/>
          <w:sz w:val="24"/>
          <w:szCs w:val="24"/>
          <w:highlight w:val="none"/>
        </w:rPr>
        <w:t>货物从采购人开始使用至竞争性磋商文件规定的保质期内正常、连续地使用所必须的备件和专用工具清单，包括备件和专用工具的货源及现行价格；</w:t>
      </w:r>
    </w:p>
    <w:p>
      <w:pPr>
        <w:spacing w:line="360" w:lineRule="auto"/>
        <w:ind w:firstLine="480" w:firstLineChars="200"/>
        <w:rPr>
          <w:color w:val="auto"/>
          <w:sz w:val="24"/>
          <w:szCs w:val="24"/>
          <w:highlight w:val="none"/>
        </w:rPr>
      </w:pPr>
      <w:r>
        <w:rPr>
          <w:rFonts w:hint="eastAsia"/>
          <w:color w:val="auto"/>
          <w:sz w:val="24"/>
          <w:szCs w:val="24"/>
          <w:highlight w:val="none"/>
        </w:rPr>
        <w:t>对照竞争性磋商文件技术规格，逐条说明所提供货物及伴随的服务已对竞争性磋商文件的技术规格做出了实质性的响应，或申明与技术规格条文的偏差和例外。</w:t>
      </w:r>
    </w:p>
    <w:p>
      <w:pPr>
        <w:spacing w:line="360" w:lineRule="auto"/>
        <w:ind w:firstLine="480" w:firstLineChars="200"/>
        <w:rPr>
          <w:color w:val="auto"/>
          <w:sz w:val="24"/>
          <w:szCs w:val="24"/>
          <w:highlight w:val="none"/>
        </w:rPr>
      </w:pPr>
      <w:r>
        <w:rPr>
          <w:rFonts w:hint="eastAsia"/>
          <w:color w:val="auto"/>
          <w:sz w:val="24"/>
          <w:szCs w:val="24"/>
          <w:highlight w:val="none"/>
          <w:lang w:val="en-US"/>
        </w:rPr>
        <w:t>10.7.3</w:t>
      </w:r>
      <w:r>
        <w:rPr>
          <w:rFonts w:hint="eastAsia"/>
          <w:color w:val="auto"/>
          <w:sz w:val="24"/>
          <w:szCs w:val="24"/>
          <w:highlight w:val="none"/>
        </w:rPr>
        <w:t>本条所指证明文件不包括对竞争性磋商文件相关部分的文字、图标的复制。</w:t>
      </w:r>
    </w:p>
    <w:p>
      <w:pPr>
        <w:spacing w:line="360" w:lineRule="auto"/>
        <w:ind w:firstLine="480" w:firstLineChars="200"/>
        <w:rPr>
          <w:color w:val="auto"/>
          <w:sz w:val="24"/>
          <w:szCs w:val="24"/>
          <w:highlight w:val="none"/>
        </w:rPr>
      </w:pPr>
      <w:r>
        <w:rPr>
          <w:rFonts w:hint="eastAsia"/>
          <w:color w:val="auto"/>
          <w:sz w:val="24"/>
          <w:szCs w:val="24"/>
          <w:highlight w:val="none"/>
          <w:lang w:val="en-US"/>
        </w:rPr>
        <w:t>10.7.4</w:t>
      </w:r>
      <w:r>
        <w:rPr>
          <w:rFonts w:hint="eastAsia"/>
          <w:color w:val="auto"/>
          <w:sz w:val="24"/>
          <w:szCs w:val="24"/>
          <w:highlight w:val="none"/>
        </w:rPr>
        <w:t>货物安装、验收标准；</w:t>
      </w:r>
    </w:p>
    <w:p>
      <w:pPr>
        <w:spacing w:line="360" w:lineRule="auto"/>
        <w:ind w:firstLine="480" w:firstLineChars="200"/>
        <w:rPr>
          <w:color w:val="auto"/>
          <w:sz w:val="24"/>
          <w:szCs w:val="24"/>
          <w:highlight w:val="none"/>
        </w:rPr>
      </w:pPr>
      <w:r>
        <w:rPr>
          <w:rFonts w:hint="eastAsia"/>
          <w:color w:val="auto"/>
          <w:sz w:val="24"/>
          <w:szCs w:val="24"/>
          <w:highlight w:val="none"/>
          <w:lang w:val="en-US"/>
        </w:rPr>
        <w:t>10.7.5</w:t>
      </w:r>
      <w:r>
        <w:rPr>
          <w:rFonts w:hint="eastAsia"/>
          <w:color w:val="auto"/>
          <w:sz w:val="24"/>
          <w:szCs w:val="24"/>
          <w:highlight w:val="none"/>
        </w:rPr>
        <w:t>售后服务网点明细表（包括联系人、详细地址、电话、传真）；</w:t>
      </w:r>
      <w:bookmarkStart w:id="89" w:name="11.报价"/>
      <w:bookmarkEnd w:id="89"/>
    </w:p>
    <w:p>
      <w:pPr>
        <w:spacing w:line="360" w:lineRule="auto"/>
        <w:ind w:firstLine="482" w:firstLineChars="200"/>
        <w:rPr>
          <w:b/>
          <w:bCs/>
          <w:color w:val="auto"/>
          <w:sz w:val="24"/>
          <w:szCs w:val="24"/>
          <w:highlight w:val="none"/>
        </w:rPr>
      </w:pPr>
      <w:r>
        <w:rPr>
          <w:rFonts w:hint="eastAsia"/>
          <w:b/>
          <w:bCs/>
          <w:color w:val="auto"/>
          <w:sz w:val="24"/>
          <w:szCs w:val="24"/>
          <w:highlight w:val="none"/>
        </w:rPr>
        <w:t>11.报价</w:t>
      </w:r>
    </w:p>
    <w:p>
      <w:pPr>
        <w:pStyle w:val="2"/>
        <w:spacing w:line="360" w:lineRule="auto"/>
        <w:ind w:left="0" w:leftChars="0" w:firstLine="480" w:firstLineChars="200"/>
        <w:rPr>
          <w:color w:val="auto"/>
          <w:highlight w:val="none"/>
        </w:rPr>
      </w:pPr>
      <w:bookmarkStart w:id="90" w:name="12.磋商保证金"/>
      <w:bookmarkEnd w:id="90"/>
      <w:r>
        <w:rPr>
          <w:rFonts w:hint="eastAsia"/>
          <w:b w:val="0"/>
          <w:bCs w:val="0"/>
          <w:color w:val="auto"/>
          <w:sz w:val="24"/>
          <w:szCs w:val="24"/>
          <w:highlight w:val="none"/>
          <w:lang w:val="en-US"/>
        </w:rPr>
        <w:t xml:space="preserve">11.1 </w:t>
      </w:r>
      <w:r>
        <w:rPr>
          <w:rFonts w:hint="eastAsia"/>
          <w:b w:val="0"/>
          <w:bCs w:val="0"/>
          <w:color w:val="auto"/>
          <w:sz w:val="24"/>
          <w:szCs w:val="24"/>
          <w:highlight w:val="none"/>
        </w:rPr>
        <w:t>供应商的报价应当包括满足本次磋商全部采购需求所应提供的</w:t>
      </w:r>
      <w:r>
        <w:rPr>
          <w:rFonts w:hint="eastAsia"/>
          <w:b w:val="0"/>
          <w:bCs w:val="0"/>
          <w:color w:val="auto"/>
          <w:sz w:val="24"/>
          <w:szCs w:val="24"/>
          <w:highlight w:val="none"/>
          <w:lang w:val="en-US" w:eastAsia="zh-CN"/>
        </w:rPr>
        <w:t>工程</w:t>
      </w:r>
      <w:r>
        <w:rPr>
          <w:rFonts w:hint="eastAsia"/>
          <w:b w:val="0"/>
          <w:bCs w:val="0"/>
          <w:color w:val="auto"/>
          <w:sz w:val="24"/>
          <w:szCs w:val="24"/>
          <w:highlight w:val="none"/>
        </w:rPr>
        <w:t>，以及伴随的服务和</w:t>
      </w:r>
      <w:r>
        <w:rPr>
          <w:rFonts w:hint="eastAsia"/>
          <w:b w:val="0"/>
          <w:bCs w:val="0"/>
          <w:color w:val="auto"/>
          <w:sz w:val="24"/>
          <w:szCs w:val="24"/>
          <w:highlight w:val="none"/>
          <w:lang w:val="en-US" w:eastAsia="zh-CN"/>
        </w:rPr>
        <w:t>货物</w:t>
      </w:r>
      <w:r>
        <w:rPr>
          <w:rFonts w:hint="eastAsia"/>
          <w:b w:val="0"/>
          <w:bCs w:val="0"/>
          <w:color w:val="auto"/>
          <w:sz w:val="24"/>
          <w:szCs w:val="24"/>
          <w:highlight w:val="none"/>
        </w:rPr>
        <w:t>。</w:t>
      </w:r>
      <w:r>
        <w:rPr>
          <w:rFonts w:hint="eastAsia"/>
          <w:b/>
          <w:bCs/>
          <w:color w:val="auto"/>
          <w:sz w:val="24"/>
          <w:szCs w:val="24"/>
          <w:highlight w:val="none"/>
        </w:rPr>
        <w:t>报价要求详见</w:t>
      </w:r>
      <w:r>
        <w:rPr>
          <w:rFonts w:hint="eastAsia"/>
          <w:b/>
          <w:bCs/>
          <w:color w:val="auto"/>
          <w:sz w:val="24"/>
          <w:szCs w:val="24"/>
          <w:highlight w:val="none"/>
          <w:u w:val="single"/>
        </w:rPr>
        <w:t>供应商须知资料表</w:t>
      </w:r>
      <w:r>
        <w:rPr>
          <w:rFonts w:hint="eastAsia"/>
          <w:b w:val="0"/>
          <w:bCs w:val="0"/>
          <w:color w:val="auto"/>
          <w:sz w:val="24"/>
          <w:szCs w:val="24"/>
          <w:highlight w:val="none"/>
        </w:rPr>
        <w:t>。</w:t>
      </w:r>
      <w:r>
        <w:rPr>
          <w:rFonts w:hint="eastAsia"/>
          <w:b w:val="0"/>
          <w:bCs w:val="0"/>
          <w:color w:val="auto"/>
          <w:sz w:val="24"/>
          <w:szCs w:val="24"/>
          <w:highlight w:val="none"/>
          <w:lang w:val="en-US" w:eastAsia="zh-CN"/>
        </w:rPr>
        <w:t>供应商的报价应遵守《中华人民共和国价格法》。</w:t>
      </w:r>
    </w:p>
    <w:p>
      <w:pPr>
        <w:spacing w:line="360" w:lineRule="auto"/>
        <w:ind w:firstLine="480" w:firstLineChars="200"/>
        <w:outlineLvl w:val="1"/>
        <w:rPr>
          <w:b w:val="0"/>
          <w:bCs w:val="0"/>
          <w:color w:val="auto"/>
          <w:sz w:val="24"/>
          <w:szCs w:val="24"/>
          <w:highlight w:val="none"/>
        </w:rPr>
      </w:pPr>
      <w:bookmarkStart w:id="91" w:name="_Toc15830"/>
      <w:bookmarkStart w:id="92" w:name="_Toc1853"/>
      <w:bookmarkStart w:id="93" w:name="_Toc14757"/>
      <w:bookmarkStart w:id="94" w:name="_Toc5603"/>
      <w:r>
        <w:rPr>
          <w:rFonts w:hint="eastAsia"/>
          <w:b w:val="0"/>
          <w:bCs w:val="0"/>
          <w:color w:val="auto"/>
          <w:sz w:val="24"/>
          <w:szCs w:val="24"/>
          <w:highlight w:val="none"/>
          <w:lang w:val="en-US"/>
        </w:rPr>
        <w:t>11.</w:t>
      </w:r>
      <w:r>
        <w:rPr>
          <w:rFonts w:hint="eastAsia"/>
          <w:b w:val="0"/>
          <w:bCs w:val="0"/>
          <w:color w:val="auto"/>
          <w:sz w:val="24"/>
          <w:szCs w:val="24"/>
          <w:highlight w:val="none"/>
          <w:lang w:val="en-US" w:eastAsia="zh-CN"/>
        </w:rPr>
        <w:t xml:space="preserve">2 </w:t>
      </w:r>
      <w:r>
        <w:rPr>
          <w:rFonts w:hint="eastAsia"/>
          <w:b w:val="0"/>
          <w:bCs w:val="0"/>
          <w:color w:val="auto"/>
          <w:sz w:val="24"/>
          <w:szCs w:val="24"/>
          <w:highlight w:val="none"/>
        </w:rPr>
        <w:t>采购人不接受具有附加条件的报价或多个方案的报价。</w:t>
      </w:r>
      <w:bookmarkEnd w:id="91"/>
      <w:bookmarkEnd w:id="92"/>
      <w:bookmarkEnd w:id="93"/>
      <w:bookmarkEnd w:id="94"/>
    </w:p>
    <w:p>
      <w:pPr>
        <w:spacing w:line="360" w:lineRule="auto"/>
        <w:ind w:firstLine="480" w:firstLineChars="200"/>
        <w:rPr>
          <w:b w:val="0"/>
          <w:bCs w:val="0"/>
          <w:color w:val="auto"/>
          <w:sz w:val="24"/>
          <w:szCs w:val="24"/>
          <w:highlight w:val="none"/>
        </w:rPr>
      </w:pPr>
      <w:r>
        <w:rPr>
          <w:rFonts w:hint="eastAsia"/>
          <w:b w:val="0"/>
          <w:bCs w:val="0"/>
          <w:color w:val="auto"/>
          <w:sz w:val="24"/>
          <w:szCs w:val="24"/>
          <w:highlight w:val="none"/>
          <w:lang w:val="en-US"/>
        </w:rPr>
        <w:t>11.</w:t>
      </w:r>
      <w:r>
        <w:rPr>
          <w:rFonts w:hint="eastAsia"/>
          <w:b w:val="0"/>
          <w:bCs w:val="0"/>
          <w:color w:val="auto"/>
          <w:sz w:val="24"/>
          <w:szCs w:val="24"/>
          <w:highlight w:val="none"/>
          <w:lang w:val="en-US" w:eastAsia="zh-CN"/>
        </w:rPr>
        <w:t>3</w:t>
      </w:r>
      <w:r>
        <w:rPr>
          <w:rFonts w:hint="eastAsia"/>
          <w:b w:val="0"/>
          <w:bCs w:val="0"/>
          <w:color w:val="auto"/>
          <w:sz w:val="24"/>
          <w:szCs w:val="24"/>
          <w:highlight w:val="none"/>
          <w:lang w:val="en-US"/>
        </w:rPr>
        <w:t xml:space="preserve"> </w:t>
      </w:r>
      <w:r>
        <w:rPr>
          <w:rFonts w:hint="eastAsia"/>
          <w:b w:val="0"/>
          <w:bCs w:val="0"/>
          <w:color w:val="auto"/>
          <w:sz w:val="24"/>
          <w:szCs w:val="24"/>
          <w:highlight w:val="none"/>
        </w:rPr>
        <w:t>若第八部分技术要求及说明中未体现“允许采购进口产品”字样，供应商不允许采用进口产品报价。</w:t>
      </w:r>
    </w:p>
    <w:p>
      <w:pPr>
        <w:spacing w:line="360" w:lineRule="auto"/>
        <w:ind w:firstLine="480" w:firstLineChars="200"/>
        <w:rPr>
          <w:b w:val="0"/>
          <w:bCs w:val="0"/>
          <w:color w:val="auto"/>
          <w:sz w:val="24"/>
          <w:szCs w:val="24"/>
          <w:highlight w:val="none"/>
        </w:rPr>
      </w:pPr>
      <w:r>
        <w:rPr>
          <w:rFonts w:hint="eastAsia"/>
          <w:b w:val="0"/>
          <w:bCs w:val="0"/>
          <w:color w:val="auto"/>
          <w:sz w:val="24"/>
          <w:szCs w:val="24"/>
          <w:highlight w:val="none"/>
          <w:lang w:val="en-US"/>
        </w:rPr>
        <w:t>11.</w:t>
      </w:r>
      <w:r>
        <w:rPr>
          <w:rFonts w:hint="eastAsia"/>
          <w:b w:val="0"/>
          <w:bCs w:val="0"/>
          <w:color w:val="auto"/>
          <w:sz w:val="24"/>
          <w:szCs w:val="24"/>
          <w:highlight w:val="none"/>
          <w:lang w:val="en-US" w:eastAsia="zh-CN"/>
        </w:rPr>
        <w:t xml:space="preserve">4 </w:t>
      </w:r>
      <w:r>
        <w:rPr>
          <w:rFonts w:hint="eastAsia"/>
          <w:b w:val="0"/>
          <w:bCs w:val="0"/>
          <w:color w:val="auto"/>
          <w:sz w:val="24"/>
          <w:szCs w:val="24"/>
          <w:highlight w:val="none"/>
        </w:rPr>
        <w:t>通过资格性审查和符合性审查的供应商有再次报价的机会，但每一次报价均应以书面形式确认。价格的评审以最终报价为准。</w:t>
      </w:r>
    </w:p>
    <w:p>
      <w:pPr>
        <w:spacing w:line="360" w:lineRule="auto"/>
        <w:ind w:firstLine="480" w:firstLineChars="200"/>
        <w:outlineLvl w:val="1"/>
        <w:rPr>
          <w:color w:val="auto"/>
          <w:sz w:val="24"/>
          <w:szCs w:val="24"/>
          <w:highlight w:val="none"/>
        </w:rPr>
      </w:pPr>
      <w:bookmarkStart w:id="95" w:name="_Toc6104"/>
      <w:bookmarkStart w:id="96" w:name="_Toc24708"/>
      <w:bookmarkStart w:id="97" w:name="_Toc12262"/>
      <w:bookmarkStart w:id="98" w:name="_Toc15490"/>
      <w:r>
        <w:rPr>
          <w:rFonts w:hint="eastAsia"/>
          <w:color w:val="auto"/>
          <w:sz w:val="24"/>
          <w:szCs w:val="24"/>
          <w:highlight w:val="none"/>
          <w:lang w:val="en-US"/>
        </w:rPr>
        <w:t>11.</w:t>
      </w:r>
      <w:r>
        <w:rPr>
          <w:rFonts w:hint="eastAsia"/>
          <w:color w:val="auto"/>
          <w:sz w:val="24"/>
          <w:szCs w:val="24"/>
          <w:highlight w:val="none"/>
          <w:lang w:val="en-US" w:eastAsia="zh-CN"/>
        </w:rPr>
        <w:t>5</w:t>
      </w:r>
      <w:r>
        <w:rPr>
          <w:rFonts w:hint="eastAsia"/>
          <w:color w:val="auto"/>
          <w:sz w:val="24"/>
          <w:szCs w:val="24"/>
          <w:highlight w:val="none"/>
          <w:lang w:val="en-US"/>
        </w:rPr>
        <w:t xml:space="preserve"> </w:t>
      </w:r>
      <w:r>
        <w:rPr>
          <w:rFonts w:hint="eastAsia"/>
          <w:color w:val="auto"/>
          <w:sz w:val="24"/>
          <w:szCs w:val="24"/>
          <w:highlight w:val="none"/>
        </w:rPr>
        <w:t>电子版响应文件</w:t>
      </w:r>
      <w:bookmarkEnd w:id="95"/>
      <w:bookmarkEnd w:id="96"/>
      <w:bookmarkEnd w:id="97"/>
      <w:bookmarkEnd w:id="98"/>
    </w:p>
    <w:p>
      <w:pPr>
        <w:spacing w:line="360" w:lineRule="auto"/>
        <w:ind w:firstLine="480" w:firstLineChars="200"/>
        <w:rPr>
          <w:color w:val="auto"/>
          <w:sz w:val="24"/>
          <w:szCs w:val="24"/>
          <w:highlight w:val="none"/>
        </w:rPr>
      </w:pPr>
      <w:r>
        <w:rPr>
          <w:rFonts w:hint="eastAsia"/>
          <w:color w:val="auto"/>
          <w:sz w:val="24"/>
          <w:szCs w:val="24"/>
          <w:highlight w:val="none"/>
        </w:rPr>
        <w:t>电子版响应文件内容为上述 10.6.1、10.6.2、10.6.3、10.6.4 条款要求内容须是 word 格式或 PDF 格式。</w:t>
      </w:r>
    </w:p>
    <w:p>
      <w:pPr>
        <w:spacing w:line="360" w:lineRule="auto"/>
        <w:ind w:firstLine="480" w:firstLineChars="200"/>
        <w:rPr>
          <w:b/>
          <w:bCs/>
          <w:color w:val="auto"/>
          <w:sz w:val="24"/>
          <w:szCs w:val="24"/>
          <w:highlight w:val="none"/>
        </w:rPr>
      </w:pPr>
      <w:r>
        <w:rPr>
          <w:rFonts w:hint="eastAsia"/>
          <w:color w:val="auto"/>
          <w:sz w:val="24"/>
          <w:szCs w:val="24"/>
          <w:highlight w:val="none"/>
          <w:lang w:val="en-US"/>
        </w:rPr>
        <w:t>11.</w:t>
      </w:r>
      <w:r>
        <w:rPr>
          <w:rFonts w:hint="eastAsia"/>
          <w:color w:val="auto"/>
          <w:sz w:val="24"/>
          <w:szCs w:val="24"/>
          <w:highlight w:val="none"/>
          <w:lang w:val="en-US" w:eastAsia="zh-CN"/>
        </w:rPr>
        <w:t xml:space="preserve">6 </w:t>
      </w:r>
      <w:r>
        <w:rPr>
          <w:rFonts w:hint="eastAsia"/>
          <w:color w:val="auto"/>
          <w:sz w:val="24"/>
          <w:szCs w:val="24"/>
          <w:highlight w:val="none"/>
        </w:rPr>
        <w:t>供应商须知资料表规定供应商应提交样品的，样品构成磋商文件的组成部分。</w:t>
      </w:r>
      <w:r>
        <w:rPr>
          <w:rFonts w:hint="eastAsia"/>
          <w:b/>
          <w:bCs/>
          <w:color w:val="auto"/>
          <w:sz w:val="24"/>
          <w:szCs w:val="24"/>
          <w:highlight w:val="none"/>
          <w:lang w:val="en-US"/>
        </w:rPr>
        <w:t>12.</w:t>
      </w:r>
      <w:r>
        <w:rPr>
          <w:rFonts w:hint="eastAsia"/>
          <w:b/>
          <w:bCs/>
          <w:color w:val="auto"/>
          <w:sz w:val="24"/>
          <w:szCs w:val="24"/>
          <w:highlight w:val="none"/>
        </w:rPr>
        <w:t>磋商保证金：无</w:t>
      </w:r>
    </w:p>
    <w:p>
      <w:pPr>
        <w:spacing w:line="360" w:lineRule="auto"/>
        <w:ind w:firstLine="482" w:firstLineChars="200"/>
        <w:rPr>
          <w:b/>
          <w:bCs/>
          <w:color w:val="auto"/>
          <w:sz w:val="24"/>
          <w:szCs w:val="24"/>
          <w:highlight w:val="none"/>
        </w:rPr>
      </w:pPr>
      <w:r>
        <w:rPr>
          <w:rFonts w:hint="eastAsia"/>
          <w:b/>
          <w:bCs/>
          <w:color w:val="auto"/>
          <w:sz w:val="24"/>
          <w:szCs w:val="24"/>
          <w:highlight w:val="none"/>
          <w:lang w:val="en-US"/>
        </w:rPr>
        <w:t>12.1</w:t>
      </w:r>
      <w:r>
        <w:rPr>
          <w:rFonts w:hint="eastAsia"/>
          <w:b/>
          <w:bCs/>
          <w:color w:val="auto"/>
          <w:sz w:val="24"/>
          <w:szCs w:val="24"/>
          <w:highlight w:val="none"/>
          <w:lang w:val="en-US" w:eastAsia="zh-CN"/>
        </w:rPr>
        <w:t xml:space="preserve"> </w:t>
      </w:r>
      <w:r>
        <w:rPr>
          <w:rFonts w:hint="eastAsia"/>
          <w:b/>
          <w:bCs/>
          <w:color w:val="auto"/>
          <w:sz w:val="24"/>
          <w:szCs w:val="24"/>
          <w:highlight w:val="none"/>
        </w:rPr>
        <w:t>根据鲁财采【2019】40 号的规定，本项目不向诚信记录良好的投标人收取磋商保证金。</w:t>
      </w:r>
    </w:p>
    <w:p>
      <w:pPr>
        <w:spacing w:line="360" w:lineRule="auto"/>
        <w:ind w:firstLine="480" w:firstLineChars="200"/>
        <w:rPr>
          <w:color w:val="auto"/>
          <w:sz w:val="24"/>
          <w:szCs w:val="24"/>
          <w:highlight w:val="none"/>
        </w:rPr>
      </w:pPr>
      <w:r>
        <w:rPr>
          <w:rFonts w:hint="eastAsia"/>
          <w:color w:val="auto"/>
          <w:sz w:val="24"/>
          <w:szCs w:val="24"/>
          <w:highlight w:val="none"/>
          <w:lang w:val="en-US"/>
        </w:rPr>
        <w:t>12.2</w:t>
      </w:r>
      <w:r>
        <w:rPr>
          <w:rFonts w:hint="eastAsia"/>
          <w:color w:val="auto"/>
          <w:sz w:val="24"/>
          <w:szCs w:val="24"/>
          <w:highlight w:val="none"/>
          <w:lang w:val="en-US" w:eastAsia="zh-CN"/>
        </w:rPr>
        <w:t xml:space="preserve"> </w:t>
      </w:r>
      <w:r>
        <w:rPr>
          <w:rFonts w:hint="eastAsia"/>
          <w:color w:val="auto"/>
          <w:sz w:val="24"/>
          <w:szCs w:val="24"/>
          <w:highlight w:val="none"/>
        </w:rPr>
        <w:t>供应商在磋商过程及成交后如有违反法律法规的情形，采购代理机构将如实上报政府采购监管部门。</w:t>
      </w:r>
    </w:p>
    <w:p>
      <w:pPr>
        <w:spacing w:line="360" w:lineRule="auto"/>
        <w:ind w:firstLine="482" w:firstLineChars="200"/>
        <w:rPr>
          <w:color w:val="auto"/>
          <w:sz w:val="24"/>
          <w:szCs w:val="24"/>
          <w:highlight w:val="none"/>
        </w:rPr>
      </w:pPr>
      <w:bookmarkStart w:id="99" w:name="13.响应有效期"/>
      <w:bookmarkEnd w:id="99"/>
      <w:r>
        <w:rPr>
          <w:rFonts w:hint="eastAsia"/>
          <w:b/>
          <w:bCs/>
          <w:color w:val="auto"/>
          <w:sz w:val="24"/>
          <w:szCs w:val="24"/>
          <w:highlight w:val="none"/>
          <w:lang w:val="en-US"/>
        </w:rPr>
        <w:t>13</w:t>
      </w:r>
      <w:r>
        <w:rPr>
          <w:rFonts w:hint="eastAsia"/>
          <w:b/>
          <w:bCs/>
          <w:color w:val="auto"/>
          <w:sz w:val="24"/>
          <w:szCs w:val="24"/>
          <w:highlight w:val="none"/>
          <w:lang w:val="en-US" w:eastAsia="zh-CN"/>
        </w:rPr>
        <w:t>.</w:t>
      </w:r>
      <w:r>
        <w:rPr>
          <w:rFonts w:hint="eastAsia"/>
          <w:b/>
          <w:bCs/>
          <w:color w:val="auto"/>
          <w:sz w:val="24"/>
          <w:szCs w:val="24"/>
          <w:highlight w:val="none"/>
        </w:rPr>
        <w:t>响应有效期</w:t>
      </w:r>
    </w:p>
    <w:p>
      <w:pPr>
        <w:spacing w:line="360" w:lineRule="auto"/>
        <w:ind w:firstLine="480" w:firstLineChars="200"/>
        <w:rPr>
          <w:color w:val="auto"/>
          <w:sz w:val="24"/>
          <w:szCs w:val="24"/>
          <w:highlight w:val="none"/>
        </w:rPr>
      </w:pPr>
      <w:r>
        <w:rPr>
          <w:rFonts w:hint="eastAsia"/>
          <w:color w:val="auto"/>
          <w:sz w:val="24"/>
          <w:szCs w:val="24"/>
          <w:highlight w:val="none"/>
          <w:lang w:val="en-US"/>
        </w:rPr>
        <w:t xml:space="preserve">13.1 </w:t>
      </w:r>
      <w:r>
        <w:rPr>
          <w:rFonts w:hint="eastAsia"/>
          <w:color w:val="auto"/>
          <w:sz w:val="24"/>
          <w:szCs w:val="24"/>
          <w:highlight w:val="none"/>
        </w:rPr>
        <w:t>响应应在</w:t>
      </w:r>
      <w:r>
        <w:rPr>
          <w:rFonts w:hint="eastAsia"/>
          <w:color w:val="auto"/>
          <w:sz w:val="24"/>
          <w:szCs w:val="24"/>
          <w:highlight w:val="none"/>
          <w:u w:val="single"/>
        </w:rPr>
        <w:t>供应商须知资料表</w:t>
      </w:r>
      <w:r>
        <w:rPr>
          <w:rFonts w:hint="eastAsia"/>
          <w:color w:val="auto"/>
          <w:sz w:val="24"/>
          <w:szCs w:val="24"/>
          <w:highlight w:val="none"/>
        </w:rPr>
        <w:t>中规定时间内保持有效。响应有效期不满足要求的响应，其响应文件将被认定为</w:t>
      </w:r>
      <w:r>
        <w:rPr>
          <w:rFonts w:hint="eastAsia"/>
          <w:b/>
          <w:bCs/>
          <w:color w:val="auto"/>
          <w:sz w:val="24"/>
          <w:szCs w:val="24"/>
          <w:highlight w:val="none"/>
        </w:rPr>
        <w:t>无效</w:t>
      </w:r>
      <w:r>
        <w:rPr>
          <w:rFonts w:hint="eastAsia"/>
          <w:color w:val="auto"/>
          <w:sz w:val="24"/>
          <w:szCs w:val="24"/>
          <w:highlight w:val="none"/>
        </w:rPr>
        <w:t>。</w:t>
      </w:r>
    </w:p>
    <w:p>
      <w:pPr>
        <w:spacing w:line="360" w:lineRule="auto"/>
        <w:ind w:firstLine="480" w:firstLineChars="200"/>
        <w:rPr>
          <w:color w:val="auto"/>
          <w:sz w:val="24"/>
          <w:szCs w:val="24"/>
          <w:highlight w:val="none"/>
        </w:rPr>
      </w:pPr>
      <w:r>
        <w:rPr>
          <w:rFonts w:hint="eastAsia"/>
          <w:color w:val="auto"/>
          <w:sz w:val="24"/>
          <w:szCs w:val="24"/>
          <w:highlight w:val="none"/>
          <w:lang w:val="en-US"/>
        </w:rPr>
        <w:t xml:space="preserve">13.2 </w:t>
      </w:r>
      <w:r>
        <w:rPr>
          <w:rFonts w:hint="eastAsia"/>
          <w:color w:val="auto"/>
          <w:sz w:val="24"/>
          <w:szCs w:val="24"/>
          <w:highlight w:val="none"/>
        </w:rPr>
        <w:t>因特殊原因，采购人或采购代理机构可以在原响应有效期截止之前，要求供应商延长响应文件的有效期。接受该要求的供应商将不会被要求和允许修正其响应，且本须知中有关磋商保证金的要求须在延长的有效期内继续有效。</w:t>
      </w:r>
    </w:p>
    <w:p>
      <w:pPr>
        <w:spacing w:line="360" w:lineRule="auto"/>
        <w:ind w:firstLine="480" w:firstLineChars="200"/>
        <w:rPr>
          <w:color w:val="auto"/>
          <w:sz w:val="24"/>
          <w:szCs w:val="24"/>
          <w:highlight w:val="none"/>
        </w:rPr>
      </w:pPr>
      <w:r>
        <w:rPr>
          <w:rFonts w:hint="eastAsia"/>
          <w:color w:val="auto"/>
          <w:sz w:val="24"/>
          <w:szCs w:val="24"/>
          <w:highlight w:val="none"/>
        </w:rPr>
        <w:t>供应商可以拒绝延长响应有效期的要求，且不承担任何责任。上述要求和答复都应以书面形式提交。</w:t>
      </w:r>
    </w:p>
    <w:p>
      <w:pPr>
        <w:spacing w:line="360" w:lineRule="auto"/>
        <w:ind w:firstLine="482" w:firstLineChars="200"/>
        <w:rPr>
          <w:color w:val="auto"/>
          <w:sz w:val="24"/>
          <w:szCs w:val="24"/>
          <w:highlight w:val="none"/>
        </w:rPr>
      </w:pPr>
      <w:bookmarkStart w:id="100" w:name="14.响应文件的签署及规定"/>
      <w:bookmarkEnd w:id="100"/>
      <w:r>
        <w:rPr>
          <w:rFonts w:hint="eastAsia"/>
          <w:b/>
          <w:bCs/>
          <w:color w:val="auto"/>
          <w:sz w:val="24"/>
          <w:szCs w:val="24"/>
          <w:highlight w:val="none"/>
          <w:lang w:val="en-US"/>
        </w:rPr>
        <w:t>14</w:t>
      </w:r>
      <w:r>
        <w:rPr>
          <w:rFonts w:hint="eastAsia"/>
          <w:b/>
          <w:bCs/>
          <w:color w:val="auto"/>
          <w:sz w:val="24"/>
          <w:szCs w:val="24"/>
          <w:highlight w:val="none"/>
          <w:lang w:val="en-US" w:eastAsia="zh-CN"/>
        </w:rPr>
        <w:t>.</w:t>
      </w:r>
      <w:r>
        <w:rPr>
          <w:rFonts w:hint="eastAsia"/>
          <w:b/>
          <w:bCs/>
          <w:color w:val="auto"/>
          <w:sz w:val="24"/>
          <w:szCs w:val="24"/>
          <w:highlight w:val="none"/>
        </w:rPr>
        <w:t>响应文件的</w:t>
      </w:r>
      <w:r>
        <w:rPr>
          <w:rFonts w:hint="eastAsia"/>
          <w:b/>
          <w:bCs/>
          <w:color w:val="auto"/>
          <w:sz w:val="24"/>
          <w:szCs w:val="24"/>
          <w:highlight w:val="none"/>
          <w:u w:val="single"/>
        </w:rPr>
        <w:t>签署及规定</w:t>
      </w:r>
    </w:p>
    <w:p>
      <w:pPr>
        <w:spacing w:line="360" w:lineRule="auto"/>
        <w:ind w:firstLine="480" w:firstLineChars="200"/>
        <w:outlineLvl w:val="1"/>
        <w:rPr>
          <w:color w:val="auto"/>
          <w:sz w:val="24"/>
          <w:szCs w:val="24"/>
          <w:highlight w:val="none"/>
        </w:rPr>
      </w:pPr>
      <w:bookmarkStart w:id="101" w:name="_Toc9823"/>
      <w:bookmarkStart w:id="102" w:name="_Toc21718"/>
      <w:bookmarkStart w:id="103" w:name="_Toc1162"/>
      <w:bookmarkStart w:id="104" w:name="_Toc14137"/>
      <w:r>
        <w:rPr>
          <w:rFonts w:hint="eastAsia"/>
          <w:color w:val="auto"/>
          <w:sz w:val="24"/>
          <w:szCs w:val="24"/>
          <w:highlight w:val="none"/>
          <w:lang w:val="en-US"/>
        </w:rPr>
        <w:t>14.1</w:t>
      </w:r>
      <w:r>
        <w:rPr>
          <w:rFonts w:hint="eastAsia"/>
          <w:color w:val="auto"/>
          <w:sz w:val="24"/>
          <w:szCs w:val="24"/>
          <w:highlight w:val="none"/>
        </w:rPr>
        <w:t>电子标</w:t>
      </w:r>
      <w:bookmarkEnd w:id="101"/>
      <w:bookmarkEnd w:id="102"/>
      <w:bookmarkEnd w:id="103"/>
      <w:bookmarkEnd w:id="104"/>
    </w:p>
    <w:p>
      <w:pPr>
        <w:spacing w:line="360" w:lineRule="auto"/>
        <w:ind w:firstLine="480" w:firstLineChars="200"/>
        <w:rPr>
          <w:color w:val="auto"/>
          <w:sz w:val="24"/>
          <w:szCs w:val="24"/>
          <w:highlight w:val="none"/>
        </w:rPr>
      </w:pPr>
      <w:r>
        <w:rPr>
          <w:rFonts w:hint="eastAsia"/>
          <w:color w:val="auto"/>
          <w:sz w:val="24"/>
          <w:szCs w:val="24"/>
          <w:highlight w:val="none"/>
          <w:lang w:val="en-US"/>
        </w:rPr>
        <w:t>14.1.1</w:t>
      </w:r>
      <w:r>
        <w:rPr>
          <w:rFonts w:hint="eastAsia"/>
          <w:color w:val="auto"/>
          <w:sz w:val="24"/>
          <w:szCs w:val="24"/>
          <w:highlight w:val="none"/>
        </w:rPr>
        <w:t>供应商应按</w:t>
      </w:r>
      <w:r>
        <w:rPr>
          <w:rFonts w:hint="eastAsia"/>
          <w:color w:val="auto"/>
          <w:sz w:val="24"/>
          <w:szCs w:val="24"/>
          <w:highlight w:val="none"/>
          <w:u w:val="single"/>
        </w:rPr>
        <w:t>供应商须知资料表</w:t>
      </w:r>
      <w:r>
        <w:rPr>
          <w:rFonts w:hint="eastAsia"/>
          <w:color w:val="auto"/>
          <w:sz w:val="24"/>
          <w:szCs w:val="24"/>
          <w:highlight w:val="none"/>
        </w:rPr>
        <w:t>中的规定，准备和递交 1 份加密电子响应文件（.LYTF 格式），应于提交响应文件截止时间前上传至临沂市公共资源电子交易系统。</w:t>
      </w:r>
    </w:p>
    <w:p>
      <w:pPr>
        <w:spacing w:line="360" w:lineRule="auto"/>
        <w:ind w:firstLine="480" w:firstLineChars="200"/>
        <w:rPr>
          <w:color w:val="auto"/>
          <w:sz w:val="24"/>
          <w:szCs w:val="24"/>
          <w:highlight w:val="none"/>
        </w:rPr>
      </w:pPr>
      <w:r>
        <w:rPr>
          <w:rFonts w:hint="eastAsia"/>
          <w:color w:val="auto"/>
          <w:sz w:val="24"/>
          <w:szCs w:val="24"/>
          <w:highlight w:val="none"/>
          <w:lang w:val="en-US"/>
        </w:rPr>
        <w:t>14.1.2</w:t>
      </w:r>
      <w:r>
        <w:rPr>
          <w:rFonts w:hint="eastAsia"/>
          <w:color w:val="auto"/>
          <w:sz w:val="24"/>
          <w:szCs w:val="24"/>
          <w:highlight w:val="none"/>
        </w:rPr>
        <w:t>电子响应文件封面应由供应商加盖单位电子公章，响应文件指定位置应由供应商法定代表人/负责人签章、加盖单位电子公章。</w:t>
      </w:r>
    </w:p>
    <w:p>
      <w:pPr>
        <w:spacing w:line="360" w:lineRule="auto"/>
        <w:ind w:firstLine="480" w:firstLineChars="200"/>
        <w:rPr>
          <w:color w:val="auto"/>
          <w:sz w:val="24"/>
          <w:szCs w:val="24"/>
          <w:highlight w:val="none"/>
        </w:rPr>
      </w:pPr>
      <w:r>
        <w:rPr>
          <w:rFonts w:hint="eastAsia"/>
          <w:color w:val="auto"/>
          <w:sz w:val="24"/>
          <w:szCs w:val="24"/>
          <w:highlight w:val="none"/>
          <w:lang w:val="en-US"/>
        </w:rPr>
        <w:t>14.1.3</w:t>
      </w:r>
      <w:r>
        <w:rPr>
          <w:rFonts w:hint="eastAsia"/>
          <w:color w:val="auto"/>
          <w:sz w:val="24"/>
          <w:szCs w:val="24"/>
          <w:highlight w:val="none"/>
        </w:rPr>
        <w:t>响应文件因字迹潦草、表达不清所引起的后果由供应商负责。</w:t>
      </w:r>
    </w:p>
    <w:p>
      <w:pPr>
        <w:spacing w:line="360" w:lineRule="auto"/>
        <w:ind w:firstLine="643" w:firstLineChars="200"/>
        <w:jc w:val="center"/>
        <w:rPr>
          <w:rFonts w:hint="eastAsia"/>
          <w:b/>
          <w:bCs/>
          <w:color w:val="auto"/>
          <w:sz w:val="32"/>
          <w:szCs w:val="32"/>
          <w:highlight w:val="none"/>
        </w:rPr>
      </w:pPr>
      <w:bookmarkStart w:id="105" w:name="四___响应文件的递交"/>
      <w:bookmarkEnd w:id="105"/>
    </w:p>
    <w:p>
      <w:pPr>
        <w:pStyle w:val="21"/>
        <w:ind w:left="0" w:leftChars="0" w:firstLine="0" w:firstLineChars="0"/>
        <w:rPr>
          <w:rFonts w:hint="eastAsia"/>
          <w:color w:val="auto"/>
          <w:highlight w:val="none"/>
        </w:rPr>
      </w:pPr>
    </w:p>
    <w:p>
      <w:pPr>
        <w:rPr>
          <w:rFonts w:hint="eastAsia"/>
          <w:color w:val="auto"/>
          <w:highlight w:val="none"/>
        </w:rPr>
      </w:pPr>
    </w:p>
    <w:p>
      <w:pPr>
        <w:pStyle w:val="22"/>
        <w:rPr>
          <w:rFonts w:hint="eastAsia"/>
          <w:color w:val="auto"/>
          <w:highlight w:val="none"/>
        </w:rPr>
      </w:pPr>
    </w:p>
    <w:p>
      <w:pPr>
        <w:pStyle w:val="21"/>
        <w:rPr>
          <w:rFonts w:hint="eastAsia"/>
          <w:color w:val="auto"/>
          <w:highlight w:val="none"/>
        </w:rPr>
      </w:pPr>
    </w:p>
    <w:p>
      <w:pPr>
        <w:numPr>
          <w:ilvl w:val="0"/>
          <w:numId w:val="0"/>
        </w:numPr>
        <w:spacing w:line="360" w:lineRule="auto"/>
        <w:ind w:firstLine="643" w:firstLineChars="200"/>
        <w:jc w:val="center"/>
        <w:rPr>
          <w:rFonts w:hint="eastAsia" w:ascii="宋体" w:hAnsi="宋体" w:eastAsia="宋体" w:cs="宋体"/>
          <w:b/>
          <w:bCs/>
          <w:color w:val="auto"/>
          <w:sz w:val="32"/>
          <w:szCs w:val="32"/>
          <w:highlight w:val="none"/>
          <w:lang w:val="zh-CN" w:eastAsia="zh-CN"/>
        </w:rPr>
      </w:pPr>
    </w:p>
    <w:p>
      <w:pPr>
        <w:numPr>
          <w:ilvl w:val="0"/>
          <w:numId w:val="0"/>
        </w:numPr>
        <w:spacing w:line="360" w:lineRule="auto"/>
        <w:ind w:firstLine="643" w:firstLineChars="200"/>
        <w:jc w:val="center"/>
        <w:rPr>
          <w:color w:val="auto"/>
          <w:highlight w:val="none"/>
        </w:rPr>
      </w:pPr>
      <w:r>
        <w:rPr>
          <w:rFonts w:hint="eastAsia" w:ascii="宋体" w:hAnsi="宋体" w:eastAsia="宋体" w:cs="宋体"/>
          <w:b/>
          <w:bCs/>
          <w:color w:val="auto"/>
          <w:sz w:val="32"/>
          <w:szCs w:val="32"/>
          <w:highlight w:val="none"/>
          <w:lang w:val="zh-CN" w:eastAsia="zh-CN"/>
        </w:rPr>
        <w:t>四、</w:t>
      </w:r>
      <w:r>
        <w:rPr>
          <w:rFonts w:hint="eastAsia"/>
          <w:b/>
          <w:bCs/>
          <w:color w:val="auto"/>
          <w:sz w:val="32"/>
          <w:szCs w:val="32"/>
          <w:highlight w:val="none"/>
        </w:rPr>
        <w:t>响应文件的递交</w:t>
      </w:r>
    </w:p>
    <w:p>
      <w:pPr>
        <w:spacing w:line="360" w:lineRule="auto"/>
        <w:ind w:firstLine="482" w:firstLineChars="200"/>
        <w:rPr>
          <w:color w:val="auto"/>
          <w:sz w:val="24"/>
          <w:szCs w:val="24"/>
          <w:highlight w:val="none"/>
        </w:rPr>
      </w:pPr>
      <w:bookmarkStart w:id="106" w:name="15.响应文件的密封和标记"/>
      <w:bookmarkEnd w:id="106"/>
      <w:r>
        <w:rPr>
          <w:rFonts w:hint="eastAsia"/>
          <w:b/>
          <w:bCs/>
          <w:color w:val="auto"/>
          <w:sz w:val="24"/>
          <w:szCs w:val="24"/>
          <w:highlight w:val="none"/>
          <w:lang w:val="en-US"/>
        </w:rPr>
        <w:t>15</w:t>
      </w:r>
      <w:r>
        <w:rPr>
          <w:rFonts w:hint="eastAsia"/>
          <w:b/>
          <w:bCs/>
          <w:color w:val="auto"/>
          <w:sz w:val="24"/>
          <w:szCs w:val="24"/>
          <w:highlight w:val="none"/>
          <w:lang w:val="en-US" w:eastAsia="zh-CN"/>
        </w:rPr>
        <w:t>.</w:t>
      </w:r>
      <w:r>
        <w:rPr>
          <w:rFonts w:hint="eastAsia"/>
          <w:b/>
          <w:bCs/>
          <w:color w:val="auto"/>
          <w:sz w:val="24"/>
          <w:szCs w:val="24"/>
          <w:highlight w:val="none"/>
        </w:rPr>
        <w:t>响应文件的密封和标记</w:t>
      </w:r>
    </w:p>
    <w:p>
      <w:pPr>
        <w:spacing w:line="360" w:lineRule="auto"/>
        <w:ind w:firstLine="480" w:firstLineChars="200"/>
        <w:outlineLvl w:val="1"/>
        <w:rPr>
          <w:color w:val="auto"/>
          <w:sz w:val="24"/>
          <w:szCs w:val="24"/>
          <w:highlight w:val="none"/>
        </w:rPr>
      </w:pPr>
      <w:bookmarkStart w:id="107" w:name="_Toc9119"/>
      <w:bookmarkStart w:id="108" w:name="_Toc23622"/>
      <w:bookmarkStart w:id="109" w:name="_Toc5219"/>
      <w:bookmarkStart w:id="110" w:name="_Toc23508"/>
      <w:r>
        <w:rPr>
          <w:rFonts w:hint="eastAsia"/>
          <w:color w:val="auto"/>
          <w:sz w:val="24"/>
          <w:szCs w:val="24"/>
          <w:highlight w:val="none"/>
          <w:lang w:val="en-US"/>
        </w:rPr>
        <w:t>15.1</w:t>
      </w:r>
      <w:r>
        <w:rPr>
          <w:rFonts w:hint="eastAsia"/>
          <w:color w:val="auto"/>
          <w:sz w:val="24"/>
          <w:szCs w:val="24"/>
          <w:highlight w:val="none"/>
        </w:rPr>
        <w:t>电子标</w:t>
      </w:r>
      <w:bookmarkEnd w:id="107"/>
      <w:bookmarkEnd w:id="108"/>
      <w:bookmarkEnd w:id="109"/>
      <w:bookmarkEnd w:id="110"/>
    </w:p>
    <w:p>
      <w:pPr>
        <w:spacing w:line="360" w:lineRule="auto"/>
        <w:ind w:firstLine="480" w:firstLineChars="200"/>
        <w:rPr>
          <w:color w:val="auto"/>
          <w:sz w:val="24"/>
          <w:szCs w:val="24"/>
          <w:highlight w:val="none"/>
        </w:rPr>
      </w:pPr>
      <w:r>
        <w:rPr>
          <w:rFonts w:hint="eastAsia"/>
          <w:color w:val="auto"/>
          <w:sz w:val="24"/>
          <w:szCs w:val="24"/>
          <w:highlight w:val="none"/>
          <w:lang w:val="en-US"/>
        </w:rPr>
        <w:t>15.1.1</w:t>
      </w:r>
      <w:r>
        <w:rPr>
          <w:rFonts w:hint="eastAsia"/>
          <w:color w:val="auto"/>
          <w:sz w:val="24"/>
          <w:szCs w:val="24"/>
          <w:highlight w:val="none"/>
        </w:rPr>
        <w:t>本项目实行电子响应文件，供应商无须提交纸质响应文件。供应商应按照本项目竞争性磋商文件的要求编制、加密并递交响应文件。供应商在使用系统进行响应文件的过程中遇到涉及平台使用的任何问题，可致电平台技术支持热线咨询。</w:t>
      </w:r>
    </w:p>
    <w:p>
      <w:pPr>
        <w:spacing w:line="360" w:lineRule="auto"/>
        <w:ind w:firstLine="480" w:firstLineChars="200"/>
        <w:rPr>
          <w:color w:val="auto"/>
          <w:sz w:val="24"/>
          <w:szCs w:val="24"/>
          <w:highlight w:val="none"/>
        </w:rPr>
      </w:pPr>
      <w:r>
        <w:rPr>
          <w:rFonts w:hint="eastAsia"/>
          <w:color w:val="auto"/>
          <w:sz w:val="24"/>
          <w:szCs w:val="24"/>
          <w:highlight w:val="none"/>
          <w:lang w:val="en-US"/>
        </w:rPr>
        <w:t>15.1.2</w:t>
      </w:r>
      <w:r>
        <w:rPr>
          <w:rFonts w:hint="eastAsia"/>
          <w:color w:val="auto"/>
          <w:sz w:val="24"/>
          <w:szCs w:val="24"/>
          <w:highlight w:val="none"/>
        </w:rPr>
        <w:t>采购代理机构按照投标人须知资料表规定的时间和地点召开开标会议。</w:t>
      </w:r>
    </w:p>
    <w:p>
      <w:pPr>
        <w:spacing w:line="360" w:lineRule="auto"/>
        <w:ind w:firstLine="480" w:firstLineChars="200"/>
        <w:outlineLvl w:val="1"/>
        <w:rPr>
          <w:color w:val="auto"/>
          <w:sz w:val="24"/>
          <w:szCs w:val="24"/>
          <w:highlight w:val="none"/>
        </w:rPr>
      </w:pPr>
      <w:bookmarkStart w:id="111" w:name="_Toc31240"/>
      <w:bookmarkStart w:id="112" w:name="_Toc26819"/>
      <w:bookmarkStart w:id="113" w:name="_Toc9216"/>
      <w:bookmarkStart w:id="114" w:name="_Toc28520"/>
      <w:r>
        <w:rPr>
          <w:rFonts w:hint="eastAsia"/>
          <w:color w:val="auto"/>
          <w:sz w:val="24"/>
          <w:szCs w:val="24"/>
          <w:highlight w:val="none"/>
          <w:lang w:val="en-US"/>
        </w:rPr>
        <w:t>15.2</w:t>
      </w:r>
      <w:r>
        <w:rPr>
          <w:rFonts w:hint="eastAsia"/>
          <w:color w:val="auto"/>
          <w:sz w:val="24"/>
          <w:szCs w:val="24"/>
          <w:highlight w:val="none"/>
        </w:rPr>
        <w:t>非电子标（本项目不适用）</w:t>
      </w:r>
      <w:bookmarkEnd w:id="111"/>
      <w:bookmarkEnd w:id="112"/>
      <w:bookmarkEnd w:id="113"/>
      <w:bookmarkEnd w:id="114"/>
    </w:p>
    <w:p>
      <w:pPr>
        <w:spacing w:line="360" w:lineRule="auto"/>
        <w:ind w:firstLine="480" w:firstLineChars="200"/>
        <w:rPr>
          <w:color w:val="auto"/>
          <w:sz w:val="24"/>
          <w:szCs w:val="24"/>
          <w:highlight w:val="none"/>
        </w:rPr>
      </w:pPr>
      <w:r>
        <w:rPr>
          <w:rFonts w:hint="eastAsia"/>
          <w:color w:val="auto"/>
          <w:sz w:val="24"/>
          <w:szCs w:val="24"/>
          <w:highlight w:val="none"/>
          <w:lang w:val="en-US"/>
        </w:rPr>
        <w:t>15.2.1</w:t>
      </w:r>
      <w:r>
        <w:rPr>
          <w:rFonts w:hint="eastAsia"/>
          <w:color w:val="auto"/>
          <w:sz w:val="24"/>
          <w:szCs w:val="24"/>
          <w:highlight w:val="none"/>
        </w:rPr>
        <w:t>供应商应将响应文件以正本、副本、报价一览表（一式三份）、电子版为单位分别密封，并在密封件上标明密封件内容、项目编号、项目名称、供应商名称、包号等。</w:t>
      </w:r>
    </w:p>
    <w:p>
      <w:pPr>
        <w:spacing w:line="360" w:lineRule="auto"/>
        <w:ind w:firstLine="480" w:firstLineChars="200"/>
        <w:rPr>
          <w:color w:val="auto"/>
          <w:sz w:val="24"/>
          <w:szCs w:val="24"/>
          <w:highlight w:val="none"/>
        </w:rPr>
      </w:pPr>
      <w:r>
        <w:rPr>
          <w:rFonts w:hint="eastAsia"/>
          <w:color w:val="auto"/>
          <w:sz w:val="24"/>
          <w:szCs w:val="24"/>
          <w:highlight w:val="none"/>
          <w:lang w:val="en-US"/>
        </w:rPr>
        <w:t>15.2.2</w:t>
      </w:r>
      <w:r>
        <w:rPr>
          <w:rFonts w:hint="eastAsia"/>
          <w:color w:val="auto"/>
          <w:sz w:val="24"/>
          <w:szCs w:val="24"/>
          <w:highlight w:val="none"/>
        </w:rPr>
        <w:t>供应商将每部分响应文件装入信袋内加以密封后，并在封签处加盖公章或授权代表签字，如无公章或授权代表签字，响应文件将会被拒收。</w:t>
      </w:r>
    </w:p>
    <w:p>
      <w:pPr>
        <w:spacing w:line="360" w:lineRule="auto"/>
        <w:ind w:firstLine="480" w:firstLineChars="200"/>
        <w:rPr>
          <w:color w:val="auto"/>
          <w:sz w:val="24"/>
          <w:szCs w:val="24"/>
          <w:highlight w:val="none"/>
        </w:rPr>
      </w:pPr>
      <w:r>
        <w:rPr>
          <w:rFonts w:hint="eastAsia"/>
          <w:color w:val="auto"/>
          <w:sz w:val="24"/>
          <w:szCs w:val="24"/>
          <w:highlight w:val="none"/>
          <w:lang w:val="en-US"/>
        </w:rPr>
        <w:t>15.2.3</w:t>
      </w:r>
      <w:r>
        <w:rPr>
          <w:rFonts w:hint="eastAsia"/>
          <w:color w:val="auto"/>
          <w:sz w:val="24"/>
          <w:szCs w:val="24"/>
          <w:highlight w:val="none"/>
        </w:rPr>
        <w:t>因供应商对其响应文件密封不当或签署不当而造成响应文件被拒收，由供应商自行负责。</w:t>
      </w:r>
    </w:p>
    <w:p>
      <w:pPr>
        <w:spacing w:line="360" w:lineRule="auto"/>
        <w:ind w:firstLine="482" w:firstLineChars="200"/>
        <w:rPr>
          <w:b/>
          <w:bCs/>
          <w:color w:val="auto"/>
          <w:sz w:val="24"/>
          <w:szCs w:val="24"/>
          <w:highlight w:val="none"/>
        </w:rPr>
      </w:pPr>
      <w:bookmarkStart w:id="115" w:name="16.响应文件截止"/>
      <w:bookmarkEnd w:id="115"/>
      <w:r>
        <w:rPr>
          <w:rFonts w:hint="eastAsia"/>
          <w:b/>
          <w:bCs/>
          <w:color w:val="auto"/>
          <w:sz w:val="24"/>
          <w:szCs w:val="24"/>
          <w:highlight w:val="none"/>
          <w:lang w:val="en-US"/>
        </w:rPr>
        <w:t>16</w:t>
      </w:r>
      <w:r>
        <w:rPr>
          <w:rFonts w:hint="eastAsia"/>
          <w:b/>
          <w:bCs/>
          <w:color w:val="auto"/>
          <w:sz w:val="24"/>
          <w:szCs w:val="24"/>
          <w:highlight w:val="none"/>
          <w:lang w:val="en-US" w:eastAsia="zh-CN"/>
        </w:rPr>
        <w:t>.</w:t>
      </w:r>
      <w:r>
        <w:rPr>
          <w:rFonts w:hint="eastAsia"/>
          <w:b/>
          <w:bCs/>
          <w:color w:val="auto"/>
          <w:sz w:val="24"/>
          <w:szCs w:val="24"/>
          <w:highlight w:val="none"/>
        </w:rPr>
        <w:t>响应文件截止</w:t>
      </w:r>
    </w:p>
    <w:p>
      <w:pPr>
        <w:spacing w:line="360" w:lineRule="auto"/>
        <w:ind w:firstLine="480" w:firstLineChars="200"/>
        <w:outlineLvl w:val="1"/>
        <w:rPr>
          <w:color w:val="auto"/>
          <w:sz w:val="24"/>
          <w:szCs w:val="24"/>
          <w:highlight w:val="none"/>
        </w:rPr>
      </w:pPr>
      <w:bookmarkStart w:id="116" w:name="_Toc21646"/>
      <w:bookmarkStart w:id="117" w:name="_Toc18255"/>
      <w:bookmarkStart w:id="118" w:name="_Toc14417"/>
      <w:bookmarkStart w:id="119" w:name="_Toc32252"/>
      <w:r>
        <w:rPr>
          <w:rFonts w:hint="eastAsia"/>
          <w:color w:val="auto"/>
          <w:sz w:val="24"/>
          <w:szCs w:val="24"/>
          <w:highlight w:val="none"/>
          <w:lang w:val="en-US"/>
        </w:rPr>
        <w:t>16.1</w:t>
      </w:r>
      <w:r>
        <w:rPr>
          <w:rFonts w:hint="eastAsia"/>
          <w:color w:val="auto"/>
          <w:sz w:val="24"/>
          <w:szCs w:val="24"/>
          <w:highlight w:val="none"/>
        </w:rPr>
        <w:t>供应商递交响应文件的时间和地点：见</w:t>
      </w:r>
      <w:r>
        <w:rPr>
          <w:rFonts w:hint="eastAsia"/>
          <w:color w:val="auto"/>
          <w:sz w:val="24"/>
          <w:szCs w:val="24"/>
          <w:highlight w:val="none"/>
          <w:u w:val="single"/>
        </w:rPr>
        <w:t>供应商须知资料表</w:t>
      </w:r>
      <w:r>
        <w:rPr>
          <w:rFonts w:hint="eastAsia"/>
          <w:color w:val="auto"/>
          <w:sz w:val="24"/>
          <w:szCs w:val="24"/>
          <w:highlight w:val="none"/>
        </w:rPr>
        <w:t>。</w:t>
      </w:r>
      <w:bookmarkEnd w:id="116"/>
      <w:bookmarkEnd w:id="117"/>
      <w:bookmarkEnd w:id="118"/>
      <w:bookmarkEnd w:id="119"/>
    </w:p>
    <w:p>
      <w:pPr>
        <w:spacing w:line="360" w:lineRule="auto"/>
        <w:ind w:firstLine="480" w:firstLineChars="200"/>
        <w:rPr>
          <w:color w:val="auto"/>
          <w:sz w:val="24"/>
          <w:szCs w:val="24"/>
          <w:highlight w:val="none"/>
        </w:rPr>
      </w:pPr>
      <w:r>
        <w:rPr>
          <w:rFonts w:hint="eastAsia"/>
          <w:color w:val="auto"/>
          <w:sz w:val="24"/>
          <w:szCs w:val="24"/>
          <w:highlight w:val="none"/>
          <w:lang w:val="en-US"/>
        </w:rPr>
        <w:t>16.2</w:t>
      </w:r>
      <w:r>
        <w:rPr>
          <w:rFonts w:hint="eastAsia"/>
          <w:color w:val="auto"/>
          <w:sz w:val="24"/>
          <w:szCs w:val="24"/>
          <w:highlight w:val="none"/>
        </w:rPr>
        <w:t>采购人和采购代理机构将拒绝接收在提交响应文件截止时间后递交的响应文件。</w:t>
      </w:r>
    </w:p>
    <w:p>
      <w:pPr>
        <w:spacing w:line="360" w:lineRule="auto"/>
        <w:ind w:firstLine="480" w:firstLineChars="200"/>
        <w:outlineLvl w:val="1"/>
        <w:rPr>
          <w:color w:val="auto"/>
          <w:sz w:val="24"/>
          <w:szCs w:val="24"/>
          <w:highlight w:val="none"/>
        </w:rPr>
      </w:pPr>
      <w:bookmarkStart w:id="120" w:name="_Toc4874"/>
      <w:bookmarkStart w:id="121" w:name="_Toc28688"/>
      <w:bookmarkStart w:id="122" w:name="_Toc8904"/>
      <w:bookmarkStart w:id="123" w:name="_Toc17780"/>
      <w:r>
        <w:rPr>
          <w:rFonts w:hint="eastAsia"/>
          <w:color w:val="auto"/>
          <w:sz w:val="24"/>
          <w:szCs w:val="24"/>
          <w:highlight w:val="none"/>
          <w:lang w:val="en-US"/>
        </w:rPr>
        <w:t>16.3</w:t>
      </w:r>
      <w:r>
        <w:rPr>
          <w:rFonts w:hint="eastAsia"/>
          <w:color w:val="auto"/>
          <w:sz w:val="24"/>
          <w:szCs w:val="24"/>
          <w:highlight w:val="none"/>
        </w:rPr>
        <w:t>供应商所递交的响应文件不予退还。</w:t>
      </w:r>
      <w:bookmarkEnd w:id="120"/>
      <w:bookmarkEnd w:id="121"/>
      <w:bookmarkEnd w:id="122"/>
      <w:bookmarkEnd w:id="123"/>
    </w:p>
    <w:p>
      <w:pPr>
        <w:spacing w:line="360" w:lineRule="auto"/>
        <w:ind w:firstLine="482" w:firstLineChars="200"/>
        <w:rPr>
          <w:color w:val="auto"/>
          <w:sz w:val="24"/>
          <w:szCs w:val="24"/>
          <w:highlight w:val="none"/>
        </w:rPr>
      </w:pPr>
      <w:bookmarkStart w:id="124" w:name="17.响应文件的接收、修改与撤回"/>
      <w:bookmarkEnd w:id="124"/>
      <w:r>
        <w:rPr>
          <w:rFonts w:hint="eastAsia"/>
          <w:b/>
          <w:bCs/>
          <w:color w:val="auto"/>
          <w:sz w:val="24"/>
          <w:szCs w:val="24"/>
          <w:highlight w:val="none"/>
          <w:u w:val="single"/>
          <w:lang w:val="en-US"/>
        </w:rPr>
        <w:t>17</w:t>
      </w:r>
      <w:r>
        <w:rPr>
          <w:rFonts w:hint="eastAsia"/>
          <w:b/>
          <w:bCs/>
          <w:color w:val="auto"/>
          <w:sz w:val="24"/>
          <w:szCs w:val="24"/>
          <w:highlight w:val="none"/>
          <w:u w:val="single"/>
          <w:lang w:val="en-US" w:eastAsia="zh-CN"/>
        </w:rPr>
        <w:t>.</w:t>
      </w:r>
      <w:r>
        <w:rPr>
          <w:rFonts w:hint="eastAsia"/>
          <w:b/>
          <w:bCs/>
          <w:color w:val="auto"/>
          <w:sz w:val="24"/>
          <w:szCs w:val="24"/>
          <w:highlight w:val="none"/>
          <w:u w:val="single"/>
        </w:rPr>
        <w:t>响应文件的接收、修改与撤回</w:t>
      </w:r>
    </w:p>
    <w:p>
      <w:pPr>
        <w:spacing w:line="360" w:lineRule="auto"/>
        <w:ind w:firstLine="480" w:firstLineChars="200"/>
        <w:outlineLvl w:val="1"/>
        <w:rPr>
          <w:color w:val="auto"/>
          <w:sz w:val="24"/>
          <w:szCs w:val="24"/>
          <w:highlight w:val="none"/>
        </w:rPr>
      </w:pPr>
      <w:bookmarkStart w:id="125" w:name="_Toc28960"/>
      <w:bookmarkStart w:id="126" w:name="_Toc31023"/>
      <w:bookmarkStart w:id="127" w:name="_Toc24340"/>
      <w:bookmarkStart w:id="128" w:name="_Toc26624"/>
      <w:r>
        <w:rPr>
          <w:rFonts w:hint="eastAsia"/>
          <w:color w:val="auto"/>
          <w:sz w:val="24"/>
          <w:szCs w:val="24"/>
          <w:highlight w:val="none"/>
          <w:lang w:val="en-US"/>
        </w:rPr>
        <w:t>17.1</w:t>
      </w:r>
      <w:r>
        <w:rPr>
          <w:rFonts w:hint="eastAsia"/>
          <w:color w:val="auto"/>
          <w:sz w:val="24"/>
          <w:szCs w:val="24"/>
          <w:highlight w:val="none"/>
        </w:rPr>
        <w:t>电子标</w:t>
      </w:r>
      <w:bookmarkEnd w:id="125"/>
      <w:bookmarkEnd w:id="126"/>
      <w:bookmarkEnd w:id="127"/>
      <w:bookmarkEnd w:id="128"/>
    </w:p>
    <w:p>
      <w:pPr>
        <w:spacing w:line="360" w:lineRule="auto"/>
        <w:ind w:firstLine="480" w:firstLineChars="200"/>
        <w:rPr>
          <w:color w:val="auto"/>
          <w:sz w:val="24"/>
          <w:szCs w:val="24"/>
          <w:highlight w:val="none"/>
        </w:rPr>
      </w:pPr>
      <w:r>
        <w:rPr>
          <w:rFonts w:hint="eastAsia"/>
          <w:color w:val="auto"/>
          <w:sz w:val="24"/>
          <w:szCs w:val="24"/>
          <w:highlight w:val="none"/>
          <w:lang w:val="en-US"/>
        </w:rPr>
        <w:t>17.1.1</w:t>
      </w:r>
      <w:r>
        <w:rPr>
          <w:rFonts w:hint="eastAsia"/>
          <w:color w:val="auto"/>
          <w:sz w:val="24"/>
          <w:szCs w:val="24"/>
          <w:highlight w:val="none"/>
        </w:rPr>
        <w:t>采购人或采购代理机构将按竞争性磋商文件的规定接收响应文件。</w:t>
      </w:r>
    </w:p>
    <w:p>
      <w:pPr>
        <w:spacing w:line="360" w:lineRule="auto"/>
        <w:ind w:firstLine="480" w:firstLineChars="200"/>
        <w:rPr>
          <w:color w:val="auto"/>
          <w:sz w:val="24"/>
          <w:szCs w:val="24"/>
          <w:highlight w:val="none"/>
        </w:rPr>
      </w:pPr>
      <w:r>
        <w:rPr>
          <w:rFonts w:hint="eastAsia"/>
          <w:color w:val="auto"/>
          <w:sz w:val="24"/>
          <w:szCs w:val="24"/>
          <w:highlight w:val="none"/>
          <w:lang w:val="en-US"/>
        </w:rPr>
        <w:t>17.1.2</w:t>
      </w:r>
      <w:r>
        <w:rPr>
          <w:rFonts w:hint="eastAsia"/>
          <w:color w:val="auto"/>
          <w:sz w:val="24"/>
          <w:szCs w:val="24"/>
          <w:highlight w:val="none"/>
        </w:rPr>
        <w:t>采购人或采购代理机构收到响应文件后，将记载响应文件的递交时间和密封情况，在</w:t>
      </w:r>
      <w:r>
        <w:rPr>
          <w:rFonts w:hint="eastAsia"/>
          <w:color w:val="auto"/>
          <w:sz w:val="24"/>
          <w:szCs w:val="24"/>
          <w:highlight w:val="none"/>
          <w:u w:val="single"/>
        </w:rPr>
        <w:t>临沂市公共资源</w:t>
      </w:r>
      <w:r>
        <w:rPr>
          <w:rFonts w:hint="eastAsia"/>
          <w:color w:val="auto"/>
          <w:sz w:val="24"/>
          <w:szCs w:val="24"/>
          <w:highlight w:val="none"/>
        </w:rPr>
        <w:t>电子交易系统中生成回执，供应商自行查看、打印。</w:t>
      </w:r>
    </w:p>
    <w:p>
      <w:pPr>
        <w:spacing w:line="360" w:lineRule="auto"/>
        <w:ind w:firstLine="480" w:firstLineChars="200"/>
        <w:rPr>
          <w:color w:val="auto"/>
          <w:sz w:val="24"/>
          <w:szCs w:val="24"/>
          <w:highlight w:val="none"/>
        </w:rPr>
      </w:pPr>
      <w:r>
        <w:rPr>
          <w:rFonts w:hint="eastAsia"/>
          <w:color w:val="auto"/>
          <w:sz w:val="24"/>
          <w:szCs w:val="24"/>
          <w:highlight w:val="none"/>
          <w:lang w:val="en-US"/>
        </w:rPr>
        <w:t>17.1.3</w:t>
      </w:r>
      <w:r>
        <w:rPr>
          <w:rFonts w:hint="eastAsia"/>
          <w:color w:val="auto"/>
          <w:sz w:val="24"/>
          <w:szCs w:val="24"/>
          <w:highlight w:val="none"/>
        </w:rPr>
        <w:t>递交响应文件以后，如果供应商要进行撤回的，须在提交响应文件截止时间前在</w:t>
      </w:r>
      <w:r>
        <w:rPr>
          <w:rFonts w:hint="eastAsia"/>
          <w:color w:val="auto"/>
          <w:sz w:val="24"/>
          <w:szCs w:val="24"/>
          <w:highlight w:val="none"/>
          <w:u w:val="single"/>
        </w:rPr>
        <w:t>临沂市公共资源</w:t>
      </w:r>
      <w:r>
        <w:rPr>
          <w:rFonts w:hint="eastAsia"/>
          <w:color w:val="auto"/>
          <w:sz w:val="24"/>
          <w:szCs w:val="24"/>
          <w:highlight w:val="none"/>
        </w:rPr>
        <w:t>电子交易系统中进行撤回。</w:t>
      </w:r>
    </w:p>
    <w:p>
      <w:pPr>
        <w:spacing w:line="240" w:lineRule="auto"/>
        <w:ind w:firstLine="480" w:firstLineChars="200"/>
        <w:rPr>
          <w:color w:val="auto"/>
          <w:sz w:val="24"/>
          <w:szCs w:val="24"/>
          <w:highlight w:val="none"/>
        </w:rPr>
      </w:pPr>
      <w:r>
        <w:rPr>
          <w:rFonts w:hint="eastAsia"/>
          <w:color w:val="auto"/>
          <w:sz w:val="24"/>
          <w:szCs w:val="24"/>
          <w:highlight w:val="none"/>
          <w:lang w:val="en-US"/>
        </w:rPr>
        <w:t>17.1.4</w:t>
      </w:r>
      <w:r>
        <w:rPr>
          <w:rFonts w:hint="eastAsia"/>
          <w:color w:val="auto"/>
          <w:sz w:val="24"/>
          <w:szCs w:val="24"/>
          <w:highlight w:val="none"/>
        </w:rPr>
        <w:t>如果在提交响应文件截止时间前需要对已经成功生成并上传</w:t>
      </w:r>
      <w:r>
        <w:rPr>
          <w:rFonts w:hint="eastAsia"/>
          <w:color w:val="auto"/>
          <w:sz w:val="24"/>
          <w:szCs w:val="24"/>
          <w:highlight w:val="none"/>
          <w:u w:val="single"/>
        </w:rPr>
        <w:t>临沂市公共资源</w:t>
      </w:r>
      <w:r>
        <w:rPr>
          <w:rFonts w:hint="eastAsia"/>
          <w:color w:val="auto"/>
          <w:sz w:val="24"/>
          <w:szCs w:val="24"/>
          <w:highlight w:val="none"/>
        </w:rPr>
        <w:t>电子交易系统的电子响应文件进行修改、补充的，供应商应当先撤回原文件，使用自备计算机和响应文件制作软件重新制作生成新的电子响应文件，并在提交响应文件截止时间前重新上传。</w:t>
      </w:r>
    </w:p>
    <w:p>
      <w:pPr>
        <w:spacing w:line="240" w:lineRule="auto"/>
        <w:ind w:firstLine="480" w:firstLineChars="200"/>
        <w:rPr>
          <w:color w:val="auto"/>
          <w:sz w:val="24"/>
          <w:szCs w:val="24"/>
          <w:highlight w:val="none"/>
        </w:rPr>
      </w:pPr>
      <w:r>
        <w:rPr>
          <w:rFonts w:hint="eastAsia"/>
          <w:color w:val="auto"/>
          <w:sz w:val="24"/>
          <w:szCs w:val="24"/>
          <w:highlight w:val="none"/>
          <w:lang w:val="en-US"/>
        </w:rPr>
        <w:t>17.1.5</w:t>
      </w:r>
      <w:r>
        <w:rPr>
          <w:rFonts w:hint="eastAsia"/>
          <w:color w:val="auto"/>
          <w:sz w:val="24"/>
          <w:szCs w:val="24"/>
          <w:highlight w:val="none"/>
        </w:rPr>
        <w:t>在提交响应文件截止时间之后，供应商不得对其响应文件做任何修改。</w:t>
      </w:r>
    </w:p>
    <w:p>
      <w:pPr>
        <w:spacing w:line="360" w:lineRule="auto"/>
        <w:ind w:firstLine="643" w:firstLineChars="200"/>
        <w:jc w:val="center"/>
        <w:rPr>
          <w:color w:val="auto"/>
          <w:sz w:val="24"/>
          <w:szCs w:val="24"/>
          <w:highlight w:val="none"/>
        </w:rPr>
      </w:pPr>
      <w:bookmarkStart w:id="129" w:name="五___提交响应文件截止及磋商"/>
      <w:bookmarkEnd w:id="129"/>
      <w:r>
        <w:rPr>
          <w:rFonts w:hint="eastAsia"/>
          <w:b/>
          <w:bCs/>
          <w:color w:val="auto"/>
          <w:sz w:val="32"/>
          <w:szCs w:val="32"/>
          <w:highlight w:val="none"/>
        </w:rPr>
        <w:t>五、提交响应文件截止及磋商</w:t>
      </w:r>
    </w:p>
    <w:p>
      <w:pPr>
        <w:spacing w:line="360" w:lineRule="auto"/>
        <w:ind w:firstLine="482" w:firstLineChars="200"/>
        <w:rPr>
          <w:b/>
          <w:bCs/>
          <w:color w:val="auto"/>
          <w:sz w:val="24"/>
          <w:szCs w:val="24"/>
          <w:highlight w:val="none"/>
        </w:rPr>
      </w:pPr>
      <w:bookmarkStart w:id="130" w:name="18.提交响应文件截止"/>
      <w:bookmarkEnd w:id="130"/>
      <w:r>
        <w:rPr>
          <w:rFonts w:hint="eastAsia"/>
          <w:b/>
          <w:bCs/>
          <w:color w:val="auto"/>
          <w:sz w:val="24"/>
          <w:szCs w:val="24"/>
          <w:highlight w:val="none"/>
          <w:lang w:val="en-US"/>
        </w:rPr>
        <w:t>18</w:t>
      </w:r>
      <w:r>
        <w:rPr>
          <w:rFonts w:hint="eastAsia"/>
          <w:b/>
          <w:bCs/>
          <w:color w:val="auto"/>
          <w:sz w:val="24"/>
          <w:szCs w:val="24"/>
          <w:highlight w:val="none"/>
          <w:lang w:val="en-US" w:eastAsia="zh-CN"/>
        </w:rPr>
        <w:t>.</w:t>
      </w:r>
      <w:r>
        <w:rPr>
          <w:rFonts w:hint="eastAsia"/>
          <w:b/>
          <w:bCs/>
          <w:color w:val="auto"/>
          <w:sz w:val="24"/>
          <w:szCs w:val="24"/>
          <w:highlight w:val="none"/>
        </w:rPr>
        <w:t>提交响应文件截止</w:t>
      </w:r>
    </w:p>
    <w:p>
      <w:pPr>
        <w:spacing w:line="360" w:lineRule="auto"/>
        <w:ind w:firstLine="480" w:firstLineChars="200"/>
        <w:outlineLvl w:val="1"/>
        <w:rPr>
          <w:color w:val="auto"/>
          <w:sz w:val="24"/>
          <w:szCs w:val="24"/>
          <w:highlight w:val="none"/>
        </w:rPr>
      </w:pPr>
      <w:bookmarkStart w:id="131" w:name="_Toc29132"/>
      <w:bookmarkStart w:id="132" w:name="_Toc19932"/>
      <w:bookmarkStart w:id="133" w:name="_Toc24940"/>
      <w:bookmarkStart w:id="134" w:name="_Toc16180"/>
      <w:r>
        <w:rPr>
          <w:rFonts w:hint="eastAsia"/>
          <w:color w:val="auto"/>
          <w:sz w:val="24"/>
          <w:szCs w:val="24"/>
          <w:highlight w:val="none"/>
          <w:lang w:val="en-US"/>
        </w:rPr>
        <w:t>18.1</w:t>
      </w:r>
      <w:r>
        <w:rPr>
          <w:rFonts w:hint="eastAsia"/>
          <w:color w:val="auto"/>
          <w:sz w:val="24"/>
          <w:szCs w:val="24"/>
          <w:highlight w:val="none"/>
        </w:rPr>
        <w:t>电子标</w:t>
      </w:r>
      <w:bookmarkEnd w:id="131"/>
      <w:bookmarkEnd w:id="132"/>
      <w:bookmarkEnd w:id="133"/>
      <w:bookmarkEnd w:id="134"/>
    </w:p>
    <w:p>
      <w:pPr>
        <w:spacing w:line="360" w:lineRule="auto"/>
        <w:ind w:firstLine="480" w:firstLineChars="200"/>
        <w:rPr>
          <w:color w:val="auto"/>
          <w:sz w:val="24"/>
          <w:szCs w:val="24"/>
          <w:highlight w:val="none"/>
        </w:rPr>
      </w:pPr>
      <w:r>
        <w:rPr>
          <w:rFonts w:hint="eastAsia"/>
          <w:color w:val="auto"/>
          <w:sz w:val="24"/>
          <w:szCs w:val="24"/>
          <w:highlight w:val="none"/>
          <w:lang w:val="en-US"/>
        </w:rPr>
        <w:t>18.1.1</w:t>
      </w:r>
      <w:r>
        <w:rPr>
          <w:rFonts w:hint="eastAsia"/>
          <w:color w:val="auto"/>
          <w:sz w:val="24"/>
          <w:szCs w:val="24"/>
          <w:highlight w:val="none"/>
        </w:rPr>
        <w:t>采购人和采购代理机构将按磋商文件规定的提交响应文件截止时间和地点组织提交响应文件截止，提交响应文件截止过程在</w:t>
      </w:r>
      <w:r>
        <w:rPr>
          <w:rFonts w:hint="eastAsia"/>
          <w:b/>
          <w:bCs/>
          <w:color w:val="auto"/>
          <w:sz w:val="24"/>
          <w:szCs w:val="24"/>
          <w:highlight w:val="none"/>
          <w:u w:val="single"/>
        </w:rPr>
        <w:t>临沂市公共资源电子交易系统</w:t>
      </w:r>
      <w:r>
        <w:rPr>
          <w:rFonts w:hint="eastAsia"/>
          <w:color w:val="auto"/>
          <w:sz w:val="24"/>
          <w:szCs w:val="24"/>
          <w:highlight w:val="none"/>
        </w:rPr>
        <w:t>上进行。供应商不足 3 家的，不得提交响应文件截止。</w:t>
      </w:r>
    </w:p>
    <w:p>
      <w:pPr>
        <w:spacing w:line="360" w:lineRule="auto"/>
        <w:ind w:firstLine="480" w:firstLineChars="200"/>
        <w:rPr>
          <w:color w:val="auto"/>
          <w:sz w:val="24"/>
          <w:szCs w:val="24"/>
          <w:highlight w:val="none"/>
        </w:rPr>
      </w:pPr>
      <w:r>
        <w:rPr>
          <w:rFonts w:hint="eastAsia"/>
          <w:color w:val="auto"/>
          <w:sz w:val="24"/>
          <w:szCs w:val="24"/>
          <w:highlight w:val="none"/>
          <w:lang w:val="en-US"/>
        </w:rPr>
        <w:t>18.1.2</w:t>
      </w:r>
      <w:r>
        <w:rPr>
          <w:rFonts w:hint="eastAsia"/>
          <w:color w:val="auto"/>
          <w:sz w:val="24"/>
          <w:szCs w:val="24"/>
          <w:highlight w:val="none"/>
        </w:rPr>
        <w:t>提交响应文件截止时，工作人员在</w:t>
      </w:r>
      <w:r>
        <w:rPr>
          <w:rFonts w:hint="eastAsia"/>
          <w:b/>
          <w:bCs/>
          <w:color w:val="auto"/>
          <w:sz w:val="24"/>
          <w:szCs w:val="24"/>
          <w:highlight w:val="none"/>
          <w:u w:val="single"/>
        </w:rPr>
        <w:t>临沂市公共资源电子交易系统</w:t>
      </w:r>
      <w:r>
        <w:rPr>
          <w:rFonts w:hint="eastAsia"/>
          <w:color w:val="auto"/>
          <w:sz w:val="24"/>
          <w:szCs w:val="24"/>
          <w:highlight w:val="none"/>
        </w:rPr>
        <w:t>中公布供应商后，</w:t>
      </w:r>
      <w:r>
        <w:rPr>
          <w:rFonts w:hint="eastAsia"/>
          <w:b/>
          <w:bCs/>
          <w:color w:val="auto"/>
          <w:sz w:val="24"/>
          <w:szCs w:val="24"/>
          <w:highlight w:val="none"/>
        </w:rPr>
        <w:t>由供应商</w:t>
      </w:r>
      <w:r>
        <w:rPr>
          <w:rFonts w:hint="eastAsia"/>
          <w:b/>
          <w:bCs/>
          <w:color w:val="auto"/>
          <w:sz w:val="24"/>
          <w:szCs w:val="24"/>
          <w:highlight w:val="none"/>
          <w:lang w:val="en-US" w:eastAsia="zh-CN"/>
        </w:rPr>
        <w:t>在规定时间内</w:t>
      </w:r>
      <w:r>
        <w:rPr>
          <w:rFonts w:hint="eastAsia"/>
          <w:b/>
          <w:bCs/>
          <w:color w:val="auto"/>
          <w:sz w:val="24"/>
          <w:szCs w:val="24"/>
          <w:highlight w:val="none"/>
        </w:rPr>
        <w:t>自行在电子系统中进行响应文件解密</w:t>
      </w:r>
      <w:r>
        <w:rPr>
          <w:rFonts w:hint="eastAsia"/>
          <w:color w:val="auto"/>
          <w:sz w:val="24"/>
          <w:szCs w:val="24"/>
          <w:highlight w:val="none"/>
        </w:rPr>
        <w:t>，解密完成后，系统予以公开唱标，报价以系统开标记录表为准。未能成功解密或未进行解密的响应文件将被退回。</w:t>
      </w:r>
    </w:p>
    <w:p>
      <w:pPr>
        <w:spacing w:line="360" w:lineRule="auto"/>
        <w:ind w:firstLine="480" w:firstLineChars="200"/>
        <w:outlineLvl w:val="1"/>
        <w:rPr>
          <w:color w:val="auto"/>
          <w:sz w:val="24"/>
          <w:szCs w:val="24"/>
          <w:highlight w:val="none"/>
        </w:rPr>
      </w:pPr>
      <w:bookmarkStart w:id="135" w:name="_Toc1648"/>
      <w:bookmarkStart w:id="136" w:name="_Toc8157"/>
      <w:bookmarkStart w:id="137" w:name="_Toc15652"/>
      <w:bookmarkStart w:id="138" w:name="_Toc19404"/>
      <w:r>
        <w:rPr>
          <w:rFonts w:hint="eastAsia"/>
          <w:color w:val="auto"/>
          <w:sz w:val="24"/>
          <w:szCs w:val="24"/>
          <w:highlight w:val="none"/>
          <w:lang w:val="en-US"/>
        </w:rPr>
        <w:t>18.2</w:t>
      </w:r>
      <w:r>
        <w:rPr>
          <w:rFonts w:hint="eastAsia"/>
          <w:color w:val="auto"/>
          <w:sz w:val="24"/>
          <w:szCs w:val="24"/>
          <w:highlight w:val="none"/>
        </w:rPr>
        <w:t>非电子标（本项目不适用）</w:t>
      </w:r>
      <w:bookmarkEnd w:id="135"/>
      <w:bookmarkEnd w:id="136"/>
      <w:bookmarkEnd w:id="137"/>
      <w:bookmarkEnd w:id="138"/>
    </w:p>
    <w:p>
      <w:pPr>
        <w:spacing w:line="360" w:lineRule="auto"/>
        <w:ind w:firstLine="480" w:firstLineChars="200"/>
        <w:rPr>
          <w:color w:val="auto"/>
          <w:sz w:val="24"/>
          <w:szCs w:val="24"/>
          <w:highlight w:val="none"/>
        </w:rPr>
      </w:pPr>
      <w:r>
        <w:rPr>
          <w:rFonts w:hint="eastAsia"/>
          <w:color w:val="auto"/>
          <w:sz w:val="24"/>
          <w:szCs w:val="24"/>
          <w:highlight w:val="none"/>
          <w:lang w:val="en-US"/>
        </w:rPr>
        <w:t>18.2.1</w:t>
      </w:r>
      <w:r>
        <w:rPr>
          <w:rFonts w:hint="eastAsia"/>
          <w:color w:val="auto"/>
          <w:sz w:val="24"/>
          <w:szCs w:val="24"/>
          <w:highlight w:val="none"/>
        </w:rPr>
        <w:t>采购人或采购代理机构按照供应商须知资料表规定的时间和地点召开会议。届时请供应商派代表参加，参加会议的代表应签名报到以证明其出席，否则，责任自负。如在响应文件递交截止时间递交响应文件的供应商少于三家，采购代理机构有采取重新采购的权力，且不承担任何费用和责任。</w:t>
      </w:r>
    </w:p>
    <w:p>
      <w:pPr>
        <w:spacing w:line="360" w:lineRule="auto"/>
        <w:ind w:firstLine="480" w:firstLineChars="200"/>
        <w:rPr>
          <w:color w:val="auto"/>
          <w:sz w:val="24"/>
          <w:szCs w:val="24"/>
          <w:highlight w:val="none"/>
        </w:rPr>
      </w:pPr>
      <w:r>
        <w:rPr>
          <w:rFonts w:hint="eastAsia"/>
          <w:color w:val="auto"/>
          <w:sz w:val="24"/>
          <w:szCs w:val="24"/>
          <w:highlight w:val="none"/>
          <w:lang w:val="en-US"/>
        </w:rPr>
        <w:t>18.2.2</w:t>
      </w:r>
      <w:r>
        <w:rPr>
          <w:rFonts w:hint="eastAsia"/>
          <w:color w:val="auto"/>
          <w:sz w:val="24"/>
          <w:szCs w:val="24"/>
          <w:highlight w:val="none"/>
        </w:rPr>
        <w:t>磋商截止时间后，不允许对响应文件做实质性修改，同时采购人和采购代理机构对所接收响应文件概不退回。</w:t>
      </w:r>
    </w:p>
    <w:p>
      <w:pPr>
        <w:spacing w:line="360" w:lineRule="auto"/>
        <w:ind w:firstLine="482" w:firstLineChars="200"/>
        <w:rPr>
          <w:b/>
          <w:bCs/>
          <w:color w:val="auto"/>
          <w:sz w:val="24"/>
          <w:szCs w:val="24"/>
          <w:highlight w:val="none"/>
        </w:rPr>
      </w:pPr>
      <w:bookmarkStart w:id="139" w:name="19._磋商小组"/>
      <w:bookmarkEnd w:id="139"/>
      <w:r>
        <w:rPr>
          <w:rFonts w:hint="eastAsia"/>
          <w:b/>
          <w:bCs/>
          <w:color w:val="auto"/>
          <w:sz w:val="24"/>
          <w:szCs w:val="24"/>
          <w:highlight w:val="none"/>
          <w:lang w:val="en-US"/>
        </w:rPr>
        <w:t>19.</w:t>
      </w:r>
      <w:r>
        <w:rPr>
          <w:rFonts w:hint="eastAsia"/>
          <w:b/>
          <w:bCs/>
          <w:color w:val="auto"/>
          <w:sz w:val="24"/>
          <w:szCs w:val="24"/>
          <w:highlight w:val="none"/>
        </w:rPr>
        <w:t>磋商小组</w:t>
      </w:r>
    </w:p>
    <w:p>
      <w:pPr>
        <w:spacing w:line="360" w:lineRule="auto"/>
        <w:ind w:firstLine="480" w:firstLineChars="200"/>
        <w:rPr>
          <w:color w:val="auto"/>
          <w:sz w:val="24"/>
          <w:szCs w:val="24"/>
          <w:highlight w:val="none"/>
        </w:rPr>
      </w:pPr>
      <w:r>
        <w:rPr>
          <w:rFonts w:hint="eastAsia"/>
          <w:color w:val="auto"/>
          <w:sz w:val="24"/>
          <w:szCs w:val="24"/>
          <w:highlight w:val="none"/>
          <w:lang w:val="en-US"/>
        </w:rPr>
        <w:t>19.1</w:t>
      </w:r>
      <w:r>
        <w:rPr>
          <w:rFonts w:hint="eastAsia"/>
          <w:color w:val="auto"/>
          <w:sz w:val="24"/>
          <w:szCs w:val="24"/>
          <w:highlight w:val="none"/>
        </w:rPr>
        <w:t>采购代理机构将按照《中华人民共和国政府采购法》及有关规定组建磋商小组。磋商小组由采购人代表及有关经济、技术等方面的专家 3 人组成。</w:t>
      </w:r>
    </w:p>
    <w:p>
      <w:pPr>
        <w:spacing w:line="360" w:lineRule="auto"/>
        <w:ind w:firstLine="480" w:firstLineChars="200"/>
        <w:rPr>
          <w:color w:val="auto"/>
          <w:sz w:val="24"/>
          <w:szCs w:val="24"/>
          <w:highlight w:val="none"/>
        </w:rPr>
      </w:pPr>
      <w:r>
        <w:rPr>
          <w:rFonts w:hint="eastAsia"/>
          <w:color w:val="auto"/>
          <w:sz w:val="24"/>
          <w:szCs w:val="24"/>
          <w:highlight w:val="none"/>
          <w:lang w:val="en-US"/>
        </w:rPr>
        <w:t>19.2</w:t>
      </w:r>
      <w:r>
        <w:rPr>
          <w:rFonts w:hint="eastAsia"/>
          <w:color w:val="auto"/>
          <w:sz w:val="24"/>
          <w:szCs w:val="24"/>
          <w:highlight w:val="none"/>
        </w:rPr>
        <w:t>磋商小组具有依据磋商文件进行独立评审的权力，且不受外界任何因素的干扰。磋商小组成员需对评审结果独立写出评审意见，并承担责任。评委成员若拒绝在评审报告上签字且不陈述其不同意理由的，视为同意和接受。</w:t>
      </w:r>
    </w:p>
    <w:p>
      <w:pPr>
        <w:spacing w:line="360" w:lineRule="auto"/>
        <w:ind w:firstLine="480" w:firstLineChars="200"/>
        <w:outlineLvl w:val="1"/>
        <w:rPr>
          <w:color w:val="auto"/>
          <w:sz w:val="24"/>
          <w:szCs w:val="24"/>
          <w:highlight w:val="none"/>
        </w:rPr>
      </w:pPr>
      <w:bookmarkStart w:id="140" w:name="_Toc14655"/>
      <w:bookmarkStart w:id="141" w:name="_Toc26430"/>
      <w:bookmarkStart w:id="142" w:name="_Toc13440"/>
      <w:bookmarkStart w:id="143" w:name="_Toc15917"/>
      <w:r>
        <w:rPr>
          <w:rFonts w:hint="eastAsia"/>
          <w:color w:val="auto"/>
          <w:sz w:val="24"/>
          <w:szCs w:val="24"/>
          <w:highlight w:val="none"/>
          <w:lang w:val="en-US"/>
        </w:rPr>
        <w:t>19.3</w:t>
      </w:r>
      <w:r>
        <w:rPr>
          <w:rFonts w:hint="eastAsia"/>
          <w:color w:val="auto"/>
          <w:sz w:val="24"/>
          <w:szCs w:val="24"/>
          <w:highlight w:val="none"/>
        </w:rPr>
        <w:t>磋商小组的职责：</w:t>
      </w:r>
      <w:bookmarkEnd w:id="140"/>
      <w:bookmarkEnd w:id="141"/>
      <w:bookmarkEnd w:id="142"/>
      <w:bookmarkEnd w:id="143"/>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1</w:t>
      </w:r>
      <w:r>
        <w:rPr>
          <w:rFonts w:hint="eastAsia"/>
          <w:color w:val="auto"/>
          <w:sz w:val="24"/>
          <w:szCs w:val="24"/>
          <w:highlight w:val="none"/>
        </w:rPr>
        <w:t>）审查响应文件是否符合磋商文件要求；</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2</w:t>
      </w:r>
      <w:r>
        <w:rPr>
          <w:rFonts w:hint="eastAsia"/>
          <w:color w:val="auto"/>
          <w:sz w:val="24"/>
          <w:szCs w:val="24"/>
          <w:highlight w:val="none"/>
        </w:rPr>
        <w:t>）要求供应商对响应文件有关事项做出解释或者澄清；</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3</w:t>
      </w:r>
      <w:r>
        <w:rPr>
          <w:rFonts w:hint="eastAsia"/>
          <w:color w:val="auto"/>
          <w:sz w:val="24"/>
          <w:szCs w:val="24"/>
          <w:highlight w:val="none"/>
        </w:rPr>
        <w:t>）按照磋商文件规定的评分标准进行评比和打分；</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4</w:t>
      </w:r>
      <w:r>
        <w:rPr>
          <w:rFonts w:hint="eastAsia"/>
          <w:color w:val="auto"/>
          <w:sz w:val="24"/>
          <w:szCs w:val="24"/>
          <w:highlight w:val="none"/>
        </w:rPr>
        <w:t>）推荐成交候选供应商名单，或者受采购人委托按照事先确定的办法直接确定成交供应商；</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5</w:t>
      </w:r>
      <w:r>
        <w:rPr>
          <w:rFonts w:hint="eastAsia"/>
          <w:color w:val="auto"/>
          <w:sz w:val="24"/>
          <w:szCs w:val="24"/>
          <w:highlight w:val="none"/>
        </w:rPr>
        <w:t>）向采购单位或者有关部门报告非法干预评审工作的行为。</w:t>
      </w:r>
    </w:p>
    <w:p>
      <w:pPr>
        <w:spacing w:line="360" w:lineRule="auto"/>
        <w:ind w:firstLine="480" w:firstLineChars="200"/>
        <w:outlineLvl w:val="1"/>
        <w:rPr>
          <w:color w:val="auto"/>
          <w:sz w:val="24"/>
          <w:szCs w:val="24"/>
          <w:highlight w:val="none"/>
        </w:rPr>
      </w:pPr>
      <w:bookmarkStart w:id="144" w:name="_Toc10207"/>
      <w:bookmarkStart w:id="145" w:name="_Toc20155"/>
      <w:bookmarkStart w:id="146" w:name="_Toc322"/>
      <w:bookmarkStart w:id="147" w:name="_Toc103"/>
      <w:r>
        <w:rPr>
          <w:rFonts w:hint="eastAsia"/>
          <w:color w:val="auto"/>
          <w:sz w:val="24"/>
          <w:szCs w:val="24"/>
          <w:highlight w:val="none"/>
          <w:lang w:val="en-US"/>
        </w:rPr>
        <w:t>19.4</w:t>
      </w:r>
      <w:r>
        <w:rPr>
          <w:rFonts w:hint="eastAsia"/>
          <w:color w:val="auto"/>
          <w:sz w:val="24"/>
          <w:szCs w:val="24"/>
          <w:highlight w:val="none"/>
        </w:rPr>
        <w:t>磋商小组的义务：</w:t>
      </w:r>
      <w:bookmarkEnd w:id="144"/>
      <w:bookmarkEnd w:id="145"/>
      <w:bookmarkEnd w:id="146"/>
      <w:bookmarkEnd w:id="147"/>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1</w:t>
      </w:r>
      <w:r>
        <w:rPr>
          <w:rFonts w:hint="eastAsia"/>
          <w:color w:val="auto"/>
          <w:sz w:val="24"/>
          <w:szCs w:val="24"/>
          <w:highlight w:val="none"/>
        </w:rPr>
        <w:t>）遵纪守法，客观、公正、廉洁地履行职责；</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2</w:t>
      </w:r>
      <w:r>
        <w:rPr>
          <w:rFonts w:hint="eastAsia"/>
          <w:color w:val="auto"/>
          <w:sz w:val="24"/>
          <w:szCs w:val="24"/>
          <w:highlight w:val="none"/>
        </w:rPr>
        <w:t>）按照磋商文件规定的评审办法和评审标准进行评审，对评审意见承担个人责任；</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3</w:t>
      </w:r>
      <w:r>
        <w:rPr>
          <w:rFonts w:hint="eastAsia"/>
          <w:color w:val="auto"/>
          <w:sz w:val="24"/>
          <w:szCs w:val="24"/>
          <w:highlight w:val="none"/>
        </w:rPr>
        <w:t>）对评审过程和结果，以及供应商的商业秘密保密；</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4</w:t>
      </w:r>
      <w:r>
        <w:rPr>
          <w:rFonts w:hint="eastAsia"/>
          <w:color w:val="auto"/>
          <w:sz w:val="24"/>
          <w:szCs w:val="24"/>
          <w:highlight w:val="none"/>
        </w:rPr>
        <w:t>）参与评审报告的起草；</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5</w:t>
      </w:r>
      <w:r>
        <w:rPr>
          <w:rFonts w:hint="eastAsia"/>
          <w:color w:val="auto"/>
          <w:sz w:val="24"/>
          <w:szCs w:val="24"/>
          <w:highlight w:val="none"/>
        </w:rPr>
        <w:t>）配合财政部门的投诉处理工作；</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6</w:t>
      </w:r>
      <w:r>
        <w:rPr>
          <w:rFonts w:hint="eastAsia"/>
          <w:color w:val="auto"/>
          <w:sz w:val="24"/>
          <w:szCs w:val="24"/>
          <w:highlight w:val="none"/>
        </w:rPr>
        <w:t>）配合采购单位答复与会供应商提出的质疑。</w:t>
      </w:r>
      <w:bookmarkStart w:id="148" w:name="20.资格审查"/>
      <w:bookmarkEnd w:id="148"/>
    </w:p>
    <w:p>
      <w:pPr>
        <w:spacing w:line="360" w:lineRule="auto"/>
        <w:ind w:firstLine="482" w:firstLineChars="200"/>
        <w:rPr>
          <w:b/>
          <w:bCs/>
          <w:color w:val="auto"/>
          <w:sz w:val="24"/>
          <w:szCs w:val="24"/>
          <w:highlight w:val="none"/>
        </w:rPr>
      </w:pPr>
      <w:r>
        <w:rPr>
          <w:rFonts w:hint="eastAsia"/>
          <w:b/>
          <w:bCs/>
          <w:color w:val="auto"/>
          <w:sz w:val="24"/>
          <w:szCs w:val="24"/>
          <w:highlight w:val="none"/>
        </w:rPr>
        <w:t>20.资格审查</w:t>
      </w:r>
    </w:p>
    <w:p>
      <w:pPr>
        <w:spacing w:line="360" w:lineRule="auto"/>
        <w:ind w:firstLine="480" w:firstLineChars="200"/>
        <w:rPr>
          <w:color w:val="auto"/>
          <w:sz w:val="24"/>
          <w:szCs w:val="24"/>
          <w:highlight w:val="none"/>
        </w:rPr>
      </w:pPr>
      <w:r>
        <w:rPr>
          <w:rFonts w:hint="eastAsia"/>
          <w:color w:val="auto"/>
          <w:sz w:val="24"/>
          <w:szCs w:val="24"/>
          <w:highlight w:val="none"/>
          <w:lang w:val="en-US"/>
        </w:rPr>
        <w:t>20.1</w:t>
      </w:r>
      <w:r>
        <w:rPr>
          <w:rFonts w:hint="eastAsia"/>
          <w:color w:val="auto"/>
          <w:sz w:val="24"/>
          <w:szCs w:val="24"/>
          <w:highlight w:val="none"/>
        </w:rPr>
        <w:t>磋商小组依据法律法规和竞争性磋商文件中规定的内容，对供应商的资格进行审查。未通过资格审查的供应商不进入磋商；通过资格审查的供应商不足 3 家的，不得磋商。</w:t>
      </w:r>
    </w:p>
    <w:p>
      <w:pPr>
        <w:spacing w:line="360" w:lineRule="auto"/>
        <w:ind w:firstLine="480" w:firstLineChars="200"/>
        <w:rPr>
          <w:color w:val="auto"/>
          <w:sz w:val="24"/>
          <w:szCs w:val="24"/>
          <w:highlight w:val="none"/>
        </w:rPr>
      </w:pPr>
      <w:r>
        <w:rPr>
          <w:rFonts w:hint="eastAsia"/>
          <w:color w:val="auto"/>
          <w:sz w:val="24"/>
          <w:szCs w:val="24"/>
          <w:highlight w:val="none"/>
          <w:lang w:val="en-US"/>
        </w:rPr>
        <w:t>20.2</w:t>
      </w:r>
      <w:r>
        <w:rPr>
          <w:rFonts w:hint="eastAsia"/>
          <w:color w:val="auto"/>
          <w:sz w:val="24"/>
          <w:szCs w:val="24"/>
          <w:highlight w:val="none"/>
        </w:rPr>
        <w:t>采购人</w:t>
      </w:r>
      <w:r>
        <w:rPr>
          <w:rFonts w:hint="eastAsia"/>
          <w:b/>
          <w:bCs/>
          <w:color w:val="auto"/>
          <w:sz w:val="24"/>
          <w:szCs w:val="24"/>
          <w:highlight w:val="none"/>
        </w:rPr>
        <w:t>或采购代理机构</w:t>
      </w:r>
      <w:r>
        <w:rPr>
          <w:rFonts w:hint="eastAsia"/>
          <w:color w:val="auto"/>
          <w:sz w:val="24"/>
          <w:szCs w:val="24"/>
          <w:highlight w:val="none"/>
        </w:rPr>
        <w:t>将按</w:t>
      </w:r>
      <w:r>
        <w:rPr>
          <w:rFonts w:hint="eastAsia"/>
          <w:color w:val="auto"/>
          <w:sz w:val="24"/>
          <w:szCs w:val="24"/>
          <w:highlight w:val="none"/>
          <w:u w:val="single"/>
        </w:rPr>
        <w:t>供应商须知资料表</w:t>
      </w:r>
      <w:r>
        <w:rPr>
          <w:rFonts w:hint="eastAsia"/>
          <w:color w:val="auto"/>
          <w:sz w:val="24"/>
          <w:szCs w:val="24"/>
          <w:highlight w:val="none"/>
        </w:rPr>
        <w:t>查询供应商的信用记录。</w:t>
      </w:r>
    </w:p>
    <w:p>
      <w:pPr>
        <w:spacing w:line="360" w:lineRule="auto"/>
        <w:ind w:firstLine="480" w:firstLineChars="200"/>
        <w:rPr>
          <w:color w:val="auto"/>
          <w:sz w:val="24"/>
          <w:szCs w:val="24"/>
          <w:highlight w:val="none"/>
        </w:rPr>
      </w:pPr>
      <w:r>
        <w:rPr>
          <w:rFonts w:hint="eastAsia"/>
          <w:color w:val="auto"/>
          <w:sz w:val="24"/>
          <w:szCs w:val="24"/>
          <w:highlight w:val="none"/>
          <w:lang w:val="en-US"/>
        </w:rPr>
        <w:t>20.2.1</w:t>
      </w:r>
      <w:r>
        <w:rPr>
          <w:rFonts w:hint="eastAsia"/>
          <w:color w:val="auto"/>
          <w:sz w:val="24"/>
          <w:szCs w:val="24"/>
          <w:highlight w:val="none"/>
        </w:rPr>
        <w:t>供应商在中国政府采购网</w:t>
      </w:r>
      <w:r>
        <w:rPr>
          <w:color w:val="auto"/>
          <w:highlight w:val="none"/>
        </w:rPr>
        <w:fldChar w:fldCharType="begin"/>
      </w:r>
      <w:r>
        <w:rPr>
          <w:color w:val="auto"/>
          <w:highlight w:val="none"/>
        </w:rPr>
        <w:instrText xml:space="preserve"> HYPERLINK "http://www.ccgp.gov.cn/" \h </w:instrText>
      </w:r>
      <w:r>
        <w:rPr>
          <w:color w:val="auto"/>
          <w:highlight w:val="none"/>
        </w:rPr>
        <w:fldChar w:fldCharType="separate"/>
      </w:r>
      <w:r>
        <w:rPr>
          <w:rFonts w:hint="eastAsia"/>
          <w:color w:val="auto"/>
          <w:sz w:val="24"/>
          <w:szCs w:val="24"/>
          <w:highlight w:val="none"/>
        </w:rPr>
        <w:t>（www.ccgp.gov.cn</w:t>
      </w:r>
      <w:r>
        <w:rPr>
          <w:rFonts w:hint="eastAsia"/>
          <w:color w:val="auto"/>
          <w:sz w:val="24"/>
          <w:szCs w:val="24"/>
          <w:highlight w:val="none"/>
        </w:rPr>
        <w:fldChar w:fldCharType="end"/>
      </w:r>
      <w:r>
        <w:rPr>
          <w:rFonts w:hint="eastAsia"/>
          <w:color w:val="auto"/>
          <w:sz w:val="24"/>
          <w:szCs w:val="24"/>
          <w:highlight w:val="none"/>
        </w:rPr>
        <w:t>）被列入政府采购严重违法失信行为记录名单，或在“信用中国”网站（</w:t>
      </w:r>
      <w:r>
        <w:rPr>
          <w:color w:val="auto"/>
          <w:highlight w:val="none"/>
        </w:rPr>
        <w:fldChar w:fldCharType="begin"/>
      </w:r>
      <w:r>
        <w:rPr>
          <w:color w:val="auto"/>
          <w:highlight w:val="none"/>
        </w:rPr>
        <w:instrText xml:space="preserve"> HYPERLINK "http://www.creditchina.gov.cn/" \h </w:instrText>
      </w:r>
      <w:r>
        <w:rPr>
          <w:color w:val="auto"/>
          <w:highlight w:val="none"/>
        </w:rPr>
        <w:fldChar w:fldCharType="separate"/>
      </w:r>
      <w:r>
        <w:rPr>
          <w:rFonts w:hint="eastAsia"/>
          <w:color w:val="auto"/>
          <w:sz w:val="24"/>
          <w:szCs w:val="24"/>
          <w:highlight w:val="none"/>
        </w:rPr>
        <w:t>www.creditchina.gov.cn</w:t>
      </w:r>
      <w:r>
        <w:rPr>
          <w:rFonts w:hint="eastAsia"/>
          <w:color w:val="auto"/>
          <w:sz w:val="24"/>
          <w:szCs w:val="24"/>
          <w:highlight w:val="none"/>
        </w:rPr>
        <w:fldChar w:fldCharType="end"/>
      </w:r>
      <w:r>
        <w:rPr>
          <w:rFonts w:hint="eastAsia"/>
          <w:color w:val="auto"/>
          <w:sz w:val="24"/>
          <w:szCs w:val="24"/>
          <w:highlight w:val="none"/>
        </w:rPr>
        <w:t>）及“信用山东”网站（</w:t>
      </w:r>
      <w:r>
        <w:rPr>
          <w:color w:val="auto"/>
          <w:highlight w:val="none"/>
        </w:rPr>
        <w:fldChar w:fldCharType="begin"/>
      </w:r>
      <w:r>
        <w:rPr>
          <w:color w:val="auto"/>
          <w:highlight w:val="none"/>
        </w:rPr>
        <w:instrText xml:space="preserve"> HYPERLINK "http://www.creditsd.gov.cn/" \h </w:instrText>
      </w:r>
      <w:r>
        <w:rPr>
          <w:color w:val="auto"/>
          <w:highlight w:val="none"/>
        </w:rPr>
        <w:fldChar w:fldCharType="separate"/>
      </w:r>
      <w:r>
        <w:rPr>
          <w:rFonts w:hint="eastAsia"/>
          <w:color w:val="auto"/>
          <w:sz w:val="24"/>
          <w:szCs w:val="24"/>
          <w:highlight w:val="none"/>
        </w:rPr>
        <w:t>www.creditsd.gov.cn</w:t>
      </w:r>
      <w:r>
        <w:rPr>
          <w:rFonts w:hint="eastAsia"/>
          <w:color w:val="auto"/>
          <w:sz w:val="24"/>
          <w:szCs w:val="24"/>
          <w:highlight w:val="none"/>
        </w:rPr>
        <w:fldChar w:fldCharType="end"/>
      </w:r>
      <w:r>
        <w:rPr>
          <w:rFonts w:hint="eastAsia"/>
          <w:color w:val="auto"/>
          <w:sz w:val="24"/>
          <w:szCs w:val="24"/>
          <w:highlight w:val="none"/>
        </w:rPr>
        <w:t>）被列入失信被执行人、</w:t>
      </w:r>
      <w:r>
        <w:rPr>
          <w:rFonts w:hint="eastAsia"/>
          <w:color w:val="auto"/>
          <w:sz w:val="24"/>
          <w:szCs w:val="24"/>
          <w:highlight w:val="none"/>
          <w:lang w:eastAsia="zh-CN"/>
        </w:rPr>
        <w:t>重大税收违法失信主体</w:t>
      </w:r>
      <w:r>
        <w:rPr>
          <w:rFonts w:hint="eastAsia"/>
          <w:color w:val="auto"/>
          <w:sz w:val="24"/>
          <w:szCs w:val="24"/>
          <w:highlight w:val="none"/>
        </w:rPr>
        <w:t>，以及存在《中华人民共和国政府采购法实施条例》第十九条规定的行政处罚记录。</w:t>
      </w:r>
    </w:p>
    <w:p>
      <w:pPr>
        <w:spacing w:line="360" w:lineRule="auto"/>
        <w:ind w:firstLine="480" w:firstLineChars="200"/>
        <w:rPr>
          <w:color w:val="auto"/>
          <w:sz w:val="24"/>
          <w:szCs w:val="24"/>
          <w:highlight w:val="none"/>
        </w:rPr>
      </w:pPr>
      <w:r>
        <w:rPr>
          <w:rFonts w:hint="eastAsia"/>
          <w:color w:val="auto"/>
          <w:sz w:val="24"/>
          <w:szCs w:val="24"/>
          <w:highlight w:val="none"/>
        </w:rPr>
        <w:t>以联合体形式进行响应的，联合体任何成员存在以上不良信用记录的，联合体其响应文件将被认定为无效</w:t>
      </w:r>
    </w:p>
    <w:p>
      <w:pPr>
        <w:spacing w:line="360" w:lineRule="auto"/>
        <w:ind w:firstLine="480" w:firstLineChars="200"/>
        <w:rPr>
          <w:color w:val="auto"/>
          <w:sz w:val="24"/>
          <w:szCs w:val="24"/>
          <w:highlight w:val="none"/>
        </w:rPr>
      </w:pPr>
      <w:r>
        <w:rPr>
          <w:rFonts w:hint="eastAsia"/>
          <w:color w:val="auto"/>
          <w:sz w:val="24"/>
          <w:szCs w:val="24"/>
          <w:highlight w:val="none"/>
          <w:lang w:val="en-US"/>
        </w:rPr>
        <w:t>20.2.2</w:t>
      </w:r>
      <w:r>
        <w:rPr>
          <w:rFonts w:hint="eastAsia"/>
          <w:color w:val="auto"/>
          <w:sz w:val="24"/>
          <w:szCs w:val="24"/>
          <w:highlight w:val="none"/>
        </w:rPr>
        <w:t>采购人</w:t>
      </w:r>
      <w:r>
        <w:rPr>
          <w:rFonts w:hint="eastAsia"/>
          <w:b/>
          <w:bCs/>
          <w:color w:val="auto"/>
          <w:sz w:val="24"/>
          <w:szCs w:val="24"/>
          <w:highlight w:val="none"/>
        </w:rPr>
        <w:t>或采购代理机构</w:t>
      </w:r>
      <w:r>
        <w:rPr>
          <w:rFonts w:hint="eastAsia"/>
          <w:color w:val="auto"/>
          <w:sz w:val="24"/>
          <w:szCs w:val="24"/>
          <w:highlight w:val="none"/>
        </w:rPr>
        <w:t>将信用记录查询网页打印、签字并存档备查。供应商信用记录以采购人</w:t>
      </w:r>
      <w:r>
        <w:rPr>
          <w:rFonts w:hint="eastAsia"/>
          <w:b/>
          <w:bCs/>
          <w:color w:val="auto"/>
          <w:sz w:val="24"/>
          <w:szCs w:val="24"/>
          <w:highlight w:val="none"/>
        </w:rPr>
        <w:t>或采购代理机构</w:t>
      </w:r>
      <w:r>
        <w:rPr>
          <w:rFonts w:hint="eastAsia"/>
          <w:color w:val="auto"/>
          <w:sz w:val="24"/>
          <w:szCs w:val="24"/>
          <w:highlight w:val="none"/>
        </w:rPr>
        <w:t>查询结果为准。供应商自行提供的与网站信息不一致的其他证明材料亦不作为资格审查的依据。</w:t>
      </w:r>
    </w:p>
    <w:p>
      <w:pPr>
        <w:spacing w:line="360" w:lineRule="auto"/>
        <w:ind w:firstLine="480" w:firstLineChars="200"/>
        <w:rPr>
          <w:color w:val="auto"/>
          <w:sz w:val="24"/>
          <w:szCs w:val="24"/>
          <w:highlight w:val="none"/>
        </w:rPr>
      </w:pPr>
      <w:r>
        <w:rPr>
          <w:rFonts w:hint="eastAsia"/>
          <w:color w:val="auto"/>
          <w:sz w:val="24"/>
          <w:szCs w:val="24"/>
          <w:highlight w:val="none"/>
        </w:rPr>
        <w:t>在本竞争性磋商文件规定的查询时间之后，网站信息发生的任何变更均不再作为磋商依据。</w:t>
      </w:r>
    </w:p>
    <w:p>
      <w:pPr>
        <w:spacing w:line="360" w:lineRule="auto"/>
        <w:ind w:firstLine="482" w:firstLineChars="200"/>
        <w:rPr>
          <w:b/>
          <w:bCs/>
          <w:color w:val="auto"/>
          <w:sz w:val="24"/>
          <w:szCs w:val="24"/>
          <w:highlight w:val="none"/>
        </w:rPr>
      </w:pPr>
      <w:bookmarkStart w:id="149" w:name="21.响应文件符合性审查与澄清"/>
      <w:bookmarkEnd w:id="149"/>
      <w:r>
        <w:rPr>
          <w:rFonts w:hint="eastAsia"/>
          <w:b/>
          <w:bCs/>
          <w:color w:val="auto"/>
          <w:sz w:val="24"/>
          <w:szCs w:val="24"/>
          <w:highlight w:val="none"/>
          <w:lang w:val="en-US"/>
        </w:rPr>
        <w:t>21.</w:t>
      </w:r>
      <w:r>
        <w:rPr>
          <w:rFonts w:hint="eastAsia"/>
          <w:b/>
          <w:bCs/>
          <w:color w:val="auto"/>
          <w:sz w:val="24"/>
          <w:szCs w:val="24"/>
          <w:highlight w:val="none"/>
        </w:rPr>
        <w:t>响应文件符合性审查与澄清</w:t>
      </w:r>
    </w:p>
    <w:p>
      <w:pPr>
        <w:spacing w:line="360" w:lineRule="auto"/>
        <w:ind w:firstLine="480" w:firstLineChars="200"/>
        <w:rPr>
          <w:color w:val="auto"/>
          <w:sz w:val="24"/>
          <w:szCs w:val="24"/>
          <w:highlight w:val="none"/>
        </w:rPr>
      </w:pPr>
      <w:r>
        <w:rPr>
          <w:rFonts w:hint="eastAsia"/>
          <w:color w:val="auto"/>
          <w:sz w:val="24"/>
          <w:szCs w:val="24"/>
          <w:highlight w:val="none"/>
          <w:lang w:val="en-US"/>
        </w:rPr>
        <w:t>21.1</w:t>
      </w:r>
      <w:r>
        <w:rPr>
          <w:rFonts w:hint="eastAsia"/>
          <w:color w:val="auto"/>
          <w:sz w:val="24"/>
          <w:szCs w:val="24"/>
          <w:highlight w:val="none"/>
        </w:rPr>
        <w:t>符合性审查是指依据竞争性磋商文件的规定，从响应文件的有效性、完整性和响应程度对竞争性磋商文件的响应程度进行审查，以确定是否对竞争性磋商文件的实质性要求做出响应。</w:t>
      </w:r>
    </w:p>
    <w:p>
      <w:pPr>
        <w:spacing w:line="360" w:lineRule="auto"/>
        <w:ind w:firstLine="480" w:firstLineChars="200"/>
        <w:rPr>
          <w:color w:val="auto"/>
          <w:sz w:val="24"/>
          <w:szCs w:val="24"/>
          <w:highlight w:val="none"/>
        </w:rPr>
      </w:pPr>
      <w:r>
        <w:rPr>
          <w:rFonts w:hint="eastAsia"/>
          <w:color w:val="auto"/>
          <w:sz w:val="24"/>
          <w:szCs w:val="24"/>
          <w:highlight w:val="none"/>
          <w:lang w:val="en-US"/>
        </w:rPr>
        <w:t>21.2</w:t>
      </w:r>
      <w:r>
        <w:rPr>
          <w:rFonts w:hint="eastAsia"/>
          <w:color w:val="auto"/>
          <w:sz w:val="24"/>
          <w:szCs w:val="24"/>
          <w:highlight w:val="none"/>
        </w:rPr>
        <w:t>经磋商小组集体审核通过，对于不符合条件的供应商要说明其不符合要求的原因，由其法定代表人或授权代表签字确认，供应商代表拒不签字的，并不影响磋商小组所做出的结论。</w:t>
      </w:r>
    </w:p>
    <w:p>
      <w:pPr>
        <w:spacing w:line="360" w:lineRule="auto"/>
        <w:ind w:firstLine="480" w:firstLineChars="200"/>
        <w:outlineLvl w:val="1"/>
        <w:rPr>
          <w:color w:val="auto"/>
          <w:sz w:val="24"/>
          <w:szCs w:val="24"/>
          <w:highlight w:val="none"/>
        </w:rPr>
      </w:pPr>
      <w:bookmarkStart w:id="150" w:name="_Toc6582"/>
      <w:bookmarkStart w:id="151" w:name="_Toc26911"/>
      <w:bookmarkStart w:id="152" w:name="_Toc4817"/>
      <w:bookmarkStart w:id="153" w:name="_Toc31921"/>
      <w:r>
        <w:rPr>
          <w:rFonts w:hint="eastAsia"/>
          <w:color w:val="auto"/>
          <w:sz w:val="24"/>
          <w:szCs w:val="24"/>
          <w:highlight w:val="none"/>
          <w:lang w:val="en-US"/>
        </w:rPr>
        <w:t>21.3</w:t>
      </w:r>
      <w:r>
        <w:rPr>
          <w:rFonts w:hint="eastAsia"/>
          <w:color w:val="auto"/>
          <w:sz w:val="24"/>
          <w:szCs w:val="24"/>
          <w:highlight w:val="none"/>
        </w:rPr>
        <w:t>响应文件的澄清</w:t>
      </w:r>
      <w:bookmarkEnd w:id="150"/>
      <w:bookmarkEnd w:id="151"/>
      <w:bookmarkEnd w:id="152"/>
      <w:bookmarkEnd w:id="153"/>
    </w:p>
    <w:p>
      <w:pPr>
        <w:spacing w:line="360" w:lineRule="auto"/>
        <w:ind w:firstLine="480" w:firstLineChars="200"/>
        <w:rPr>
          <w:color w:val="auto"/>
          <w:sz w:val="24"/>
          <w:szCs w:val="24"/>
          <w:highlight w:val="none"/>
        </w:rPr>
      </w:pPr>
      <w:r>
        <w:rPr>
          <w:rFonts w:hint="eastAsia"/>
          <w:color w:val="auto"/>
          <w:sz w:val="24"/>
          <w:szCs w:val="24"/>
          <w:highlight w:val="none"/>
          <w:lang w:val="en-US"/>
        </w:rPr>
        <w:t>21.3.1</w:t>
      </w:r>
      <w:r>
        <w:rPr>
          <w:rFonts w:hint="eastAsia"/>
          <w:color w:val="auto"/>
          <w:sz w:val="24"/>
          <w:szCs w:val="24"/>
          <w:highlight w:val="none"/>
        </w:rPr>
        <w:t>在磋商期间，磋商小组将以书面方式要求供应商对其响应文件中含义不明确、对同类问题表述不一致或者有明显文字和计算错误的内容，以及磋商小组认为供应商的报价明显低于其他通过符合性检查供应商的报价，有可能影响履约的情况作必要的澄清、说明或补正。供应商的澄清、说明或补正应在磋商小组规定的时间内以书面方式进行，并不得超出响应文件范围或者改变响应文件的实质性内容。</w:t>
      </w:r>
    </w:p>
    <w:p>
      <w:pPr>
        <w:spacing w:line="360" w:lineRule="auto"/>
        <w:ind w:firstLine="480" w:firstLineChars="200"/>
        <w:rPr>
          <w:color w:val="auto"/>
          <w:sz w:val="24"/>
          <w:szCs w:val="24"/>
          <w:highlight w:val="none"/>
        </w:rPr>
      </w:pPr>
      <w:r>
        <w:rPr>
          <w:rFonts w:hint="eastAsia"/>
          <w:color w:val="auto"/>
          <w:sz w:val="24"/>
          <w:szCs w:val="24"/>
          <w:highlight w:val="none"/>
          <w:lang w:val="en-US"/>
        </w:rPr>
        <w:t>21.3.2</w:t>
      </w:r>
      <w:r>
        <w:rPr>
          <w:rFonts w:hint="eastAsia"/>
          <w:color w:val="auto"/>
          <w:sz w:val="24"/>
          <w:szCs w:val="24"/>
          <w:highlight w:val="none"/>
        </w:rPr>
        <w:t>供应商的澄清、说明或补正将作为响应文件的一部分。</w:t>
      </w:r>
    </w:p>
    <w:p>
      <w:pPr>
        <w:autoSpaceDE/>
        <w:autoSpaceDN/>
        <w:spacing w:line="360" w:lineRule="auto"/>
        <w:ind w:firstLine="480" w:firstLineChars="200"/>
        <w:rPr>
          <w:rFonts w:hint="eastAsia"/>
          <w:color w:val="auto"/>
          <w:sz w:val="24"/>
          <w:szCs w:val="24"/>
          <w:highlight w:val="none"/>
        </w:rPr>
      </w:pPr>
      <w:r>
        <w:rPr>
          <w:rFonts w:hint="eastAsia"/>
          <w:color w:val="auto"/>
          <w:sz w:val="24"/>
          <w:szCs w:val="24"/>
          <w:highlight w:val="none"/>
          <w:lang w:val="en-US"/>
        </w:rPr>
        <w:t>21.3.3</w:t>
      </w:r>
      <w:r>
        <w:rPr>
          <w:rFonts w:hint="eastAsia"/>
          <w:color w:val="auto"/>
          <w:sz w:val="24"/>
          <w:szCs w:val="24"/>
          <w:highlight w:val="none"/>
        </w:rPr>
        <w:t>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autoSpaceDE/>
        <w:autoSpaceDN/>
        <w:spacing w:line="360" w:lineRule="auto"/>
        <w:ind w:firstLine="480" w:firstLineChars="200"/>
        <w:outlineLvl w:val="1"/>
        <w:rPr>
          <w:rFonts w:hint="eastAsia" w:ascii="宋体" w:hAnsi="宋体" w:eastAsia="宋体" w:cs="宋体"/>
          <w:color w:val="auto"/>
          <w:sz w:val="24"/>
          <w:szCs w:val="24"/>
          <w:highlight w:val="none"/>
          <w:lang w:val="en-US" w:eastAsia="zh-CN" w:bidi="ar-SA"/>
        </w:rPr>
      </w:pPr>
      <w:bookmarkStart w:id="154" w:name="_Toc26539"/>
      <w:bookmarkStart w:id="155" w:name="_Toc12156"/>
      <w:bookmarkStart w:id="156" w:name="_Toc8597"/>
      <w:bookmarkStart w:id="157" w:name="_Toc7209"/>
      <w:r>
        <w:rPr>
          <w:rFonts w:hint="eastAsia" w:ascii="宋体" w:hAnsi="宋体" w:eastAsia="宋体" w:cs="宋体"/>
          <w:color w:val="auto"/>
          <w:sz w:val="24"/>
          <w:szCs w:val="24"/>
          <w:highlight w:val="none"/>
          <w:lang w:val="en-US" w:eastAsia="zh-CN" w:bidi="ar-SA"/>
        </w:rPr>
        <w:t>21.4唱价说明</w:t>
      </w:r>
      <w:bookmarkEnd w:id="154"/>
      <w:bookmarkEnd w:id="155"/>
      <w:bookmarkEnd w:id="156"/>
      <w:bookmarkEnd w:id="157"/>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 投标文件报价前后不一致的，除投标文件另有规定外，按照下列规定修正：</w:t>
      </w:r>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(一)投标文件中投标函内容与投标文件中相应内容不一致的，以投标函为准；</w:t>
      </w:r>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(二) 大写金额和小写金额不一致的，以大写金额为准；</w:t>
      </w:r>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(三) 单价金额小数点或者百分比有明显错位的，以投标函的总价为准，并修改单价；</w:t>
      </w:r>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(四) 总价金额与按单价汇总金额不一致的，以单价金额计算结果为准。</w:t>
      </w:r>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同时出现两种以上不一致的，按照前款规定的顺序修正。修正后的报价经投标人确认后产生约束力，投标人不确认的，其报价无效。</w:t>
      </w:r>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对不同文字文本响应文件的解释发生异议的，以中文文本为准。</w:t>
      </w:r>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(2)最低报价不是成交的唯一因素，供应商所报方案应符合磋商文件的要求和 规定。</w:t>
      </w:r>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(3)磋商小组发现供应商的报价明显高于或低于其他报价的，可要求该供应商 做出说明。其说明报价高或低的理由是否合理，须经磋商小组 2/3 以上 (含 2/3) 的成员认定；否则，磋商小组有权据此对其做出无效报价的处理。</w:t>
      </w:r>
    </w:p>
    <w:p>
      <w:pPr>
        <w:autoSpaceDE/>
        <w:autoSpaceDN/>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注: 磋商文件如果涉及到品牌等，并不表明该标的被指定，而是仅供供应商 参考，供应商所投报的产品只要主要性能达到或超过磋商文件要求，没有重大偏离，都将被视为对磋商文件作出了实质性响应。</w:t>
      </w:r>
    </w:p>
    <w:p>
      <w:pPr>
        <w:spacing w:line="360" w:lineRule="auto"/>
        <w:ind w:firstLine="480" w:firstLineChars="200"/>
        <w:rPr>
          <w:color w:val="auto"/>
          <w:sz w:val="24"/>
          <w:szCs w:val="24"/>
          <w:highlight w:val="none"/>
        </w:rPr>
      </w:pPr>
      <w:r>
        <w:rPr>
          <w:rFonts w:hint="eastAsia"/>
          <w:color w:val="auto"/>
          <w:sz w:val="24"/>
          <w:szCs w:val="24"/>
          <w:highlight w:val="none"/>
          <w:lang w:val="en-US"/>
        </w:rPr>
        <w:t>21.</w:t>
      </w:r>
      <w:r>
        <w:rPr>
          <w:rFonts w:hint="eastAsia"/>
          <w:color w:val="auto"/>
          <w:sz w:val="24"/>
          <w:szCs w:val="24"/>
          <w:highlight w:val="none"/>
          <w:lang w:val="en-US" w:eastAsia="zh-CN"/>
        </w:rPr>
        <w:t>5</w:t>
      </w:r>
      <w:r>
        <w:rPr>
          <w:rFonts w:hint="eastAsia"/>
          <w:color w:val="auto"/>
          <w:sz w:val="24"/>
          <w:szCs w:val="24"/>
          <w:highlight w:val="none"/>
        </w:rPr>
        <w:t>供应商所报产品如被列入财政部与国家主管部门颁发的节能产品目录或环境标志产品目录，应提供符合要求的产品认证证书，在磋商时予以优先采购，具体优先采购办法见第 5 章评审方法和标准。</w:t>
      </w:r>
    </w:p>
    <w:p>
      <w:pPr>
        <w:spacing w:line="360" w:lineRule="auto"/>
        <w:ind w:firstLine="480" w:firstLineChars="200"/>
        <w:rPr>
          <w:color w:val="auto"/>
          <w:sz w:val="24"/>
          <w:szCs w:val="24"/>
          <w:highlight w:val="none"/>
        </w:rPr>
      </w:pPr>
      <w:r>
        <w:rPr>
          <w:rFonts w:hint="eastAsia"/>
          <w:color w:val="auto"/>
          <w:sz w:val="24"/>
          <w:szCs w:val="24"/>
          <w:highlight w:val="none"/>
        </w:rPr>
        <w:t>如采购人所采购产品为政府强制采购的节能产品，供应商应提供符合要求的产品认证证明材料，否则其响应文件将被认定为无效。</w:t>
      </w:r>
    </w:p>
    <w:p>
      <w:pPr>
        <w:spacing w:line="360" w:lineRule="auto"/>
        <w:ind w:firstLine="480" w:firstLineChars="200"/>
        <w:rPr>
          <w:color w:val="auto"/>
          <w:sz w:val="24"/>
          <w:szCs w:val="24"/>
          <w:highlight w:val="none"/>
        </w:rPr>
      </w:pPr>
      <w:r>
        <w:rPr>
          <w:rFonts w:hint="eastAsia"/>
          <w:color w:val="auto"/>
          <w:sz w:val="24"/>
          <w:szCs w:val="24"/>
          <w:highlight w:val="none"/>
          <w:lang w:val="en-US"/>
        </w:rPr>
        <w:t>21.</w:t>
      </w:r>
      <w:r>
        <w:rPr>
          <w:rFonts w:hint="eastAsia"/>
          <w:color w:val="auto"/>
          <w:sz w:val="24"/>
          <w:szCs w:val="24"/>
          <w:highlight w:val="none"/>
          <w:lang w:val="en-US" w:eastAsia="zh-CN"/>
        </w:rPr>
        <w:t>6</w:t>
      </w:r>
      <w:r>
        <w:rPr>
          <w:rFonts w:hint="eastAsia"/>
          <w:color w:val="auto"/>
          <w:sz w:val="24"/>
          <w:szCs w:val="24"/>
          <w:highlight w:val="none"/>
        </w:rPr>
        <w:t>已提交响应文件的供应商，在提交最后报价之前，可以根据磋商情况退出磋商。</w:t>
      </w:r>
    </w:p>
    <w:p>
      <w:pPr>
        <w:spacing w:line="360" w:lineRule="auto"/>
        <w:ind w:firstLine="480" w:firstLineChars="200"/>
        <w:rPr>
          <w:color w:val="auto"/>
          <w:sz w:val="24"/>
          <w:szCs w:val="24"/>
          <w:highlight w:val="none"/>
        </w:rPr>
      </w:pPr>
      <w:r>
        <w:rPr>
          <w:rFonts w:hint="eastAsia"/>
          <w:color w:val="auto"/>
          <w:sz w:val="24"/>
          <w:szCs w:val="24"/>
          <w:highlight w:val="none"/>
          <w:lang w:val="en-US"/>
        </w:rPr>
        <w:t>21.</w:t>
      </w:r>
      <w:r>
        <w:rPr>
          <w:rFonts w:hint="eastAsia"/>
          <w:color w:val="auto"/>
          <w:sz w:val="24"/>
          <w:szCs w:val="24"/>
          <w:highlight w:val="none"/>
          <w:lang w:val="en-US" w:eastAsia="zh-CN"/>
        </w:rPr>
        <w:t>7</w:t>
      </w:r>
      <w:r>
        <w:rPr>
          <w:rFonts w:hint="eastAsia"/>
          <w:color w:val="auto"/>
          <w:sz w:val="24"/>
          <w:szCs w:val="24"/>
          <w:highlight w:val="none"/>
        </w:rPr>
        <w:t>磋商小组可以接受响应文件中不构成实质性偏离的不正规或不一致。</w:t>
      </w:r>
      <w:bookmarkStart w:id="158" w:name="22.无效响应"/>
      <w:bookmarkEnd w:id="158"/>
    </w:p>
    <w:p>
      <w:pPr>
        <w:spacing w:line="360" w:lineRule="auto"/>
        <w:ind w:firstLine="482" w:firstLineChars="200"/>
        <w:rPr>
          <w:color w:val="auto"/>
          <w:sz w:val="24"/>
          <w:szCs w:val="24"/>
          <w:highlight w:val="none"/>
        </w:rPr>
      </w:pPr>
      <w:r>
        <w:rPr>
          <w:rFonts w:hint="eastAsia"/>
          <w:b/>
          <w:bCs/>
          <w:color w:val="auto"/>
          <w:sz w:val="24"/>
          <w:szCs w:val="24"/>
          <w:highlight w:val="none"/>
        </w:rPr>
        <w:t>22.无效响应</w:t>
      </w:r>
    </w:p>
    <w:p>
      <w:pPr>
        <w:spacing w:line="360" w:lineRule="auto"/>
        <w:ind w:firstLine="480" w:firstLineChars="200"/>
        <w:rPr>
          <w:color w:val="auto"/>
          <w:sz w:val="24"/>
          <w:szCs w:val="24"/>
          <w:highlight w:val="none"/>
        </w:rPr>
      </w:pPr>
      <w:r>
        <w:rPr>
          <w:rFonts w:hint="eastAsia"/>
          <w:color w:val="auto"/>
          <w:sz w:val="24"/>
          <w:szCs w:val="24"/>
          <w:highlight w:val="none"/>
          <w:lang w:val="en-US"/>
        </w:rPr>
        <w:t>22.1</w:t>
      </w:r>
      <w:r>
        <w:rPr>
          <w:rFonts w:hint="eastAsia"/>
          <w:color w:val="auto"/>
          <w:sz w:val="24"/>
          <w:szCs w:val="24"/>
          <w:highlight w:val="none"/>
        </w:rPr>
        <w:t>在比较与评价之前，根据本须知的规定，磋商小组要审查每份响应文件是否实质上响应了竞争性磋商文件的要求，未实质性响应磋商文件的响应文件按无效响应处理。</w:t>
      </w:r>
    </w:p>
    <w:p>
      <w:pPr>
        <w:spacing w:line="360" w:lineRule="auto"/>
        <w:ind w:firstLine="480" w:firstLineChars="200"/>
        <w:outlineLvl w:val="1"/>
        <w:rPr>
          <w:color w:val="auto"/>
          <w:sz w:val="24"/>
          <w:szCs w:val="24"/>
          <w:highlight w:val="none"/>
        </w:rPr>
      </w:pPr>
      <w:bookmarkStart w:id="159" w:name="_Toc6690"/>
      <w:bookmarkStart w:id="160" w:name="_Toc15694"/>
      <w:bookmarkStart w:id="161" w:name="_Toc24094"/>
      <w:bookmarkStart w:id="162" w:name="_Toc2386"/>
      <w:r>
        <w:rPr>
          <w:rFonts w:hint="eastAsia"/>
          <w:color w:val="auto"/>
          <w:sz w:val="24"/>
          <w:szCs w:val="24"/>
          <w:highlight w:val="none"/>
          <w:lang w:val="en-US"/>
        </w:rPr>
        <w:t>22.2</w:t>
      </w:r>
      <w:r>
        <w:rPr>
          <w:rFonts w:hint="eastAsia"/>
          <w:color w:val="auto"/>
          <w:sz w:val="24"/>
          <w:szCs w:val="24"/>
          <w:highlight w:val="none"/>
        </w:rPr>
        <w:t>如发现下列情况之一的，其响应将被认定为无效响应：</w:t>
      </w:r>
      <w:bookmarkEnd w:id="159"/>
      <w:bookmarkEnd w:id="160"/>
      <w:bookmarkEnd w:id="161"/>
      <w:bookmarkEnd w:id="162"/>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1</w:t>
      </w:r>
      <w:r>
        <w:rPr>
          <w:rFonts w:hint="eastAsia"/>
          <w:color w:val="auto"/>
          <w:sz w:val="24"/>
          <w:szCs w:val="24"/>
          <w:highlight w:val="none"/>
        </w:rPr>
        <w:t>）未按照竞争性磋商文件规定要求签署、盖章的；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2</w:t>
      </w:r>
      <w:r>
        <w:rPr>
          <w:rFonts w:hint="eastAsia"/>
          <w:color w:val="auto"/>
          <w:sz w:val="24"/>
          <w:szCs w:val="24"/>
          <w:highlight w:val="none"/>
        </w:rPr>
        <w:t>）未满足竞争性磋商文件商务和技术条款的实质性要求的；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3</w:t>
      </w:r>
      <w:r>
        <w:rPr>
          <w:rFonts w:hint="eastAsia"/>
          <w:color w:val="auto"/>
          <w:sz w:val="24"/>
          <w:szCs w:val="24"/>
          <w:highlight w:val="none"/>
        </w:rPr>
        <w:t>）违反竞争性磋商文件规定提供进口产品的；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4</w:t>
      </w:r>
      <w:r>
        <w:rPr>
          <w:rFonts w:hint="eastAsia"/>
          <w:color w:val="auto"/>
          <w:sz w:val="24"/>
          <w:szCs w:val="24"/>
          <w:highlight w:val="none"/>
        </w:rPr>
        <w:t>）未按竞争性磋商文件规定提供政府强制采购节能产品的认证证明材料的；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5</w:t>
      </w:r>
      <w:r>
        <w:rPr>
          <w:rFonts w:hint="eastAsia"/>
          <w:color w:val="auto"/>
          <w:sz w:val="24"/>
          <w:szCs w:val="24"/>
          <w:highlight w:val="none"/>
        </w:rPr>
        <w:t>）报价超过项目预算或最高限价的；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6</w:t>
      </w:r>
      <w:r>
        <w:rPr>
          <w:rFonts w:hint="eastAsia"/>
          <w:color w:val="auto"/>
          <w:sz w:val="24"/>
          <w:szCs w:val="24"/>
          <w:highlight w:val="none"/>
        </w:rPr>
        <w:t>）响应有效期不足的；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7</w:t>
      </w:r>
      <w:r>
        <w:rPr>
          <w:rFonts w:hint="eastAsia"/>
          <w:color w:val="auto"/>
          <w:sz w:val="24"/>
          <w:szCs w:val="24"/>
          <w:highlight w:val="none"/>
        </w:rPr>
        <w:t>）联合体响应文件未附联合体响应协议书的；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8</w:t>
      </w:r>
      <w:r>
        <w:rPr>
          <w:rFonts w:hint="eastAsia"/>
          <w:color w:val="auto"/>
          <w:sz w:val="24"/>
          <w:szCs w:val="24"/>
          <w:highlight w:val="none"/>
        </w:rPr>
        <w:t>）不符合竞争性磋商文件中有关分包规定的；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9</w:t>
      </w:r>
      <w:r>
        <w:rPr>
          <w:rFonts w:hint="eastAsia"/>
          <w:color w:val="auto"/>
          <w:sz w:val="24"/>
          <w:szCs w:val="24"/>
          <w:highlight w:val="none"/>
        </w:rPr>
        <w:t>）属于串通响应，或者依法被视为串通响应；</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10</w:t>
      </w:r>
      <w:r>
        <w:rPr>
          <w:rFonts w:hint="eastAsia"/>
          <w:color w:val="auto"/>
          <w:sz w:val="24"/>
          <w:szCs w:val="24"/>
          <w:highlight w:val="none"/>
        </w:rPr>
        <w:t>）响应文件含有采购人不能接受的附加条件的；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11</w:t>
      </w:r>
      <w:r>
        <w:rPr>
          <w:rFonts w:hint="eastAsia"/>
          <w:color w:val="auto"/>
          <w:sz w:val="24"/>
          <w:szCs w:val="24"/>
          <w:highlight w:val="none"/>
        </w:rPr>
        <w:t>）属于竞争性磋商文件规定的其他无效响应情形的；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12</w:t>
      </w:r>
      <w:r>
        <w:rPr>
          <w:rFonts w:hint="eastAsia"/>
          <w:color w:val="auto"/>
          <w:sz w:val="24"/>
          <w:szCs w:val="24"/>
          <w:highlight w:val="none"/>
        </w:rPr>
        <w:t>）未按照竞争性磋商文件清单中规定的方式报价的：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13</w:t>
      </w:r>
      <w:r>
        <w:rPr>
          <w:rFonts w:hint="eastAsia"/>
          <w:color w:val="auto"/>
          <w:sz w:val="24"/>
          <w:szCs w:val="24"/>
          <w:highlight w:val="none"/>
        </w:rPr>
        <w:t>）不符合法规和竞争性磋商文件中规定的其他实质性要求的。</w:t>
      </w:r>
    </w:p>
    <w:p>
      <w:pPr>
        <w:spacing w:line="360" w:lineRule="auto"/>
        <w:ind w:firstLine="482" w:firstLineChars="200"/>
        <w:rPr>
          <w:b/>
          <w:bCs/>
          <w:color w:val="auto"/>
          <w:sz w:val="24"/>
          <w:szCs w:val="24"/>
          <w:highlight w:val="none"/>
        </w:rPr>
      </w:pPr>
      <w:bookmarkStart w:id="163" w:name="23.磋商"/>
      <w:bookmarkEnd w:id="163"/>
      <w:r>
        <w:rPr>
          <w:rFonts w:hint="eastAsia"/>
          <w:b/>
          <w:bCs/>
          <w:color w:val="auto"/>
          <w:sz w:val="24"/>
          <w:szCs w:val="24"/>
          <w:highlight w:val="none"/>
          <w:lang w:val="en-US"/>
        </w:rPr>
        <w:t>23.</w:t>
      </w:r>
      <w:r>
        <w:rPr>
          <w:rFonts w:hint="eastAsia"/>
          <w:b/>
          <w:bCs/>
          <w:color w:val="auto"/>
          <w:sz w:val="24"/>
          <w:szCs w:val="24"/>
          <w:highlight w:val="none"/>
        </w:rPr>
        <w:t>磋商</w:t>
      </w:r>
    </w:p>
    <w:p>
      <w:pPr>
        <w:spacing w:line="360" w:lineRule="auto"/>
        <w:ind w:firstLine="480" w:firstLineChars="200"/>
        <w:outlineLvl w:val="1"/>
        <w:rPr>
          <w:color w:val="auto"/>
          <w:sz w:val="24"/>
          <w:szCs w:val="24"/>
          <w:highlight w:val="none"/>
        </w:rPr>
      </w:pPr>
      <w:bookmarkStart w:id="164" w:name="_Toc22868"/>
      <w:bookmarkStart w:id="165" w:name="_Toc10655"/>
      <w:bookmarkStart w:id="166" w:name="_Toc13406"/>
      <w:bookmarkStart w:id="167" w:name="_Toc2225"/>
      <w:r>
        <w:rPr>
          <w:rFonts w:hint="eastAsia"/>
          <w:color w:val="auto"/>
          <w:sz w:val="24"/>
          <w:szCs w:val="24"/>
          <w:highlight w:val="none"/>
          <w:lang w:val="en-US"/>
        </w:rPr>
        <w:t>23.1</w:t>
      </w:r>
      <w:r>
        <w:rPr>
          <w:rFonts w:hint="eastAsia"/>
          <w:color w:val="auto"/>
          <w:sz w:val="24"/>
          <w:szCs w:val="24"/>
          <w:highlight w:val="none"/>
        </w:rPr>
        <w:t>磋商小组所有成员集中与供应商分别单独进行磋商。</w:t>
      </w:r>
      <w:bookmarkEnd w:id="164"/>
      <w:bookmarkEnd w:id="165"/>
      <w:bookmarkEnd w:id="166"/>
      <w:bookmarkEnd w:id="167"/>
    </w:p>
    <w:p>
      <w:pPr>
        <w:spacing w:line="360" w:lineRule="auto"/>
        <w:ind w:firstLine="480" w:firstLineChars="200"/>
        <w:rPr>
          <w:color w:val="auto"/>
          <w:sz w:val="24"/>
          <w:szCs w:val="24"/>
          <w:highlight w:val="none"/>
        </w:rPr>
      </w:pPr>
      <w:r>
        <w:rPr>
          <w:rFonts w:hint="eastAsia"/>
          <w:color w:val="auto"/>
          <w:sz w:val="24"/>
          <w:szCs w:val="24"/>
          <w:highlight w:val="none"/>
          <w:lang w:val="en-US"/>
        </w:rPr>
        <w:t>23.2</w:t>
      </w:r>
      <w:r>
        <w:rPr>
          <w:rFonts w:hint="eastAsia"/>
          <w:color w:val="auto"/>
          <w:sz w:val="24"/>
          <w:szCs w:val="24"/>
          <w:highlight w:val="none"/>
        </w:rPr>
        <w:t>在磋商过程中，磋商小组可以根据磋商文件和磋商情况实质性变动采购需求中的技术、服务要求以及合同条款，但不得变动磋商文件中的其他内容。实质性变动的内容，须经采购人代表确认。</w:t>
      </w:r>
    </w:p>
    <w:p>
      <w:pPr>
        <w:spacing w:line="360" w:lineRule="auto"/>
        <w:ind w:firstLine="480" w:firstLineChars="200"/>
        <w:rPr>
          <w:color w:val="auto"/>
          <w:sz w:val="24"/>
          <w:szCs w:val="24"/>
          <w:highlight w:val="none"/>
        </w:rPr>
      </w:pPr>
      <w:r>
        <w:rPr>
          <w:rFonts w:hint="eastAsia"/>
          <w:color w:val="auto"/>
          <w:sz w:val="24"/>
          <w:szCs w:val="24"/>
          <w:highlight w:val="none"/>
          <w:lang w:val="en-US"/>
        </w:rPr>
        <w:t>23.3</w:t>
      </w:r>
      <w:r>
        <w:rPr>
          <w:rFonts w:hint="eastAsia"/>
          <w:color w:val="auto"/>
          <w:sz w:val="24"/>
          <w:szCs w:val="24"/>
          <w:highlight w:val="none"/>
        </w:rPr>
        <w:t>对磋商文件作出的实质性变动是磋商文件的有效组成部分，磋商小组应当及时以书面形式同时通知所有参加磋商的供应商。</w:t>
      </w:r>
    </w:p>
    <w:p>
      <w:pPr>
        <w:spacing w:line="360" w:lineRule="auto"/>
        <w:ind w:firstLine="480" w:firstLineChars="200"/>
        <w:rPr>
          <w:color w:val="auto"/>
          <w:sz w:val="24"/>
          <w:szCs w:val="24"/>
          <w:highlight w:val="none"/>
        </w:rPr>
      </w:pPr>
      <w:r>
        <w:rPr>
          <w:rFonts w:hint="eastAsia"/>
          <w:color w:val="auto"/>
          <w:sz w:val="24"/>
          <w:szCs w:val="24"/>
          <w:highlight w:val="none"/>
          <w:lang w:val="en-US"/>
        </w:rPr>
        <w:t>23.4</w:t>
      </w:r>
      <w:r>
        <w:rPr>
          <w:rFonts w:hint="eastAsia"/>
          <w:color w:val="auto"/>
          <w:sz w:val="24"/>
          <w:szCs w:val="24"/>
          <w:highlight w:val="none"/>
        </w:rPr>
        <w:t>供应商应当按照磋商文件的变动情况和磋商小组的要求重新提交响应文件，并由其法定代表人/负责人或委托代理人签字。供应商为自然人的，应当由本人签字并附身份证明。</w:t>
      </w:r>
    </w:p>
    <w:p>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rPr>
        <w:t>23.5</w:t>
      </w:r>
      <w:r>
        <w:rPr>
          <w:rFonts w:hint="eastAsia"/>
          <w:b/>
          <w:bCs/>
          <w:color w:val="auto"/>
          <w:sz w:val="24"/>
          <w:szCs w:val="24"/>
          <w:highlight w:val="none"/>
        </w:rPr>
        <w:t>本项目共 2 轮报价。</w:t>
      </w:r>
      <w:r>
        <w:rPr>
          <w:rFonts w:hint="eastAsia"/>
          <w:color w:val="auto"/>
          <w:sz w:val="24"/>
          <w:szCs w:val="24"/>
          <w:highlight w:val="none"/>
        </w:rPr>
        <w:t>磋商文件能够详细列明采购标的技术、服务要求的，磋商结束后，磋商小组应当要求所有实质性响应的供应商在规定时间内提交另一轮报价，该报价为最后报价，提交最后报价的供应商不得少于 3 家；磋商文件不能详细列明采购标的技术、服务要求，需经磋商由供应商提供最终设计方案或解决方案的，磋商结束后，磋商小组应当按照少数服从多数的原则投票推荐 3 家以上供应商的设计方案或者解决方案，并要求其在规定时间内提交另一轮报价，该报价为最后报价。</w:t>
      </w:r>
      <w:r>
        <w:rPr>
          <w:rFonts w:hint="eastAsia"/>
          <w:color w:val="auto"/>
          <w:sz w:val="24"/>
          <w:szCs w:val="24"/>
          <w:highlight w:val="none"/>
          <w:lang w:val="en-US" w:eastAsia="zh-CN"/>
        </w:rPr>
        <w:t>第二轮报价不得高于第一轮报价。</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本项目实行不见面远程二次（最终）报价，供应商进行网上在线报价，详见临沂市公共资源交易中心发布的“关于优化临沂市公共资源交易系统 相关功能的通知” </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（http://ggzyjy.linyi.gov.cn/linyi/xwzx/008002/20210415/c4feb8ff-736a-4454-92c4-a9a35a70c024.html）。</w:t>
      </w:r>
    </w:p>
    <w:p>
      <w:pPr>
        <w:spacing w:line="360" w:lineRule="auto"/>
        <w:ind w:firstLine="480" w:firstLineChars="200"/>
        <w:rPr>
          <w:color w:val="auto"/>
          <w:sz w:val="24"/>
          <w:szCs w:val="24"/>
          <w:highlight w:val="none"/>
        </w:rPr>
      </w:pPr>
      <w:r>
        <w:rPr>
          <w:rFonts w:hint="eastAsia"/>
          <w:color w:val="auto"/>
          <w:sz w:val="24"/>
          <w:szCs w:val="24"/>
          <w:highlight w:val="none"/>
          <w:lang w:val="en-US"/>
        </w:rPr>
        <w:t>23.6</w:t>
      </w:r>
      <w:r>
        <w:rPr>
          <w:rFonts w:hint="eastAsia"/>
          <w:color w:val="auto"/>
          <w:sz w:val="24"/>
          <w:szCs w:val="24"/>
          <w:highlight w:val="none"/>
        </w:rPr>
        <w:t>最后报价是供应商响应文件的有效组成部分，供应商法定代表人/负责人或委托代理人对最后报价确认。节能、环保产品、中小微企业产品价格认定均按照最后报价后的浮动比例同比例进行调整。</w:t>
      </w:r>
    </w:p>
    <w:p>
      <w:pPr>
        <w:spacing w:line="360" w:lineRule="auto"/>
        <w:ind w:firstLine="480" w:firstLineChars="200"/>
        <w:rPr>
          <w:rFonts w:hint="eastAsia"/>
          <w:color w:val="auto"/>
          <w:sz w:val="24"/>
          <w:szCs w:val="24"/>
          <w:highlight w:val="none"/>
        </w:rPr>
      </w:pPr>
      <w:r>
        <w:rPr>
          <w:rFonts w:hint="eastAsia"/>
          <w:color w:val="auto"/>
          <w:sz w:val="24"/>
          <w:szCs w:val="24"/>
          <w:highlight w:val="none"/>
          <w:lang w:val="en-US"/>
        </w:rPr>
        <w:t>23.7</w:t>
      </w:r>
      <w:r>
        <w:rPr>
          <w:rFonts w:hint="eastAsia"/>
          <w:color w:val="auto"/>
          <w:sz w:val="24"/>
          <w:szCs w:val="24"/>
          <w:highlight w:val="none"/>
        </w:rPr>
        <w:t>已提交响应文件的供应商，在提交最后报价之前，可以根据磋商情况退出磋商。该退出申请由供应商法定代表人/负责人或委托代理人书面签字确认。</w:t>
      </w:r>
    </w:p>
    <w:p>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23.8最低报价不是成交的唯一因素，供应商所报方案应符合磋商文件的要求和规定。</w:t>
      </w:r>
    </w:p>
    <w:p>
      <w:pPr>
        <w:spacing w:line="360" w:lineRule="auto"/>
        <w:ind w:firstLine="482" w:firstLineChars="200"/>
        <w:rPr>
          <w:b/>
          <w:bCs/>
          <w:color w:val="auto"/>
          <w:sz w:val="24"/>
          <w:szCs w:val="24"/>
          <w:highlight w:val="none"/>
        </w:rPr>
      </w:pPr>
      <w:bookmarkStart w:id="168" w:name="24.比较和评价"/>
      <w:bookmarkEnd w:id="168"/>
      <w:r>
        <w:rPr>
          <w:rFonts w:hint="eastAsia"/>
          <w:b/>
          <w:bCs/>
          <w:color w:val="auto"/>
          <w:sz w:val="24"/>
          <w:szCs w:val="24"/>
          <w:highlight w:val="none"/>
          <w:lang w:val="en-US"/>
        </w:rPr>
        <w:t>24.</w:t>
      </w:r>
      <w:r>
        <w:rPr>
          <w:rFonts w:hint="eastAsia"/>
          <w:b/>
          <w:bCs/>
          <w:color w:val="auto"/>
          <w:sz w:val="24"/>
          <w:szCs w:val="24"/>
          <w:highlight w:val="none"/>
        </w:rPr>
        <w:t>比较和评价</w:t>
      </w:r>
    </w:p>
    <w:p>
      <w:pPr>
        <w:spacing w:line="360" w:lineRule="auto"/>
        <w:ind w:firstLine="480" w:firstLineChars="200"/>
        <w:rPr>
          <w:color w:val="auto"/>
          <w:sz w:val="24"/>
          <w:szCs w:val="24"/>
          <w:highlight w:val="none"/>
        </w:rPr>
      </w:pPr>
      <w:r>
        <w:rPr>
          <w:rFonts w:hint="eastAsia"/>
          <w:color w:val="auto"/>
          <w:sz w:val="24"/>
          <w:szCs w:val="24"/>
          <w:highlight w:val="none"/>
          <w:lang w:val="en-US"/>
        </w:rPr>
        <w:t>24.1</w:t>
      </w:r>
      <w:r>
        <w:rPr>
          <w:rFonts w:hint="eastAsia"/>
          <w:color w:val="auto"/>
          <w:sz w:val="24"/>
          <w:szCs w:val="24"/>
          <w:highlight w:val="none"/>
        </w:rPr>
        <w:t>经磋商确定最终采购需求和提交最后报价的供应商后，磋商小组将根据竞争性磋商文件确定的评审方法和标准（谈判文件规定的程序、评定成交的标准等事项与实质性响应谈判文件），对其技术部分和商务部分作进一步的比较和评价。</w:t>
      </w:r>
    </w:p>
    <w:p>
      <w:pPr>
        <w:spacing w:line="360" w:lineRule="auto"/>
        <w:ind w:firstLine="480" w:firstLineChars="200"/>
        <w:rPr>
          <w:color w:val="auto"/>
          <w:sz w:val="24"/>
          <w:szCs w:val="24"/>
          <w:highlight w:val="none"/>
        </w:rPr>
      </w:pPr>
      <w:r>
        <w:rPr>
          <w:rFonts w:hint="eastAsia"/>
          <w:color w:val="auto"/>
          <w:sz w:val="24"/>
          <w:szCs w:val="24"/>
          <w:highlight w:val="none"/>
          <w:lang w:val="en-US"/>
        </w:rPr>
        <w:t>24.2</w:t>
      </w:r>
      <w:r>
        <w:rPr>
          <w:rFonts w:hint="eastAsia"/>
          <w:color w:val="auto"/>
          <w:sz w:val="24"/>
          <w:szCs w:val="24"/>
          <w:highlight w:val="none"/>
        </w:rPr>
        <w:t>磋商严格按照竞争性磋商文件的要求和条件进行。详细评审标准见竞争性磋商文件第 5 章。</w:t>
      </w:r>
    </w:p>
    <w:p>
      <w:pPr>
        <w:spacing w:line="360" w:lineRule="auto"/>
        <w:ind w:firstLine="480" w:firstLineChars="200"/>
        <w:rPr>
          <w:rFonts w:hint="eastAsia"/>
          <w:color w:val="auto"/>
          <w:sz w:val="24"/>
          <w:szCs w:val="24"/>
          <w:highlight w:val="none"/>
        </w:rPr>
      </w:pPr>
      <w:r>
        <w:rPr>
          <w:rFonts w:hint="eastAsia"/>
          <w:color w:val="auto"/>
          <w:sz w:val="24"/>
          <w:szCs w:val="24"/>
          <w:highlight w:val="none"/>
        </w:rPr>
        <w:t>综合评分法，是指响应文件满足竞争性磋商文件全部要求，且按照评审因素的量化指标评审得分最高的供应商为成交候选供应商的评审方法。</w:t>
      </w:r>
    </w:p>
    <w:p>
      <w:pPr>
        <w:pStyle w:val="10"/>
        <w:spacing w:line="360" w:lineRule="auto"/>
        <w:ind w:firstLine="480" w:firstLineChars="200"/>
        <w:rPr>
          <w:rFonts w:hint="default" w:ascii="宋体" w:hAnsi="宋体" w:eastAsia="宋体" w:cs="宋体"/>
          <w:color w:val="auto"/>
          <w:sz w:val="24"/>
          <w:szCs w:val="24"/>
          <w:highlight w:val="none"/>
          <w:lang w:val="en-US" w:eastAsia="zh-CN" w:bidi="zh-CN"/>
        </w:rPr>
      </w:pPr>
      <w:r>
        <w:rPr>
          <w:rFonts w:hint="default" w:ascii="宋体" w:hAnsi="宋体" w:eastAsia="宋体" w:cs="宋体"/>
          <w:color w:val="auto"/>
          <w:sz w:val="24"/>
          <w:szCs w:val="24"/>
          <w:highlight w:val="none"/>
          <w:lang w:val="en-US" w:eastAsia="zh-CN" w:bidi="zh-CN"/>
        </w:rPr>
        <w:t>24.3 根据《政府采购促进中小企业发展管理办法》、《财政部司法部关于政府采购支持监狱企业发展有关问题的通知》（财库〔2014〕68 号）和《三部门联合发布关于促进残疾人就业政府采购政策的通知》（财库〔2017〕141 号）的规定，对满足价格扣除条件且在响应文件中提交了《中小企业声明函》或省级以上监狱管理局、戒毒管理局（含新疆生产建设兵团）出具的属于监狱企业的证明文件的供应商，其响应扣除</w:t>
      </w:r>
      <w:r>
        <w:rPr>
          <w:rFonts w:hint="eastAsia" w:ascii="宋体" w:hAnsi="宋体" w:eastAsia="宋体" w:cs="宋体"/>
          <w:color w:val="auto"/>
          <w:sz w:val="24"/>
          <w:szCs w:val="24"/>
          <w:highlight w:val="none"/>
          <w:lang w:val="en-US" w:eastAsia="zh-CN" w:bidi="zh-CN"/>
        </w:rPr>
        <w:t>5</w:t>
      </w:r>
      <w:r>
        <w:rPr>
          <w:rFonts w:hint="default" w:ascii="宋体" w:hAnsi="宋体" w:eastAsia="宋体" w:cs="宋体"/>
          <w:color w:val="auto"/>
          <w:sz w:val="24"/>
          <w:szCs w:val="24"/>
          <w:highlight w:val="none"/>
          <w:lang w:val="en-US" w:eastAsia="zh-CN" w:bidi="zh-CN"/>
        </w:rPr>
        <w:t>%后参与磋商。具体办法及比例详见竞争性磋商文件第 5 章。</w:t>
      </w:r>
    </w:p>
    <w:p>
      <w:pPr>
        <w:pStyle w:val="10"/>
        <w:spacing w:line="360" w:lineRule="auto"/>
        <w:ind w:firstLine="480" w:firstLineChars="200"/>
        <w:rPr>
          <w:rFonts w:hint="default" w:ascii="宋体" w:hAnsi="宋体" w:eastAsia="宋体" w:cs="宋体"/>
          <w:color w:val="auto"/>
          <w:sz w:val="24"/>
          <w:szCs w:val="24"/>
          <w:highlight w:val="none"/>
          <w:lang w:val="en-US" w:eastAsia="zh-CN" w:bidi="zh-CN"/>
        </w:rPr>
      </w:pPr>
      <w:r>
        <w:rPr>
          <w:rFonts w:hint="default" w:ascii="宋体" w:hAnsi="宋体" w:eastAsia="宋体" w:cs="宋体"/>
          <w:color w:val="auto"/>
          <w:sz w:val="24"/>
          <w:szCs w:val="24"/>
          <w:highlight w:val="none"/>
          <w:lang w:val="en-US" w:eastAsia="zh-CN" w:bidi="zh-CN"/>
        </w:rPr>
        <w:t>24.4 根据国家有关节能、环保政策，对满足加分条件且在响应文件中提交了国家确定的认证机构出具的、处于有效期之内的节能产品、环境标志产品认证证书的供应商，可给予</w:t>
      </w:r>
      <w:r>
        <w:rPr>
          <w:rFonts w:hint="eastAsia" w:ascii="宋体" w:hAnsi="宋体" w:eastAsia="宋体" w:cs="宋体"/>
          <w:color w:val="auto"/>
          <w:sz w:val="24"/>
          <w:szCs w:val="24"/>
          <w:highlight w:val="none"/>
          <w:lang w:val="en-US" w:eastAsia="zh-CN" w:bidi="zh-CN"/>
        </w:rPr>
        <w:t>认证产品8%</w:t>
      </w:r>
      <w:r>
        <w:rPr>
          <w:rFonts w:hint="default" w:ascii="宋体" w:hAnsi="宋体" w:eastAsia="宋体" w:cs="宋体"/>
          <w:color w:val="auto"/>
          <w:sz w:val="24"/>
          <w:szCs w:val="24"/>
          <w:highlight w:val="none"/>
          <w:lang w:val="en-US" w:eastAsia="zh-CN" w:bidi="zh-CN"/>
        </w:rPr>
        <w:t>的评审加分，同等条件下，优先采购认证产品。具体办法及比例详见竞争性磋商文件第 5 章。</w:t>
      </w:r>
    </w:p>
    <w:p>
      <w:pPr>
        <w:spacing w:line="360" w:lineRule="auto"/>
        <w:ind w:firstLine="482" w:firstLineChars="200"/>
        <w:rPr>
          <w:b/>
          <w:bCs/>
          <w:color w:val="auto"/>
          <w:sz w:val="24"/>
          <w:szCs w:val="24"/>
          <w:highlight w:val="none"/>
        </w:rPr>
      </w:pPr>
      <w:bookmarkStart w:id="169" w:name="25._采购项目终止"/>
      <w:bookmarkEnd w:id="169"/>
      <w:r>
        <w:rPr>
          <w:rFonts w:hint="eastAsia"/>
          <w:b/>
          <w:bCs/>
          <w:color w:val="auto"/>
          <w:sz w:val="24"/>
          <w:szCs w:val="24"/>
          <w:highlight w:val="none"/>
          <w:lang w:val="en-US"/>
        </w:rPr>
        <w:t>25.</w:t>
      </w:r>
      <w:r>
        <w:rPr>
          <w:rFonts w:hint="eastAsia"/>
          <w:b/>
          <w:bCs/>
          <w:color w:val="auto"/>
          <w:sz w:val="24"/>
          <w:szCs w:val="24"/>
          <w:highlight w:val="none"/>
        </w:rPr>
        <w:t>采购项目终止</w:t>
      </w:r>
    </w:p>
    <w:p>
      <w:pPr>
        <w:spacing w:line="360" w:lineRule="auto"/>
        <w:ind w:firstLine="480" w:firstLineChars="200"/>
        <w:rPr>
          <w:color w:val="auto"/>
          <w:sz w:val="24"/>
          <w:szCs w:val="24"/>
          <w:highlight w:val="none"/>
        </w:rPr>
      </w:pPr>
      <w:r>
        <w:rPr>
          <w:rFonts w:hint="eastAsia"/>
          <w:color w:val="auto"/>
          <w:sz w:val="24"/>
          <w:szCs w:val="24"/>
          <w:highlight w:val="none"/>
        </w:rPr>
        <w:t>出现下列情形之一的，采购人应当终止竞争性磋商采购活动，发布项目终止公告并说明原因，重新开展采购活动：</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1</w:t>
      </w:r>
      <w:r>
        <w:rPr>
          <w:rFonts w:hint="eastAsia"/>
          <w:color w:val="auto"/>
          <w:sz w:val="24"/>
          <w:szCs w:val="24"/>
          <w:highlight w:val="none"/>
        </w:rPr>
        <w:t>）因情况变化，不再符合规定的竞争性磋商采购方式适用情形的；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2</w:t>
      </w:r>
      <w:r>
        <w:rPr>
          <w:rFonts w:hint="eastAsia"/>
          <w:color w:val="auto"/>
          <w:sz w:val="24"/>
          <w:szCs w:val="24"/>
          <w:highlight w:val="none"/>
        </w:rPr>
        <w:t>）出现影响采购公正的违法、违规行为的；</w:t>
      </w:r>
    </w:p>
    <w:p>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rPr>
        <w:t>3</w:t>
      </w:r>
      <w:r>
        <w:rPr>
          <w:rFonts w:hint="eastAsia"/>
          <w:color w:val="auto"/>
          <w:sz w:val="24"/>
          <w:szCs w:val="24"/>
          <w:highlight w:val="none"/>
        </w:rPr>
        <w:t>）除《政府采购竞争性磋商采购方式管理暂行办法》第三条第四项规定的情形外，在采购过程中符合要求的供应商或者报价未超过采购预算的供应商不足 3 家的。</w:t>
      </w:r>
    </w:p>
    <w:p>
      <w:pPr>
        <w:spacing w:line="360" w:lineRule="auto"/>
        <w:ind w:firstLine="482" w:firstLineChars="200"/>
        <w:rPr>
          <w:b/>
          <w:bCs/>
          <w:color w:val="auto"/>
          <w:sz w:val="24"/>
          <w:szCs w:val="24"/>
          <w:highlight w:val="none"/>
        </w:rPr>
      </w:pPr>
      <w:bookmarkStart w:id="170" w:name="26.保密要求"/>
      <w:bookmarkEnd w:id="170"/>
      <w:r>
        <w:rPr>
          <w:rFonts w:hint="eastAsia"/>
          <w:b/>
          <w:bCs/>
          <w:color w:val="auto"/>
          <w:sz w:val="24"/>
          <w:szCs w:val="24"/>
          <w:highlight w:val="none"/>
          <w:lang w:val="en-US"/>
        </w:rPr>
        <w:t>26.</w:t>
      </w:r>
      <w:r>
        <w:rPr>
          <w:rFonts w:hint="eastAsia"/>
          <w:b/>
          <w:bCs/>
          <w:color w:val="auto"/>
          <w:sz w:val="24"/>
          <w:szCs w:val="24"/>
          <w:highlight w:val="none"/>
        </w:rPr>
        <w:t>保密要求</w:t>
      </w:r>
    </w:p>
    <w:p>
      <w:pPr>
        <w:spacing w:line="360" w:lineRule="auto"/>
        <w:ind w:firstLine="480" w:firstLineChars="200"/>
        <w:outlineLvl w:val="1"/>
        <w:rPr>
          <w:color w:val="auto"/>
          <w:sz w:val="24"/>
          <w:szCs w:val="24"/>
          <w:highlight w:val="none"/>
        </w:rPr>
      </w:pPr>
      <w:bookmarkStart w:id="171" w:name="_Toc29185"/>
      <w:bookmarkStart w:id="172" w:name="_Toc23587"/>
      <w:bookmarkStart w:id="173" w:name="_Toc29331"/>
      <w:bookmarkStart w:id="174" w:name="_Toc17075"/>
      <w:r>
        <w:rPr>
          <w:rFonts w:hint="eastAsia"/>
          <w:color w:val="auto"/>
          <w:sz w:val="24"/>
          <w:szCs w:val="24"/>
          <w:highlight w:val="none"/>
          <w:lang w:val="en-US"/>
        </w:rPr>
        <w:t>26.1</w:t>
      </w:r>
      <w:r>
        <w:rPr>
          <w:rFonts w:hint="eastAsia"/>
          <w:color w:val="auto"/>
          <w:sz w:val="24"/>
          <w:szCs w:val="24"/>
          <w:highlight w:val="none"/>
        </w:rPr>
        <w:t>磋商将在严格保密的情况下进行。</w:t>
      </w:r>
      <w:bookmarkEnd w:id="171"/>
      <w:bookmarkEnd w:id="172"/>
      <w:bookmarkEnd w:id="173"/>
      <w:bookmarkEnd w:id="174"/>
    </w:p>
    <w:p>
      <w:pPr>
        <w:spacing w:line="360" w:lineRule="auto"/>
        <w:ind w:firstLine="480" w:firstLineChars="200"/>
        <w:rPr>
          <w:rFonts w:hint="eastAsia"/>
          <w:b/>
          <w:bCs/>
          <w:color w:val="auto"/>
          <w:sz w:val="32"/>
          <w:szCs w:val="32"/>
          <w:highlight w:val="none"/>
        </w:rPr>
      </w:pPr>
      <w:r>
        <w:rPr>
          <w:rFonts w:hint="eastAsia"/>
          <w:color w:val="auto"/>
          <w:sz w:val="24"/>
          <w:szCs w:val="24"/>
          <w:highlight w:val="none"/>
          <w:lang w:val="en-US"/>
        </w:rPr>
        <w:t>26.2</w:t>
      </w:r>
      <w:r>
        <w:rPr>
          <w:rFonts w:hint="eastAsia"/>
          <w:color w:val="auto"/>
          <w:sz w:val="24"/>
          <w:szCs w:val="24"/>
          <w:highlight w:val="none"/>
        </w:rPr>
        <w:t>政府采购评审专家应当遵守磋商工作纪律，</w:t>
      </w:r>
      <w:r>
        <w:rPr>
          <w:rFonts w:hint="eastAsia"/>
          <w:b/>
          <w:bCs/>
          <w:color w:val="auto"/>
          <w:sz w:val="24"/>
          <w:szCs w:val="24"/>
          <w:highlight w:val="none"/>
        </w:rPr>
        <w:t>不得记录、复制或者带走任何评标资料，</w:t>
      </w:r>
      <w:r>
        <w:rPr>
          <w:rFonts w:hint="eastAsia"/>
          <w:color w:val="auto"/>
          <w:sz w:val="24"/>
          <w:szCs w:val="24"/>
          <w:highlight w:val="none"/>
        </w:rPr>
        <w:t>不得泄露磋商文件、磋商情况和磋商中获悉的商业秘密。</w:t>
      </w:r>
      <w:bookmarkStart w:id="175" w:name="六___确定成交"/>
      <w:bookmarkEnd w:id="175"/>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rFonts w:hint="eastAsia"/>
          <w:b/>
          <w:bCs/>
          <w:color w:val="auto"/>
          <w:sz w:val="32"/>
          <w:szCs w:val="32"/>
          <w:highlight w:val="none"/>
        </w:rPr>
      </w:pPr>
    </w:p>
    <w:p>
      <w:pPr>
        <w:spacing w:line="360" w:lineRule="auto"/>
        <w:ind w:firstLine="643" w:firstLineChars="200"/>
        <w:jc w:val="center"/>
        <w:rPr>
          <w:b/>
          <w:bCs/>
          <w:color w:val="auto"/>
          <w:sz w:val="32"/>
          <w:szCs w:val="32"/>
          <w:highlight w:val="none"/>
        </w:rPr>
      </w:pPr>
      <w:r>
        <w:rPr>
          <w:rFonts w:hint="eastAsia"/>
          <w:b/>
          <w:bCs/>
          <w:color w:val="auto"/>
          <w:sz w:val="32"/>
          <w:szCs w:val="32"/>
          <w:highlight w:val="none"/>
        </w:rPr>
        <w:t>六、确定成交</w:t>
      </w:r>
    </w:p>
    <w:p>
      <w:pPr>
        <w:spacing w:line="360" w:lineRule="auto"/>
        <w:ind w:firstLine="482" w:firstLineChars="200"/>
        <w:rPr>
          <w:color w:val="auto"/>
          <w:sz w:val="24"/>
          <w:szCs w:val="24"/>
          <w:highlight w:val="none"/>
        </w:rPr>
      </w:pPr>
      <w:bookmarkStart w:id="176" w:name="27.___成交候选供应商的确定原则及标准"/>
      <w:bookmarkEnd w:id="176"/>
      <w:r>
        <w:rPr>
          <w:rFonts w:hint="eastAsia"/>
          <w:b/>
          <w:bCs/>
          <w:color w:val="auto"/>
          <w:sz w:val="24"/>
          <w:szCs w:val="24"/>
          <w:highlight w:val="none"/>
          <w:lang w:val="en-US"/>
        </w:rPr>
        <w:t>27.</w:t>
      </w:r>
      <w:r>
        <w:rPr>
          <w:rFonts w:hint="eastAsia"/>
          <w:b/>
          <w:bCs/>
          <w:color w:val="auto"/>
          <w:sz w:val="24"/>
          <w:szCs w:val="24"/>
          <w:highlight w:val="none"/>
        </w:rPr>
        <w:t>成交候选供应商的确定原则及标准</w:t>
      </w:r>
    </w:p>
    <w:p>
      <w:pPr>
        <w:spacing w:line="360" w:lineRule="auto"/>
        <w:ind w:firstLine="480" w:firstLineChars="200"/>
        <w:rPr>
          <w:color w:val="auto"/>
          <w:sz w:val="24"/>
          <w:szCs w:val="24"/>
          <w:highlight w:val="none"/>
        </w:rPr>
      </w:pPr>
      <w:r>
        <w:rPr>
          <w:rFonts w:hint="eastAsia"/>
          <w:color w:val="auto"/>
          <w:sz w:val="24"/>
          <w:szCs w:val="24"/>
          <w:highlight w:val="none"/>
        </w:rPr>
        <w:t>除 29 条规定外，对实质上响应磋商文件的供应商按下列方法进行排序，确定成交候选供应商。</w:t>
      </w:r>
    </w:p>
    <w:p>
      <w:pPr>
        <w:spacing w:line="360" w:lineRule="auto"/>
        <w:ind w:firstLine="480" w:firstLineChars="200"/>
        <w:rPr>
          <w:color w:val="auto"/>
          <w:sz w:val="24"/>
          <w:szCs w:val="24"/>
          <w:highlight w:val="none"/>
        </w:rPr>
      </w:pPr>
      <w:r>
        <w:rPr>
          <w:rFonts w:hint="eastAsia"/>
          <w:color w:val="auto"/>
          <w:sz w:val="24"/>
          <w:szCs w:val="24"/>
          <w:highlight w:val="none"/>
        </w:rPr>
        <w:t>磋商小组对实质上响应竞争性磋商文件的供应商按照竞争性磋商文件第 5 章规</w:t>
      </w:r>
    </w:p>
    <w:p>
      <w:pPr>
        <w:spacing w:line="360" w:lineRule="auto"/>
        <w:rPr>
          <w:color w:val="auto"/>
          <w:sz w:val="24"/>
          <w:szCs w:val="24"/>
          <w:highlight w:val="none"/>
        </w:rPr>
      </w:pPr>
      <w:r>
        <w:rPr>
          <w:rFonts w:hint="eastAsia"/>
          <w:color w:val="auto"/>
          <w:sz w:val="24"/>
          <w:szCs w:val="24"/>
          <w:highlight w:val="none"/>
        </w:rPr>
        <w:t>定的评审方法进行排序，确定 3 名以上成交候选供应商，并编写评审报告。评审得分相同的，按照最后报价由低到高的顺序推荐。评审得分且最后报价相同的，按照技术指标优劣顺序推荐。</w:t>
      </w:r>
    </w:p>
    <w:p>
      <w:pPr>
        <w:spacing w:line="360" w:lineRule="auto"/>
        <w:ind w:firstLine="482" w:firstLineChars="200"/>
        <w:rPr>
          <w:color w:val="auto"/>
          <w:sz w:val="24"/>
          <w:szCs w:val="24"/>
          <w:highlight w:val="none"/>
        </w:rPr>
      </w:pPr>
      <w:bookmarkStart w:id="177" w:name="28.确定成交候选供应商和成交供应商"/>
      <w:bookmarkEnd w:id="177"/>
      <w:r>
        <w:rPr>
          <w:rFonts w:hint="eastAsia"/>
          <w:b/>
          <w:bCs/>
          <w:color w:val="auto"/>
          <w:sz w:val="24"/>
          <w:szCs w:val="24"/>
          <w:highlight w:val="none"/>
          <w:lang w:val="en-US"/>
        </w:rPr>
        <w:t>28.</w:t>
      </w:r>
      <w:r>
        <w:rPr>
          <w:rFonts w:hint="eastAsia"/>
          <w:b/>
          <w:bCs/>
          <w:color w:val="auto"/>
          <w:sz w:val="24"/>
          <w:szCs w:val="24"/>
          <w:highlight w:val="none"/>
        </w:rPr>
        <w:t>确定成交候选供应商和成交供应商</w:t>
      </w:r>
    </w:p>
    <w:p>
      <w:pPr>
        <w:spacing w:line="360" w:lineRule="auto"/>
        <w:ind w:firstLine="480" w:firstLineChars="200"/>
        <w:rPr>
          <w:color w:val="auto"/>
          <w:sz w:val="24"/>
          <w:szCs w:val="24"/>
          <w:highlight w:val="none"/>
        </w:rPr>
      </w:pPr>
      <w:r>
        <w:rPr>
          <w:rFonts w:hint="eastAsia"/>
          <w:color w:val="auto"/>
          <w:sz w:val="24"/>
          <w:szCs w:val="24"/>
          <w:highlight w:val="none"/>
        </w:rPr>
        <w:t>磋商小组将根据评标标准，按</w:t>
      </w:r>
      <w:r>
        <w:rPr>
          <w:rFonts w:hint="eastAsia"/>
          <w:color w:val="auto"/>
          <w:sz w:val="24"/>
          <w:szCs w:val="24"/>
          <w:highlight w:val="none"/>
          <w:u w:val="single"/>
        </w:rPr>
        <w:t>供应商须知资料表中</w:t>
      </w:r>
      <w:r>
        <w:rPr>
          <w:rFonts w:hint="eastAsia"/>
          <w:color w:val="auto"/>
          <w:sz w:val="24"/>
          <w:szCs w:val="24"/>
          <w:highlight w:val="none"/>
        </w:rPr>
        <w:t>规定数量推荐中标候选人或根据采购人的委托直接确定成交供应商。</w:t>
      </w:r>
    </w:p>
    <w:p>
      <w:pPr>
        <w:spacing w:line="360" w:lineRule="auto"/>
        <w:ind w:firstLine="482" w:firstLineChars="200"/>
        <w:rPr>
          <w:b/>
          <w:bCs/>
          <w:color w:val="auto"/>
          <w:sz w:val="24"/>
          <w:szCs w:val="24"/>
          <w:highlight w:val="none"/>
          <w:u w:val="single"/>
        </w:rPr>
      </w:pPr>
      <w:bookmarkStart w:id="178" w:name="29.采购任务取消"/>
      <w:bookmarkEnd w:id="178"/>
      <w:r>
        <w:rPr>
          <w:rFonts w:hint="eastAsia"/>
          <w:b/>
          <w:bCs/>
          <w:color w:val="auto"/>
          <w:sz w:val="24"/>
          <w:szCs w:val="24"/>
          <w:highlight w:val="none"/>
          <w:u w:val="single"/>
          <w:lang w:val="en-US"/>
        </w:rPr>
        <w:t>29.</w:t>
      </w:r>
      <w:r>
        <w:rPr>
          <w:rFonts w:hint="eastAsia"/>
          <w:b/>
          <w:bCs/>
          <w:color w:val="auto"/>
          <w:sz w:val="24"/>
          <w:szCs w:val="24"/>
          <w:highlight w:val="none"/>
          <w:u w:val="single"/>
        </w:rPr>
        <w:t>采购任务取消</w:t>
      </w:r>
    </w:p>
    <w:p>
      <w:pPr>
        <w:spacing w:line="360" w:lineRule="auto"/>
        <w:ind w:firstLine="480" w:firstLineChars="200"/>
        <w:rPr>
          <w:color w:val="auto"/>
          <w:sz w:val="24"/>
          <w:szCs w:val="24"/>
          <w:highlight w:val="none"/>
        </w:rPr>
      </w:pPr>
      <w:r>
        <w:rPr>
          <w:rFonts w:hint="eastAsia"/>
          <w:color w:val="auto"/>
          <w:sz w:val="24"/>
          <w:szCs w:val="24"/>
          <w:highlight w:val="none"/>
        </w:rPr>
        <w:t>因重大变故采购任务取消时，采购人有权拒绝任何供应商成交，对受影响的供应商不承担任何责任。</w:t>
      </w:r>
    </w:p>
    <w:p>
      <w:pPr>
        <w:spacing w:line="360" w:lineRule="auto"/>
        <w:ind w:firstLine="482" w:firstLineChars="200"/>
        <w:rPr>
          <w:color w:val="auto"/>
          <w:sz w:val="24"/>
          <w:szCs w:val="24"/>
          <w:highlight w:val="none"/>
        </w:rPr>
      </w:pPr>
      <w:bookmarkStart w:id="179" w:name="30.发出成交通知书"/>
      <w:bookmarkEnd w:id="179"/>
      <w:r>
        <w:rPr>
          <w:rFonts w:hint="eastAsia"/>
          <w:b/>
          <w:bCs/>
          <w:color w:val="auto"/>
          <w:sz w:val="24"/>
          <w:szCs w:val="24"/>
          <w:highlight w:val="none"/>
          <w:lang w:val="en-US"/>
        </w:rPr>
        <w:t>30.</w:t>
      </w:r>
      <w:r>
        <w:rPr>
          <w:rFonts w:hint="eastAsia"/>
          <w:b/>
          <w:bCs/>
          <w:color w:val="auto"/>
          <w:sz w:val="24"/>
          <w:szCs w:val="24"/>
          <w:highlight w:val="none"/>
        </w:rPr>
        <w:t>发出成交通知书</w:t>
      </w:r>
    </w:p>
    <w:p>
      <w:pPr>
        <w:spacing w:line="360" w:lineRule="auto"/>
        <w:ind w:firstLine="480" w:firstLineChars="200"/>
        <w:rPr>
          <w:color w:val="auto"/>
          <w:sz w:val="24"/>
          <w:szCs w:val="24"/>
          <w:highlight w:val="none"/>
        </w:rPr>
      </w:pPr>
      <w:r>
        <w:rPr>
          <w:rFonts w:hint="eastAsia"/>
          <w:color w:val="auto"/>
          <w:sz w:val="24"/>
          <w:szCs w:val="24"/>
          <w:highlight w:val="none"/>
        </w:rPr>
        <w:t>在响应有效期内，成交供应商确定后，采购人或者采购代理机构按照规定应同时公告供应商未中标的原因，发布成交公告，在公告成交结果的同时，向成交供应商发出成交通知书，成交通知书是合同的组成部分。</w:t>
      </w:r>
    </w:p>
    <w:p>
      <w:pPr>
        <w:spacing w:line="360" w:lineRule="auto"/>
        <w:ind w:firstLine="482" w:firstLineChars="200"/>
        <w:rPr>
          <w:color w:val="auto"/>
          <w:sz w:val="24"/>
          <w:szCs w:val="24"/>
          <w:highlight w:val="none"/>
        </w:rPr>
      </w:pPr>
      <w:bookmarkStart w:id="180" w:name="31.签订合同"/>
      <w:bookmarkEnd w:id="180"/>
      <w:r>
        <w:rPr>
          <w:rFonts w:hint="eastAsia"/>
          <w:b/>
          <w:bCs/>
          <w:color w:val="auto"/>
          <w:sz w:val="24"/>
          <w:szCs w:val="24"/>
          <w:highlight w:val="none"/>
          <w:lang w:val="en-US"/>
        </w:rPr>
        <w:t>31.</w:t>
      </w:r>
      <w:r>
        <w:rPr>
          <w:rFonts w:hint="eastAsia"/>
          <w:b/>
          <w:bCs/>
          <w:color w:val="auto"/>
          <w:sz w:val="24"/>
          <w:szCs w:val="24"/>
          <w:highlight w:val="none"/>
        </w:rPr>
        <w:t>签订合同</w:t>
      </w:r>
    </w:p>
    <w:p>
      <w:pPr>
        <w:spacing w:line="360" w:lineRule="auto"/>
        <w:ind w:firstLine="482" w:firstLineChars="200"/>
        <w:rPr>
          <w:b/>
          <w:bCs/>
          <w:color w:val="auto"/>
          <w:sz w:val="24"/>
          <w:szCs w:val="24"/>
          <w:highlight w:val="none"/>
        </w:rPr>
      </w:pPr>
      <w:r>
        <w:rPr>
          <w:rFonts w:hint="eastAsia"/>
          <w:b/>
          <w:bCs/>
          <w:color w:val="auto"/>
          <w:sz w:val="24"/>
          <w:szCs w:val="24"/>
          <w:highlight w:val="none"/>
          <w:lang w:val="en-US"/>
        </w:rPr>
        <w:t>31.1</w:t>
      </w:r>
      <w:r>
        <w:rPr>
          <w:rFonts w:hint="eastAsia"/>
          <w:b/>
          <w:bCs/>
          <w:color w:val="auto"/>
          <w:sz w:val="24"/>
          <w:szCs w:val="24"/>
          <w:highlight w:val="none"/>
        </w:rPr>
        <w:t xml:space="preserve">成交供应商应当自发出成交通知书之日起 </w:t>
      </w:r>
      <w:r>
        <w:rPr>
          <w:rFonts w:hint="eastAsia"/>
          <w:b/>
          <w:bCs/>
          <w:color w:val="auto"/>
          <w:sz w:val="24"/>
          <w:szCs w:val="24"/>
          <w:highlight w:val="none"/>
          <w:lang w:val="en-US" w:eastAsia="zh-CN"/>
        </w:rPr>
        <w:t>10</w:t>
      </w:r>
      <w:r>
        <w:rPr>
          <w:rFonts w:hint="eastAsia"/>
          <w:b/>
          <w:bCs/>
          <w:color w:val="auto"/>
          <w:sz w:val="24"/>
          <w:szCs w:val="24"/>
          <w:highlight w:val="none"/>
        </w:rPr>
        <w:t xml:space="preserve"> 个工作日内，与采购人签订合同。</w:t>
      </w:r>
    </w:p>
    <w:p>
      <w:pPr>
        <w:spacing w:line="360" w:lineRule="auto"/>
        <w:ind w:firstLine="480" w:firstLineChars="200"/>
        <w:rPr>
          <w:color w:val="auto"/>
          <w:sz w:val="24"/>
          <w:szCs w:val="24"/>
          <w:highlight w:val="none"/>
        </w:rPr>
      </w:pPr>
      <w:r>
        <w:rPr>
          <w:rFonts w:hint="eastAsia"/>
          <w:color w:val="auto"/>
          <w:sz w:val="24"/>
          <w:szCs w:val="24"/>
          <w:highlight w:val="none"/>
          <w:lang w:val="en-US"/>
        </w:rPr>
        <w:t>31.2</w:t>
      </w:r>
      <w:r>
        <w:rPr>
          <w:rFonts w:hint="eastAsia"/>
          <w:color w:val="auto"/>
          <w:sz w:val="24"/>
          <w:szCs w:val="24"/>
          <w:highlight w:val="none"/>
        </w:rPr>
        <w:t>竞争性磋商文件、成交供应商的响应文件及其澄清文件等，均为签订合同的依据。</w:t>
      </w:r>
    </w:p>
    <w:p>
      <w:pPr>
        <w:spacing w:line="360" w:lineRule="auto"/>
        <w:ind w:firstLine="480" w:firstLineChars="200"/>
        <w:rPr>
          <w:color w:val="auto"/>
          <w:sz w:val="24"/>
          <w:szCs w:val="24"/>
          <w:highlight w:val="none"/>
        </w:rPr>
      </w:pPr>
      <w:r>
        <w:rPr>
          <w:rFonts w:hint="eastAsia"/>
          <w:color w:val="auto"/>
          <w:sz w:val="24"/>
          <w:szCs w:val="24"/>
          <w:highlight w:val="none"/>
          <w:lang w:val="en-US"/>
        </w:rPr>
        <w:t>31.3</w:t>
      </w:r>
      <w:r>
        <w:rPr>
          <w:rFonts w:hint="eastAsia"/>
          <w:color w:val="auto"/>
          <w:sz w:val="24"/>
          <w:szCs w:val="24"/>
          <w:highlight w:val="none"/>
        </w:rPr>
        <w:t>如成交供应商拒绝与采购人签订合同的，采购人可以按照评审报告推荐的成交候选供应商名单排序，确定下一成交候选供应商为成交供应商，也可以重新开展政府采购活动。</w:t>
      </w:r>
    </w:p>
    <w:p>
      <w:pPr>
        <w:spacing w:line="360" w:lineRule="auto"/>
        <w:ind w:firstLine="480" w:firstLineChars="200"/>
        <w:rPr>
          <w:color w:val="auto"/>
          <w:sz w:val="24"/>
          <w:szCs w:val="24"/>
          <w:highlight w:val="none"/>
        </w:rPr>
      </w:pPr>
      <w:r>
        <w:rPr>
          <w:rFonts w:hint="eastAsia"/>
          <w:color w:val="auto"/>
          <w:sz w:val="24"/>
          <w:szCs w:val="24"/>
          <w:highlight w:val="none"/>
          <w:lang w:val="en-US"/>
        </w:rPr>
        <w:t>31.4</w:t>
      </w:r>
      <w:r>
        <w:rPr>
          <w:rFonts w:hint="eastAsia"/>
          <w:color w:val="auto"/>
          <w:sz w:val="24"/>
          <w:szCs w:val="24"/>
          <w:highlight w:val="none"/>
        </w:rPr>
        <w:t>当出现法规规定的成交无效或成交结果无效情形时，采购人依规可与排名下一位的成交候选供应商另行签订合同，或依法重新开展采购活动。</w:t>
      </w:r>
    </w:p>
    <w:p>
      <w:pPr>
        <w:spacing w:line="360" w:lineRule="auto"/>
        <w:ind w:firstLine="482" w:firstLineChars="200"/>
        <w:rPr>
          <w:rFonts w:hint="eastAsia" w:eastAsia="宋体"/>
          <w:color w:val="auto"/>
          <w:sz w:val="24"/>
          <w:szCs w:val="24"/>
          <w:highlight w:val="none"/>
          <w:lang w:eastAsia="zh-CN"/>
        </w:rPr>
      </w:pPr>
      <w:bookmarkStart w:id="181" w:name="32.履约保证金"/>
      <w:bookmarkEnd w:id="181"/>
      <w:r>
        <w:rPr>
          <w:rFonts w:hint="eastAsia"/>
          <w:b/>
          <w:bCs/>
          <w:color w:val="auto"/>
          <w:sz w:val="24"/>
          <w:szCs w:val="24"/>
          <w:highlight w:val="none"/>
          <w:lang w:val="en-US"/>
        </w:rPr>
        <w:t>32.</w:t>
      </w:r>
      <w:r>
        <w:rPr>
          <w:rFonts w:hint="eastAsia"/>
          <w:b/>
          <w:bCs/>
          <w:color w:val="auto"/>
          <w:sz w:val="24"/>
          <w:szCs w:val="24"/>
          <w:highlight w:val="none"/>
        </w:rPr>
        <w:t>履约保证金</w:t>
      </w:r>
      <w:r>
        <w:rPr>
          <w:rFonts w:hint="eastAsia"/>
          <w:b/>
          <w:bCs/>
          <w:color w:val="auto"/>
          <w:sz w:val="24"/>
          <w:szCs w:val="24"/>
          <w:highlight w:val="none"/>
          <w:lang w:eastAsia="zh-CN"/>
        </w:rPr>
        <w:t>（</w:t>
      </w:r>
      <w:r>
        <w:rPr>
          <w:rFonts w:hint="eastAsia"/>
          <w:b/>
          <w:bCs/>
          <w:color w:val="auto"/>
          <w:sz w:val="24"/>
          <w:szCs w:val="24"/>
          <w:highlight w:val="none"/>
          <w:lang w:val="en-US" w:eastAsia="zh-CN"/>
        </w:rPr>
        <w:t>无</w:t>
      </w:r>
      <w:r>
        <w:rPr>
          <w:rFonts w:hint="eastAsia"/>
          <w:b/>
          <w:bCs/>
          <w:color w:val="auto"/>
          <w:sz w:val="24"/>
          <w:szCs w:val="24"/>
          <w:highlight w:val="none"/>
          <w:lang w:eastAsia="zh-CN"/>
        </w:rPr>
        <w:t>）</w:t>
      </w:r>
    </w:p>
    <w:p>
      <w:pPr>
        <w:spacing w:line="360" w:lineRule="auto"/>
        <w:ind w:firstLine="480" w:firstLineChars="200"/>
        <w:rPr>
          <w:color w:val="auto"/>
          <w:sz w:val="24"/>
          <w:szCs w:val="24"/>
          <w:highlight w:val="none"/>
        </w:rPr>
      </w:pPr>
      <w:r>
        <w:rPr>
          <w:rFonts w:hint="eastAsia"/>
          <w:color w:val="auto"/>
          <w:sz w:val="24"/>
          <w:szCs w:val="24"/>
          <w:highlight w:val="none"/>
          <w:lang w:val="en-US"/>
        </w:rPr>
        <w:t>32.1</w:t>
      </w:r>
      <w:r>
        <w:rPr>
          <w:rFonts w:hint="eastAsia"/>
          <w:color w:val="auto"/>
          <w:sz w:val="24"/>
          <w:szCs w:val="24"/>
          <w:highlight w:val="none"/>
        </w:rPr>
        <w:t>如果需要履约保证金，成交供应商应按照</w:t>
      </w:r>
      <w:r>
        <w:rPr>
          <w:rFonts w:hint="eastAsia"/>
          <w:color w:val="auto"/>
          <w:sz w:val="24"/>
          <w:szCs w:val="24"/>
          <w:highlight w:val="none"/>
          <w:u w:val="single"/>
        </w:rPr>
        <w:t>供应商须知资料表</w:t>
      </w:r>
      <w:r>
        <w:rPr>
          <w:rFonts w:hint="eastAsia"/>
          <w:color w:val="auto"/>
          <w:sz w:val="24"/>
          <w:szCs w:val="24"/>
          <w:highlight w:val="none"/>
        </w:rPr>
        <w:t>规定向采购人缴纳履约保证金（如采用保函形式，格式见本章附件</w:t>
      </w:r>
      <w:r>
        <w:rPr>
          <w:rFonts w:hint="eastAsia"/>
          <w:color w:val="auto"/>
          <w:sz w:val="24"/>
          <w:szCs w:val="24"/>
          <w:highlight w:val="none"/>
          <w:lang w:val="en-US" w:eastAsia="zh-CN"/>
        </w:rPr>
        <w:t xml:space="preserve"> </w:t>
      </w:r>
      <w:r>
        <w:rPr>
          <w:rFonts w:hint="eastAsia"/>
          <w:color w:val="auto"/>
          <w:sz w:val="24"/>
          <w:szCs w:val="24"/>
          <w:highlight w:val="none"/>
        </w:rPr>
        <w:t>1）</w:t>
      </w:r>
    </w:p>
    <w:p>
      <w:pPr>
        <w:spacing w:line="360" w:lineRule="auto"/>
        <w:ind w:firstLine="480" w:firstLineChars="200"/>
        <w:rPr>
          <w:color w:val="auto"/>
          <w:sz w:val="24"/>
          <w:szCs w:val="24"/>
          <w:highlight w:val="none"/>
        </w:rPr>
      </w:pPr>
      <w:r>
        <w:rPr>
          <w:rFonts w:hint="eastAsia"/>
          <w:color w:val="auto"/>
          <w:sz w:val="24"/>
          <w:szCs w:val="24"/>
          <w:highlight w:val="none"/>
          <w:lang w:val="en-US"/>
        </w:rPr>
        <w:t>32.2</w:t>
      </w:r>
      <w:r>
        <w:rPr>
          <w:rFonts w:hint="eastAsia"/>
          <w:color w:val="auto"/>
          <w:sz w:val="24"/>
          <w:szCs w:val="24"/>
          <w:highlight w:val="none"/>
        </w:rPr>
        <w:t>政府采购利用担保试点范围内的项目，除 31.1 规定的情形外，成交供应商也可以按照财政部门的规定，向采购人提供合格的履约担保函（格式见本章附件 2）。</w:t>
      </w:r>
    </w:p>
    <w:p>
      <w:pPr>
        <w:spacing w:line="360" w:lineRule="auto"/>
        <w:ind w:firstLine="480" w:firstLineChars="200"/>
        <w:rPr>
          <w:color w:val="auto"/>
          <w:sz w:val="24"/>
          <w:szCs w:val="24"/>
          <w:highlight w:val="none"/>
        </w:rPr>
      </w:pPr>
      <w:r>
        <w:rPr>
          <w:rFonts w:hint="eastAsia"/>
          <w:color w:val="auto"/>
          <w:sz w:val="24"/>
          <w:szCs w:val="24"/>
          <w:highlight w:val="none"/>
          <w:lang w:val="en-US"/>
        </w:rPr>
        <w:t>32.3</w:t>
      </w:r>
      <w:r>
        <w:rPr>
          <w:rFonts w:hint="eastAsia"/>
          <w:color w:val="auto"/>
          <w:sz w:val="24"/>
          <w:szCs w:val="24"/>
          <w:highlight w:val="none"/>
        </w:rPr>
        <w:t>如果成交供应商没有按照上述履约保证金的规定执行，将视为放弃成交资格，成交供应商的磋商保证金将不予退还（如有）。在此情况下，采购人可依规确定下一候选人为成交供应商，也可以重新开展采购活动。</w:t>
      </w:r>
    </w:p>
    <w:p>
      <w:pPr>
        <w:spacing w:line="360" w:lineRule="auto"/>
        <w:ind w:firstLine="482" w:firstLineChars="200"/>
        <w:rPr>
          <w:color w:val="auto"/>
          <w:sz w:val="24"/>
          <w:szCs w:val="24"/>
          <w:highlight w:val="none"/>
        </w:rPr>
      </w:pPr>
      <w:bookmarkStart w:id="182" w:name="33.政府采购信用担保"/>
      <w:bookmarkEnd w:id="182"/>
      <w:r>
        <w:rPr>
          <w:rFonts w:hint="eastAsia"/>
          <w:b/>
          <w:bCs/>
          <w:color w:val="auto"/>
          <w:sz w:val="24"/>
          <w:szCs w:val="24"/>
          <w:highlight w:val="none"/>
          <w:lang w:val="en-US"/>
        </w:rPr>
        <w:t>33.</w:t>
      </w:r>
      <w:r>
        <w:rPr>
          <w:rFonts w:hint="eastAsia"/>
          <w:b/>
          <w:bCs/>
          <w:color w:val="auto"/>
          <w:sz w:val="24"/>
          <w:szCs w:val="24"/>
          <w:highlight w:val="none"/>
        </w:rPr>
        <w:t>政府采购信用担保</w:t>
      </w:r>
    </w:p>
    <w:p>
      <w:pPr>
        <w:spacing w:line="360" w:lineRule="auto"/>
        <w:ind w:firstLine="480" w:firstLineChars="200"/>
        <w:outlineLvl w:val="1"/>
        <w:rPr>
          <w:color w:val="auto"/>
          <w:sz w:val="24"/>
          <w:szCs w:val="24"/>
          <w:highlight w:val="none"/>
        </w:rPr>
      </w:pPr>
      <w:bookmarkStart w:id="183" w:name="_Toc1673"/>
      <w:bookmarkStart w:id="184" w:name="_Toc17646"/>
      <w:bookmarkStart w:id="185" w:name="_Toc1870"/>
      <w:bookmarkStart w:id="186" w:name="_Toc1538"/>
      <w:r>
        <w:rPr>
          <w:rFonts w:hint="eastAsia"/>
          <w:color w:val="auto"/>
          <w:sz w:val="24"/>
          <w:szCs w:val="24"/>
          <w:highlight w:val="none"/>
          <w:lang w:val="en-US"/>
        </w:rPr>
        <w:t>33.1</w:t>
      </w:r>
      <w:r>
        <w:rPr>
          <w:rFonts w:hint="eastAsia"/>
          <w:color w:val="auto"/>
          <w:sz w:val="24"/>
          <w:szCs w:val="24"/>
          <w:highlight w:val="none"/>
        </w:rPr>
        <w:t>本项目是否属于信用担保试点范围见</w:t>
      </w:r>
      <w:r>
        <w:rPr>
          <w:rFonts w:hint="eastAsia"/>
          <w:color w:val="auto"/>
          <w:sz w:val="24"/>
          <w:szCs w:val="24"/>
          <w:highlight w:val="none"/>
          <w:u w:val="single"/>
        </w:rPr>
        <w:t>供应商须知资料表</w:t>
      </w:r>
      <w:r>
        <w:rPr>
          <w:rFonts w:hint="eastAsia"/>
          <w:color w:val="auto"/>
          <w:sz w:val="24"/>
          <w:szCs w:val="24"/>
          <w:highlight w:val="none"/>
        </w:rPr>
        <w:t>。</w:t>
      </w:r>
      <w:bookmarkEnd w:id="183"/>
      <w:bookmarkEnd w:id="184"/>
      <w:bookmarkEnd w:id="185"/>
      <w:bookmarkEnd w:id="186"/>
    </w:p>
    <w:p>
      <w:pPr>
        <w:spacing w:line="360" w:lineRule="auto"/>
        <w:ind w:firstLine="480" w:firstLineChars="200"/>
        <w:rPr>
          <w:color w:val="auto"/>
          <w:sz w:val="24"/>
          <w:szCs w:val="24"/>
          <w:highlight w:val="none"/>
        </w:rPr>
      </w:pPr>
      <w:r>
        <w:rPr>
          <w:rFonts w:hint="eastAsia"/>
          <w:color w:val="auto"/>
          <w:sz w:val="24"/>
          <w:szCs w:val="24"/>
          <w:highlight w:val="none"/>
          <w:lang w:val="en-US"/>
        </w:rPr>
        <w:t>33.2</w:t>
      </w:r>
      <w:r>
        <w:rPr>
          <w:rFonts w:hint="eastAsia"/>
          <w:color w:val="auto"/>
          <w:sz w:val="24"/>
          <w:szCs w:val="24"/>
          <w:highlight w:val="none"/>
        </w:rPr>
        <w:t>如属于政府采购信用担保试点范围内，中小型企业投标人可以自由按照财政部门的规定，采用磋商担保、履约担保和融资担保。</w:t>
      </w:r>
    </w:p>
    <w:p>
      <w:pPr>
        <w:spacing w:line="360" w:lineRule="auto"/>
        <w:ind w:firstLine="480" w:firstLineChars="200"/>
        <w:rPr>
          <w:color w:val="auto"/>
          <w:sz w:val="24"/>
          <w:szCs w:val="24"/>
          <w:highlight w:val="none"/>
        </w:rPr>
      </w:pPr>
      <w:r>
        <w:rPr>
          <w:rFonts w:hint="eastAsia"/>
          <w:color w:val="auto"/>
          <w:sz w:val="24"/>
          <w:szCs w:val="24"/>
          <w:highlight w:val="none"/>
          <w:lang w:val="en-US"/>
        </w:rPr>
        <w:t>33.2.1</w:t>
      </w:r>
      <w:r>
        <w:rPr>
          <w:rFonts w:hint="eastAsia"/>
          <w:color w:val="auto"/>
          <w:sz w:val="24"/>
          <w:szCs w:val="24"/>
          <w:highlight w:val="none"/>
        </w:rPr>
        <w:t>供应商递交的磋商担保函和履约担保函应符合本磋商文件的规定。</w:t>
      </w:r>
    </w:p>
    <w:p>
      <w:pPr>
        <w:spacing w:line="360" w:lineRule="auto"/>
        <w:ind w:firstLine="480" w:firstLineChars="200"/>
        <w:rPr>
          <w:color w:val="auto"/>
          <w:sz w:val="24"/>
          <w:szCs w:val="24"/>
          <w:highlight w:val="none"/>
        </w:rPr>
      </w:pPr>
      <w:r>
        <w:rPr>
          <w:rFonts w:hint="eastAsia"/>
          <w:color w:val="auto"/>
          <w:sz w:val="24"/>
          <w:szCs w:val="24"/>
          <w:highlight w:val="none"/>
          <w:lang w:val="en-US"/>
        </w:rPr>
        <w:t>33.2.2</w:t>
      </w:r>
      <w:r>
        <w:rPr>
          <w:rFonts w:hint="eastAsia"/>
          <w:color w:val="auto"/>
          <w:sz w:val="24"/>
          <w:szCs w:val="24"/>
          <w:highlight w:val="none"/>
        </w:rPr>
        <w:t>成交供应商可以采取融资担保的形式为政府采购项目履约进行融资。</w:t>
      </w:r>
      <w:bookmarkStart w:id="187" w:name="34.预付款"/>
      <w:bookmarkEnd w:id="187"/>
    </w:p>
    <w:p>
      <w:pPr>
        <w:spacing w:line="360" w:lineRule="auto"/>
        <w:ind w:firstLine="482" w:firstLineChars="200"/>
        <w:rPr>
          <w:b/>
          <w:bCs/>
          <w:color w:val="auto"/>
          <w:sz w:val="24"/>
          <w:szCs w:val="24"/>
          <w:highlight w:val="none"/>
        </w:rPr>
      </w:pPr>
      <w:r>
        <w:rPr>
          <w:rFonts w:hint="eastAsia"/>
          <w:b/>
          <w:bCs/>
          <w:color w:val="auto"/>
          <w:sz w:val="24"/>
          <w:szCs w:val="24"/>
          <w:highlight w:val="none"/>
        </w:rPr>
        <w:t>34.预付款</w:t>
      </w:r>
    </w:p>
    <w:p>
      <w:pPr>
        <w:spacing w:line="360" w:lineRule="auto"/>
        <w:ind w:firstLine="480" w:firstLineChars="200"/>
        <w:rPr>
          <w:color w:val="auto"/>
          <w:sz w:val="24"/>
          <w:szCs w:val="24"/>
          <w:highlight w:val="none"/>
        </w:rPr>
      </w:pPr>
      <w:r>
        <w:rPr>
          <w:rFonts w:hint="eastAsia"/>
          <w:color w:val="auto"/>
          <w:sz w:val="24"/>
          <w:szCs w:val="24"/>
          <w:highlight w:val="none"/>
          <w:lang w:val="en-US"/>
        </w:rPr>
        <w:t>34.1</w:t>
      </w:r>
      <w:r>
        <w:rPr>
          <w:rFonts w:hint="eastAsia"/>
          <w:color w:val="auto"/>
          <w:sz w:val="24"/>
          <w:szCs w:val="24"/>
          <w:highlight w:val="none"/>
        </w:rPr>
        <w:t>预付款是在指政府采购合同签订后、履行前，采购人向成交供应商预先支付部分合同款项，预付款比例按照</w:t>
      </w:r>
      <w:r>
        <w:rPr>
          <w:rFonts w:hint="eastAsia"/>
          <w:color w:val="auto"/>
          <w:sz w:val="24"/>
          <w:szCs w:val="24"/>
          <w:highlight w:val="none"/>
          <w:u w:val="single"/>
        </w:rPr>
        <w:t>供应商须知资料表</w:t>
      </w:r>
      <w:r>
        <w:rPr>
          <w:rFonts w:hint="eastAsia"/>
          <w:color w:val="auto"/>
          <w:sz w:val="24"/>
          <w:szCs w:val="24"/>
          <w:highlight w:val="none"/>
        </w:rPr>
        <w:t>规定执行。</w:t>
      </w:r>
    </w:p>
    <w:p>
      <w:pPr>
        <w:spacing w:line="360" w:lineRule="auto"/>
        <w:ind w:firstLine="480" w:firstLineChars="200"/>
        <w:rPr>
          <w:color w:val="auto"/>
          <w:sz w:val="24"/>
          <w:szCs w:val="24"/>
          <w:highlight w:val="none"/>
        </w:rPr>
      </w:pPr>
      <w:r>
        <w:rPr>
          <w:rFonts w:hint="eastAsia"/>
          <w:color w:val="auto"/>
          <w:sz w:val="24"/>
          <w:szCs w:val="24"/>
          <w:highlight w:val="none"/>
          <w:lang w:val="en-US"/>
        </w:rPr>
        <w:t>34.2</w:t>
      </w:r>
      <w:r>
        <w:rPr>
          <w:rFonts w:hint="eastAsia"/>
          <w:color w:val="auto"/>
          <w:sz w:val="24"/>
          <w:szCs w:val="24"/>
          <w:highlight w:val="none"/>
        </w:rPr>
        <w:t>本项目采购人不需要支付预付款的情形，见</w:t>
      </w:r>
      <w:r>
        <w:rPr>
          <w:rFonts w:hint="eastAsia"/>
          <w:color w:val="auto"/>
          <w:sz w:val="24"/>
          <w:szCs w:val="24"/>
          <w:highlight w:val="none"/>
          <w:u w:val="single"/>
        </w:rPr>
        <w:t>供应商须知资料表</w:t>
      </w:r>
      <w:r>
        <w:rPr>
          <w:rFonts w:hint="eastAsia"/>
          <w:color w:val="auto"/>
          <w:sz w:val="24"/>
          <w:szCs w:val="24"/>
          <w:highlight w:val="none"/>
        </w:rPr>
        <w:t>。</w:t>
      </w:r>
      <w:bookmarkStart w:id="188" w:name="35.廉洁自律规定"/>
      <w:bookmarkEnd w:id="188"/>
    </w:p>
    <w:p>
      <w:pPr>
        <w:spacing w:line="360" w:lineRule="auto"/>
        <w:ind w:firstLine="482" w:firstLineChars="200"/>
        <w:rPr>
          <w:b/>
          <w:bCs/>
          <w:color w:val="auto"/>
          <w:sz w:val="24"/>
          <w:szCs w:val="24"/>
          <w:highlight w:val="none"/>
        </w:rPr>
      </w:pPr>
      <w:r>
        <w:rPr>
          <w:rFonts w:hint="eastAsia"/>
          <w:b/>
          <w:bCs/>
          <w:color w:val="auto"/>
          <w:sz w:val="24"/>
          <w:szCs w:val="24"/>
          <w:highlight w:val="none"/>
        </w:rPr>
        <w:t>35.廉洁自律规定</w:t>
      </w:r>
    </w:p>
    <w:p>
      <w:pPr>
        <w:spacing w:line="360" w:lineRule="auto"/>
        <w:ind w:firstLine="480" w:firstLineChars="200"/>
        <w:rPr>
          <w:rFonts w:hint="eastAsia"/>
          <w:color w:val="auto"/>
          <w:sz w:val="24"/>
          <w:szCs w:val="24"/>
          <w:highlight w:val="none"/>
        </w:rPr>
      </w:pPr>
      <w:r>
        <w:rPr>
          <w:rFonts w:hint="eastAsia"/>
          <w:color w:val="auto"/>
          <w:sz w:val="24"/>
          <w:szCs w:val="24"/>
          <w:highlight w:val="none"/>
          <w:lang w:val="en-US"/>
        </w:rPr>
        <w:t>35.1</w:t>
      </w:r>
      <w:r>
        <w:rPr>
          <w:rFonts w:hint="eastAsia"/>
          <w:color w:val="auto"/>
          <w:sz w:val="24"/>
          <w:szCs w:val="24"/>
          <w:highlight w:val="none"/>
        </w:rPr>
        <w:t>采购代理机构工作人员不得与采购人、供应商恶意串通操纵政府采购活动。</w:t>
      </w:r>
    </w:p>
    <w:p>
      <w:pPr>
        <w:pStyle w:val="37"/>
        <w:spacing w:line="360" w:lineRule="auto"/>
        <w:ind w:firstLine="480" w:firstLineChars="200"/>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zh-CN" w:eastAsia="zh-CN" w:bidi="zh-CN"/>
        </w:rPr>
        <w:t>《中华人民共和国政府采购法实施条例》第七十四条</w:t>
      </w:r>
      <w:r>
        <w:rPr>
          <w:rFonts w:hint="eastAsia" w:ascii="宋体" w:hAnsi="宋体" w:eastAsia="宋体" w:cs="宋体"/>
          <w:color w:val="auto"/>
          <w:sz w:val="24"/>
          <w:szCs w:val="24"/>
          <w:highlight w:val="none"/>
          <w:lang w:val="en-US" w:eastAsia="zh-CN" w:bidi="zh-CN"/>
        </w:rPr>
        <w:t xml:space="preserve"> </w:t>
      </w:r>
      <w:r>
        <w:rPr>
          <w:rFonts w:hint="eastAsia" w:ascii="宋体" w:hAnsi="宋体" w:eastAsia="宋体" w:cs="宋体"/>
          <w:color w:val="auto"/>
          <w:sz w:val="24"/>
          <w:szCs w:val="24"/>
          <w:highlight w:val="none"/>
          <w:lang w:val="zh-CN" w:eastAsia="zh-CN" w:bidi="zh-CN"/>
        </w:rPr>
        <w:t>有下列情形之一的，属于恶意串通，对供应商依照政府采购法第七十七条第一款的规定追究法律责任，对采购人、采购代理机构及其工作人员依照政府采购法第七十二条的规定追究法律责任：</w:t>
      </w:r>
    </w:p>
    <w:p>
      <w:pPr>
        <w:pStyle w:val="37"/>
        <w:spacing w:line="360" w:lineRule="auto"/>
        <w:ind w:firstLine="240" w:firstLineChars="100"/>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zh-CN" w:eastAsia="zh-CN" w:bidi="zh-CN"/>
        </w:rPr>
        <w:t>（一）供应商直接或者间接从采购人或者采购代理机构处获得其他供应商的相关情况并修改其投标文件或者响应文件；</w:t>
      </w:r>
    </w:p>
    <w:p>
      <w:pPr>
        <w:pStyle w:val="37"/>
        <w:spacing w:line="360" w:lineRule="auto"/>
        <w:ind w:firstLine="240" w:firstLineChars="100"/>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zh-CN" w:eastAsia="zh-CN" w:bidi="zh-CN"/>
        </w:rPr>
        <w:t>（二）供应商按照采购人或者采购代理机构的授意撤换、修改投标文件或者响应文件；</w:t>
      </w:r>
    </w:p>
    <w:p>
      <w:pPr>
        <w:pStyle w:val="37"/>
        <w:spacing w:line="360" w:lineRule="auto"/>
        <w:ind w:firstLine="240" w:firstLineChars="100"/>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zh-CN" w:eastAsia="zh-CN" w:bidi="zh-CN"/>
        </w:rPr>
        <w:t>（三）供应商之间协商报价、技术方案等投标文件或者响应文件的实质性内容；</w:t>
      </w:r>
    </w:p>
    <w:p>
      <w:pPr>
        <w:pStyle w:val="37"/>
        <w:spacing w:line="360" w:lineRule="auto"/>
        <w:ind w:firstLine="240" w:firstLineChars="100"/>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zh-CN" w:eastAsia="zh-CN" w:bidi="zh-CN"/>
        </w:rPr>
        <w:t>（四）属于同一集团、协会、商会等组织成员的供应商按照该组织要求协同参加政府采购活动；</w:t>
      </w:r>
    </w:p>
    <w:p>
      <w:pPr>
        <w:pStyle w:val="37"/>
        <w:spacing w:line="360" w:lineRule="auto"/>
        <w:ind w:firstLine="240" w:firstLineChars="100"/>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zh-CN" w:eastAsia="zh-CN" w:bidi="zh-CN"/>
        </w:rPr>
        <w:t>（五）供应商之间事先约定由某一特定供应商中标、成交；</w:t>
      </w:r>
    </w:p>
    <w:p>
      <w:pPr>
        <w:pStyle w:val="37"/>
        <w:spacing w:line="360" w:lineRule="auto"/>
        <w:ind w:firstLine="240" w:firstLineChars="100"/>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zh-CN" w:eastAsia="zh-CN" w:bidi="zh-CN"/>
        </w:rPr>
        <w:t>（六）供应商之间商定部分供应商放弃参加政府采购活动或者放弃中标、成交；</w:t>
      </w:r>
    </w:p>
    <w:p>
      <w:pPr>
        <w:pStyle w:val="37"/>
        <w:spacing w:line="360" w:lineRule="auto"/>
        <w:ind w:firstLine="240" w:firstLineChars="100"/>
        <w:rPr>
          <w:color w:val="auto"/>
          <w:highlight w:val="none"/>
        </w:rPr>
      </w:pPr>
      <w:r>
        <w:rPr>
          <w:rFonts w:hint="eastAsia" w:ascii="宋体" w:hAnsi="宋体" w:eastAsia="宋体" w:cs="宋体"/>
          <w:color w:val="auto"/>
          <w:sz w:val="24"/>
          <w:szCs w:val="24"/>
          <w:highlight w:val="none"/>
          <w:lang w:val="zh-CN" w:eastAsia="zh-CN" w:bidi="zh-CN"/>
        </w:rPr>
        <w:t>（七）供应商与采购人或者采购代理机构之间、供应商相互之间，为谋求特定供应商中标、成交或者排斥其他供应商的其他串通行为。</w:t>
      </w:r>
    </w:p>
    <w:p>
      <w:pPr>
        <w:spacing w:line="360" w:lineRule="auto"/>
        <w:ind w:firstLine="480" w:firstLineChars="200"/>
        <w:rPr>
          <w:color w:val="auto"/>
          <w:sz w:val="24"/>
          <w:szCs w:val="24"/>
          <w:highlight w:val="none"/>
        </w:rPr>
      </w:pPr>
      <w:r>
        <w:rPr>
          <w:rFonts w:hint="eastAsia"/>
          <w:color w:val="auto"/>
          <w:sz w:val="24"/>
          <w:szCs w:val="24"/>
          <w:highlight w:val="none"/>
          <w:lang w:val="en-US"/>
        </w:rPr>
        <w:t>35.</w:t>
      </w:r>
      <w:r>
        <w:rPr>
          <w:rFonts w:hint="eastAsia"/>
          <w:color w:val="auto"/>
          <w:sz w:val="24"/>
          <w:szCs w:val="24"/>
          <w:highlight w:val="none"/>
          <w:lang w:val="en-US" w:eastAsia="zh-CN"/>
        </w:rPr>
        <w:t>2</w:t>
      </w:r>
      <w:r>
        <w:rPr>
          <w:rFonts w:hint="eastAsia"/>
          <w:color w:val="auto"/>
          <w:sz w:val="24"/>
          <w:szCs w:val="24"/>
          <w:highlight w:val="none"/>
        </w:rPr>
        <w:t>采购代理机构工作人员不得与采购人、供应商恶意串通操纵政府采购活动。</w:t>
      </w:r>
    </w:p>
    <w:p>
      <w:pPr>
        <w:spacing w:line="360" w:lineRule="auto"/>
        <w:ind w:firstLine="480" w:firstLineChars="200"/>
        <w:rPr>
          <w:color w:val="auto"/>
          <w:sz w:val="24"/>
          <w:szCs w:val="24"/>
          <w:highlight w:val="none"/>
        </w:rPr>
      </w:pPr>
      <w:r>
        <w:rPr>
          <w:rFonts w:hint="eastAsia"/>
          <w:color w:val="auto"/>
          <w:sz w:val="24"/>
          <w:szCs w:val="24"/>
          <w:highlight w:val="none"/>
          <w:lang w:val="en-US"/>
        </w:rPr>
        <w:t>35.</w:t>
      </w:r>
      <w:r>
        <w:rPr>
          <w:rFonts w:hint="eastAsia"/>
          <w:color w:val="auto"/>
          <w:sz w:val="24"/>
          <w:szCs w:val="24"/>
          <w:highlight w:val="none"/>
          <w:lang w:val="en-US" w:eastAsia="zh-CN"/>
        </w:rPr>
        <w:t>3</w:t>
      </w:r>
      <w:r>
        <w:rPr>
          <w:rFonts w:hint="eastAsia"/>
          <w:color w:val="auto"/>
          <w:sz w:val="24"/>
          <w:szCs w:val="24"/>
          <w:highlight w:val="none"/>
        </w:rPr>
        <w:t>采购代理机构工作人员不得接受采购人或者供应商组织的宴请、旅游、娱乐， 不得收受礼品、现金、有价证券等，不得向采购人或者供应商报销应当由个人承担的费用。</w:t>
      </w:r>
    </w:p>
    <w:p>
      <w:pPr>
        <w:spacing w:line="360" w:lineRule="auto"/>
        <w:ind w:firstLine="480" w:firstLineChars="200"/>
        <w:rPr>
          <w:color w:val="auto"/>
          <w:sz w:val="24"/>
          <w:szCs w:val="24"/>
          <w:highlight w:val="none"/>
        </w:rPr>
      </w:pPr>
      <w:r>
        <w:rPr>
          <w:rFonts w:hint="eastAsia"/>
          <w:color w:val="auto"/>
          <w:sz w:val="24"/>
          <w:szCs w:val="24"/>
          <w:highlight w:val="none"/>
          <w:lang w:val="en-US"/>
        </w:rPr>
        <w:t>35.</w:t>
      </w:r>
      <w:r>
        <w:rPr>
          <w:rFonts w:hint="eastAsia"/>
          <w:color w:val="auto"/>
          <w:sz w:val="24"/>
          <w:szCs w:val="24"/>
          <w:highlight w:val="none"/>
          <w:lang w:val="en-US" w:eastAsia="zh-CN"/>
        </w:rPr>
        <w:t>4</w:t>
      </w:r>
      <w:r>
        <w:rPr>
          <w:rFonts w:hint="eastAsia"/>
          <w:color w:val="auto"/>
          <w:sz w:val="24"/>
          <w:szCs w:val="24"/>
          <w:highlight w:val="none"/>
        </w:rPr>
        <w:t>为强化采购代理机构内部监督机制，供应商可按</w:t>
      </w:r>
      <w:r>
        <w:rPr>
          <w:rFonts w:hint="eastAsia"/>
          <w:b w:val="0"/>
          <w:bCs w:val="0"/>
          <w:color w:val="auto"/>
          <w:sz w:val="24"/>
          <w:szCs w:val="24"/>
          <w:highlight w:val="none"/>
          <w:u w:val="single"/>
        </w:rPr>
        <w:t>供应商须知资料表</w:t>
      </w:r>
      <w:r>
        <w:rPr>
          <w:rFonts w:hint="eastAsia"/>
          <w:color w:val="auto"/>
          <w:sz w:val="24"/>
          <w:szCs w:val="24"/>
          <w:highlight w:val="none"/>
        </w:rPr>
        <w:t>中的监督电话和邮箱，反映采购代理机构的廉洁自律等问题。</w:t>
      </w:r>
    </w:p>
    <w:p>
      <w:pPr>
        <w:spacing w:line="360" w:lineRule="auto"/>
        <w:ind w:firstLine="482" w:firstLineChars="200"/>
        <w:rPr>
          <w:color w:val="auto"/>
          <w:sz w:val="24"/>
          <w:szCs w:val="24"/>
          <w:highlight w:val="none"/>
        </w:rPr>
      </w:pPr>
      <w:bookmarkStart w:id="189" w:name="36.人员回避"/>
      <w:bookmarkEnd w:id="189"/>
      <w:r>
        <w:rPr>
          <w:rFonts w:hint="eastAsia"/>
          <w:b/>
          <w:bCs/>
          <w:color w:val="auto"/>
          <w:sz w:val="24"/>
          <w:szCs w:val="24"/>
          <w:highlight w:val="none"/>
          <w:lang w:val="en-US"/>
        </w:rPr>
        <w:t>36.</w:t>
      </w:r>
      <w:r>
        <w:rPr>
          <w:rFonts w:hint="eastAsia"/>
          <w:b/>
          <w:bCs/>
          <w:color w:val="auto"/>
          <w:sz w:val="24"/>
          <w:szCs w:val="24"/>
          <w:highlight w:val="none"/>
        </w:rPr>
        <w:t>人员回避</w:t>
      </w:r>
    </w:p>
    <w:p>
      <w:pPr>
        <w:spacing w:line="360" w:lineRule="auto"/>
        <w:ind w:firstLine="480" w:firstLineChars="200"/>
        <w:rPr>
          <w:color w:val="auto"/>
          <w:sz w:val="24"/>
          <w:szCs w:val="24"/>
          <w:highlight w:val="none"/>
        </w:rPr>
      </w:pPr>
      <w:r>
        <w:rPr>
          <w:rFonts w:hint="eastAsia"/>
          <w:color w:val="auto"/>
          <w:sz w:val="24"/>
          <w:szCs w:val="24"/>
          <w:highlight w:val="none"/>
        </w:rPr>
        <w:t>潜在供应商认为竞争性磋商文件使自己的权益受到损害的，供应商认为采购人员、采购代理机构工作人员及其相关人员有法律法规所列与其他供应商有利害关系的，可以向采购人或采购代理机构书面提出回避申请，并说明理由。</w:t>
      </w:r>
    </w:p>
    <w:p>
      <w:pPr>
        <w:spacing w:line="360" w:lineRule="auto"/>
        <w:ind w:firstLine="482" w:firstLineChars="200"/>
        <w:rPr>
          <w:b/>
          <w:bCs/>
          <w:color w:val="auto"/>
          <w:sz w:val="24"/>
          <w:szCs w:val="24"/>
          <w:highlight w:val="none"/>
        </w:rPr>
      </w:pPr>
      <w:bookmarkStart w:id="190" w:name="37.质疑与接收"/>
      <w:bookmarkEnd w:id="190"/>
      <w:r>
        <w:rPr>
          <w:rFonts w:hint="eastAsia"/>
          <w:b/>
          <w:bCs/>
          <w:color w:val="auto"/>
          <w:sz w:val="24"/>
          <w:szCs w:val="24"/>
          <w:highlight w:val="none"/>
          <w:lang w:val="en-US"/>
        </w:rPr>
        <w:t>37.</w:t>
      </w:r>
      <w:r>
        <w:rPr>
          <w:rFonts w:hint="eastAsia"/>
          <w:b/>
          <w:bCs/>
          <w:color w:val="auto"/>
          <w:sz w:val="24"/>
          <w:szCs w:val="24"/>
          <w:highlight w:val="none"/>
        </w:rPr>
        <w:t>质疑与接收</w:t>
      </w:r>
    </w:p>
    <w:p>
      <w:pPr>
        <w:spacing w:line="360" w:lineRule="auto"/>
        <w:ind w:firstLine="480" w:firstLineChars="200"/>
        <w:rPr>
          <w:color w:val="auto"/>
          <w:sz w:val="24"/>
          <w:szCs w:val="24"/>
          <w:highlight w:val="none"/>
        </w:rPr>
      </w:pPr>
      <w:r>
        <w:rPr>
          <w:rFonts w:hint="eastAsia"/>
          <w:color w:val="auto"/>
          <w:sz w:val="24"/>
          <w:szCs w:val="24"/>
          <w:highlight w:val="none"/>
          <w:lang w:val="en-US"/>
        </w:rPr>
        <w:t>37.1</w:t>
      </w:r>
      <w:r>
        <w:rPr>
          <w:rFonts w:hint="eastAsia"/>
          <w:color w:val="auto"/>
          <w:sz w:val="24"/>
          <w:szCs w:val="24"/>
          <w:highlight w:val="none"/>
        </w:rPr>
        <w:t>供应商认为竞争性磋商文件、磋商过程和成交结果使自己的权益受到损害的， 可以根据《中华人民共和国政府采购法》、《中华人民共和国政府采购法实施条例》和《政府采购质疑和投诉办法》的有关规定，依法向采购人或其委托的采购代理机构提出质疑。</w:t>
      </w:r>
    </w:p>
    <w:p>
      <w:pPr>
        <w:spacing w:line="360" w:lineRule="auto"/>
        <w:ind w:firstLine="480" w:firstLineChars="200"/>
        <w:rPr>
          <w:color w:val="auto"/>
          <w:sz w:val="24"/>
          <w:szCs w:val="24"/>
          <w:highlight w:val="none"/>
        </w:rPr>
      </w:pPr>
      <w:r>
        <w:rPr>
          <w:rFonts w:hint="eastAsia"/>
          <w:color w:val="auto"/>
          <w:sz w:val="24"/>
          <w:szCs w:val="24"/>
          <w:highlight w:val="none"/>
          <w:lang w:val="en-US"/>
        </w:rPr>
        <w:t>37.2</w:t>
      </w:r>
      <w:r>
        <w:rPr>
          <w:rFonts w:hint="eastAsia"/>
          <w:color w:val="auto"/>
          <w:sz w:val="24"/>
          <w:szCs w:val="24"/>
          <w:highlight w:val="none"/>
        </w:rPr>
        <w:t>质疑供应商应按照财政部制定的《政府采购质疑函范本》格式（可从财政部官方网站下载）和《政府采购质疑和投诉办法》的要求，在法定质疑期内以书面形式提出质疑，针对同一采购程序环节的质疑应一次性提出。</w:t>
      </w:r>
    </w:p>
    <w:p>
      <w:pPr>
        <w:spacing w:line="360" w:lineRule="auto"/>
        <w:ind w:firstLine="480" w:firstLineChars="200"/>
        <w:rPr>
          <w:color w:val="auto"/>
          <w:sz w:val="24"/>
          <w:szCs w:val="24"/>
          <w:highlight w:val="none"/>
        </w:rPr>
      </w:pPr>
      <w:r>
        <w:rPr>
          <w:rFonts w:hint="eastAsia"/>
          <w:color w:val="auto"/>
          <w:sz w:val="24"/>
          <w:szCs w:val="24"/>
          <w:highlight w:val="none"/>
        </w:rPr>
        <w:t>超出法定质疑期的、重复提出的、分次提出的或内容、形式不符合《政府采购质疑和投诉办法》的，质疑供应商将依法承担不利后果。</w:t>
      </w:r>
    </w:p>
    <w:p>
      <w:pPr>
        <w:spacing w:line="360" w:lineRule="auto"/>
        <w:ind w:firstLine="480" w:firstLineChars="200"/>
        <w:rPr>
          <w:color w:val="auto"/>
          <w:sz w:val="24"/>
          <w:szCs w:val="24"/>
          <w:highlight w:val="none"/>
        </w:rPr>
      </w:pPr>
      <w:r>
        <w:rPr>
          <w:rFonts w:hint="eastAsia"/>
          <w:color w:val="auto"/>
          <w:sz w:val="24"/>
          <w:szCs w:val="24"/>
          <w:highlight w:val="none"/>
          <w:lang w:val="en-US"/>
        </w:rPr>
        <w:t>37.3</w:t>
      </w:r>
      <w:r>
        <w:rPr>
          <w:rFonts w:hint="eastAsia"/>
          <w:color w:val="auto"/>
          <w:sz w:val="24"/>
          <w:szCs w:val="24"/>
          <w:highlight w:val="none"/>
        </w:rPr>
        <w:t>采购人或采购代理机构质疑函接收部门、联系电话和通讯地址, 见</w:t>
      </w:r>
      <w:r>
        <w:rPr>
          <w:rFonts w:hint="eastAsia"/>
          <w:color w:val="auto"/>
          <w:sz w:val="24"/>
          <w:szCs w:val="24"/>
          <w:highlight w:val="none"/>
          <w:u w:val="single"/>
        </w:rPr>
        <w:t>供应商须知资料表。</w:t>
      </w:r>
      <w:bookmarkStart w:id="191" w:name="38.项目其他相关费用"/>
      <w:bookmarkEnd w:id="191"/>
    </w:p>
    <w:p>
      <w:pPr>
        <w:keepNext w:val="0"/>
        <w:keepLines w:val="0"/>
        <w:pageBreakBefore w:val="0"/>
        <w:widowControl w:val="0"/>
        <w:numPr>
          <w:ilvl w:val="0"/>
          <w:numId w:val="0"/>
        </w:numPr>
        <w:kinsoku/>
        <w:wordWrap/>
        <w:overflowPunct/>
        <w:topLinePunct w:val="0"/>
        <w:autoSpaceDE w:val="0"/>
        <w:autoSpaceDN w:val="0"/>
        <w:bidi w:val="0"/>
        <w:adjustRightInd/>
        <w:snapToGrid/>
        <w:spacing w:line="288" w:lineRule="auto"/>
        <w:ind w:firstLine="482" w:firstLineChars="200"/>
        <w:textAlignment w:val="auto"/>
        <w:rPr>
          <w:rFonts w:hint="eastAsia"/>
          <w:b/>
          <w:bCs/>
          <w:color w:val="auto"/>
          <w:sz w:val="24"/>
          <w:szCs w:val="24"/>
          <w:highlight w:val="none"/>
          <w:u w:val="single"/>
          <w:lang w:val="en-US" w:eastAsia="zh-CN"/>
        </w:rPr>
      </w:pPr>
      <w:bookmarkStart w:id="192" w:name="_Toc31530"/>
      <w:bookmarkStart w:id="193" w:name="_Toc51176622"/>
      <w:r>
        <w:rPr>
          <w:rFonts w:hint="eastAsia"/>
          <w:b/>
          <w:bCs/>
          <w:color w:val="auto"/>
          <w:sz w:val="24"/>
          <w:szCs w:val="24"/>
          <w:highlight w:val="none"/>
          <w:u w:val="single"/>
          <w:lang w:val="en-US" w:eastAsia="zh-CN"/>
        </w:rPr>
        <w:t>38.项目其他相关费用</w:t>
      </w:r>
      <w:bookmarkEnd w:id="192"/>
      <w:bookmarkEnd w:id="193"/>
    </w:p>
    <w:p>
      <w:pPr>
        <w:keepNext w:val="0"/>
        <w:keepLines w:val="0"/>
        <w:pageBreakBefore w:val="0"/>
        <w:widowControl w:val="0"/>
        <w:numPr>
          <w:ilvl w:val="0"/>
          <w:numId w:val="0"/>
        </w:numPr>
        <w:kinsoku/>
        <w:wordWrap/>
        <w:overflowPunct/>
        <w:topLinePunct w:val="0"/>
        <w:autoSpaceDE w:val="0"/>
        <w:autoSpaceDN w:val="0"/>
        <w:bidi w:val="0"/>
        <w:adjustRightInd/>
        <w:snapToGrid/>
        <w:spacing w:line="288" w:lineRule="auto"/>
        <w:ind w:firstLine="480" w:firstLineChars="200"/>
        <w:textAlignment w:val="auto"/>
        <w:rPr>
          <w:rFonts w:hint="eastAsia"/>
          <w:b w:val="0"/>
          <w:bCs w:val="0"/>
          <w:color w:val="auto"/>
          <w:sz w:val="24"/>
          <w:szCs w:val="24"/>
          <w:highlight w:val="none"/>
          <w:u w:val="none"/>
          <w:lang w:val="en-US" w:eastAsia="zh-CN"/>
        </w:rPr>
      </w:pPr>
      <w:bookmarkStart w:id="194" w:name="_Toc411637995"/>
      <w:r>
        <w:rPr>
          <w:rFonts w:hint="eastAsia"/>
          <w:b w:val="0"/>
          <w:bCs w:val="0"/>
          <w:color w:val="auto"/>
          <w:sz w:val="24"/>
          <w:szCs w:val="24"/>
          <w:highlight w:val="none"/>
          <w:u w:val="none"/>
          <w:lang w:val="en-US" w:eastAsia="zh-CN"/>
        </w:rPr>
        <w:t>38.1成交服务费</w:t>
      </w:r>
      <w:bookmarkEnd w:id="194"/>
    </w:p>
    <w:p>
      <w:pPr>
        <w:keepNext w:val="0"/>
        <w:keepLines w:val="0"/>
        <w:pageBreakBefore w:val="0"/>
        <w:widowControl w:val="0"/>
        <w:numPr>
          <w:ilvl w:val="0"/>
          <w:numId w:val="0"/>
        </w:numPr>
        <w:kinsoku/>
        <w:wordWrap/>
        <w:overflowPunct/>
        <w:topLinePunct w:val="0"/>
        <w:autoSpaceDE w:val="0"/>
        <w:autoSpaceDN w:val="0"/>
        <w:bidi w:val="0"/>
        <w:adjustRightInd/>
        <w:snapToGrid/>
        <w:spacing w:line="288" w:lineRule="auto"/>
        <w:ind w:firstLine="480" w:firstLineChars="200"/>
        <w:textAlignment w:val="auto"/>
        <w:rPr>
          <w:rFonts w:hint="eastAsia"/>
          <w:b w:val="0"/>
          <w:bCs w:val="0"/>
          <w:color w:val="auto"/>
          <w:sz w:val="24"/>
          <w:szCs w:val="24"/>
          <w:highlight w:val="none"/>
          <w:u w:val="none"/>
          <w:lang w:val="en-US" w:eastAsia="zh-CN"/>
        </w:rPr>
      </w:pPr>
      <w:r>
        <w:rPr>
          <w:rFonts w:hint="eastAsia"/>
          <w:b w:val="0"/>
          <w:bCs w:val="0"/>
          <w:color w:val="auto"/>
          <w:sz w:val="24"/>
          <w:szCs w:val="24"/>
          <w:highlight w:val="none"/>
          <w:u w:val="none"/>
          <w:lang w:val="en-US" w:eastAsia="zh-CN"/>
        </w:rPr>
        <w:t>成交服务费收取标准：</w:t>
      </w:r>
      <w:r>
        <w:rPr>
          <w:rFonts w:hint="eastAsia"/>
          <w:b w:val="0"/>
          <w:bCs w:val="0"/>
          <w:color w:val="auto"/>
          <w:sz w:val="24"/>
          <w:szCs w:val="24"/>
          <w:highlight w:val="none"/>
          <w:u w:val="single"/>
          <w:lang w:val="en-US" w:eastAsia="zh-CN"/>
        </w:rPr>
        <w:t>见供应商须知资料表。</w:t>
      </w:r>
    </w:p>
    <w:p>
      <w:pPr>
        <w:keepNext w:val="0"/>
        <w:keepLines w:val="0"/>
        <w:pageBreakBefore w:val="0"/>
        <w:widowControl w:val="0"/>
        <w:numPr>
          <w:ilvl w:val="0"/>
          <w:numId w:val="0"/>
        </w:numPr>
        <w:kinsoku/>
        <w:wordWrap/>
        <w:overflowPunct/>
        <w:topLinePunct w:val="0"/>
        <w:autoSpaceDE w:val="0"/>
        <w:autoSpaceDN w:val="0"/>
        <w:bidi w:val="0"/>
        <w:adjustRightInd/>
        <w:snapToGrid/>
        <w:spacing w:line="288" w:lineRule="auto"/>
        <w:ind w:firstLine="480" w:firstLineChars="200"/>
        <w:textAlignment w:val="auto"/>
        <w:rPr>
          <w:rFonts w:hint="eastAsia"/>
          <w:b w:val="0"/>
          <w:bCs w:val="0"/>
          <w:color w:val="auto"/>
          <w:sz w:val="24"/>
          <w:szCs w:val="24"/>
          <w:highlight w:val="none"/>
          <w:u w:val="none"/>
          <w:lang w:val="en-US" w:eastAsia="zh-CN"/>
        </w:rPr>
      </w:pPr>
      <w:r>
        <w:rPr>
          <w:rFonts w:hint="eastAsia"/>
          <w:b w:val="0"/>
          <w:bCs w:val="0"/>
          <w:color w:val="auto"/>
          <w:sz w:val="24"/>
          <w:szCs w:val="24"/>
          <w:highlight w:val="none"/>
          <w:u w:val="none"/>
          <w:lang w:val="en-US" w:eastAsia="zh-CN"/>
        </w:rPr>
        <w:t>38.2政府采购专家评审费</w:t>
      </w:r>
    </w:p>
    <w:p>
      <w:pPr>
        <w:keepNext w:val="0"/>
        <w:keepLines w:val="0"/>
        <w:pageBreakBefore w:val="0"/>
        <w:widowControl w:val="0"/>
        <w:numPr>
          <w:ilvl w:val="0"/>
          <w:numId w:val="0"/>
        </w:numPr>
        <w:kinsoku/>
        <w:wordWrap/>
        <w:overflowPunct/>
        <w:topLinePunct w:val="0"/>
        <w:autoSpaceDE w:val="0"/>
        <w:autoSpaceDN w:val="0"/>
        <w:bidi w:val="0"/>
        <w:adjustRightInd/>
        <w:snapToGrid/>
        <w:spacing w:line="288" w:lineRule="auto"/>
        <w:ind w:firstLine="480" w:firstLineChars="200"/>
        <w:textAlignment w:val="auto"/>
        <w:rPr>
          <w:rFonts w:hint="eastAsia"/>
          <w:b w:val="0"/>
          <w:bCs w:val="0"/>
          <w:color w:val="auto"/>
          <w:sz w:val="24"/>
          <w:szCs w:val="24"/>
          <w:highlight w:val="none"/>
          <w:u w:val="none"/>
          <w:lang w:val="en-US" w:eastAsia="zh-CN"/>
        </w:rPr>
      </w:pPr>
      <w:r>
        <w:rPr>
          <w:rFonts w:hint="eastAsia"/>
          <w:b w:val="0"/>
          <w:bCs w:val="0"/>
          <w:color w:val="auto"/>
          <w:sz w:val="24"/>
          <w:szCs w:val="24"/>
          <w:highlight w:val="none"/>
          <w:u w:val="none"/>
          <w:lang w:val="en-US" w:eastAsia="zh-CN"/>
        </w:rPr>
        <w:t>由采购人承担，按照山东省有关规定的标准执行。</w:t>
      </w:r>
      <w:bookmarkStart w:id="195" w:name="_Toc51176623"/>
      <w:bookmarkStart w:id="196" w:name="_Toc4328"/>
    </w:p>
    <w:bookmarkEnd w:id="195"/>
    <w:bookmarkEnd w:id="196"/>
    <w:p>
      <w:pPr>
        <w:keepNext w:val="0"/>
        <w:keepLines w:val="0"/>
        <w:pageBreakBefore w:val="0"/>
        <w:widowControl w:val="0"/>
        <w:numPr>
          <w:ilvl w:val="0"/>
          <w:numId w:val="0"/>
        </w:numPr>
        <w:kinsoku/>
        <w:wordWrap/>
        <w:overflowPunct/>
        <w:topLinePunct w:val="0"/>
        <w:autoSpaceDE w:val="0"/>
        <w:autoSpaceDN w:val="0"/>
        <w:bidi w:val="0"/>
        <w:adjustRightInd/>
        <w:snapToGrid/>
        <w:spacing w:line="288" w:lineRule="auto"/>
        <w:ind w:firstLine="482" w:firstLineChars="200"/>
        <w:textAlignment w:val="auto"/>
        <w:rPr>
          <w:rFonts w:hint="eastAsia"/>
          <w:color w:val="auto"/>
          <w:sz w:val="24"/>
          <w:szCs w:val="24"/>
          <w:highlight w:val="none"/>
        </w:rPr>
      </w:pPr>
      <w:r>
        <w:rPr>
          <w:rFonts w:hint="eastAsia"/>
          <w:b/>
          <w:bCs/>
          <w:color w:val="auto"/>
          <w:sz w:val="24"/>
          <w:szCs w:val="24"/>
          <w:highlight w:val="none"/>
          <w:u w:val="single"/>
          <w:lang w:val="en-US" w:eastAsia="zh-CN"/>
        </w:rPr>
        <w:t>39.</w:t>
      </w:r>
      <w:r>
        <w:rPr>
          <w:rFonts w:hint="eastAsia"/>
          <w:b/>
          <w:bCs/>
          <w:color w:val="auto"/>
          <w:sz w:val="24"/>
          <w:szCs w:val="24"/>
          <w:highlight w:val="none"/>
          <w:u w:val="single"/>
        </w:rPr>
        <w:t>磋商文件解释权</w:t>
      </w:r>
    </w:p>
    <w:p>
      <w:pPr>
        <w:keepNext w:val="0"/>
        <w:keepLines w:val="0"/>
        <w:pageBreakBefore w:val="0"/>
        <w:widowControl w:val="0"/>
        <w:numPr>
          <w:ilvl w:val="0"/>
          <w:numId w:val="0"/>
        </w:numPr>
        <w:kinsoku/>
        <w:wordWrap/>
        <w:overflowPunct/>
        <w:topLinePunct w:val="0"/>
        <w:autoSpaceDE w:val="0"/>
        <w:autoSpaceDN w:val="0"/>
        <w:bidi w:val="0"/>
        <w:adjustRightInd/>
        <w:snapToGrid/>
        <w:spacing w:line="288" w:lineRule="auto"/>
        <w:ind w:firstLine="480" w:firstLineChars="200"/>
        <w:textAlignment w:val="auto"/>
        <w:rPr>
          <w:color w:val="auto"/>
          <w:sz w:val="24"/>
          <w:szCs w:val="24"/>
          <w:highlight w:val="none"/>
        </w:rPr>
      </w:pPr>
      <w:r>
        <w:rPr>
          <w:rFonts w:hint="eastAsia"/>
          <w:color w:val="auto"/>
          <w:sz w:val="24"/>
          <w:szCs w:val="24"/>
          <w:highlight w:val="none"/>
          <w:u w:val="single"/>
        </w:rPr>
        <w:t>见供应商须知资料表</w:t>
      </w:r>
      <w:r>
        <w:rPr>
          <w:rFonts w:hint="eastAsia"/>
          <w:color w:val="auto"/>
          <w:sz w:val="24"/>
          <w:szCs w:val="24"/>
          <w:highlight w:val="none"/>
        </w:rPr>
        <w:t>。</w:t>
      </w:r>
    </w:p>
    <w:p>
      <w:pPr>
        <w:keepNext w:val="0"/>
        <w:keepLines w:val="0"/>
        <w:pageBreakBefore w:val="0"/>
        <w:widowControl w:val="0"/>
        <w:kinsoku/>
        <w:wordWrap/>
        <w:overflowPunct/>
        <w:topLinePunct w:val="0"/>
        <w:autoSpaceDE w:val="0"/>
        <w:autoSpaceDN w:val="0"/>
        <w:bidi w:val="0"/>
        <w:adjustRightInd/>
        <w:snapToGrid/>
        <w:spacing w:line="288" w:lineRule="auto"/>
        <w:ind w:firstLine="480" w:firstLineChars="200"/>
        <w:textAlignment w:val="auto"/>
        <w:rPr>
          <w:color w:val="auto"/>
          <w:sz w:val="24"/>
          <w:szCs w:val="24"/>
          <w:highlight w:val="none"/>
        </w:rPr>
        <w:sectPr>
          <w:footerReference r:id="rId5" w:type="default"/>
          <w:pgSz w:w="11930" w:h="16840"/>
          <w:pgMar w:top="1500" w:right="1417" w:bottom="900" w:left="1417" w:header="0" w:footer="719" w:gutter="0"/>
          <w:cols w:space="720" w:num="1"/>
        </w:sectPr>
      </w:pPr>
    </w:p>
    <w:p>
      <w:pPr>
        <w:spacing w:line="360" w:lineRule="auto"/>
        <w:ind w:firstLine="562" w:firstLineChars="200"/>
        <w:jc w:val="center"/>
        <w:rPr>
          <w:b/>
          <w:bCs/>
          <w:color w:val="auto"/>
          <w:sz w:val="28"/>
          <w:szCs w:val="28"/>
          <w:highlight w:val="none"/>
        </w:rPr>
      </w:pPr>
      <w:bookmarkStart w:id="197" w:name="附件1：履约保证金保函（格式）"/>
      <w:bookmarkEnd w:id="197"/>
      <w:bookmarkStart w:id="198" w:name="附件2：履约担保函格式"/>
      <w:bookmarkEnd w:id="198"/>
      <w:r>
        <w:rPr>
          <w:rFonts w:hint="eastAsia"/>
          <w:b/>
          <w:bCs/>
          <w:color w:val="auto"/>
          <w:sz w:val="28"/>
          <w:szCs w:val="28"/>
          <w:highlight w:val="none"/>
        </w:rPr>
        <w:t>附件1：履约保证金保函（格式）</w:t>
      </w:r>
    </w:p>
    <w:p>
      <w:pPr>
        <w:spacing w:line="360" w:lineRule="auto"/>
        <w:ind w:firstLine="480" w:firstLineChars="200"/>
        <w:jc w:val="center"/>
        <w:rPr>
          <w:color w:val="auto"/>
          <w:sz w:val="24"/>
          <w:szCs w:val="24"/>
          <w:highlight w:val="none"/>
        </w:rPr>
      </w:pPr>
      <w:r>
        <w:rPr>
          <w:rFonts w:hint="eastAsia"/>
          <w:color w:val="auto"/>
          <w:sz w:val="24"/>
          <w:szCs w:val="24"/>
          <w:highlight w:val="none"/>
        </w:rPr>
        <w:t>（中标后开具）</w:t>
      </w:r>
    </w:p>
    <w:p>
      <w:pPr>
        <w:spacing w:line="360" w:lineRule="auto"/>
        <w:ind w:firstLine="480" w:firstLineChars="200"/>
        <w:rPr>
          <w:color w:val="auto"/>
          <w:sz w:val="24"/>
          <w:szCs w:val="24"/>
          <w:highlight w:val="none"/>
        </w:rPr>
      </w:pPr>
    </w:p>
    <w:p>
      <w:pPr>
        <w:spacing w:line="360" w:lineRule="auto"/>
        <w:ind w:firstLine="480" w:firstLineChars="200"/>
        <w:rPr>
          <w:color w:val="auto"/>
          <w:sz w:val="24"/>
          <w:szCs w:val="24"/>
          <w:highlight w:val="none"/>
        </w:rPr>
      </w:pPr>
    </w:p>
    <w:p>
      <w:pPr>
        <w:spacing w:line="360" w:lineRule="auto"/>
        <w:ind w:firstLine="480" w:firstLineChars="200"/>
        <w:rPr>
          <w:color w:val="auto"/>
          <w:sz w:val="24"/>
          <w:szCs w:val="24"/>
          <w:highlight w:val="none"/>
        </w:rPr>
        <w:sectPr>
          <w:footerReference r:id="rId6" w:type="default"/>
          <w:pgSz w:w="11930" w:h="16840"/>
          <w:pgMar w:top="1500" w:right="500" w:bottom="820" w:left="700" w:header="0" w:footer="639" w:gutter="0"/>
          <w:pgNumType w:start="20"/>
          <w:cols w:space="720" w:num="1"/>
        </w:sectPr>
      </w:pPr>
    </w:p>
    <w:p>
      <w:pPr>
        <w:spacing w:line="360" w:lineRule="auto"/>
        <w:ind w:firstLine="480" w:firstLineChars="200"/>
        <w:rPr>
          <w:color w:val="auto"/>
          <w:sz w:val="24"/>
          <w:szCs w:val="24"/>
          <w:highlight w:val="none"/>
        </w:rPr>
      </w:pPr>
      <w:r>
        <w:rPr>
          <w:rFonts w:hint="eastAsia"/>
          <w:color w:val="auto"/>
          <w:sz w:val="24"/>
          <w:szCs w:val="24"/>
          <w:highlight w:val="none"/>
        </w:rPr>
        <w:t>致: (买方名称)</w:t>
      </w:r>
    </w:p>
    <w:p>
      <w:pPr>
        <w:spacing w:line="360" w:lineRule="auto"/>
        <w:ind w:firstLine="480" w:firstLineChars="200"/>
        <w:rPr>
          <w:color w:val="auto"/>
          <w:sz w:val="24"/>
          <w:szCs w:val="24"/>
          <w:highlight w:val="none"/>
        </w:rPr>
      </w:pPr>
      <w:r>
        <w:rPr>
          <w:rFonts w:hint="eastAsia"/>
          <w:color w:val="auto"/>
          <w:sz w:val="24"/>
          <w:szCs w:val="24"/>
          <w:highlight w:val="none"/>
        </w:rPr>
        <w:br w:type="column"/>
      </w:r>
    </w:p>
    <w:p>
      <w:pPr>
        <w:spacing w:line="360" w:lineRule="auto"/>
        <w:ind w:firstLine="480" w:firstLineChars="200"/>
        <w:rPr>
          <w:color w:val="auto"/>
          <w:sz w:val="24"/>
          <w:szCs w:val="24"/>
          <w:highlight w:val="none"/>
        </w:rPr>
      </w:pPr>
      <w:r>
        <w:rPr>
          <w:rFonts w:hint="eastAsia"/>
          <w:color w:val="auto"/>
          <w:sz w:val="24"/>
          <w:szCs w:val="24"/>
          <w:highlight w:val="none"/>
          <w:u w:val="single"/>
        </w:rPr>
        <w:tab/>
      </w:r>
      <w:r>
        <w:rPr>
          <w:rFonts w:hint="eastAsia"/>
          <w:color w:val="auto"/>
          <w:sz w:val="24"/>
          <w:szCs w:val="24"/>
          <w:highlight w:val="none"/>
        </w:rPr>
        <w:t>号合同履约保函</w:t>
      </w:r>
    </w:p>
    <w:p>
      <w:pPr>
        <w:spacing w:line="360" w:lineRule="auto"/>
        <w:ind w:firstLine="480" w:firstLineChars="200"/>
        <w:rPr>
          <w:color w:val="auto"/>
          <w:sz w:val="24"/>
          <w:szCs w:val="24"/>
          <w:highlight w:val="none"/>
        </w:rPr>
        <w:sectPr>
          <w:type w:val="continuous"/>
          <w:pgSz w:w="11930" w:h="16840"/>
          <w:pgMar w:top="1580" w:right="500" w:bottom="900" w:left="700" w:header="720" w:footer="720" w:gutter="0"/>
          <w:cols w:equalWidth="0" w:num="2">
            <w:col w:w="2602" w:space="426"/>
            <w:col w:w="7702"/>
          </w:cols>
        </w:sectPr>
      </w:pPr>
    </w:p>
    <w:p>
      <w:pPr>
        <w:spacing w:line="360" w:lineRule="auto"/>
        <w:ind w:firstLine="480" w:firstLineChars="200"/>
        <w:rPr>
          <w:color w:val="auto"/>
          <w:sz w:val="24"/>
          <w:szCs w:val="24"/>
          <w:highlight w:val="none"/>
        </w:rPr>
      </w:pPr>
    </w:p>
    <w:p>
      <w:pPr>
        <w:spacing w:line="360" w:lineRule="auto"/>
        <w:ind w:firstLine="480" w:firstLineChars="200"/>
        <w:rPr>
          <w:color w:val="auto"/>
          <w:sz w:val="24"/>
          <w:szCs w:val="24"/>
          <w:highlight w:val="none"/>
        </w:rPr>
      </w:pPr>
    </w:p>
    <w:p>
      <w:pPr>
        <w:spacing w:line="360" w:lineRule="auto"/>
        <w:ind w:firstLine="480" w:firstLineChars="200"/>
        <w:rPr>
          <w:color w:val="auto"/>
          <w:sz w:val="24"/>
          <w:szCs w:val="24"/>
          <w:highlight w:val="none"/>
        </w:rPr>
      </w:pPr>
      <w:r>
        <w:rPr>
          <w:rFonts w:hint="eastAsia"/>
          <w:color w:val="auto"/>
          <w:sz w:val="24"/>
          <w:szCs w:val="24"/>
          <w:highlight w:val="none"/>
        </w:rPr>
        <w:t>本保函作为贵方与</w:t>
      </w:r>
      <w:r>
        <w:rPr>
          <w:rFonts w:hint="eastAsia"/>
          <w:color w:val="auto"/>
          <w:sz w:val="24"/>
          <w:szCs w:val="24"/>
          <w:highlight w:val="none"/>
          <w:u w:val="single"/>
        </w:rPr>
        <w:t>(卖方名称)</w:t>
      </w:r>
      <w:r>
        <w:rPr>
          <w:rFonts w:hint="eastAsia"/>
          <w:color w:val="auto"/>
          <w:sz w:val="24"/>
          <w:szCs w:val="24"/>
          <w:highlight w:val="none"/>
        </w:rPr>
        <w:t>(以下简称卖方)于</w:t>
      </w:r>
      <w:r>
        <w:rPr>
          <w:rFonts w:hint="eastAsia"/>
          <w:color w:val="auto"/>
          <w:sz w:val="24"/>
          <w:szCs w:val="24"/>
          <w:highlight w:val="none"/>
          <w:u w:val="single"/>
        </w:rPr>
        <w:tab/>
      </w:r>
      <w:r>
        <w:rPr>
          <w:rFonts w:hint="eastAsia"/>
          <w:color w:val="auto"/>
          <w:sz w:val="24"/>
          <w:szCs w:val="24"/>
          <w:highlight w:val="none"/>
          <w:u w:val="single"/>
        </w:rPr>
        <w:t xml:space="preserve">年 </w:t>
      </w:r>
      <w:r>
        <w:rPr>
          <w:rFonts w:hint="eastAsia"/>
          <w:color w:val="auto"/>
          <w:sz w:val="24"/>
          <w:szCs w:val="24"/>
          <w:highlight w:val="none"/>
          <w:u w:val="single"/>
        </w:rPr>
        <w:tab/>
      </w:r>
      <w:r>
        <w:rPr>
          <w:rFonts w:hint="eastAsia"/>
          <w:color w:val="auto"/>
          <w:sz w:val="24"/>
          <w:szCs w:val="24"/>
          <w:highlight w:val="none"/>
          <w:u w:val="single"/>
        </w:rPr>
        <w:t xml:space="preserve">月 </w:t>
      </w:r>
      <w:r>
        <w:rPr>
          <w:rFonts w:hint="eastAsia"/>
          <w:color w:val="auto"/>
          <w:sz w:val="24"/>
          <w:szCs w:val="24"/>
          <w:highlight w:val="none"/>
          <w:u w:val="single"/>
        </w:rPr>
        <w:tab/>
      </w:r>
      <w:r>
        <w:rPr>
          <w:rFonts w:hint="eastAsia"/>
          <w:color w:val="auto"/>
          <w:sz w:val="24"/>
          <w:szCs w:val="24"/>
          <w:highlight w:val="none"/>
        </w:rPr>
        <w:t>日就项目(以下简称项目)项下提供</w:t>
      </w:r>
      <w:r>
        <w:rPr>
          <w:rFonts w:hint="eastAsia"/>
          <w:color w:val="auto"/>
          <w:sz w:val="24"/>
          <w:szCs w:val="24"/>
          <w:highlight w:val="none"/>
          <w:u w:val="single"/>
        </w:rPr>
        <w:t>(货物名称)</w:t>
      </w:r>
      <w:r>
        <w:rPr>
          <w:rFonts w:hint="eastAsia"/>
          <w:color w:val="auto"/>
          <w:sz w:val="24"/>
          <w:szCs w:val="24"/>
          <w:highlight w:val="none"/>
        </w:rPr>
        <w:t>(以下简称货物)签订的</w:t>
      </w:r>
      <w:r>
        <w:rPr>
          <w:rFonts w:hint="eastAsia"/>
          <w:color w:val="auto"/>
          <w:sz w:val="24"/>
          <w:szCs w:val="24"/>
          <w:highlight w:val="none"/>
          <w:u w:val="single"/>
        </w:rPr>
        <w:t>(合同号)</w:t>
      </w:r>
      <w:r>
        <w:rPr>
          <w:rFonts w:hint="eastAsia"/>
          <w:color w:val="auto"/>
          <w:sz w:val="24"/>
          <w:szCs w:val="24"/>
          <w:highlight w:val="none"/>
        </w:rPr>
        <w:t>号合同的   履约保函。</w:t>
      </w:r>
    </w:p>
    <w:p>
      <w:pPr>
        <w:spacing w:line="360" w:lineRule="auto"/>
        <w:ind w:firstLine="480" w:firstLineChars="200"/>
        <w:rPr>
          <w:color w:val="auto"/>
          <w:sz w:val="24"/>
          <w:szCs w:val="24"/>
          <w:highlight w:val="none"/>
        </w:rPr>
      </w:pPr>
      <w:r>
        <w:rPr>
          <w:rFonts w:hint="eastAsia"/>
          <w:color w:val="auto"/>
          <w:sz w:val="24"/>
          <w:szCs w:val="24"/>
          <w:highlight w:val="none"/>
          <w:u w:val="single"/>
        </w:rPr>
        <w:t>(出具保函的银行名称)</w:t>
      </w:r>
      <w:r>
        <w:rPr>
          <w:rFonts w:hint="eastAsia"/>
          <w:color w:val="auto"/>
          <w:sz w:val="24"/>
          <w:szCs w:val="24"/>
          <w:highlight w:val="none"/>
        </w:rPr>
        <w:t>(以下简称银行)无条件地、不可撤销地具结保证本行、    其继承人和受让人无追索地向贵方以</w:t>
      </w:r>
      <w:r>
        <w:rPr>
          <w:rFonts w:hint="eastAsia"/>
          <w:color w:val="auto"/>
          <w:sz w:val="24"/>
          <w:szCs w:val="24"/>
          <w:highlight w:val="none"/>
          <w:u w:val="single"/>
        </w:rPr>
        <w:t>(货币名称)</w:t>
      </w:r>
      <w:r>
        <w:rPr>
          <w:rFonts w:hint="eastAsia"/>
          <w:color w:val="auto"/>
          <w:sz w:val="24"/>
          <w:szCs w:val="24"/>
          <w:highlight w:val="none"/>
        </w:rPr>
        <w:t>支付总额不超过</w:t>
      </w:r>
      <w:r>
        <w:rPr>
          <w:rFonts w:hint="eastAsia"/>
          <w:color w:val="auto"/>
          <w:sz w:val="24"/>
          <w:szCs w:val="24"/>
          <w:highlight w:val="none"/>
          <w:u w:val="single"/>
        </w:rPr>
        <w:t>(货币数量)</w:t>
      </w:r>
      <w:r>
        <w:rPr>
          <w:rFonts w:hint="eastAsia"/>
          <w:color w:val="auto"/>
          <w:sz w:val="24"/>
          <w:szCs w:val="24"/>
          <w:highlight w:val="none"/>
        </w:rPr>
        <w:t>,即相   当于合同价格的</w:t>
      </w:r>
      <w:r>
        <w:rPr>
          <w:rFonts w:hint="eastAsia"/>
          <w:color w:val="auto"/>
          <w:sz w:val="24"/>
          <w:szCs w:val="24"/>
          <w:highlight w:val="none"/>
          <w:u w:val="single"/>
        </w:rPr>
        <w:t xml:space="preserve"> %</w:t>
      </w:r>
      <w:r>
        <w:rPr>
          <w:rFonts w:hint="eastAsia"/>
          <w:color w:val="auto"/>
          <w:sz w:val="24"/>
          <w:szCs w:val="24"/>
          <w:highlight w:val="none"/>
        </w:rPr>
        <w:t>,并以此约定如下:</w:t>
      </w:r>
    </w:p>
    <w:p>
      <w:pPr>
        <w:spacing w:line="360" w:lineRule="auto"/>
        <w:ind w:firstLine="480" w:firstLineChars="200"/>
        <w:rPr>
          <w:color w:val="auto"/>
          <w:sz w:val="24"/>
          <w:szCs w:val="24"/>
          <w:highlight w:val="none"/>
        </w:rPr>
      </w:pPr>
      <w:r>
        <w:rPr>
          <w:rFonts w:hint="eastAsia"/>
          <w:color w:val="auto"/>
          <w:sz w:val="24"/>
          <w:szCs w:val="24"/>
          <w:highlight w:val="none"/>
        </w:rPr>
        <w:t>只要贵方确定卖方未能忠实地履行所有合同文件的规定和双方此后一致 同意的修改、补充和变动,包括更改和/或修补贵方认为有缺陷的服务(以下简称违约),无论卖方有任何反对,本行将凭贵方关于卖方违约说明的书面通知,立即按贵方提出的累计总额不超过上述金额的款项和按贵方通知规定的方式付给贵方。</w:t>
      </w:r>
    </w:p>
    <w:p>
      <w:pPr>
        <w:spacing w:line="360" w:lineRule="auto"/>
        <w:ind w:firstLine="480" w:firstLineChars="200"/>
        <w:rPr>
          <w:color w:val="auto"/>
          <w:sz w:val="24"/>
          <w:szCs w:val="24"/>
          <w:highlight w:val="none"/>
        </w:rPr>
      </w:pPr>
      <w:r>
        <w:rPr>
          <w:rFonts w:hint="eastAsia"/>
          <w:color w:val="auto"/>
          <w:sz w:val="24"/>
          <w:szCs w:val="24"/>
          <w:highlight w:val="none"/>
        </w:rPr>
        <w:t>本保函项下的任何支付应为免税和净值。对于现有或将来的税收、关税、收费、费用扣减或预提税款，不论这些款项是何种性质和由谁征收，都不应从本保函项下的支付中扣除。</w:t>
      </w:r>
    </w:p>
    <w:p>
      <w:pPr>
        <w:spacing w:line="360" w:lineRule="auto"/>
        <w:ind w:firstLine="480" w:firstLineChars="200"/>
        <w:rPr>
          <w:color w:val="auto"/>
          <w:sz w:val="24"/>
          <w:szCs w:val="24"/>
          <w:highlight w:val="none"/>
        </w:rPr>
      </w:pPr>
      <w:r>
        <w:rPr>
          <w:rFonts w:hint="eastAsia"/>
          <w:color w:val="auto"/>
          <w:sz w:val="24"/>
          <w:szCs w:val="24"/>
          <w:highlight w:val="none"/>
        </w:rPr>
        <w:t>本保函的条款构成本行无条件的、不可撤销的直接责任。对即将履行的合同条款的任何变更、贵方在时间上的宽限、或由贵方采取的如果没有本款可能免除本行责任的任何其它行为，均不能解除或免除本行在本保函项下的责任。 4.本保函在本合同规定的保证期期满前完全有效。</w:t>
      </w:r>
    </w:p>
    <w:p>
      <w:pPr>
        <w:spacing w:line="360" w:lineRule="auto"/>
        <w:ind w:firstLine="480" w:firstLineChars="200"/>
        <w:rPr>
          <w:color w:val="auto"/>
          <w:sz w:val="24"/>
          <w:szCs w:val="24"/>
          <w:highlight w:val="none"/>
        </w:rPr>
      </w:pPr>
    </w:p>
    <w:p>
      <w:pPr>
        <w:spacing w:line="360" w:lineRule="auto"/>
        <w:ind w:firstLine="480" w:firstLineChars="200"/>
        <w:rPr>
          <w:color w:val="auto"/>
          <w:sz w:val="24"/>
          <w:szCs w:val="24"/>
          <w:highlight w:val="none"/>
        </w:rPr>
      </w:pPr>
      <w:r>
        <w:rPr>
          <w:rFonts w:hint="eastAsia"/>
          <w:color w:val="auto"/>
          <w:sz w:val="24"/>
          <w:szCs w:val="24"/>
          <w:highlight w:val="none"/>
        </w:rPr>
        <w:t>谨启</w:t>
      </w:r>
    </w:p>
    <w:p>
      <w:pPr>
        <w:spacing w:line="360" w:lineRule="auto"/>
        <w:ind w:firstLine="480" w:firstLineChars="200"/>
        <w:rPr>
          <w:color w:val="auto"/>
          <w:sz w:val="24"/>
          <w:szCs w:val="24"/>
          <w:highlight w:val="none"/>
        </w:rPr>
      </w:pPr>
      <w:r>
        <w:rPr>
          <w:rFonts w:hint="eastAsia"/>
          <w:color w:val="auto"/>
          <w:sz w:val="24"/>
          <w:szCs w:val="24"/>
          <w:highlight w:val="none"/>
        </w:rPr>
        <w:t>出具保函银行名称：</w:t>
      </w:r>
      <w:r>
        <w:rPr>
          <w:rFonts w:hint="eastAsia"/>
          <w:color w:val="auto"/>
          <w:sz w:val="24"/>
          <w:szCs w:val="24"/>
          <w:highlight w:val="none"/>
          <w:u w:val="single"/>
        </w:rPr>
        <w:tab/>
      </w:r>
    </w:p>
    <w:p>
      <w:pPr>
        <w:spacing w:line="360" w:lineRule="auto"/>
        <w:ind w:firstLine="480" w:firstLineChars="200"/>
        <w:rPr>
          <w:color w:val="auto"/>
          <w:sz w:val="24"/>
          <w:szCs w:val="24"/>
          <w:highlight w:val="none"/>
        </w:rPr>
      </w:pPr>
      <w:r>
        <w:rPr>
          <w:rFonts w:hint="eastAsia"/>
          <w:color w:val="auto"/>
          <w:sz w:val="24"/>
          <w:szCs w:val="24"/>
          <w:highlight w:val="none"/>
        </w:rPr>
        <w:t>签字人姓名和职务：</w:t>
      </w:r>
      <w:r>
        <w:rPr>
          <w:rFonts w:hint="eastAsia"/>
          <w:color w:val="auto"/>
          <w:sz w:val="24"/>
          <w:szCs w:val="24"/>
          <w:highlight w:val="none"/>
          <w:u w:val="single"/>
        </w:rPr>
        <w:tab/>
      </w:r>
    </w:p>
    <w:p>
      <w:pPr>
        <w:spacing w:line="360" w:lineRule="auto"/>
        <w:ind w:firstLine="480" w:firstLineChars="200"/>
        <w:rPr>
          <w:color w:val="auto"/>
          <w:sz w:val="24"/>
          <w:szCs w:val="24"/>
          <w:highlight w:val="none"/>
        </w:rPr>
      </w:pPr>
      <w:r>
        <w:rPr>
          <w:rFonts w:hint="eastAsia"/>
          <w:color w:val="auto"/>
          <w:sz w:val="24"/>
          <w:szCs w:val="24"/>
          <w:highlight w:val="none"/>
        </w:rPr>
        <w:t>签字人签名：</w:t>
      </w:r>
      <w:r>
        <w:rPr>
          <w:rFonts w:hint="eastAsia"/>
          <w:color w:val="auto"/>
          <w:sz w:val="24"/>
          <w:szCs w:val="24"/>
          <w:highlight w:val="none"/>
          <w:u w:val="single"/>
        </w:rPr>
        <w:tab/>
      </w:r>
    </w:p>
    <w:p>
      <w:pPr>
        <w:spacing w:line="360" w:lineRule="auto"/>
        <w:ind w:firstLine="480" w:firstLineChars="200"/>
        <w:rPr>
          <w:color w:val="auto"/>
          <w:sz w:val="24"/>
          <w:szCs w:val="24"/>
          <w:highlight w:val="none"/>
          <w:u w:val="single"/>
          <w:lang w:val="en-US"/>
        </w:rPr>
      </w:pPr>
      <w:r>
        <w:rPr>
          <w:rFonts w:hint="eastAsia"/>
          <w:color w:val="auto"/>
          <w:sz w:val="24"/>
          <w:szCs w:val="24"/>
          <w:highlight w:val="none"/>
        </w:rPr>
        <w:t>公章：</w:t>
      </w:r>
      <w:r>
        <w:rPr>
          <w:rFonts w:hint="eastAsia"/>
          <w:color w:val="auto"/>
          <w:sz w:val="24"/>
          <w:szCs w:val="24"/>
          <w:highlight w:val="none"/>
          <w:u w:val="single"/>
        </w:rPr>
        <w:tab/>
      </w:r>
    </w:p>
    <w:p>
      <w:pPr>
        <w:spacing w:line="360" w:lineRule="auto"/>
        <w:ind w:firstLine="480" w:firstLineChars="200"/>
        <w:rPr>
          <w:rFonts w:hint="eastAsia" w:eastAsia="宋体"/>
          <w:color w:val="auto"/>
          <w:sz w:val="24"/>
          <w:szCs w:val="24"/>
          <w:highlight w:val="none"/>
          <w:u w:val="single"/>
          <w:lang w:val="en-US" w:eastAsia="zh-CN"/>
        </w:rPr>
        <w:sectPr>
          <w:type w:val="continuous"/>
          <w:pgSz w:w="11930" w:h="16840"/>
          <w:pgMar w:top="1580" w:right="1417" w:bottom="900" w:left="1417" w:header="720" w:footer="720" w:gutter="0"/>
          <w:cols w:space="720" w:num="1"/>
        </w:sectPr>
      </w:pPr>
    </w:p>
    <w:p>
      <w:pPr>
        <w:spacing w:line="360" w:lineRule="auto"/>
        <w:ind w:firstLine="562" w:firstLineChars="200"/>
        <w:jc w:val="center"/>
        <w:rPr>
          <w:b/>
          <w:bCs/>
          <w:color w:val="auto"/>
          <w:sz w:val="28"/>
          <w:szCs w:val="28"/>
          <w:highlight w:val="none"/>
        </w:rPr>
      </w:pPr>
      <w:r>
        <w:rPr>
          <w:rFonts w:hint="eastAsia"/>
          <w:b/>
          <w:bCs/>
          <w:color w:val="auto"/>
          <w:sz w:val="28"/>
          <w:szCs w:val="28"/>
          <w:highlight w:val="none"/>
        </w:rPr>
        <w:t>附件2：履约担保函格式</w:t>
      </w:r>
    </w:p>
    <w:p>
      <w:pPr>
        <w:spacing w:line="360" w:lineRule="auto"/>
        <w:ind w:firstLine="480" w:firstLineChars="200"/>
        <w:jc w:val="center"/>
        <w:rPr>
          <w:color w:val="auto"/>
          <w:sz w:val="24"/>
          <w:szCs w:val="24"/>
          <w:highlight w:val="none"/>
        </w:rPr>
      </w:pPr>
      <w:r>
        <w:rPr>
          <w:rFonts w:hint="eastAsia"/>
          <w:color w:val="auto"/>
          <w:sz w:val="24"/>
          <w:szCs w:val="24"/>
          <w:highlight w:val="none"/>
        </w:rPr>
        <w:t>（采用政府采购信用担保形式时使用）</w:t>
      </w:r>
    </w:p>
    <w:p>
      <w:pPr>
        <w:spacing w:line="360" w:lineRule="auto"/>
        <w:ind w:firstLine="480" w:firstLineChars="200"/>
        <w:rPr>
          <w:color w:val="auto"/>
          <w:sz w:val="24"/>
          <w:szCs w:val="24"/>
          <w:highlight w:val="none"/>
        </w:rPr>
      </w:pPr>
    </w:p>
    <w:p>
      <w:pPr>
        <w:spacing w:line="360" w:lineRule="auto"/>
        <w:ind w:firstLine="480" w:firstLineChars="200"/>
        <w:jc w:val="center"/>
        <w:rPr>
          <w:color w:val="auto"/>
          <w:sz w:val="24"/>
          <w:szCs w:val="24"/>
          <w:highlight w:val="none"/>
        </w:rPr>
      </w:pPr>
      <w:r>
        <w:rPr>
          <w:rFonts w:hint="eastAsia"/>
          <w:color w:val="auto"/>
          <w:sz w:val="24"/>
          <w:szCs w:val="24"/>
          <w:highlight w:val="none"/>
        </w:rPr>
        <w:t>政府采购履约担保函（项目用）</w:t>
      </w:r>
    </w:p>
    <w:p>
      <w:pPr>
        <w:spacing w:line="360" w:lineRule="auto"/>
        <w:ind w:firstLine="7200" w:firstLineChars="3000"/>
        <w:rPr>
          <w:color w:val="auto"/>
          <w:sz w:val="24"/>
          <w:szCs w:val="24"/>
          <w:highlight w:val="none"/>
        </w:rPr>
      </w:pPr>
      <w:r>
        <w:rPr>
          <w:rFonts w:hint="eastAsia"/>
          <w:color w:val="auto"/>
          <w:sz w:val="24"/>
          <w:szCs w:val="24"/>
          <w:highlight w:val="none"/>
        </w:rPr>
        <w:t>编号：</w:t>
      </w:r>
    </w:p>
    <w:p>
      <w:pPr>
        <w:spacing w:line="360" w:lineRule="auto"/>
        <w:ind w:firstLine="480" w:firstLineChars="200"/>
        <w:rPr>
          <w:color w:val="auto"/>
          <w:sz w:val="24"/>
          <w:szCs w:val="24"/>
          <w:highlight w:val="none"/>
        </w:rPr>
      </w:pPr>
      <w:r>
        <w:rPr>
          <w:rFonts w:hint="eastAsia"/>
          <w:color w:val="auto"/>
          <w:sz w:val="24"/>
          <w:szCs w:val="24"/>
          <w:highlight w:val="none"/>
          <w:u w:val="single"/>
        </w:rPr>
        <w:tab/>
      </w:r>
      <w:r>
        <w:rPr>
          <w:rFonts w:hint="eastAsia"/>
          <w:color w:val="auto"/>
          <w:sz w:val="24"/>
          <w:szCs w:val="24"/>
          <w:highlight w:val="none"/>
        </w:rPr>
        <w:t>（采购人）：</w:t>
      </w:r>
    </w:p>
    <w:p>
      <w:pPr>
        <w:spacing w:line="360" w:lineRule="auto"/>
        <w:ind w:firstLine="480" w:firstLineChars="200"/>
        <w:rPr>
          <w:color w:val="auto"/>
          <w:sz w:val="24"/>
          <w:szCs w:val="24"/>
          <w:highlight w:val="none"/>
        </w:rPr>
      </w:pPr>
    </w:p>
    <w:p>
      <w:pPr>
        <w:spacing w:line="360" w:lineRule="auto"/>
        <w:ind w:firstLine="480" w:firstLineChars="200"/>
        <w:rPr>
          <w:color w:val="auto"/>
          <w:sz w:val="24"/>
          <w:szCs w:val="24"/>
          <w:highlight w:val="none"/>
        </w:rPr>
      </w:pPr>
      <w:r>
        <w:rPr>
          <w:rFonts w:hint="eastAsia"/>
          <w:color w:val="auto"/>
          <w:sz w:val="24"/>
          <w:szCs w:val="24"/>
          <w:highlight w:val="none"/>
        </w:rPr>
        <w:t>鉴于你方与</w:t>
      </w:r>
      <w:r>
        <w:rPr>
          <w:rFonts w:hint="eastAsia"/>
          <w:b/>
          <w:bCs/>
          <w:color w:val="auto"/>
          <w:sz w:val="24"/>
          <w:szCs w:val="24"/>
          <w:highlight w:val="none"/>
          <w:u w:val="single"/>
        </w:rPr>
        <w:tab/>
      </w:r>
      <w:r>
        <w:rPr>
          <w:rFonts w:hint="eastAsia"/>
          <w:b/>
          <w:bCs/>
          <w:color w:val="auto"/>
          <w:sz w:val="24"/>
          <w:szCs w:val="24"/>
          <w:highlight w:val="none"/>
          <w:u w:val="single"/>
        </w:rPr>
        <w:tab/>
      </w:r>
      <w:r>
        <w:rPr>
          <w:rFonts w:hint="eastAsia"/>
          <w:b/>
          <w:bCs/>
          <w:color w:val="auto"/>
          <w:sz w:val="24"/>
          <w:szCs w:val="24"/>
          <w:highlight w:val="none"/>
        </w:rPr>
        <w:t>（</w:t>
      </w:r>
      <w:r>
        <w:rPr>
          <w:rFonts w:hint="eastAsia"/>
          <w:color w:val="auto"/>
          <w:sz w:val="24"/>
          <w:szCs w:val="24"/>
          <w:highlight w:val="none"/>
        </w:rPr>
        <w:t>以下简称供应商）于年月日</w:t>
      </w:r>
      <w:r>
        <w:rPr>
          <w:rFonts w:hint="eastAsia"/>
          <w:color w:val="auto"/>
          <w:sz w:val="24"/>
          <w:szCs w:val="24"/>
          <w:highlight w:val="none"/>
          <w:lang w:eastAsia="zh-CN"/>
        </w:rPr>
        <w:t>签订</w:t>
      </w:r>
      <w:r>
        <w:rPr>
          <w:rFonts w:hint="eastAsia"/>
          <w:color w:val="auto"/>
          <w:sz w:val="24"/>
          <w:szCs w:val="24"/>
          <w:highlight w:val="none"/>
        </w:rPr>
        <w:t>编号 为  的《</w:t>
      </w:r>
      <w:r>
        <w:rPr>
          <w:rFonts w:hint="eastAsia"/>
          <w:color w:val="auto"/>
          <w:sz w:val="24"/>
          <w:szCs w:val="24"/>
          <w:highlight w:val="none"/>
          <w:u w:val="single"/>
        </w:rPr>
        <w:tab/>
      </w:r>
      <w:r>
        <w:rPr>
          <w:rFonts w:hint="eastAsia"/>
          <w:color w:val="auto"/>
          <w:sz w:val="24"/>
          <w:szCs w:val="24"/>
          <w:highlight w:val="none"/>
        </w:rPr>
        <w:t xml:space="preserve">政府采购合同》（以下简称主合同），且依据该合同的约定，供应商应在 年月 </w:t>
      </w:r>
      <w:r>
        <w:rPr>
          <w:rFonts w:hint="eastAsia"/>
          <w:color w:val="auto"/>
          <w:sz w:val="24"/>
          <w:szCs w:val="24"/>
          <w:highlight w:val="none"/>
        </w:rPr>
        <w:tab/>
      </w:r>
      <w:r>
        <w:rPr>
          <w:rFonts w:hint="eastAsia"/>
          <w:color w:val="auto"/>
          <w:sz w:val="24"/>
          <w:szCs w:val="24"/>
          <w:highlight w:val="none"/>
        </w:rPr>
        <w:t>日前向你方交纳履约保证金，且可以履约担保函的形式交纳履约保证金。应供应商的申请，我方以保证的方式向你方提供如下履约保证金担保：</w:t>
      </w:r>
    </w:p>
    <w:p>
      <w:pPr>
        <w:spacing w:line="360" w:lineRule="auto"/>
        <w:ind w:firstLine="480" w:firstLineChars="200"/>
        <w:rPr>
          <w:color w:val="auto"/>
          <w:sz w:val="24"/>
          <w:szCs w:val="24"/>
          <w:highlight w:val="none"/>
        </w:rPr>
      </w:pPr>
      <w:r>
        <w:rPr>
          <w:rFonts w:hint="eastAsia"/>
          <w:color w:val="auto"/>
          <w:sz w:val="24"/>
          <w:szCs w:val="24"/>
          <w:highlight w:val="none"/>
        </w:rPr>
        <w:t>一、保证责任的情形及保证金额</w:t>
      </w:r>
    </w:p>
    <w:p>
      <w:pPr>
        <w:spacing w:line="360" w:lineRule="auto"/>
        <w:ind w:firstLine="480" w:firstLineChars="200"/>
        <w:rPr>
          <w:color w:val="auto"/>
          <w:sz w:val="24"/>
          <w:szCs w:val="24"/>
          <w:highlight w:val="none"/>
        </w:rPr>
      </w:pPr>
      <w:r>
        <w:rPr>
          <w:rFonts w:hint="eastAsia"/>
          <w:color w:val="auto"/>
          <w:sz w:val="24"/>
          <w:szCs w:val="24"/>
          <w:highlight w:val="none"/>
        </w:rPr>
        <w:t>（一）在供应商出现下列情形之一时，我方承担保证责任：</w:t>
      </w:r>
    </w:p>
    <w:p>
      <w:pPr>
        <w:spacing w:line="360" w:lineRule="auto"/>
        <w:ind w:firstLine="480" w:firstLineChars="200"/>
        <w:rPr>
          <w:color w:val="auto"/>
          <w:sz w:val="24"/>
          <w:szCs w:val="24"/>
          <w:highlight w:val="none"/>
        </w:rPr>
      </w:pPr>
      <w:r>
        <w:rPr>
          <w:rFonts w:hint="eastAsia"/>
          <w:color w:val="auto"/>
          <w:sz w:val="24"/>
          <w:szCs w:val="24"/>
          <w:highlight w:val="none"/>
        </w:rPr>
        <w:t>将中标项目转让给他人，或者在投标文件中未说明，且未经采购代理机构人同意，将中标项目分包给他人的；</w:t>
      </w:r>
    </w:p>
    <w:p>
      <w:pPr>
        <w:spacing w:line="360" w:lineRule="auto"/>
        <w:ind w:firstLine="480" w:firstLineChars="200"/>
        <w:rPr>
          <w:color w:val="auto"/>
          <w:sz w:val="24"/>
          <w:szCs w:val="24"/>
          <w:highlight w:val="none"/>
        </w:rPr>
      </w:pPr>
      <w:r>
        <w:rPr>
          <w:rFonts w:hint="eastAsia"/>
          <w:color w:val="auto"/>
          <w:sz w:val="24"/>
          <w:szCs w:val="24"/>
          <w:highlight w:val="none"/>
        </w:rPr>
        <w:t>主合同约定的应当缴纳履约保证金的情形:</w:t>
      </w:r>
    </w:p>
    <w:p>
      <w:pPr>
        <w:spacing w:line="360" w:lineRule="auto"/>
        <w:ind w:firstLine="480" w:firstLineChars="200"/>
        <w:rPr>
          <w:color w:val="auto"/>
          <w:sz w:val="24"/>
          <w:szCs w:val="24"/>
          <w:highlight w:val="none"/>
        </w:rPr>
      </w:pPr>
      <w:r>
        <w:rPr>
          <w:rFonts w:hint="eastAsia"/>
          <w:color w:val="auto"/>
          <w:sz w:val="24"/>
          <w:szCs w:val="24"/>
          <w:highlight w:val="none"/>
        </w:rPr>
        <w:t>未按主合同约定的质量、数量和期限供应货物/提供服务/完成工程的；</w:t>
      </w:r>
    </w:p>
    <w:p>
      <w:pPr>
        <w:spacing w:line="360" w:lineRule="auto"/>
        <w:ind w:left="1680" w:leftChars="218" w:hanging="1200" w:hangingChars="500"/>
        <w:rPr>
          <w:color w:val="auto"/>
          <w:sz w:val="24"/>
          <w:szCs w:val="24"/>
          <w:highlight w:val="none"/>
        </w:rPr>
      </w:pPr>
      <w:r>
        <w:rPr>
          <w:rFonts w:hint="eastAsia"/>
          <w:color w:val="auto"/>
          <w:sz w:val="24"/>
          <w:szCs w:val="24"/>
          <w:highlight w:val="none"/>
        </w:rPr>
        <w:t>（ 二） 我方的保证范围是主合同约定的合同价款总额的</w:t>
      </w:r>
      <w:r>
        <w:rPr>
          <w:rFonts w:hint="eastAsia"/>
          <w:color w:val="auto"/>
          <w:sz w:val="24"/>
          <w:szCs w:val="24"/>
          <w:highlight w:val="none"/>
          <w:u w:val="single"/>
        </w:rPr>
        <w:tab/>
      </w:r>
      <w:r>
        <w:rPr>
          <w:rFonts w:hint="eastAsia"/>
          <w:color w:val="auto"/>
          <w:sz w:val="24"/>
          <w:szCs w:val="24"/>
          <w:highlight w:val="none"/>
        </w:rPr>
        <w:t xml:space="preserve">% 数额为元（大写 </w:t>
      </w:r>
      <w:r>
        <w:rPr>
          <w:rFonts w:hint="eastAsia"/>
          <w:color w:val="auto"/>
          <w:sz w:val="24"/>
          <w:szCs w:val="24"/>
          <w:highlight w:val="none"/>
        </w:rPr>
        <w:tab/>
      </w:r>
      <w:r>
        <w:rPr>
          <w:rFonts w:hint="eastAsia"/>
          <w:color w:val="auto"/>
          <w:sz w:val="24"/>
          <w:szCs w:val="24"/>
          <w:highlight w:val="none"/>
        </w:rPr>
        <w:t>），币种为</w:t>
      </w:r>
      <w:r>
        <w:rPr>
          <w:rFonts w:hint="eastAsia"/>
          <w:color w:val="auto"/>
          <w:sz w:val="24"/>
          <w:szCs w:val="24"/>
          <w:highlight w:val="none"/>
          <w:u w:val="single"/>
        </w:rPr>
        <w:tab/>
      </w:r>
      <w:r>
        <w:rPr>
          <w:rFonts w:hint="eastAsia"/>
          <w:color w:val="auto"/>
          <w:sz w:val="24"/>
          <w:szCs w:val="24"/>
          <w:highlight w:val="none"/>
        </w:rPr>
        <w:t>。（即主合同履约保证金金额）</w:t>
      </w:r>
    </w:p>
    <w:p>
      <w:pPr>
        <w:spacing w:line="360" w:lineRule="auto"/>
        <w:ind w:firstLine="480" w:firstLineChars="200"/>
        <w:rPr>
          <w:color w:val="auto"/>
          <w:sz w:val="24"/>
          <w:szCs w:val="24"/>
          <w:highlight w:val="none"/>
        </w:rPr>
      </w:pPr>
      <w:r>
        <w:rPr>
          <w:rFonts w:hint="eastAsia"/>
          <w:color w:val="auto"/>
          <w:sz w:val="24"/>
          <w:szCs w:val="24"/>
          <w:highlight w:val="none"/>
        </w:rPr>
        <w:t>二、保证的方式及保证期间</w:t>
      </w:r>
    </w:p>
    <w:p>
      <w:pPr>
        <w:spacing w:line="360" w:lineRule="auto"/>
        <w:ind w:firstLine="480" w:firstLineChars="200"/>
        <w:rPr>
          <w:color w:val="auto"/>
          <w:sz w:val="24"/>
          <w:szCs w:val="24"/>
          <w:highlight w:val="none"/>
        </w:rPr>
      </w:pPr>
      <w:r>
        <w:rPr>
          <w:rFonts w:hint="eastAsia"/>
          <w:color w:val="auto"/>
          <w:sz w:val="24"/>
          <w:szCs w:val="24"/>
          <w:highlight w:val="none"/>
        </w:rPr>
        <w:t>我方保证的方式为：连带责任保证。</w:t>
      </w:r>
    </w:p>
    <w:p>
      <w:pPr>
        <w:spacing w:line="360" w:lineRule="auto"/>
        <w:ind w:firstLine="480" w:firstLineChars="200"/>
        <w:rPr>
          <w:color w:val="auto"/>
          <w:sz w:val="24"/>
          <w:szCs w:val="24"/>
          <w:highlight w:val="none"/>
        </w:rPr>
      </w:pPr>
      <w:r>
        <w:rPr>
          <w:rFonts w:hint="eastAsia"/>
          <w:color w:val="auto"/>
          <w:sz w:val="24"/>
          <w:szCs w:val="24"/>
          <w:highlight w:val="none"/>
        </w:rPr>
        <w:t>我方保证的期间为：自本合同生效之日起至供应商按照主合同约定的供货/完工期限届满后</w:t>
      </w:r>
      <w:r>
        <w:rPr>
          <w:rFonts w:hint="eastAsia"/>
          <w:color w:val="auto"/>
          <w:sz w:val="24"/>
          <w:szCs w:val="24"/>
          <w:highlight w:val="none"/>
          <w:u w:val="single"/>
        </w:rPr>
        <w:tab/>
      </w:r>
      <w:r>
        <w:rPr>
          <w:rFonts w:hint="eastAsia"/>
          <w:color w:val="auto"/>
          <w:sz w:val="24"/>
          <w:szCs w:val="24"/>
          <w:highlight w:val="none"/>
        </w:rPr>
        <w:t>日内。</w:t>
      </w:r>
    </w:p>
    <w:p>
      <w:pPr>
        <w:spacing w:line="360" w:lineRule="auto"/>
        <w:ind w:firstLine="480" w:firstLineChars="200"/>
        <w:rPr>
          <w:color w:val="auto"/>
          <w:sz w:val="24"/>
          <w:szCs w:val="24"/>
          <w:highlight w:val="none"/>
        </w:rPr>
      </w:pPr>
      <w:r>
        <w:rPr>
          <w:rFonts w:hint="eastAsia"/>
          <w:color w:val="auto"/>
          <w:sz w:val="24"/>
          <w:szCs w:val="24"/>
          <w:highlight w:val="none"/>
        </w:rPr>
        <w:t>如果供应商未按主合同约定向贵方供应货物/提供服务/完成工程的，由我方在保证金额内向你方支付上述款项。</w:t>
      </w:r>
    </w:p>
    <w:p>
      <w:pPr>
        <w:spacing w:line="360" w:lineRule="auto"/>
        <w:ind w:firstLine="480" w:firstLineChars="200"/>
        <w:rPr>
          <w:color w:val="auto"/>
          <w:sz w:val="24"/>
          <w:szCs w:val="24"/>
          <w:highlight w:val="none"/>
        </w:rPr>
      </w:pPr>
      <w:r>
        <w:rPr>
          <w:rFonts w:hint="eastAsia"/>
          <w:color w:val="auto"/>
          <w:sz w:val="24"/>
          <w:szCs w:val="24"/>
          <w:highlight w:val="none"/>
        </w:rPr>
        <w:t>三、承担保证责任的程序</w:t>
      </w:r>
    </w:p>
    <w:p>
      <w:pPr>
        <w:spacing w:line="360" w:lineRule="auto"/>
        <w:ind w:firstLine="480" w:firstLineChars="200"/>
        <w:rPr>
          <w:color w:val="auto"/>
          <w:sz w:val="24"/>
          <w:szCs w:val="24"/>
          <w:highlight w:val="none"/>
        </w:rPr>
      </w:pPr>
      <w:r>
        <w:rPr>
          <w:rFonts w:hint="eastAsia"/>
          <w:color w:val="auto"/>
          <w:sz w:val="24"/>
          <w:szCs w:val="24"/>
          <w:highlight w:val="none"/>
        </w:rPr>
        <w:t>你方要求我方承担保证责任的，应在本保函保证期间内向我方发出书面索赔</w:t>
      </w:r>
    </w:p>
    <w:p>
      <w:pPr>
        <w:spacing w:line="360" w:lineRule="auto"/>
        <w:ind w:firstLine="480" w:firstLineChars="200"/>
        <w:rPr>
          <w:color w:val="auto"/>
          <w:sz w:val="24"/>
          <w:szCs w:val="24"/>
          <w:highlight w:val="none"/>
        </w:rPr>
        <w:sectPr>
          <w:pgSz w:w="11930" w:h="16840"/>
          <w:pgMar w:top="1580" w:right="1417" w:bottom="900" w:left="1417" w:header="0" w:footer="639" w:gutter="0"/>
          <w:cols w:space="720" w:num="1"/>
        </w:sectPr>
      </w:pPr>
    </w:p>
    <w:p>
      <w:pPr>
        <w:spacing w:line="360" w:lineRule="auto"/>
        <w:ind w:firstLine="480" w:firstLineChars="200"/>
        <w:rPr>
          <w:color w:val="auto"/>
          <w:sz w:val="24"/>
          <w:szCs w:val="24"/>
          <w:highlight w:val="none"/>
        </w:rPr>
      </w:pPr>
      <w:r>
        <w:rPr>
          <w:rFonts w:hint="eastAsia"/>
          <w:color w:val="auto"/>
          <w:sz w:val="24"/>
          <w:szCs w:val="24"/>
          <w:highlight w:val="none"/>
        </w:rPr>
        <w:t>通知。索赔通知应写明要求索赔的金额，支付款项应到达的</w:t>
      </w:r>
      <w:r>
        <w:rPr>
          <w:rFonts w:hint="eastAsia"/>
          <w:color w:val="auto"/>
          <w:sz w:val="24"/>
          <w:szCs w:val="24"/>
          <w:highlight w:val="none"/>
          <w:lang w:eastAsia="zh-CN"/>
        </w:rPr>
        <w:t>账号</w:t>
      </w:r>
      <w:r>
        <w:rPr>
          <w:rFonts w:hint="eastAsia"/>
          <w:color w:val="auto"/>
          <w:sz w:val="24"/>
          <w:szCs w:val="24"/>
          <w:highlight w:val="none"/>
        </w:rPr>
        <w:t>。并附有证明供应商违约事实的证明材料。</w:t>
      </w:r>
    </w:p>
    <w:p>
      <w:pPr>
        <w:spacing w:line="360" w:lineRule="auto"/>
        <w:ind w:firstLine="480" w:firstLineChars="200"/>
        <w:rPr>
          <w:color w:val="auto"/>
          <w:sz w:val="24"/>
          <w:szCs w:val="24"/>
          <w:highlight w:val="none"/>
        </w:rPr>
      </w:pPr>
      <w:r>
        <w:rPr>
          <w:rFonts w:hint="eastAsia"/>
          <w:color w:val="auto"/>
          <w:sz w:val="24"/>
          <w:szCs w:val="24"/>
          <w:highlight w:val="none"/>
        </w:rPr>
        <w:t>如果你方与供应商因货物质量问题产生争议，你方还需同时提供</w:t>
      </w:r>
      <w:r>
        <w:rPr>
          <w:rFonts w:hint="eastAsia"/>
          <w:color w:val="auto"/>
          <w:sz w:val="24"/>
          <w:szCs w:val="24"/>
          <w:highlight w:val="none"/>
          <w:u w:val="single"/>
        </w:rPr>
        <w:tab/>
      </w:r>
      <w:r>
        <w:rPr>
          <w:rFonts w:hint="eastAsia"/>
          <w:color w:val="auto"/>
          <w:sz w:val="24"/>
          <w:szCs w:val="24"/>
          <w:highlight w:val="none"/>
        </w:rPr>
        <w:t>部门出具的质量检测报告，或经诉讼（仲裁）程序裁决后的裁决书、调解书，本保证人即按照检测结果或裁决书、调解书决定是否承担保证责任。</w:t>
      </w:r>
    </w:p>
    <w:p>
      <w:pPr>
        <w:spacing w:line="360" w:lineRule="auto"/>
        <w:ind w:firstLine="480" w:firstLineChars="200"/>
        <w:rPr>
          <w:color w:val="auto"/>
          <w:sz w:val="24"/>
          <w:szCs w:val="24"/>
          <w:highlight w:val="none"/>
        </w:rPr>
      </w:pPr>
      <w:r>
        <w:rPr>
          <w:rFonts w:hint="eastAsia"/>
          <w:color w:val="auto"/>
          <w:sz w:val="24"/>
          <w:szCs w:val="24"/>
          <w:highlight w:val="none"/>
        </w:rPr>
        <w:t>我方收到你方的书面索赔通知及相应证明材料，在工作日内进行核定后按照本保函的承诺承担保证责任。</w:t>
      </w:r>
    </w:p>
    <w:p>
      <w:pPr>
        <w:spacing w:line="360" w:lineRule="auto"/>
        <w:ind w:firstLine="480" w:firstLineChars="200"/>
        <w:rPr>
          <w:color w:val="auto"/>
          <w:sz w:val="24"/>
          <w:szCs w:val="24"/>
          <w:highlight w:val="none"/>
        </w:rPr>
      </w:pPr>
      <w:r>
        <w:rPr>
          <w:rFonts w:hint="eastAsia"/>
          <w:color w:val="auto"/>
          <w:sz w:val="24"/>
          <w:szCs w:val="24"/>
          <w:highlight w:val="none"/>
        </w:rPr>
        <w:t>四、保证责任的终止</w:t>
      </w:r>
    </w:p>
    <w:p>
      <w:pPr>
        <w:spacing w:line="360" w:lineRule="auto"/>
        <w:ind w:firstLine="480" w:firstLineChars="200"/>
        <w:rPr>
          <w:color w:val="auto"/>
          <w:sz w:val="24"/>
          <w:szCs w:val="24"/>
          <w:highlight w:val="none"/>
        </w:rPr>
      </w:pPr>
      <w:r>
        <w:rPr>
          <w:rFonts w:hint="eastAsia"/>
          <w:color w:val="auto"/>
          <w:sz w:val="24"/>
          <w:szCs w:val="24"/>
          <w:highlight w:val="none"/>
        </w:rPr>
        <w:t>保证期间届满你方未向我方书面主张保证责任的，自保证期间届满次日起， 我方保证责任自动终止。保证期间届满前，主合同约定的货物\工程\服务全部验收合格的，自验收合格日起，我方保证责任自动终止。</w:t>
      </w:r>
    </w:p>
    <w:p>
      <w:pPr>
        <w:spacing w:line="360" w:lineRule="auto"/>
        <w:ind w:firstLine="480" w:firstLineChars="200"/>
        <w:rPr>
          <w:color w:val="auto"/>
          <w:sz w:val="24"/>
          <w:szCs w:val="24"/>
          <w:highlight w:val="none"/>
        </w:rPr>
      </w:pPr>
      <w:r>
        <w:rPr>
          <w:rFonts w:hint="eastAsia"/>
          <w:color w:val="auto"/>
          <w:sz w:val="24"/>
          <w:szCs w:val="24"/>
          <w:highlight w:val="none"/>
        </w:rPr>
        <w:t>我方按照本保函向你方履行了保证责任后，自我方向你方支付款项（支付款项从我方账户划出）之日起，保证责任即终止。</w:t>
      </w:r>
    </w:p>
    <w:p>
      <w:pPr>
        <w:spacing w:line="360" w:lineRule="auto"/>
        <w:ind w:firstLine="480" w:firstLineChars="200"/>
        <w:rPr>
          <w:color w:val="auto"/>
          <w:sz w:val="24"/>
          <w:szCs w:val="24"/>
          <w:highlight w:val="none"/>
        </w:rPr>
      </w:pPr>
      <w:r>
        <w:rPr>
          <w:rFonts w:hint="eastAsia"/>
          <w:color w:val="auto"/>
          <w:sz w:val="24"/>
          <w:szCs w:val="24"/>
          <w:highlight w:val="none"/>
        </w:rPr>
        <w:t>按照法律法规的规定或出现应终止我方保证责任的其它情形的，我方在本保函项下的保证责任亦终止。</w:t>
      </w:r>
    </w:p>
    <w:p>
      <w:pPr>
        <w:spacing w:line="360" w:lineRule="auto"/>
        <w:ind w:firstLine="480" w:firstLineChars="200"/>
        <w:rPr>
          <w:color w:val="auto"/>
          <w:sz w:val="24"/>
          <w:szCs w:val="24"/>
          <w:highlight w:val="none"/>
        </w:rPr>
      </w:pPr>
      <w:r>
        <w:rPr>
          <w:rFonts w:hint="eastAsia"/>
          <w:color w:val="auto"/>
          <w:sz w:val="24"/>
          <w:szCs w:val="24"/>
          <w:highlight w:val="none"/>
        </w:rPr>
        <w:t>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pPr>
        <w:spacing w:line="360" w:lineRule="auto"/>
        <w:ind w:firstLine="480" w:firstLineChars="200"/>
        <w:rPr>
          <w:color w:val="auto"/>
          <w:sz w:val="24"/>
          <w:szCs w:val="24"/>
          <w:highlight w:val="none"/>
        </w:rPr>
      </w:pPr>
      <w:r>
        <w:rPr>
          <w:rFonts w:hint="eastAsia"/>
          <w:color w:val="auto"/>
          <w:sz w:val="24"/>
          <w:szCs w:val="24"/>
          <w:highlight w:val="none"/>
        </w:rPr>
        <w:t>五、免责条款</w:t>
      </w:r>
    </w:p>
    <w:p>
      <w:pPr>
        <w:spacing w:line="360" w:lineRule="auto"/>
        <w:ind w:firstLine="480" w:firstLineChars="200"/>
        <w:rPr>
          <w:color w:val="auto"/>
          <w:sz w:val="24"/>
          <w:szCs w:val="24"/>
          <w:highlight w:val="none"/>
        </w:rPr>
      </w:pPr>
      <w:r>
        <w:rPr>
          <w:rFonts w:hint="eastAsia"/>
          <w:color w:val="auto"/>
          <w:sz w:val="24"/>
          <w:szCs w:val="24"/>
          <w:highlight w:val="none"/>
        </w:rPr>
        <w:t>因你方违反主合同约定致使供应商不能履行义务的，我方不承担保证责任。</w:t>
      </w:r>
    </w:p>
    <w:p>
      <w:pPr>
        <w:spacing w:line="360" w:lineRule="auto"/>
        <w:ind w:firstLine="480" w:firstLineChars="200"/>
        <w:rPr>
          <w:color w:val="auto"/>
          <w:sz w:val="24"/>
          <w:szCs w:val="24"/>
          <w:highlight w:val="none"/>
        </w:rPr>
      </w:pPr>
      <w:r>
        <w:rPr>
          <w:rFonts w:hint="eastAsia"/>
          <w:color w:val="auto"/>
          <w:sz w:val="24"/>
          <w:szCs w:val="24"/>
          <w:highlight w:val="none"/>
        </w:rPr>
        <w:t>依照法律法规的规定或你方与供应商的另行约定，全部或者部分免除供应商应缴纳的保证金义务的，我方亦免除相应的保证责任。</w:t>
      </w:r>
    </w:p>
    <w:p>
      <w:pPr>
        <w:spacing w:line="360" w:lineRule="auto"/>
        <w:ind w:firstLine="480" w:firstLineChars="200"/>
        <w:rPr>
          <w:color w:val="auto"/>
          <w:sz w:val="24"/>
          <w:szCs w:val="24"/>
          <w:highlight w:val="none"/>
        </w:rPr>
      </w:pPr>
      <w:r>
        <w:rPr>
          <w:rFonts w:hint="eastAsia"/>
          <w:color w:val="auto"/>
          <w:sz w:val="24"/>
          <w:szCs w:val="24"/>
          <w:highlight w:val="none"/>
        </w:rPr>
        <w:t>因不可抗力造成供应商不能履行供货义务的，我方不承担保证责任。</w:t>
      </w:r>
    </w:p>
    <w:p>
      <w:pPr>
        <w:spacing w:line="360" w:lineRule="auto"/>
        <w:ind w:firstLine="480" w:firstLineChars="200"/>
        <w:rPr>
          <w:color w:val="auto"/>
          <w:sz w:val="24"/>
          <w:szCs w:val="24"/>
          <w:highlight w:val="none"/>
        </w:rPr>
      </w:pPr>
      <w:r>
        <w:rPr>
          <w:rFonts w:hint="eastAsia"/>
          <w:color w:val="auto"/>
          <w:sz w:val="24"/>
          <w:szCs w:val="24"/>
          <w:highlight w:val="none"/>
        </w:rPr>
        <w:t>六、争议的解决</w:t>
      </w:r>
    </w:p>
    <w:p>
      <w:pPr>
        <w:spacing w:line="360" w:lineRule="auto"/>
        <w:ind w:firstLine="480" w:firstLineChars="200"/>
        <w:rPr>
          <w:color w:val="auto"/>
          <w:sz w:val="24"/>
          <w:szCs w:val="24"/>
          <w:highlight w:val="none"/>
        </w:rPr>
      </w:pPr>
      <w:r>
        <w:rPr>
          <w:rFonts w:hint="eastAsia"/>
          <w:color w:val="auto"/>
          <w:sz w:val="24"/>
          <w:szCs w:val="24"/>
          <w:highlight w:val="none"/>
        </w:rPr>
        <w:t>因本保函发生的纠纷，由你我双方协商解决，协商不成的，通过诉讼程序解决， 诉讼管辖地法院为</w:t>
      </w:r>
      <w:r>
        <w:rPr>
          <w:rFonts w:hint="eastAsia"/>
          <w:color w:val="auto"/>
          <w:sz w:val="24"/>
          <w:szCs w:val="24"/>
          <w:highlight w:val="none"/>
          <w:u w:val="single"/>
        </w:rPr>
        <w:tab/>
      </w:r>
      <w:r>
        <w:rPr>
          <w:rFonts w:hint="eastAsia"/>
          <w:color w:val="auto"/>
          <w:sz w:val="24"/>
          <w:szCs w:val="24"/>
          <w:highlight w:val="none"/>
        </w:rPr>
        <w:t>法院。</w:t>
      </w:r>
    </w:p>
    <w:p>
      <w:pPr>
        <w:spacing w:line="360" w:lineRule="auto"/>
        <w:ind w:firstLine="480" w:firstLineChars="200"/>
        <w:rPr>
          <w:color w:val="auto"/>
          <w:sz w:val="24"/>
          <w:szCs w:val="24"/>
          <w:highlight w:val="none"/>
        </w:rPr>
      </w:pPr>
      <w:r>
        <w:rPr>
          <w:rFonts w:hint="eastAsia"/>
          <w:color w:val="auto"/>
          <w:sz w:val="24"/>
          <w:szCs w:val="24"/>
          <w:highlight w:val="none"/>
        </w:rPr>
        <w:t>七、保函的生效</w:t>
      </w:r>
    </w:p>
    <w:p>
      <w:pPr>
        <w:spacing w:line="360" w:lineRule="auto"/>
        <w:ind w:firstLine="480" w:firstLineChars="200"/>
        <w:rPr>
          <w:color w:val="auto"/>
          <w:sz w:val="24"/>
          <w:szCs w:val="24"/>
          <w:highlight w:val="none"/>
        </w:rPr>
      </w:pPr>
      <w:r>
        <w:rPr>
          <w:rFonts w:hint="eastAsia"/>
          <w:color w:val="auto"/>
          <w:sz w:val="24"/>
          <w:szCs w:val="24"/>
          <w:highlight w:val="none"/>
        </w:rPr>
        <w:t>本保函自我方加盖公章之日起生效。</w:t>
      </w:r>
    </w:p>
    <w:p>
      <w:pPr>
        <w:spacing w:line="360" w:lineRule="auto"/>
        <w:ind w:firstLine="480" w:firstLineChars="200"/>
        <w:rPr>
          <w:color w:val="auto"/>
          <w:sz w:val="24"/>
          <w:szCs w:val="24"/>
          <w:highlight w:val="none"/>
        </w:rPr>
      </w:pPr>
      <w:r>
        <w:rPr>
          <w:rFonts w:hint="eastAsia"/>
          <w:color w:val="auto"/>
          <w:sz w:val="24"/>
          <w:szCs w:val="24"/>
          <w:highlight w:val="none"/>
        </w:rPr>
        <w:t>保证人：（公章）</w:t>
      </w:r>
    </w:p>
    <w:p>
      <w:pPr>
        <w:spacing w:line="360" w:lineRule="auto"/>
        <w:ind w:firstLine="480" w:firstLineChars="200"/>
        <w:rPr>
          <w:color w:val="auto"/>
          <w:sz w:val="24"/>
          <w:szCs w:val="24"/>
          <w:highlight w:val="none"/>
        </w:rPr>
      </w:pPr>
    </w:p>
    <w:p>
      <w:pPr>
        <w:spacing w:line="360" w:lineRule="auto"/>
        <w:jc w:val="right"/>
        <w:rPr>
          <w:color w:val="auto"/>
          <w:sz w:val="24"/>
          <w:szCs w:val="24"/>
          <w:highlight w:val="none"/>
        </w:rPr>
      </w:pP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p>
    <w:p>
      <w:pPr>
        <w:spacing w:line="360" w:lineRule="auto"/>
        <w:ind w:firstLine="480" w:firstLineChars="200"/>
        <w:rPr>
          <w:color w:val="auto"/>
          <w:sz w:val="24"/>
          <w:szCs w:val="24"/>
          <w:highlight w:val="none"/>
        </w:rPr>
        <w:sectPr>
          <w:pgSz w:w="11930" w:h="16840"/>
          <w:pgMar w:top="1500" w:right="500" w:bottom="900" w:left="700" w:header="0" w:footer="639" w:gutter="0"/>
          <w:cols w:space="720" w:num="1"/>
        </w:sectPr>
      </w:pPr>
    </w:p>
    <w:p>
      <w:pPr>
        <w:pStyle w:val="37"/>
        <w:ind w:left="0" w:leftChars="0" w:firstLine="0" w:firstLineChars="0"/>
        <w:rPr>
          <w:color w:val="auto"/>
          <w:sz w:val="24"/>
          <w:szCs w:val="24"/>
          <w:highlight w:val="none"/>
        </w:rPr>
      </w:pPr>
      <w:bookmarkStart w:id="199" w:name="_bookmark1"/>
      <w:bookmarkEnd w:id="199"/>
      <w:bookmarkStart w:id="200" w:name="第2章__采购邀请"/>
      <w:bookmarkEnd w:id="200"/>
      <w:bookmarkStart w:id="201" w:name="_GoBack"/>
      <w:bookmarkEnd w:id="201"/>
    </w:p>
    <w:sectPr>
      <w:headerReference r:id="rId7" w:type="default"/>
      <w:footerReference r:id="rId8" w:type="default"/>
      <w:pgSz w:w="11930" w:h="16840"/>
      <w:pgMar w:top="1500" w:right="1417" w:bottom="1140" w:left="1417" w:header="0" w:footer="95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mp;quot">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3730625</wp:posOffset>
              </wp:positionH>
              <wp:positionV relativeFrom="page">
                <wp:posOffset>10095865</wp:posOffset>
              </wp:positionV>
              <wp:extent cx="107950" cy="1397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a:effectLst/>
                    </wps:spPr>
                    <wps:txbx>
                      <w:txbxContent>
                        <w:p>
                          <w:pPr>
                            <w:spacing w:line="220" w:lineRule="exact"/>
                            <w:ind w:left="40"/>
                            <w:rPr>
                              <w:sz w:val="18"/>
                            </w:rPr>
                          </w:pPr>
                          <w:r>
                            <w:fldChar w:fldCharType="begin"/>
                          </w:r>
                          <w:r>
                            <w:rPr>
                              <w:sz w:val="18"/>
                            </w:rPr>
                            <w:instrText xml:space="preserve"> PAGE </w:instrText>
                          </w:r>
                          <w:r>
                            <w:fldChar w:fldCharType="separate"/>
                          </w:r>
                          <w:r>
                            <w:rPr>
                              <w:sz w:val="18"/>
                            </w:rPr>
                            <w:t>8</w:t>
                          </w:r>
                          <w:r>
                            <w:fldChar w:fldCharType="end"/>
                          </w:r>
                        </w:p>
                      </w:txbxContent>
                    </wps:txbx>
                    <wps:bodyPr vert="horz" wrap="square" lIns="0" tIns="0" rIns="0" bIns="0" anchor="t" anchorCtr="0" upright="1"/>
                  </wps:wsp>
                </a:graphicData>
              </a:graphic>
            </wp:anchor>
          </w:drawing>
        </mc:Choice>
        <mc:Fallback>
          <w:pict>
            <v:shape id="文本框 3" o:spid="_x0000_s1026" o:spt="202" type="#_x0000_t202" style="position:absolute;left:0pt;margin-left:293.75pt;margin-top:794.95pt;height:11pt;width:8.5pt;mso-position-horizontal-relative:page;mso-position-vertical-relative:page;z-index:-251657216;mso-width-relative:page;mso-height-relative:page;" filled="f" stroked="f" coordsize="21600,21600" o:gfxdata="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406lT2gAAAA0BAAAP&#10;AAAAAAAAAAEAIAAAACIAAABkcnMvZG93bnJldi54bWxQSwECFAAUAAAACACHTuJAuTd9EN0BAACy&#10;AwAADgAAAAAAAAABACAAAAApAQAAZHJzL2Uyb0RvYy54bWxQSwUGAAAAAAYABgBZAQAAeAUAAAAA&#10;">
              <v:fill on="f" focussize="0,0"/>
              <v:stroke on="f"/>
              <v:imagedata o:title=""/>
              <o:lock v:ext="edit" aspectratio="f"/>
              <v:textbox inset="0mm,0mm,0mm,0mm">
                <w:txbxContent>
                  <w:p>
                    <w:pPr>
                      <w:spacing w:line="220" w:lineRule="exact"/>
                      <w:ind w:left="40"/>
                      <w:rPr>
                        <w:sz w:val="18"/>
                      </w:rPr>
                    </w:pPr>
                    <w:r>
                      <w:fldChar w:fldCharType="begin"/>
                    </w:r>
                    <w:r>
                      <w:rPr>
                        <w:sz w:val="18"/>
                      </w:rPr>
                      <w:instrText xml:space="preserve"> PAGE </w:instrText>
                    </w:r>
                    <w:r>
                      <w:fldChar w:fldCharType="separate"/>
                    </w:r>
                    <w:r>
                      <w:rPr>
                        <w:sz w:val="18"/>
                      </w:rP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w:rPr>
        <w:lang w:val="en-US" w:bidi="ar-SA"/>
      </w:rPr>
      <mc:AlternateContent>
        <mc:Choice Requires="wps">
          <w:drawing>
            <wp:anchor distT="0" distB="0" distL="114300" distR="114300" simplePos="0" relativeHeight="251660288" behindDoc="1" locked="0" layoutInCell="1" allowOverlap="1">
              <wp:simplePos x="0" y="0"/>
              <wp:positionH relativeFrom="page">
                <wp:posOffset>3702050</wp:posOffset>
              </wp:positionH>
              <wp:positionV relativeFrom="page">
                <wp:posOffset>10095865</wp:posOffset>
              </wp:positionV>
              <wp:extent cx="166370" cy="139700"/>
              <wp:effectExtent l="0" t="0" r="0" b="0"/>
              <wp:wrapNone/>
              <wp:docPr id="6" name="文本框 4"/>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a:effectLst/>
                    </wps:spPr>
                    <wps:txbx>
                      <w:txbxContent>
                        <w:p>
                          <w:pPr>
                            <w:spacing w:line="220" w:lineRule="exact"/>
                            <w:ind w:left="40"/>
                            <w:rPr>
                              <w:sz w:val="18"/>
                            </w:rPr>
                          </w:pPr>
                          <w:r>
                            <w:fldChar w:fldCharType="begin"/>
                          </w:r>
                          <w:r>
                            <w:rPr>
                              <w:sz w:val="18"/>
                            </w:rPr>
                            <w:instrText xml:space="preserve"> PAGE </w:instrText>
                          </w:r>
                          <w:r>
                            <w:fldChar w:fldCharType="separate"/>
                          </w:r>
                          <w:r>
                            <w:rPr>
                              <w:sz w:val="18"/>
                            </w:rPr>
                            <w:t>22</w:t>
                          </w:r>
                          <w:r>
                            <w:fldChar w:fldCharType="end"/>
                          </w:r>
                        </w:p>
                      </w:txbxContent>
                    </wps:txbx>
                    <wps:bodyPr vert="horz" wrap="square" lIns="0" tIns="0" rIns="0" bIns="0" anchor="t" anchorCtr="0" upright="1"/>
                  </wps:wsp>
                </a:graphicData>
              </a:graphic>
            </wp:anchor>
          </w:drawing>
        </mc:Choice>
        <mc:Fallback>
          <w:pict>
            <v:shape id="文本框 4" o:spid="_x0000_s1026" o:spt="202" type="#_x0000_t202" style="position:absolute;left:0pt;margin-left:291.5pt;margin-top:794.95pt;height:11pt;width:13.1pt;mso-position-horizontal-relative:page;mso-position-vertical-relative:page;z-index:-251656192;mso-width-relative:page;mso-height-relative:page;" filled="f" stroked="f" coordsize="21600,21600" o:gfxdata="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9C38/aAAAADQEAAA8A&#10;AAAAAAAAAQAgAAAAIgAAAGRycy9kb3ducmV2LnhtbFBLAQIUABQAAAAIAIdO4kCQroeL3AEAALID&#10;AAAOAAAAAAAAAAEAIAAAACkBAABkcnMvZTJvRG9jLnhtbFBLBQYAAAAABgAGAFkBAAB3BQAAAAA=&#10;">
              <v:fill on="f" focussize="0,0"/>
              <v:stroke on="f"/>
              <v:imagedata o:title=""/>
              <o:lock v:ext="edit" aspectratio="f"/>
              <v:textbox inset="0mm,0mm,0mm,0mm">
                <w:txbxContent>
                  <w:p>
                    <w:pPr>
                      <w:spacing w:line="220" w:lineRule="exact"/>
                      <w:ind w:left="40"/>
                      <w:rPr>
                        <w:sz w:val="18"/>
                      </w:rPr>
                    </w:pPr>
                    <w:r>
                      <w:fldChar w:fldCharType="begin"/>
                    </w:r>
                    <w:r>
                      <w:rPr>
                        <w:sz w:val="18"/>
                      </w:rPr>
                      <w:instrText xml:space="preserve"> PAGE </w:instrText>
                    </w:r>
                    <w:r>
                      <w:fldChar w:fldCharType="separate"/>
                    </w:r>
                    <w:r>
                      <w:rPr>
                        <w:sz w:val="18"/>
                      </w:rPr>
                      <w:t>22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12"/>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3702050</wp:posOffset>
              </wp:positionH>
              <wp:positionV relativeFrom="page">
                <wp:posOffset>10095865</wp:posOffset>
              </wp:positionV>
              <wp:extent cx="166370" cy="139700"/>
              <wp:effectExtent l="0" t="0" r="0" b="0"/>
              <wp:wrapNone/>
              <wp:docPr id="7" name="文本框 2"/>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a:effectLst/>
                    </wps:spPr>
                    <wps:txbx>
                      <w:txbxContent>
                        <w:p>
                          <w:pPr>
                            <w:spacing w:line="220" w:lineRule="exact"/>
                            <w:ind w:left="40"/>
                            <w:rPr>
                              <w:sz w:val="18"/>
                            </w:rPr>
                          </w:pPr>
                          <w:r>
                            <w:fldChar w:fldCharType="begin"/>
                          </w:r>
                          <w:r>
                            <w:rPr>
                              <w:sz w:val="18"/>
                            </w:rPr>
                            <w:instrText xml:space="preserve"> PAGE </w:instrText>
                          </w:r>
                          <w:r>
                            <w:fldChar w:fldCharType="separate"/>
                          </w:r>
                          <w:r>
                            <w:rPr>
                              <w:sz w:val="18"/>
                            </w:rPr>
                            <w:t>26</w:t>
                          </w:r>
                          <w:r>
                            <w:fldChar w:fldCharType="end"/>
                          </w:r>
                        </w:p>
                      </w:txbxContent>
                    </wps:txbx>
                    <wps:bodyPr vert="horz" wrap="square" lIns="0" tIns="0" rIns="0" bIns="0" anchor="t" anchorCtr="0" upright="1"/>
                  </wps:wsp>
                </a:graphicData>
              </a:graphic>
            </wp:anchor>
          </w:drawing>
        </mc:Choice>
        <mc:Fallback>
          <w:pict>
            <v:shape id="文本框 2" o:spid="_x0000_s1026" o:spt="202" type="#_x0000_t202" style="position:absolute;left:0pt;margin-left:291.5pt;margin-top:794.95pt;height:11pt;width:13.1pt;mso-position-horizontal-relative:page;mso-position-vertical-relative:page;z-index:-251655168;mso-width-relative:page;mso-height-relative:page;" filled="f" stroked="f" coordsize="21600,21600" o:gfxdata="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j0Lfz9oAAAANAQAADwAA&#10;AAAAAAABACAAAAAiAAAAZHJzL2Rvd25yZXYueG1sUEsBAhQAFAAAAAgAh07iQKY8PLXbAQAAsgMA&#10;AA4AAAAAAAAAAQAgAAAAKQEAAGRycy9lMm9Eb2MueG1sUEsFBgAAAAAGAAYAWQEAAHYFAAAAAA==&#10;">
              <v:fill on="f" focussize="0,0"/>
              <v:stroke on="f"/>
              <v:imagedata o:title=""/>
              <o:lock v:ext="edit" aspectratio="f"/>
              <v:textbox inset="0mm,0mm,0mm,0mm">
                <w:txbxContent>
                  <w:p>
                    <w:pPr>
                      <w:spacing w:line="220" w:lineRule="exact"/>
                      <w:ind w:left="40"/>
                      <w:rPr>
                        <w:sz w:val="18"/>
                      </w:rPr>
                    </w:pPr>
                    <w:r>
                      <w:fldChar w:fldCharType="begin"/>
                    </w:r>
                    <w:r>
                      <w:rPr>
                        <w:sz w:val="18"/>
                      </w:rPr>
                      <w:instrText xml:space="preserve"> PAGE </w:instrText>
                    </w:r>
                    <w:r>
                      <w:fldChar w:fldCharType="separate"/>
                    </w:r>
                    <w:r>
                      <w:rPr>
                        <w:sz w:val="18"/>
                      </w:rPr>
                      <w:t>26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w:rPr>
        <w:lang w:val="en-US" w:bidi="ar-SA"/>
      </w:rPr>
      <mc:AlternateContent>
        <mc:Choice Requires="wps">
          <w:drawing>
            <wp:anchor distT="0" distB="0" distL="114300" distR="114300" simplePos="0" relativeHeight="251662336" behindDoc="1" locked="0" layoutInCell="1" allowOverlap="1">
              <wp:simplePos x="0" y="0"/>
              <wp:positionH relativeFrom="page">
                <wp:posOffset>3702050</wp:posOffset>
              </wp:positionH>
              <wp:positionV relativeFrom="page">
                <wp:posOffset>9947910</wp:posOffset>
              </wp:positionV>
              <wp:extent cx="166370" cy="1397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a:effectLst/>
                    </wps:spPr>
                    <wps:txbx>
                      <w:txbxContent>
                        <w:p>
                          <w:pPr>
                            <w:spacing w:line="220" w:lineRule="exact"/>
                            <w:ind w:left="40"/>
                            <w:rPr>
                              <w:sz w:val="18"/>
                            </w:rPr>
                          </w:pPr>
                          <w:r>
                            <w:fldChar w:fldCharType="begin"/>
                          </w:r>
                          <w:r>
                            <w:rPr>
                              <w:sz w:val="18"/>
                            </w:rPr>
                            <w:instrText xml:space="preserve"> PAGE </w:instrText>
                          </w:r>
                          <w:r>
                            <w:fldChar w:fldCharType="separate"/>
                          </w:r>
                          <w:r>
                            <w:rPr>
                              <w:sz w:val="18"/>
                            </w:rPr>
                            <w:t>83</w:t>
                          </w:r>
                          <w:r>
                            <w:fldChar w:fldCharType="end"/>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291.5pt;margin-top:783.3pt;height:11pt;width:13.1pt;mso-position-horizontal-relative:page;mso-position-vertical-relative:page;z-index:-251654144;mso-width-relative:page;mso-height-relative:page;" filled="f" stroked="f" coordsize="21600,21600" o:gfxdata="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dmopS2gAAAA0BAAAP&#10;AAAAAAAAAAEAIAAAACIAAABkcnMvZG93bnJldi54bWxQSwECFAAUAAAACACHTuJA7gByld0BAAC0&#10;AwAADgAAAAAAAAABACAAAAApAQAAZHJzL2Uyb0RvYy54bWxQSwUGAAAAAAYABgBZAQAAeAUAAAAA&#10;">
              <v:fill on="f" focussize="0,0"/>
              <v:stroke on="f"/>
              <v:imagedata o:title=""/>
              <o:lock v:ext="edit" aspectratio="f"/>
              <v:textbox inset="0mm,0mm,0mm,0mm">
                <w:txbxContent>
                  <w:p>
                    <w:pPr>
                      <w:spacing w:line="220" w:lineRule="exact"/>
                      <w:ind w:left="40"/>
                      <w:rPr>
                        <w:sz w:val="18"/>
                      </w:rPr>
                    </w:pPr>
                    <w:r>
                      <w:fldChar w:fldCharType="begin"/>
                    </w:r>
                    <w:r>
                      <w:rPr>
                        <w:sz w:val="18"/>
                      </w:rPr>
                      <w:instrText xml:space="preserve"> PAGE </w:instrText>
                    </w:r>
                    <w:r>
                      <w:fldChar w:fldCharType="separate"/>
                    </w:r>
                    <w:r>
                      <w:rPr>
                        <w:sz w:val="18"/>
                      </w:rPr>
                      <w:t>83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lang w:val="en-US" w:bidi="ar-SA"/>
      </w:rPr>
      <w:drawing>
        <wp:anchor distT="0" distB="0" distL="114300" distR="114300" simplePos="0" relativeHeight="251663360" behindDoc="1" locked="0" layoutInCell="1" allowOverlap="1">
          <wp:simplePos x="0" y="0"/>
          <wp:positionH relativeFrom="margin">
            <wp:align>center</wp:align>
          </wp:positionH>
          <wp:positionV relativeFrom="margin">
            <wp:align>center</wp:align>
          </wp:positionV>
          <wp:extent cx="5274310" cy="3696335"/>
          <wp:effectExtent l="0" t="0" r="2540" b="18415"/>
          <wp:wrapNone/>
          <wp:docPr id="8" name="WordPictureWatermark11097" descr="山东立行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11097" descr="山东立行logo"/>
                  <pic:cNvPicPr>
                    <a:picLocks noChangeAspect="1"/>
                  </pic:cNvPicPr>
                </pic:nvPicPr>
                <pic:blipFill>
                  <a:blip r:embed="rId1">
                    <a:lum bright="69995" contrast="-70001"/>
                  </a:blip>
                  <a:stretch>
                    <a:fillRect/>
                  </a:stretch>
                </pic:blipFill>
                <pic:spPr>
                  <a:xfrm>
                    <a:off x="0" y="0"/>
                    <a:ext cx="5274310" cy="369633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lang w:val="en-US" w:bidi="ar-SA"/>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4310" cy="3696335"/>
          <wp:effectExtent l="0" t="0" r="2540" b="18415"/>
          <wp:wrapNone/>
          <wp:docPr id="9" name="WordPictureWatermark11097" descr="山东立行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11097" descr="山东立行logo"/>
                  <pic:cNvPicPr>
                    <a:picLocks noChangeAspect="1"/>
                  </pic:cNvPicPr>
                </pic:nvPicPr>
                <pic:blipFill>
                  <a:blip r:embed="rId1">
                    <a:lum bright="69995" contrast="-70001"/>
                  </a:blip>
                  <a:stretch>
                    <a:fillRect/>
                  </a:stretch>
                </pic:blipFill>
                <pic:spPr>
                  <a:xfrm>
                    <a:off x="0" y="0"/>
                    <a:ext cx="5274310" cy="369633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C36D42"/>
    <w:multiLevelType w:val="singleLevel"/>
    <w:tmpl w:val="02C36D42"/>
    <w:lvl w:ilvl="0" w:tentative="0">
      <w:start w:val="1"/>
      <w:numFmt w:val="decimal"/>
      <w:suff w:val="nothing"/>
      <w:lvlText w:val="（%1）"/>
      <w:lvlJc w:val="left"/>
    </w:lvl>
  </w:abstractNum>
  <w:abstractNum w:abstractNumId="1">
    <w:nsid w:val="6D5EEE68"/>
    <w:multiLevelType w:val="singleLevel"/>
    <w:tmpl w:val="6D5EEE68"/>
    <w:lvl w:ilvl="0" w:tentative="0">
      <w:start w:val="1"/>
      <w:numFmt w:val="decimal"/>
      <w:suff w:val="nothing"/>
      <w:lvlText w:val="（%1）"/>
      <w:lvlJc w:val="left"/>
      <w:pPr>
        <w:ind w:left="-42"/>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xMTE4YjE1MjA5YTBlZGY3ODIyMDkzNGFhZjZhYzcifQ=="/>
    <w:docVar w:name="KSO_WPS_MARK_KEY" w:val="4359e74c-ff7b-43e5-b65a-494117b4d2f3"/>
  </w:docVars>
  <w:rsids>
    <w:rsidRoot w:val="55005921"/>
    <w:rsid w:val="00043A83"/>
    <w:rsid w:val="00072C34"/>
    <w:rsid w:val="0008303D"/>
    <w:rsid w:val="000D0ACD"/>
    <w:rsid w:val="000E523E"/>
    <w:rsid w:val="001265F0"/>
    <w:rsid w:val="001605E2"/>
    <w:rsid w:val="00174FB3"/>
    <w:rsid w:val="00190E35"/>
    <w:rsid w:val="00196E1C"/>
    <w:rsid w:val="001E4927"/>
    <w:rsid w:val="0022181C"/>
    <w:rsid w:val="00255F6E"/>
    <w:rsid w:val="0027317F"/>
    <w:rsid w:val="00273CB3"/>
    <w:rsid w:val="00280CEF"/>
    <w:rsid w:val="00322F3D"/>
    <w:rsid w:val="00351550"/>
    <w:rsid w:val="00366A73"/>
    <w:rsid w:val="00367CDA"/>
    <w:rsid w:val="003B374C"/>
    <w:rsid w:val="003D0076"/>
    <w:rsid w:val="0044588F"/>
    <w:rsid w:val="004D672C"/>
    <w:rsid w:val="005412AD"/>
    <w:rsid w:val="00573D55"/>
    <w:rsid w:val="005E51AA"/>
    <w:rsid w:val="0064631F"/>
    <w:rsid w:val="007A1616"/>
    <w:rsid w:val="007B2301"/>
    <w:rsid w:val="007B4C04"/>
    <w:rsid w:val="007C480F"/>
    <w:rsid w:val="00824069"/>
    <w:rsid w:val="00904674"/>
    <w:rsid w:val="0093008C"/>
    <w:rsid w:val="00941720"/>
    <w:rsid w:val="00996478"/>
    <w:rsid w:val="009A20BE"/>
    <w:rsid w:val="009A2589"/>
    <w:rsid w:val="009A443F"/>
    <w:rsid w:val="00A20DCC"/>
    <w:rsid w:val="00A73BD4"/>
    <w:rsid w:val="00A81D22"/>
    <w:rsid w:val="00AD64CE"/>
    <w:rsid w:val="00B95FD6"/>
    <w:rsid w:val="00BA4A03"/>
    <w:rsid w:val="00C2077E"/>
    <w:rsid w:val="00C82E60"/>
    <w:rsid w:val="00C93A9A"/>
    <w:rsid w:val="00CB3C62"/>
    <w:rsid w:val="00CB77BE"/>
    <w:rsid w:val="00D741D4"/>
    <w:rsid w:val="00D85AC8"/>
    <w:rsid w:val="00DA5C53"/>
    <w:rsid w:val="00DC07F7"/>
    <w:rsid w:val="00E024B0"/>
    <w:rsid w:val="00E34DA0"/>
    <w:rsid w:val="00F54A13"/>
    <w:rsid w:val="00F705B3"/>
    <w:rsid w:val="00FA2FA5"/>
    <w:rsid w:val="01080A12"/>
    <w:rsid w:val="01141165"/>
    <w:rsid w:val="012E439E"/>
    <w:rsid w:val="0132783D"/>
    <w:rsid w:val="015B6D94"/>
    <w:rsid w:val="0176665C"/>
    <w:rsid w:val="018F6A3E"/>
    <w:rsid w:val="0190365C"/>
    <w:rsid w:val="019329D2"/>
    <w:rsid w:val="01BD17FD"/>
    <w:rsid w:val="01F571E8"/>
    <w:rsid w:val="020B07BA"/>
    <w:rsid w:val="02105DD0"/>
    <w:rsid w:val="02201D8C"/>
    <w:rsid w:val="024C0DD3"/>
    <w:rsid w:val="02777BFD"/>
    <w:rsid w:val="028247F4"/>
    <w:rsid w:val="02963DFC"/>
    <w:rsid w:val="029A7D90"/>
    <w:rsid w:val="029E64B7"/>
    <w:rsid w:val="02C9180B"/>
    <w:rsid w:val="02CA77DF"/>
    <w:rsid w:val="02CB5F9B"/>
    <w:rsid w:val="02DB161B"/>
    <w:rsid w:val="02DE7C7D"/>
    <w:rsid w:val="02E149B4"/>
    <w:rsid w:val="02E66893"/>
    <w:rsid w:val="02E84657"/>
    <w:rsid w:val="02ED4364"/>
    <w:rsid w:val="02F0273C"/>
    <w:rsid w:val="02FD4D40"/>
    <w:rsid w:val="030B1F15"/>
    <w:rsid w:val="030D2310"/>
    <w:rsid w:val="03305FFE"/>
    <w:rsid w:val="034B519E"/>
    <w:rsid w:val="034D2A0D"/>
    <w:rsid w:val="03600692"/>
    <w:rsid w:val="03675EC4"/>
    <w:rsid w:val="03B10EED"/>
    <w:rsid w:val="03D42E2E"/>
    <w:rsid w:val="03FD2384"/>
    <w:rsid w:val="03FF60FC"/>
    <w:rsid w:val="04071455"/>
    <w:rsid w:val="04080E64"/>
    <w:rsid w:val="041C2B2E"/>
    <w:rsid w:val="04366AEA"/>
    <w:rsid w:val="044F0706"/>
    <w:rsid w:val="046248DD"/>
    <w:rsid w:val="04673CA2"/>
    <w:rsid w:val="04677BDD"/>
    <w:rsid w:val="047F2D99"/>
    <w:rsid w:val="048E7480"/>
    <w:rsid w:val="04925647"/>
    <w:rsid w:val="04B2316F"/>
    <w:rsid w:val="04DA0918"/>
    <w:rsid w:val="04E44068"/>
    <w:rsid w:val="04E90B5B"/>
    <w:rsid w:val="04F25C61"/>
    <w:rsid w:val="04FC088E"/>
    <w:rsid w:val="0506170D"/>
    <w:rsid w:val="052A5E2F"/>
    <w:rsid w:val="052D75AA"/>
    <w:rsid w:val="05561E22"/>
    <w:rsid w:val="056E6F16"/>
    <w:rsid w:val="05712021"/>
    <w:rsid w:val="0576170F"/>
    <w:rsid w:val="05816FE5"/>
    <w:rsid w:val="05883ED0"/>
    <w:rsid w:val="058A5E9A"/>
    <w:rsid w:val="058B39C0"/>
    <w:rsid w:val="05CD222A"/>
    <w:rsid w:val="05D67331"/>
    <w:rsid w:val="05E51322"/>
    <w:rsid w:val="05F257ED"/>
    <w:rsid w:val="06026CB4"/>
    <w:rsid w:val="06035C4C"/>
    <w:rsid w:val="060E7CB3"/>
    <w:rsid w:val="06112117"/>
    <w:rsid w:val="061614DB"/>
    <w:rsid w:val="06180053"/>
    <w:rsid w:val="06260D38"/>
    <w:rsid w:val="06284840"/>
    <w:rsid w:val="062A62FB"/>
    <w:rsid w:val="0664493D"/>
    <w:rsid w:val="06691F53"/>
    <w:rsid w:val="066B4B5C"/>
    <w:rsid w:val="0680729D"/>
    <w:rsid w:val="06823015"/>
    <w:rsid w:val="06863D99"/>
    <w:rsid w:val="06896151"/>
    <w:rsid w:val="06913258"/>
    <w:rsid w:val="06936FD0"/>
    <w:rsid w:val="06986394"/>
    <w:rsid w:val="06A27FAC"/>
    <w:rsid w:val="06A411DD"/>
    <w:rsid w:val="06AB2110"/>
    <w:rsid w:val="06AB6CD6"/>
    <w:rsid w:val="06BA455D"/>
    <w:rsid w:val="06D575E9"/>
    <w:rsid w:val="06EA753E"/>
    <w:rsid w:val="06F15F5A"/>
    <w:rsid w:val="06F31F4E"/>
    <w:rsid w:val="0701218C"/>
    <w:rsid w:val="07022598"/>
    <w:rsid w:val="0708176C"/>
    <w:rsid w:val="072F3612"/>
    <w:rsid w:val="073B020F"/>
    <w:rsid w:val="07504EC1"/>
    <w:rsid w:val="07897965"/>
    <w:rsid w:val="07996868"/>
    <w:rsid w:val="07A174CB"/>
    <w:rsid w:val="07A80859"/>
    <w:rsid w:val="07BB579F"/>
    <w:rsid w:val="07BF7A34"/>
    <w:rsid w:val="07C136C9"/>
    <w:rsid w:val="07D35EAA"/>
    <w:rsid w:val="07EC3C91"/>
    <w:rsid w:val="080017C1"/>
    <w:rsid w:val="08002443"/>
    <w:rsid w:val="080A5070"/>
    <w:rsid w:val="081163FE"/>
    <w:rsid w:val="08167EB9"/>
    <w:rsid w:val="08241B3A"/>
    <w:rsid w:val="083E2F6B"/>
    <w:rsid w:val="08405659"/>
    <w:rsid w:val="0842480A"/>
    <w:rsid w:val="085207C5"/>
    <w:rsid w:val="085B1D6F"/>
    <w:rsid w:val="086C1887"/>
    <w:rsid w:val="086C4B49"/>
    <w:rsid w:val="088123FF"/>
    <w:rsid w:val="088A4403"/>
    <w:rsid w:val="089B03BE"/>
    <w:rsid w:val="08AA23AF"/>
    <w:rsid w:val="08AF3BD9"/>
    <w:rsid w:val="08AF5DD8"/>
    <w:rsid w:val="08C24DE0"/>
    <w:rsid w:val="08CB00D8"/>
    <w:rsid w:val="08DC49C4"/>
    <w:rsid w:val="08FF6B9F"/>
    <w:rsid w:val="09102B5A"/>
    <w:rsid w:val="092E2B5B"/>
    <w:rsid w:val="0946657C"/>
    <w:rsid w:val="09490657"/>
    <w:rsid w:val="096B3541"/>
    <w:rsid w:val="09774987"/>
    <w:rsid w:val="097A7FD3"/>
    <w:rsid w:val="098D41AA"/>
    <w:rsid w:val="09AA4D5C"/>
    <w:rsid w:val="09AD2157"/>
    <w:rsid w:val="09B92ECE"/>
    <w:rsid w:val="09BF1E8A"/>
    <w:rsid w:val="09C63218"/>
    <w:rsid w:val="09DA6CC4"/>
    <w:rsid w:val="0A0A75A9"/>
    <w:rsid w:val="0A1505BC"/>
    <w:rsid w:val="0A4D56E8"/>
    <w:rsid w:val="0A4F320E"/>
    <w:rsid w:val="0A60565A"/>
    <w:rsid w:val="0A626945"/>
    <w:rsid w:val="0A641C14"/>
    <w:rsid w:val="0A7333A0"/>
    <w:rsid w:val="0A951569"/>
    <w:rsid w:val="0A9B45AE"/>
    <w:rsid w:val="0AAC672F"/>
    <w:rsid w:val="0ACC2AB1"/>
    <w:rsid w:val="0AFD2C6A"/>
    <w:rsid w:val="0B3643CE"/>
    <w:rsid w:val="0B381FF4"/>
    <w:rsid w:val="0B52745A"/>
    <w:rsid w:val="0B53783F"/>
    <w:rsid w:val="0B5E27CE"/>
    <w:rsid w:val="0B6251C3"/>
    <w:rsid w:val="0B674587"/>
    <w:rsid w:val="0BA90BBA"/>
    <w:rsid w:val="0BA90FB3"/>
    <w:rsid w:val="0BB579E9"/>
    <w:rsid w:val="0BC16163"/>
    <w:rsid w:val="0BD31C1D"/>
    <w:rsid w:val="0BD95198"/>
    <w:rsid w:val="0BDE0CED"/>
    <w:rsid w:val="0BFE6C9A"/>
    <w:rsid w:val="0C152235"/>
    <w:rsid w:val="0C210BDA"/>
    <w:rsid w:val="0C4725D1"/>
    <w:rsid w:val="0C476893"/>
    <w:rsid w:val="0C4A6383"/>
    <w:rsid w:val="0C523489"/>
    <w:rsid w:val="0C57284E"/>
    <w:rsid w:val="0C5965C6"/>
    <w:rsid w:val="0C5C5390"/>
    <w:rsid w:val="0C7A3F96"/>
    <w:rsid w:val="0CA43CE5"/>
    <w:rsid w:val="0CBA3508"/>
    <w:rsid w:val="0CBD7414"/>
    <w:rsid w:val="0CCD48BE"/>
    <w:rsid w:val="0CE117F3"/>
    <w:rsid w:val="0D1129FD"/>
    <w:rsid w:val="0D4F1AA5"/>
    <w:rsid w:val="0D5A1BF7"/>
    <w:rsid w:val="0D6276FC"/>
    <w:rsid w:val="0D672F83"/>
    <w:rsid w:val="0D6D123B"/>
    <w:rsid w:val="0D782A7C"/>
    <w:rsid w:val="0D7F205C"/>
    <w:rsid w:val="0D8B27AF"/>
    <w:rsid w:val="0D8B6C53"/>
    <w:rsid w:val="0D8E04F1"/>
    <w:rsid w:val="0D92054B"/>
    <w:rsid w:val="0D927FE1"/>
    <w:rsid w:val="0DA43871"/>
    <w:rsid w:val="0DA87805"/>
    <w:rsid w:val="0DB93D54"/>
    <w:rsid w:val="0DCB34F3"/>
    <w:rsid w:val="0DCB704F"/>
    <w:rsid w:val="0DD00B0A"/>
    <w:rsid w:val="0DD51C7C"/>
    <w:rsid w:val="0DD56120"/>
    <w:rsid w:val="0DD95C10"/>
    <w:rsid w:val="0DDC6339"/>
    <w:rsid w:val="0DE10621"/>
    <w:rsid w:val="0DE620DB"/>
    <w:rsid w:val="0DE819AF"/>
    <w:rsid w:val="0DF75186"/>
    <w:rsid w:val="0DFA5B87"/>
    <w:rsid w:val="0DFC18FF"/>
    <w:rsid w:val="0DFC36AD"/>
    <w:rsid w:val="0DFC545B"/>
    <w:rsid w:val="0E10665F"/>
    <w:rsid w:val="0E2826F4"/>
    <w:rsid w:val="0E2F75DE"/>
    <w:rsid w:val="0E415563"/>
    <w:rsid w:val="0E470A1E"/>
    <w:rsid w:val="0E5620E3"/>
    <w:rsid w:val="0E620CFF"/>
    <w:rsid w:val="0E623090"/>
    <w:rsid w:val="0E6D07C6"/>
    <w:rsid w:val="0E8042DE"/>
    <w:rsid w:val="0E8D69FB"/>
    <w:rsid w:val="0E905A81"/>
    <w:rsid w:val="0E9509E0"/>
    <w:rsid w:val="0E9D6C3E"/>
    <w:rsid w:val="0EA06E8C"/>
    <w:rsid w:val="0EBB5316"/>
    <w:rsid w:val="0EC817E1"/>
    <w:rsid w:val="0EC87299"/>
    <w:rsid w:val="0ED65CAC"/>
    <w:rsid w:val="0EEC7CF3"/>
    <w:rsid w:val="0EFB3964"/>
    <w:rsid w:val="0F2647F1"/>
    <w:rsid w:val="0F36499C"/>
    <w:rsid w:val="0F4B3CC3"/>
    <w:rsid w:val="0F9C6EF5"/>
    <w:rsid w:val="0F9F2542"/>
    <w:rsid w:val="0FAE1458"/>
    <w:rsid w:val="0FC4644C"/>
    <w:rsid w:val="0FD8086C"/>
    <w:rsid w:val="0FDA7A1E"/>
    <w:rsid w:val="0FDD306A"/>
    <w:rsid w:val="0FE56F43"/>
    <w:rsid w:val="0FF413FE"/>
    <w:rsid w:val="0FF516A8"/>
    <w:rsid w:val="10030D22"/>
    <w:rsid w:val="10101691"/>
    <w:rsid w:val="10156CA8"/>
    <w:rsid w:val="101F6394"/>
    <w:rsid w:val="10277CAB"/>
    <w:rsid w:val="104331B6"/>
    <w:rsid w:val="105D10CE"/>
    <w:rsid w:val="10610DE3"/>
    <w:rsid w:val="10613C9B"/>
    <w:rsid w:val="106D36EE"/>
    <w:rsid w:val="108F7B27"/>
    <w:rsid w:val="10967DE9"/>
    <w:rsid w:val="10A5627E"/>
    <w:rsid w:val="10BB15FD"/>
    <w:rsid w:val="10C9732B"/>
    <w:rsid w:val="10CC55B8"/>
    <w:rsid w:val="10E548CC"/>
    <w:rsid w:val="1102547E"/>
    <w:rsid w:val="11027398"/>
    <w:rsid w:val="1111746F"/>
    <w:rsid w:val="11203B56"/>
    <w:rsid w:val="11230F0A"/>
    <w:rsid w:val="1129347C"/>
    <w:rsid w:val="112C6057"/>
    <w:rsid w:val="11342BDA"/>
    <w:rsid w:val="113D78B3"/>
    <w:rsid w:val="11405FA6"/>
    <w:rsid w:val="114A3B4D"/>
    <w:rsid w:val="115B2DE0"/>
    <w:rsid w:val="115F60CB"/>
    <w:rsid w:val="11720C27"/>
    <w:rsid w:val="11747A5E"/>
    <w:rsid w:val="11755D76"/>
    <w:rsid w:val="11765524"/>
    <w:rsid w:val="117C58E3"/>
    <w:rsid w:val="117F262B"/>
    <w:rsid w:val="11875983"/>
    <w:rsid w:val="118F65E6"/>
    <w:rsid w:val="11A7392F"/>
    <w:rsid w:val="11AE1162"/>
    <w:rsid w:val="11B4493B"/>
    <w:rsid w:val="11B80F72"/>
    <w:rsid w:val="11DB5C5E"/>
    <w:rsid w:val="11DC5CCF"/>
    <w:rsid w:val="11E626AA"/>
    <w:rsid w:val="11F17F97"/>
    <w:rsid w:val="11F2192F"/>
    <w:rsid w:val="11FB295C"/>
    <w:rsid w:val="1202325C"/>
    <w:rsid w:val="1202500A"/>
    <w:rsid w:val="12154D3D"/>
    <w:rsid w:val="121D3BF2"/>
    <w:rsid w:val="12245DCA"/>
    <w:rsid w:val="124136D1"/>
    <w:rsid w:val="12577104"/>
    <w:rsid w:val="12631F4C"/>
    <w:rsid w:val="12977E48"/>
    <w:rsid w:val="12A36308"/>
    <w:rsid w:val="12A460C1"/>
    <w:rsid w:val="12B96010"/>
    <w:rsid w:val="12B97DBE"/>
    <w:rsid w:val="12BB3B36"/>
    <w:rsid w:val="12C07D58"/>
    <w:rsid w:val="12C40817"/>
    <w:rsid w:val="12C624DB"/>
    <w:rsid w:val="12CD386A"/>
    <w:rsid w:val="12EF1A32"/>
    <w:rsid w:val="12FD2B97"/>
    <w:rsid w:val="130F5C30"/>
    <w:rsid w:val="13272F7A"/>
    <w:rsid w:val="134D114A"/>
    <w:rsid w:val="134F427F"/>
    <w:rsid w:val="13570241"/>
    <w:rsid w:val="136F1E65"/>
    <w:rsid w:val="138C004D"/>
    <w:rsid w:val="13963C5C"/>
    <w:rsid w:val="139B227B"/>
    <w:rsid w:val="13A26AA4"/>
    <w:rsid w:val="13AD4C35"/>
    <w:rsid w:val="13C63668"/>
    <w:rsid w:val="13D125D7"/>
    <w:rsid w:val="13F705CB"/>
    <w:rsid w:val="140D6614"/>
    <w:rsid w:val="141A488D"/>
    <w:rsid w:val="141F2E06"/>
    <w:rsid w:val="14221993"/>
    <w:rsid w:val="144D5060"/>
    <w:rsid w:val="14733F9D"/>
    <w:rsid w:val="148177DB"/>
    <w:rsid w:val="148368D6"/>
    <w:rsid w:val="148D1503"/>
    <w:rsid w:val="14A14FAE"/>
    <w:rsid w:val="14AF4E83"/>
    <w:rsid w:val="14CC0840"/>
    <w:rsid w:val="14CD5DA3"/>
    <w:rsid w:val="14DC5FE6"/>
    <w:rsid w:val="14E333AF"/>
    <w:rsid w:val="14FD1E12"/>
    <w:rsid w:val="15237771"/>
    <w:rsid w:val="15316332"/>
    <w:rsid w:val="153951E6"/>
    <w:rsid w:val="154B23BB"/>
    <w:rsid w:val="155344FA"/>
    <w:rsid w:val="15632263"/>
    <w:rsid w:val="156A1312"/>
    <w:rsid w:val="156F29B6"/>
    <w:rsid w:val="158521DA"/>
    <w:rsid w:val="158D151C"/>
    <w:rsid w:val="159468C1"/>
    <w:rsid w:val="15962639"/>
    <w:rsid w:val="159F1988"/>
    <w:rsid w:val="15A72150"/>
    <w:rsid w:val="15AE1730"/>
    <w:rsid w:val="15D8055B"/>
    <w:rsid w:val="15DD2016"/>
    <w:rsid w:val="15E433A4"/>
    <w:rsid w:val="15E52C78"/>
    <w:rsid w:val="160F3ED5"/>
    <w:rsid w:val="161672D6"/>
    <w:rsid w:val="162921DF"/>
    <w:rsid w:val="165810F8"/>
    <w:rsid w:val="16647C6B"/>
    <w:rsid w:val="168E1562"/>
    <w:rsid w:val="169527B0"/>
    <w:rsid w:val="169F4B38"/>
    <w:rsid w:val="16B71DFF"/>
    <w:rsid w:val="16C136E5"/>
    <w:rsid w:val="16C3120C"/>
    <w:rsid w:val="16DC0E62"/>
    <w:rsid w:val="16DC22CD"/>
    <w:rsid w:val="171E4694"/>
    <w:rsid w:val="172F68A1"/>
    <w:rsid w:val="173739A8"/>
    <w:rsid w:val="17451C21"/>
    <w:rsid w:val="17884761"/>
    <w:rsid w:val="178C5AA1"/>
    <w:rsid w:val="17AF353E"/>
    <w:rsid w:val="17C0574B"/>
    <w:rsid w:val="17C90AA4"/>
    <w:rsid w:val="17D13D30"/>
    <w:rsid w:val="17D86F39"/>
    <w:rsid w:val="17F520E2"/>
    <w:rsid w:val="180C5535"/>
    <w:rsid w:val="180D1E0E"/>
    <w:rsid w:val="18147845"/>
    <w:rsid w:val="18267CA4"/>
    <w:rsid w:val="18357EE7"/>
    <w:rsid w:val="188E3A9B"/>
    <w:rsid w:val="18B708FC"/>
    <w:rsid w:val="18D21BDA"/>
    <w:rsid w:val="18D86A52"/>
    <w:rsid w:val="18DC0363"/>
    <w:rsid w:val="18E42BA3"/>
    <w:rsid w:val="18FC27B3"/>
    <w:rsid w:val="190855FC"/>
    <w:rsid w:val="192B4E46"/>
    <w:rsid w:val="19353F17"/>
    <w:rsid w:val="19432367"/>
    <w:rsid w:val="194859F8"/>
    <w:rsid w:val="194E489A"/>
    <w:rsid w:val="196B7938"/>
    <w:rsid w:val="196E7236"/>
    <w:rsid w:val="19811E02"/>
    <w:rsid w:val="19882298"/>
    <w:rsid w:val="19924EC5"/>
    <w:rsid w:val="19D35A3A"/>
    <w:rsid w:val="19D46FDD"/>
    <w:rsid w:val="19D83220"/>
    <w:rsid w:val="19DE5CD3"/>
    <w:rsid w:val="19E75211"/>
    <w:rsid w:val="19EA4D01"/>
    <w:rsid w:val="19F6114F"/>
    <w:rsid w:val="1A0279B5"/>
    <w:rsid w:val="1A037B71"/>
    <w:rsid w:val="1A044015"/>
    <w:rsid w:val="1A332204"/>
    <w:rsid w:val="1A670100"/>
    <w:rsid w:val="1A684039"/>
    <w:rsid w:val="1A846F04"/>
    <w:rsid w:val="1A976C37"/>
    <w:rsid w:val="1AA13ABF"/>
    <w:rsid w:val="1AAB623F"/>
    <w:rsid w:val="1AAC1FB7"/>
    <w:rsid w:val="1AB11A00"/>
    <w:rsid w:val="1AB23A71"/>
    <w:rsid w:val="1ABB087D"/>
    <w:rsid w:val="1AC007BD"/>
    <w:rsid w:val="1AE25F33"/>
    <w:rsid w:val="1AF077EF"/>
    <w:rsid w:val="1AF20311"/>
    <w:rsid w:val="1AFD0A64"/>
    <w:rsid w:val="1AFF2A2E"/>
    <w:rsid w:val="1B063DBD"/>
    <w:rsid w:val="1B157B5C"/>
    <w:rsid w:val="1B304996"/>
    <w:rsid w:val="1B473137"/>
    <w:rsid w:val="1B4A1EFB"/>
    <w:rsid w:val="1B4D19EC"/>
    <w:rsid w:val="1B535550"/>
    <w:rsid w:val="1B5B1521"/>
    <w:rsid w:val="1B634D6B"/>
    <w:rsid w:val="1B7B3A83"/>
    <w:rsid w:val="1B7D63C9"/>
    <w:rsid w:val="1B9C64CF"/>
    <w:rsid w:val="1BA333BA"/>
    <w:rsid w:val="1BA64C58"/>
    <w:rsid w:val="1BAB04C0"/>
    <w:rsid w:val="1BB2184F"/>
    <w:rsid w:val="1BB551A9"/>
    <w:rsid w:val="1BC25F36"/>
    <w:rsid w:val="1BC53330"/>
    <w:rsid w:val="1BE539D2"/>
    <w:rsid w:val="1BE55780"/>
    <w:rsid w:val="1BE84B08"/>
    <w:rsid w:val="1BEE6D2B"/>
    <w:rsid w:val="1BEF65FF"/>
    <w:rsid w:val="1C2344FA"/>
    <w:rsid w:val="1C2564C4"/>
    <w:rsid w:val="1C3861F8"/>
    <w:rsid w:val="1C525F55"/>
    <w:rsid w:val="1C5508DA"/>
    <w:rsid w:val="1C5D17BA"/>
    <w:rsid w:val="1C6963B1"/>
    <w:rsid w:val="1C6A4A6E"/>
    <w:rsid w:val="1C6B3FA4"/>
    <w:rsid w:val="1C7134B8"/>
    <w:rsid w:val="1C7B60E4"/>
    <w:rsid w:val="1C9D6B62"/>
    <w:rsid w:val="1CA15335"/>
    <w:rsid w:val="1CA55F37"/>
    <w:rsid w:val="1CA67605"/>
    <w:rsid w:val="1CA7512B"/>
    <w:rsid w:val="1CAB4C1C"/>
    <w:rsid w:val="1CB3587E"/>
    <w:rsid w:val="1CBD25FA"/>
    <w:rsid w:val="1CC47967"/>
    <w:rsid w:val="1CD37A8D"/>
    <w:rsid w:val="1CD619DC"/>
    <w:rsid w:val="1CE27F12"/>
    <w:rsid w:val="1CEC2B3E"/>
    <w:rsid w:val="1D0E51AB"/>
    <w:rsid w:val="1D1C78C7"/>
    <w:rsid w:val="1D4D7A81"/>
    <w:rsid w:val="1D686669"/>
    <w:rsid w:val="1D886D0B"/>
    <w:rsid w:val="1D8B67FB"/>
    <w:rsid w:val="1D8F1E47"/>
    <w:rsid w:val="1DB47B00"/>
    <w:rsid w:val="1DCA46CE"/>
    <w:rsid w:val="1DE101C9"/>
    <w:rsid w:val="1DE81558"/>
    <w:rsid w:val="1E39641D"/>
    <w:rsid w:val="1E3D5039"/>
    <w:rsid w:val="1E3F1D41"/>
    <w:rsid w:val="1E42570F"/>
    <w:rsid w:val="1E4B7CD4"/>
    <w:rsid w:val="1E5952C4"/>
    <w:rsid w:val="1E5B441F"/>
    <w:rsid w:val="1E5B61CE"/>
    <w:rsid w:val="1E5E2FCF"/>
    <w:rsid w:val="1E672DC4"/>
    <w:rsid w:val="1E675137"/>
    <w:rsid w:val="1E6A6411"/>
    <w:rsid w:val="1EA062D6"/>
    <w:rsid w:val="1EE2244B"/>
    <w:rsid w:val="1EF7116D"/>
    <w:rsid w:val="1F0B0BF3"/>
    <w:rsid w:val="1F180A7E"/>
    <w:rsid w:val="1F265724"/>
    <w:rsid w:val="1F2962CC"/>
    <w:rsid w:val="1F2B2044"/>
    <w:rsid w:val="1F552C1D"/>
    <w:rsid w:val="1F6500F4"/>
    <w:rsid w:val="1F903C55"/>
    <w:rsid w:val="1FA53BA4"/>
    <w:rsid w:val="1FA80734"/>
    <w:rsid w:val="1FA94D17"/>
    <w:rsid w:val="1FBC4A4A"/>
    <w:rsid w:val="1FC11314"/>
    <w:rsid w:val="1FD06747"/>
    <w:rsid w:val="1FDE70B6"/>
    <w:rsid w:val="20241274"/>
    <w:rsid w:val="202A5D88"/>
    <w:rsid w:val="204213F3"/>
    <w:rsid w:val="204333BD"/>
    <w:rsid w:val="206A6B9C"/>
    <w:rsid w:val="207B66B3"/>
    <w:rsid w:val="20997A61"/>
    <w:rsid w:val="209D1A91"/>
    <w:rsid w:val="20A7394C"/>
    <w:rsid w:val="20AF7A93"/>
    <w:rsid w:val="20B00A53"/>
    <w:rsid w:val="20C55B80"/>
    <w:rsid w:val="20D858B3"/>
    <w:rsid w:val="20FC39AB"/>
    <w:rsid w:val="21090163"/>
    <w:rsid w:val="212E64D6"/>
    <w:rsid w:val="214E5B76"/>
    <w:rsid w:val="215B20D3"/>
    <w:rsid w:val="21635AC5"/>
    <w:rsid w:val="216607B4"/>
    <w:rsid w:val="21713B98"/>
    <w:rsid w:val="2190618E"/>
    <w:rsid w:val="219E4D4F"/>
    <w:rsid w:val="21A165ED"/>
    <w:rsid w:val="21B469A6"/>
    <w:rsid w:val="21DA565B"/>
    <w:rsid w:val="21EF7243"/>
    <w:rsid w:val="220776C8"/>
    <w:rsid w:val="221072CF"/>
    <w:rsid w:val="22123047"/>
    <w:rsid w:val="221548E5"/>
    <w:rsid w:val="22165D7E"/>
    <w:rsid w:val="221B313D"/>
    <w:rsid w:val="22284619"/>
    <w:rsid w:val="222A0391"/>
    <w:rsid w:val="22347461"/>
    <w:rsid w:val="223C2AAA"/>
    <w:rsid w:val="227C6712"/>
    <w:rsid w:val="22833F45"/>
    <w:rsid w:val="22BD7457"/>
    <w:rsid w:val="22C95DFC"/>
    <w:rsid w:val="22D16A5E"/>
    <w:rsid w:val="22E542B8"/>
    <w:rsid w:val="22EF3388"/>
    <w:rsid w:val="230E1A60"/>
    <w:rsid w:val="231B417D"/>
    <w:rsid w:val="232037ED"/>
    <w:rsid w:val="232748D0"/>
    <w:rsid w:val="2329689A"/>
    <w:rsid w:val="232F735E"/>
    <w:rsid w:val="2335523F"/>
    <w:rsid w:val="233C2E08"/>
    <w:rsid w:val="233D40F4"/>
    <w:rsid w:val="2346744C"/>
    <w:rsid w:val="234C2589"/>
    <w:rsid w:val="236E69A3"/>
    <w:rsid w:val="238E3603"/>
    <w:rsid w:val="23B1490B"/>
    <w:rsid w:val="23BD6FE3"/>
    <w:rsid w:val="23C87E61"/>
    <w:rsid w:val="23CB7951"/>
    <w:rsid w:val="23CD36CA"/>
    <w:rsid w:val="23DD1433"/>
    <w:rsid w:val="23EA427B"/>
    <w:rsid w:val="23F90F5F"/>
    <w:rsid w:val="23F944BF"/>
    <w:rsid w:val="240115C5"/>
    <w:rsid w:val="240654F2"/>
    <w:rsid w:val="24092228"/>
    <w:rsid w:val="241A1A02"/>
    <w:rsid w:val="24343749"/>
    <w:rsid w:val="2439280F"/>
    <w:rsid w:val="244C21B4"/>
    <w:rsid w:val="244F0582"/>
    <w:rsid w:val="24507E57"/>
    <w:rsid w:val="245711E5"/>
    <w:rsid w:val="24575689"/>
    <w:rsid w:val="245D1A7D"/>
    <w:rsid w:val="246F652F"/>
    <w:rsid w:val="249441E7"/>
    <w:rsid w:val="24AA7BA4"/>
    <w:rsid w:val="24B53FFA"/>
    <w:rsid w:val="24B6415E"/>
    <w:rsid w:val="24C820E3"/>
    <w:rsid w:val="24CC572F"/>
    <w:rsid w:val="24DD793C"/>
    <w:rsid w:val="24E46F1D"/>
    <w:rsid w:val="24E51FA8"/>
    <w:rsid w:val="24FB6014"/>
    <w:rsid w:val="24FD1D8D"/>
    <w:rsid w:val="2504136D"/>
    <w:rsid w:val="25140E84"/>
    <w:rsid w:val="2514559C"/>
    <w:rsid w:val="253F4153"/>
    <w:rsid w:val="25545725"/>
    <w:rsid w:val="255563C7"/>
    <w:rsid w:val="256638CA"/>
    <w:rsid w:val="25A55F80"/>
    <w:rsid w:val="25B26648"/>
    <w:rsid w:val="25BD5EE1"/>
    <w:rsid w:val="25D24FC7"/>
    <w:rsid w:val="25D9596A"/>
    <w:rsid w:val="25FF7D86"/>
    <w:rsid w:val="260B10C5"/>
    <w:rsid w:val="265A4FBD"/>
    <w:rsid w:val="26633E71"/>
    <w:rsid w:val="267620C0"/>
    <w:rsid w:val="26802C75"/>
    <w:rsid w:val="26BE379D"/>
    <w:rsid w:val="26BE5DDB"/>
    <w:rsid w:val="26CA0394"/>
    <w:rsid w:val="26E55F81"/>
    <w:rsid w:val="26EA6341"/>
    <w:rsid w:val="26F93622"/>
    <w:rsid w:val="270D69D9"/>
    <w:rsid w:val="27147861"/>
    <w:rsid w:val="27236BDA"/>
    <w:rsid w:val="272F01F7"/>
    <w:rsid w:val="274A3283"/>
    <w:rsid w:val="27734588"/>
    <w:rsid w:val="27811450"/>
    <w:rsid w:val="27822AAA"/>
    <w:rsid w:val="27832C9A"/>
    <w:rsid w:val="2791653E"/>
    <w:rsid w:val="279369D8"/>
    <w:rsid w:val="279544FE"/>
    <w:rsid w:val="279B588D"/>
    <w:rsid w:val="279B763B"/>
    <w:rsid w:val="27A73D17"/>
    <w:rsid w:val="27A939B4"/>
    <w:rsid w:val="27AE7F6E"/>
    <w:rsid w:val="27B506FD"/>
    <w:rsid w:val="27C272BD"/>
    <w:rsid w:val="27C33C0D"/>
    <w:rsid w:val="27CE17BE"/>
    <w:rsid w:val="27D83247"/>
    <w:rsid w:val="27E07D83"/>
    <w:rsid w:val="27E2170E"/>
    <w:rsid w:val="27F24958"/>
    <w:rsid w:val="28245882"/>
    <w:rsid w:val="28425352"/>
    <w:rsid w:val="28491F00"/>
    <w:rsid w:val="28506677"/>
    <w:rsid w:val="28765512"/>
    <w:rsid w:val="288972BE"/>
    <w:rsid w:val="28AA222B"/>
    <w:rsid w:val="28B9421C"/>
    <w:rsid w:val="28BC314F"/>
    <w:rsid w:val="28BE5CD7"/>
    <w:rsid w:val="28E54CE7"/>
    <w:rsid w:val="290B259E"/>
    <w:rsid w:val="29334DE5"/>
    <w:rsid w:val="293B10D5"/>
    <w:rsid w:val="295126A7"/>
    <w:rsid w:val="29512A97"/>
    <w:rsid w:val="29622B06"/>
    <w:rsid w:val="29693E94"/>
    <w:rsid w:val="298E38FB"/>
    <w:rsid w:val="29932CBF"/>
    <w:rsid w:val="2996455E"/>
    <w:rsid w:val="29BA46F0"/>
    <w:rsid w:val="29F8110E"/>
    <w:rsid w:val="2A036C07"/>
    <w:rsid w:val="2A1C0761"/>
    <w:rsid w:val="2A352B7D"/>
    <w:rsid w:val="2A46514E"/>
    <w:rsid w:val="2A6038BC"/>
    <w:rsid w:val="2A6B1546"/>
    <w:rsid w:val="2A6F54DA"/>
    <w:rsid w:val="2A772593"/>
    <w:rsid w:val="2A7E57E6"/>
    <w:rsid w:val="2ACA19CF"/>
    <w:rsid w:val="2ACF5F79"/>
    <w:rsid w:val="2AE7647F"/>
    <w:rsid w:val="2AEB3C68"/>
    <w:rsid w:val="2B2362C5"/>
    <w:rsid w:val="2B2B5563"/>
    <w:rsid w:val="2B4655BF"/>
    <w:rsid w:val="2B5E146E"/>
    <w:rsid w:val="2B6F150A"/>
    <w:rsid w:val="2B8A1EA0"/>
    <w:rsid w:val="2B964CE9"/>
    <w:rsid w:val="2BA70BF3"/>
    <w:rsid w:val="2BBF5FEE"/>
    <w:rsid w:val="2BC2163A"/>
    <w:rsid w:val="2BCC4267"/>
    <w:rsid w:val="2BCF3D57"/>
    <w:rsid w:val="2BE07D12"/>
    <w:rsid w:val="2BFD6B16"/>
    <w:rsid w:val="2BFF463C"/>
    <w:rsid w:val="2C1D0F66"/>
    <w:rsid w:val="2C280AEC"/>
    <w:rsid w:val="2C3A38C6"/>
    <w:rsid w:val="2C3C763E"/>
    <w:rsid w:val="2C414C55"/>
    <w:rsid w:val="2C5C1A8E"/>
    <w:rsid w:val="2C602C01"/>
    <w:rsid w:val="2C801CFA"/>
    <w:rsid w:val="2C862667"/>
    <w:rsid w:val="2C8D1C48"/>
    <w:rsid w:val="2C9E20A7"/>
    <w:rsid w:val="2C9F7BCD"/>
    <w:rsid w:val="2CA567FD"/>
    <w:rsid w:val="2CDF621C"/>
    <w:rsid w:val="2CE20511"/>
    <w:rsid w:val="2CE43832"/>
    <w:rsid w:val="2CF73565"/>
    <w:rsid w:val="2D031F0A"/>
    <w:rsid w:val="2D0A3299"/>
    <w:rsid w:val="2D177764"/>
    <w:rsid w:val="2D2500D2"/>
    <w:rsid w:val="2D2E622A"/>
    <w:rsid w:val="2D310B84"/>
    <w:rsid w:val="2D363724"/>
    <w:rsid w:val="2D8C1F00"/>
    <w:rsid w:val="2D932024"/>
    <w:rsid w:val="2DAB1FDC"/>
    <w:rsid w:val="2DAF2092"/>
    <w:rsid w:val="2DB11EFC"/>
    <w:rsid w:val="2DC53663"/>
    <w:rsid w:val="2DD95029"/>
    <w:rsid w:val="2DEE1027"/>
    <w:rsid w:val="2DFD104F"/>
    <w:rsid w:val="2DFF6B75"/>
    <w:rsid w:val="2E156399"/>
    <w:rsid w:val="2E222864"/>
    <w:rsid w:val="2E440819"/>
    <w:rsid w:val="2E47051C"/>
    <w:rsid w:val="2E6A7CB9"/>
    <w:rsid w:val="2E7A26A0"/>
    <w:rsid w:val="2E7C614F"/>
    <w:rsid w:val="2E905B07"/>
    <w:rsid w:val="2E9B510E"/>
    <w:rsid w:val="2E9D519C"/>
    <w:rsid w:val="2EA94D33"/>
    <w:rsid w:val="2EA97CD3"/>
    <w:rsid w:val="2EAC037F"/>
    <w:rsid w:val="2ECD1633"/>
    <w:rsid w:val="2EF53AD4"/>
    <w:rsid w:val="2EFD668A"/>
    <w:rsid w:val="2F021D5A"/>
    <w:rsid w:val="2F065CE2"/>
    <w:rsid w:val="2F087CAC"/>
    <w:rsid w:val="2F1C02C0"/>
    <w:rsid w:val="2F3C5BA7"/>
    <w:rsid w:val="2F5F53F2"/>
    <w:rsid w:val="2F6C0B79"/>
    <w:rsid w:val="2F7B66D0"/>
    <w:rsid w:val="2F7D2448"/>
    <w:rsid w:val="2F822CD6"/>
    <w:rsid w:val="2FA31782"/>
    <w:rsid w:val="2FC4234F"/>
    <w:rsid w:val="2FCC6F2B"/>
    <w:rsid w:val="2FDD4BBC"/>
    <w:rsid w:val="2FDE6C5E"/>
    <w:rsid w:val="2FE57FED"/>
    <w:rsid w:val="2FF7387C"/>
    <w:rsid w:val="3029612C"/>
    <w:rsid w:val="305111DE"/>
    <w:rsid w:val="30556F21"/>
    <w:rsid w:val="305A62E5"/>
    <w:rsid w:val="307777B8"/>
    <w:rsid w:val="307F65FB"/>
    <w:rsid w:val="30874C00"/>
    <w:rsid w:val="30962A4A"/>
    <w:rsid w:val="30A12166"/>
    <w:rsid w:val="30A752A2"/>
    <w:rsid w:val="30AA08EF"/>
    <w:rsid w:val="30EB518F"/>
    <w:rsid w:val="30F16026"/>
    <w:rsid w:val="30FE4D4E"/>
    <w:rsid w:val="3106021B"/>
    <w:rsid w:val="310821E5"/>
    <w:rsid w:val="31102E48"/>
    <w:rsid w:val="315C608D"/>
    <w:rsid w:val="318E5300"/>
    <w:rsid w:val="31A35A6A"/>
    <w:rsid w:val="31A87524"/>
    <w:rsid w:val="31B817D4"/>
    <w:rsid w:val="31C75BFC"/>
    <w:rsid w:val="31C83722"/>
    <w:rsid w:val="31CB6D6E"/>
    <w:rsid w:val="31D068C2"/>
    <w:rsid w:val="31E3055C"/>
    <w:rsid w:val="31F34B49"/>
    <w:rsid w:val="32004C6A"/>
    <w:rsid w:val="32036508"/>
    <w:rsid w:val="320A3D3B"/>
    <w:rsid w:val="321B1AA4"/>
    <w:rsid w:val="32335040"/>
    <w:rsid w:val="323B3EF4"/>
    <w:rsid w:val="326A4C5E"/>
    <w:rsid w:val="326F5AA9"/>
    <w:rsid w:val="32902492"/>
    <w:rsid w:val="3291620A"/>
    <w:rsid w:val="32983E2C"/>
    <w:rsid w:val="329B14FC"/>
    <w:rsid w:val="32D8794F"/>
    <w:rsid w:val="32ED0CEB"/>
    <w:rsid w:val="32F451C7"/>
    <w:rsid w:val="33000EB7"/>
    <w:rsid w:val="33134E71"/>
    <w:rsid w:val="331C5AD4"/>
    <w:rsid w:val="333252F7"/>
    <w:rsid w:val="3337290D"/>
    <w:rsid w:val="33380434"/>
    <w:rsid w:val="334B673C"/>
    <w:rsid w:val="33552D94"/>
    <w:rsid w:val="33791178"/>
    <w:rsid w:val="3381627F"/>
    <w:rsid w:val="33843E73"/>
    <w:rsid w:val="33871AF2"/>
    <w:rsid w:val="33883169"/>
    <w:rsid w:val="338F2864"/>
    <w:rsid w:val="33AD66E4"/>
    <w:rsid w:val="33B53967"/>
    <w:rsid w:val="33C06DA7"/>
    <w:rsid w:val="33C63C91"/>
    <w:rsid w:val="33C817B8"/>
    <w:rsid w:val="33CF2B46"/>
    <w:rsid w:val="33E701B5"/>
    <w:rsid w:val="33F151B2"/>
    <w:rsid w:val="33F84261"/>
    <w:rsid w:val="34054559"/>
    <w:rsid w:val="341920A8"/>
    <w:rsid w:val="34671DED"/>
    <w:rsid w:val="34833930"/>
    <w:rsid w:val="34C71A6F"/>
    <w:rsid w:val="34CB5A03"/>
    <w:rsid w:val="34DD5100"/>
    <w:rsid w:val="34F0546A"/>
    <w:rsid w:val="34FC3E0F"/>
    <w:rsid w:val="35002AB5"/>
    <w:rsid w:val="35223393"/>
    <w:rsid w:val="352B64A2"/>
    <w:rsid w:val="353510CF"/>
    <w:rsid w:val="356C6D59"/>
    <w:rsid w:val="356D6ABA"/>
    <w:rsid w:val="35753BC1"/>
    <w:rsid w:val="357A08B9"/>
    <w:rsid w:val="357F67EE"/>
    <w:rsid w:val="35867B7C"/>
    <w:rsid w:val="35A743F9"/>
    <w:rsid w:val="35C0308E"/>
    <w:rsid w:val="35E548A3"/>
    <w:rsid w:val="35F14F09"/>
    <w:rsid w:val="35F9034E"/>
    <w:rsid w:val="35FC6BDB"/>
    <w:rsid w:val="360311CD"/>
    <w:rsid w:val="360E4CF1"/>
    <w:rsid w:val="362566B0"/>
    <w:rsid w:val="36343134"/>
    <w:rsid w:val="364315C9"/>
    <w:rsid w:val="364610BA"/>
    <w:rsid w:val="36633A19"/>
    <w:rsid w:val="36851BE2"/>
    <w:rsid w:val="36AA1648"/>
    <w:rsid w:val="36B97ADD"/>
    <w:rsid w:val="36BC40FA"/>
    <w:rsid w:val="36BE078F"/>
    <w:rsid w:val="36C2401B"/>
    <w:rsid w:val="36E44B5A"/>
    <w:rsid w:val="36E52680"/>
    <w:rsid w:val="36F11025"/>
    <w:rsid w:val="36F62EEF"/>
    <w:rsid w:val="36F823B4"/>
    <w:rsid w:val="36F83C5D"/>
    <w:rsid w:val="371C0798"/>
    <w:rsid w:val="37227431"/>
    <w:rsid w:val="37264416"/>
    <w:rsid w:val="372C4753"/>
    <w:rsid w:val="3734726D"/>
    <w:rsid w:val="37441A9D"/>
    <w:rsid w:val="377F792C"/>
    <w:rsid w:val="37835BAE"/>
    <w:rsid w:val="378400EB"/>
    <w:rsid w:val="37AB1B1C"/>
    <w:rsid w:val="37B81B43"/>
    <w:rsid w:val="37BE35FD"/>
    <w:rsid w:val="37C14E9C"/>
    <w:rsid w:val="37C16C4A"/>
    <w:rsid w:val="37C60704"/>
    <w:rsid w:val="37CF18B8"/>
    <w:rsid w:val="37E1109A"/>
    <w:rsid w:val="37E910F4"/>
    <w:rsid w:val="37F66D4A"/>
    <w:rsid w:val="37F729DD"/>
    <w:rsid w:val="381A5F77"/>
    <w:rsid w:val="38206922"/>
    <w:rsid w:val="382A2A41"/>
    <w:rsid w:val="383912E3"/>
    <w:rsid w:val="38454FAE"/>
    <w:rsid w:val="384D2E3D"/>
    <w:rsid w:val="38595F1F"/>
    <w:rsid w:val="38637D01"/>
    <w:rsid w:val="387A7A0C"/>
    <w:rsid w:val="38883738"/>
    <w:rsid w:val="388D1222"/>
    <w:rsid w:val="38910D12"/>
    <w:rsid w:val="38AA1DD4"/>
    <w:rsid w:val="38B63120"/>
    <w:rsid w:val="38BA002F"/>
    <w:rsid w:val="38C5252E"/>
    <w:rsid w:val="38CC1D4A"/>
    <w:rsid w:val="38E726E0"/>
    <w:rsid w:val="39040A49"/>
    <w:rsid w:val="39174C3B"/>
    <w:rsid w:val="394A2C6F"/>
    <w:rsid w:val="395D0BF4"/>
    <w:rsid w:val="397303B7"/>
    <w:rsid w:val="39754190"/>
    <w:rsid w:val="39BE5B37"/>
    <w:rsid w:val="39C8590D"/>
    <w:rsid w:val="39D4535A"/>
    <w:rsid w:val="39D52E80"/>
    <w:rsid w:val="39E3559D"/>
    <w:rsid w:val="39E92488"/>
    <w:rsid w:val="39EB6200"/>
    <w:rsid w:val="39EE276A"/>
    <w:rsid w:val="3A0D6176"/>
    <w:rsid w:val="3A4B4EF0"/>
    <w:rsid w:val="3A5C4EBB"/>
    <w:rsid w:val="3A72247D"/>
    <w:rsid w:val="3A83468A"/>
    <w:rsid w:val="3A96230C"/>
    <w:rsid w:val="3AAA1C17"/>
    <w:rsid w:val="3AAD5BAB"/>
    <w:rsid w:val="3AB935FB"/>
    <w:rsid w:val="3AD14243"/>
    <w:rsid w:val="3AF47336"/>
    <w:rsid w:val="3AFE0888"/>
    <w:rsid w:val="3B293484"/>
    <w:rsid w:val="3B347586"/>
    <w:rsid w:val="3B410EC5"/>
    <w:rsid w:val="3B5E78E5"/>
    <w:rsid w:val="3B783AC3"/>
    <w:rsid w:val="3B911029"/>
    <w:rsid w:val="3B9F72A2"/>
    <w:rsid w:val="3BC92571"/>
    <w:rsid w:val="3BCB5312"/>
    <w:rsid w:val="3BCE7B87"/>
    <w:rsid w:val="3BD333EF"/>
    <w:rsid w:val="3BD96051"/>
    <w:rsid w:val="3BDA29D0"/>
    <w:rsid w:val="3C2450DF"/>
    <w:rsid w:val="3C2B6D87"/>
    <w:rsid w:val="3C2D0D52"/>
    <w:rsid w:val="3C432323"/>
    <w:rsid w:val="3C4F6F1A"/>
    <w:rsid w:val="3C5A141B"/>
    <w:rsid w:val="3C666012"/>
    <w:rsid w:val="3C9830CB"/>
    <w:rsid w:val="3CC52D38"/>
    <w:rsid w:val="3CCB2319"/>
    <w:rsid w:val="3CCD7E3F"/>
    <w:rsid w:val="3CE5162C"/>
    <w:rsid w:val="3CED31D9"/>
    <w:rsid w:val="3CF92515"/>
    <w:rsid w:val="3D0D46DF"/>
    <w:rsid w:val="3D141F11"/>
    <w:rsid w:val="3D2F28A7"/>
    <w:rsid w:val="3D6764E5"/>
    <w:rsid w:val="3D7B789B"/>
    <w:rsid w:val="3D8726E3"/>
    <w:rsid w:val="3D874491"/>
    <w:rsid w:val="3D8C1364"/>
    <w:rsid w:val="3DBB238D"/>
    <w:rsid w:val="3DC41242"/>
    <w:rsid w:val="3DC9292C"/>
    <w:rsid w:val="3DCB0822"/>
    <w:rsid w:val="3DE22A38"/>
    <w:rsid w:val="3DFA1107"/>
    <w:rsid w:val="3E1A3557"/>
    <w:rsid w:val="3E353EED"/>
    <w:rsid w:val="3E3F4D6C"/>
    <w:rsid w:val="3E5F540E"/>
    <w:rsid w:val="3E775D28"/>
    <w:rsid w:val="3E7914AC"/>
    <w:rsid w:val="3E8F2F30"/>
    <w:rsid w:val="3E9F4108"/>
    <w:rsid w:val="3E9F7370"/>
    <w:rsid w:val="3EA64DEB"/>
    <w:rsid w:val="3EB412B6"/>
    <w:rsid w:val="3EC60FE9"/>
    <w:rsid w:val="3EE17BD1"/>
    <w:rsid w:val="3F3C52C8"/>
    <w:rsid w:val="3F9B1B14"/>
    <w:rsid w:val="3FB86B84"/>
    <w:rsid w:val="3FBD063E"/>
    <w:rsid w:val="3FDA2F9E"/>
    <w:rsid w:val="3FE61335"/>
    <w:rsid w:val="3FEB51AC"/>
    <w:rsid w:val="3FEB6F5A"/>
    <w:rsid w:val="40442B0E"/>
    <w:rsid w:val="404A1B22"/>
    <w:rsid w:val="405569FA"/>
    <w:rsid w:val="406E1939"/>
    <w:rsid w:val="406E5B95"/>
    <w:rsid w:val="407C5E04"/>
    <w:rsid w:val="408F7977"/>
    <w:rsid w:val="40A86BF9"/>
    <w:rsid w:val="40AC3C03"/>
    <w:rsid w:val="40B437EF"/>
    <w:rsid w:val="40C1415E"/>
    <w:rsid w:val="40DC6E16"/>
    <w:rsid w:val="4105404B"/>
    <w:rsid w:val="412D70FE"/>
    <w:rsid w:val="415E375B"/>
    <w:rsid w:val="4194717D"/>
    <w:rsid w:val="41A2189A"/>
    <w:rsid w:val="41B53134"/>
    <w:rsid w:val="41C2018E"/>
    <w:rsid w:val="41D659E7"/>
    <w:rsid w:val="41E2438C"/>
    <w:rsid w:val="41E579D9"/>
    <w:rsid w:val="41EC0D67"/>
    <w:rsid w:val="41F83BB0"/>
    <w:rsid w:val="42164036"/>
    <w:rsid w:val="421E65F1"/>
    <w:rsid w:val="42220C2D"/>
    <w:rsid w:val="42230CA2"/>
    <w:rsid w:val="423D5A66"/>
    <w:rsid w:val="4269333A"/>
    <w:rsid w:val="426E3D42"/>
    <w:rsid w:val="427F607F"/>
    <w:rsid w:val="42873E9F"/>
    <w:rsid w:val="428A27C1"/>
    <w:rsid w:val="428B72E7"/>
    <w:rsid w:val="42A171E2"/>
    <w:rsid w:val="42B23D5F"/>
    <w:rsid w:val="42C121F4"/>
    <w:rsid w:val="42C56F23"/>
    <w:rsid w:val="42CD0B98"/>
    <w:rsid w:val="42FE6FA4"/>
    <w:rsid w:val="430D71E7"/>
    <w:rsid w:val="43157CE8"/>
    <w:rsid w:val="431E13F4"/>
    <w:rsid w:val="434111C9"/>
    <w:rsid w:val="43546612"/>
    <w:rsid w:val="436B215F"/>
    <w:rsid w:val="438B4EC2"/>
    <w:rsid w:val="43970179"/>
    <w:rsid w:val="43A713E9"/>
    <w:rsid w:val="43CD6976"/>
    <w:rsid w:val="43E048FB"/>
    <w:rsid w:val="43E77A38"/>
    <w:rsid w:val="43E81820"/>
    <w:rsid w:val="43F01C1F"/>
    <w:rsid w:val="440C56F0"/>
    <w:rsid w:val="44222D52"/>
    <w:rsid w:val="44232B78"/>
    <w:rsid w:val="444C68D7"/>
    <w:rsid w:val="445A46AE"/>
    <w:rsid w:val="445C4285"/>
    <w:rsid w:val="44727C49"/>
    <w:rsid w:val="44780FD8"/>
    <w:rsid w:val="447B4624"/>
    <w:rsid w:val="44AE0556"/>
    <w:rsid w:val="44BE0284"/>
    <w:rsid w:val="44EE129A"/>
    <w:rsid w:val="4508235C"/>
    <w:rsid w:val="45135F9D"/>
    <w:rsid w:val="45356EC9"/>
    <w:rsid w:val="453C2005"/>
    <w:rsid w:val="453F5652"/>
    <w:rsid w:val="454D49ED"/>
    <w:rsid w:val="4573369B"/>
    <w:rsid w:val="45806396"/>
    <w:rsid w:val="458539AC"/>
    <w:rsid w:val="458A0FC3"/>
    <w:rsid w:val="459B6D2C"/>
    <w:rsid w:val="45BA0F81"/>
    <w:rsid w:val="45CF4C28"/>
    <w:rsid w:val="45DD57D2"/>
    <w:rsid w:val="45EA380F"/>
    <w:rsid w:val="46072613"/>
    <w:rsid w:val="46113C59"/>
    <w:rsid w:val="46132D66"/>
    <w:rsid w:val="46205483"/>
    <w:rsid w:val="462F4E55"/>
    <w:rsid w:val="46392332"/>
    <w:rsid w:val="46401681"/>
    <w:rsid w:val="4642189D"/>
    <w:rsid w:val="464F5C99"/>
    <w:rsid w:val="464F5D68"/>
    <w:rsid w:val="469D0882"/>
    <w:rsid w:val="469F5ABF"/>
    <w:rsid w:val="46A6744D"/>
    <w:rsid w:val="46AC6D17"/>
    <w:rsid w:val="46DB13AA"/>
    <w:rsid w:val="46DC75FC"/>
    <w:rsid w:val="46F62029"/>
    <w:rsid w:val="46F8262E"/>
    <w:rsid w:val="47046B53"/>
    <w:rsid w:val="470703F1"/>
    <w:rsid w:val="472745EF"/>
    <w:rsid w:val="47347438"/>
    <w:rsid w:val="473E1FAB"/>
    <w:rsid w:val="473E4344"/>
    <w:rsid w:val="4755115C"/>
    <w:rsid w:val="47572F80"/>
    <w:rsid w:val="47685334"/>
    <w:rsid w:val="476F66C2"/>
    <w:rsid w:val="4770243A"/>
    <w:rsid w:val="47737835"/>
    <w:rsid w:val="478F0B12"/>
    <w:rsid w:val="47947ED7"/>
    <w:rsid w:val="47AA73A0"/>
    <w:rsid w:val="47B72E66"/>
    <w:rsid w:val="47E9292E"/>
    <w:rsid w:val="47EB386F"/>
    <w:rsid w:val="47F866B8"/>
    <w:rsid w:val="480E23EA"/>
    <w:rsid w:val="48117779"/>
    <w:rsid w:val="481D6E8B"/>
    <w:rsid w:val="48512971"/>
    <w:rsid w:val="48643D4D"/>
    <w:rsid w:val="48645AFB"/>
    <w:rsid w:val="48A26623"/>
    <w:rsid w:val="48AC1250"/>
    <w:rsid w:val="48AE4FC8"/>
    <w:rsid w:val="48AF414A"/>
    <w:rsid w:val="48B55646"/>
    <w:rsid w:val="48B679DE"/>
    <w:rsid w:val="48DA706E"/>
    <w:rsid w:val="48DA7B6B"/>
    <w:rsid w:val="48E42798"/>
    <w:rsid w:val="48E52782"/>
    <w:rsid w:val="49003E49"/>
    <w:rsid w:val="490177EE"/>
    <w:rsid w:val="490D4436"/>
    <w:rsid w:val="4916079B"/>
    <w:rsid w:val="491C5853"/>
    <w:rsid w:val="493059DD"/>
    <w:rsid w:val="49331971"/>
    <w:rsid w:val="493F3E72"/>
    <w:rsid w:val="494D6999"/>
    <w:rsid w:val="494E7BD9"/>
    <w:rsid w:val="49663AF5"/>
    <w:rsid w:val="497F0713"/>
    <w:rsid w:val="498624CA"/>
    <w:rsid w:val="498B70B7"/>
    <w:rsid w:val="49916059"/>
    <w:rsid w:val="49956188"/>
    <w:rsid w:val="499A47D7"/>
    <w:rsid w:val="49A92B03"/>
    <w:rsid w:val="49C5081B"/>
    <w:rsid w:val="49E07403"/>
    <w:rsid w:val="49EC224C"/>
    <w:rsid w:val="49F2158D"/>
    <w:rsid w:val="49F42C76"/>
    <w:rsid w:val="4A0B01F8"/>
    <w:rsid w:val="4A0C1B26"/>
    <w:rsid w:val="4A225C6E"/>
    <w:rsid w:val="4A370FED"/>
    <w:rsid w:val="4A6D4A0F"/>
    <w:rsid w:val="4A6E20E7"/>
    <w:rsid w:val="4A7144FF"/>
    <w:rsid w:val="4A7667C3"/>
    <w:rsid w:val="4A783AE0"/>
    <w:rsid w:val="4A7E6C1C"/>
    <w:rsid w:val="4A9A1CA8"/>
    <w:rsid w:val="4AA20B5D"/>
    <w:rsid w:val="4ACE54AE"/>
    <w:rsid w:val="4AD375EE"/>
    <w:rsid w:val="4AE922E8"/>
    <w:rsid w:val="4AE93880"/>
    <w:rsid w:val="4AEE78FE"/>
    <w:rsid w:val="4AFF7D5D"/>
    <w:rsid w:val="4B01083C"/>
    <w:rsid w:val="4B0500A9"/>
    <w:rsid w:val="4B054C48"/>
    <w:rsid w:val="4B0D30A6"/>
    <w:rsid w:val="4B15079E"/>
    <w:rsid w:val="4B2C0426"/>
    <w:rsid w:val="4B502367"/>
    <w:rsid w:val="4B5A242C"/>
    <w:rsid w:val="4B645239"/>
    <w:rsid w:val="4B9009B5"/>
    <w:rsid w:val="4B983D0E"/>
    <w:rsid w:val="4BA53E30"/>
    <w:rsid w:val="4BBC5C4E"/>
    <w:rsid w:val="4BDB2578"/>
    <w:rsid w:val="4C043151"/>
    <w:rsid w:val="4C11525E"/>
    <w:rsid w:val="4C115F9A"/>
    <w:rsid w:val="4C17018B"/>
    <w:rsid w:val="4C681932"/>
    <w:rsid w:val="4C83051A"/>
    <w:rsid w:val="4C951164"/>
    <w:rsid w:val="4CA3296A"/>
    <w:rsid w:val="4CB15087"/>
    <w:rsid w:val="4CB868BA"/>
    <w:rsid w:val="4CC748AA"/>
    <w:rsid w:val="4CCA439B"/>
    <w:rsid w:val="4CD3391C"/>
    <w:rsid w:val="4CD34FFD"/>
    <w:rsid w:val="4CEA2347"/>
    <w:rsid w:val="4CF907DC"/>
    <w:rsid w:val="4CFE5DF2"/>
    <w:rsid w:val="4D071923"/>
    <w:rsid w:val="4D146290"/>
    <w:rsid w:val="4D191E1B"/>
    <w:rsid w:val="4D1F46E6"/>
    <w:rsid w:val="4D2E492A"/>
    <w:rsid w:val="4D2F41FE"/>
    <w:rsid w:val="4D5A127B"/>
    <w:rsid w:val="4D62444B"/>
    <w:rsid w:val="4D693BB4"/>
    <w:rsid w:val="4D92310A"/>
    <w:rsid w:val="4D9D298F"/>
    <w:rsid w:val="4DA62712"/>
    <w:rsid w:val="4DBA6065"/>
    <w:rsid w:val="4DC31DBC"/>
    <w:rsid w:val="4DF06083"/>
    <w:rsid w:val="4E115EE4"/>
    <w:rsid w:val="4E181FB5"/>
    <w:rsid w:val="4E2565FC"/>
    <w:rsid w:val="4E296E9F"/>
    <w:rsid w:val="4E41068C"/>
    <w:rsid w:val="4E437F61"/>
    <w:rsid w:val="4E4C150B"/>
    <w:rsid w:val="4E597784"/>
    <w:rsid w:val="4E5C7274"/>
    <w:rsid w:val="4E690EF6"/>
    <w:rsid w:val="4E6D1482"/>
    <w:rsid w:val="4E816CDB"/>
    <w:rsid w:val="4E9B7D9D"/>
    <w:rsid w:val="4EA02117"/>
    <w:rsid w:val="4EA330F5"/>
    <w:rsid w:val="4EC42815"/>
    <w:rsid w:val="4EE80B08"/>
    <w:rsid w:val="4F147B4F"/>
    <w:rsid w:val="4F1D25FB"/>
    <w:rsid w:val="4F283CB4"/>
    <w:rsid w:val="4F336227"/>
    <w:rsid w:val="4F477F24"/>
    <w:rsid w:val="4F4A31DB"/>
    <w:rsid w:val="4F5166AD"/>
    <w:rsid w:val="4F626B0C"/>
    <w:rsid w:val="4F631E11"/>
    <w:rsid w:val="4F6A776F"/>
    <w:rsid w:val="4F7D3629"/>
    <w:rsid w:val="4F976C0B"/>
    <w:rsid w:val="4FB21842"/>
    <w:rsid w:val="4FC155E1"/>
    <w:rsid w:val="4FCC3F86"/>
    <w:rsid w:val="4FD30D07"/>
    <w:rsid w:val="4FDC241B"/>
    <w:rsid w:val="4FE237A9"/>
    <w:rsid w:val="4FE87012"/>
    <w:rsid w:val="4FF34542"/>
    <w:rsid w:val="4FFC4B99"/>
    <w:rsid w:val="50025BF9"/>
    <w:rsid w:val="50081462"/>
    <w:rsid w:val="500951DA"/>
    <w:rsid w:val="50324731"/>
    <w:rsid w:val="50377F99"/>
    <w:rsid w:val="504D766E"/>
    <w:rsid w:val="505A193F"/>
    <w:rsid w:val="507C3BFE"/>
    <w:rsid w:val="507C775A"/>
    <w:rsid w:val="50B14B1A"/>
    <w:rsid w:val="50B82E88"/>
    <w:rsid w:val="50CA2BBB"/>
    <w:rsid w:val="50CF74B1"/>
    <w:rsid w:val="50D41344"/>
    <w:rsid w:val="50DB26D2"/>
    <w:rsid w:val="50EE68AA"/>
    <w:rsid w:val="5126404E"/>
    <w:rsid w:val="513634E4"/>
    <w:rsid w:val="51453FF0"/>
    <w:rsid w:val="514B58D5"/>
    <w:rsid w:val="514E4267"/>
    <w:rsid w:val="516052CE"/>
    <w:rsid w:val="516A1CA8"/>
    <w:rsid w:val="51B318A1"/>
    <w:rsid w:val="51B66C9C"/>
    <w:rsid w:val="51D535C6"/>
    <w:rsid w:val="51E47CAD"/>
    <w:rsid w:val="52057C01"/>
    <w:rsid w:val="52232583"/>
    <w:rsid w:val="523A167B"/>
    <w:rsid w:val="523E678E"/>
    <w:rsid w:val="52466271"/>
    <w:rsid w:val="52552ABF"/>
    <w:rsid w:val="52557EDD"/>
    <w:rsid w:val="52606B2C"/>
    <w:rsid w:val="526861E8"/>
    <w:rsid w:val="52734B8D"/>
    <w:rsid w:val="52887F1B"/>
    <w:rsid w:val="52903990"/>
    <w:rsid w:val="52A66D10"/>
    <w:rsid w:val="52AD561D"/>
    <w:rsid w:val="52CA5A1A"/>
    <w:rsid w:val="52F061DD"/>
    <w:rsid w:val="52F201A7"/>
    <w:rsid w:val="530839FD"/>
    <w:rsid w:val="530E1ED1"/>
    <w:rsid w:val="53114AD1"/>
    <w:rsid w:val="533228AE"/>
    <w:rsid w:val="533802B0"/>
    <w:rsid w:val="533E6D4E"/>
    <w:rsid w:val="53513120"/>
    <w:rsid w:val="536746F1"/>
    <w:rsid w:val="536F17F8"/>
    <w:rsid w:val="53786570"/>
    <w:rsid w:val="538057B3"/>
    <w:rsid w:val="53890BA7"/>
    <w:rsid w:val="538E05FD"/>
    <w:rsid w:val="539737A1"/>
    <w:rsid w:val="53D33B35"/>
    <w:rsid w:val="5402266C"/>
    <w:rsid w:val="54065CB8"/>
    <w:rsid w:val="54324CFF"/>
    <w:rsid w:val="544D1B39"/>
    <w:rsid w:val="54596730"/>
    <w:rsid w:val="547131D6"/>
    <w:rsid w:val="54B5148C"/>
    <w:rsid w:val="54E06F28"/>
    <w:rsid w:val="55005921"/>
    <w:rsid w:val="550640A6"/>
    <w:rsid w:val="5511700B"/>
    <w:rsid w:val="55195EBF"/>
    <w:rsid w:val="55346855"/>
    <w:rsid w:val="553B4B8E"/>
    <w:rsid w:val="554F7B33"/>
    <w:rsid w:val="55524F2D"/>
    <w:rsid w:val="55574189"/>
    <w:rsid w:val="5563713A"/>
    <w:rsid w:val="55653033"/>
    <w:rsid w:val="556D1D67"/>
    <w:rsid w:val="556E7149"/>
    <w:rsid w:val="55766E6E"/>
    <w:rsid w:val="55774994"/>
    <w:rsid w:val="55807CEC"/>
    <w:rsid w:val="558477DD"/>
    <w:rsid w:val="558F1CDD"/>
    <w:rsid w:val="55A57753"/>
    <w:rsid w:val="55B46124"/>
    <w:rsid w:val="55DB7B79"/>
    <w:rsid w:val="55E55DA1"/>
    <w:rsid w:val="55E64236"/>
    <w:rsid w:val="55F61D5C"/>
    <w:rsid w:val="56037855"/>
    <w:rsid w:val="56066443"/>
    <w:rsid w:val="56116B96"/>
    <w:rsid w:val="56150435"/>
    <w:rsid w:val="563C1777"/>
    <w:rsid w:val="56404E40"/>
    <w:rsid w:val="5664316A"/>
    <w:rsid w:val="56660651"/>
    <w:rsid w:val="5681752B"/>
    <w:rsid w:val="569357FD"/>
    <w:rsid w:val="56951575"/>
    <w:rsid w:val="569577C7"/>
    <w:rsid w:val="56A13976"/>
    <w:rsid w:val="56A35797"/>
    <w:rsid w:val="56B063AF"/>
    <w:rsid w:val="56E542AB"/>
    <w:rsid w:val="56F00EA2"/>
    <w:rsid w:val="56F80006"/>
    <w:rsid w:val="572B7525"/>
    <w:rsid w:val="574906AC"/>
    <w:rsid w:val="574918FC"/>
    <w:rsid w:val="57747BFE"/>
    <w:rsid w:val="577C0591"/>
    <w:rsid w:val="57811AFA"/>
    <w:rsid w:val="57844E6C"/>
    <w:rsid w:val="579B2BBB"/>
    <w:rsid w:val="57A71560"/>
    <w:rsid w:val="57B0789E"/>
    <w:rsid w:val="57CB0A1F"/>
    <w:rsid w:val="57CC0FC7"/>
    <w:rsid w:val="57D367F9"/>
    <w:rsid w:val="57EE3633"/>
    <w:rsid w:val="580544D9"/>
    <w:rsid w:val="581110D0"/>
    <w:rsid w:val="581605DF"/>
    <w:rsid w:val="581B5AAA"/>
    <w:rsid w:val="582232DD"/>
    <w:rsid w:val="583F3E8F"/>
    <w:rsid w:val="584121CC"/>
    <w:rsid w:val="58573625"/>
    <w:rsid w:val="585D2567"/>
    <w:rsid w:val="586B07E0"/>
    <w:rsid w:val="5878114F"/>
    <w:rsid w:val="58810003"/>
    <w:rsid w:val="58825B29"/>
    <w:rsid w:val="58896F65"/>
    <w:rsid w:val="58AB5080"/>
    <w:rsid w:val="58C85C32"/>
    <w:rsid w:val="58CD4FF7"/>
    <w:rsid w:val="58D41A42"/>
    <w:rsid w:val="58E6337C"/>
    <w:rsid w:val="58EF7663"/>
    <w:rsid w:val="591744C4"/>
    <w:rsid w:val="59236118"/>
    <w:rsid w:val="59266DFD"/>
    <w:rsid w:val="592E180D"/>
    <w:rsid w:val="5947124D"/>
    <w:rsid w:val="59684D1F"/>
    <w:rsid w:val="59861649"/>
    <w:rsid w:val="599D70BF"/>
    <w:rsid w:val="59A93F65"/>
    <w:rsid w:val="59D429AE"/>
    <w:rsid w:val="59E00D5A"/>
    <w:rsid w:val="59F111B9"/>
    <w:rsid w:val="5A1F5D26"/>
    <w:rsid w:val="5A3612C1"/>
    <w:rsid w:val="5A47527D"/>
    <w:rsid w:val="5A511C57"/>
    <w:rsid w:val="5A696FA1"/>
    <w:rsid w:val="5A785436"/>
    <w:rsid w:val="5A7D0C9E"/>
    <w:rsid w:val="5A865DA5"/>
    <w:rsid w:val="5AAE0E58"/>
    <w:rsid w:val="5AE8436A"/>
    <w:rsid w:val="5AEE394A"/>
    <w:rsid w:val="5B044F1C"/>
    <w:rsid w:val="5B1F3B03"/>
    <w:rsid w:val="5B286E5C"/>
    <w:rsid w:val="5B372BFB"/>
    <w:rsid w:val="5B5206AC"/>
    <w:rsid w:val="5B557525"/>
    <w:rsid w:val="5B607711"/>
    <w:rsid w:val="5B6339F0"/>
    <w:rsid w:val="5BAC183B"/>
    <w:rsid w:val="5BB30994"/>
    <w:rsid w:val="5BC02142"/>
    <w:rsid w:val="5BE663CF"/>
    <w:rsid w:val="5BE865EB"/>
    <w:rsid w:val="5BEC7E8A"/>
    <w:rsid w:val="5C1B42CB"/>
    <w:rsid w:val="5C2313D1"/>
    <w:rsid w:val="5C2515ED"/>
    <w:rsid w:val="5C323771"/>
    <w:rsid w:val="5C3442AA"/>
    <w:rsid w:val="5C384E7D"/>
    <w:rsid w:val="5C476215"/>
    <w:rsid w:val="5C533A65"/>
    <w:rsid w:val="5CB564CD"/>
    <w:rsid w:val="5CB70498"/>
    <w:rsid w:val="5CEB1EEF"/>
    <w:rsid w:val="5CF428EE"/>
    <w:rsid w:val="5D0905C7"/>
    <w:rsid w:val="5D0E6F58"/>
    <w:rsid w:val="5D276C9F"/>
    <w:rsid w:val="5D2D342E"/>
    <w:rsid w:val="5D375134"/>
    <w:rsid w:val="5D3E4715"/>
    <w:rsid w:val="5D417D61"/>
    <w:rsid w:val="5D4558A6"/>
    <w:rsid w:val="5D46181B"/>
    <w:rsid w:val="5D4B38B7"/>
    <w:rsid w:val="5D4E247E"/>
    <w:rsid w:val="5D4F6021"/>
    <w:rsid w:val="5D5300E6"/>
    <w:rsid w:val="5D683540"/>
    <w:rsid w:val="5D810AA5"/>
    <w:rsid w:val="5D9205BD"/>
    <w:rsid w:val="5DB76275"/>
    <w:rsid w:val="5DBE13B2"/>
    <w:rsid w:val="5DC962F4"/>
    <w:rsid w:val="5DCD3CEB"/>
    <w:rsid w:val="5DE84681"/>
    <w:rsid w:val="5DED7EE9"/>
    <w:rsid w:val="5DF27EA8"/>
    <w:rsid w:val="5DFE5C52"/>
    <w:rsid w:val="5E036F4F"/>
    <w:rsid w:val="5E0B450A"/>
    <w:rsid w:val="5E0C65C1"/>
    <w:rsid w:val="5E0F3F6F"/>
    <w:rsid w:val="5E1A3ADD"/>
    <w:rsid w:val="5E227B93"/>
    <w:rsid w:val="5E27164D"/>
    <w:rsid w:val="5E3E6996"/>
    <w:rsid w:val="5E626C58"/>
    <w:rsid w:val="5E6A32E8"/>
    <w:rsid w:val="5E7128C8"/>
    <w:rsid w:val="5E745F14"/>
    <w:rsid w:val="5E86080C"/>
    <w:rsid w:val="5E99597B"/>
    <w:rsid w:val="5EA44A4C"/>
    <w:rsid w:val="5EBC59BB"/>
    <w:rsid w:val="5ECB4C9F"/>
    <w:rsid w:val="5ED54C05"/>
    <w:rsid w:val="5EDB41E5"/>
    <w:rsid w:val="5EDC0EC4"/>
    <w:rsid w:val="5EE27322"/>
    <w:rsid w:val="5EE40773"/>
    <w:rsid w:val="5EE736C1"/>
    <w:rsid w:val="5EE74938"/>
    <w:rsid w:val="5F2600AC"/>
    <w:rsid w:val="5F3A0F0C"/>
    <w:rsid w:val="5F443B39"/>
    <w:rsid w:val="5F465B03"/>
    <w:rsid w:val="5F5811B0"/>
    <w:rsid w:val="5FAE5456"/>
    <w:rsid w:val="5FB52C67"/>
    <w:rsid w:val="5FCD1D80"/>
    <w:rsid w:val="5FD924D3"/>
    <w:rsid w:val="5FDC1FC3"/>
    <w:rsid w:val="60067040"/>
    <w:rsid w:val="602045A6"/>
    <w:rsid w:val="6022031E"/>
    <w:rsid w:val="6025396A"/>
    <w:rsid w:val="60471B32"/>
    <w:rsid w:val="606326E4"/>
    <w:rsid w:val="607B7A2E"/>
    <w:rsid w:val="608B50AE"/>
    <w:rsid w:val="60922C43"/>
    <w:rsid w:val="60953009"/>
    <w:rsid w:val="609A4358"/>
    <w:rsid w:val="60A73FDC"/>
    <w:rsid w:val="60B2123A"/>
    <w:rsid w:val="60B60A66"/>
    <w:rsid w:val="60D0204F"/>
    <w:rsid w:val="60D6315A"/>
    <w:rsid w:val="60F33A68"/>
    <w:rsid w:val="60F5158E"/>
    <w:rsid w:val="6112750A"/>
    <w:rsid w:val="61181721"/>
    <w:rsid w:val="61195F38"/>
    <w:rsid w:val="612B04D6"/>
    <w:rsid w:val="612E2D9D"/>
    <w:rsid w:val="61330309"/>
    <w:rsid w:val="613C540F"/>
    <w:rsid w:val="61706E67"/>
    <w:rsid w:val="617216DD"/>
    <w:rsid w:val="617C580C"/>
    <w:rsid w:val="617D6423"/>
    <w:rsid w:val="61AB60F1"/>
    <w:rsid w:val="61CA400D"/>
    <w:rsid w:val="61D05B58"/>
    <w:rsid w:val="61D54F1C"/>
    <w:rsid w:val="61DF57DC"/>
    <w:rsid w:val="61E86918"/>
    <w:rsid w:val="62091E47"/>
    <w:rsid w:val="62173786"/>
    <w:rsid w:val="622955B3"/>
    <w:rsid w:val="62467BC8"/>
    <w:rsid w:val="625D4F42"/>
    <w:rsid w:val="625E3163"/>
    <w:rsid w:val="62612E76"/>
    <w:rsid w:val="62902F33"/>
    <w:rsid w:val="629B3C7A"/>
    <w:rsid w:val="629D1EDE"/>
    <w:rsid w:val="62B72874"/>
    <w:rsid w:val="62CB7DD2"/>
    <w:rsid w:val="62CC01C8"/>
    <w:rsid w:val="62D201FC"/>
    <w:rsid w:val="62D33B51"/>
    <w:rsid w:val="62E73159"/>
    <w:rsid w:val="630F445E"/>
    <w:rsid w:val="631A4A1E"/>
    <w:rsid w:val="633A772C"/>
    <w:rsid w:val="63400ABB"/>
    <w:rsid w:val="63464323"/>
    <w:rsid w:val="63620A31"/>
    <w:rsid w:val="637B7A74"/>
    <w:rsid w:val="637F7835"/>
    <w:rsid w:val="638600CF"/>
    <w:rsid w:val="6388493C"/>
    <w:rsid w:val="63A30C75"/>
    <w:rsid w:val="63B30A2E"/>
    <w:rsid w:val="63E87188"/>
    <w:rsid w:val="63EC772F"/>
    <w:rsid w:val="641B5A55"/>
    <w:rsid w:val="6439493A"/>
    <w:rsid w:val="646031C3"/>
    <w:rsid w:val="64654834"/>
    <w:rsid w:val="6468651B"/>
    <w:rsid w:val="64732FB6"/>
    <w:rsid w:val="647C5B23"/>
    <w:rsid w:val="649966D5"/>
    <w:rsid w:val="649E018F"/>
    <w:rsid w:val="64A21A2D"/>
    <w:rsid w:val="64AD2180"/>
    <w:rsid w:val="64B9526E"/>
    <w:rsid w:val="64D64BB0"/>
    <w:rsid w:val="64F77DDD"/>
    <w:rsid w:val="64FF6124"/>
    <w:rsid w:val="6502071E"/>
    <w:rsid w:val="65092761"/>
    <w:rsid w:val="651C1188"/>
    <w:rsid w:val="65231928"/>
    <w:rsid w:val="652C5DC2"/>
    <w:rsid w:val="65530F79"/>
    <w:rsid w:val="65604101"/>
    <w:rsid w:val="656E2D4B"/>
    <w:rsid w:val="65711400"/>
    <w:rsid w:val="657D4903"/>
    <w:rsid w:val="657F3B1C"/>
    <w:rsid w:val="65827169"/>
    <w:rsid w:val="658C7FE7"/>
    <w:rsid w:val="659770B8"/>
    <w:rsid w:val="659F7D1B"/>
    <w:rsid w:val="65B670C7"/>
    <w:rsid w:val="65B95E07"/>
    <w:rsid w:val="65BE60C1"/>
    <w:rsid w:val="65E23D4C"/>
    <w:rsid w:val="65E676F8"/>
    <w:rsid w:val="65F04A1A"/>
    <w:rsid w:val="66081D64"/>
    <w:rsid w:val="661A55F3"/>
    <w:rsid w:val="6635242D"/>
    <w:rsid w:val="66901922"/>
    <w:rsid w:val="66A3412A"/>
    <w:rsid w:val="66A46792"/>
    <w:rsid w:val="66AB0941"/>
    <w:rsid w:val="66BA1BD9"/>
    <w:rsid w:val="66C57C55"/>
    <w:rsid w:val="66D41C46"/>
    <w:rsid w:val="66F1014F"/>
    <w:rsid w:val="6703077D"/>
    <w:rsid w:val="670377B9"/>
    <w:rsid w:val="67050051"/>
    <w:rsid w:val="671958AB"/>
    <w:rsid w:val="671A2FAC"/>
    <w:rsid w:val="671E7956"/>
    <w:rsid w:val="672D1356"/>
    <w:rsid w:val="676C1E7F"/>
    <w:rsid w:val="6787315C"/>
    <w:rsid w:val="67A96012"/>
    <w:rsid w:val="67BF6452"/>
    <w:rsid w:val="67D363A2"/>
    <w:rsid w:val="67F647B1"/>
    <w:rsid w:val="682B39B6"/>
    <w:rsid w:val="683F57E5"/>
    <w:rsid w:val="684150B9"/>
    <w:rsid w:val="68694610"/>
    <w:rsid w:val="687C2595"/>
    <w:rsid w:val="68817BAC"/>
    <w:rsid w:val="6884144A"/>
    <w:rsid w:val="689219BF"/>
    <w:rsid w:val="689509D0"/>
    <w:rsid w:val="68B7181F"/>
    <w:rsid w:val="68CB0E27"/>
    <w:rsid w:val="68D26659"/>
    <w:rsid w:val="68E32614"/>
    <w:rsid w:val="68F534CE"/>
    <w:rsid w:val="690F3409"/>
    <w:rsid w:val="69107D41"/>
    <w:rsid w:val="692A0243"/>
    <w:rsid w:val="692E7D33"/>
    <w:rsid w:val="693966D8"/>
    <w:rsid w:val="6942733B"/>
    <w:rsid w:val="6954706E"/>
    <w:rsid w:val="696077C1"/>
    <w:rsid w:val="69674FF3"/>
    <w:rsid w:val="69780FAF"/>
    <w:rsid w:val="69787200"/>
    <w:rsid w:val="697D5937"/>
    <w:rsid w:val="69847953"/>
    <w:rsid w:val="698629E4"/>
    <w:rsid w:val="699658D9"/>
    <w:rsid w:val="699D0149"/>
    <w:rsid w:val="69BD4C13"/>
    <w:rsid w:val="69BE68AB"/>
    <w:rsid w:val="69E965B1"/>
    <w:rsid w:val="6A276531"/>
    <w:rsid w:val="6A5E4E13"/>
    <w:rsid w:val="6A615EE7"/>
    <w:rsid w:val="6A793994"/>
    <w:rsid w:val="6A812252"/>
    <w:rsid w:val="6AB419D3"/>
    <w:rsid w:val="6AEB2EA3"/>
    <w:rsid w:val="6AF208ED"/>
    <w:rsid w:val="6AF57F4B"/>
    <w:rsid w:val="6AF97ECD"/>
    <w:rsid w:val="6AFB1E97"/>
    <w:rsid w:val="6B032AFA"/>
    <w:rsid w:val="6B2667E8"/>
    <w:rsid w:val="6B572E46"/>
    <w:rsid w:val="6B641B0C"/>
    <w:rsid w:val="6B655563"/>
    <w:rsid w:val="6B8230D4"/>
    <w:rsid w:val="6B8303DC"/>
    <w:rsid w:val="6B841E8D"/>
    <w:rsid w:val="6B882FFF"/>
    <w:rsid w:val="6B8F438D"/>
    <w:rsid w:val="6BA716C7"/>
    <w:rsid w:val="6BAF67DE"/>
    <w:rsid w:val="6BCE4EB6"/>
    <w:rsid w:val="6BFB59E5"/>
    <w:rsid w:val="6BFD39ED"/>
    <w:rsid w:val="6C046B2A"/>
    <w:rsid w:val="6C0C59DE"/>
    <w:rsid w:val="6C0F2D7C"/>
    <w:rsid w:val="6C276CBC"/>
    <w:rsid w:val="6C540C83"/>
    <w:rsid w:val="6C871509"/>
    <w:rsid w:val="6C9C3206"/>
    <w:rsid w:val="6CAF118B"/>
    <w:rsid w:val="6CC30793"/>
    <w:rsid w:val="6CEE3336"/>
    <w:rsid w:val="6D1234C8"/>
    <w:rsid w:val="6D1437AB"/>
    <w:rsid w:val="6D156B14"/>
    <w:rsid w:val="6D174470"/>
    <w:rsid w:val="6D177F65"/>
    <w:rsid w:val="6D1E51CF"/>
    <w:rsid w:val="6D1E7257"/>
    <w:rsid w:val="6D302CF8"/>
    <w:rsid w:val="6D413DAD"/>
    <w:rsid w:val="6D714C37"/>
    <w:rsid w:val="6D803BAC"/>
    <w:rsid w:val="6D933492"/>
    <w:rsid w:val="6D9941A7"/>
    <w:rsid w:val="6DA305C4"/>
    <w:rsid w:val="6DBB6B68"/>
    <w:rsid w:val="6DD62CAD"/>
    <w:rsid w:val="6DE22E9A"/>
    <w:rsid w:val="6DE52A8A"/>
    <w:rsid w:val="6E05302D"/>
    <w:rsid w:val="6E113780"/>
    <w:rsid w:val="6E2E60E0"/>
    <w:rsid w:val="6E3851B0"/>
    <w:rsid w:val="6E6024F5"/>
    <w:rsid w:val="6E663ACB"/>
    <w:rsid w:val="6E922B12"/>
    <w:rsid w:val="6E964237"/>
    <w:rsid w:val="6EB81E4D"/>
    <w:rsid w:val="6EC86534"/>
    <w:rsid w:val="6EDA0016"/>
    <w:rsid w:val="6EE300E0"/>
    <w:rsid w:val="6EEE5DC7"/>
    <w:rsid w:val="6EF06AD7"/>
    <w:rsid w:val="6F094457"/>
    <w:rsid w:val="6F0F5F11"/>
    <w:rsid w:val="6F1E43A6"/>
    <w:rsid w:val="6F255735"/>
    <w:rsid w:val="6F347726"/>
    <w:rsid w:val="6F8306AD"/>
    <w:rsid w:val="6F843DA5"/>
    <w:rsid w:val="6F9F5F45"/>
    <w:rsid w:val="6FA72D3F"/>
    <w:rsid w:val="6FCE2A97"/>
    <w:rsid w:val="6FD74555"/>
    <w:rsid w:val="701D28B0"/>
    <w:rsid w:val="70210F65"/>
    <w:rsid w:val="70293003"/>
    <w:rsid w:val="702C664F"/>
    <w:rsid w:val="702D46D3"/>
    <w:rsid w:val="703F2826"/>
    <w:rsid w:val="703F58AB"/>
    <w:rsid w:val="70437C8F"/>
    <w:rsid w:val="70587444"/>
    <w:rsid w:val="705B5186"/>
    <w:rsid w:val="706A53C9"/>
    <w:rsid w:val="70700C31"/>
    <w:rsid w:val="70840239"/>
    <w:rsid w:val="70871AD7"/>
    <w:rsid w:val="709B5583"/>
    <w:rsid w:val="70A02B99"/>
    <w:rsid w:val="70A73F27"/>
    <w:rsid w:val="70B4511E"/>
    <w:rsid w:val="70BF74C3"/>
    <w:rsid w:val="70D72A5F"/>
    <w:rsid w:val="70DA42FD"/>
    <w:rsid w:val="70E124F0"/>
    <w:rsid w:val="70E4517B"/>
    <w:rsid w:val="70EF7BFC"/>
    <w:rsid w:val="70F02678"/>
    <w:rsid w:val="710045CE"/>
    <w:rsid w:val="710E3FA6"/>
    <w:rsid w:val="710F0FAF"/>
    <w:rsid w:val="71327C95"/>
    <w:rsid w:val="71467BE4"/>
    <w:rsid w:val="715255C1"/>
    <w:rsid w:val="716562BC"/>
    <w:rsid w:val="717F6C52"/>
    <w:rsid w:val="71946BA2"/>
    <w:rsid w:val="719941B8"/>
    <w:rsid w:val="71BB5EDC"/>
    <w:rsid w:val="71C11019"/>
    <w:rsid w:val="71C50B09"/>
    <w:rsid w:val="71CC633B"/>
    <w:rsid w:val="71D62D16"/>
    <w:rsid w:val="71E52F59"/>
    <w:rsid w:val="72141A90"/>
    <w:rsid w:val="72281098"/>
    <w:rsid w:val="722C2936"/>
    <w:rsid w:val="72563E57"/>
    <w:rsid w:val="725F0F5E"/>
    <w:rsid w:val="726D0811"/>
    <w:rsid w:val="726F4F19"/>
    <w:rsid w:val="72755D8C"/>
    <w:rsid w:val="727A7B45"/>
    <w:rsid w:val="728209C8"/>
    <w:rsid w:val="7295090C"/>
    <w:rsid w:val="729A3D44"/>
    <w:rsid w:val="72A70290"/>
    <w:rsid w:val="72AD63E3"/>
    <w:rsid w:val="72BB015E"/>
    <w:rsid w:val="72CA4821"/>
    <w:rsid w:val="72F5541E"/>
    <w:rsid w:val="73092C77"/>
    <w:rsid w:val="732B0E40"/>
    <w:rsid w:val="733F6699"/>
    <w:rsid w:val="734D1DC2"/>
    <w:rsid w:val="73544A9D"/>
    <w:rsid w:val="735A23D5"/>
    <w:rsid w:val="73625485"/>
    <w:rsid w:val="739C7F8F"/>
    <w:rsid w:val="73B15028"/>
    <w:rsid w:val="73BC5F3C"/>
    <w:rsid w:val="73BC6B9B"/>
    <w:rsid w:val="73C117A4"/>
    <w:rsid w:val="73CC2623"/>
    <w:rsid w:val="73E6120B"/>
    <w:rsid w:val="73E84F83"/>
    <w:rsid w:val="73F85AEF"/>
    <w:rsid w:val="73F97190"/>
    <w:rsid w:val="7400051E"/>
    <w:rsid w:val="74024296"/>
    <w:rsid w:val="740E1C98"/>
    <w:rsid w:val="74147B26"/>
    <w:rsid w:val="74275AAB"/>
    <w:rsid w:val="743D52CE"/>
    <w:rsid w:val="7446616F"/>
    <w:rsid w:val="744B628C"/>
    <w:rsid w:val="745574FA"/>
    <w:rsid w:val="7460720F"/>
    <w:rsid w:val="74632BE6"/>
    <w:rsid w:val="74716D26"/>
    <w:rsid w:val="74750D26"/>
    <w:rsid w:val="74856C75"/>
    <w:rsid w:val="74B310ED"/>
    <w:rsid w:val="74BD36C7"/>
    <w:rsid w:val="74BE63FC"/>
    <w:rsid w:val="74CA4688"/>
    <w:rsid w:val="74D3353D"/>
    <w:rsid w:val="750F3DE0"/>
    <w:rsid w:val="75246F28"/>
    <w:rsid w:val="75324F54"/>
    <w:rsid w:val="753B10E2"/>
    <w:rsid w:val="754937FF"/>
    <w:rsid w:val="756A770B"/>
    <w:rsid w:val="7590142E"/>
    <w:rsid w:val="759E7FEF"/>
    <w:rsid w:val="75A03D67"/>
    <w:rsid w:val="75BE243F"/>
    <w:rsid w:val="75C8506C"/>
    <w:rsid w:val="75EB48B6"/>
    <w:rsid w:val="75FB0D41"/>
    <w:rsid w:val="75FC6AC3"/>
    <w:rsid w:val="76410B7F"/>
    <w:rsid w:val="76571F4C"/>
    <w:rsid w:val="7662101C"/>
    <w:rsid w:val="769136B0"/>
    <w:rsid w:val="76966F18"/>
    <w:rsid w:val="76B86E8E"/>
    <w:rsid w:val="76E557A9"/>
    <w:rsid w:val="76FB321F"/>
    <w:rsid w:val="77163BB5"/>
    <w:rsid w:val="774E334F"/>
    <w:rsid w:val="775841CD"/>
    <w:rsid w:val="77706FA0"/>
    <w:rsid w:val="7783749C"/>
    <w:rsid w:val="77882D05"/>
    <w:rsid w:val="77A613DD"/>
    <w:rsid w:val="77B92EBE"/>
    <w:rsid w:val="77C23F98"/>
    <w:rsid w:val="77C81353"/>
    <w:rsid w:val="77DC1FEB"/>
    <w:rsid w:val="78085BF3"/>
    <w:rsid w:val="78324A1E"/>
    <w:rsid w:val="78420A51"/>
    <w:rsid w:val="78540E39"/>
    <w:rsid w:val="78597AA3"/>
    <w:rsid w:val="78D45AD6"/>
    <w:rsid w:val="78E0447A"/>
    <w:rsid w:val="78F30652"/>
    <w:rsid w:val="78F41CD4"/>
    <w:rsid w:val="78F74B7B"/>
    <w:rsid w:val="79202AC9"/>
    <w:rsid w:val="7937291E"/>
    <w:rsid w:val="793B7903"/>
    <w:rsid w:val="79584959"/>
    <w:rsid w:val="796230E1"/>
    <w:rsid w:val="797B49B6"/>
    <w:rsid w:val="798219D5"/>
    <w:rsid w:val="799534B7"/>
    <w:rsid w:val="79A454A8"/>
    <w:rsid w:val="79A67472"/>
    <w:rsid w:val="79BC0A44"/>
    <w:rsid w:val="79D056EC"/>
    <w:rsid w:val="79D22E78"/>
    <w:rsid w:val="79ED32F3"/>
    <w:rsid w:val="79F35A83"/>
    <w:rsid w:val="79F3642F"/>
    <w:rsid w:val="7A044199"/>
    <w:rsid w:val="7A102B3D"/>
    <w:rsid w:val="7A2B55F9"/>
    <w:rsid w:val="7A804167"/>
    <w:rsid w:val="7A9334E6"/>
    <w:rsid w:val="7AA319C1"/>
    <w:rsid w:val="7AA5772A"/>
    <w:rsid w:val="7AAF67FA"/>
    <w:rsid w:val="7AD973D3"/>
    <w:rsid w:val="7B2965AD"/>
    <w:rsid w:val="7B310FBD"/>
    <w:rsid w:val="7B3526DE"/>
    <w:rsid w:val="7B38234C"/>
    <w:rsid w:val="7B5178B1"/>
    <w:rsid w:val="7B694BFB"/>
    <w:rsid w:val="7B6D2D0F"/>
    <w:rsid w:val="7B7B048A"/>
    <w:rsid w:val="7B803CF3"/>
    <w:rsid w:val="7B875081"/>
    <w:rsid w:val="7B9D6653"/>
    <w:rsid w:val="7C0D1A2A"/>
    <w:rsid w:val="7C136915"/>
    <w:rsid w:val="7C1B01E9"/>
    <w:rsid w:val="7C360EF8"/>
    <w:rsid w:val="7C480207"/>
    <w:rsid w:val="7C5D00D1"/>
    <w:rsid w:val="7C776EA4"/>
    <w:rsid w:val="7C84479C"/>
    <w:rsid w:val="7CB43C54"/>
    <w:rsid w:val="7CB65C1E"/>
    <w:rsid w:val="7CB838AF"/>
    <w:rsid w:val="7CCB71F0"/>
    <w:rsid w:val="7CCF4F32"/>
    <w:rsid w:val="7CD10CAA"/>
    <w:rsid w:val="7CD42548"/>
    <w:rsid w:val="7CDC13FD"/>
    <w:rsid w:val="7CE309DD"/>
    <w:rsid w:val="7CF77FE5"/>
    <w:rsid w:val="7D0C1CE2"/>
    <w:rsid w:val="7D124E1E"/>
    <w:rsid w:val="7D126BCC"/>
    <w:rsid w:val="7D2C7C8E"/>
    <w:rsid w:val="7D4278A5"/>
    <w:rsid w:val="7D4C0957"/>
    <w:rsid w:val="7D8C2E23"/>
    <w:rsid w:val="7DB40D4B"/>
    <w:rsid w:val="7DC51E91"/>
    <w:rsid w:val="7DCE343B"/>
    <w:rsid w:val="7DEB6364"/>
    <w:rsid w:val="7DEE252C"/>
    <w:rsid w:val="7E1B3A7A"/>
    <w:rsid w:val="7E355268"/>
    <w:rsid w:val="7E386B07"/>
    <w:rsid w:val="7E3F2CE7"/>
    <w:rsid w:val="7E3F2F19"/>
    <w:rsid w:val="7E3F39F1"/>
    <w:rsid w:val="7E461D30"/>
    <w:rsid w:val="7E486D4A"/>
    <w:rsid w:val="7E4F632A"/>
    <w:rsid w:val="7E590F57"/>
    <w:rsid w:val="7E65338E"/>
    <w:rsid w:val="7E723DC7"/>
    <w:rsid w:val="7E806CD3"/>
    <w:rsid w:val="7E834226"/>
    <w:rsid w:val="7EA1274A"/>
    <w:rsid w:val="7EC108AA"/>
    <w:rsid w:val="7EC41C19"/>
    <w:rsid w:val="7EE10F4C"/>
    <w:rsid w:val="7F01339C"/>
    <w:rsid w:val="7F01514B"/>
    <w:rsid w:val="7F043C8F"/>
    <w:rsid w:val="7F1C7498"/>
    <w:rsid w:val="7F364DF4"/>
    <w:rsid w:val="7F470546"/>
    <w:rsid w:val="7F4B2210"/>
    <w:rsid w:val="7F4D0390"/>
    <w:rsid w:val="7F4F5EB6"/>
    <w:rsid w:val="7F5B0CFF"/>
    <w:rsid w:val="7F623E3B"/>
    <w:rsid w:val="7F6C4CBA"/>
    <w:rsid w:val="7F741DC0"/>
    <w:rsid w:val="7F8E4C30"/>
    <w:rsid w:val="7FAF2DF8"/>
    <w:rsid w:val="7FFD1B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6"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6"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spacing w:before="24"/>
      <w:ind w:left="288"/>
      <w:outlineLvl w:val="0"/>
    </w:pPr>
    <w:rPr>
      <w:b/>
      <w:bCs/>
      <w:sz w:val="32"/>
      <w:szCs w:val="32"/>
    </w:rPr>
  </w:style>
  <w:style w:type="paragraph" w:styleId="4">
    <w:name w:val="heading 2"/>
    <w:basedOn w:val="1"/>
    <w:next w:val="1"/>
    <w:qFormat/>
    <w:uiPriority w:val="1"/>
    <w:pPr>
      <w:ind w:left="286"/>
      <w:outlineLvl w:val="1"/>
    </w:pPr>
    <w:rPr>
      <w:b/>
      <w:bCs/>
      <w:sz w:val="30"/>
      <w:szCs w:val="30"/>
    </w:rPr>
  </w:style>
  <w:style w:type="paragraph" w:styleId="5">
    <w:name w:val="heading 3"/>
    <w:basedOn w:val="1"/>
    <w:next w:val="1"/>
    <w:qFormat/>
    <w:uiPriority w:val="1"/>
    <w:pPr>
      <w:ind w:left="99" w:right="485"/>
      <w:jc w:val="center"/>
      <w:outlineLvl w:val="2"/>
    </w:pPr>
    <w:rPr>
      <w:sz w:val="30"/>
      <w:szCs w:val="30"/>
    </w:rPr>
  </w:style>
  <w:style w:type="paragraph" w:styleId="6">
    <w:name w:val="heading 4"/>
    <w:basedOn w:val="1"/>
    <w:next w:val="1"/>
    <w:qFormat/>
    <w:uiPriority w:val="1"/>
    <w:pPr>
      <w:ind w:right="172"/>
      <w:jc w:val="center"/>
      <w:outlineLvl w:val="3"/>
    </w:pPr>
    <w:rPr>
      <w:b/>
      <w:bCs/>
      <w:sz w:val="28"/>
      <w:szCs w:val="28"/>
    </w:rPr>
  </w:style>
  <w:style w:type="paragraph" w:styleId="7">
    <w:name w:val="heading 5"/>
    <w:basedOn w:val="1"/>
    <w:next w:val="1"/>
    <w:qFormat/>
    <w:uiPriority w:val="1"/>
    <w:pPr>
      <w:spacing w:before="186"/>
      <w:ind w:left="881"/>
      <w:outlineLvl w:val="4"/>
    </w:pPr>
    <w:rPr>
      <w:sz w:val="28"/>
      <w:szCs w:val="28"/>
    </w:rPr>
  </w:style>
  <w:style w:type="paragraph" w:styleId="8">
    <w:name w:val="heading 6"/>
    <w:basedOn w:val="1"/>
    <w:next w:val="1"/>
    <w:qFormat/>
    <w:uiPriority w:val="1"/>
    <w:pPr>
      <w:ind w:left="881"/>
      <w:outlineLvl w:val="5"/>
    </w:pPr>
    <w:rPr>
      <w:b/>
      <w:bCs/>
      <w:sz w:val="24"/>
      <w:szCs w:val="24"/>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ind w:left="881"/>
    </w:pPr>
    <w:rPr>
      <w:sz w:val="24"/>
      <w:szCs w:val="24"/>
    </w:rPr>
  </w:style>
  <w:style w:type="paragraph" w:styleId="9">
    <w:name w:val="Normal Indent"/>
    <w:basedOn w:val="1"/>
    <w:qFormat/>
    <w:uiPriority w:val="0"/>
    <w:pPr>
      <w:adjustRightInd w:val="0"/>
      <w:ind w:firstLine="420"/>
    </w:pPr>
    <w:rPr>
      <w:sz w:val="24"/>
      <w:szCs w:val="20"/>
    </w:rPr>
  </w:style>
  <w:style w:type="paragraph" w:styleId="10">
    <w:name w:val="toa heading"/>
    <w:basedOn w:val="1"/>
    <w:next w:val="1"/>
    <w:semiHidden/>
    <w:qFormat/>
    <w:uiPriority w:val="99"/>
    <w:pPr>
      <w:spacing w:before="120"/>
    </w:pPr>
    <w:rPr>
      <w:rFonts w:ascii="Arial" w:hAnsi="Arial" w:cs="Arial"/>
    </w:rPr>
  </w:style>
  <w:style w:type="paragraph" w:styleId="11">
    <w:name w:val="annotation text"/>
    <w:basedOn w:val="1"/>
    <w:qFormat/>
    <w:uiPriority w:val="6"/>
    <w:pPr>
      <w:autoSpaceDE/>
      <w:autoSpaceDN/>
    </w:pPr>
    <w:rPr>
      <w:rFonts w:ascii="Calibri" w:hAnsi="Calibri" w:cs="Calibri"/>
      <w:color w:val="000000"/>
      <w:kern w:val="1"/>
      <w:sz w:val="21"/>
      <w:szCs w:val="20"/>
      <w:lang w:val="en-US" w:bidi="ar-SA"/>
    </w:rPr>
  </w:style>
  <w:style w:type="paragraph" w:styleId="12">
    <w:name w:val="Body Text Indent"/>
    <w:basedOn w:val="1"/>
    <w:next w:val="13"/>
    <w:qFormat/>
    <w:uiPriority w:val="6"/>
    <w:pPr>
      <w:ind w:left="640" w:firstLine="640"/>
    </w:pPr>
    <w:rPr>
      <w:kern w:val="1"/>
      <w:sz w:val="32"/>
      <w:szCs w:val="20"/>
    </w:rPr>
  </w:style>
  <w:style w:type="paragraph" w:styleId="13">
    <w:name w:val="toc 9"/>
    <w:basedOn w:val="1"/>
    <w:next w:val="1"/>
    <w:qFormat/>
    <w:uiPriority w:val="39"/>
    <w:pPr>
      <w:ind w:left="3360" w:leftChars="1600"/>
    </w:pPr>
    <w:rPr>
      <w:rFonts w:ascii="Times New Roman" w:hAnsi="Times New Roman" w:eastAsia="宋体" w:cs="Times New Roman"/>
    </w:rPr>
  </w:style>
  <w:style w:type="paragraph" w:styleId="14">
    <w:name w:val="Plain Text"/>
    <w:basedOn w:val="1"/>
    <w:qFormat/>
    <w:uiPriority w:val="0"/>
    <w:rPr>
      <w:rFonts w:ascii="宋体" w:hAnsi="Courier New"/>
      <w:szCs w:val="20"/>
    </w:rPr>
  </w:style>
  <w:style w:type="paragraph" w:styleId="15">
    <w:name w:val="Balloon Text"/>
    <w:basedOn w:val="1"/>
    <w:link w:val="34"/>
    <w:qFormat/>
    <w:uiPriority w:val="0"/>
    <w:rPr>
      <w:sz w:val="18"/>
      <w:szCs w:val="18"/>
    </w:rPr>
  </w:style>
  <w:style w:type="paragraph" w:styleId="16">
    <w:name w:val="footer"/>
    <w:basedOn w:val="1"/>
    <w:link w:val="35"/>
    <w:qFormat/>
    <w:uiPriority w:val="0"/>
    <w:pPr>
      <w:tabs>
        <w:tab w:val="center" w:pos="4153"/>
        <w:tab w:val="right" w:pos="8306"/>
      </w:tabs>
      <w:snapToGrid w:val="0"/>
    </w:pPr>
    <w:rPr>
      <w:sz w:val="18"/>
      <w:szCs w:val="18"/>
    </w:rPr>
  </w:style>
  <w:style w:type="paragraph" w:styleId="17">
    <w:name w:val="envelope return"/>
    <w:basedOn w:val="1"/>
    <w:qFormat/>
    <w:uiPriority w:val="0"/>
    <w:pPr>
      <w:snapToGrid w:val="0"/>
      <w:spacing w:line="360" w:lineRule="auto"/>
    </w:pPr>
    <w:rPr>
      <w:rFonts w:ascii="Arial" w:hAnsi="Arial"/>
      <w:sz w:val="24"/>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toc 1"/>
    <w:basedOn w:val="1"/>
    <w:next w:val="1"/>
    <w:qFormat/>
    <w:uiPriority w:val="1"/>
    <w:pPr>
      <w:spacing w:before="158"/>
      <w:ind w:left="881"/>
    </w:pPr>
    <w:rPr>
      <w:sz w:val="24"/>
      <w:szCs w:val="24"/>
    </w:rPr>
  </w:style>
  <w:style w:type="paragraph" w:styleId="20">
    <w:name w:val="Normal (Web)"/>
    <w:basedOn w:val="1"/>
    <w:unhideWhenUsed/>
    <w:qFormat/>
    <w:uiPriority w:val="99"/>
    <w:pPr>
      <w:widowControl/>
      <w:spacing w:after="150"/>
      <w:jc w:val="left"/>
    </w:pPr>
    <w:rPr>
      <w:rFonts w:ascii="宋体" w:hAnsi="宋体" w:cs="宋体"/>
      <w:kern w:val="0"/>
      <w:sz w:val="24"/>
    </w:rPr>
  </w:style>
  <w:style w:type="paragraph" w:styleId="21">
    <w:name w:val="Body Text First Indent"/>
    <w:basedOn w:val="2"/>
    <w:next w:val="1"/>
    <w:qFormat/>
    <w:uiPriority w:val="0"/>
    <w:pPr>
      <w:tabs>
        <w:tab w:val="left" w:pos="567"/>
      </w:tabs>
      <w:ind w:firstLine="420" w:firstLineChars="100"/>
    </w:pPr>
  </w:style>
  <w:style w:type="paragraph" w:styleId="22">
    <w:name w:val="Body Text First Indent 2"/>
    <w:basedOn w:val="12"/>
    <w:next w:val="21"/>
    <w:unhideWhenUsed/>
    <w:qFormat/>
    <w:uiPriority w:val="99"/>
    <w:pPr>
      <w:spacing w:after="120"/>
      <w:ind w:left="420" w:leftChars="200" w:firstLine="420"/>
    </w:pPr>
    <w:rPr>
      <w:sz w:val="21"/>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FollowedHyperlink"/>
    <w:basedOn w:val="25"/>
    <w:qFormat/>
    <w:uiPriority w:val="0"/>
    <w:rPr>
      <w:color w:val="333333"/>
      <w:u w:val="none"/>
    </w:rPr>
  </w:style>
  <w:style w:type="character" w:styleId="28">
    <w:name w:val="Emphasis"/>
    <w:basedOn w:val="25"/>
    <w:qFormat/>
    <w:uiPriority w:val="0"/>
    <w:rPr>
      <w:color w:val="F73131"/>
    </w:rPr>
  </w:style>
  <w:style w:type="character" w:styleId="29">
    <w:name w:val="Hyperlink"/>
    <w:basedOn w:val="25"/>
    <w:qFormat/>
    <w:uiPriority w:val="0"/>
    <w:rPr>
      <w:color w:val="333333"/>
      <w:u w:val="none"/>
    </w:rPr>
  </w:style>
  <w:style w:type="character" w:styleId="30">
    <w:name w:val="HTML Cite"/>
    <w:basedOn w:val="25"/>
    <w:qFormat/>
    <w:uiPriority w:val="0"/>
    <w:rPr>
      <w:color w:val="008000"/>
    </w:rPr>
  </w:style>
  <w:style w:type="character" w:styleId="31">
    <w:name w:val="footnote reference"/>
    <w:qFormat/>
    <w:uiPriority w:val="0"/>
    <w:rPr>
      <w:vertAlign w:val="superscript"/>
    </w:rPr>
  </w:style>
  <w:style w:type="paragraph" w:customStyle="1" w:styleId="32">
    <w:name w:val="段"/>
    <w:next w:val="1"/>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33">
    <w:name w:val="样式 样式 左侧:  2 字符 + 左侧:  0.85 厘米 首行缩进:  2 字符1"/>
    <w:basedOn w:val="1"/>
    <w:qFormat/>
    <w:uiPriority w:val="0"/>
    <w:pPr>
      <w:ind w:left="482" w:firstLine="200" w:firstLineChars="200"/>
    </w:pPr>
    <w:rPr>
      <w:szCs w:val="20"/>
    </w:rPr>
  </w:style>
  <w:style w:type="character" w:customStyle="1" w:styleId="34">
    <w:name w:val="批注框文本 字符"/>
    <w:basedOn w:val="25"/>
    <w:link w:val="15"/>
    <w:qFormat/>
    <w:uiPriority w:val="0"/>
    <w:rPr>
      <w:rFonts w:ascii="宋体" w:hAnsi="宋体" w:eastAsia="宋体" w:cs="宋体"/>
      <w:sz w:val="18"/>
      <w:szCs w:val="18"/>
      <w:lang w:val="zh-CN" w:bidi="zh-CN"/>
    </w:rPr>
  </w:style>
  <w:style w:type="character" w:customStyle="1" w:styleId="35">
    <w:name w:val="页脚 字符"/>
    <w:basedOn w:val="25"/>
    <w:link w:val="16"/>
    <w:qFormat/>
    <w:uiPriority w:val="0"/>
    <w:rPr>
      <w:rFonts w:ascii="宋体" w:hAnsi="宋体" w:cs="宋体"/>
      <w:sz w:val="18"/>
      <w:szCs w:val="18"/>
      <w:lang w:val="zh-CN" w:bidi="zh-CN"/>
    </w:rPr>
  </w:style>
  <w:style w:type="paragraph" w:customStyle="1" w:styleId="36">
    <w:name w:val="_Style 2"/>
    <w:basedOn w:val="1"/>
    <w:qFormat/>
    <w:uiPriority w:val="1"/>
    <w:pPr>
      <w:autoSpaceDE w:val="0"/>
      <w:autoSpaceDN w:val="0"/>
      <w:spacing w:before="172"/>
      <w:ind w:left="1340" w:hanging="420"/>
      <w:jc w:val="left"/>
    </w:pPr>
    <w:rPr>
      <w:rFonts w:ascii="宋体" w:hAnsi="宋体" w:cs="宋体"/>
      <w:kern w:val="0"/>
      <w:sz w:val="22"/>
      <w:szCs w:val="22"/>
      <w:lang w:val="ja-JP" w:eastAsia="ja-JP" w:bidi="ja-JP"/>
    </w:rPr>
  </w:style>
  <w:style w:type="paragraph" w:styleId="37">
    <w:name w:val="List Paragraph"/>
    <w:basedOn w:val="1"/>
    <w:qFormat/>
    <w:uiPriority w:val="1"/>
    <w:pPr>
      <w:ind w:left="881"/>
    </w:pPr>
  </w:style>
  <w:style w:type="paragraph" w:customStyle="1" w:styleId="38">
    <w:name w:val="Table Paragraph"/>
    <w:basedOn w:val="1"/>
    <w:qFormat/>
    <w:uiPriority w:val="1"/>
  </w:style>
  <w:style w:type="character" w:customStyle="1" w:styleId="39">
    <w:name w:val="font112"/>
    <w:basedOn w:val="25"/>
    <w:qFormat/>
    <w:uiPriority w:val="0"/>
    <w:rPr>
      <w:rFonts w:ascii="Wingdings 2" w:hAnsi="Wingdings 2" w:eastAsia="Wingdings 2" w:cs="Wingdings 2"/>
      <w:color w:val="000000"/>
      <w:sz w:val="20"/>
      <w:szCs w:val="20"/>
      <w:u w:val="none"/>
    </w:rPr>
  </w:style>
  <w:style w:type="character" w:customStyle="1" w:styleId="40">
    <w:name w:val="font91"/>
    <w:basedOn w:val="25"/>
    <w:qFormat/>
    <w:uiPriority w:val="0"/>
    <w:rPr>
      <w:rFonts w:hint="eastAsia" w:ascii="宋体" w:hAnsi="宋体" w:eastAsia="宋体" w:cs="宋体"/>
      <w:color w:val="000000"/>
      <w:sz w:val="20"/>
      <w:szCs w:val="20"/>
      <w:u w:val="none"/>
    </w:rPr>
  </w:style>
  <w:style w:type="paragraph" w:customStyle="1" w:styleId="41">
    <w:name w:val="Char1 Char Char Char"/>
    <w:basedOn w:val="1"/>
    <w:qFormat/>
    <w:uiPriority w:val="0"/>
    <w:pPr>
      <w:autoSpaceDE/>
      <w:autoSpaceDN/>
      <w:jc w:val="both"/>
    </w:pPr>
    <w:rPr>
      <w:rFonts w:ascii="Times New Roman" w:hAnsi="Times New Roman" w:cs="Times New Roman"/>
      <w:kern w:val="2"/>
      <w:sz w:val="21"/>
      <w:szCs w:val="24"/>
      <w:lang w:val="en-US" w:bidi="ar-SA"/>
    </w:rPr>
  </w:style>
  <w:style w:type="paragraph" w:customStyle="1" w:styleId="42">
    <w:name w:val="列出段落1"/>
    <w:basedOn w:val="1"/>
    <w:next w:val="1"/>
    <w:qFormat/>
    <w:uiPriority w:val="0"/>
    <w:pPr>
      <w:autoSpaceDE/>
      <w:autoSpaceDN/>
      <w:ind w:firstLine="420" w:firstLineChars="200"/>
      <w:jc w:val="both"/>
    </w:pPr>
    <w:rPr>
      <w:rFonts w:ascii="Times New Roman" w:hAnsi="Times New Roman" w:cs="Times New Roman"/>
      <w:kern w:val="2"/>
      <w:sz w:val="21"/>
      <w:szCs w:val="24"/>
      <w:lang w:val="en-US" w:bidi="ar-SA"/>
    </w:rPr>
  </w:style>
  <w:style w:type="character" w:customStyle="1" w:styleId="43">
    <w:name w:val="font31"/>
    <w:basedOn w:val="25"/>
    <w:qFormat/>
    <w:uiPriority w:val="0"/>
    <w:rPr>
      <w:rFonts w:hint="eastAsia" w:ascii="微软雅黑" w:hAnsi="微软雅黑" w:eastAsia="微软雅黑" w:cs="微软雅黑"/>
      <w:color w:val="000000"/>
      <w:sz w:val="16"/>
      <w:szCs w:val="16"/>
      <w:u w:val="none"/>
    </w:rPr>
  </w:style>
  <w:style w:type="character" w:customStyle="1" w:styleId="44">
    <w:name w:val="font51"/>
    <w:basedOn w:val="25"/>
    <w:qFormat/>
    <w:uiPriority w:val="0"/>
    <w:rPr>
      <w:rFonts w:ascii="Arial" w:hAnsi="Arial" w:cs="Arial"/>
      <w:color w:val="000000"/>
      <w:sz w:val="16"/>
      <w:szCs w:val="16"/>
      <w:u w:val="none"/>
    </w:rPr>
  </w:style>
  <w:style w:type="character" w:customStyle="1" w:styleId="45">
    <w:name w:val="font11"/>
    <w:basedOn w:val="25"/>
    <w:qFormat/>
    <w:uiPriority w:val="0"/>
    <w:rPr>
      <w:rFonts w:hint="eastAsia" w:ascii="微软雅黑" w:hAnsi="微软雅黑" w:eastAsia="微软雅黑" w:cs="微软雅黑"/>
      <w:color w:val="000000"/>
      <w:sz w:val="16"/>
      <w:szCs w:val="16"/>
      <w:u w:val="none"/>
    </w:rPr>
  </w:style>
  <w:style w:type="character" w:customStyle="1" w:styleId="46">
    <w:name w:val="font41"/>
    <w:basedOn w:val="25"/>
    <w:qFormat/>
    <w:uiPriority w:val="0"/>
    <w:rPr>
      <w:rFonts w:ascii="Arial" w:hAnsi="Arial" w:cs="Arial"/>
      <w:color w:val="000000"/>
      <w:sz w:val="16"/>
      <w:szCs w:val="16"/>
      <w:u w:val="none"/>
    </w:rPr>
  </w:style>
  <w:style w:type="table" w:customStyle="1" w:styleId="47">
    <w:name w:val="Table Normal"/>
    <w:unhideWhenUsed/>
    <w:qFormat/>
    <w:uiPriority w:val="0"/>
    <w:tblPr>
      <w:tblCellMar>
        <w:top w:w="0" w:type="dxa"/>
        <w:left w:w="0" w:type="dxa"/>
        <w:bottom w:w="0" w:type="dxa"/>
        <w:right w:w="0" w:type="dxa"/>
      </w:tblCellMar>
    </w:tblPr>
  </w:style>
  <w:style w:type="paragraph" w:customStyle="1" w:styleId="48">
    <w:name w:val="*正文"/>
    <w:basedOn w:val="1"/>
    <w:qFormat/>
    <w:uiPriority w:val="0"/>
    <w:pPr>
      <w:keepNext/>
      <w:keepLines/>
      <w:spacing w:line="360" w:lineRule="auto"/>
      <w:ind w:firstLine="200" w:firstLineChars="200"/>
    </w:pPr>
    <w:rPr>
      <w:rFonts w:ascii="宋体" w:hAnsi="宋体"/>
      <w:szCs w:val="22"/>
    </w:rPr>
  </w:style>
  <w:style w:type="paragraph" w:customStyle="1" w:styleId="49">
    <w:name w:val="列表段落1"/>
    <w:basedOn w:val="1"/>
    <w:qFormat/>
    <w:uiPriority w:val="0"/>
  </w:style>
  <w:style w:type="paragraph" w:customStyle="1" w:styleId="50">
    <w:name w:val="Default"/>
    <w:qFormat/>
    <w:uiPriority w:val="0"/>
    <w:pPr>
      <w:widowControl w:val="0"/>
    </w:pPr>
    <w:rPr>
      <w:rFonts w:ascii="宋体" w:hAnsi="宋体" w:eastAsia="宋体" w:cs="宋体"/>
      <w:color w:val="000000"/>
      <w:sz w:val="24"/>
      <w:szCs w:val="24"/>
      <w:lang w:val="en-US" w:eastAsia="zh-CN" w:bidi="ar-SA"/>
    </w:rPr>
  </w:style>
  <w:style w:type="paragraph" w:customStyle="1" w:styleId="51">
    <w:name w:val="p0"/>
    <w:basedOn w:val="1"/>
    <w:qFormat/>
    <w:uiPriority w:val="0"/>
    <w:pPr>
      <w:widowControl/>
    </w:pPr>
    <w:rPr>
      <w:szCs w:val="21"/>
    </w:rPr>
  </w:style>
  <w:style w:type="paragraph" w:customStyle="1" w:styleId="52">
    <w:name w:val="WPSOffice手动目录 1"/>
    <w:qFormat/>
    <w:uiPriority w:val="0"/>
    <w:pPr>
      <w:ind w:leftChars="0"/>
    </w:pPr>
    <w:rPr>
      <w:rFonts w:ascii="Times New Roman" w:hAnsi="Times New Roman" w:eastAsia="宋体" w:cs="Times New Roman"/>
      <w:sz w:val="20"/>
      <w:szCs w:val="20"/>
    </w:rPr>
  </w:style>
  <w:style w:type="paragraph" w:customStyle="1" w:styleId="53">
    <w:name w:val="WPSOffice手动目录 2"/>
    <w:qFormat/>
    <w:uiPriority w:val="0"/>
    <w:pPr>
      <w:ind w:leftChars="200"/>
    </w:pPr>
    <w:rPr>
      <w:rFonts w:ascii="Times New Roman" w:hAnsi="Times New Roman" w:eastAsia="宋体" w:cs="Times New Roman"/>
      <w:sz w:val="20"/>
      <w:szCs w:val="20"/>
    </w:rPr>
  </w:style>
  <w:style w:type="paragraph" w:customStyle="1" w:styleId="54">
    <w:name w:val="样式 标题 3 + (中文) 黑体 小四 非加粗 段前: 7.8 磅 段后: 0 磅 行距: 固定值 20 磅"/>
    <w:basedOn w:val="5"/>
    <w:qFormat/>
    <w:uiPriority w:val="0"/>
    <w:pPr>
      <w:widowControl w:val="0"/>
      <w:spacing w:before="0" w:beforeLines="0" w:after="0" w:afterLines="0" w:line="400" w:lineRule="exact"/>
      <w:jc w:val="both"/>
    </w:pPr>
    <w:rPr>
      <w:rFonts w:eastAsia="黑体" w:cs="宋体"/>
      <w:bCs/>
      <w:kern w:val="2"/>
      <w:sz w:val="24"/>
      <w:szCs w:val="32"/>
    </w:rPr>
  </w:style>
  <w:style w:type="character" w:customStyle="1" w:styleId="55">
    <w:name w:val="hover24"/>
    <w:basedOn w:val="25"/>
    <w:qFormat/>
    <w:uiPriority w:val="0"/>
    <w:rPr>
      <w:color w:val="315EFB"/>
    </w:rPr>
  </w:style>
  <w:style w:type="character" w:customStyle="1" w:styleId="56">
    <w:name w:val="hover25"/>
    <w:basedOn w:val="25"/>
    <w:qFormat/>
    <w:uiPriority w:val="0"/>
  </w:style>
  <w:style w:type="character" w:customStyle="1" w:styleId="57">
    <w:name w:val="hover26"/>
    <w:basedOn w:val="25"/>
    <w:qFormat/>
    <w:uiPriority w:val="0"/>
    <w:rPr>
      <w:color w:val="315EFB"/>
    </w:rPr>
  </w:style>
  <w:style w:type="character" w:customStyle="1" w:styleId="58">
    <w:name w:val="c-icon"/>
    <w:basedOn w:val="25"/>
    <w:qFormat/>
    <w:uiPriority w:val="0"/>
  </w:style>
  <w:style w:type="character" w:customStyle="1" w:styleId="59">
    <w:name w:val="c-icon28"/>
    <w:basedOn w:val="25"/>
    <w:qFormat/>
    <w:uiPriority w:val="0"/>
  </w:style>
  <w:style w:type="character" w:customStyle="1" w:styleId="60">
    <w:name w:val="hover19"/>
    <w:basedOn w:val="25"/>
    <w:qFormat/>
    <w:uiPriority w:val="0"/>
  </w:style>
  <w:style w:type="character" w:customStyle="1" w:styleId="61">
    <w:name w:val="hover20"/>
    <w:basedOn w:val="25"/>
    <w:qFormat/>
    <w:uiPriority w:val="0"/>
    <w:rPr>
      <w:color w:val="315EFB"/>
    </w:rPr>
  </w:style>
  <w:style w:type="character" w:customStyle="1" w:styleId="62">
    <w:name w:val="hover21"/>
    <w:basedOn w:val="25"/>
    <w:qFormat/>
    <w:uiPriority w:val="0"/>
    <w:rPr>
      <w:color w:val="315EFB"/>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85</Pages>
  <Words>42331</Words>
  <Characters>44639</Characters>
  <Lines>353</Lines>
  <Paragraphs>99</Paragraphs>
  <TotalTime>45</TotalTime>
  <ScaleCrop>false</ScaleCrop>
  <LinksUpToDate>false</LinksUpToDate>
  <CharactersWithSpaces>47265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2021-04-26T09:22:00Z</dcterms:created>
  <dc:creator>1292503703</dc:creator>
  <cp:lastModifiedBy>山东立行招投标项目管理</cp:lastModifiedBy>
  <dcterms:modified xsi:type="dcterms:W3CDTF">2025-04-11T02:26:17Z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EE20E0930F6E4340BFBD8E7DF9EE5CB8_13</vt:lpwstr>
  </property>
  <property fmtid="{D5CDD505-2E9C-101B-9397-08002B2CF9AE}" pid="4" name="KSOTemplateDocerSaveRecord">
    <vt:lpwstr>eyJoZGlkIjoiMjYxMTdjMmYzNWE1Njk2NmEzYmRhNTdhMjM4NWZiNjIiLCJ1c2VySWQiOiI1MDkwMDk3NTEifQ==</vt:lpwstr>
  </property>
</Properties>
</file>