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6BD1C">
      <w:pPr>
        <w:spacing w:line="360" w:lineRule="auto"/>
        <w:jc w:val="left"/>
        <w:rPr>
          <w:rFonts w:hint="eastAsia" w:ascii="宋体" w:hAnsi="宋体" w:cs="宋体"/>
          <w:szCs w:val="21"/>
        </w:rPr>
      </w:pPr>
    </w:p>
    <w:p w14:paraId="7871B648">
      <w:pPr>
        <w:spacing w:line="360" w:lineRule="auto"/>
        <w:jc w:val="center"/>
        <w:rPr>
          <w:rFonts w:hint="eastAsia" w:ascii="宋体" w:hAnsi="宋体" w:cs="宋体"/>
          <w:sz w:val="44"/>
          <w:szCs w:val="21"/>
        </w:rPr>
      </w:pPr>
    </w:p>
    <w:p w14:paraId="3D6AE390">
      <w:pPr>
        <w:spacing w:line="360" w:lineRule="auto"/>
        <w:jc w:val="center"/>
        <w:rPr>
          <w:rFonts w:hint="eastAsia" w:ascii="宋体" w:hAnsi="宋体" w:cs="宋体"/>
          <w:sz w:val="44"/>
          <w:szCs w:val="21"/>
        </w:rPr>
      </w:pPr>
    </w:p>
    <w:p w14:paraId="48A8EB72">
      <w:pPr>
        <w:spacing w:line="360" w:lineRule="auto"/>
        <w:jc w:val="center"/>
        <w:rPr>
          <w:rFonts w:hint="eastAsia" w:ascii="宋体" w:hAnsi="宋体" w:cs="宋体"/>
          <w:sz w:val="44"/>
          <w:szCs w:val="21"/>
        </w:rPr>
      </w:pPr>
    </w:p>
    <w:p w14:paraId="135D4FFB">
      <w:pPr>
        <w:spacing w:line="360" w:lineRule="auto"/>
        <w:jc w:val="center"/>
        <w:rPr>
          <w:rFonts w:hint="eastAsia" w:ascii="宋体" w:hAnsi="宋体" w:cs="宋体"/>
          <w:sz w:val="44"/>
          <w:szCs w:val="21"/>
        </w:rPr>
      </w:pPr>
    </w:p>
    <w:p w14:paraId="7DD2024F">
      <w:pPr>
        <w:pStyle w:val="21"/>
        <w:spacing w:before="120"/>
        <w:jc w:val="center"/>
        <w:rPr>
          <w:rFonts w:hint="eastAsia" w:hAnsi="宋体" w:cs="宋体"/>
          <w:b/>
          <w:bCs/>
          <w:sz w:val="96"/>
          <w:szCs w:val="96"/>
        </w:rPr>
      </w:pPr>
      <w:r>
        <w:rPr>
          <w:rFonts w:hint="eastAsia" w:hAnsi="宋体" w:cs="宋体"/>
          <w:b/>
          <w:bCs/>
          <w:sz w:val="96"/>
          <w:szCs w:val="96"/>
        </w:rPr>
        <w:t>电子竞价文件</w:t>
      </w:r>
    </w:p>
    <w:p w14:paraId="7CAF7E64">
      <w:pPr>
        <w:spacing w:line="360" w:lineRule="auto"/>
        <w:jc w:val="center"/>
        <w:rPr>
          <w:rFonts w:hint="eastAsia" w:ascii="宋体" w:hAnsi="宋体" w:cs="宋体"/>
          <w:sz w:val="44"/>
          <w:szCs w:val="21"/>
        </w:rPr>
      </w:pPr>
    </w:p>
    <w:p w14:paraId="7390BF88">
      <w:pPr>
        <w:spacing w:line="360" w:lineRule="auto"/>
        <w:jc w:val="center"/>
        <w:rPr>
          <w:rFonts w:hint="eastAsia" w:ascii="宋体" w:hAnsi="宋体" w:cs="宋体"/>
          <w:sz w:val="44"/>
          <w:szCs w:val="21"/>
        </w:rPr>
      </w:pPr>
    </w:p>
    <w:p w14:paraId="1310B254">
      <w:pPr>
        <w:spacing w:line="360" w:lineRule="auto"/>
        <w:ind w:firstLine="643" w:firstLineChars="200"/>
        <w:jc w:val="left"/>
        <w:rPr>
          <w:rFonts w:hint="eastAsia" w:ascii="宋体" w:hAnsi="宋体" w:eastAsia="宋体" w:cs="宋体"/>
          <w:b/>
          <w:sz w:val="32"/>
          <w:szCs w:val="32"/>
          <w:lang w:eastAsia="zh-CN"/>
        </w:rPr>
      </w:pPr>
      <w:r>
        <w:rPr>
          <w:rFonts w:hint="eastAsia" w:ascii="宋体" w:hAnsi="宋体" w:cs="宋体"/>
          <w:b/>
          <w:sz w:val="32"/>
          <w:szCs w:val="32"/>
        </w:rPr>
        <w:t>项目编号：</w:t>
      </w:r>
      <w:r>
        <w:rPr>
          <w:rFonts w:hint="eastAsia" w:ascii="宋体" w:hAnsi="宋体" w:cs="宋体"/>
          <w:b/>
          <w:sz w:val="32"/>
          <w:szCs w:val="32"/>
          <w:lang w:eastAsia="zh-CN"/>
        </w:rPr>
        <w:t>GDZF-QYHJJ-2025-2611630</w:t>
      </w:r>
    </w:p>
    <w:p w14:paraId="183E6CC9">
      <w:pPr>
        <w:spacing w:line="360" w:lineRule="auto"/>
        <w:ind w:firstLine="643" w:firstLineChars="200"/>
        <w:jc w:val="left"/>
        <w:rPr>
          <w:rFonts w:hint="eastAsia" w:ascii="宋体" w:hAnsi="宋体" w:eastAsia="宋体" w:cs="宋体"/>
          <w:b/>
          <w:sz w:val="32"/>
          <w:szCs w:val="32"/>
          <w:lang w:eastAsia="zh-CN"/>
        </w:rPr>
      </w:pPr>
      <w:r>
        <w:rPr>
          <w:rFonts w:hint="eastAsia" w:ascii="宋体" w:hAnsi="宋体" w:cs="宋体"/>
          <w:b/>
          <w:sz w:val="32"/>
          <w:szCs w:val="32"/>
        </w:rPr>
        <w:t>采购编号：</w:t>
      </w:r>
      <w:r>
        <w:rPr>
          <w:rFonts w:hint="eastAsia" w:ascii="宋体" w:hAnsi="宋体" w:cs="宋体"/>
          <w:b/>
          <w:sz w:val="32"/>
          <w:szCs w:val="32"/>
          <w:lang w:eastAsia="zh-CN"/>
        </w:rPr>
        <w:t>ZC-HNF-2025-061</w:t>
      </w:r>
    </w:p>
    <w:p w14:paraId="507009E8">
      <w:pPr>
        <w:spacing w:line="360" w:lineRule="auto"/>
        <w:ind w:firstLine="643" w:firstLineChars="200"/>
        <w:jc w:val="left"/>
        <w:rPr>
          <w:rFonts w:hint="eastAsia" w:ascii="宋体" w:hAnsi="宋体" w:eastAsia="宋体" w:cs="宋体"/>
          <w:b/>
          <w:sz w:val="32"/>
          <w:szCs w:val="32"/>
          <w:lang w:eastAsia="zh-CN"/>
        </w:rPr>
      </w:pPr>
      <w:r>
        <w:rPr>
          <w:rFonts w:hint="eastAsia" w:ascii="宋体" w:hAnsi="宋体" w:cs="宋体"/>
          <w:b/>
          <w:sz w:val="32"/>
          <w:szCs w:val="32"/>
        </w:rPr>
        <w:t>项目名称：</w:t>
      </w:r>
      <w:r>
        <w:rPr>
          <w:rFonts w:hint="eastAsia" w:ascii="宋体" w:hAnsi="宋体" w:cs="宋体"/>
          <w:b/>
          <w:sz w:val="32"/>
          <w:szCs w:val="32"/>
          <w:lang w:eastAsia="zh-CN"/>
        </w:rPr>
        <w:t>宁德漳湾垃圾焚烧发电有限公司国网电力通信设备及调度设备改造服务项目</w:t>
      </w:r>
    </w:p>
    <w:p w14:paraId="7538EB10">
      <w:pPr>
        <w:spacing w:line="360" w:lineRule="auto"/>
        <w:jc w:val="center"/>
        <w:rPr>
          <w:rFonts w:hint="eastAsia" w:ascii="宋体" w:hAnsi="宋体" w:cs="宋体"/>
          <w:sz w:val="32"/>
          <w:szCs w:val="32"/>
        </w:rPr>
      </w:pPr>
    </w:p>
    <w:p w14:paraId="239EB73B">
      <w:pPr>
        <w:spacing w:line="360" w:lineRule="auto"/>
        <w:jc w:val="center"/>
        <w:rPr>
          <w:rFonts w:hint="eastAsia" w:ascii="宋体" w:hAnsi="宋体" w:cs="宋体"/>
          <w:sz w:val="32"/>
          <w:szCs w:val="32"/>
        </w:rPr>
      </w:pPr>
    </w:p>
    <w:p w14:paraId="1AE81400">
      <w:pPr>
        <w:spacing w:line="360" w:lineRule="auto"/>
        <w:jc w:val="center"/>
        <w:rPr>
          <w:rFonts w:hint="eastAsia" w:ascii="宋体" w:hAnsi="宋体" w:cs="宋体"/>
          <w:sz w:val="32"/>
          <w:szCs w:val="32"/>
        </w:rPr>
      </w:pPr>
    </w:p>
    <w:p w14:paraId="3BA0A7BC">
      <w:pPr>
        <w:pStyle w:val="26"/>
        <w:rPr>
          <w:rFonts w:hint="eastAsia" w:ascii="宋体" w:hAnsi="宋体" w:cs="宋体"/>
          <w:sz w:val="32"/>
          <w:szCs w:val="32"/>
        </w:rPr>
      </w:pPr>
    </w:p>
    <w:p w14:paraId="0EFBF2D1">
      <w:pPr>
        <w:pStyle w:val="26"/>
        <w:rPr>
          <w:rFonts w:hint="eastAsia" w:ascii="宋体" w:hAnsi="宋体" w:cs="宋体"/>
          <w:sz w:val="32"/>
          <w:szCs w:val="32"/>
        </w:rPr>
      </w:pPr>
    </w:p>
    <w:p w14:paraId="33EAF943">
      <w:pPr>
        <w:spacing w:line="360" w:lineRule="auto"/>
        <w:jc w:val="center"/>
        <w:rPr>
          <w:rFonts w:hint="eastAsia" w:ascii="宋体" w:hAnsi="宋体" w:cs="宋体"/>
          <w:b/>
          <w:bCs/>
          <w:sz w:val="32"/>
          <w:szCs w:val="32"/>
        </w:rPr>
      </w:pPr>
      <w:r>
        <w:rPr>
          <w:rFonts w:hint="eastAsia" w:ascii="宋体" w:hAnsi="宋体" w:cs="宋体"/>
          <w:b/>
          <w:bCs/>
          <w:sz w:val="32"/>
          <w:szCs w:val="32"/>
        </w:rPr>
        <w:t>广东泽福管理咨询有限公司</w:t>
      </w:r>
    </w:p>
    <w:p w14:paraId="18B7E1A5">
      <w:pPr>
        <w:spacing w:line="360" w:lineRule="auto"/>
        <w:jc w:val="center"/>
        <w:rPr>
          <w:rFonts w:hint="eastAsia" w:ascii="宋体" w:hAnsi="宋体" w:cs="宋体"/>
          <w:b/>
          <w:bCs/>
          <w:sz w:val="32"/>
          <w:szCs w:val="32"/>
        </w:rPr>
        <w:sectPr>
          <w:headerReference r:id="rId4" w:type="first"/>
          <w:footerReference r:id="rId7" w:type="first"/>
          <w:headerReference r:id="rId3" w:type="default"/>
          <w:footerReference r:id="rId5" w:type="default"/>
          <w:footerReference r:id="rId6" w:type="even"/>
          <w:pgSz w:w="11907" w:h="16840"/>
          <w:pgMar w:top="1134" w:right="1361" w:bottom="1134" w:left="1361" w:header="680" w:footer="567" w:gutter="0"/>
          <w:pgNumType w:start="2"/>
          <w:cols w:space="720" w:num="1"/>
          <w:titlePg/>
          <w:docGrid w:linePitch="286" w:charSpace="0"/>
        </w:sectPr>
      </w:pPr>
      <w:r>
        <w:rPr>
          <w:rFonts w:hint="eastAsia" w:ascii="宋体" w:hAnsi="宋体" w:cs="宋体"/>
          <w:b/>
          <w:bCs/>
          <w:sz w:val="32"/>
          <w:szCs w:val="32"/>
        </w:rPr>
        <w:t>发布日期：2025年</w:t>
      </w:r>
      <w:r>
        <w:rPr>
          <w:rFonts w:hint="eastAsia" w:ascii="宋体" w:hAnsi="宋体" w:cs="宋体"/>
          <w:b/>
          <w:bCs/>
          <w:sz w:val="32"/>
          <w:szCs w:val="32"/>
          <w:lang w:val="en-US" w:eastAsia="zh-CN"/>
        </w:rPr>
        <w:t>10</w:t>
      </w:r>
      <w:r>
        <w:rPr>
          <w:rFonts w:hint="eastAsia" w:ascii="宋体" w:hAnsi="宋体" w:cs="宋体"/>
          <w:b/>
          <w:bCs/>
          <w:sz w:val="32"/>
          <w:szCs w:val="32"/>
        </w:rPr>
        <w:t>月</w:t>
      </w:r>
    </w:p>
    <w:p w14:paraId="59E00A4A">
      <w:pPr>
        <w:spacing w:line="360" w:lineRule="auto"/>
        <w:jc w:val="center"/>
        <w:rPr>
          <w:rFonts w:hint="eastAsia" w:ascii="宋体" w:hAnsi="宋体" w:cs="宋体"/>
          <w:b/>
          <w:sz w:val="44"/>
          <w:szCs w:val="44"/>
        </w:rPr>
      </w:pPr>
      <w:bookmarkStart w:id="250" w:name="_GoBack"/>
      <w:bookmarkEnd w:id="250"/>
      <w:r>
        <w:rPr>
          <w:rFonts w:hint="eastAsia" w:ascii="宋体" w:hAnsi="宋体" w:cs="宋体"/>
          <w:b/>
          <w:sz w:val="44"/>
          <w:szCs w:val="44"/>
        </w:rPr>
        <w:t>特别告知</w:t>
      </w:r>
    </w:p>
    <w:p w14:paraId="02F7AC20">
      <w:pPr>
        <w:spacing w:line="360" w:lineRule="auto"/>
        <w:rPr>
          <w:rFonts w:hint="eastAsia" w:ascii="宋体" w:hAnsi="宋体" w:cs="宋体"/>
          <w:szCs w:val="21"/>
        </w:rPr>
      </w:pPr>
    </w:p>
    <w:p w14:paraId="72930909">
      <w:pPr>
        <w:numPr>
          <w:ilvl w:val="0"/>
          <w:numId w:val="5"/>
        </w:numPr>
        <w:tabs>
          <w:tab w:val="left" w:pos="851"/>
        </w:tabs>
        <w:spacing w:line="360" w:lineRule="auto"/>
        <w:ind w:left="851" w:hanging="851"/>
        <w:rPr>
          <w:rFonts w:hint="eastAsia" w:ascii="宋体" w:hAnsi="宋体" w:cs="宋体"/>
          <w:sz w:val="24"/>
        </w:rPr>
      </w:pPr>
      <w:r>
        <w:rPr>
          <w:rFonts w:hint="eastAsia" w:ascii="宋体" w:hAnsi="宋体" w:cs="宋体"/>
          <w:sz w:val="24"/>
        </w:rPr>
        <w:t>为避免因网络波动而失去竞价资格，请</w:t>
      </w:r>
      <w:r>
        <w:rPr>
          <w:rFonts w:hint="eastAsia" w:ascii="宋体" w:hAnsi="宋体" w:cs="宋体"/>
          <w:sz w:val="24"/>
          <w:u w:val="single"/>
        </w:rPr>
        <w:t>确保网络通畅提前调试好设备</w:t>
      </w:r>
      <w:r>
        <w:rPr>
          <w:rFonts w:hint="eastAsia" w:ascii="宋体" w:hAnsi="宋体" w:cs="宋体"/>
          <w:sz w:val="24"/>
        </w:rPr>
        <w:t>。</w:t>
      </w:r>
    </w:p>
    <w:p w14:paraId="0DCE8E11">
      <w:pPr>
        <w:numPr>
          <w:ilvl w:val="0"/>
          <w:numId w:val="5"/>
        </w:numPr>
        <w:tabs>
          <w:tab w:val="left" w:pos="851"/>
        </w:tabs>
        <w:spacing w:line="360" w:lineRule="auto"/>
        <w:ind w:left="851" w:hanging="851"/>
        <w:rPr>
          <w:rFonts w:hint="eastAsia" w:ascii="宋体" w:hAnsi="宋体" w:cs="宋体"/>
          <w:sz w:val="24"/>
        </w:rPr>
      </w:pPr>
      <w:r>
        <w:rPr>
          <w:rFonts w:hint="eastAsia" w:ascii="宋体" w:hAnsi="宋体" w:cs="宋体"/>
          <w:sz w:val="24"/>
        </w:rPr>
        <w:t>保证金（如有要求）必须于竞价递交截止时间前到达广东泽福管理咨询有限公司账户。由于转账当天不一定能够到账，为避免因保证金未到账而导致报价被拒绝，</w:t>
      </w:r>
      <w:r>
        <w:rPr>
          <w:rFonts w:hint="eastAsia" w:ascii="宋体" w:hAnsi="宋体" w:cs="宋体"/>
          <w:sz w:val="24"/>
          <w:u w:val="single"/>
        </w:rPr>
        <w:t>建议至少提前1个工作日转账</w:t>
      </w:r>
      <w:r>
        <w:rPr>
          <w:rFonts w:hint="eastAsia" w:ascii="宋体" w:hAnsi="宋体" w:cs="宋体"/>
          <w:sz w:val="24"/>
        </w:rPr>
        <w:t>。保证金缴纳方式：银行转账等方式，转账或电汇的须按照电子竞价文件指定的账号转账，电汇凭证的备注栏须注明：保证金（项目编号）；</w:t>
      </w:r>
    </w:p>
    <w:p w14:paraId="482CED07">
      <w:pPr>
        <w:numPr>
          <w:ilvl w:val="0"/>
          <w:numId w:val="5"/>
        </w:numPr>
        <w:tabs>
          <w:tab w:val="left" w:pos="851"/>
        </w:tabs>
        <w:spacing w:line="360" w:lineRule="auto"/>
        <w:ind w:left="851" w:hanging="851"/>
        <w:rPr>
          <w:rFonts w:hint="eastAsia" w:ascii="宋体" w:hAnsi="宋体" w:cs="宋体"/>
          <w:sz w:val="24"/>
        </w:rPr>
      </w:pPr>
      <w:r>
        <w:rPr>
          <w:rFonts w:hint="eastAsia" w:ascii="宋体" w:hAnsi="宋体" w:cs="宋体"/>
          <w:sz w:val="24"/>
        </w:rPr>
        <w:t>本公司将严守法律法规及行业规范完成本项目代理服务，未经委托单位书面同意不增加任何收费项目；严禁员工以口头、书面或暗示等任何形式向采购相关人员表达有可能影响公开、公平、公正的行为。</w:t>
      </w:r>
    </w:p>
    <w:p w14:paraId="1CD6543B">
      <w:pPr>
        <w:numPr>
          <w:ilvl w:val="0"/>
          <w:numId w:val="5"/>
        </w:numPr>
        <w:tabs>
          <w:tab w:val="left" w:pos="851"/>
        </w:tabs>
        <w:wordWrap w:val="0"/>
        <w:spacing w:line="360" w:lineRule="auto"/>
        <w:ind w:left="850" w:hanging="850"/>
        <w:rPr>
          <w:rFonts w:hint="eastAsia" w:ascii="宋体" w:hAnsi="宋体" w:cs="宋体"/>
          <w:b/>
          <w:sz w:val="24"/>
          <w:u w:val="single"/>
        </w:rPr>
      </w:pPr>
      <w:r>
        <w:rPr>
          <w:rFonts w:hint="eastAsia" w:ascii="宋体" w:hAnsi="宋体" w:cs="宋体"/>
          <w:b/>
          <w:sz w:val="24"/>
          <w:u w:val="single"/>
        </w:rPr>
        <w:t>凡有意参与竞价的单位，请前往国e平台（网址：http://www.ebidding.com）免费注册。注册时须在平台上传原件扫描件，或加盖单位公章的营业执照以及银行基本账户开户许可证或基本存款账户信息扫描件），操作步骤详见国e平台《平台操作手册（投标人）》（https://http://www.ebidding.com//e-portal/help-center/view.html?docPath=/e-portal/help-center/doc3）。如有疑问可拨打国e平台服务热线：</w:t>
      </w:r>
    </w:p>
    <w:p w14:paraId="5EE082EB">
      <w:pPr>
        <w:numPr>
          <w:ilvl w:val="255"/>
          <w:numId w:val="0"/>
        </w:numPr>
        <w:tabs>
          <w:tab w:val="left" w:pos="851"/>
        </w:tabs>
        <w:spacing w:line="360" w:lineRule="auto"/>
        <w:rPr>
          <w:rFonts w:hint="eastAsia" w:ascii="宋体" w:hAnsi="宋体" w:cs="宋体"/>
          <w:b/>
          <w:sz w:val="24"/>
          <w:u w:val="single"/>
        </w:rPr>
      </w:pPr>
      <w:r>
        <w:rPr>
          <w:rFonts w:hint="eastAsia" w:ascii="宋体" w:hAnsi="宋体" w:cs="宋体"/>
          <w:b/>
          <w:sz w:val="24"/>
          <w:u w:val="single"/>
        </w:rPr>
        <w:t>【操作咨询】：叶小姐：020-37860669、李先生：020-37860665、李小姐：020-37861083、邓先生：020-37860683、苏小姐：020-37860676、杨小姐：020-37861085、史先生：020-37861081、叶小姐：020-37860671。</w:t>
      </w:r>
    </w:p>
    <w:p w14:paraId="0C8F6FDA">
      <w:pPr>
        <w:numPr>
          <w:ilvl w:val="255"/>
          <w:numId w:val="0"/>
        </w:numPr>
        <w:tabs>
          <w:tab w:val="left" w:pos="851"/>
        </w:tabs>
        <w:spacing w:line="360" w:lineRule="auto"/>
        <w:rPr>
          <w:rFonts w:hint="eastAsia" w:ascii="宋体" w:hAnsi="宋体" w:cs="宋体"/>
          <w:b/>
          <w:sz w:val="24"/>
          <w:u w:val="single"/>
        </w:rPr>
      </w:pPr>
      <w:r>
        <w:rPr>
          <w:rFonts w:hint="eastAsia" w:ascii="宋体" w:hAnsi="宋体" w:cs="宋体"/>
          <w:b/>
          <w:sz w:val="24"/>
          <w:u w:val="single"/>
        </w:rPr>
        <w:t>【注册审批】：陈小姐：020-37860644、龚先生：020-37861046、郑小姐：020-37860663。</w:t>
      </w:r>
    </w:p>
    <w:p w14:paraId="2B2EA5E2">
      <w:pPr>
        <w:numPr>
          <w:ilvl w:val="0"/>
          <w:numId w:val="5"/>
        </w:numPr>
        <w:tabs>
          <w:tab w:val="left" w:pos="851"/>
        </w:tabs>
        <w:spacing w:line="360" w:lineRule="auto"/>
        <w:ind w:left="851" w:hanging="851"/>
        <w:rPr>
          <w:rFonts w:hint="eastAsia" w:ascii="宋体" w:hAnsi="宋体" w:cs="宋体"/>
          <w:sz w:val="24"/>
        </w:rPr>
      </w:pPr>
      <w:r>
        <w:rPr>
          <w:rFonts w:hint="eastAsia" w:ascii="宋体" w:hAnsi="宋体" w:cs="宋体"/>
          <w:sz w:val="24"/>
        </w:rPr>
        <w:t>竞价数据以网上竞价平台数据库记录为准，一切因网络通信等外部因素造成的竞价数据错误或缺失，或导致竞价项目交易异常的，均与</w:t>
      </w:r>
      <w:r>
        <w:rPr>
          <w:rFonts w:hint="eastAsia" w:ascii="宋体" w:hAnsi="宋体" w:cs="宋体"/>
          <w:b/>
          <w:sz w:val="24"/>
          <w:u w:val="single"/>
        </w:rPr>
        <w:t>国e平台</w:t>
      </w:r>
      <w:r>
        <w:rPr>
          <w:rFonts w:hint="eastAsia" w:ascii="宋体" w:hAnsi="宋体" w:cs="宋体"/>
          <w:sz w:val="24"/>
        </w:rPr>
        <w:t>无关。</w:t>
      </w:r>
    </w:p>
    <w:p w14:paraId="379E9F33">
      <w:pPr>
        <w:numPr>
          <w:ilvl w:val="0"/>
          <w:numId w:val="5"/>
        </w:numPr>
        <w:tabs>
          <w:tab w:val="left" w:pos="851"/>
        </w:tabs>
        <w:spacing w:line="360" w:lineRule="auto"/>
        <w:rPr>
          <w:rFonts w:hint="eastAsia" w:ascii="宋体" w:hAnsi="宋体" w:cs="宋体"/>
          <w:sz w:val="24"/>
        </w:rPr>
      </w:pPr>
      <w:r>
        <w:rPr>
          <w:rFonts w:hint="eastAsia" w:ascii="宋体" w:hAnsi="宋体" w:cs="宋体"/>
          <w:sz w:val="24"/>
        </w:rPr>
        <w:t>因网络抖动等原因造成竞价延时情况由供应商承担。</w:t>
      </w:r>
    </w:p>
    <w:p w14:paraId="5B4E4809">
      <w:pPr>
        <w:tabs>
          <w:tab w:val="left" w:pos="851"/>
        </w:tabs>
        <w:spacing w:line="360" w:lineRule="auto"/>
        <w:ind w:left="851"/>
        <w:rPr>
          <w:rFonts w:hint="eastAsia" w:ascii="宋体" w:hAnsi="宋体" w:cs="宋体"/>
          <w:sz w:val="22"/>
          <w:szCs w:val="22"/>
        </w:rPr>
      </w:pPr>
    </w:p>
    <w:p w14:paraId="652E594F">
      <w:pPr>
        <w:spacing w:line="360" w:lineRule="auto"/>
        <w:jc w:val="center"/>
        <w:rPr>
          <w:rFonts w:hint="eastAsia" w:ascii="宋体" w:hAnsi="宋体" w:cs="宋体"/>
          <w:b/>
          <w:sz w:val="24"/>
        </w:rPr>
      </w:pPr>
      <w:r>
        <w:rPr>
          <w:rFonts w:hint="eastAsia" w:ascii="宋体" w:hAnsi="宋体" w:cs="宋体"/>
          <w:b/>
          <w:sz w:val="24"/>
        </w:rPr>
        <w:t>（本提示内容非电子竞价文件的组成部分，仅为善意提醒。如有不一致，以电子竞价文件为准）</w:t>
      </w:r>
    </w:p>
    <w:p w14:paraId="1A2277C8">
      <w:pPr>
        <w:spacing w:line="300" w:lineRule="auto"/>
        <w:rPr>
          <w:rFonts w:hint="eastAsia" w:ascii="宋体" w:hAnsi="宋体" w:cs="宋体"/>
          <w:szCs w:val="21"/>
        </w:rPr>
        <w:sectPr>
          <w:headerReference r:id="rId8" w:type="default"/>
          <w:pgSz w:w="11907" w:h="16840"/>
          <w:pgMar w:top="1134" w:right="1361" w:bottom="1134" w:left="1361" w:header="680" w:footer="567" w:gutter="0"/>
          <w:cols w:space="720" w:num="1"/>
          <w:titlePg/>
          <w:docGrid w:linePitch="286" w:charSpace="0"/>
        </w:sectPr>
      </w:pPr>
    </w:p>
    <w:sdt>
      <w:sdtPr>
        <w:rPr>
          <w:rFonts w:hint="eastAsia" w:ascii="宋体" w:hAnsi="宋体" w:eastAsia="宋体" w:cs="宋体"/>
          <w:color w:val="auto"/>
          <w:kern w:val="2"/>
          <w:sz w:val="21"/>
          <w:szCs w:val="24"/>
          <w:lang w:val="zh-CN"/>
        </w:rPr>
        <w:id w:val="-516926812"/>
        <w:docPartObj>
          <w:docPartGallery w:val="Table of Contents"/>
          <w:docPartUnique/>
        </w:docPartObj>
      </w:sdtPr>
      <w:sdtEndPr>
        <w:rPr>
          <w:rFonts w:hint="eastAsia" w:ascii="宋体" w:hAnsi="宋体" w:eastAsia="宋体" w:cs="宋体"/>
          <w:b/>
          <w:bCs/>
          <w:color w:val="auto"/>
          <w:kern w:val="2"/>
          <w:sz w:val="21"/>
          <w:szCs w:val="24"/>
          <w:lang w:val="zh-CN"/>
        </w:rPr>
      </w:sdtEndPr>
      <w:sdtContent>
        <w:p w14:paraId="2FC7D47C">
          <w:pPr>
            <w:pStyle w:val="154"/>
            <w:jc w:val="center"/>
            <w:rPr>
              <w:rFonts w:hint="eastAsia" w:ascii="宋体" w:hAnsi="宋体" w:eastAsia="宋体" w:cs="宋体"/>
              <w:b/>
              <w:color w:val="auto"/>
              <w:sz w:val="48"/>
              <w:szCs w:val="48"/>
            </w:rPr>
          </w:pPr>
          <w:r>
            <w:rPr>
              <w:rFonts w:hint="eastAsia" w:ascii="宋体" w:hAnsi="宋体" w:eastAsia="宋体" w:cs="宋体"/>
              <w:b/>
              <w:color w:val="auto"/>
              <w:sz w:val="48"/>
              <w:szCs w:val="48"/>
              <w:lang w:val="zh-CN"/>
            </w:rPr>
            <w:t>目 录</w:t>
          </w:r>
        </w:p>
        <w:p w14:paraId="4E1A552E">
          <w:pPr>
            <w:pStyle w:val="29"/>
            <w:tabs>
              <w:tab w:val="right" w:leader="dot" w:pos="9185"/>
            </w:tabs>
            <w:rPr>
              <w:sz w:val="28"/>
              <w:szCs w:val="28"/>
            </w:rPr>
          </w:pPr>
          <w:r>
            <w:rPr>
              <w:rFonts w:hint="eastAsia" w:ascii="宋体" w:hAnsi="宋体" w:eastAsia="宋体" w:cs="宋体"/>
              <w:bCs w:val="0"/>
              <w:caps w:val="0"/>
              <w:sz w:val="28"/>
              <w:szCs w:val="28"/>
            </w:rPr>
            <w:fldChar w:fldCharType="begin"/>
          </w:r>
          <w:r>
            <w:rPr>
              <w:rFonts w:hint="eastAsia" w:ascii="宋体" w:hAnsi="宋体" w:eastAsia="宋体" w:cs="宋体"/>
              <w:bCs w:val="0"/>
              <w:caps w:val="0"/>
              <w:sz w:val="28"/>
              <w:szCs w:val="28"/>
            </w:rPr>
            <w:instrText xml:space="preserve"> TOC \o "1-1" \h \z \u </w:instrText>
          </w:r>
          <w:r>
            <w:rPr>
              <w:rFonts w:hint="eastAsia" w:ascii="宋体" w:hAnsi="宋体" w:eastAsia="宋体" w:cs="宋体"/>
              <w:bCs w:val="0"/>
              <w:caps w:val="0"/>
              <w:sz w:val="28"/>
              <w:szCs w:val="28"/>
            </w:rPr>
            <w:fldChar w:fldCharType="separate"/>
          </w:r>
          <w:r>
            <w:fldChar w:fldCharType="begin"/>
          </w:r>
          <w:r>
            <w:instrText xml:space="preserve"> HYPERLINK \l "_Toc1047" </w:instrText>
          </w:r>
          <w:r>
            <w:fldChar w:fldCharType="separate"/>
          </w:r>
          <w:r>
            <w:rPr>
              <w:rFonts w:hint="eastAsia" w:ascii="宋体" w:hAnsi="宋体" w:cs="宋体"/>
              <w:sz w:val="28"/>
              <w:szCs w:val="28"/>
            </w:rPr>
            <w:t>第一部分 竞价公告</w:t>
          </w:r>
          <w:r>
            <w:rPr>
              <w:sz w:val="28"/>
              <w:szCs w:val="28"/>
            </w:rPr>
            <w:tab/>
          </w:r>
          <w:r>
            <w:rPr>
              <w:sz w:val="28"/>
              <w:szCs w:val="28"/>
            </w:rPr>
            <w:fldChar w:fldCharType="begin"/>
          </w:r>
          <w:r>
            <w:rPr>
              <w:sz w:val="28"/>
              <w:szCs w:val="28"/>
            </w:rPr>
            <w:instrText xml:space="preserve"> PAGEREF _Toc1047 \h </w:instrText>
          </w:r>
          <w:r>
            <w:rPr>
              <w:sz w:val="28"/>
              <w:szCs w:val="28"/>
            </w:rPr>
            <w:fldChar w:fldCharType="separate"/>
          </w:r>
          <w:r>
            <w:rPr>
              <w:sz w:val="28"/>
              <w:szCs w:val="28"/>
            </w:rPr>
            <w:t>4</w:t>
          </w:r>
          <w:r>
            <w:rPr>
              <w:sz w:val="28"/>
              <w:szCs w:val="28"/>
            </w:rPr>
            <w:fldChar w:fldCharType="end"/>
          </w:r>
          <w:r>
            <w:rPr>
              <w:sz w:val="28"/>
              <w:szCs w:val="28"/>
            </w:rPr>
            <w:fldChar w:fldCharType="end"/>
          </w:r>
        </w:p>
        <w:p w14:paraId="55BCF1D4">
          <w:pPr>
            <w:pStyle w:val="29"/>
            <w:tabs>
              <w:tab w:val="right" w:leader="dot" w:pos="9185"/>
            </w:tabs>
            <w:rPr>
              <w:sz w:val="28"/>
              <w:szCs w:val="28"/>
            </w:rPr>
          </w:pPr>
          <w:r>
            <w:fldChar w:fldCharType="begin"/>
          </w:r>
          <w:r>
            <w:instrText xml:space="preserve"> HYPERLINK \l "_Toc12574" </w:instrText>
          </w:r>
          <w:r>
            <w:fldChar w:fldCharType="separate"/>
          </w:r>
          <w:r>
            <w:rPr>
              <w:rFonts w:hint="eastAsia" w:ascii="宋体" w:hAnsi="宋体" w:cs="宋体"/>
              <w:sz w:val="28"/>
              <w:szCs w:val="28"/>
            </w:rPr>
            <w:t>第二部分 竞价须知</w:t>
          </w:r>
          <w:r>
            <w:rPr>
              <w:sz w:val="28"/>
              <w:szCs w:val="28"/>
            </w:rPr>
            <w:tab/>
          </w:r>
          <w:r>
            <w:rPr>
              <w:sz w:val="28"/>
              <w:szCs w:val="28"/>
            </w:rPr>
            <w:fldChar w:fldCharType="begin"/>
          </w:r>
          <w:r>
            <w:rPr>
              <w:sz w:val="28"/>
              <w:szCs w:val="28"/>
            </w:rPr>
            <w:instrText xml:space="preserve"> PAGEREF _Toc12574 \h </w:instrText>
          </w:r>
          <w:r>
            <w:rPr>
              <w:sz w:val="28"/>
              <w:szCs w:val="28"/>
            </w:rPr>
            <w:fldChar w:fldCharType="separate"/>
          </w:r>
          <w:r>
            <w:rPr>
              <w:sz w:val="28"/>
              <w:szCs w:val="28"/>
            </w:rPr>
            <w:t>8</w:t>
          </w:r>
          <w:r>
            <w:rPr>
              <w:sz w:val="28"/>
              <w:szCs w:val="28"/>
            </w:rPr>
            <w:fldChar w:fldCharType="end"/>
          </w:r>
          <w:r>
            <w:rPr>
              <w:sz w:val="28"/>
              <w:szCs w:val="28"/>
            </w:rPr>
            <w:fldChar w:fldCharType="end"/>
          </w:r>
        </w:p>
        <w:p w14:paraId="7A402B25">
          <w:pPr>
            <w:pStyle w:val="29"/>
            <w:tabs>
              <w:tab w:val="right" w:leader="dot" w:pos="9185"/>
            </w:tabs>
            <w:rPr>
              <w:sz w:val="28"/>
              <w:szCs w:val="28"/>
            </w:rPr>
          </w:pPr>
          <w:r>
            <w:fldChar w:fldCharType="begin"/>
          </w:r>
          <w:r>
            <w:instrText xml:space="preserve"> HYPERLINK \l "_Toc18676" </w:instrText>
          </w:r>
          <w:r>
            <w:fldChar w:fldCharType="separate"/>
          </w:r>
          <w:r>
            <w:rPr>
              <w:rFonts w:hint="eastAsia" w:ascii="宋体" w:hAnsi="宋体" w:cs="宋体"/>
              <w:sz w:val="28"/>
              <w:szCs w:val="28"/>
            </w:rPr>
            <w:t>第三部分 项目内容和要求</w:t>
          </w:r>
          <w:r>
            <w:rPr>
              <w:sz w:val="28"/>
              <w:szCs w:val="28"/>
            </w:rPr>
            <w:tab/>
          </w:r>
          <w:r>
            <w:rPr>
              <w:sz w:val="28"/>
              <w:szCs w:val="28"/>
            </w:rPr>
            <w:fldChar w:fldCharType="begin"/>
          </w:r>
          <w:r>
            <w:rPr>
              <w:sz w:val="28"/>
              <w:szCs w:val="28"/>
            </w:rPr>
            <w:instrText xml:space="preserve"> PAGEREF _Toc18676 \h </w:instrText>
          </w:r>
          <w:r>
            <w:rPr>
              <w:sz w:val="28"/>
              <w:szCs w:val="28"/>
            </w:rPr>
            <w:fldChar w:fldCharType="separate"/>
          </w:r>
          <w:r>
            <w:rPr>
              <w:sz w:val="28"/>
              <w:szCs w:val="28"/>
            </w:rPr>
            <w:t>16</w:t>
          </w:r>
          <w:r>
            <w:rPr>
              <w:sz w:val="28"/>
              <w:szCs w:val="28"/>
            </w:rPr>
            <w:fldChar w:fldCharType="end"/>
          </w:r>
          <w:r>
            <w:rPr>
              <w:sz w:val="28"/>
              <w:szCs w:val="28"/>
            </w:rPr>
            <w:fldChar w:fldCharType="end"/>
          </w:r>
        </w:p>
        <w:p w14:paraId="1D391B67">
          <w:pPr>
            <w:pStyle w:val="29"/>
            <w:tabs>
              <w:tab w:val="right" w:leader="dot" w:pos="9185"/>
            </w:tabs>
            <w:rPr>
              <w:sz w:val="28"/>
              <w:szCs w:val="28"/>
            </w:rPr>
          </w:pPr>
          <w:r>
            <w:fldChar w:fldCharType="begin"/>
          </w:r>
          <w:r>
            <w:instrText xml:space="preserve"> HYPERLINK \l "_Toc17463" </w:instrText>
          </w:r>
          <w:r>
            <w:fldChar w:fldCharType="separate"/>
          </w:r>
          <w:r>
            <w:rPr>
              <w:rFonts w:hint="eastAsia" w:ascii="宋体" w:hAnsi="宋体" w:cs="宋体"/>
              <w:sz w:val="28"/>
              <w:szCs w:val="28"/>
            </w:rPr>
            <w:t>第四部分 合同格式</w:t>
          </w:r>
          <w:r>
            <w:rPr>
              <w:sz w:val="28"/>
              <w:szCs w:val="28"/>
            </w:rPr>
            <w:tab/>
          </w:r>
          <w:r>
            <w:rPr>
              <w:sz w:val="28"/>
              <w:szCs w:val="28"/>
            </w:rPr>
            <w:fldChar w:fldCharType="begin"/>
          </w:r>
          <w:r>
            <w:rPr>
              <w:sz w:val="28"/>
              <w:szCs w:val="28"/>
            </w:rPr>
            <w:instrText xml:space="preserve"> PAGEREF _Toc17463 \h </w:instrText>
          </w:r>
          <w:r>
            <w:rPr>
              <w:sz w:val="28"/>
              <w:szCs w:val="28"/>
            </w:rPr>
            <w:fldChar w:fldCharType="separate"/>
          </w:r>
          <w:r>
            <w:rPr>
              <w:sz w:val="28"/>
              <w:szCs w:val="28"/>
            </w:rPr>
            <w:t>32</w:t>
          </w:r>
          <w:r>
            <w:rPr>
              <w:sz w:val="28"/>
              <w:szCs w:val="28"/>
            </w:rPr>
            <w:fldChar w:fldCharType="end"/>
          </w:r>
          <w:r>
            <w:rPr>
              <w:sz w:val="28"/>
              <w:szCs w:val="28"/>
            </w:rPr>
            <w:fldChar w:fldCharType="end"/>
          </w:r>
        </w:p>
        <w:p w14:paraId="7D425E1F">
          <w:pPr>
            <w:pStyle w:val="29"/>
            <w:tabs>
              <w:tab w:val="right" w:leader="dot" w:pos="9185"/>
            </w:tabs>
            <w:rPr>
              <w:sz w:val="28"/>
              <w:szCs w:val="28"/>
            </w:rPr>
          </w:pPr>
          <w:r>
            <w:fldChar w:fldCharType="begin"/>
          </w:r>
          <w:r>
            <w:instrText xml:space="preserve"> HYPERLINK \l "_Toc18448" </w:instrText>
          </w:r>
          <w:r>
            <w:fldChar w:fldCharType="separate"/>
          </w:r>
          <w:r>
            <w:rPr>
              <w:rFonts w:hint="eastAsia" w:ascii="宋体" w:hAnsi="宋体" w:cs="宋体"/>
              <w:sz w:val="28"/>
              <w:szCs w:val="28"/>
            </w:rPr>
            <w:t>第五部分 采购代理服务费承诺书</w:t>
          </w:r>
          <w:r>
            <w:rPr>
              <w:sz w:val="28"/>
              <w:szCs w:val="28"/>
            </w:rPr>
            <w:tab/>
          </w:r>
          <w:r>
            <w:rPr>
              <w:sz w:val="28"/>
              <w:szCs w:val="28"/>
            </w:rPr>
            <w:fldChar w:fldCharType="begin"/>
          </w:r>
          <w:r>
            <w:rPr>
              <w:sz w:val="28"/>
              <w:szCs w:val="28"/>
            </w:rPr>
            <w:instrText xml:space="preserve"> PAGEREF _Toc18448 \h </w:instrText>
          </w:r>
          <w:r>
            <w:rPr>
              <w:sz w:val="28"/>
              <w:szCs w:val="28"/>
            </w:rPr>
            <w:fldChar w:fldCharType="separate"/>
          </w:r>
          <w:r>
            <w:rPr>
              <w:sz w:val="28"/>
              <w:szCs w:val="28"/>
            </w:rPr>
            <w:t>46</w:t>
          </w:r>
          <w:r>
            <w:rPr>
              <w:sz w:val="28"/>
              <w:szCs w:val="28"/>
            </w:rPr>
            <w:fldChar w:fldCharType="end"/>
          </w:r>
          <w:r>
            <w:rPr>
              <w:sz w:val="28"/>
              <w:szCs w:val="28"/>
            </w:rPr>
            <w:fldChar w:fldCharType="end"/>
          </w:r>
        </w:p>
        <w:p w14:paraId="751825E2">
          <w:pPr>
            <w:rPr>
              <w:rFonts w:hint="eastAsia" w:ascii="宋体" w:hAnsi="宋体" w:cs="宋体"/>
            </w:rPr>
          </w:pPr>
          <w:r>
            <w:rPr>
              <w:rFonts w:hint="eastAsia" w:ascii="宋体" w:hAnsi="宋体" w:cs="宋体"/>
              <w:bCs/>
              <w:caps/>
              <w:sz w:val="28"/>
              <w:szCs w:val="28"/>
            </w:rPr>
            <w:fldChar w:fldCharType="end"/>
          </w:r>
        </w:p>
      </w:sdtContent>
    </w:sdt>
    <w:p w14:paraId="54950DF1">
      <w:pPr>
        <w:rPr>
          <w:rFonts w:hint="eastAsia" w:ascii="宋体" w:hAnsi="宋体" w:cs="宋体"/>
          <w:szCs w:val="21"/>
        </w:rPr>
      </w:pPr>
    </w:p>
    <w:p w14:paraId="6A3ABAF3">
      <w:pPr>
        <w:tabs>
          <w:tab w:val="left" w:pos="7091"/>
        </w:tabs>
        <w:rPr>
          <w:rFonts w:hint="eastAsia" w:ascii="宋体" w:hAnsi="宋体" w:cs="宋体"/>
          <w:szCs w:val="21"/>
        </w:rPr>
      </w:pPr>
      <w:r>
        <w:rPr>
          <w:rFonts w:hint="eastAsia" w:ascii="宋体" w:hAnsi="宋体" w:cs="宋体"/>
          <w:szCs w:val="21"/>
        </w:rPr>
        <w:tab/>
      </w:r>
    </w:p>
    <w:p w14:paraId="5A8A945F">
      <w:pPr>
        <w:rPr>
          <w:rFonts w:hint="eastAsia" w:ascii="宋体" w:hAnsi="宋体" w:cs="宋体"/>
          <w:szCs w:val="21"/>
        </w:rPr>
      </w:pPr>
    </w:p>
    <w:p w14:paraId="5D89422B">
      <w:pPr>
        <w:rPr>
          <w:rFonts w:hint="eastAsia" w:ascii="宋体" w:hAnsi="宋体" w:cs="宋体"/>
          <w:szCs w:val="21"/>
        </w:rPr>
        <w:sectPr>
          <w:pgSz w:w="11907" w:h="16840"/>
          <w:pgMar w:top="1134" w:right="1361" w:bottom="709" w:left="1361" w:header="680" w:footer="567" w:gutter="0"/>
          <w:pgNumType w:start="3"/>
          <w:cols w:space="720" w:num="1"/>
          <w:docGrid w:linePitch="286" w:charSpace="0"/>
        </w:sectPr>
      </w:pPr>
    </w:p>
    <w:p w14:paraId="4CF4C51E">
      <w:pPr>
        <w:pStyle w:val="2"/>
        <w:spacing w:line="400" w:lineRule="exact"/>
        <w:jc w:val="center"/>
        <w:rPr>
          <w:rFonts w:hint="eastAsia" w:ascii="宋体" w:hAnsi="宋体" w:cs="宋体"/>
          <w:sz w:val="32"/>
          <w:szCs w:val="32"/>
        </w:rPr>
      </w:pPr>
      <w:bookmarkStart w:id="0" w:name="_Toc18419379"/>
      <w:bookmarkStart w:id="1" w:name="_Toc59193977"/>
      <w:bookmarkStart w:id="2" w:name="_Toc1047"/>
      <w:r>
        <w:rPr>
          <w:rFonts w:hint="eastAsia" w:ascii="宋体" w:hAnsi="宋体" w:cs="宋体"/>
          <w:sz w:val="32"/>
          <w:szCs w:val="32"/>
        </w:rPr>
        <w:t xml:space="preserve">第一部分 </w:t>
      </w:r>
      <w:bookmarkEnd w:id="0"/>
      <w:bookmarkStart w:id="3" w:name="_Hlk27465614"/>
      <w:r>
        <w:rPr>
          <w:rFonts w:hint="eastAsia" w:ascii="宋体" w:hAnsi="宋体" w:cs="宋体"/>
          <w:sz w:val="32"/>
          <w:szCs w:val="32"/>
        </w:rPr>
        <w:t>竞价</w:t>
      </w:r>
      <w:bookmarkEnd w:id="1"/>
      <w:r>
        <w:rPr>
          <w:rFonts w:hint="eastAsia" w:ascii="宋体" w:hAnsi="宋体" w:cs="宋体"/>
          <w:sz w:val="32"/>
          <w:szCs w:val="32"/>
        </w:rPr>
        <w:t>公告</w:t>
      </w:r>
      <w:bookmarkEnd w:id="2"/>
    </w:p>
    <w:p w14:paraId="653AFC8B">
      <w:pPr>
        <w:spacing w:line="440" w:lineRule="exact"/>
        <w:ind w:firstLine="420" w:firstLineChars="200"/>
        <w:rPr>
          <w:rFonts w:hint="eastAsia" w:ascii="宋体" w:hAnsi="宋体" w:cs="宋体"/>
          <w:szCs w:val="21"/>
        </w:rPr>
      </w:pPr>
      <w:r>
        <w:rPr>
          <w:rFonts w:hint="eastAsia" w:ascii="宋体" w:hAnsi="宋体" w:cs="宋体"/>
          <w:szCs w:val="21"/>
          <w:u w:val="single"/>
        </w:rPr>
        <w:t>广东泽福管理咨询有限公司</w:t>
      </w:r>
      <w:r>
        <w:rPr>
          <w:rFonts w:hint="eastAsia" w:ascii="宋体" w:hAnsi="宋体" w:cs="宋体"/>
          <w:szCs w:val="21"/>
        </w:rPr>
        <w:t>受</w:t>
      </w:r>
      <w:r>
        <w:rPr>
          <w:rFonts w:hint="eastAsia" w:ascii="宋体" w:hAnsi="宋体" w:cs="宋体"/>
          <w:szCs w:val="21"/>
          <w:u w:val="single"/>
        </w:rPr>
        <w:t>宁德漳湾垃圾焚烧发电有限公司</w:t>
      </w:r>
      <w:r>
        <w:rPr>
          <w:rFonts w:hint="eastAsia" w:ascii="宋体" w:hAnsi="宋体" w:cs="宋体"/>
          <w:szCs w:val="21"/>
        </w:rPr>
        <w:t>的委托，对</w:t>
      </w:r>
      <w:r>
        <w:rPr>
          <w:rFonts w:hint="eastAsia" w:ascii="宋体" w:hAnsi="宋体" w:cs="宋体"/>
          <w:szCs w:val="21"/>
          <w:u w:val="single"/>
          <w:lang w:eastAsia="zh-CN"/>
        </w:rPr>
        <w:t>宁德漳湾垃圾焚烧发电有限公司国网电力通信设备及调度设备改造服务项目</w:t>
      </w:r>
      <w:r>
        <w:rPr>
          <w:rFonts w:hint="eastAsia" w:ascii="宋体" w:hAnsi="宋体" w:cs="宋体"/>
          <w:szCs w:val="21"/>
        </w:rPr>
        <w:t>进行电子竞价采购，欢迎符合资格条件的供应商参加电子竞价。</w:t>
      </w:r>
    </w:p>
    <w:p w14:paraId="22F748E0">
      <w:pPr>
        <w:numPr>
          <w:ilvl w:val="1"/>
          <w:numId w:val="6"/>
        </w:numPr>
        <w:spacing w:line="440" w:lineRule="exact"/>
        <w:ind w:left="426" w:hanging="426"/>
        <w:rPr>
          <w:rFonts w:hint="eastAsia" w:ascii="宋体" w:hAnsi="宋体" w:cs="宋体"/>
          <w:b/>
          <w:bCs/>
          <w:szCs w:val="21"/>
        </w:rPr>
      </w:pPr>
      <w:r>
        <w:rPr>
          <w:rFonts w:hint="eastAsia" w:ascii="宋体" w:hAnsi="宋体" w:cs="宋体"/>
          <w:b/>
          <w:bCs/>
          <w:szCs w:val="21"/>
        </w:rPr>
        <w:t>项目基本情况</w:t>
      </w:r>
    </w:p>
    <w:p w14:paraId="3006ACF4">
      <w:pPr>
        <w:numPr>
          <w:ilvl w:val="0"/>
          <w:numId w:val="7"/>
        </w:numPr>
        <w:spacing w:line="440" w:lineRule="exact"/>
        <w:rPr>
          <w:rFonts w:hint="eastAsia" w:ascii="宋体" w:hAnsi="宋体" w:cs="宋体"/>
          <w:szCs w:val="21"/>
        </w:rPr>
      </w:pPr>
      <w:r>
        <w:rPr>
          <w:rFonts w:hint="eastAsia" w:ascii="宋体" w:hAnsi="宋体" w:cs="宋体"/>
          <w:szCs w:val="21"/>
        </w:rPr>
        <w:t>项目编号：</w:t>
      </w:r>
      <w:r>
        <w:rPr>
          <w:rFonts w:hint="eastAsia" w:ascii="宋体" w:hAnsi="宋体" w:cs="宋体"/>
          <w:szCs w:val="21"/>
          <w:lang w:eastAsia="zh-CN"/>
        </w:rPr>
        <w:t>GDZF-QYHJJ-2025-2611630</w:t>
      </w:r>
    </w:p>
    <w:p w14:paraId="13818965">
      <w:pPr>
        <w:numPr>
          <w:ilvl w:val="0"/>
          <w:numId w:val="7"/>
        </w:numPr>
        <w:spacing w:line="440" w:lineRule="exact"/>
        <w:rPr>
          <w:rFonts w:hint="eastAsia" w:ascii="宋体" w:hAnsi="宋体" w:cs="宋体"/>
          <w:szCs w:val="21"/>
        </w:rPr>
      </w:pPr>
      <w:r>
        <w:rPr>
          <w:rFonts w:hint="eastAsia" w:ascii="宋体" w:hAnsi="宋体" w:cs="宋体"/>
          <w:szCs w:val="21"/>
        </w:rPr>
        <w:t>采购编号：</w:t>
      </w:r>
      <w:r>
        <w:rPr>
          <w:rFonts w:hint="eastAsia" w:ascii="宋体" w:hAnsi="宋体" w:cs="宋体"/>
          <w:szCs w:val="21"/>
          <w:lang w:eastAsia="zh-CN"/>
        </w:rPr>
        <w:t>ZC-HNF-2025-061</w:t>
      </w:r>
    </w:p>
    <w:p w14:paraId="15891730">
      <w:pPr>
        <w:numPr>
          <w:ilvl w:val="0"/>
          <w:numId w:val="7"/>
        </w:numPr>
        <w:spacing w:line="440" w:lineRule="exact"/>
        <w:ind w:left="426" w:hanging="426"/>
        <w:rPr>
          <w:rFonts w:hint="eastAsia" w:ascii="宋体" w:hAnsi="宋体" w:cs="宋体"/>
          <w:szCs w:val="21"/>
        </w:rPr>
      </w:pPr>
      <w:r>
        <w:rPr>
          <w:rFonts w:hint="eastAsia" w:ascii="宋体" w:hAnsi="宋体" w:cs="宋体"/>
          <w:szCs w:val="21"/>
        </w:rPr>
        <w:t>项目名称：</w:t>
      </w:r>
      <w:r>
        <w:rPr>
          <w:rFonts w:hint="eastAsia" w:ascii="宋体" w:hAnsi="宋体" w:cs="宋体"/>
          <w:szCs w:val="21"/>
          <w:lang w:eastAsia="zh-CN"/>
        </w:rPr>
        <w:t>宁德漳湾垃圾焚烧发电有限公司国网电力通信设备及调度设备改造服务项目</w:t>
      </w:r>
    </w:p>
    <w:p w14:paraId="474B569E">
      <w:pPr>
        <w:numPr>
          <w:ilvl w:val="0"/>
          <w:numId w:val="7"/>
        </w:numPr>
        <w:spacing w:line="440" w:lineRule="exact"/>
        <w:rPr>
          <w:rFonts w:hint="eastAsia" w:ascii="宋体" w:hAnsi="宋体" w:cs="宋体"/>
          <w:szCs w:val="21"/>
        </w:rPr>
      </w:pPr>
      <w:r>
        <w:rPr>
          <w:rFonts w:hint="eastAsia" w:ascii="宋体" w:hAnsi="宋体" w:cs="宋体"/>
          <w:szCs w:val="21"/>
        </w:rPr>
        <w:t>项目内容及要求：</w:t>
      </w:r>
    </w:p>
    <w:p w14:paraId="3046BE7F">
      <w:pPr>
        <w:tabs>
          <w:tab w:val="left" w:pos="426"/>
        </w:tabs>
        <w:spacing w:line="440" w:lineRule="exact"/>
        <w:ind w:left="420" w:leftChars="200"/>
        <w:rPr>
          <w:rFonts w:hint="eastAsia" w:ascii="宋体" w:hAnsi="宋体" w:cs="宋体"/>
          <w:szCs w:val="21"/>
          <w:highlight w:val="none"/>
        </w:rPr>
      </w:pPr>
      <w:r>
        <w:rPr>
          <w:rFonts w:hint="eastAsia" w:ascii="宋体" w:hAnsi="宋体" w:cs="宋体"/>
          <w:szCs w:val="21"/>
          <w:highlight w:val="none"/>
        </w:rPr>
        <w:t>4.1项目内容：</w:t>
      </w:r>
    </w:p>
    <w:tbl>
      <w:tblPr>
        <w:tblStyle w:val="43"/>
        <w:tblpPr w:leftFromText="180" w:rightFromText="180" w:vertAnchor="text" w:horzAnchor="page" w:tblpX="1329" w:tblpY="284"/>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4"/>
        <w:gridCol w:w="3792"/>
        <w:gridCol w:w="2149"/>
        <w:gridCol w:w="1832"/>
      </w:tblGrid>
      <w:tr w14:paraId="4C92A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8D42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0C9D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B554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158F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r>
      <w:tr w14:paraId="46016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B2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D1B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光传输设备</w:t>
            </w: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77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32F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656DE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F8C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694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iad</w:t>
            </w: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92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4DE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048C6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2B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FE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ip板卡</w:t>
            </w: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DE4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B8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14:paraId="06183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71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168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路由器</w:t>
            </w: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B8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B35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510C3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DC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89B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01B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1E3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477F3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15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9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网络加固</w:t>
            </w: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2C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660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1FDAF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0A6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B6F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蓄电池</w:t>
            </w: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AF3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9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927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r>
    </w:tbl>
    <w:p w14:paraId="74A383F0">
      <w:pPr>
        <w:spacing w:line="440" w:lineRule="exact"/>
        <w:ind w:left="420" w:leftChars="200"/>
        <w:rPr>
          <w:rFonts w:hint="eastAsia" w:ascii="宋体" w:hAnsi="宋体" w:cs="宋体"/>
          <w:szCs w:val="21"/>
          <w:highlight w:val="yellow"/>
        </w:rPr>
      </w:pPr>
    </w:p>
    <w:p w14:paraId="1A14AF7C">
      <w:pPr>
        <w:spacing w:line="440" w:lineRule="exact"/>
        <w:ind w:left="420" w:leftChars="200"/>
        <w:rPr>
          <w:rFonts w:hint="eastAsia" w:ascii="宋体" w:hAnsi="宋体" w:cs="宋体"/>
          <w:szCs w:val="21"/>
          <w:highlight w:val="none"/>
        </w:rPr>
      </w:pPr>
      <w:r>
        <w:rPr>
          <w:rFonts w:hint="eastAsia" w:ascii="宋体" w:hAnsi="宋体" w:cs="宋体"/>
          <w:color w:val="auto"/>
          <w:szCs w:val="21"/>
          <w:highlight w:val="none"/>
        </w:rPr>
        <w:t>计划采购单</w:t>
      </w:r>
      <w:r>
        <w:rPr>
          <w:rFonts w:hint="eastAsia" w:ascii="宋体" w:hAnsi="宋体" w:cs="宋体"/>
          <w:color w:val="auto"/>
          <w:szCs w:val="21"/>
          <w:highlight w:val="none"/>
          <w:lang w:eastAsia="zh-CN"/>
        </w:rPr>
        <w:t>次</w:t>
      </w:r>
      <w:r>
        <w:rPr>
          <w:rFonts w:hint="eastAsia" w:ascii="宋体" w:hAnsi="宋体" w:cs="宋体"/>
          <w:color w:val="auto"/>
          <w:szCs w:val="21"/>
          <w:highlight w:val="none"/>
        </w:rPr>
        <w:t>所需的</w:t>
      </w:r>
      <w:r>
        <w:rPr>
          <w:rFonts w:hint="eastAsia" w:ascii="宋体" w:hAnsi="宋体" w:cs="宋体"/>
          <w:color w:val="auto"/>
          <w:szCs w:val="21"/>
          <w:highlight w:val="none"/>
          <w:lang w:eastAsia="zh-CN"/>
        </w:rPr>
        <w:t>设备改造</w:t>
      </w:r>
      <w:r>
        <w:rPr>
          <w:rFonts w:hint="eastAsia" w:ascii="宋体" w:hAnsi="宋体" w:cs="宋体"/>
          <w:color w:val="auto"/>
          <w:szCs w:val="21"/>
          <w:highlight w:val="none"/>
        </w:rPr>
        <w:t>服务，主要服务范围为</w:t>
      </w:r>
      <w:r>
        <w:rPr>
          <w:rFonts w:hint="eastAsia" w:ascii="宋体" w:hAnsi="宋体" w:cs="宋体"/>
          <w:color w:val="auto"/>
          <w:szCs w:val="21"/>
          <w:highlight w:val="none"/>
          <w:lang w:val="en-US" w:eastAsia="zh-CN"/>
        </w:rPr>
        <w:t>更换通信传输设备、通信 PCM 设备、通信蓄电池及调度数据网设备。</w:t>
      </w:r>
      <w:r>
        <w:rPr>
          <w:rFonts w:hint="eastAsia" w:ascii="宋体" w:hAnsi="宋体" w:cs="宋体"/>
          <w:szCs w:val="21"/>
          <w:highlight w:val="none"/>
        </w:rPr>
        <w:t>具体内容详见采购文件《第三部分 项目内容和要求》。</w:t>
      </w:r>
    </w:p>
    <w:p w14:paraId="0A98A7EF">
      <w:pPr>
        <w:tabs>
          <w:tab w:val="left" w:pos="426"/>
        </w:tabs>
        <w:spacing w:line="440" w:lineRule="exact"/>
        <w:ind w:left="420" w:leftChars="200"/>
        <w:rPr>
          <w:rFonts w:hint="eastAsia" w:ascii="宋体" w:hAnsi="宋体" w:cs="宋体"/>
          <w:szCs w:val="21"/>
          <w:highlight w:val="none"/>
        </w:rPr>
      </w:pPr>
      <w:r>
        <w:rPr>
          <w:rFonts w:hint="eastAsia" w:ascii="宋体" w:hAnsi="宋体" w:cs="宋体"/>
          <w:szCs w:val="21"/>
          <w:highlight w:val="none"/>
        </w:rPr>
        <w:t>4.2保修期：货物交付并</w:t>
      </w:r>
      <w:r>
        <w:rPr>
          <w:rFonts w:hint="eastAsia" w:ascii="宋体" w:hAnsi="宋体" w:cs="宋体"/>
          <w:szCs w:val="21"/>
          <w:highlight w:val="none"/>
          <w:lang w:eastAsia="zh-CN"/>
        </w:rPr>
        <w:t>安装调试</w:t>
      </w:r>
      <w:r>
        <w:rPr>
          <w:rFonts w:hint="eastAsia" w:ascii="宋体" w:hAnsi="宋体" w:cs="宋体"/>
          <w:szCs w:val="21"/>
          <w:highlight w:val="none"/>
        </w:rPr>
        <w:t>验收合格后一年。</w:t>
      </w:r>
    </w:p>
    <w:p w14:paraId="25C308C6">
      <w:pPr>
        <w:tabs>
          <w:tab w:val="left" w:pos="426"/>
        </w:tabs>
        <w:spacing w:line="440" w:lineRule="exact"/>
        <w:ind w:left="420" w:leftChars="200"/>
        <w:rPr>
          <w:rFonts w:hint="eastAsia" w:ascii="宋体" w:hAnsi="宋体" w:cs="宋体"/>
          <w:szCs w:val="21"/>
          <w:highlight w:val="none"/>
        </w:rPr>
      </w:pPr>
      <w:r>
        <w:rPr>
          <w:rFonts w:hint="eastAsia" w:ascii="宋体" w:hAnsi="宋体" w:cs="宋体"/>
          <w:szCs w:val="21"/>
          <w:highlight w:val="none"/>
        </w:rPr>
        <w:t>4.3保质期：货物交付并</w:t>
      </w:r>
      <w:r>
        <w:rPr>
          <w:rFonts w:hint="eastAsia" w:ascii="宋体" w:hAnsi="宋体" w:cs="宋体"/>
          <w:szCs w:val="21"/>
          <w:highlight w:val="none"/>
          <w:lang w:eastAsia="zh-CN"/>
        </w:rPr>
        <w:t>安装调试</w:t>
      </w:r>
      <w:r>
        <w:rPr>
          <w:rFonts w:hint="eastAsia" w:ascii="宋体" w:hAnsi="宋体" w:cs="宋体"/>
          <w:szCs w:val="21"/>
          <w:highlight w:val="none"/>
        </w:rPr>
        <w:t>验收合格后一年。</w:t>
      </w:r>
    </w:p>
    <w:p w14:paraId="1846BFA0">
      <w:pPr>
        <w:tabs>
          <w:tab w:val="left" w:pos="426"/>
        </w:tabs>
        <w:spacing w:line="440" w:lineRule="exact"/>
        <w:ind w:left="420" w:leftChars="200"/>
        <w:rPr>
          <w:rFonts w:hint="eastAsia" w:ascii="宋体" w:hAnsi="宋体" w:cs="宋体"/>
          <w:szCs w:val="21"/>
          <w:highlight w:val="none"/>
          <w:lang w:val="en-US" w:eastAsia="zh-CN"/>
        </w:rPr>
      </w:pPr>
      <w:r>
        <w:rPr>
          <w:rFonts w:hint="eastAsia" w:ascii="宋体" w:hAnsi="宋体" w:cs="宋体"/>
          <w:szCs w:val="21"/>
          <w:highlight w:val="none"/>
        </w:rPr>
        <w:t>4.4</w:t>
      </w:r>
      <w:r>
        <w:rPr>
          <w:rFonts w:hint="eastAsia" w:ascii="宋体" w:hAnsi="宋体" w:cs="宋体"/>
          <w:szCs w:val="21"/>
          <w:highlight w:val="none"/>
          <w:lang w:val="en-US" w:eastAsia="zh-CN"/>
        </w:rPr>
        <w:t>改造期限：2天。（供应商收到预付款10天内交付设备，2天内完成改造工作）</w:t>
      </w:r>
    </w:p>
    <w:p w14:paraId="1872D30D">
      <w:pPr>
        <w:tabs>
          <w:tab w:val="left" w:pos="426"/>
        </w:tabs>
        <w:spacing w:line="440" w:lineRule="exact"/>
        <w:ind w:left="420" w:left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4.5送货次数：单点单次</w:t>
      </w:r>
    </w:p>
    <w:p w14:paraId="77510214">
      <w:pPr>
        <w:tabs>
          <w:tab w:val="left" w:pos="426"/>
        </w:tabs>
        <w:spacing w:line="440" w:lineRule="exact"/>
        <w:ind w:left="420" w:leftChars="200"/>
        <w:rPr>
          <w:rFonts w:hint="eastAsia"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lang w:val="en-US" w:eastAsia="zh-CN"/>
        </w:rPr>
        <w:t>6</w:t>
      </w:r>
      <w:r>
        <w:rPr>
          <w:rFonts w:hint="eastAsia" w:ascii="宋体" w:hAnsi="宋体" w:cs="宋体"/>
          <w:szCs w:val="21"/>
          <w:highlight w:val="none"/>
        </w:rPr>
        <w:t>采购预算：人民币</w:t>
      </w:r>
      <w:r>
        <w:rPr>
          <w:rFonts w:hint="eastAsia" w:ascii="宋体" w:hAnsi="宋体" w:cs="宋体"/>
          <w:szCs w:val="21"/>
          <w:highlight w:val="none"/>
          <w:lang w:val="en-US" w:eastAsia="zh-CN"/>
        </w:rPr>
        <w:t>50</w:t>
      </w:r>
      <w:r>
        <w:rPr>
          <w:rFonts w:hint="eastAsia" w:ascii="宋体" w:hAnsi="宋体" w:cs="宋体"/>
          <w:szCs w:val="21"/>
          <w:highlight w:val="none"/>
        </w:rPr>
        <w:t>万元（含税）</w:t>
      </w:r>
    </w:p>
    <w:p w14:paraId="361ECF32">
      <w:pPr>
        <w:numPr>
          <w:ilvl w:val="1"/>
          <w:numId w:val="6"/>
        </w:numPr>
        <w:spacing w:line="440" w:lineRule="exact"/>
        <w:ind w:left="426" w:hanging="426"/>
        <w:rPr>
          <w:rFonts w:hint="eastAsia" w:ascii="宋体" w:hAnsi="宋体" w:cs="宋体"/>
          <w:b/>
          <w:bCs/>
          <w:szCs w:val="21"/>
          <w:highlight w:val="none"/>
        </w:rPr>
      </w:pPr>
      <w:r>
        <w:rPr>
          <w:rFonts w:hint="eastAsia" w:ascii="宋体" w:hAnsi="宋体" w:cs="宋体"/>
          <w:b/>
          <w:bCs/>
          <w:szCs w:val="21"/>
          <w:highlight w:val="none"/>
        </w:rPr>
        <w:t>报名要求（报名时需要提供以下盖章资料扫描件）</w:t>
      </w:r>
    </w:p>
    <w:p w14:paraId="70ACEFCD">
      <w:pPr>
        <w:numPr>
          <w:ilvl w:val="0"/>
          <w:numId w:val="8"/>
        </w:numPr>
        <w:spacing w:line="440" w:lineRule="exact"/>
        <w:rPr>
          <w:rFonts w:hint="eastAsia" w:ascii="宋体" w:hAnsi="宋体" w:cs="宋体"/>
          <w:szCs w:val="21"/>
          <w:highlight w:val="none"/>
        </w:rPr>
      </w:pPr>
      <w:r>
        <w:rPr>
          <w:rFonts w:hint="eastAsia" w:ascii="宋体" w:hAnsi="宋体" w:cs="宋体"/>
          <w:szCs w:val="21"/>
          <w:highlight w:val="none"/>
        </w:rPr>
        <w:t>供应商应为在中华人民共和国境内注册的法人或其他组织，需提供营业执照或事业单位法人证书或其他主体证明文件，按照国家法律经营。（分支机构</w:t>
      </w:r>
      <w:r>
        <w:rPr>
          <w:rFonts w:hint="eastAsia"/>
          <w:highlight w:val="none"/>
        </w:rPr>
        <w:t>电子竞价</w:t>
      </w:r>
      <w:r>
        <w:rPr>
          <w:rFonts w:hint="eastAsia" w:ascii="宋体" w:hAnsi="宋体" w:cs="宋体"/>
          <w:szCs w:val="21"/>
          <w:highlight w:val="none"/>
        </w:rPr>
        <w:t>，须取得具有法人资格的总公司出具给分支机构的授权书，并提供总公司和分支机构的营业执照（执业许可证）复印件。已由总公司授权的，总公司取得的相关资质证书对分支机构有效，法律法规或者行业另有规定的除外）。</w:t>
      </w:r>
    </w:p>
    <w:p w14:paraId="78D1F321">
      <w:pPr>
        <w:numPr>
          <w:ilvl w:val="0"/>
          <w:numId w:val="8"/>
        </w:numPr>
        <w:spacing w:line="440" w:lineRule="exact"/>
        <w:rPr>
          <w:rFonts w:hint="eastAsia" w:ascii="宋体" w:hAnsi="宋体" w:cs="宋体"/>
          <w:szCs w:val="21"/>
          <w:highlight w:val="none"/>
        </w:rPr>
      </w:pPr>
      <w:r>
        <w:rPr>
          <w:rFonts w:hint="eastAsia" w:ascii="宋体" w:hAnsi="宋体" w:cs="宋体"/>
          <w:szCs w:val="21"/>
          <w:highlight w:val="none"/>
          <w:lang w:val="en-US" w:eastAsia="zh-CN"/>
        </w:rPr>
        <w:t>供应商须提供2023年9月1日至今同类型项目业绩一份。（须提供合同首页、关键页、盖章页等证明材料）</w:t>
      </w:r>
    </w:p>
    <w:p w14:paraId="721AF7EB">
      <w:pPr>
        <w:numPr>
          <w:ilvl w:val="0"/>
          <w:numId w:val="8"/>
        </w:numPr>
        <w:spacing w:line="440" w:lineRule="exact"/>
        <w:rPr>
          <w:rFonts w:hint="eastAsia" w:ascii="宋体" w:hAnsi="宋体" w:cs="宋体"/>
          <w:szCs w:val="21"/>
          <w:highlight w:val="none"/>
        </w:rPr>
      </w:pPr>
      <w:r>
        <w:rPr>
          <w:rFonts w:hint="eastAsia" w:ascii="宋体" w:hAnsi="宋体" w:cs="宋体"/>
          <w:szCs w:val="21"/>
          <w:highlight w:val="none"/>
          <w:lang w:val="en-US" w:eastAsia="zh-CN"/>
        </w:rPr>
        <w:t>供应商须</w:t>
      </w:r>
      <w:r>
        <w:rPr>
          <w:rFonts w:hint="eastAsia" w:ascii="宋体" w:hAnsi="宋体" w:cs="宋体"/>
          <w:szCs w:val="21"/>
          <w:highlight w:val="none"/>
        </w:rPr>
        <w:t>提供通信传输设备与IAD设备的原厂授权委托书。</w:t>
      </w:r>
      <w:r>
        <w:rPr>
          <w:rFonts w:hint="eastAsia" w:ascii="宋体" w:hAnsi="宋体" w:cs="宋体"/>
          <w:szCs w:val="21"/>
          <w:highlight w:val="none"/>
          <w:lang w:eastAsia="zh-CN"/>
        </w:rPr>
        <w:t>（</w:t>
      </w:r>
      <w:r>
        <w:rPr>
          <w:rFonts w:hint="eastAsia" w:ascii="宋体" w:hAnsi="宋体" w:cs="宋体"/>
          <w:szCs w:val="21"/>
          <w:highlight w:val="none"/>
          <w:lang w:val="en-US" w:eastAsia="zh-CN"/>
        </w:rPr>
        <w:t>格式自拟</w:t>
      </w:r>
      <w:r>
        <w:rPr>
          <w:rFonts w:hint="eastAsia" w:ascii="宋体" w:hAnsi="宋体" w:cs="宋体"/>
          <w:szCs w:val="21"/>
          <w:highlight w:val="none"/>
          <w:lang w:eastAsia="zh-CN"/>
        </w:rPr>
        <w:t>）</w:t>
      </w:r>
    </w:p>
    <w:p w14:paraId="5F1A728F">
      <w:pPr>
        <w:numPr>
          <w:ilvl w:val="0"/>
          <w:numId w:val="8"/>
        </w:numPr>
        <w:spacing w:line="440" w:lineRule="exact"/>
        <w:rPr>
          <w:rFonts w:hint="eastAsia" w:ascii="宋体" w:hAnsi="宋体" w:cs="宋体"/>
          <w:szCs w:val="21"/>
          <w:highlight w:val="none"/>
        </w:rPr>
      </w:pPr>
      <w:r>
        <w:rPr>
          <w:rFonts w:hint="eastAsia" w:ascii="宋体" w:hAnsi="宋体" w:cs="宋体"/>
          <w:szCs w:val="21"/>
          <w:highlight w:val="none"/>
        </w:rPr>
        <w:t>供应商须完全满足或优于《技术规范书》中的全部要求。（注：须提供相关证明材料或《需求响应表》（格式自拟）并加盖供应商公章）</w:t>
      </w:r>
    </w:p>
    <w:p w14:paraId="3578884E">
      <w:pPr>
        <w:numPr>
          <w:ilvl w:val="0"/>
          <w:numId w:val="8"/>
        </w:numPr>
        <w:spacing w:line="440" w:lineRule="exact"/>
        <w:rPr>
          <w:rFonts w:hint="eastAsia" w:ascii="宋体" w:hAnsi="宋体" w:cs="宋体"/>
          <w:szCs w:val="21"/>
          <w:highlight w:val="none"/>
        </w:rPr>
      </w:pPr>
      <w:r>
        <w:rPr>
          <w:rFonts w:hint="eastAsia" w:ascii="宋体" w:hAnsi="宋体" w:cs="宋体"/>
          <w:szCs w:val="21"/>
          <w:highlight w:val="none"/>
        </w:rPr>
        <w:t>供应商须提供未被列入“信用中国”网站（www.creditchina.gov.cn）“记录失信被执行人或重大税收违法失信主体”记录名单截图。</w:t>
      </w:r>
    </w:p>
    <w:p w14:paraId="1260D8CA">
      <w:pPr>
        <w:numPr>
          <w:ilvl w:val="0"/>
          <w:numId w:val="8"/>
        </w:numPr>
        <w:spacing w:line="440" w:lineRule="exact"/>
        <w:rPr>
          <w:rFonts w:hint="eastAsia" w:ascii="宋体" w:hAnsi="宋体" w:cs="宋体"/>
          <w:szCs w:val="21"/>
          <w:highlight w:val="none"/>
        </w:rPr>
      </w:pPr>
      <w:r>
        <w:rPr>
          <w:rFonts w:hint="eastAsia" w:ascii="宋体" w:hAnsi="宋体" w:cs="宋体"/>
          <w:szCs w:val="21"/>
          <w:highlight w:val="none"/>
        </w:rPr>
        <w:t>供应商须承诺在竞价截止前最近三年内，没有处于被责令停业，没有处于被暂停或取消</w:t>
      </w:r>
      <w:r>
        <w:rPr>
          <w:rFonts w:hint="eastAsia"/>
          <w:highlight w:val="none"/>
        </w:rPr>
        <w:t>电子竞价</w:t>
      </w:r>
      <w:r>
        <w:rPr>
          <w:rFonts w:hint="eastAsia" w:ascii="宋体" w:hAnsi="宋体" w:cs="宋体"/>
          <w:szCs w:val="21"/>
          <w:highlight w:val="none"/>
        </w:rPr>
        <w:t>资格，没有处于财产被接管或冻结的状态，在最近三年内没有骗取中标或严重违约或重大工程质量问题或重大安全事故。单位负责人为同一人或者存在控股、管理关系的不同单位，不得参加同一包组（标段）</w:t>
      </w:r>
      <w:r>
        <w:rPr>
          <w:rFonts w:hint="eastAsia"/>
          <w:highlight w:val="none"/>
        </w:rPr>
        <w:t>电子竞价</w:t>
      </w:r>
      <w:r>
        <w:rPr>
          <w:rFonts w:hint="eastAsia" w:ascii="宋体" w:hAnsi="宋体" w:cs="宋体"/>
          <w:szCs w:val="21"/>
          <w:highlight w:val="none"/>
        </w:rPr>
        <w:t>或者未划分包组（标段）的同一项目</w:t>
      </w:r>
      <w:r>
        <w:rPr>
          <w:rFonts w:hint="eastAsia"/>
          <w:highlight w:val="none"/>
        </w:rPr>
        <w:t>电子竞价</w:t>
      </w:r>
      <w:r>
        <w:rPr>
          <w:rFonts w:hint="eastAsia" w:ascii="宋体" w:hAnsi="宋体" w:cs="宋体"/>
          <w:szCs w:val="21"/>
          <w:highlight w:val="none"/>
        </w:rPr>
        <w:t>。（提供《资格声明函》）</w:t>
      </w:r>
    </w:p>
    <w:p w14:paraId="6F6FF5E2">
      <w:pPr>
        <w:numPr>
          <w:ilvl w:val="0"/>
          <w:numId w:val="8"/>
        </w:numPr>
        <w:spacing w:line="440" w:lineRule="exact"/>
        <w:rPr>
          <w:rFonts w:hint="eastAsia" w:ascii="宋体" w:hAnsi="宋体" w:cs="宋体"/>
          <w:szCs w:val="21"/>
          <w:highlight w:val="none"/>
        </w:rPr>
      </w:pPr>
      <w:r>
        <w:rPr>
          <w:rFonts w:hint="eastAsia" w:ascii="宋体" w:hAnsi="宋体" w:cs="宋体"/>
          <w:szCs w:val="21"/>
          <w:highlight w:val="none"/>
        </w:rPr>
        <w:t>供应商须提供《采购代理服务费承诺书》，详见竞价文件附件。</w:t>
      </w:r>
    </w:p>
    <w:p w14:paraId="2869767B">
      <w:pPr>
        <w:numPr>
          <w:ilvl w:val="0"/>
          <w:numId w:val="8"/>
        </w:numPr>
        <w:spacing w:line="440" w:lineRule="exact"/>
        <w:rPr>
          <w:rFonts w:hint="eastAsia" w:ascii="宋体" w:hAnsi="宋体" w:cs="宋体"/>
          <w:szCs w:val="21"/>
          <w:highlight w:val="none"/>
        </w:rPr>
      </w:pPr>
      <w:r>
        <w:rPr>
          <w:rFonts w:hint="eastAsia" w:ascii="宋体" w:hAnsi="宋体" w:cs="宋体"/>
          <w:szCs w:val="21"/>
          <w:highlight w:val="none"/>
        </w:rPr>
        <w:t>本项目不允许联合体响应。</w:t>
      </w:r>
    </w:p>
    <w:p w14:paraId="70F30FE4">
      <w:pPr>
        <w:numPr>
          <w:ilvl w:val="1"/>
          <w:numId w:val="6"/>
        </w:numPr>
        <w:spacing w:line="440" w:lineRule="exact"/>
        <w:ind w:left="426" w:hanging="426"/>
        <w:rPr>
          <w:rFonts w:hint="eastAsia" w:ascii="宋体" w:hAnsi="宋体" w:cs="宋体"/>
          <w:b/>
          <w:bCs/>
          <w:szCs w:val="21"/>
        </w:rPr>
      </w:pPr>
      <w:r>
        <w:rPr>
          <w:rFonts w:hint="eastAsia" w:ascii="宋体" w:hAnsi="宋体" w:cs="宋体"/>
          <w:b/>
          <w:bCs/>
          <w:szCs w:val="21"/>
        </w:rPr>
        <w:t>电子竞价文件的获取</w:t>
      </w:r>
    </w:p>
    <w:p w14:paraId="47A70A58">
      <w:pPr>
        <w:pStyle w:val="145"/>
        <w:numPr>
          <w:ilvl w:val="255"/>
          <w:numId w:val="0"/>
        </w:numPr>
        <w:spacing w:line="420" w:lineRule="exact"/>
        <w:rPr>
          <w:rStyle w:val="46"/>
          <w:rFonts w:hint="eastAsia" w:ascii="宋体" w:hAnsi="宋体" w:cs="宋体"/>
          <w:b w:val="0"/>
          <w:bCs w:val="0"/>
          <w:szCs w:val="21"/>
        </w:rPr>
      </w:pPr>
      <w:r>
        <w:rPr>
          <w:rStyle w:val="46"/>
          <w:rFonts w:hint="eastAsia" w:ascii="宋体" w:hAnsi="宋体" w:cs="宋体"/>
        </w:rPr>
        <w:t>1.凡有意参加本项目的供应商，默认已阅读并同意本公告【三、</w:t>
      </w:r>
      <w:r>
        <w:rPr>
          <w:rFonts w:hint="eastAsia" w:ascii="宋体" w:hAnsi="宋体" w:cs="宋体"/>
          <w:b/>
          <w:bCs/>
        </w:rPr>
        <w:t>电子竞价文件的获取</w:t>
      </w:r>
      <w:r>
        <w:rPr>
          <w:rStyle w:val="46"/>
          <w:rFonts w:hint="eastAsia" w:ascii="宋体" w:hAnsi="宋体" w:cs="宋体"/>
        </w:rPr>
        <w:t>】全部内容。</w:t>
      </w:r>
    </w:p>
    <w:p w14:paraId="6E44B16D">
      <w:pPr>
        <w:pStyle w:val="145"/>
        <w:numPr>
          <w:ilvl w:val="255"/>
          <w:numId w:val="0"/>
        </w:numPr>
        <w:spacing w:line="420" w:lineRule="exact"/>
        <w:rPr>
          <w:rFonts w:hint="eastAsia" w:ascii="宋体" w:hAnsi="宋体" w:cs="宋体"/>
          <w:szCs w:val="21"/>
        </w:rPr>
      </w:pPr>
      <w:r>
        <w:rPr>
          <w:rFonts w:hint="eastAsia" w:ascii="宋体" w:hAnsi="宋体" w:cs="宋体"/>
          <w:b/>
          <w:szCs w:val="21"/>
        </w:rPr>
        <w:t>2.获取时间：</w:t>
      </w:r>
      <w:r>
        <w:rPr>
          <w:rFonts w:hint="eastAsia" w:ascii="宋体" w:hAnsi="宋体" w:cs="宋体"/>
          <w:b/>
          <w:bCs/>
          <w:szCs w:val="21"/>
        </w:rPr>
        <w:t>2025年</w:t>
      </w:r>
      <w:r>
        <w:rPr>
          <w:rFonts w:hint="eastAsia" w:ascii="宋体" w:hAnsi="宋体" w:cs="宋体"/>
          <w:b/>
          <w:bCs/>
          <w:szCs w:val="21"/>
          <w:lang w:val="en-US" w:eastAsia="zh-CN"/>
        </w:rPr>
        <w:t>10</w:t>
      </w:r>
      <w:r>
        <w:rPr>
          <w:rFonts w:hint="eastAsia" w:ascii="宋体" w:hAnsi="宋体" w:cs="宋体"/>
          <w:b/>
          <w:bCs/>
          <w:szCs w:val="21"/>
        </w:rPr>
        <w:t>月</w:t>
      </w:r>
      <w:r>
        <w:rPr>
          <w:rFonts w:hint="eastAsia" w:ascii="宋体" w:hAnsi="宋体" w:cs="宋体"/>
          <w:b/>
          <w:bCs/>
          <w:szCs w:val="21"/>
          <w:lang w:val="en-US" w:eastAsia="zh-CN"/>
        </w:rPr>
        <w:t>10</w:t>
      </w:r>
      <w:r>
        <w:rPr>
          <w:rFonts w:hint="eastAsia" w:ascii="宋体" w:hAnsi="宋体" w:cs="宋体"/>
          <w:b/>
          <w:bCs/>
          <w:szCs w:val="21"/>
        </w:rPr>
        <w:t>日8时30分至2025年</w:t>
      </w:r>
      <w:r>
        <w:rPr>
          <w:rFonts w:hint="eastAsia" w:ascii="宋体" w:hAnsi="宋体" w:cs="宋体"/>
          <w:b/>
          <w:bCs/>
          <w:szCs w:val="21"/>
          <w:lang w:val="en-US" w:eastAsia="zh-CN"/>
        </w:rPr>
        <w:t>10</w:t>
      </w:r>
      <w:r>
        <w:rPr>
          <w:rFonts w:hint="eastAsia" w:ascii="宋体" w:hAnsi="宋体" w:cs="宋体"/>
          <w:b/>
          <w:bCs/>
          <w:szCs w:val="21"/>
        </w:rPr>
        <w:t>月</w:t>
      </w:r>
      <w:r>
        <w:rPr>
          <w:rFonts w:hint="eastAsia" w:ascii="宋体" w:hAnsi="宋体" w:cs="宋体"/>
          <w:b/>
          <w:bCs/>
          <w:szCs w:val="21"/>
          <w:lang w:val="en-US" w:eastAsia="zh-CN"/>
        </w:rPr>
        <w:t>15</w:t>
      </w:r>
      <w:r>
        <w:rPr>
          <w:rFonts w:hint="eastAsia" w:ascii="宋体" w:hAnsi="宋体" w:cs="宋体"/>
          <w:b/>
          <w:bCs/>
          <w:szCs w:val="21"/>
        </w:rPr>
        <w:t>日13时30分</w:t>
      </w:r>
      <w:r>
        <w:rPr>
          <w:rFonts w:hint="eastAsia" w:ascii="宋体" w:hAnsi="宋体" w:cs="宋体"/>
          <w:szCs w:val="21"/>
        </w:rPr>
        <w:t>（北京时间，下同）；</w:t>
      </w:r>
    </w:p>
    <w:p w14:paraId="25A94B47">
      <w:pPr>
        <w:pStyle w:val="145"/>
        <w:numPr>
          <w:ilvl w:val="255"/>
          <w:numId w:val="0"/>
        </w:numPr>
        <w:spacing w:line="420" w:lineRule="exact"/>
        <w:rPr>
          <w:rFonts w:hint="eastAsia" w:ascii="宋体" w:hAnsi="宋体" w:cs="宋体"/>
          <w:b/>
          <w:szCs w:val="21"/>
        </w:rPr>
      </w:pPr>
      <w:r>
        <w:rPr>
          <w:rFonts w:hint="eastAsia" w:ascii="宋体" w:hAnsi="宋体" w:cs="宋体"/>
          <w:b/>
          <w:szCs w:val="21"/>
        </w:rPr>
        <w:t>3.供应商须通过“国e平台”完成以下操作：</w:t>
      </w:r>
    </w:p>
    <w:p w14:paraId="6AB9ADB8">
      <w:pPr>
        <w:pStyle w:val="145"/>
        <w:spacing w:line="420" w:lineRule="exact"/>
        <w:ind w:left="407" w:leftChars="194" w:firstLine="10" w:firstLineChars="5"/>
        <w:rPr>
          <w:rFonts w:hint="eastAsia" w:ascii="宋体" w:hAnsi="宋体" w:cs="宋体"/>
          <w:bCs/>
          <w:szCs w:val="21"/>
        </w:rPr>
      </w:pPr>
      <w:r>
        <w:rPr>
          <w:rFonts w:hint="eastAsia" w:ascii="宋体" w:hAnsi="宋体" w:cs="宋体"/>
          <w:bCs/>
          <w:szCs w:val="21"/>
        </w:rPr>
        <w:t>（1）</w:t>
      </w:r>
      <w:r>
        <w:rPr>
          <w:rFonts w:hint="eastAsia" w:ascii="宋体" w:hAnsi="宋体" w:cs="宋体"/>
          <w:b/>
          <w:szCs w:val="21"/>
        </w:rPr>
        <w:t>注册及登录</w:t>
      </w:r>
      <w:r>
        <w:rPr>
          <w:rFonts w:hint="eastAsia" w:ascii="宋体" w:hAnsi="宋体" w:cs="宋体"/>
          <w:bCs/>
          <w:szCs w:val="21"/>
        </w:rPr>
        <w:t xml:space="preserve">网址： </w:t>
      </w:r>
      <w:r>
        <w:rPr>
          <w:rFonts w:hint="eastAsia" w:ascii="宋体" w:hAnsi="宋体" w:cs="宋体"/>
          <w:b/>
          <w:bCs/>
          <w:szCs w:val="21"/>
        </w:rPr>
        <w:t>http://www.ebidding.com</w:t>
      </w:r>
      <w:r>
        <w:rPr>
          <w:rFonts w:hint="eastAsia" w:ascii="宋体" w:hAnsi="宋体" w:cs="宋体"/>
          <w:bCs/>
          <w:szCs w:val="21"/>
        </w:rPr>
        <w:t>。如遗忘账号，可通过国e平台客服电话或发送邮件进行询问。如有账号，先检查企业信息有无变更（如公司名称等），修改成功再完成登记；</w:t>
      </w:r>
    </w:p>
    <w:p w14:paraId="704A5E42">
      <w:pPr>
        <w:pStyle w:val="145"/>
        <w:wordWrap w:val="0"/>
        <w:spacing w:line="420" w:lineRule="exact"/>
        <w:ind w:left="407" w:leftChars="194" w:firstLine="10" w:firstLineChars="5"/>
        <w:rPr>
          <w:rFonts w:hint="eastAsia" w:ascii="宋体" w:hAnsi="宋体" w:cs="宋体"/>
          <w:bCs/>
          <w:szCs w:val="21"/>
        </w:rPr>
      </w:pPr>
      <w:r>
        <w:rPr>
          <w:rFonts w:hint="eastAsia" w:ascii="宋体" w:hAnsi="宋体" w:cs="宋体"/>
          <w:bCs/>
          <w:szCs w:val="21"/>
        </w:rPr>
        <w:t>（2）</w:t>
      </w:r>
      <w:r>
        <w:rPr>
          <w:rFonts w:hint="eastAsia" w:ascii="宋体" w:hAnsi="宋体" w:cs="宋体"/>
          <w:b/>
          <w:szCs w:val="21"/>
        </w:rPr>
        <w:t>登记操作路径</w:t>
      </w:r>
      <w:r>
        <w:rPr>
          <w:rFonts w:hint="eastAsia" w:ascii="宋体" w:hAnsi="宋体" w:cs="宋体"/>
          <w:bCs/>
          <w:szCs w:val="21"/>
        </w:rPr>
        <w:t>：登录后选择“项目管理”-“我要参与”，选择搜索“</w:t>
      </w:r>
      <w:r>
        <w:rPr>
          <w:rFonts w:hint="eastAsia" w:ascii="宋体" w:hAnsi="宋体" w:cs="宋体"/>
          <w:bCs/>
          <w:szCs w:val="21"/>
          <w:u w:val="single"/>
          <w:lang w:eastAsia="zh-CN"/>
        </w:rPr>
        <w:t>宁德漳湾垃圾焚烧发电有限公司国网电力通信设备及调度设备改造服务项目</w:t>
      </w:r>
      <w:r>
        <w:rPr>
          <w:rFonts w:hint="eastAsia" w:ascii="宋体" w:hAnsi="宋体" w:cs="宋体"/>
          <w:u w:val="single"/>
        </w:rPr>
        <w:t>（项目编号：</w:t>
      </w:r>
      <w:r>
        <w:rPr>
          <w:rFonts w:hint="eastAsia" w:ascii="宋体" w:hAnsi="宋体" w:cs="宋体"/>
          <w:u w:val="single"/>
          <w:lang w:eastAsia="zh-CN"/>
        </w:rPr>
        <w:t>GDZF-QYHJJ-2025-2611630</w:t>
      </w:r>
      <w:r>
        <w:rPr>
          <w:rFonts w:hint="eastAsia" w:ascii="宋体" w:hAnsi="宋体" w:cs="宋体"/>
          <w:u w:val="single"/>
        </w:rPr>
        <w:t xml:space="preserve"> ）</w:t>
      </w:r>
      <w:r>
        <w:rPr>
          <w:rFonts w:hint="eastAsia" w:ascii="宋体" w:hAnsi="宋体" w:cs="宋体"/>
          <w:bCs/>
          <w:szCs w:val="21"/>
        </w:rPr>
        <w:t>”并点击“立即参与”-“购买文件”；根据实际情况，填写具体信息，通过聚合支付（微信、支付宝、银联）的方式完成购买手续。各操作路径详见《平台操作手册（投标人）》（https://www.ebidding.com/e-portal/help-center/view.html?docPath=/e-portal/help-center/doc3）。</w:t>
      </w:r>
    </w:p>
    <w:p w14:paraId="700EF1D3">
      <w:pPr>
        <w:pStyle w:val="145"/>
        <w:spacing w:line="420" w:lineRule="exact"/>
        <w:ind w:left="407" w:leftChars="194" w:firstLine="10" w:firstLineChars="5"/>
        <w:rPr>
          <w:rFonts w:hint="eastAsia" w:ascii="宋体" w:hAnsi="宋体" w:cs="宋体"/>
        </w:rPr>
      </w:pPr>
      <w:r>
        <w:rPr>
          <w:rFonts w:hint="eastAsia" w:ascii="宋体" w:hAnsi="宋体" w:cs="宋体"/>
        </w:rPr>
        <w:t>（3）在国e平台完成下载文件即登记成功。</w:t>
      </w:r>
    </w:p>
    <w:p w14:paraId="0664BE39">
      <w:pPr>
        <w:pStyle w:val="145"/>
        <w:numPr>
          <w:ilvl w:val="255"/>
          <w:numId w:val="0"/>
        </w:numPr>
        <w:spacing w:line="420" w:lineRule="exact"/>
        <w:rPr>
          <w:rStyle w:val="46"/>
          <w:rFonts w:hint="eastAsia" w:ascii="宋体" w:hAnsi="宋体" w:cs="宋体"/>
        </w:rPr>
      </w:pPr>
      <w:r>
        <w:rPr>
          <w:rStyle w:val="46"/>
          <w:rFonts w:hint="eastAsia" w:ascii="宋体" w:hAnsi="宋体" w:cs="宋体"/>
        </w:rPr>
        <w:t>4.供应商通过国e平台进行采购活动的，在线购买电子竞价文件时，平台向供应商收取平台使用费100元/供应商/标段，平台使用费在供应商购买电子竞价文件时一并收取，平台使用费发票由国e平台向供应商开具。</w:t>
      </w:r>
    </w:p>
    <w:p w14:paraId="08602291">
      <w:pPr>
        <w:pStyle w:val="145"/>
        <w:numPr>
          <w:ilvl w:val="255"/>
          <w:numId w:val="0"/>
        </w:numPr>
        <w:spacing w:line="420" w:lineRule="exact"/>
        <w:jc w:val="left"/>
        <w:rPr>
          <w:rFonts w:hint="eastAsia" w:ascii="宋体" w:hAnsi="宋体" w:cs="宋体"/>
          <w:b/>
          <w:szCs w:val="21"/>
        </w:rPr>
      </w:pPr>
      <w:r>
        <w:rPr>
          <w:rFonts w:hint="eastAsia" w:ascii="宋体" w:hAnsi="宋体" w:cs="宋体"/>
          <w:b/>
          <w:bCs/>
        </w:rPr>
        <w:t>5.注册审批时间为一个工作日，未注册该平台的供应商应充分考虑审批所需的时间，如因注册、报名、缴费等原因所造成未完成登记而导致无法响应的，由供应商自行承担相应后果和责任。疑问反馈：</w:t>
      </w:r>
      <w:r>
        <w:rPr>
          <w:rFonts w:hint="eastAsia" w:ascii="宋体" w:hAnsi="宋体" w:cs="宋体"/>
        </w:rPr>
        <w:t>具体操作存在疑问或存在紧急情况的，可致电平台客服咨询。服务时间8:30-17:30（法定公休日、法定节假日除外）</w:t>
      </w:r>
      <w:r>
        <w:rPr>
          <w:rFonts w:hint="eastAsia" w:ascii="宋体" w:hAnsi="宋体" w:cs="宋体"/>
          <w:b/>
          <w:szCs w:val="21"/>
        </w:rPr>
        <w:t>。</w:t>
      </w:r>
    </w:p>
    <w:p w14:paraId="6B1AD257">
      <w:pPr>
        <w:pStyle w:val="145"/>
        <w:numPr>
          <w:ilvl w:val="255"/>
          <w:numId w:val="0"/>
        </w:numPr>
        <w:spacing w:line="420" w:lineRule="exact"/>
        <w:jc w:val="left"/>
        <w:rPr>
          <w:rFonts w:hint="eastAsia" w:ascii="宋体" w:hAnsi="宋体" w:cs="宋体"/>
          <w:b/>
          <w:szCs w:val="21"/>
        </w:rPr>
      </w:pPr>
      <w:r>
        <w:rPr>
          <w:rFonts w:hint="eastAsia" w:ascii="宋体" w:hAnsi="宋体" w:cs="宋体"/>
        </w:rPr>
        <w:t>6.“国e平台”（网址：</w:t>
      </w:r>
      <w:r>
        <w:rPr>
          <w:rFonts w:hint="eastAsia" w:ascii="宋体" w:hAnsi="宋体" w:cs="宋体"/>
          <w:b/>
          <w:bCs/>
        </w:rPr>
        <w:t>http://www.ebidding.com</w:t>
      </w:r>
      <w:r>
        <w:rPr>
          <w:rFonts w:hint="eastAsia" w:ascii="宋体" w:hAnsi="宋体" w:cs="宋体"/>
        </w:rPr>
        <w:t>）为本项目获取电子竞价文件的唯一渠道，其他平台获取电子竞价文件及支付均属无效</w:t>
      </w:r>
      <w:r>
        <w:rPr>
          <w:rFonts w:hint="eastAsia" w:ascii="宋体" w:hAnsi="宋体" w:cs="宋体"/>
          <w:b/>
          <w:szCs w:val="21"/>
        </w:rPr>
        <w:t>。</w:t>
      </w:r>
    </w:p>
    <w:p w14:paraId="25710EFC">
      <w:pPr>
        <w:numPr>
          <w:ilvl w:val="1"/>
          <w:numId w:val="6"/>
        </w:numPr>
        <w:spacing w:line="440" w:lineRule="exact"/>
        <w:ind w:left="426" w:hanging="426"/>
        <w:rPr>
          <w:rFonts w:hint="eastAsia" w:ascii="宋体" w:hAnsi="宋体" w:cs="宋体"/>
          <w:b/>
          <w:bCs/>
          <w:szCs w:val="21"/>
        </w:rPr>
      </w:pPr>
      <w:r>
        <w:rPr>
          <w:rFonts w:hint="eastAsia" w:ascii="宋体" w:hAnsi="宋体" w:cs="宋体"/>
          <w:b/>
          <w:bCs/>
          <w:szCs w:val="21"/>
        </w:rPr>
        <w:t>电子竞价时间和方式</w:t>
      </w:r>
    </w:p>
    <w:p w14:paraId="7D589AA8">
      <w:pPr>
        <w:numPr>
          <w:ilvl w:val="0"/>
          <w:numId w:val="9"/>
        </w:numPr>
        <w:spacing w:line="440" w:lineRule="exact"/>
        <w:rPr>
          <w:rFonts w:hint="eastAsia" w:ascii="宋体" w:hAnsi="宋体" w:cs="宋体"/>
          <w:szCs w:val="21"/>
        </w:rPr>
      </w:pPr>
      <w:r>
        <w:rPr>
          <w:rFonts w:hint="eastAsia" w:ascii="宋体" w:hAnsi="宋体" w:cs="宋体"/>
          <w:szCs w:val="21"/>
        </w:rPr>
        <w:t>本项目在“</w:t>
      </w:r>
      <w:r>
        <w:rPr>
          <w:rFonts w:hint="eastAsia" w:ascii="宋体" w:hAnsi="宋体" w:cs="宋体"/>
        </w:rPr>
        <w:t>国e平台</w:t>
      </w:r>
      <w:r>
        <w:rPr>
          <w:rFonts w:hint="eastAsia" w:ascii="宋体" w:hAnsi="宋体" w:cs="宋体"/>
          <w:szCs w:val="21"/>
        </w:rPr>
        <w:t>”进行全流程电子竞价，供应商应在竞价开始时间前登录“</w:t>
      </w:r>
      <w:r>
        <w:rPr>
          <w:rFonts w:hint="eastAsia" w:ascii="宋体" w:hAnsi="宋体" w:cs="宋体"/>
        </w:rPr>
        <w:t>国e平台</w:t>
      </w:r>
      <w:r>
        <w:rPr>
          <w:rFonts w:hint="eastAsia" w:ascii="宋体" w:hAnsi="宋体" w:cs="宋体"/>
          <w:szCs w:val="21"/>
        </w:rPr>
        <w:t>”确保网络通畅提前调试好设备。（竞价系统：</w:t>
      </w:r>
      <w:r>
        <w:rPr>
          <w:rFonts w:hint="eastAsia" w:ascii="宋体" w:hAnsi="宋体" w:cs="宋体"/>
        </w:rPr>
        <w:t>国e平台</w:t>
      </w:r>
      <w:r>
        <w:rPr>
          <w:rFonts w:hint="eastAsia" w:ascii="宋体" w:hAnsi="宋体" w:cs="宋体"/>
          <w:szCs w:val="21"/>
        </w:rPr>
        <w:t>，网址：</w:t>
      </w:r>
      <w:r>
        <w:rPr>
          <w:rFonts w:hint="eastAsia" w:ascii="宋体" w:hAnsi="宋体" w:cs="宋体"/>
          <w:b/>
          <w:bCs/>
          <w:szCs w:val="21"/>
        </w:rPr>
        <w:t>www.ebidding.com</w:t>
      </w:r>
      <w:r>
        <w:rPr>
          <w:rFonts w:hint="eastAsia" w:ascii="宋体" w:hAnsi="宋体" w:cs="宋体"/>
          <w:szCs w:val="21"/>
        </w:rPr>
        <w:t>）。</w:t>
      </w:r>
    </w:p>
    <w:p w14:paraId="4B321950">
      <w:pPr>
        <w:numPr>
          <w:ilvl w:val="0"/>
          <w:numId w:val="9"/>
        </w:numPr>
        <w:spacing w:line="440" w:lineRule="exact"/>
        <w:rPr>
          <w:rFonts w:hint="eastAsia" w:ascii="宋体" w:hAnsi="宋体" w:cs="宋体"/>
          <w:b/>
          <w:bCs/>
          <w:szCs w:val="21"/>
        </w:rPr>
      </w:pPr>
      <w:r>
        <w:rPr>
          <w:rFonts w:hint="eastAsia" w:ascii="宋体" w:hAnsi="宋体" w:cs="宋体"/>
          <w:szCs w:val="21"/>
        </w:rPr>
        <w:t>竞价时间：</w:t>
      </w:r>
      <w:r>
        <w:rPr>
          <w:rFonts w:hint="eastAsia" w:ascii="宋体" w:hAnsi="宋体" w:cs="宋体"/>
          <w:b/>
          <w:bCs/>
          <w:szCs w:val="21"/>
        </w:rPr>
        <w:t>2025年</w:t>
      </w:r>
      <w:r>
        <w:rPr>
          <w:rFonts w:hint="eastAsia" w:ascii="宋体" w:hAnsi="宋体" w:cs="宋体"/>
          <w:b/>
          <w:bCs/>
          <w:szCs w:val="21"/>
          <w:lang w:val="en-US" w:eastAsia="zh-CN"/>
        </w:rPr>
        <w:t>10</w:t>
      </w:r>
      <w:r>
        <w:rPr>
          <w:rFonts w:hint="eastAsia" w:ascii="宋体" w:hAnsi="宋体" w:cs="宋体"/>
          <w:b/>
          <w:bCs/>
          <w:szCs w:val="21"/>
        </w:rPr>
        <w:t>月</w:t>
      </w:r>
      <w:r>
        <w:rPr>
          <w:rFonts w:hint="eastAsia" w:ascii="宋体" w:hAnsi="宋体" w:cs="宋体"/>
          <w:b/>
          <w:bCs/>
          <w:szCs w:val="21"/>
          <w:lang w:val="en-US" w:eastAsia="zh-CN"/>
        </w:rPr>
        <w:t>15</w:t>
      </w:r>
      <w:r>
        <w:rPr>
          <w:rFonts w:hint="eastAsia" w:ascii="宋体" w:hAnsi="宋体" w:cs="宋体"/>
          <w:b/>
          <w:bCs/>
          <w:szCs w:val="21"/>
        </w:rPr>
        <w:t>日14:00时-15:00时</w:t>
      </w:r>
    </w:p>
    <w:p w14:paraId="5C01FCAF">
      <w:pPr>
        <w:numPr>
          <w:ilvl w:val="1"/>
          <w:numId w:val="6"/>
        </w:numPr>
        <w:spacing w:line="440" w:lineRule="exact"/>
        <w:ind w:left="426" w:hanging="426"/>
        <w:rPr>
          <w:rFonts w:hint="eastAsia" w:ascii="宋体" w:hAnsi="宋体" w:cs="宋体"/>
          <w:b/>
          <w:bCs/>
          <w:szCs w:val="21"/>
        </w:rPr>
      </w:pPr>
      <w:r>
        <w:rPr>
          <w:rFonts w:hint="eastAsia" w:ascii="宋体" w:hAnsi="宋体" w:cs="宋体"/>
          <w:b/>
          <w:bCs/>
          <w:szCs w:val="21"/>
        </w:rPr>
        <w:t>其他补充事宜</w:t>
      </w:r>
    </w:p>
    <w:p w14:paraId="5347B19F">
      <w:pPr>
        <w:numPr>
          <w:ilvl w:val="0"/>
          <w:numId w:val="10"/>
        </w:numPr>
        <w:spacing w:line="440" w:lineRule="exact"/>
        <w:rPr>
          <w:rFonts w:hint="eastAsia" w:ascii="宋体" w:hAnsi="宋体" w:cs="宋体"/>
          <w:szCs w:val="21"/>
        </w:rPr>
      </w:pPr>
      <w:r>
        <w:rPr>
          <w:rFonts w:hint="eastAsia" w:ascii="宋体" w:hAnsi="宋体" w:cs="宋体"/>
          <w:szCs w:val="21"/>
        </w:rPr>
        <w:t>项目类型：</w:t>
      </w:r>
      <w:r>
        <w:rPr>
          <w:rFonts w:hint="eastAsia" w:ascii="宋体" w:hAnsi="宋体" w:cs="宋体"/>
          <w:szCs w:val="21"/>
          <w:lang w:val="en-US" w:eastAsia="zh-CN"/>
        </w:rPr>
        <w:t>服务</w:t>
      </w:r>
      <w:r>
        <w:rPr>
          <w:rFonts w:ascii="Arial" w:hAnsi="Arial" w:eastAsia="Arial" w:cs="Arial"/>
          <w:color w:val="333333"/>
          <w:szCs w:val="21"/>
          <w:shd w:val="clear" w:color="auto" w:fill="FFFFFF"/>
        </w:rPr>
        <w:t>类</w:t>
      </w:r>
      <w:r>
        <w:rPr>
          <w:rFonts w:hint="eastAsia" w:ascii="宋体" w:hAnsi="宋体" w:cs="宋体"/>
          <w:szCs w:val="21"/>
        </w:rPr>
        <w:t>；</w:t>
      </w:r>
    </w:p>
    <w:p w14:paraId="0075F7C2">
      <w:pPr>
        <w:numPr>
          <w:ilvl w:val="0"/>
          <w:numId w:val="10"/>
        </w:numPr>
        <w:spacing w:line="440" w:lineRule="exact"/>
        <w:rPr>
          <w:rFonts w:hint="eastAsia" w:ascii="宋体" w:hAnsi="宋体" w:cs="宋体"/>
          <w:szCs w:val="21"/>
        </w:rPr>
      </w:pPr>
      <w:r>
        <w:rPr>
          <w:rFonts w:hint="eastAsia" w:ascii="宋体" w:hAnsi="宋体" w:cs="宋体"/>
          <w:szCs w:val="21"/>
        </w:rPr>
        <w:t>供应商必须登录</w:t>
      </w:r>
      <w:r>
        <w:rPr>
          <w:rFonts w:hint="eastAsia" w:ascii="宋体" w:hAnsi="宋体" w:cs="宋体"/>
        </w:rPr>
        <w:t>国e平台网站</w:t>
      </w:r>
      <w:r>
        <w:rPr>
          <w:rFonts w:hint="eastAsia" w:ascii="宋体" w:hAnsi="宋体" w:cs="宋体"/>
          <w:szCs w:val="21"/>
        </w:rPr>
        <w:t>（www.ebidding.com）进行注册，注册成功后方可对项目进行报名及报价等。</w:t>
      </w:r>
    </w:p>
    <w:p w14:paraId="48AE7C88">
      <w:pPr>
        <w:numPr>
          <w:ilvl w:val="0"/>
          <w:numId w:val="10"/>
        </w:numPr>
        <w:spacing w:line="440" w:lineRule="exact"/>
        <w:rPr>
          <w:rFonts w:hint="eastAsia" w:ascii="宋体" w:hAnsi="宋体" w:cs="宋体"/>
          <w:szCs w:val="21"/>
        </w:rPr>
      </w:pPr>
      <w:r>
        <w:rPr>
          <w:rFonts w:hint="eastAsia" w:ascii="宋体" w:hAnsi="宋体" w:cs="宋体"/>
          <w:szCs w:val="21"/>
        </w:rPr>
        <w:t>本次竞价在</w:t>
      </w:r>
      <w:r>
        <w:rPr>
          <w:rFonts w:hint="eastAsia" w:ascii="宋体" w:hAnsi="宋体" w:cs="宋体"/>
        </w:rPr>
        <w:t>国e平台</w:t>
      </w:r>
      <w:r>
        <w:rPr>
          <w:rFonts w:hint="eastAsia" w:ascii="宋体" w:hAnsi="宋体" w:cs="宋体"/>
          <w:szCs w:val="21"/>
        </w:rPr>
        <w:t>网站（www.ebidding.com）上发布，其他媒体转载无效。</w:t>
      </w:r>
    </w:p>
    <w:p w14:paraId="68EC49F1">
      <w:pPr>
        <w:numPr>
          <w:ilvl w:val="1"/>
          <w:numId w:val="6"/>
        </w:numPr>
        <w:spacing w:line="440" w:lineRule="exact"/>
        <w:ind w:left="426" w:hanging="426"/>
        <w:rPr>
          <w:rFonts w:hint="eastAsia" w:ascii="宋体" w:hAnsi="宋体" w:cs="宋体"/>
          <w:b/>
          <w:bCs/>
          <w:szCs w:val="21"/>
        </w:rPr>
      </w:pPr>
      <w:r>
        <w:rPr>
          <w:rFonts w:hint="eastAsia" w:ascii="宋体" w:hAnsi="宋体" w:cs="宋体"/>
          <w:b/>
          <w:bCs/>
          <w:szCs w:val="21"/>
        </w:rPr>
        <w:t>联系方式</w:t>
      </w:r>
    </w:p>
    <w:p w14:paraId="4BDD945E">
      <w:pPr>
        <w:numPr>
          <w:ilvl w:val="0"/>
          <w:numId w:val="11"/>
        </w:numPr>
        <w:spacing w:line="440" w:lineRule="exact"/>
        <w:rPr>
          <w:rFonts w:hint="eastAsia" w:ascii="宋体" w:hAnsi="宋体" w:cs="宋体"/>
          <w:szCs w:val="21"/>
        </w:rPr>
      </w:pPr>
      <w:r>
        <w:rPr>
          <w:rFonts w:hint="eastAsia" w:ascii="宋体" w:hAnsi="宋体" w:cs="宋体"/>
          <w:szCs w:val="21"/>
        </w:rPr>
        <w:t>采购人信息</w:t>
      </w:r>
    </w:p>
    <w:p w14:paraId="1EF9DD2C">
      <w:pPr>
        <w:spacing w:line="420" w:lineRule="exact"/>
        <w:ind w:firstLine="420" w:firstLineChars="200"/>
        <w:rPr>
          <w:rFonts w:hint="eastAsia" w:ascii="宋体" w:hAnsi="宋体"/>
          <w:szCs w:val="21"/>
        </w:rPr>
      </w:pPr>
      <w:r>
        <w:rPr>
          <w:rFonts w:hint="eastAsia" w:ascii="宋体" w:hAnsi="宋体"/>
          <w:szCs w:val="21"/>
        </w:rPr>
        <w:t>招标人：</w:t>
      </w:r>
      <w:r>
        <w:rPr>
          <w:rFonts w:hint="eastAsia" w:ascii="宋体" w:hAnsi="宋体"/>
          <w:bCs/>
          <w:szCs w:val="21"/>
        </w:rPr>
        <w:t>宁德漳湾垃圾焚烧发电有限公司</w:t>
      </w:r>
    </w:p>
    <w:p w14:paraId="45870C95">
      <w:pPr>
        <w:spacing w:line="420" w:lineRule="exact"/>
        <w:ind w:firstLine="420" w:firstLineChars="200"/>
        <w:rPr>
          <w:rFonts w:hint="eastAsia" w:ascii="宋体" w:hAnsi="宋体"/>
          <w:szCs w:val="21"/>
        </w:rPr>
      </w:pPr>
      <w:r>
        <w:rPr>
          <w:rFonts w:hint="eastAsia" w:ascii="宋体" w:hAnsi="宋体"/>
          <w:szCs w:val="21"/>
        </w:rPr>
        <w:t>地址：宁德市蕉城区福宁北路东侧金漳路北侧</w:t>
      </w:r>
    </w:p>
    <w:p w14:paraId="308D2FA5">
      <w:pPr>
        <w:numPr>
          <w:ilvl w:val="0"/>
          <w:numId w:val="11"/>
        </w:numPr>
        <w:spacing w:line="440" w:lineRule="exact"/>
        <w:rPr>
          <w:rFonts w:hint="eastAsia" w:ascii="宋体" w:hAnsi="宋体" w:cs="宋体"/>
          <w:szCs w:val="21"/>
        </w:rPr>
      </w:pPr>
      <w:r>
        <w:rPr>
          <w:rFonts w:hint="eastAsia" w:ascii="宋体" w:hAnsi="宋体" w:cs="宋体"/>
          <w:szCs w:val="21"/>
        </w:rPr>
        <w:t>采购代理机构信息</w:t>
      </w:r>
    </w:p>
    <w:p w14:paraId="6CA4F897">
      <w:pPr>
        <w:tabs>
          <w:tab w:val="left" w:pos="360"/>
        </w:tabs>
        <w:spacing w:line="440" w:lineRule="exact"/>
        <w:ind w:firstLine="420" w:firstLineChars="200"/>
        <w:rPr>
          <w:rFonts w:hint="eastAsia" w:ascii="宋体" w:hAnsi="宋体" w:cs="宋体"/>
          <w:szCs w:val="21"/>
        </w:rPr>
      </w:pPr>
      <w:r>
        <w:rPr>
          <w:rFonts w:hint="eastAsia" w:ascii="宋体" w:hAnsi="宋体" w:cs="宋体"/>
          <w:szCs w:val="21"/>
        </w:rPr>
        <w:t>采购代理机构：广东泽福管理咨询有限公司</w:t>
      </w:r>
    </w:p>
    <w:p w14:paraId="1C50C920">
      <w:pPr>
        <w:tabs>
          <w:tab w:val="left" w:pos="360"/>
        </w:tabs>
        <w:spacing w:line="440" w:lineRule="exact"/>
        <w:ind w:firstLine="420" w:firstLineChars="200"/>
        <w:rPr>
          <w:rFonts w:hint="eastAsia" w:ascii="宋体" w:hAnsi="宋体" w:cs="宋体"/>
          <w:szCs w:val="21"/>
        </w:rPr>
      </w:pPr>
      <w:r>
        <w:rPr>
          <w:rFonts w:hint="eastAsia" w:ascii="宋体" w:hAnsi="宋体" w:cs="宋体"/>
          <w:szCs w:val="21"/>
        </w:rPr>
        <w:t>地址：广州市天河区天河北路663号8栋6楼</w:t>
      </w:r>
    </w:p>
    <w:p w14:paraId="7798F23D">
      <w:pPr>
        <w:tabs>
          <w:tab w:val="left" w:pos="360"/>
        </w:tabs>
        <w:spacing w:line="440" w:lineRule="exact"/>
        <w:ind w:firstLine="420" w:firstLineChars="200"/>
        <w:rPr>
          <w:rFonts w:hint="eastAsia" w:ascii="宋体" w:hAnsi="宋体" w:cs="宋体"/>
          <w:szCs w:val="21"/>
        </w:rPr>
      </w:pPr>
      <w:r>
        <w:rPr>
          <w:rFonts w:hint="eastAsia" w:ascii="宋体" w:hAnsi="宋体" w:cs="宋体"/>
          <w:szCs w:val="21"/>
        </w:rPr>
        <w:t>联系人：蔡子奇、冯怀敏</w:t>
      </w:r>
    </w:p>
    <w:p w14:paraId="2D85D62A">
      <w:pPr>
        <w:tabs>
          <w:tab w:val="left" w:pos="360"/>
        </w:tabs>
        <w:spacing w:line="440" w:lineRule="exact"/>
        <w:ind w:firstLine="420" w:firstLineChars="200"/>
        <w:rPr>
          <w:rFonts w:hint="eastAsia" w:ascii="宋体" w:hAnsi="宋体" w:cs="宋体"/>
          <w:szCs w:val="21"/>
        </w:rPr>
      </w:pPr>
      <w:r>
        <w:rPr>
          <w:rFonts w:hint="eastAsia" w:ascii="宋体" w:hAnsi="宋体" w:cs="宋体"/>
          <w:szCs w:val="21"/>
        </w:rPr>
        <w:t>电话：18124260197/020-31383588</w:t>
      </w:r>
    </w:p>
    <w:p w14:paraId="7CC896D8">
      <w:pPr>
        <w:tabs>
          <w:tab w:val="left" w:pos="360"/>
        </w:tabs>
        <w:spacing w:line="440" w:lineRule="exact"/>
        <w:ind w:firstLine="420" w:firstLineChars="200"/>
        <w:rPr>
          <w:rFonts w:hint="eastAsia" w:ascii="宋体" w:hAnsi="宋体" w:cs="宋体"/>
          <w:szCs w:val="21"/>
        </w:rPr>
      </w:pPr>
      <w:r>
        <w:rPr>
          <w:rFonts w:hint="eastAsia" w:ascii="宋体" w:hAnsi="宋体" w:cs="宋体"/>
          <w:szCs w:val="21"/>
        </w:rPr>
        <w:t>电子邮箱：czq@gdzefu.com</w:t>
      </w:r>
    </w:p>
    <w:p w14:paraId="67B7095E">
      <w:pPr>
        <w:spacing w:line="440" w:lineRule="exact"/>
        <w:ind w:right="105" w:firstLine="200"/>
        <w:jc w:val="right"/>
        <w:rPr>
          <w:rFonts w:hint="eastAsia" w:ascii="宋体" w:hAnsi="宋体" w:cs="宋体"/>
          <w:szCs w:val="21"/>
        </w:rPr>
      </w:pPr>
      <w:r>
        <w:rPr>
          <w:rFonts w:hint="eastAsia" w:ascii="宋体" w:hAnsi="宋体" w:cs="宋体"/>
          <w:szCs w:val="21"/>
        </w:rPr>
        <w:t>广东泽福管理咨询有限公司</w:t>
      </w:r>
    </w:p>
    <w:bookmarkEnd w:id="3"/>
    <w:p w14:paraId="73EF5295">
      <w:pPr>
        <w:wordWrap w:val="0"/>
        <w:spacing w:line="440" w:lineRule="exact"/>
        <w:ind w:right="105" w:firstLine="200"/>
        <w:jc w:val="right"/>
        <w:rPr>
          <w:rFonts w:hint="eastAsia" w:ascii="宋体" w:hAnsi="宋体" w:cs="宋体"/>
          <w:szCs w:val="21"/>
        </w:rPr>
      </w:pPr>
      <w:r>
        <w:rPr>
          <w:rFonts w:hint="eastAsia" w:ascii="宋体" w:hAnsi="宋体" w:cs="宋体"/>
          <w:szCs w:val="21"/>
        </w:rPr>
        <w:t>2025年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9</w:t>
      </w:r>
      <w:r>
        <w:rPr>
          <w:rFonts w:hint="eastAsia" w:ascii="宋体" w:hAnsi="宋体" w:cs="宋体"/>
          <w:szCs w:val="21"/>
        </w:rPr>
        <w:t>日</w:t>
      </w:r>
    </w:p>
    <w:p w14:paraId="3F400C80">
      <w:pPr>
        <w:widowControl/>
        <w:jc w:val="left"/>
        <w:rPr>
          <w:rFonts w:hint="eastAsia" w:ascii="宋体" w:hAnsi="宋体" w:cs="宋体"/>
          <w:szCs w:val="21"/>
        </w:rPr>
      </w:pPr>
      <w:r>
        <w:rPr>
          <w:rFonts w:hint="eastAsia" w:ascii="宋体" w:hAnsi="宋体" w:cs="宋体"/>
          <w:szCs w:val="21"/>
        </w:rPr>
        <w:br w:type="page"/>
      </w:r>
    </w:p>
    <w:p w14:paraId="0EBED4D2">
      <w:pPr>
        <w:spacing w:line="440" w:lineRule="exact"/>
        <w:ind w:right="105" w:firstLine="200"/>
        <w:jc w:val="left"/>
        <w:rPr>
          <w:rFonts w:hint="eastAsia" w:ascii="宋体" w:hAnsi="宋体" w:cs="宋体"/>
          <w:b/>
          <w:bCs/>
          <w:sz w:val="24"/>
        </w:rPr>
      </w:pPr>
      <w:r>
        <w:rPr>
          <w:rFonts w:hint="eastAsia" w:ascii="宋体" w:hAnsi="宋体" w:cs="宋体"/>
          <w:b/>
          <w:bCs/>
          <w:sz w:val="24"/>
        </w:rPr>
        <w:t>竞价公告附件1:</w:t>
      </w:r>
    </w:p>
    <w:p w14:paraId="3FEA0B2D">
      <w:pPr>
        <w:spacing w:line="440" w:lineRule="exact"/>
        <w:ind w:right="105" w:firstLine="200"/>
        <w:jc w:val="left"/>
        <w:rPr>
          <w:rFonts w:hint="eastAsia" w:ascii="宋体" w:hAnsi="宋体" w:cs="宋体"/>
          <w:b/>
          <w:bCs/>
          <w:sz w:val="24"/>
        </w:rPr>
      </w:pPr>
    </w:p>
    <w:p w14:paraId="1A888C82">
      <w:pPr>
        <w:spacing w:line="360" w:lineRule="exact"/>
        <w:jc w:val="center"/>
        <w:rPr>
          <w:rFonts w:hint="eastAsia" w:ascii="宋体" w:hAnsi="宋体" w:cs="宋体"/>
          <w:b/>
          <w:bCs/>
          <w:sz w:val="30"/>
          <w:szCs w:val="30"/>
        </w:rPr>
      </w:pPr>
      <w:bookmarkStart w:id="4" w:name="_Toc36729366"/>
      <w:bookmarkStart w:id="5" w:name="_Toc23493840"/>
      <w:r>
        <w:rPr>
          <w:rFonts w:hint="eastAsia" w:ascii="宋体" w:hAnsi="宋体" w:cs="宋体"/>
          <w:b/>
          <w:bCs/>
          <w:sz w:val="30"/>
          <w:szCs w:val="30"/>
        </w:rPr>
        <w:t>资格声明函</w:t>
      </w:r>
    </w:p>
    <w:p w14:paraId="038314E6">
      <w:pPr>
        <w:spacing w:line="360" w:lineRule="exact"/>
        <w:ind w:firstLine="181"/>
        <w:rPr>
          <w:rFonts w:hint="eastAsia" w:ascii="宋体" w:hAnsi="宋体" w:cs="宋体"/>
          <w:b/>
          <w:bCs/>
        </w:rPr>
      </w:pPr>
    </w:p>
    <w:p w14:paraId="56C55B79">
      <w:pPr>
        <w:spacing w:line="480" w:lineRule="exact"/>
        <w:rPr>
          <w:rFonts w:hint="eastAsia" w:ascii="宋体" w:hAnsi="宋体" w:cs="宋体"/>
          <w:b/>
          <w:bCs/>
          <w:szCs w:val="21"/>
        </w:rPr>
      </w:pPr>
      <w:r>
        <w:rPr>
          <w:rFonts w:hint="eastAsia" w:ascii="宋体" w:hAnsi="宋体" w:cs="宋体"/>
          <w:b/>
          <w:bCs/>
          <w:szCs w:val="21"/>
        </w:rPr>
        <w:t>致：宁德漳湾垃圾焚烧发电有限公司、广东泽福管理咨询有限公司</w:t>
      </w:r>
    </w:p>
    <w:p w14:paraId="6C531954">
      <w:pPr>
        <w:spacing w:line="480" w:lineRule="exact"/>
        <w:ind w:firstLine="555"/>
        <w:rPr>
          <w:rFonts w:hint="eastAsia" w:ascii="宋体" w:hAnsi="宋体" w:cs="宋体"/>
          <w:szCs w:val="21"/>
        </w:rPr>
      </w:pPr>
      <w:r>
        <w:rPr>
          <w:rFonts w:hint="eastAsia" w:ascii="宋体" w:hAnsi="宋体" w:cs="宋体"/>
        </w:rPr>
        <w:t>关于贵单位、贵公司发布的</w:t>
      </w:r>
      <w:r>
        <w:rPr>
          <w:rFonts w:hint="eastAsia" w:ascii="宋体" w:hAnsi="宋体" w:cs="宋体"/>
          <w:u w:val="single"/>
          <w:lang w:eastAsia="zh-CN"/>
        </w:rPr>
        <w:t>宁德漳湾垃圾焚烧发电有限公司国网电力通信设备及调度设备改造服务项目</w:t>
      </w:r>
      <w:r>
        <w:rPr>
          <w:rFonts w:hint="eastAsia" w:ascii="宋体" w:hAnsi="宋体" w:cs="宋体"/>
          <w:u w:val="single"/>
        </w:rPr>
        <w:t>（项目编号：</w:t>
      </w:r>
      <w:r>
        <w:rPr>
          <w:rFonts w:hint="eastAsia" w:ascii="宋体" w:hAnsi="宋体" w:cs="宋体"/>
          <w:u w:val="single"/>
          <w:lang w:eastAsia="zh-CN"/>
        </w:rPr>
        <w:t>GDZF-QYHJJ-2025-2611630</w:t>
      </w:r>
      <w:r>
        <w:rPr>
          <w:rFonts w:hint="eastAsia" w:ascii="宋体" w:hAnsi="宋体" w:cs="宋体"/>
          <w:u w:val="single"/>
        </w:rPr>
        <w:t xml:space="preserve"> 采购编号：</w:t>
      </w:r>
      <w:r>
        <w:rPr>
          <w:rFonts w:hint="eastAsia" w:ascii="宋体" w:hAnsi="宋体" w:cs="宋体"/>
          <w:u w:val="single"/>
          <w:lang w:eastAsia="zh-CN"/>
        </w:rPr>
        <w:t>ZC-HNF-2025-061</w:t>
      </w:r>
      <w:r>
        <w:rPr>
          <w:rFonts w:hint="eastAsia" w:ascii="宋体" w:hAnsi="宋体" w:cs="宋体"/>
          <w:u w:val="single"/>
        </w:rPr>
        <w:t>）</w:t>
      </w:r>
      <w:r>
        <w:rPr>
          <w:rFonts w:hint="eastAsia" w:ascii="宋体" w:hAnsi="宋体" w:cs="宋体"/>
        </w:rPr>
        <w:t>的采购公告，本公司（企业）愿意参加竞价，并声明：</w:t>
      </w:r>
    </w:p>
    <w:p w14:paraId="4AFFACB1">
      <w:pPr>
        <w:spacing w:line="440" w:lineRule="exact"/>
        <w:ind w:firstLine="420" w:firstLineChars="200"/>
        <w:jc w:val="left"/>
        <w:rPr>
          <w:rFonts w:hint="eastAsia" w:ascii="宋体" w:hAnsi="宋体" w:cs="宋体"/>
          <w:szCs w:val="21"/>
        </w:rPr>
      </w:pPr>
      <w:r>
        <w:rPr>
          <w:rFonts w:hint="eastAsia" w:ascii="宋体" w:hAnsi="宋体" w:cs="宋体"/>
          <w:szCs w:val="21"/>
        </w:rPr>
        <w:t>我方承诺在竞价截止前最近三年内，没有处于被责令停业，没有处于被暂停或取消</w:t>
      </w:r>
      <w:r>
        <w:rPr>
          <w:rFonts w:hint="eastAsia"/>
        </w:rPr>
        <w:t>电子竞价</w:t>
      </w:r>
      <w:r>
        <w:rPr>
          <w:rFonts w:hint="eastAsia" w:ascii="宋体" w:hAnsi="宋体" w:cs="宋体"/>
          <w:szCs w:val="21"/>
        </w:rPr>
        <w:t>资格，没有处于财产被接管或冻结的状态，在最近三年内没有骗取中标或严重违约或重大工程质量问题或重大安全事故的。单位负责人为同一人或者存在控股、管理关系的不同单位，不得参加同一包组（标段）</w:t>
      </w:r>
      <w:r>
        <w:rPr>
          <w:rFonts w:hint="eastAsia"/>
        </w:rPr>
        <w:t>电子竞价</w:t>
      </w:r>
      <w:r>
        <w:rPr>
          <w:rFonts w:hint="eastAsia" w:ascii="宋体" w:hAnsi="宋体" w:cs="宋体"/>
          <w:szCs w:val="21"/>
        </w:rPr>
        <w:t>或者未划分包组（标段）的同一项目</w:t>
      </w:r>
      <w:r>
        <w:rPr>
          <w:rFonts w:hint="eastAsia"/>
        </w:rPr>
        <w:t>电子竞价</w:t>
      </w:r>
      <w:r>
        <w:rPr>
          <w:rFonts w:hint="eastAsia" w:ascii="宋体" w:hAnsi="宋体" w:cs="宋体"/>
          <w:szCs w:val="21"/>
        </w:rPr>
        <w:t>。</w:t>
      </w:r>
    </w:p>
    <w:p w14:paraId="4D90E1D5">
      <w:pPr>
        <w:spacing w:line="480" w:lineRule="exact"/>
        <w:rPr>
          <w:rFonts w:hint="eastAsia" w:ascii="宋体" w:hAnsi="宋体" w:cs="宋体"/>
          <w:szCs w:val="21"/>
        </w:rPr>
      </w:pPr>
    </w:p>
    <w:p w14:paraId="4A3498EC">
      <w:pPr>
        <w:adjustRightInd w:val="0"/>
        <w:snapToGrid w:val="0"/>
        <w:spacing w:line="360" w:lineRule="auto"/>
        <w:rPr>
          <w:rFonts w:hint="eastAsia" w:ascii="宋体" w:hAnsi="宋体" w:cs="宋体"/>
          <w:szCs w:val="21"/>
          <w:u w:val="single"/>
        </w:rPr>
      </w:pPr>
      <w:r>
        <w:rPr>
          <w:rFonts w:hint="eastAsia" w:ascii="宋体" w:hAnsi="宋体" w:cs="宋体"/>
          <w:szCs w:val="21"/>
        </w:rPr>
        <w:t>供应商名称（签章）：</w:t>
      </w:r>
      <w:r>
        <w:rPr>
          <w:rFonts w:hint="eastAsia" w:ascii="宋体" w:hAnsi="宋体" w:cs="宋体"/>
          <w:szCs w:val="21"/>
          <w:u w:val="single"/>
        </w:rPr>
        <w:t xml:space="preserve">                 </w:t>
      </w:r>
    </w:p>
    <w:p w14:paraId="5F550BD7">
      <w:pPr>
        <w:tabs>
          <w:tab w:val="left" w:pos="3960"/>
        </w:tabs>
        <w:spacing w:line="360" w:lineRule="auto"/>
        <w:ind w:right="301"/>
        <w:rPr>
          <w:rFonts w:hint="eastAsia" w:ascii="宋体" w:hAnsi="宋体" w:cs="宋体"/>
          <w:szCs w:val="21"/>
        </w:rPr>
        <w:sectPr>
          <w:pgSz w:w="11907" w:h="16840"/>
          <w:pgMar w:top="1134" w:right="1361" w:bottom="1134" w:left="1361" w:header="851" w:footer="567" w:gutter="0"/>
          <w:cols w:space="720" w:num="1"/>
          <w:docGrid w:linePitch="285" w:charSpace="0"/>
        </w:sectPr>
      </w:pPr>
      <w:r>
        <w:rPr>
          <w:rFonts w:hint="eastAsia" w:ascii="宋体" w:hAnsi="宋体" w:cs="宋体"/>
          <w:szCs w:val="21"/>
        </w:rPr>
        <w:t>日期：    年   月   日</w:t>
      </w:r>
    </w:p>
    <w:bookmarkEnd w:id="4"/>
    <w:bookmarkEnd w:id="5"/>
    <w:p w14:paraId="0AB2D381">
      <w:pPr>
        <w:pStyle w:val="2"/>
        <w:spacing w:line="400" w:lineRule="exact"/>
        <w:jc w:val="center"/>
        <w:rPr>
          <w:rFonts w:hint="eastAsia" w:ascii="宋体" w:hAnsi="宋体" w:cs="宋体"/>
          <w:sz w:val="32"/>
          <w:szCs w:val="32"/>
        </w:rPr>
      </w:pPr>
      <w:bookmarkStart w:id="6" w:name="_Toc59193978"/>
      <w:bookmarkStart w:id="7" w:name="_Toc18419381"/>
      <w:bookmarkStart w:id="8" w:name="_Toc12574"/>
      <w:bookmarkStart w:id="9" w:name="_Toc18419380"/>
      <w:r>
        <w:rPr>
          <w:rFonts w:hint="eastAsia" w:ascii="宋体" w:hAnsi="宋体" w:cs="宋体"/>
          <w:sz w:val="32"/>
          <w:szCs w:val="32"/>
        </w:rPr>
        <w:t>第二部分 竞价须知</w:t>
      </w:r>
      <w:bookmarkEnd w:id="6"/>
      <w:bookmarkEnd w:id="7"/>
      <w:bookmarkEnd w:id="8"/>
    </w:p>
    <w:p w14:paraId="0968AE85">
      <w:pPr>
        <w:spacing w:line="300" w:lineRule="auto"/>
        <w:rPr>
          <w:rFonts w:hint="eastAsia" w:ascii="宋体" w:hAnsi="宋体" w:cs="宋体"/>
          <w:b/>
          <w:sz w:val="24"/>
        </w:rPr>
      </w:pPr>
      <w:r>
        <w:rPr>
          <w:rFonts w:hint="eastAsia" w:ascii="宋体" w:hAnsi="宋体" w:cs="宋体"/>
          <w:b/>
          <w:sz w:val="24"/>
        </w:rPr>
        <w:t>竞价须知前附表</w:t>
      </w:r>
    </w:p>
    <w:tbl>
      <w:tblPr>
        <w:tblStyle w:val="43"/>
        <w:tblW w:w="9185"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94"/>
        <w:gridCol w:w="8191"/>
      </w:tblGrid>
      <w:tr w14:paraId="42A22E1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20" w:hRule="atLeast"/>
          <w:jc w:val="center"/>
        </w:trPr>
        <w:tc>
          <w:tcPr>
            <w:tcW w:w="541" w:type="pct"/>
            <w:vAlign w:val="center"/>
          </w:tcPr>
          <w:p w14:paraId="0FFBCFB4">
            <w:pPr>
              <w:spacing w:line="360" w:lineRule="auto"/>
              <w:jc w:val="center"/>
              <w:rPr>
                <w:rFonts w:hint="eastAsia" w:ascii="宋体" w:hAnsi="宋体" w:cs="宋体"/>
                <w:b/>
                <w:sz w:val="24"/>
              </w:rPr>
            </w:pPr>
            <w:r>
              <w:rPr>
                <w:rFonts w:hint="eastAsia" w:ascii="宋体" w:hAnsi="宋体" w:cs="宋体"/>
                <w:b/>
                <w:sz w:val="24"/>
              </w:rPr>
              <w:t>序号</w:t>
            </w:r>
          </w:p>
        </w:tc>
        <w:tc>
          <w:tcPr>
            <w:tcW w:w="4458" w:type="pct"/>
            <w:vAlign w:val="center"/>
          </w:tcPr>
          <w:p w14:paraId="4A5BE663">
            <w:pPr>
              <w:spacing w:line="360" w:lineRule="auto"/>
              <w:jc w:val="center"/>
              <w:rPr>
                <w:rFonts w:hint="eastAsia" w:ascii="宋体" w:hAnsi="宋体" w:cs="宋体"/>
                <w:b/>
                <w:sz w:val="24"/>
              </w:rPr>
            </w:pPr>
            <w:r>
              <w:rPr>
                <w:rFonts w:hint="eastAsia" w:ascii="宋体" w:hAnsi="宋体" w:cs="宋体"/>
                <w:b/>
                <w:sz w:val="24"/>
              </w:rPr>
              <w:t>内  容</w:t>
            </w:r>
          </w:p>
        </w:tc>
      </w:tr>
      <w:tr w14:paraId="47D1960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41" w:type="pct"/>
            <w:vAlign w:val="center"/>
          </w:tcPr>
          <w:p w14:paraId="62CE34AA">
            <w:pPr>
              <w:spacing w:line="360" w:lineRule="auto"/>
              <w:jc w:val="center"/>
              <w:rPr>
                <w:rFonts w:hint="eastAsia" w:ascii="宋体" w:hAnsi="宋体" w:cs="宋体"/>
                <w:sz w:val="24"/>
              </w:rPr>
            </w:pPr>
          </w:p>
        </w:tc>
        <w:tc>
          <w:tcPr>
            <w:tcW w:w="4458" w:type="pct"/>
            <w:vAlign w:val="center"/>
          </w:tcPr>
          <w:p w14:paraId="1BC74C94">
            <w:pPr>
              <w:spacing w:line="360" w:lineRule="auto"/>
              <w:jc w:val="center"/>
              <w:rPr>
                <w:rFonts w:hint="eastAsia" w:ascii="宋体" w:hAnsi="宋体" w:cs="宋体"/>
                <w:b/>
                <w:sz w:val="24"/>
              </w:rPr>
            </w:pPr>
            <w:r>
              <w:rPr>
                <w:rFonts w:hint="eastAsia" w:ascii="宋体" w:hAnsi="宋体" w:cs="宋体"/>
                <w:b/>
                <w:sz w:val="24"/>
              </w:rPr>
              <w:t>一、说明</w:t>
            </w:r>
          </w:p>
        </w:tc>
      </w:tr>
      <w:tr w14:paraId="4CE2D0E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41" w:type="pct"/>
            <w:vAlign w:val="center"/>
          </w:tcPr>
          <w:p w14:paraId="4E75FA63">
            <w:pPr>
              <w:spacing w:line="360" w:lineRule="auto"/>
              <w:jc w:val="center"/>
              <w:rPr>
                <w:rFonts w:hint="eastAsia" w:ascii="宋体" w:hAnsi="宋体" w:cs="宋体"/>
                <w:sz w:val="24"/>
              </w:rPr>
            </w:pPr>
            <w:r>
              <w:rPr>
                <w:rFonts w:hint="eastAsia" w:ascii="宋体" w:hAnsi="宋体" w:cs="宋体"/>
                <w:sz w:val="24"/>
              </w:rPr>
              <w:t>1</w:t>
            </w:r>
          </w:p>
        </w:tc>
        <w:tc>
          <w:tcPr>
            <w:tcW w:w="4458" w:type="pct"/>
            <w:vAlign w:val="center"/>
          </w:tcPr>
          <w:p w14:paraId="1F13925E">
            <w:pPr>
              <w:spacing w:line="360" w:lineRule="auto"/>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宁德漳湾垃圾焚烧发电有限公司国网电力通信设备及调度设备改造服务项目</w:t>
            </w:r>
          </w:p>
        </w:tc>
      </w:tr>
      <w:tr w14:paraId="0215166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41" w:type="pct"/>
            <w:vAlign w:val="center"/>
          </w:tcPr>
          <w:p w14:paraId="3475F774">
            <w:pPr>
              <w:spacing w:line="360" w:lineRule="auto"/>
              <w:jc w:val="center"/>
              <w:rPr>
                <w:rFonts w:hint="eastAsia" w:ascii="宋体" w:hAnsi="宋体" w:cs="宋体"/>
                <w:sz w:val="24"/>
              </w:rPr>
            </w:pPr>
            <w:r>
              <w:rPr>
                <w:rFonts w:hint="eastAsia" w:ascii="宋体" w:hAnsi="宋体" w:cs="宋体"/>
                <w:sz w:val="24"/>
              </w:rPr>
              <w:t>2</w:t>
            </w:r>
          </w:p>
        </w:tc>
        <w:tc>
          <w:tcPr>
            <w:tcW w:w="4458" w:type="pct"/>
            <w:vAlign w:val="center"/>
          </w:tcPr>
          <w:p w14:paraId="2CA2F170">
            <w:pPr>
              <w:spacing w:line="360" w:lineRule="auto"/>
              <w:rPr>
                <w:rFonts w:hint="eastAsia" w:ascii="宋体" w:hAnsi="宋体" w:cs="宋体"/>
                <w:sz w:val="24"/>
              </w:rPr>
            </w:pPr>
            <w:r>
              <w:rPr>
                <w:rFonts w:hint="eastAsia" w:ascii="宋体" w:hAnsi="宋体" w:cs="宋体"/>
                <w:sz w:val="24"/>
              </w:rPr>
              <w:t>采购人：宁德漳湾垃圾焚烧发电有限公司</w:t>
            </w:r>
          </w:p>
        </w:tc>
      </w:tr>
      <w:tr w14:paraId="1D20C46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41" w:type="pct"/>
            <w:vAlign w:val="center"/>
          </w:tcPr>
          <w:p w14:paraId="7E0A2B09">
            <w:pPr>
              <w:spacing w:line="360" w:lineRule="auto"/>
              <w:jc w:val="center"/>
              <w:rPr>
                <w:rFonts w:hint="eastAsia" w:ascii="宋体" w:hAnsi="宋体" w:cs="宋体"/>
                <w:sz w:val="24"/>
              </w:rPr>
            </w:pPr>
            <w:r>
              <w:rPr>
                <w:rFonts w:hint="eastAsia" w:ascii="宋体" w:hAnsi="宋体" w:cs="宋体"/>
                <w:sz w:val="24"/>
              </w:rPr>
              <w:t>3</w:t>
            </w:r>
          </w:p>
        </w:tc>
        <w:tc>
          <w:tcPr>
            <w:tcW w:w="4458" w:type="pct"/>
            <w:vAlign w:val="center"/>
          </w:tcPr>
          <w:p w14:paraId="6721F780">
            <w:pPr>
              <w:spacing w:line="360" w:lineRule="auto"/>
              <w:rPr>
                <w:rFonts w:hint="eastAsia" w:ascii="宋体" w:hAnsi="宋体" w:cs="宋体"/>
                <w:sz w:val="24"/>
              </w:rPr>
            </w:pPr>
            <w:r>
              <w:rPr>
                <w:rFonts w:hint="eastAsia" w:ascii="宋体" w:hAnsi="宋体" w:cs="宋体"/>
                <w:sz w:val="24"/>
              </w:rPr>
              <w:t>采购代理机构：广东泽福管理咨询有限公司</w:t>
            </w:r>
          </w:p>
        </w:tc>
      </w:tr>
      <w:tr w14:paraId="434E672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41" w:type="pct"/>
            <w:vAlign w:val="center"/>
          </w:tcPr>
          <w:p w14:paraId="0D1AF078">
            <w:pPr>
              <w:spacing w:line="360" w:lineRule="auto"/>
              <w:jc w:val="center"/>
              <w:rPr>
                <w:rFonts w:hint="eastAsia" w:ascii="宋体" w:hAnsi="宋体" w:cs="宋体"/>
                <w:sz w:val="24"/>
              </w:rPr>
            </w:pPr>
          </w:p>
        </w:tc>
        <w:tc>
          <w:tcPr>
            <w:tcW w:w="4458" w:type="pct"/>
            <w:vAlign w:val="center"/>
          </w:tcPr>
          <w:p w14:paraId="5D87F1A6">
            <w:pPr>
              <w:spacing w:line="360" w:lineRule="auto"/>
              <w:jc w:val="center"/>
              <w:rPr>
                <w:rFonts w:hint="eastAsia" w:ascii="宋体" w:hAnsi="宋体" w:cs="宋体"/>
                <w:b/>
                <w:sz w:val="24"/>
              </w:rPr>
            </w:pPr>
            <w:r>
              <w:rPr>
                <w:rFonts w:hint="eastAsia" w:ascii="宋体" w:hAnsi="宋体" w:cs="宋体"/>
                <w:b/>
                <w:sz w:val="24"/>
              </w:rPr>
              <w:t>二、 竞价文件</w:t>
            </w:r>
          </w:p>
        </w:tc>
      </w:tr>
      <w:tr w14:paraId="2E124DE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41" w:type="pct"/>
            <w:vAlign w:val="center"/>
          </w:tcPr>
          <w:p w14:paraId="31D790E4">
            <w:pPr>
              <w:spacing w:line="360" w:lineRule="auto"/>
              <w:jc w:val="center"/>
              <w:rPr>
                <w:rFonts w:hint="eastAsia" w:ascii="宋体" w:hAnsi="宋体" w:cs="宋体"/>
                <w:sz w:val="24"/>
              </w:rPr>
            </w:pPr>
            <w:r>
              <w:rPr>
                <w:rFonts w:hint="eastAsia" w:ascii="宋体" w:hAnsi="宋体" w:cs="宋体"/>
                <w:sz w:val="24"/>
              </w:rPr>
              <w:t>4</w:t>
            </w:r>
          </w:p>
        </w:tc>
        <w:tc>
          <w:tcPr>
            <w:tcW w:w="4458" w:type="pct"/>
            <w:vAlign w:val="center"/>
          </w:tcPr>
          <w:p w14:paraId="35DE593D">
            <w:pPr>
              <w:spacing w:line="360" w:lineRule="auto"/>
              <w:jc w:val="left"/>
              <w:rPr>
                <w:rFonts w:hint="eastAsia" w:ascii="宋体" w:hAnsi="宋体" w:cs="宋体"/>
                <w:sz w:val="24"/>
              </w:rPr>
            </w:pPr>
            <w:r>
              <w:rPr>
                <w:rFonts w:hint="eastAsia" w:ascii="宋体" w:hAnsi="宋体" w:cs="宋体"/>
                <w:sz w:val="24"/>
              </w:rPr>
              <w:t>竞价文件中的遗漏、错误、词义表达不清或对比较复杂的事项进行说明，回答供应商提出的各种问题。采购人或采购代理机构可以视具体情况，延长竞价开始时间，但至少应当在竞价开始时间1个工作日前。</w:t>
            </w:r>
          </w:p>
        </w:tc>
      </w:tr>
      <w:tr w14:paraId="161B8CD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41" w:type="pct"/>
            <w:vAlign w:val="center"/>
          </w:tcPr>
          <w:p w14:paraId="0F438178">
            <w:pPr>
              <w:spacing w:line="360" w:lineRule="auto"/>
              <w:jc w:val="center"/>
              <w:rPr>
                <w:rFonts w:hint="eastAsia" w:ascii="宋体" w:hAnsi="宋体" w:cs="宋体"/>
                <w:sz w:val="24"/>
              </w:rPr>
            </w:pPr>
          </w:p>
        </w:tc>
        <w:tc>
          <w:tcPr>
            <w:tcW w:w="4458" w:type="pct"/>
            <w:vAlign w:val="center"/>
          </w:tcPr>
          <w:p w14:paraId="2BCA974F">
            <w:pPr>
              <w:spacing w:line="360" w:lineRule="auto"/>
              <w:jc w:val="center"/>
              <w:rPr>
                <w:rFonts w:hint="eastAsia" w:ascii="宋体" w:hAnsi="宋体" w:cs="宋体"/>
                <w:b/>
                <w:sz w:val="24"/>
              </w:rPr>
            </w:pPr>
            <w:r>
              <w:rPr>
                <w:rFonts w:hint="eastAsia" w:ascii="宋体" w:hAnsi="宋体" w:cs="宋体"/>
                <w:b/>
                <w:sz w:val="24"/>
              </w:rPr>
              <w:t>三、供应商</w:t>
            </w:r>
          </w:p>
        </w:tc>
      </w:tr>
      <w:tr w14:paraId="7C8A18B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41" w:type="pct"/>
            <w:vAlign w:val="center"/>
          </w:tcPr>
          <w:p w14:paraId="39F5DC9B">
            <w:pPr>
              <w:spacing w:line="360" w:lineRule="auto"/>
              <w:jc w:val="center"/>
              <w:rPr>
                <w:rFonts w:hint="eastAsia" w:ascii="宋体" w:hAnsi="宋体" w:cs="宋体"/>
                <w:sz w:val="24"/>
              </w:rPr>
            </w:pPr>
            <w:r>
              <w:rPr>
                <w:rFonts w:hint="eastAsia" w:ascii="宋体" w:hAnsi="宋体" w:cs="宋体"/>
                <w:sz w:val="24"/>
              </w:rPr>
              <w:t>5</w:t>
            </w:r>
          </w:p>
        </w:tc>
        <w:tc>
          <w:tcPr>
            <w:tcW w:w="4458" w:type="pct"/>
            <w:vAlign w:val="center"/>
          </w:tcPr>
          <w:p w14:paraId="281D065E">
            <w:pPr>
              <w:spacing w:line="360" w:lineRule="auto"/>
              <w:jc w:val="left"/>
              <w:rPr>
                <w:rFonts w:hint="eastAsia" w:ascii="宋体" w:hAnsi="宋体" w:cs="宋体"/>
                <w:sz w:val="24"/>
              </w:rPr>
            </w:pPr>
            <w:r>
              <w:rPr>
                <w:rFonts w:hint="eastAsia" w:ascii="宋体" w:hAnsi="宋体" w:cs="宋体"/>
                <w:sz w:val="24"/>
              </w:rPr>
              <w:t>供应商资格条件详见第一部分“二、供应商资格要求”</w:t>
            </w:r>
          </w:p>
        </w:tc>
      </w:tr>
      <w:tr w14:paraId="58F68B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41" w:type="pct"/>
            <w:vAlign w:val="center"/>
          </w:tcPr>
          <w:p w14:paraId="58E40DA2">
            <w:pPr>
              <w:spacing w:line="360" w:lineRule="auto"/>
              <w:jc w:val="center"/>
              <w:rPr>
                <w:rFonts w:hint="eastAsia" w:ascii="宋体" w:hAnsi="宋体" w:cs="宋体"/>
                <w:sz w:val="24"/>
              </w:rPr>
            </w:pPr>
          </w:p>
        </w:tc>
        <w:tc>
          <w:tcPr>
            <w:tcW w:w="4458" w:type="pct"/>
            <w:vAlign w:val="center"/>
          </w:tcPr>
          <w:p w14:paraId="3FEBED2C">
            <w:pPr>
              <w:spacing w:line="360" w:lineRule="auto"/>
              <w:jc w:val="center"/>
              <w:rPr>
                <w:rFonts w:hint="eastAsia" w:ascii="宋体" w:hAnsi="宋体" w:cs="宋体"/>
                <w:b/>
                <w:sz w:val="24"/>
              </w:rPr>
            </w:pPr>
            <w:r>
              <w:rPr>
                <w:rFonts w:hint="eastAsia" w:ascii="宋体" w:hAnsi="宋体" w:cs="宋体"/>
                <w:b/>
                <w:sz w:val="24"/>
              </w:rPr>
              <w:t>四、报价要求</w:t>
            </w:r>
          </w:p>
        </w:tc>
      </w:tr>
      <w:tr w14:paraId="4DE247E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41" w:type="pct"/>
            <w:vMerge w:val="restart"/>
            <w:vAlign w:val="center"/>
          </w:tcPr>
          <w:p w14:paraId="054CB16C">
            <w:pPr>
              <w:spacing w:line="360" w:lineRule="auto"/>
              <w:jc w:val="center"/>
              <w:rPr>
                <w:rFonts w:hint="eastAsia" w:ascii="宋体" w:hAnsi="宋体" w:cs="宋体"/>
                <w:sz w:val="24"/>
              </w:rPr>
            </w:pPr>
            <w:r>
              <w:rPr>
                <w:rFonts w:hint="eastAsia" w:ascii="宋体" w:hAnsi="宋体" w:cs="宋体"/>
                <w:sz w:val="24"/>
              </w:rPr>
              <w:t>6</w:t>
            </w:r>
          </w:p>
        </w:tc>
        <w:tc>
          <w:tcPr>
            <w:tcW w:w="4458" w:type="pct"/>
            <w:tcBorders>
              <w:bottom w:val="single" w:color="auto" w:sz="4" w:space="0"/>
            </w:tcBorders>
            <w:vAlign w:val="center"/>
          </w:tcPr>
          <w:p w14:paraId="6A3F38C6">
            <w:pPr>
              <w:spacing w:line="360" w:lineRule="auto"/>
              <w:jc w:val="left"/>
              <w:rPr>
                <w:rFonts w:hint="eastAsia" w:ascii="宋体" w:hAnsi="宋体" w:cs="宋体"/>
                <w:sz w:val="24"/>
              </w:rPr>
            </w:pPr>
            <w:r>
              <w:rPr>
                <w:rFonts w:hint="eastAsia" w:ascii="宋体" w:hAnsi="宋体" w:cs="宋体"/>
                <w:sz w:val="24"/>
              </w:rPr>
              <w:t>最大报价次数：</w:t>
            </w:r>
            <w:r>
              <w:rPr>
                <w:rFonts w:hint="eastAsia" w:ascii="宋体" w:hAnsi="宋体" w:cs="宋体"/>
                <w:sz w:val="24"/>
                <w:u w:val="single"/>
              </w:rPr>
              <w:t>2次（可单次报价）</w:t>
            </w:r>
            <w:r>
              <w:rPr>
                <w:rFonts w:hint="eastAsia" w:ascii="宋体" w:hAnsi="宋体" w:cs="宋体"/>
                <w:sz w:val="24"/>
              </w:rPr>
              <w:t>。</w:t>
            </w:r>
          </w:p>
          <w:p w14:paraId="1671FB25">
            <w:pPr>
              <w:spacing w:line="360" w:lineRule="auto"/>
              <w:jc w:val="left"/>
              <w:rPr>
                <w:rFonts w:hint="eastAsia" w:ascii="宋体" w:hAnsi="宋体" w:cs="宋体"/>
                <w:sz w:val="24"/>
              </w:rPr>
            </w:pPr>
            <w:r>
              <w:rPr>
                <w:rFonts w:hint="eastAsia" w:ascii="宋体" w:hAnsi="宋体" w:cs="宋体"/>
                <w:sz w:val="24"/>
              </w:rPr>
              <w:t>竞价类型：</w:t>
            </w:r>
            <w:r>
              <w:rPr>
                <w:rFonts w:hint="eastAsia" w:ascii="宋体" w:hAnsi="宋体" w:cs="宋体"/>
                <w:sz w:val="24"/>
                <w:u w:val="single"/>
              </w:rPr>
              <w:t>单价竞价</w:t>
            </w:r>
            <w:r>
              <w:rPr>
                <w:rFonts w:hint="eastAsia" w:ascii="宋体" w:hAnsi="宋体" w:cs="宋体"/>
                <w:sz w:val="24"/>
              </w:rPr>
              <w:t>。</w:t>
            </w:r>
          </w:p>
          <w:p w14:paraId="2DBC6D8B">
            <w:pPr>
              <w:spacing w:line="360" w:lineRule="auto"/>
              <w:jc w:val="left"/>
              <w:rPr>
                <w:rFonts w:hint="eastAsia" w:ascii="宋体" w:hAnsi="宋体" w:cs="宋体"/>
                <w:sz w:val="24"/>
              </w:rPr>
            </w:pPr>
            <w:r>
              <w:rPr>
                <w:rFonts w:hint="eastAsia" w:ascii="宋体" w:hAnsi="宋体" w:cs="宋体"/>
                <w:sz w:val="24"/>
              </w:rPr>
              <w:t>竞价方式：</w:t>
            </w:r>
            <w:r>
              <w:rPr>
                <w:rFonts w:hint="eastAsia" w:ascii="宋体" w:hAnsi="宋体" w:cs="宋体"/>
                <w:sz w:val="24"/>
                <w:u w:val="single"/>
              </w:rPr>
              <w:t>反向竞价</w:t>
            </w:r>
            <w:r>
              <w:rPr>
                <w:rFonts w:hint="eastAsia" w:ascii="宋体" w:hAnsi="宋体" w:cs="宋体"/>
                <w:sz w:val="24"/>
              </w:rPr>
              <w:t>。</w:t>
            </w:r>
          </w:p>
          <w:p w14:paraId="30C342B1">
            <w:pPr>
              <w:spacing w:line="360" w:lineRule="auto"/>
              <w:jc w:val="left"/>
              <w:rPr>
                <w:rFonts w:hint="eastAsia" w:ascii="宋体" w:hAnsi="宋体" w:cs="宋体"/>
                <w:b/>
                <w:sz w:val="24"/>
                <w:u w:val="single"/>
              </w:rPr>
            </w:pPr>
            <w:r>
              <w:rPr>
                <w:rFonts w:hint="eastAsia" w:ascii="宋体" w:hAnsi="宋体" w:cs="宋体"/>
                <w:sz w:val="24"/>
              </w:rPr>
              <w:t>价格梯度：</w:t>
            </w:r>
            <w:r>
              <w:rPr>
                <w:rFonts w:hint="eastAsia" w:ascii="宋体" w:hAnsi="宋体" w:cs="宋体"/>
                <w:sz w:val="24"/>
                <w:u w:val="single"/>
              </w:rPr>
              <w:t>≥0.01元</w:t>
            </w:r>
            <w:r>
              <w:rPr>
                <w:rFonts w:hint="eastAsia" w:ascii="宋体" w:hAnsi="宋体" w:cs="宋体"/>
                <w:sz w:val="24"/>
              </w:rPr>
              <w:t>。</w:t>
            </w:r>
            <w:r>
              <w:rPr>
                <w:rFonts w:hint="eastAsia" w:ascii="宋体" w:hAnsi="宋体" w:cs="宋体"/>
                <w:b/>
                <w:sz w:val="24"/>
                <w:u w:val="single"/>
              </w:rPr>
              <w:t>（注：供应商报价=起拍价-价格梯度的倍数）</w:t>
            </w:r>
          </w:p>
        </w:tc>
      </w:tr>
      <w:tr w14:paraId="3E0F29D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41" w:type="pct"/>
            <w:vMerge w:val="continue"/>
            <w:vAlign w:val="center"/>
          </w:tcPr>
          <w:p w14:paraId="7CEE682C">
            <w:pPr>
              <w:spacing w:line="360" w:lineRule="auto"/>
              <w:jc w:val="center"/>
              <w:rPr>
                <w:rFonts w:hint="eastAsia" w:ascii="宋体" w:hAnsi="宋体" w:cs="宋体"/>
                <w:sz w:val="24"/>
              </w:rPr>
            </w:pPr>
          </w:p>
        </w:tc>
        <w:tc>
          <w:tcPr>
            <w:tcW w:w="4458" w:type="pct"/>
            <w:tcBorders>
              <w:top w:val="single" w:color="auto" w:sz="4" w:space="0"/>
            </w:tcBorders>
            <w:vAlign w:val="center"/>
          </w:tcPr>
          <w:p w14:paraId="611F63B5">
            <w:pPr>
              <w:spacing w:line="360" w:lineRule="auto"/>
              <w:jc w:val="left"/>
              <w:rPr>
                <w:rFonts w:hint="eastAsia" w:ascii="宋体" w:hAnsi="宋体" w:cs="宋体"/>
                <w:sz w:val="24"/>
              </w:rPr>
            </w:pPr>
            <w:r>
              <w:rPr>
                <w:rFonts w:hint="eastAsia" w:ascii="宋体" w:hAnsi="宋体" w:cs="宋体"/>
                <w:sz w:val="24"/>
              </w:rPr>
              <w:t>1、供应商根据本项目要求，通过报名的单位在规定时间内对采购项目进行报价，并对报价内容承担责任。</w:t>
            </w:r>
          </w:p>
          <w:p w14:paraId="0C40FD2F">
            <w:pPr>
              <w:spacing w:line="360" w:lineRule="auto"/>
              <w:jc w:val="left"/>
              <w:rPr>
                <w:rFonts w:hint="eastAsia" w:ascii="宋体" w:hAnsi="宋体" w:cs="宋体"/>
                <w:sz w:val="24"/>
              </w:rPr>
            </w:pPr>
            <w:r>
              <w:rPr>
                <w:rFonts w:hint="eastAsia" w:ascii="宋体" w:hAnsi="宋体" w:cs="宋体"/>
                <w:sz w:val="24"/>
              </w:rPr>
              <w:t>2、供应商应逐项认真填写明细报价并仔细审核后提交。报价一旦提交，则下次出价不能高于本次报价。</w:t>
            </w:r>
          </w:p>
          <w:p w14:paraId="343DB32A">
            <w:pPr>
              <w:spacing w:line="360" w:lineRule="auto"/>
              <w:jc w:val="left"/>
              <w:rPr>
                <w:rFonts w:hint="eastAsia" w:ascii="宋体" w:hAnsi="宋体" w:cs="宋体"/>
                <w:sz w:val="24"/>
              </w:rPr>
            </w:pPr>
            <w:r>
              <w:rPr>
                <w:rFonts w:hint="eastAsia" w:ascii="宋体" w:hAnsi="宋体" w:cs="宋体"/>
                <w:sz w:val="24"/>
              </w:rPr>
              <w:t>3、供应商必须对项目进行整体报价,不允许仅对其中部分内容进行报价。</w:t>
            </w:r>
          </w:p>
        </w:tc>
      </w:tr>
      <w:tr w14:paraId="063C210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41" w:type="pct"/>
            <w:vMerge w:val="restart"/>
            <w:vAlign w:val="center"/>
          </w:tcPr>
          <w:p w14:paraId="66C550A2">
            <w:pPr>
              <w:spacing w:line="360" w:lineRule="auto"/>
              <w:jc w:val="center"/>
              <w:rPr>
                <w:rFonts w:hint="eastAsia" w:ascii="宋体" w:hAnsi="宋体" w:cs="宋体"/>
                <w:sz w:val="24"/>
              </w:rPr>
            </w:pPr>
            <w:r>
              <w:rPr>
                <w:rFonts w:hint="eastAsia" w:ascii="宋体" w:hAnsi="宋体" w:cs="宋体"/>
                <w:sz w:val="24"/>
              </w:rPr>
              <w:t>7</w:t>
            </w:r>
          </w:p>
        </w:tc>
        <w:tc>
          <w:tcPr>
            <w:tcW w:w="4458" w:type="pct"/>
            <w:vAlign w:val="center"/>
          </w:tcPr>
          <w:p w14:paraId="1062C9C4">
            <w:pPr>
              <w:tabs>
                <w:tab w:val="left" w:pos="315"/>
                <w:tab w:val="left" w:pos="1785"/>
                <w:tab w:val="left" w:pos="2310"/>
                <w:tab w:val="left" w:pos="8640"/>
              </w:tabs>
              <w:spacing w:line="360" w:lineRule="auto"/>
              <w:rPr>
                <w:rFonts w:hint="eastAsia" w:ascii="宋体" w:hAnsi="宋体" w:cs="宋体"/>
                <w:bCs/>
                <w:sz w:val="24"/>
              </w:rPr>
            </w:pPr>
            <w:bookmarkStart w:id="10" w:name="OLE_LINK1"/>
            <w:r>
              <w:rPr>
                <w:rFonts w:hint="eastAsia" w:ascii="宋体" w:hAnsi="宋体" w:cs="宋体"/>
                <w:bCs/>
                <w:sz w:val="24"/>
              </w:rPr>
              <w:t>竞价保证金</w:t>
            </w:r>
            <w:bookmarkEnd w:id="10"/>
            <w:r>
              <w:rPr>
                <w:rFonts w:hint="eastAsia" w:ascii="宋体" w:hAnsi="宋体" w:cs="宋体"/>
                <w:bCs/>
                <w:sz w:val="24"/>
              </w:rPr>
              <w:t>为：</w:t>
            </w:r>
          </w:p>
          <w:p w14:paraId="3AB338C9">
            <w:pPr>
              <w:tabs>
                <w:tab w:val="left" w:pos="315"/>
                <w:tab w:val="left" w:pos="1785"/>
                <w:tab w:val="left" w:pos="2310"/>
                <w:tab w:val="left" w:pos="8640"/>
              </w:tabs>
              <w:spacing w:line="360" w:lineRule="auto"/>
              <w:rPr>
                <w:rFonts w:hint="eastAsia" w:ascii="宋体" w:hAnsi="宋体" w:cs="宋体"/>
                <w:b/>
                <w:bCs/>
                <w:sz w:val="24"/>
              </w:rPr>
            </w:pPr>
            <w:r>
              <w:rPr>
                <w:rFonts w:hint="eastAsia" w:ascii="宋体" w:hAnsi="宋体" w:cs="宋体"/>
                <w:b/>
                <w:sz w:val="24"/>
              </w:rPr>
              <w:t>人民币</w:t>
            </w:r>
            <w:r>
              <w:rPr>
                <w:rFonts w:hint="eastAsia" w:ascii="宋体" w:hAnsi="宋体" w:cs="宋体"/>
                <w:b/>
                <w:sz w:val="24"/>
                <w:u w:val="single"/>
              </w:rPr>
              <w:t>4</w:t>
            </w:r>
            <w:r>
              <w:rPr>
                <w:rFonts w:hint="eastAsia" w:ascii="宋体" w:hAnsi="宋体" w:cs="宋体"/>
                <w:b/>
                <w:sz w:val="24"/>
                <w:u w:val="single"/>
                <w:lang w:val="en-US" w:eastAsia="zh-CN"/>
              </w:rPr>
              <w:t>1</w:t>
            </w:r>
            <w:r>
              <w:rPr>
                <w:rFonts w:hint="eastAsia" w:ascii="宋体" w:hAnsi="宋体" w:cs="宋体"/>
                <w:b/>
                <w:sz w:val="24"/>
                <w:u w:val="single"/>
              </w:rPr>
              <w:t>00.00</w:t>
            </w:r>
            <w:r>
              <w:rPr>
                <w:rFonts w:hint="eastAsia" w:ascii="宋体" w:hAnsi="宋体" w:cs="宋体"/>
                <w:b/>
                <w:sz w:val="24"/>
              </w:rPr>
              <w:t>元</w:t>
            </w:r>
          </w:p>
          <w:p w14:paraId="08963A02">
            <w:pPr>
              <w:tabs>
                <w:tab w:val="left" w:pos="315"/>
                <w:tab w:val="left" w:pos="1785"/>
                <w:tab w:val="left" w:pos="2310"/>
                <w:tab w:val="left" w:pos="8640"/>
              </w:tabs>
              <w:spacing w:line="360" w:lineRule="auto"/>
              <w:rPr>
                <w:rFonts w:hint="eastAsia" w:ascii="宋体" w:hAnsi="宋体" w:cs="宋体"/>
                <w:b/>
                <w:bCs/>
                <w:sz w:val="24"/>
              </w:rPr>
            </w:pPr>
            <w:r>
              <w:rPr>
                <w:rFonts w:hint="eastAsia" w:ascii="宋体" w:hAnsi="宋体" w:cs="宋体"/>
                <w:b/>
                <w:bCs/>
                <w:sz w:val="24"/>
              </w:rPr>
              <w:t>未在竞价前缴纳竞价保证金，竞价无效。</w:t>
            </w:r>
          </w:p>
        </w:tc>
      </w:tr>
      <w:tr w14:paraId="6405CF8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41" w:type="pct"/>
            <w:vMerge w:val="continue"/>
            <w:vAlign w:val="center"/>
          </w:tcPr>
          <w:p w14:paraId="4BCC4CF5">
            <w:pPr>
              <w:spacing w:line="360" w:lineRule="auto"/>
              <w:jc w:val="center"/>
              <w:rPr>
                <w:rFonts w:hint="eastAsia" w:ascii="宋体" w:hAnsi="宋体" w:cs="宋体"/>
                <w:sz w:val="24"/>
              </w:rPr>
            </w:pPr>
          </w:p>
        </w:tc>
        <w:tc>
          <w:tcPr>
            <w:tcW w:w="4458" w:type="pct"/>
            <w:vAlign w:val="center"/>
          </w:tcPr>
          <w:p w14:paraId="77B1220D">
            <w:pPr>
              <w:snapToGrid w:val="0"/>
              <w:spacing w:line="360" w:lineRule="auto"/>
              <w:jc w:val="left"/>
              <w:rPr>
                <w:rFonts w:hint="eastAsia" w:ascii="宋体" w:hAnsi="宋体" w:cs="宋体"/>
                <w:bCs/>
                <w:sz w:val="24"/>
              </w:rPr>
            </w:pPr>
            <w:r>
              <w:rPr>
                <w:rFonts w:hint="eastAsia" w:ascii="宋体" w:hAnsi="宋体" w:cs="宋体"/>
                <w:bCs/>
                <w:sz w:val="24"/>
              </w:rPr>
              <w:t>1、竞价保证金形式：银行转账或电子保函形式。</w:t>
            </w:r>
          </w:p>
          <w:p w14:paraId="61743EC3">
            <w:pPr>
              <w:snapToGrid w:val="0"/>
              <w:spacing w:line="360" w:lineRule="auto"/>
              <w:jc w:val="left"/>
              <w:rPr>
                <w:rFonts w:hint="eastAsia" w:ascii="宋体" w:hAnsi="宋体" w:cs="宋体"/>
                <w:sz w:val="24"/>
              </w:rPr>
            </w:pPr>
            <w:r>
              <w:rPr>
                <w:rFonts w:hint="eastAsia" w:ascii="宋体" w:hAnsi="宋体" w:cs="宋体"/>
                <w:bCs/>
                <w:sz w:val="24"/>
              </w:rPr>
              <w:t>2、竞价保证金</w:t>
            </w:r>
            <w:r>
              <w:rPr>
                <w:rFonts w:hint="eastAsia" w:ascii="宋体" w:hAnsi="宋体" w:cs="宋体"/>
                <w:sz w:val="24"/>
              </w:rPr>
              <w:t>递交截止时间同竞价递交截止时间，为提高效率请供应商提前一日到达以下账户(以收款行收到时间为准)：</w:t>
            </w:r>
          </w:p>
          <w:p w14:paraId="4398AA5D">
            <w:pPr>
              <w:snapToGrid w:val="0"/>
              <w:spacing w:line="360" w:lineRule="auto"/>
              <w:jc w:val="left"/>
              <w:rPr>
                <w:rFonts w:hint="eastAsia" w:ascii="宋体" w:hAnsi="宋体" w:cs="宋体"/>
                <w:b/>
                <w:sz w:val="24"/>
              </w:rPr>
            </w:pPr>
            <w:r>
              <w:rPr>
                <w:rFonts w:hint="eastAsia" w:ascii="宋体" w:hAnsi="宋体" w:cs="宋体"/>
                <w:b/>
                <w:sz w:val="24"/>
              </w:rPr>
              <w:t>收款单位名称：广东泽福管理咨询有限公司</w:t>
            </w:r>
          </w:p>
          <w:p w14:paraId="52CC7E5C">
            <w:pPr>
              <w:snapToGrid w:val="0"/>
              <w:spacing w:line="360" w:lineRule="auto"/>
              <w:jc w:val="left"/>
              <w:rPr>
                <w:rFonts w:hint="eastAsia" w:ascii="宋体" w:hAnsi="宋体" w:cs="宋体"/>
                <w:b/>
                <w:sz w:val="24"/>
              </w:rPr>
            </w:pPr>
            <w:r>
              <w:rPr>
                <w:rFonts w:hint="eastAsia" w:ascii="宋体" w:hAnsi="宋体" w:cs="宋体"/>
                <w:b/>
                <w:sz w:val="24"/>
              </w:rPr>
              <w:t>开 户 银  行：兴业银行股份有限公司广州天河北支行</w:t>
            </w:r>
          </w:p>
          <w:p w14:paraId="0A1881B1">
            <w:pPr>
              <w:tabs>
                <w:tab w:val="left" w:pos="315"/>
                <w:tab w:val="left" w:pos="1785"/>
                <w:tab w:val="left" w:pos="2310"/>
                <w:tab w:val="left" w:pos="8640"/>
              </w:tabs>
              <w:spacing w:line="360" w:lineRule="auto"/>
              <w:rPr>
                <w:rFonts w:hint="eastAsia" w:ascii="宋体" w:hAnsi="宋体" w:cs="宋体"/>
                <w:b/>
                <w:sz w:val="24"/>
              </w:rPr>
            </w:pPr>
            <w:r>
              <w:rPr>
                <w:rFonts w:hint="eastAsia" w:ascii="宋体" w:hAnsi="宋体" w:cs="宋体"/>
                <w:b/>
                <w:sz w:val="24"/>
              </w:rPr>
              <w:t>账        号：391040100100339356</w:t>
            </w:r>
          </w:p>
          <w:p w14:paraId="334E75B1">
            <w:pPr>
              <w:tabs>
                <w:tab w:val="left" w:pos="315"/>
                <w:tab w:val="left" w:pos="1785"/>
                <w:tab w:val="left" w:pos="2310"/>
                <w:tab w:val="left" w:pos="8640"/>
              </w:tabs>
              <w:spacing w:line="360" w:lineRule="auto"/>
              <w:rPr>
                <w:rFonts w:hint="eastAsia" w:ascii="宋体" w:hAnsi="宋体" w:cs="宋体"/>
                <w:bCs/>
                <w:sz w:val="24"/>
                <w:u w:val="single"/>
              </w:rPr>
            </w:pPr>
            <w:r>
              <w:rPr>
                <w:rFonts w:hint="eastAsia" w:ascii="宋体" w:hAnsi="宋体" w:cs="宋体"/>
                <w:bCs/>
                <w:sz w:val="24"/>
              </w:rPr>
              <w:t>保证金必须从供应商的基本账户汇至指定的账户及账号（不接受银行保函（纸质形式）、第三方担保（纸质形式）、现钞交纳及支票等方式递交的保证金）。</w:t>
            </w:r>
          </w:p>
        </w:tc>
      </w:tr>
      <w:tr w14:paraId="7CBC685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41" w:type="pct"/>
            <w:vAlign w:val="center"/>
          </w:tcPr>
          <w:p w14:paraId="4DF77224">
            <w:pPr>
              <w:spacing w:line="360" w:lineRule="auto"/>
              <w:jc w:val="center"/>
              <w:rPr>
                <w:rFonts w:hint="eastAsia" w:ascii="宋体" w:hAnsi="宋体" w:cs="宋体"/>
                <w:sz w:val="24"/>
              </w:rPr>
            </w:pPr>
            <w:r>
              <w:rPr>
                <w:rFonts w:hint="eastAsia" w:ascii="宋体" w:hAnsi="宋体" w:cs="宋体"/>
                <w:sz w:val="24"/>
              </w:rPr>
              <w:t>8</w:t>
            </w:r>
          </w:p>
        </w:tc>
        <w:tc>
          <w:tcPr>
            <w:tcW w:w="4458" w:type="pct"/>
            <w:vAlign w:val="center"/>
          </w:tcPr>
          <w:p w14:paraId="28E2B1D6">
            <w:pPr>
              <w:snapToGrid w:val="0"/>
              <w:spacing w:line="360" w:lineRule="auto"/>
              <w:jc w:val="left"/>
              <w:rPr>
                <w:rFonts w:hint="eastAsia" w:ascii="宋体" w:hAnsi="宋体" w:cs="宋体"/>
                <w:sz w:val="24"/>
                <w:u w:val="single"/>
              </w:rPr>
            </w:pPr>
            <w:r>
              <w:rPr>
                <w:rFonts w:hint="eastAsia" w:ascii="宋体" w:hAnsi="宋体" w:cs="宋体"/>
                <w:sz w:val="24"/>
                <w:u w:val="single"/>
              </w:rPr>
              <w:t>供应商在竞价开始前应仔细审阅本项目要求（包括不限于：项目内容和要求、合同条款），一旦点击报价，视为认同和接受项目要求，否则按以下处罚：</w:t>
            </w:r>
          </w:p>
          <w:p w14:paraId="1BCD21A8">
            <w:pPr>
              <w:snapToGrid w:val="0"/>
              <w:spacing w:line="360" w:lineRule="auto"/>
              <w:jc w:val="left"/>
              <w:rPr>
                <w:rFonts w:hint="eastAsia" w:ascii="宋体" w:hAnsi="宋体" w:cs="宋体"/>
                <w:sz w:val="24"/>
                <w:u w:val="single"/>
              </w:rPr>
            </w:pPr>
            <w:r>
              <w:rPr>
                <w:rFonts w:hint="eastAsia" w:ascii="宋体" w:hAnsi="宋体" w:cs="宋体"/>
                <w:sz w:val="24"/>
                <w:u w:val="single"/>
              </w:rPr>
              <w:t>1.成交无效，暂停竞价资格；</w:t>
            </w:r>
          </w:p>
          <w:p w14:paraId="2790E560">
            <w:pPr>
              <w:snapToGrid w:val="0"/>
              <w:spacing w:line="360" w:lineRule="auto"/>
              <w:jc w:val="left"/>
              <w:rPr>
                <w:rFonts w:hint="eastAsia" w:ascii="宋体" w:hAnsi="宋体" w:cs="宋体"/>
                <w:sz w:val="24"/>
              </w:rPr>
            </w:pPr>
            <w:r>
              <w:rPr>
                <w:rFonts w:hint="eastAsia" w:ascii="宋体" w:hAnsi="宋体" w:cs="宋体"/>
                <w:sz w:val="24"/>
                <w:u w:val="single"/>
              </w:rPr>
              <w:t>2.成交无效，扣除竞价保证金。</w:t>
            </w:r>
          </w:p>
        </w:tc>
      </w:tr>
      <w:tr w14:paraId="0FF6895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41" w:type="pct"/>
            <w:vAlign w:val="center"/>
          </w:tcPr>
          <w:p w14:paraId="62FAE076">
            <w:pPr>
              <w:spacing w:line="360" w:lineRule="auto"/>
              <w:jc w:val="center"/>
              <w:rPr>
                <w:rFonts w:hint="eastAsia" w:ascii="宋体" w:hAnsi="宋体" w:cs="宋体"/>
                <w:sz w:val="24"/>
              </w:rPr>
            </w:pPr>
          </w:p>
        </w:tc>
        <w:tc>
          <w:tcPr>
            <w:tcW w:w="4458" w:type="pct"/>
            <w:vAlign w:val="center"/>
          </w:tcPr>
          <w:p w14:paraId="4D820494">
            <w:pPr>
              <w:spacing w:line="360" w:lineRule="auto"/>
              <w:jc w:val="center"/>
              <w:rPr>
                <w:rFonts w:hint="eastAsia" w:ascii="宋体" w:hAnsi="宋体" w:cs="宋体"/>
                <w:b/>
                <w:sz w:val="24"/>
              </w:rPr>
            </w:pPr>
            <w:r>
              <w:rPr>
                <w:rFonts w:hint="eastAsia" w:ascii="宋体" w:hAnsi="宋体" w:cs="宋体"/>
                <w:b/>
                <w:sz w:val="24"/>
              </w:rPr>
              <w:t>五、竞价要求</w:t>
            </w:r>
          </w:p>
        </w:tc>
      </w:tr>
      <w:tr w14:paraId="5A2489D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712" w:hRule="atLeast"/>
          <w:jc w:val="center"/>
        </w:trPr>
        <w:tc>
          <w:tcPr>
            <w:tcW w:w="541" w:type="pct"/>
            <w:vAlign w:val="center"/>
          </w:tcPr>
          <w:p w14:paraId="7FFEC34F">
            <w:pPr>
              <w:spacing w:line="360" w:lineRule="auto"/>
              <w:jc w:val="center"/>
              <w:rPr>
                <w:rFonts w:hint="eastAsia" w:ascii="宋体" w:hAnsi="宋体" w:cs="宋体"/>
                <w:sz w:val="24"/>
              </w:rPr>
            </w:pPr>
            <w:r>
              <w:rPr>
                <w:rFonts w:hint="eastAsia" w:ascii="宋体" w:hAnsi="宋体" w:cs="宋体"/>
                <w:sz w:val="24"/>
              </w:rPr>
              <w:t>9</w:t>
            </w:r>
          </w:p>
        </w:tc>
        <w:tc>
          <w:tcPr>
            <w:tcW w:w="4458" w:type="pct"/>
            <w:vAlign w:val="center"/>
          </w:tcPr>
          <w:p w14:paraId="7358145B">
            <w:pPr>
              <w:spacing w:line="360" w:lineRule="auto"/>
              <w:jc w:val="left"/>
              <w:rPr>
                <w:rFonts w:hint="eastAsia" w:ascii="宋体" w:hAnsi="宋体" w:cs="宋体"/>
                <w:sz w:val="24"/>
              </w:rPr>
            </w:pPr>
            <w:r>
              <w:rPr>
                <w:rFonts w:hint="eastAsia" w:ascii="宋体" w:hAnsi="宋体" w:cs="宋体"/>
                <w:sz w:val="24"/>
              </w:rPr>
              <w:t>1、供应商应根据竞价文件的要求，在满足竞价项目需求的前提下，在规定的时间内对竞价项目进行报价。供应商可以在报价截止前多次报出价格，报价截止时系统自动关闭，不再接受新的报价，系统自动确认供应商的最后一次报价为最终报价。</w:t>
            </w:r>
          </w:p>
          <w:p w14:paraId="5F0377B5">
            <w:pPr>
              <w:spacing w:line="360" w:lineRule="auto"/>
              <w:jc w:val="left"/>
              <w:rPr>
                <w:rFonts w:hint="eastAsia" w:ascii="宋体" w:hAnsi="宋体" w:cs="宋体"/>
                <w:sz w:val="24"/>
              </w:rPr>
            </w:pPr>
            <w:r>
              <w:rPr>
                <w:rFonts w:hint="eastAsia" w:ascii="宋体" w:hAnsi="宋体" w:cs="宋体"/>
                <w:sz w:val="24"/>
              </w:rPr>
              <w:t>2、若成交后供应商因自身原因无法完成本项目，则本公司有权保留追究责任。</w:t>
            </w:r>
          </w:p>
          <w:p w14:paraId="343977C8">
            <w:pPr>
              <w:spacing w:line="360" w:lineRule="auto"/>
              <w:jc w:val="left"/>
              <w:rPr>
                <w:rFonts w:hint="eastAsia" w:ascii="宋体" w:hAnsi="宋体" w:cs="宋体"/>
                <w:sz w:val="24"/>
              </w:rPr>
            </w:pPr>
            <w:r>
              <w:rPr>
                <w:rFonts w:hint="eastAsia" w:ascii="宋体" w:hAnsi="宋体" w:cs="宋体"/>
                <w:sz w:val="24"/>
              </w:rPr>
              <w:t>3、第一成交人的报价因自身原因被取消或放弃成交资格的，本公司可顺延推选次低的符合要求的供应商作为成交人或重新启动采购。</w:t>
            </w:r>
          </w:p>
          <w:p w14:paraId="318799E1">
            <w:pPr>
              <w:spacing w:line="360" w:lineRule="auto"/>
              <w:jc w:val="left"/>
              <w:rPr>
                <w:rFonts w:hint="eastAsia" w:ascii="宋体" w:hAnsi="宋体" w:cs="宋体"/>
                <w:b/>
                <w:sz w:val="24"/>
                <w:u w:val="single"/>
              </w:rPr>
            </w:pPr>
            <w:r>
              <w:rPr>
                <w:rFonts w:hint="eastAsia" w:ascii="宋体" w:hAnsi="宋体" w:cs="宋体"/>
                <w:b/>
                <w:sz w:val="24"/>
                <w:u w:val="single"/>
              </w:rPr>
              <w:t>4、供应商应充分了解一旦开始参与报价，则表示同意（满足）本竞价项目的所有文件内容。</w:t>
            </w:r>
          </w:p>
        </w:tc>
      </w:tr>
      <w:tr w14:paraId="47626D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41" w:type="pct"/>
            <w:vAlign w:val="center"/>
          </w:tcPr>
          <w:p w14:paraId="12C60FBD">
            <w:pPr>
              <w:tabs>
                <w:tab w:val="left" w:pos="315"/>
                <w:tab w:val="left" w:pos="1785"/>
                <w:tab w:val="left" w:pos="2310"/>
                <w:tab w:val="left" w:pos="8640"/>
              </w:tabs>
              <w:spacing w:line="360" w:lineRule="auto"/>
              <w:ind w:right="-48"/>
              <w:jc w:val="center"/>
              <w:rPr>
                <w:rFonts w:hint="eastAsia" w:ascii="宋体" w:hAnsi="宋体" w:cs="宋体"/>
                <w:sz w:val="24"/>
              </w:rPr>
            </w:pPr>
            <w:r>
              <w:rPr>
                <w:rFonts w:hint="eastAsia" w:ascii="宋体" w:hAnsi="宋体" w:cs="宋体"/>
                <w:sz w:val="24"/>
              </w:rPr>
              <w:t>10</w:t>
            </w:r>
          </w:p>
        </w:tc>
        <w:tc>
          <w:tcPr>
            <w:tcW w:w="4458" w:type="pct"/>
            <w:vAlign w:val="center"/>
          </w:tcPr>
          <w:p w14:paraId="53568B6B">
            <w:pPr>
              <w:spacing w:line="360" w:lineRule="auto"/>
              <w:rPr>
                <w:rFonts w:hint="eastAsia" w:ascii="宋体" w:hAnsi="宋体" w:cs="宋体"/>
                <w:b/>
                <w:sz w:val="24"/>
              </w:rPr>
            </w:pPr>
            <w:r>
              <w:rPr>
                <w:rFonts w:hint="eastAsia" w:ascii="宋体" w:hAnsi="宋体" w:cs="宋体"/>
                <w:b/>
                <w:sz w:val="24"/>
              </w:rPr>
              <w:t>特殊情况处理：</w:t>
            </w:r>
          </w:p>
          <w:p w14:paraId="3A2F65D5">
            <w:pPr>
              <w:spacing w:line="360" w:lineRule="auto"/>
              <w:rPr>
                <w:rFonts w:hint="eastAsia" w:ascii="宋体" w:hAnsi="宋体" w:cs="宋体"/>
                <w:b/>
                <w:sz w:val="24"/>
              </w:rPr>
            </w:pPr>
            <w:r>
              <w:rPr>
                <w:rFonts w:hint="eastAsia" w:ascii="宋体" w:hAnsi="宋体" w:cs="宋体"/>
                <w:bCs/>
                <w:sz w:val="24"/>
              </w:rPr>
              <w:t>若本项目在第一次采购报名阶段不足三家的，或第一次采购参与竞价的供应商不足三家的，除采购任务取消情形外，在重新采购后，报名阶段或参与竞价阶段的供应商为2家时，继续进行竞价。若报名家数为1家或参与竞价家数为1家时，则项目采购失败。</w:t>
            </w:r>
          </w:p>
        </w:tc>
      </w:tr>
      <w:tr w14:paraId="3FA1939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41" w:type="pct"/>
            <w:vAlign w:val="center"/>
          </w:tcPr>
          <w:p w14:paraId="261662C3">
            <w:pPr>
              <w:tabs>
                <w:tab w:val="left" w:pos="315"/>
                <w:tab w:val="left" w:pos="1785"/>
                <w:tab w:val="left" w:pos="2310"/>
                <w:tab w:val="left" w:pos="8640"/>
              </w:tabs>
              <w:spacing w:line="360" w:lineRule="auto"/>
              <w:ind w:right="-48"/>
              <w:jc w:val="center"/>
              <w:rPr>
                <w:rFonts w:hint="eastAsia" w:ascii="宋体" w:hAnsi="宋体" w:cs="宋体"/>
                <w:sz w:val="24"/>
              </w:rPr>
            </w:pPr>
          </w:p>
        </w:tc>
        <w:tc>
          <w:tcPr>
            <w:tcW w:w="4458" w:type="pct"/>
            <w:vAlign w:val="center"/>
          </w:tcPr>
          <w:p w14:paraId="43D78F4F">
            <w:pPr>
              <w:spacing w:line="360" w:lineRule="auto"/>
              <w:jc w:val="center"/>
              <w:rPr>
                <w:rFonts w:hint="eastAsia" w:ascii="宋体" w:hAnsi="宋体" w:cs="宋体"/>
                <w:b/>
                <w:sz w:val="24"/>
              </w:rPr>
            </w:pPr>
            <w:r>
              <w:rPr>
                <w:rFonts w:hint="eastAsia" w:ascii="宋体" w:hAnsi="宋体" w:cs="宋体"/>
                <w:b/>
                <w:sz w:val="24"/>
              </w:rPr>
              <w:t>六、成交办法</w:t>
            </w:r>
          </w:p>
        </w:tc>
      </w:tr>
      <w:tr w14:paraId="5E9F4D1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41" w:type="pct"/>
            <w:vAlign w:val="center"/>
          </w:tcPr>
          <w:p w14:paraId="34A7725A">
            <w:pPr>
              <w:tabs>
                <w:tab w:val="left" w:pos="315"/>
                <w:tab w:val="left" w:pos="1785"/>
                <w:tab w:val="left" w:pos="2310"/>
                <w:tab w:val="left" w:pos="8640"/>
              </w:tabs>
              <w:spacing w:before="120" w:line="360" w:lineRule="auto"/>
              <w:jc w:val="center"/>
              <w:rPr>
                <w:rFonts w:hint="eastAsia" w:ascii="宋体" w:hAnsi="宋体" w:cs="宋体"/>
                <w:sz w:val="24"/>
              </w:rPr>
            </w:pPr>
            <w:r>
              <w:rPr>
                <w:rFonts w:hint="eastAsia" w:ascii="宋体" w:hAnsi="宋体" w:cs="宋体"/>
                <w:sz w:val="24"/>
              </w:rPr>
              <w:t>11</w:t>
            </w:r>
          </w:p>
        </w:tc>
        <w:tc>
          <w:tcPr>
            <w:tcW w:w="4458" w:type="pct"/>
            <w:vAlign w:val="center"/>
          </w:tcPr>
          <w:p w14:paraId="16DABB84">
            <w:pPr>
              <w:tabs>
                <w:tab w:val="left" w:pos="315"/>
                <w:tab w:val="left" w:pos="1785"/>
                <w:tab w:val="left" w:pos="2310"/>
                <w:tab w:val="left" w:pos="8640"/>
              </w:tabs>
              <w:spacing w:before="120" w:line="360" w:lineRule="auto"/>
              <w:rPr>
                <w:rFonts w:hint="eastAsia" w:ascii="宋体" w:hAnsi="宋体" w:cs="宋体"/>
                <w:sz w:val="24"/>
              </w:rPr>
            </w:pPr>
            <w:r>
              <w:rPr>
                <w:rFonts w:hint="eastAsia" w:ascii="宋体" w:hAnsi="宋体" w:cs="宋体"/>
                <w:sz w:val="24"/>
              </w:rPr>
              <w:t>电子竞价按照满足竞价需求且报价最低的原则确定成交人。报价时间截止后，系统按以下原则确定成交候选人排序：</w:t>
            </w:r>
          </w:p>
          <w:p w14:paraId="6058821B">
            <w:pPr>
              <w:tabs>
                <w:tab w:val="left" w:pos="315"/>
                <w:tab w:val="left" w:pos="1785"/>
                <w:tab w:val="left" w:pos="2310"/>
                <w:tab w:val="left" w:pos="8640"/>
              </w:tabs>
              <w:spacing w:line="360" w:lineRule="auto"/>
              <w:rPr>
                <w:rFonts w:hint="eastAsia" w:ascii="宋体" w:hAnsi="宋体" w:cs="宋体"/>
                <w:sz w:val="24"/>
                <w:u w:val="single"/>
              </w:rPr>
            </w:pPr>
            <w:r>
              <w:rPr>
                <w:rFonts w:hint="eastAsia" w:ascii="宋体" w:hAnsi="宋体" w:cs="宋体"/>
                <w:sz w:val="24"/>
                <w:u w:val="single"/>
              </w:rPr>
              <w:t>1．报价最低的，排序第一；</w:t>
            </w:r>
          </w:p>
          <w:p w14:paraId="6952469A">
            <w:pPr>
              <w:tabs>
                <w:tab w:val="left" w:pos="315"/>
                <w:tab w:val="left" w:pos="1785"/>
                <w:tab w:val="left" w:pos="2310"/>
                <w:tab w:val="left" w:pos="8640"/>
              </w:tabs>
              <w:spacing w:line="360" w:lineRule="auto"/>
              <w:rPr>
                <w:rFonts w:hint="eastAsia" w:ascii="宋体" w:hAnsi="宋体" w:cs="宋体"/>
                <w:sz w:val="24"/>
                <w:u w:val="single"/>
              </w:rPr>
            </w:pPr>
            <w:r>
              <w:rPr>
                <w:rFonts w:hint="eastAsia" w:ascii="宋体" w:hAnsi="宋体" w:cs="宋体"/>
                <w:sz w:val="24"/>
                <w:u w:val="single"/>
              </w:rPr>
              <w:t>2．报价相同的，按报价时间先后顺序排序；</w:t>
            </w:r>
          </w:p>
          <w:p w14:paraId="3DEA3FD3">
            <w:pPr>
              <w:tabs>
                <w:tab w:val="left" w:pos="315"/>
                <w:tab w:val="left" w:pos="1785"/>
                <w:tab w:val="left" w:pos="2310"/>
                <w:tab w:val="left" w:pos="8640"/>
              </w:tabs>
              <w:spacing w:line="360" w:lineRule="auto"/>
              <w:rPr>
                <w:rFonts w:hint="eastAsia" w:ascii="宋体" w:hAnsi="宋体" w:cs="宋体"/>
                <w:b/>
                <w:sz w:val="24"/>
              </w:rPr>
            </w:pPr>
          </w:p>
        </w:tc>
      </w:tr>
      <w:tr w14:paraId="06624E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41" w:type="pct"/>
            <w:vAlign w:val="center"/>
          </w:tcPr>
          <w:p w14:paraId="205DDB47">
            <w:pPr>
              <w:tabs>
                <w:tab w:val="left" w:pos="315"/>
                <w:tab w:val="left" w:pos="1785"/>
                <w:tab w:val="left" w:pos="2310"/>
                <w:tab w:val="left" w:pos="8640"/>
              </w:tabs>
              <w:spacing w:before="120" w:line="360" w:lineRule="auto"/>
              <w:jc w:val="center"/>
              <w:rPr>
                <w:rFonts w:hint="eastAsia" w:ascii="宋体" w:hAnsi="宋体" w:cs="宋体"/>
                <w:sz w:val="24"/>
              </w:rPr>
            </w:pPr>
          </w:p>
        </w:tc>
        <w:tc>
          <w:tcPr>
            <w:tcW w:w="4458" w:type="pct"/>
            <w:vAlign w:val="center"/>
          </w:tcPr>
          <w:p w14:paraId="4BB1FDCC">
            <w:pPr>
              <w:spacing w:line="360" w:lineRule="auto"/>
              <w:jc w:val="center"/>
              <w:rPr>
                <w:rFonts w:hint="eastAsia" w:ascii="宋体" w:hAnsi="宋体" w:cs="宋体"/>
                <w:b/>
                <w:sz w:val="24"/>
              </w:rPr>
            </w:pPr>
            <w:r>
              <w:rPr>
                <w:rFonts w:hint="eastAsia" w:ascii="宋体" w:hAnsi="宋体" w:cs="宋体"/>
                <w:b/>
                <w:sz w:val="24"/>
              </w:rPr>
              <w:t>七、无效报价的认定</w:t>
            </w:r>
          </w:p>
        </w:tc>
      </w:tr>
      <w:tr w14:paraId="244AF38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41" w:type="pct"/>
            <w:vAlign w:val="center"/>
          </w:tcPr>
          <w:p w14:paraId="045C2BB9">
            <w:pPr>
              <w:tabs>
                <w:tab w:val="left" w:pos="315"/>
                <w:tab w:val="left" w:pos="1785"/>
                <w:tab w:val="left" w:pos="2310"/>
                <w:tab w:val="left" w:pos="8640"/>
              </w:tabs>
              <w:spacing w:before="120" w:line="360" w:lineRule="auto"/>
              <w:jc w:val="center"/>
              <w:rPr>
                <w:rFonts w:hint="eastAsia" w:ascii="宋体" w:hAnsi="宋体" w:cs="宋体"/>
                <w:sz w:val="24"/>
              </w:rPr>
            </w:pPr>
            <w:r>
              <w:rPr>
                <w:rFonts w:hint="eastAsia" w:ascii="宋体" w:hAnsi="宋体" w:cs="宋体"/>
                <w:sz w:val="24"/>
              </w:rPr>
              <w:t>12</w:t>
            </w:r>
          </w:p>
        </w:tc>
        <w:tc>
          <w:tcPr>
            <w:tcW w:w="4458" w:type="pct"/>
            <w:vAlign w:val="center"/>
          </w:tcPr>
          <w:p w14:paraId="5F06029D">
            <w:pPr>
              <w:tabs>
                <w:tab w:val="left" w:pos="315"/>
                <w:tab w:val="left" w:pos="1785"/>
                <w:tab w:val="left" w:pos="2310"/>
                <w:tab w:val="left" w:pos="8640"/>
              </w:tabs>
              <w:spacing w:line="360" w:lineRule="auto"/>
              <w:rPr>
                <w:rFonts w:hint="eastAsia" w:ascii="宋体" w:hAnsi="宋体" w:cs="宋体"/>
                <w:sz w:val="24"/>
                <w:u w:val="single"/>
              </w:rPr>
            </w:pPr>
            <w:r>
              <w:rPr>
                <w:rFonts w:hint="eastAsia" w:ascii="宋体" w:hAnsi="宋体" w:cs="宋体"/>
                <w:sz w:val="24"/>
                <w:u w:val="single"/>
              </w:rPr>
              <w:t>有下列情况之一出现，将视为竞价失败：</w:t>
            </w:r>
          </w:p>
          <w:p w14:paraId="049F39E6">
            <w:pPr>
              <w:pStyle w:val="145"/>
              <w:numPr>
                <w:ilvl w:val="255"/>
                <w:numId w:val="0"/>
              </w:numPr>
              <w:tabs>
                <w:tab w:val="left" w:pos="315"/>
                <w:tab w:val="left" w:pos="1785"/>
                <w:tab w:val="left" w:pos="2310"/>
                <w:tab w:val="left" w:pos="8640"/>
              </w:tabs>
              <w:spacing w:line="360" w:lineRule="auto"/>
              <w:rPr>
                <w:rFonts w:hint="eastAsia" w:ascii="宋体" w:hAnsi="宋体" w:cs="宋体"/>
                <w:sz w:val="24"/>
              </w:rPr>
            </w:pPr>
            <w:r>
              <w:rPr>
                <w:rFonts w:hint="eastAsia" w:ascii="宋体" w:hAnsi="宋体" w:cs="宋体"/>
                <w:sz w:val="24"/>
              </w:rPr>
              <w:t>1.</w:t>
            </w:r>
            <w:r>
              <w:rPr>
                <w:rFonts w:hint="eastAsia" w:ascii="宋体" w:hAnsi="宋体" w:cs="宋体"/>
                <w:bCs/>
                <w:sz w:val="24"/>
              </w:rPr>
              <w:t>若本项目在第一次采购，</w:t>
            </w:r>
            <w:r>
              <w:rPr>
                <w:rFonts w:hint="eastAsia" w:ascii="宋体" w:hAnsi="宋体" w:cs="宋体"/>
                <w:sz w:val="24"/>
              </w:rPr>
              <w:t>符合供应商资格条件的供应商家数不足三家的；</w:t>
            </w:r>
            <w:r>
              <w:rPr>
                <w:rFonts w:hint="eastAsia" w:ascii="宋体" w:hAnsi="宋体" w:cs="宋体"/>
                <w:bCs/>
                <w:sz w:val="24"/>
              </w:rPr>
              <w:t>第二次采购，</w:t>
            </w:r>
            <w:r>
              <w:rPr>
                <w:rFonts w:hint="eastAsia" w:ascii="宋体" w:hAnsi="宋体" w:cs="宋体"/>
                <w:sz w:val="24"/>
              </w:rPr>
              <w:t>符合供应商资格条件的供应商家数不足两家的。</w:t>
            </w:r>
          </w:p>
          <w:p w14:paraId="6B7CDF81">
            <w:pPr>
              <w:pStyle w:val="145"/>
              <w:numPr>
                <w:ilvl w:val="255"/>
                <w:numId w:val="0"/>
              </w:numPr>
              <w:tabs>
                <w:tab w:val="left" w:pos="315"/>
                <w:tab w:val="left" w:pos="1785"/>
                <w:tab w:val="left" w:pos="2310"/>
                <w:tab w:val="left" w:pos="8640"/>
              </w:tabs>
              <w:spacing w:line="360" w:lineRule="auto"/>
              <w:rPr>
                <w:rFonts w:hint="eastAsia" w:ascii="宋体" w:hAnsi="宋体" w:cs="宋体"/>
                <w:sz w:val="24"/>
              </w:rPr>
            </w:pPr>
            <w:r>
              <w:rPr>
                <w:rFonts w:hint="eastAsia" w:ascii="宋体" w:hAnsi="宋体" w:cs="宋体"/>
                <w:sz w:val="24"/>
              </w:rPr>
              <w:t>2.</w:t>
            </w:r>
            <w:r>
              <w:rPr>
                <w:rFonts w:hint="eastAsia" w:ascii="宋体" w:hAnsi="宋体" w:cs="宋体"/>
                <w:bCs/>
                <w:sz w:val="24"/>
              </w:rPr>
              <w:t>若本项目在第一次采购，</w:t>
            </w:r>
            <w:r>
              <w:rPr>
                <w:rFonts w:hint="eastAsia" w:ascii="宋体" w:hAnsi="宋体" w:cs="宋体"/>
                <w:sz w:val="24"/>
              </w:rPr>
              <w:t>报名家数或参与竞价的供应商不足三家的；</w:t>
            </w:r>
            <w:r>
              <w:rPr>
                <w:rFonts w:hint="eastAsia" w:ascii="宋体" w:hAnsi="宋体" w:cs="宋体"/>
                <w:bCs/>
                <w:sz w:val="24"/>
              </w:rPr>
              <w:t>第二次采购，</w:t>
            </w:r>
            <w:r>
              <w:rPr>
                <w:rFonts w:hint="eastAsia" w:ascii="宋体" w:hAnsi="宋体" w:cs="宋体"/>
                <w:sz w:val="24"/>
              </w:rPr>
              <w:t>符合供应商资格条件的供应商家数不足两家的。</w:t>
            </w:r>
          </w:p>
          <w:p w14:paraId="3097457C">
            <w:pPr>
              <w:pStyle w:val="145"/>
              <w:numPr>
                <w:ilvl w:val="255"/>
                <w:numId w:val="0"/>
              </w:numPr>
              <w:tabs>
                <w:tab w:val="left" w:pos="315"/>
                <w:tab w:val="left" w:pos="1785"/>
                <w:tab w:val="left" w:pos="2310"/>
                <w:tab w:val="left" w:pos="8640"/>
              </w:tabs>
              <w:spacing w:line="360" w:lineRule="auto"/>
              <w:rPr>
                <w:rFonts w:hint="eastAsia" w:ascii="宋体" w:hAnsi="宋体" w:cs="宋体"/>
                <w:sz w:val="24"/>
              </w:rPr>
            </w:pPr>
            <w:r>
              <w:rPr>
                <w:rFonts w:hint="eastAsia" w:ascii="宋体" w:hAnsi="宋体" w:cs="宋体"/>
                <w:sz w:val="24"/>
              </w:rPr>
              <w:t>3.出现影响竞价公正的违法、违规行为的。</w:t>
            </w:r>
          </w:p>
          <w:p w14:paraId="365175FF">
            <w:pPr>
              <w:pStyle w:val="145"/>
              <w:numPr>
                <w:ilvl w:val="255"/>
                <w:numId w:val="0"/>
              </w:numPr>
              <w:tabs>
                <w:tab w:val="left" w:pos="315"/>
                <w:tab w:val="left" w:pos="1785"/>
                <w:tab w:val="left" w:pos="2310"/>
                <w:tab w:val="left" w:pos="8640"/>
              </w:tabs>
              <w:spacing w:line="360" w:lineRule="auto"/>
              <w:rPr>
                <w:rFonts w:hint="eastAsia" w:ascii="宋体" w:hAnsi="宋体" w:cs="宋体"/>
                <w:sz w:val="24"/>
              </w:rPr>
            </w:pPr>
            <w:r>
              <w:rPr>
                <w:rFonts w:hint="eastAsia" w:ascii="宋体" w:hAnsi="宋体" w:cs="宋体"/>
                <w:sz w:val="24"/>
              </w:rPr>
              <w:t>4.因重大变故，竞价项目取消的。</w:t>
            </w:r>
          </w:p>
          <w:p w14:paraId="6E288A35">
            <w:pPr>
              <w:pStyle w:val="145"/>
              <w:numPr>
                <w:ilvl w:val="255"/>
                <w:numId w:val="0"/>
              </w:numPr>
              <w:tabs>
                <w:tab w:val="left" w:pos="315"/>
                <w:tab w:val="left" w:pos="1785"/>
                <w:tab w:val="left" w:pos="2310"/>
                <w:tab w:val="left" w:pos="8640"/>
              </w:tabs>
              <w:spacing w:line="360" w:lineRule="auto"/>
              <w:rPr>
                <w:rFonts w:hint="eastAsia" w:ascii="宋体" w:hAnsi="宋体" w:cs="宋体"/>
                <w:sz w:val="24"/>
                <w:u w:val="single"/>
              </w:rPr>
            </w:pPr>
            <w:r>
              <w:rPr>
                <w:rFonts w:hint="eastAsia" w:ascii="宋体" w:hAnsi="宋体" w:cs="宋体"/>
                <w:sz w:val="24"/>
              </w:rPr>
              <w:t>5.不符合供应商资格要求。</w:t>
            </w:r>
          </w:p>
        </w:tc>
      </w:tr>
      <w:tr w14:paraId="298FF86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41" w:type="pct"/>
            <w:vAlign w:val="center"/>
          </w:tcPr>
          <w:p w14:paraId="6A6DB857">
            <w:pPr>
              <w:tabs>
                <w:tab w:val="left" w:pos="315"/>
                <w:tab w:val="left" w:pos="1785"/>
                <w:tab w:val="left" w:pos="2310"/>
                <w:tab w:val="left" w:pos="8640"/>
              </w:tabs>
              <w:spacing w:before="120" w:line="360" w:lineRule="auto"/>
              <w:jc w:val="center"/>
              <w:rPr>
                <w:rFonts w:hint="eastAsia" w:ascii="宋体" w:hAnsi="宋体" w:cs="宋体"/>
                <w:sz w:val="24"/>
              </w:rPr>
            </w:pPr>
          </w:p>
        </w:tc>
        <w:tc>
          <w:tcPr>
            <w:tcW w:w="4458" w:type="pct"/>
            <w:vAlign w:val="center"/>
          </w:tcPr>
          <w:p w14:paraId="0E45DF30">
            <w:pPr>
              <w:tabs>
                <w:tab w:val="left" w:pos="1785"/>
                <w:tab w:val="left" w:pos="2310"/>
                <w:tab w:val="left" w:pos="8640"/>
              </w:tabs>
              <w:spacing w:before="120" w:line="360" w:lineRule="auto"/>
              <w:jc w:val="center"/>
              <w:rPr>
                <w:rFonts w:hint="eastAsia" w:ascii="宋体" w:hAnsi="宋体" w:cs="宋体"/>
                <w:b/>
                <w:sz w:val="24"/>
              </w:rPr>
            </w:pPr>
            <w:r>
              <w:rPr>
                <w:rFonts w:hint="eastAsia" w:ascii="宋体" w:hAnsi="宋体" w:cs="宋体"/>
                <w:b/>
                <w:sz w:val="24"/>
              </w:rPr>
              <w:t>八、交易服务费</w:t>
            </w:r>
          </w:p>
        </w:tc>
      </w:tr>
      <w:tr w14:paraId="2ADD052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41" w:type="pct"/>
            <w:vAlign w:val="center"/>
          </w:tcPr>
          <w:p w14:paraId="1339313B">
            <w:pPr>
              <w:tabs>
                <w:tab w:val="left" w:pos="315"/>
                <w:tab w:val="left" w:pos="1785"/>
                <w:tab w:val="left" w:pos="2310"/>
                <w:tab w:val="left" w:pos="8640"/>
              </w:tabs>
              <w:spacing w:before="120" w:line="360" w:lineRule="auto"/>
              <w:jc w:val="center"/>
              <w:rPr>
                <w:rFonts w:hint="eastAsia" w:ascii="宋体" w:hAnsi="宋体" w:cs="宋体"/>
                <w:sz w:val="24"/>
              </w:rPr>
            </w:pPr>
            <w:r>
              <w:rPr>
                <w:rFonts w:hint="eastAsia" w:ascii="宋体" w:hAnsi="宋体" w:cs="宋体"/>
                <w:sz w:val="24"/>
              </w:rPr>
              <w:t>13</w:t>
            </w:r>
          </w:p>
        </w:tc>
        <w:tc>
          <w:tcPr>
            <w:tcW w:w="4458" w:type="pct"/>
            <w:vAlign w:val="center"/>
          </w:tcPr>
          <w:p w14:paraId="2868EA87">
            <w:pPr>
              <w:tabs>
                <w:tab w:val="left" w:pos="315"/>
                <w:tab w:val="left" w:pos="1785"/>
                <w:tab w:val="left" w:pos="2310"/>
                <w:tab w:val="left" w:pos="8640"/>
              </w:tabs>
              <w:spacing w:before="120" w:line="360" w:lineRule="auto"/>
              <w:rPr>
                <w:rFonts w:hint="eastAsia" w:ascii="宋体" w:hAnsi="宋体" w:cs="宋体"/>
                <w:sz w:val="24"/>
              </w:rPr>
            </w:pPr>
            <w:r>
              <w:rPr>
                <w:rFonts w:hint="eastAsia" w:ascii="宋体" w:hAnsi="宋体" w:cs="宋体"/>
                <w:sz w:val="24"/>
              </w:rPr>
              <w:t>1）采购代理服务费由成交单位支付。</w:t>
            </w:r>
          </w:p>
          <w:p w14:paraId="4056DFC0">
            <w:pPr>
              <w:tabs>
                <w:tab w:val="left" w:pos="315"/>
                <w:tab w:val="left" w:pos="1785"/>
                <w:tab w:val="left" w:pos="2310"/>
                <w:tab w:val="left" w:pos="8640"/>
              </w:tabs>
              <w:spacing w:before="120" w:line="360" w:lineRule="auto"/>
              <w:rPr>
                <w:rFonts w:hint="eastAsia" w:ascii="宋体" w:hAnsi="宋体" w:cs="宋体"/>
                <w:sz w:val="24"/>
              </w:rPr>
            </w:pPr>
            <w:r>
              <w:rPr>
                <w:rFonts w:hint="eastAsia" w:ascii="宋体" w:hAnsi="宋体" w:cs="宋体"/>
                <w:sz w:val="24"/>
              </w:rPr>
              <w:t>2）采购代理服务费不在竞价报价中单列。</w:t>
            </w:r>
          </w:p>
          <w:p w14:paraId="665086DC">
            <w:pPr>
              <w:tabs>
                <w:tab w:val="left" w:pos="315"/>
                <w:tab w:val="left" w:pos="1785"/>
                <w:tab w:val="left" w:pos="2310"/>
                <w:tab w:val="left" w:pos="8640"/>
              </w:tabs>
              <w:spacing w:before="120" w:line="360" w:lineRule="auto"/>
              <w:rPr>
                <w:rFonts w:hint="eastAsia" w:ascii="宋体" w:hAnsi="宋体" w:cs="宋体"/>
                <w:sz w:val="24"/>
              </w:rPr>
            </w:pPr>
            <w:r>
              <w:rPr>
                <w:rFonts w:hint="eastAsia" w:ascii="宋体" w:hAnsi="宋体" w:cs="宋体"/>
                <w:sz w:val="24"/>
              </w:rPr>
              <w:t>3）本项目采购代理服务费成交金额/采购预算参照国家发展计划委员会颁发的〔2002〕1980号文《采购代理服务收费管理暂行办法》及发改价格〔2011〕534号文规定下浮</w:t>
            </w:r>
            <w:r>
              <w:rPr>
                <w:rFonts w:hint="eastAsia" w:ascii="宋体" w:hAnsi="宋体" w:cs="宋体"/>
                <w:sz w:val="24"/>
                <w:lang w:val="en-US" w:eastAsia="zh-CN"/>
              </w:rPr>
              <w:t>45</w:t>
            </w:r>
            <w:r>
              <w:rPr>
                <w:rFonts w:hint="eastAsia" w:ascii="宋体" w:hAnsi="宋体" w:cs="宋体"/>
                <w:sz w:val="24"/>
              </w:rPr>
              <w:t>%收取服务费。详见本章附件一：采购代理服务费的计算方式及价格。</w:t>
            </w:r>
          </w:p>
        </w:tc>
      </w:tr>
      <w:tr w14:paraId="4B0092D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41" w:type="pct"/>
            <w:vAlign w:val="center"/>
          </w:tcPr>
          <w:p w14:paraId="7C1BF7F7">
            <w:pPr>
              <w:tabs>
                <w:tab w:val="left" w:pos="315"/>
                <w:tab w:val="left" w:pos="1785"/>
                <w:tab w:val="left" w:pos="2310"/>
                <w:tab w:val="left" w:pos="8640"/>
              </w:tabs>
              <w:spacing w:before="120" w:line="360" w:lineRule="auto"/>
              <w:jc w:val="center"/>
              <w:rPr>
                <w:rFonts w:hint="eastAsia" w:ascii="宋体" w:hAnsi="宋体" w:cs="宋体"/>
                <w:sz w:val="24"/>
              </w:rPr>
            </w:pPr>
          </w:p>
        </w:tc>
        <w:tc>
          <w:tcPr>
            <w:tcW w:w="4458" w:type="pct"/>
            <w:vAlign w:val="center"/>
          </w:tcPr>
          <w:p w14:paraId="5804CB85">
            <w:pPr>
              <w:spacing w:line="360" w:lineRule="auto"/>
              <w:jc w:val="center"/>
              <w:rPr>
                <w:rFonts w:hint="eastAsia" w:ascii="宋体" w:hAnsi="宋体" w:cs="宋体"/>
                <w:b/>
                <w:sz w:val="24"/>
              </w:rPr>
            </w:pPr>
            <w:r>
              <w:rPr>
                <w:rFonts w:hint="eastAsia" w:ascii="宋体" w:hAnsi="宋体" w:cs="宋体"/>
                <w:b/>
                <w:sz w:val="24"/>
              </w:rPr>
              <w:t>九、合同</w:t>
            </w:r>
          </w:p>
        </w:tc>
      </w:tr>
      <w:tr w14:paraId="7F3FFF1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41" w:type="pct"/>
            <w:vAlign w:val="center"/>
          </w:tcPr>
          <w:p w14:paraId="700E4707">
            <w:pPr>
              <w:tabs>
                <w:tab w:val="left" w:pos="315"/>
                <w:tab w:val="left" w:pos="1785"/>
                <w:tab w:val="left" w:pos="2310"/>
                <w:tab w:val="left" w:pos="8640"/>
              </w:tabs>
              <w:spacing w:before="120" w:line="360" w:lineRule="auto"/>
              <w:jc w:val="center"/>
              <w:rPr>
                <w:rFonts w:hint="eastAsia" w:ascii="宋体" w:hAnsi="宋体" w:cs="宋体"/>
                <w:sz w:val="24"/>
              </w:rPr>
            </w:pPr>
            <w:r>
              <w:rPr>
                <w:rFonts w:hint="eastAsia" w:ascii="宋体" w:hAnsi="宋体" w:cs="宋体"/>
                <w:sz w:val="24"/>
              </w:rPr>
              <w:t>14</w:t>
            </w:r>
          </w:p>
        </w:tc>
        <w:tc>
          <w:tcPr>
            <w:tcW w:w="4458" w:type="pct"/>
            <w:vAlign w:val="center"/>
          </w:tcPr>
          <w:p w14:paraId="6EC7BA39">
            <w:pPr>
              <w:spacing w:line="360" w:lineRule="auto"/>
              <w:jc w:val="left"/>
              <w:rPr>
                <w:rFonts w:hint="eastAsia" w:ascii="宋体" w:hAnsi="宋体" w:cs="宋体"/>
                <w:sz w:val="24"/>
              </w:rPr>
            </w:pPr>
            <w:r>
              <w:rPr>
                <w:rFonts w:hint="eastAsia" w:ascii="宋体" w:hAnsi="宋体" w:cs="宋体"/>
                <w:sz w:val="24"/>
              </w:rPr>
              <w:t>成交人应当自成交通知书发出之日起三日内，按照成交报价和竞价文件要求，派遣其授权代表携带采购代理机构发出的《成交通知书》，前往与采购人签署合同。</w:t>
            </w:r>
          </w:p>
        </w:tc>
      </w:tr>
      <w:tr w14:paraId="76B36D3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41" w:type="pct"/>
            <w:vAlign w:val="center"/>
          </w:tcPr>
          <w:p w14:paraId="5529DBDD">
            <w:pPr>
              <w:tabs>
                <w:tab w:val="left" w:pos="315"/>
                <w:tab w:val="left" w:pos="1785"/>
                <w:tab w:val="left" w:pos="2310"/>
                <w:tab w:val="left" w:pos="8640"/>
              </w:tabs>
              <w:spacing w:before="120" w:line="360" w:lineRule="auto"/>
              <w:jc w:val="center"/>
              <w:rPr>
                <w:rFonts w:hint="eastAsia" w:ascii="宋体" w:hAnsi="宋体" w:cs="宋体"/>
                <w:sz w:val="24"/>
              </w:rPr>
            </w:pPr>
          </w:p>
        </w:tc>
        <w:tc>
          <w:tcPr>
            <w:tcW w:w="4458" w:type="pct"/>
            <w:vAlign w:val="center"/>
          </w:tcPr>
          <w:p w14:paraId="41E48447">
            <w:pPr>
              <w:spacing w:line="360" w:lineRule="auto"/>
              <w:jc w:val="center"/>
              <w:rPr>
                <w:rFonts w:hint="eastAsia" w:ascii="宋体" w:hAnsi="宋体" w:cs="宋体"/>
                <w:b/>
                <w:sz w:val="24"/>
              </w:rPr>
            </w:pPr>
            <w:r>
              <w:rPr>
                <w:rFonts w:hint="eastAsia" w:ascii="宋体" w:hAnsi="宋体" w:cs="宋体"/>
                <w:b/>
                <w:sz w:val="24"/>
              </w:rPr>
              <w:t>十、询问</w:t>
            </w:r>
          </w:p>
        </w:tc>
      </w:tr>
      <w:tr w14:paraId="566767A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541" w:type="pct"/>
            <w:vAlign w:val="center"/>
          </w:tcPr>
          <w:p w14:paraId="5C718D27">
            <w:pPr>
              <w:tabs>
                <w:tab w:val="left" w:pos="315"/>
                <w:tab w:val="left" w:pos="1785"/>
                <w:tab w:val="left" w:pos="2310"/>
                <w:tab w:val="left" w:pos="8640"/>
              </w:tabs>
              <w:spacing w:before="120" w:line="360" w:lineRule="auto"/>
              <w:jc w:val="center"/>
              <w:rPr>
                <w:rFonts w:hint="eastAsia" w:ascii="宋体" w:hAnsi="宋体" w:cs="宋体"/>
                <w:sz w:val="24"/>
              </w:rPr>
            </w:pPr>
            <w:r>
              <w:rPr>
                <w:rFonts w:hint="eastAsia" w:ascii="宋体" w:hAnsi="宋体" w:cs="宋体"/>
                <w:sz w:val="24"/>
              </w:rPr>
              <w:t>14</w:t>
            </w:r>
          </w:p>
        </w:tc>
        <w:tc>
          <w:tcPr>
            <w:tcW w:w="4458" w:type="pct"/>
            <w:vAlign w:val="center"/>
          </w:tcPr>
          <w:p w14:paraId="0B40F799">
            <w:pPr>
              <w:spacing w:line="360" w:lineRule="auto"/>
              <w:jc w:val="left"/>
              <w:rPr>
                <w:rFonts w:hint="eastAsia" w:ascii="宋体" w:hAnsi="宋体" w:cs="宋体"/>
                <w:sz w:val="24"/>
              </w:rPr>
            </w:pPr>
            <w:r>
              <w:rPr>
                <w:rFonts w:hint="eastAsia" w:ascii="宋体" w:hAnsi="宋体" w:cs="宋体"/>
                <w:sz w:val="24"/>
              </w:rPr>
              <w:t>供应商对竞价活动事项（竞价文件、竞价过程）有疑问的，可以向采购人或采购代理机构提出询问，采购人或采购代理机构将作出答复，但答复的内容不涉及商业秘密。询问可以口头方式提出，也可以书面方式提出，书面方式包括但不限于传真、信函、电子邮件。联系方式详见《竞价公告》。</w:t>
            </w:r>
          </w:p>
        </w:tc>
      </w:tr>
    </w:tbl>
    <w:p w14:paraId="4134CE2A">
      <w:pPr>
        <w:spacing w:line="360" w:lineRule="auto"/>
        <w:rPr>
          <w:rFonts w:hint="eastAsia" w:ascii="宋体" w:hAnsi="宋体" w:cs="宋体"/>
          <w:b/>
          <w:sz w:val="24"/>
        </w:rPr>
        <w:sectPr>
          <w:pgSz w:w="11907" w:h="16840"/>
          <w:pgMar w:top="1134" w:right="1361" w:bottom="1134" w:left="1361" w:header="680" w:footer="567" w:gutter="0"/>
          <w:cols w:space="720" w:num="1"/>
          <w:docGrid w:linePitch="285" w:charSpace="0"/>
        </w:sectPr>
      </w:pPr>
      <w:r>
        <w:rPr>
          <w:rFonts w:hint="eastAsia" w:ascii="宋体" w:hAnsi="宋体" w:cs="宋体"/>
          <w:b/>
          <w:sz w:val="24"/>
        </w:rPr>
        <w:t>供应商必须认真阅读竞价须知的内容，以免造成竞价失败。</w:t>
      </w:r>
    </w:p>
    <w:p w14:paraId="3AC604B4">
      <w:pPr>
        <w:numPr>
          <w:ilvl w:val="0"/>
          <w:numId w:val="12"/>
        </w:numPr>
        <w:spacing w:line="360" w:lineRule="auto"/>
        <w:jc w:val="left"/>
        <w:outlineLvl w:val="1"/>
        <w:rPr>
          <w:rFonts w:hint="eastAsia" w:ascii="宋体" w:hAnsi="宋体" w:cs="宋体"/>
          <w:b/>
          <w:szCs w:val="21"/>
        </w:rPr>
      </w:pPr>
      <w:bookmarkStart w:id="11" w:name="_Toc72935199"/>
      <w:bookmarkStart w:id="12" w:name="_Toc509332364"/>
      <w:bookmarkStart w:id="13" w:name="_Toc72163738"/>
      <w:bookmarkStart w:id="14" w:name="_Toc18429783"/>
      <w:bookmarkStart w:id="15" w:name="_Toc59193979"/>
      <w:bookmarkStart w:id="16" w:name="_Toc368513758"/>
      <w:r>
        <w:rPr>
          <w:rFonts w:hint="eastAsia" w:ascii="宋体" w:hAnsi="宋体" w:cs="宋体"/>
          <w:b/>
          <w:szCs w:val="21"/>
        </w:rPr>
        <w:t>总则</w:t>
      </w:r>
      <w:bookmarkEnd w:id="11"/>
      <w:bookmarkEnd w:id="12"/>
      <w:bookmarkEnd w:id="13"/>
      <w:bookmarkEnd w:id="14"/>
      <w:bookmarkEnd w:id="15"/>
      <w:bookmarkEnd w:id="16"/>
    </w:p>
    <w:p w14:paraId="59AF4F52">
      <w:pPr>
        <w:numPr>
          <w:ilvl w:val="0"/>
          <w:numId w:val="13"/>
        </w:numPr>
        <w:snapToGrid w:val="0"/>
        <w:spacing w:line="360" w:lineRule="auto"/>
        <w:outlineLvl w:val="2"/>
        <w:rPr>
          <w:rFonts w:hint="eastAsia" w:ascii="宋体" w:hAnsi="宋体" w:cs="宋体"/>
          <w:b/>
          <w:szCs w:val="21"/>
        </w:rPr>
      </w:pPr>
      <w:bookmarkStart w:id="17" w:name="_Toc59193980"/>
      <w:bookmarkStart w:id="18" w:name="_Toc368513759"/>
      <w:bookmarkStart w:id="19" w:name="_Toc72163739"/>
      <w:bookmarkStart w:id="20" w:name="_Toc367012631"/>
      <w:bookmarkStart w:id="21" w:name="_Toc72935200"/>
      <w:bookmarkStart w:id="22" w:name="_Toc18429784"/>
      <w:r>
        <w:rPr>
          <w:rFonts w:hint="eastAsia" w:ascii="宋体" w:hAnsi="宋体" w:cs="宋体"/>
          <w:b/>
          <w:szCs w:val="21"/>
        </w:rPr>
        <w:t>适用范围</w:t>
      </w:r>
      <w:bookmarkEnd w:id="17"/>
      <w:bookmarkEnd w:id="18"/>
      <w:bookmarkEnd w:id="19"/>
      <w:bookmarkEnd w:id="20"/>
      <w:bookmarkEnd w:id="21"/>
      <w:bookmarkEnd w:id="22"/>
    </w:p>
    <w:p w14:paraId="3582E624">
      <w:pPr>
        <w:numPr>
          <w:ilvl w:val="1"/>
          <w:numId w:val="14"/>
        </w:numPr>
        <w:tabs>
          <w:tab w:val="left" w:pos="747"/>
        </w:tabs>
        <w:snapToGrid w:val="0"/>
        <w:spacing w:line="360" w:lineRule="auto"/>
        <w:ind w:left="748"/>
        <w:rPr>
          <w:rFonts w:hint="eastAsia" w:ascii="宋体" w:hAnsi="宋体" w:cs="宋体"/>
          <w:szCs w:val="21"/>
        </w:rPr>
      </w:pPr>
      <w:r>
        <w:rPr>
          <w:rFonts w:hint="eastAsia" w:ascii="宋体" w:hAnsi="宋体" w:cs="宋体"/>
          <w:szCs w:val="21"/>
        </w:rPr>
        <w:t>本项目的采购人、采购代理机构、供应商及各方当事人适用本须知。</w:t>
      </w:r>
    </w:p>
    <w:p w14:paraId="79C3B563">
      <w:pPr>
        <w:numPr>
          <w:ilvl w:val="0"/>
          <w:numId w:val="13"/>
        </w:numPr>
        <w:snapToGrid w:val="0"/>
        <w:spacing w:line="360" w:lineRule="auto"/>
        <w:outlineLvl w:val="2"/>
        <w:rPr>
          <w:rFonts w:hint="eastAsia" w:ascii="宋体" w:hAnsi="宋体" w:cs="宋体"/>
          <w:b/>
          <w:szCs w:val="21"/>
        </w:rPr>
      </w:pPr>
      <w:bookmarkStart w:id="23" w:name="_Toc18429785"/>
      <w:bookmarkStart w:id="24" w:name="_Toc72163740"/>
      <w:bookmarkStart w:id="25" w:name="_Toc368513760"/>
      <w:bookmarkStart w:id="26" w:name="_Toc59193981"/>
      <w:bookmarkStart w:id="27" w:name="_Toc72935201"/>
      <w:r>
        <w:rPr>
          <w:rFonts w:hint="eastAsia" w:ascii="宋体" w:hAnsi="宋体" w:cs="宋体"/>
          <w:b/>
          <w:szCs w:val="21"/>
        </w:rPr>
        <w:t>概念释义</w:t>
      </w:r>
      <w:bookmarkEnd w:id="23"/>
      <w:bookmarkEnd w:id="24"/>
      <w:bookmarkEnd w:id="25"/>
      <w:bookmarkEnd w:id="26"/>
      <w:bookmarkEnd w:id="27"/>
    </w:p>
    <w:p w14:paraId="64128DA6">
      <w:pPr>
        <w:numPr>
          <w:ilvl w:val="1"/>
          <w:numId w:val="13"/>
        </w:numPr>
        <w:tabs>
          <w:tab w:val="left" w:pos="728"/>
          <w:tab w:val="clear" w:pos="992"/>
        </w:tabs>
        <w:snapToGrid w:val="0"/>
        <w:spacing w:line="360" w:lineRule="auto"/>
        <w:ind w:left="748"/>
        <w:rPr>
          <w:rFonts w:hint="eastAsia" w:ascii="宋体" w:hAnsi="宋体" w:cs="宋体"/>
          <w:szCs w:val="21"/>
        </w:rPr>
      </w:pPr>
      <w:r>
        <w:rPr>
          <w:rFonts w:hint="eastAsia" w:ascii="宋体" w:hAnsi="宋体" w:cs="宋体"/>
          <w:szCs w:val="21"/>
        </w:rPr>
        <w:t>监管部门：指</w:t>
      </w:r>
      <w:r>
        <w:rPr>
          <w:rFonts w:hint="eastAsia" w:ascii="宋体" w:hAnsi="宋体" w:cs="宋体"/>
          <w:szCs w:val="21"/>
          <w:lang w:eastAsia="zh-TW"/>
        </w:rPr>
        <w:t>同级</w:t>
      </w:r>
      <w:r>
        <w:rPr>
          <w:rFonts w:hint="eastAsia" w:ascii="宋体" w:hAnsi="宋体" w:cs="宋体"/>
          <w:szCs w:val="21"/>
        </w:rPr>
        <w:t>或</w:t>
      </w:r>
      <w:r>
        <w:rPr>
          <w:rFonts w:hint="eastAsia" w:ascii="宋体" w:hAnsi="宋体" w:cs="宋体"/>
          <w:szCs w:val="21"/>
          <w:lang w:eastAsia="zh-TW"/>
        </w:rPr>
        <w:t>以上</w:t>
      </w:r>
      <w:r>
        <w:rPr>
          <w:rFonts w:hint="eastAsia" w:ascii="宋体" w:hAnsi="宋体" w:cs="宋体"/>
          <w:szCs w:val="21"/>
        </w:rPr>
        <w:t>纪检监察部门。</w:t>
      </w:r>
    </w:p>
    <w:p w14:paraId="36D10EB8">
      <w:pPr>
        <w:numPr>
          <w:ilvl w:val="1"/>
          <w:numId w:val="13"/>
        </w:numPr>
        <w:tabs>
          <w:tab w:val="left" w:pos="728"/>
          <w:tab w:val="clear" w:pos="992"/>
        </w:tabs>
        <w:snapToGrid w:val="0"/>
        <w:spacing w:line="360" w:lineRule="auto"/>
        <w:ind w:left="748"/>
        <w:rPr>
          <w:rFonts w:hint="eastAsia" w:ascii="宋体" w:hAnsi="宋体" w:cs="宋体"/>
          <w:szCs w:val="21"/>
        </w:rPr>
      </w:pPr>
      <w:r>
        <w:rPr>
          <w:rFonts w:hint="eastAsia" w:ascii="宋体" w:hAnsi="宋体" w:cs="宋体"/>
          <w:szCs w:val="21"/>
        </w:rPr>
        <w:t>采购人：详见竞价须知前附表。在竞价阶段称为采购人，在合同阶段称为甲方。为便于竞价文件及附件直接转化为合同条款，在竞价文件中有时称采购人为甲方、业主。</w:t>
      </w:r>
    </w:p>
    <w:p w14:paraId="0D2E7486">
      <w:pPr>
        <w:numPr>
          <w:ilvl w:val="1"/>
          <w:numId w:val="13"/>
        </w:numPr>
        <w:tabs>
          <w:tab w:val="left" w:pos="747"/>
          <w:tab w:val="clear" w:pos="992"/>
        </w:tabs>
        <w:snapToGrid w:val="0"/>
        <w:spacing w:line="360" w:lineRule="auto"/>
        <w:ind w:left="748"/>
        <w:rPr>
          <w:rFonts w:hint="eastAsia" w:ascii="宋体" w:hAnsi="宋体" w:cs="宋体"/>
          <w:szCs w:val="21"/>
        </w:rPr>
      </w:pPr>
      <w:r>
        <w:rPr>
          <w:rFonts w:hint="eastAsia" w:ascii="宋体" w:hAnsi="宋体" w:cs="宋体"/>
          <w:szCs w:val="21"/>
        </w:rPr>
        <w:t>采购代理机构：指依法设立、从事竞价代理业务并提供相关服务的社会中介组织。</w:t>
      </w:r>
    </w:p>
    <w:p w14:paraId="4A38FDB0">
      <w:pPr>
        <w:numPr>
          <w:ilvl w:val="1"/>
          <w:numId w:val="13"/>
        </w:numPr>
        <w:tabs>
          <w:tab w:val="left" w:pos="747"/>
          <w:tab w:val="clear" w:pos="992"/>
        </w:tabs>
        <w:snapToGrid w:val="0"/>
        <w:spacing w:line="360" w:lineRule="auto"/>
        <w:ind w:left="748"/>
        <w:rPr>
          <w:rFonts w:hint="eastAsia" w:ascii="宋体" w:hAnsi="宋体" w:cs="宋体"/>
          <w:szCs w:val="21"/>
        </w:rPr>
      </w:pPr>
      <w:r>
        <w:rPr>
          <w:rFonts w:hint="eastAsia" w:ascii="宋体" w:hAnsi="宋体" w:cs="宋体"/>
          <w:szCs w:val="21"/>
        </w:rPr>
        <w:t>供应商：指响应竞价，参加竞价竞争的法人、其他组织。</w:t>
      </w:r>
    </w:p>
    <w:p w14:paraId="07692DF2">
      <w:pPr>
        <w:numPr>
          <w:ilvl w:val="1"/>
          <w:numId w:val="13"/>
        </w:numPr>
        <w:tabs>
          <w:tab w:val="left" w:pos="747"/>
          <w:tab w:val="clear" w:pos="992"/>
        </w:tabs>
        <w:snapToGrid w:val="0"/>
        <w:spacing w:line="360" w:lineRule="auto"/>
        <w:ind w:left="748"/>
        <w:rPr>
          <w:rFonts w:hint="eastAsia" w:ascii="宋体" w:hAnsi="宋体" w:cs="宋体"/>
          <w:szCs w:val="21"/>
        </w:rPr>
      </w:pPr>
      <w:r>
        <w:rPr>
          <w:rFonts w:hint="eastAsia" w:ascii="宋体" w:hAnsi="宋体" w:cs="宋体"/>
          <w:szCs w:val="21"/>
        </w:rPr>
        <w:t>成交人：指经合法竞价程序报价出来并经采购人确认的获得本项目成交资格的供应商。</w:t>
      </w:r>
    </w:p>
    <w:p w14:paraId="69144AB1">
      <w:pPr>
        <w:numPr>
          <w:ilvl w:val="1"/>
          <w:numId w:val="13"/>
        </w:numPr>
        <w:tabs>
          <w:tab w:val="left" w:pos="747"/>
          <w:tab w:val="clear" w:pos="992"/>
        </w:tabs>
        <w:snapToGrid w:val="0"/>
        <w:spacing w:line="360" w:lineRule="auto"/>
        <w:ind w:left="748"/>
        <w:rPr>
          <w:rFonts w:hint="eastAsia" w:ascii="宋体" w:hAnsi="宋体" w:cs="宋体"/>
          <w:szCs w:val="21"/>
        </w:rPr>
      </w:pPr>
      <w:r>
        <w:rPr>
          <w:rFonts w:hint="eastAsia" w:ascii="宋体" w:hAnsi="宋体" w:cs="宋体"/>
          <w:szCs w:val="21"/>
        </w:rPr>
        <w:t>服务：按竞价文件及合同的规定，提供的服务、人员、设备、培训及其他技术资料和材料等。</w:t>
      </w:r>
    </w:p>
    <w:p w14:paraId="4A8267D4">
      <w:pPr>
        <w:numPr>
          <w:ilvl w:val="1"/>
          <w:numId w:val="13"/>
        </w:numPr>
        <w:tabs>
          <w:tab w:val="left" w:pos="747"/>
          <w:tab w:val="clear" w:pos="992"/>
        </w:tabs>
        <w:snapToGrid w:val="0"/>
        <w:spacing w:line="360" w:lineRule="auto"/>
        <w:ind w:left="748"/>
        <w:rPr>
          <w:rFonts w:hint="eastAsia" w:ascii="宋体" w:hAnsi="宋体" w:cs="宋体"/>
          <w:szCs w:val="21"/>
        </w:rPr>
      </w:pPr>
      <w:r>
        <w:rPr>
          <w:rFonts w:hint="eastAsia" w:ascii="宋体" w:hAnsi="宋体" w:cs="宋体"/>
          <w:szCs w:val="21"/>
        </w:rPr>
        <w:t>实质性响应：指供应商所提供的有关资格证明文件、提交的保证金、报价，没有重大偏差或保留。</w:t>
      </w:r>
    </w:p>
    <w:p w14:paraId="07D60FB4">
      <w:pPr>
        <w:numPr>
          <w:ilvl w:val="1"/>
          <w:numId w:val="13"/>
        </w:numPr>
        <w:tabs>
          <w:tab w:val="left" w:pos="747"/>
          <w:tab w:val="clear" w:pos="992"/>
        </w:tabs>
        <w:snapToGrid w:val="0"/>
        <w:spacing w:line="360" w:lineRule="auto"/>
        <w:ind w:left="748"/>
        <w:rPr>
          <w:rFonts w:hint="eastAsia" w:ascii="宋体" w:hAnsi="宋体" w:cs="宋体"/>
          <w:szCs w:val="21"/>
        </w:rPr>
      </w:pPr>
      <w:r>
        <w:rPr>
          <w:rFonts w:hint="eastAsia" w:ascii="宋体" w:hAnsi="宋体" w:cs="宋体"/>
          <w:szCs w:val="21"/>
        </w:rPr>
        <w:t>竞价保证金：指在竞价活动中，供应商向供应商或采购代理机构的一定形式、一定金额的报价责任担保。其主要保证成交后无正当理由不得不与采购人订立合同，在签订合同时不得向采购人提出附加条件，或者不按照要求提交履约保证金，否则，采购人有权不予返还其提交的竞价保证金。</w:t>
      </w:r>
    </w:p>
    <w:p w14:paraId="3A251E25">
      <w:pPr>
        <w:numPr>
          <w:ilvl w:val="1"/>
          <w:numId w:val="13"/>
        </w:numPr>
        <w:tabs>
          <w:tab w:val="left" w:pos="747"/>
          <w:tab w:val="clear" w:pos="992"/>
        </w:tabs>
        <w:snapToGrid w:val="0"/>
        <w:spacing w:line="360" w:lineRule="auto"/>
        <w:ind w:left="748"/>
        <w:rPr>
          <w:rFonts w:hint="eastAsia" w:ascii="宋体" w:hAnsi="宋体" w:cs="宋体"/>
          <w:szCs w:val="21"/>
        </w:rPr>
      </w:pPr>
      <w:r>
        <w:rPr>
          <w:rFonts w:hint="eastAsia" w:ascii="宋体" w:hAnsi="宋体" w:cs="宋体"/>
          <w:szCs w:val="21"/>
        </w:rPr>
        <w:t>日期：指公历日。</w:t>
      </w:r>
    </w:p>
    <w:p w14:paraId="3D023C4C">
      <w:pPr>
        <w:numPr>
          <w:ilvl w:val="1"/>
          <w:numId w:val="13"/>
        </w:numPr>
        <w:tabs>
          <w:tab w:val="left" w:pos="747"/>
          <w:tab w:val="clear" w:pos="992"/>
        </w:tabs>
        <w:snapToGrid w:val="0"/>
        <w:spacing w:line="360" w:lineRule="auto"/>
        <w:ind w:left="748"/>
        <w:rPr>
          <w:rFonts w:hint="eastAsia" w:ascii="宋体" w:hAnsi="宋体" w:cs="宋体"/>
          <w:szCs w:val="21"/>
        </w:rPr>
      </w:pPr>
      <w:r>
        <w:rPr>
          <w:rFonts w:hint="eastAsia" w:ascii="宋体" w:hAnsi="宋体" w:cs="宋体"/>
          <w:szCs w:val="21"/>
        </w:rPr>
        <w:t>时间：指北京时间。</w:t>
      </w:r>
    </w:p>
    <w:p w14:paraId="19CFF4B2">
      <w:pPr>
        <w:numPr>
          <w:ilvl w:val="0"/>
          <w:numId w:val="13"/>
        </w:numPr>
        <w:snapToGrid w:val="0"/>
        <w:spacing w:line="360" w:lineRule="auto"/>
        <w:outlineLvl w:val="2"/>
        <w:rPr>
          <w:rFonts w:hint="eastAsia" w:ascii="宋体" w:hAnsi="宋体" w:cs="宋体"/>
          <w:b/>
          <w:szCs w:val="21"/>
        </w:rPr>
      </w:pPr>
      <w:bookmarkStart w:id="28" w:name="_Toc368513762"/>
      <w:bookmarkStart w:id="29" w:name="_Toc72935202"/>
      <w:bookmarkStart w:id="30" w:name="_Toc72163741"/>
      <w:bookmarkStart w:id="31" w:name="_Toc59193982"/>
      <w:bookmarkStart w:id="32" w:name="_Toc18429786"/>
      <w:r>
        <w:rPr>
          <w:rFonts w:hint="eastAsia" w:ascii="宋体" w:hAnsi="宋体" w:cs="宋体"/>
          <w:b/>
          <w:szCs w:val="21"/>
        </w:rPr>
        <w:t>竞价活动应遵循的原则</w:t>
      </w:r>
      <w:bookmarkEnd w:id="28"/>
      <w:bookmarkEnd w:id="29"/>
      <w:bookmarkEnd w:id="30"/>
      <w:bookmarkEnd w:id="31"/>
      <w:bookmarkEnd w:id="32"/>
    </w:p>
    <w:p w14:paraId="59EB1645">
      <w:pPr>
        <w:numPr>
          <w:ilvl w:val="1"/>
          <w:numId w:val="13"/>
        </w:numPr>
        <w:tabs>
          <w:tab w:val="left" w:pos="747"/>
          <w:tab w:val="clear" w:pos="992"/>
        </w:tabs>
        <w:snapToGrid w:val="0"/>
        <w:spacing w:line="360" w:lineRule="auto"/>
        <w:ind w:left="748"/>
        <w:rPr>
          <w:rFonts w:hint="eastAsia" w:ascii="宋体" w:hAnsi="宋体" w:cs="宋体"/>
          <w:szCs w:val="21"/>
        </w:rPr>
      </w:pPr>
      <w:r>
        <w:rPr>
          <w:rFonts w:hint="eastAsia" w:ascii="宋体" w:hAnsi="宋体" w:cs="宋体"/>
          <w:szCs w:val="21"/>
        </w:rPr>
        <w:t>遵循公开、公平、公正和诚实信用原则；</w:t>
      </w:r>
    </w:p>
    <w:p w14:paraId="2AC24B74">
      <w:pPr>
        <w:numPr>
          <w:ilvl w:val="1"/>
          <w:numId w:val="13"/>
        </w:numPr>
        <w:tabs>
          <w:tab w:val="left" w:pos="747"/>
          <w:tab w:val="clear" w:pos="992"/>
        </w:tabs>
        <w:snapToGrid w:val="0"/>
        <w:spacing w:line="360" w:lineRule="auto"/>
        <w:ind w:left="748"/>
        <w:rPr>
          <w:rFonts w:hint="eastAsia" w:ascii="宋体" w:hAnsi="宋体" w:cs="宋体"/>
          <w:szCs w:val="21"/>
        </w:rPr>
      </w:pPr>
      <w:r>
        <w:rPr>
          <w:rFonts w:hint="eastAsia" w:ascii="宋体" w:hAnsi="宋体" w:cs="宋体"/>
          <w:szCs w:val="21"/>
        </w:rPr>
        <w:t>利用法律手段强化竞争机制、贯彻统一、规范、简化、高效的要求。</w:t>
      </w:r>
    </w:p>
    <w:p w14:paraId="7AD57AAD">
      <w:pPr>
        <w:numPr>
          <w:ilvl w:val="0"/>
          <w:numId w:val="13"/>
        </w:numPr>
        <w:snapToGrid w:val="0"/>
        <w:spacing w:line="360" w:lineRule="auto"/>
        <w:outlineLvl w:val="2"/>
        <w:rPr>
          <w:rFonts w:hint="eastAsia" w:ascii="宋体" w:hAnsi="宋体" w:cs="宋体"/>
          <w:b/>
          <w:szCs w:val="21"/>
        </w:rPr>
      </w:pPr>
      <w:bookmarkStart w:id="33" w:name="_Toc72163742"/>
      <w:bookmarkStart w:id="34" w:name="_Toc72935203"/>
      <w:bookmarkStart w:id="35" w:name="_Toc18429787"/>
      <w:bookmarkStart w:id="36" w:name="_Toc59193983"/>
      <w:bookmarkStart w:id="37" w:name="_Toc368513765"/>
      <w:r>
        <w:rPr>
          <w:rFonts w:hint="eastAsia" w:ascii="宋体" w:hAnsi="宋体" w:cs="宋体"/>
          <w:b/>
          <w:szCs w:val="21"/>
        </w:rPr>
        <w:t>关于竞价费用</w:t>
      </w:r>
      <w:bookmarkEnd w:id="33"/>
      <w:bookmarkEnd w:id="34"/>
      <w:bookmarkEnd w:id="35"/>
      <w:bookmarkEnd w:id="36"/>
      <w:bookmarkEnd w:id="37"/>
    </w:p>
    <w:p w14:paraId="6AD0415F">
      <w:pPr>
        <w:tabs>
          <w:tab w:val="left" w:pos="180"/>
          <w:tab w:val="left" w:pos="747"/>
        </w:tabs>
        <w:snapToGrid w:val="0"/>
        <w:spacing w:line="360" w:lineRule="auto"/>
        <w:ind w:left="372" w:leftChars="175" w:hanging="4" w:hangingChars="2"/>
        <w:rPr>
          <w:rFonts w:hint="eastAsia" w:ascii="宋体" w:hAnsi="宋体" w:cs="宋体"/>
          <w:szCs w:val="21"/>
        </w:rPr>
      </w:pPr>
      <w:r>
        <w:rPr>
          <w:rFonts w:hint="eastAsia" w:ascii="宋体" w:hAnsi="宋体" w:cs="宋体"/>
          <w:szCs w:val="21"/>
        </w:rPr>
        <w:t>供应商须承担所有与竞价有关的自身费用，包括但不限于平台服务费、参与竞价以及竞价保证金的费用等。无论结果如何，采购代理机构在任何情况下无义务和责任承担或分担这些费用或任何类似费用。</w:t>
      </w:r>
    </w:p>
    <w:p w14:paraId="5268C389">
      <w:pPr>
        <w:numPr>
          <w:ilvl w:val="0"/>
          <w:numId w:val="13"/>
        </w:numPr>
        <w:snapToGrid w:val="0"/>
        <w:spacing w:line="360" w:lineRule="auto"/>
        <w:outlineLvl w:val="2"/>
        <w:rPr>
          <w:rFonts w:hint="eastAsia" w:ascii="宋体" w:hAnsi="宋体" w:cs="宋体"/>
          <w:b/>
          <w:szCs w:val="21"/>
        </w:rPr>
      </w:pPr>
      <w:bookmarkStart w:id="38" w:name="_Toc18429788"/>
      <w:bookmarkStart w:id="39" w:name="_Toc72163743"/>
      <w:bookmarkStart w:id="40" w:name="_Toc59193984"/>
      <w:bookmarkStart w:id="41" w:name="_Toc72935204"/>
      <w:bookmarkStart w:id="42" w:name="_Toc368513768"/>
      <w:r>
        <w:rPr>
          <w:rFonts w:hint="eastAsia" w:ascii="宋体" w:hAnsi="宋体" w:cs="宋体"/>
          <w:b/>
          <w:szCs w:val="21"/>
        </w:rPr>
        <w:t>通知</w:t>
      </w:r>
      <w:bookmarkEnd w:id="38"/>
      <w:bookmarkEnd w:id="39"/>
      <w:bookmarkEnd w:id="40"/>
      <w:bookmarkEnd w:id="41"/>
      <w:bookmarkEnd w:id="42"/>
    </w:p>
    <w:p w14:paraId="18223983">
      <w:pPr>
        <w:tabs>
          <w:tab w:val="left" w:pos="747"/>
        </w:tabs>
        <w:snapToGrid w:val="0"/>
        <w:spacing w:line="360" w:lineRule="auto"/>
        <w:ind w:left="372" w:leftChars="175" w:hanging="4" w:hangingChars="2"/>
        <w:rPr>
          <w:rFonts w:hint="eastAsia" w:ascii="宋体" w:hAnsi="宋体" w:cs="宋体"/>
          <w:szCs w:val="21"/>
        </w:rPr>
      </w:pPr>
      <w:r>
        <w:rPr>
          <w:rFonts w:hint="eastAsia" w:ascii="宋体" w:hAnsi="宋体" w:cs="宋体"/>
          <w:szCs w:val="21"/>
        </w:rPr>
        <w:t>对与本项目有关的通知，采购代理机构将以书面形式（包括书面材料、信函、传真等，下同）或在本次竞价公告规定的媒体上以发布公告的形式，送达所有与通知有关的已获取了竞价文件的潜在供应商，传真号码以潜在供应商获取登记的为准。潜在供应商应于收到通知的当日以书面方式予以回复确认，如在12小时之内无书面回复则视为已收到并同意通知内容，并有责任履行相应的义务。因潜在供应商登记有误或传真线路故障导致通知延迟送达或无法送达，采购代理机构不承担责任。</w:t>
      </w:r>
    </w:p>
    <w:p w14:paraId="740508CA">
      <w:pPr>
        <w:numPr>
          <w:ilvl w:val="0"/>
          <w:numId w:val="13"/>
        </w:numPr>
        <w:snapToGrid w:val="0"/>
        <w:spacing w:line="360" w:lineRule="auto"/>
        <w:outlineLvl w:val="2"/>
        <w:rPr>
          <w:rFonts w:hint="eastAsia" w:ascii="宋体" w:hAnsi="宋体" w:cs="宋体"/>
          <w:b/>
          <w:szCs w:val="21"/>
        </w:rPr>
      </w:pPr>
      <w:bookmarkStart w:id="43" w:name="_Toc59193985"/>
      <w:bookmarkStart w:id="44" w:name="_Toc18429789"/>
      <w:bookmarkStart w:id="45" w:name="_Toc72163744"/>
      <w:bookmarkStart w:id="46" w:name="_Toc368513770"/>
      <w:bookmarkStart w:id="47" w:name="_Toc72935205"/>
      <w:bookmarkStart w:id="48" w:name="_Toc234727578"/>
      <w:r>
        <w:rPr>
          <w:rFonts w:hint="eastAsia" w:ascii="宋体" w:hAnsi="宋体" w:cs="宋体"/>
          <w:b/>
          <w:szCs w:val="21"/>
        </w:rPr>
        <w:t>禁止事项</w:t>
      </w:r>
      <w:bookmarkEnd w:id="43"/>
      <w:bookmarkEnd w:id="44"/>
      <w:bookmarkEnd w:id="45"/>
      <w:bookmarkEnd w:id="46"/>
      <w:bookmarkEnd w:id="47"/>
      <w:bookmarkEnd w:id="48"/>
    </w:p>
    <w:p w14:paraId="002F220D">
      <w:pPr>
        <w:numPr>
          <w:ilvl w:val="1"/>
          <w:numId w:val="13"/>
        </w:numPr>
        <w:tabs>
          <w:tab w:val="left" w:pos="747"/>
          <w:tab w:val="clear" w:pos="992"/>
        </w:tabs>
        <w:snapToGrid w:val="0"/>
        <w:spacing w:line="360" w:lineRule="auto"/>
        <w:ind w:left="747"/>
        <w:rPr>
          <w:rFonts w:hint="eastAsia" w:ascii="宋体" w:hAnsi="宋体" w:cs="宋体"/>
          <w:szCs w:val="21"/>
        </w:rPr>
      </w:pPr>
      <w:r>
        <w:rPr>
          <w:rFonts w:hint="eastAsia" w:ascii="宋体" w:hAnsi="宋体" w:cs="宋体"/>
          <w:szCs w:val="21"/>
        </w:rPr>
        <w:t>采购人、供应商和采购代理机构不得相互串通损害国家利益，社会公共利益和其他当事人的合法权益；不得以任何手段排斥其他供应商参与竞争。</w:t>
      </w:r>
    </w:p>
    <w:p w14:paraId="2B39F928">
      <w:pPr>
        <w:numPr>
          <w:ilvl w:val="1"/>
          <w:numId w:val="13"/>
        </w:numPr>
        <w:tabs>
          <w:tab w:val="left" w:pos="747"/>
          <w:tab w:val="clear" w:pos="992"/>
        </w:tabs>
        <w:snapToGrid w:val="0"/>
        <w:spacing w:line="360" w:lineRule="auto"/>
        <w:ind w:left="747"/>
        <w:rPr>
          <w:rFonts w:hint="eastAsia" w:ascii="宋体" w:hAnsi="宋体" w:cs="宋体"/>
          <w:szCs w:val="21"/>
        </w:rPr>
      </w:pPr>
      <w:r>
        <w:rPr>
          <w:rFonts w:hint="eastAsia" w:ascii="宋体" w:hAnsi="宋体" w:cs="宋体"/>
          <w:szCs w:val="21"/>
        </w:rPr>
        <w:t>供应商不得向采购人、采购代理机构行贿或者采取其他不正当手段谋取成交。</w:t>
      </w:r>
    </w:p>
    <w:p w14:paraId="6A18425B">
      <w:pPr>
        <w:numPr>
          <w:ilvl w:val="1"/>
          <w:numId w:val="13"/>
        </w:numPr>
        <w:tabs>
          <w:tab w:val="left" w:pos="747"/>
          <w:tab w:val="clear" w:pos="992"/>
        </w:tabs>
        <w:snapToGrid w:val="0"/>
        <w:spacing w:line="360" w:lineRule="auto"/>
        <w:ind w:left="747"/>
        <w:rPr>
          <w:rFonts w:hint="eastAsia" w:ascii="宋体" w:hAnsi="宋体" w:cs="宋体"/>
          <w:szCs w:val="21"/>
        </w:rPr>
      </w:pPr>
      <w:r>
        <w:rPr>
          <w:rFonts w:hint="eastAsia" w:ascii="宋体" w:hAnsi="宋体" w:cs="宋体"/>
          <w:szCs w:val="21"/>
        </w:rPr>
        <w:t>从竞价开始之时起至授予合同止，供应商不得就与其竞价有关的事项主动与采购人以及采购代理机构接触。</w:t>
      </w:r>
    </w:p>
    <w:p w14:paraId="3FB68895">
      <w:pPr>
        <w:numPr>
          <w:ilvl w:val="1"/>
          <w:numId w:val="13"/>
        </w:numPr>
        <w:tabs>
          <w:tab w:val="left" w:pos="747"/>
          <w:tab w:val="clear" w:pos="992"/>
        </w:tabs>
        <w:snapToGrid w:val="0"/>
        <w:spacing w:line="360" w:lineRule="auto"/>
        <w:ind w:left="747"/>
        <w:rPr>
          <w:rFonts w:hint="eastAsia" w:ascii="宋体" w:hAnsi="宋体" w:cs="宋体"/>
          <w:szCs w:val="21"/>
        </w:rPr>
      </w:pPr>
      <w:r>
        <w:rPr>
          <w:rFonts w:hint="eastAsia" w:ascii="宋体" w:hAnsi="宋体" w:cs="宋体"/>
          <w:szCs w:val="21"/>
        </w:rPr>
        <w:t>供应商不得串通作弊，以不正当的手段妨碍、排挤其他供应商，破坏公平竞争原则。</w:t>
      </w:r>
    </w:p>
    <w:p w14:paraId="58A288B4">
      <w:pPr>
        <w:numPr>
          <w:ilvl w:val="1"/>
          <w:numId w:val="13"/>
        </w:numPr>
        <w:tabs>
          <w:tab w:val="left" w:pos="747"/>
          <w:tab w:val="clear" w:pos="992"/>
        </w:tabs>
        <w:snapToGrid w:val="0"/>
        <w:spacing w:line="360" w:lineRule="auto"/>
        <w:ind w:left="747"/>
        <w:rPr>
          <w:rFonts w:hint="eastAsia" w:ascii="宋体" w:hAnsi="宋体" w:cs="宋体"/>
          <w:szCs w:val="21"/>
        </w:rPr>
      </w:pPr>
      <w:r>
        <w:rPr>
          <w:rFonts w:hint="eastAsia" w:ascii="宋体" w:hAnsi="宋体" w:cs="宋体"/>
          <w:szCs w:val="21"/>
        </w:rPr>
        <w:t>相关法律法规规定的其他禁止事项。</w:t>
      </w:r>
    </w:p>
    <w:p w14:paraId="6E6353A7">
      <w:pPr>
        <w:numPr>
          <w:ilvl w:val="0"/>
          <w:numId w:val="12"/>
        </w:numPr>
        <w:spacing w:line="360" w:lineRule="auto"/>
        <w:jc w:val="left"/>
        <w:outlineLvl w:val="1"/>
        <w:rPr>
          <w:rFonts w:hint="eastAsia" w:ascii="宋体" w:hAnsi="宋体" w:cs="宋体"/>
          <w:b/>
          <w:szCs w:val="21"/>
        </w:rPr>
      </w:pPr>
      <w:bookmarkStart w:id="49" w:name="_Toc59193986"/>
      <w:bookmarkStart w:id="50" w:name="_Toc368513773"/>
      <w:bookmarkStart w:id="51" w:name="_Toc72163745"/>
      <w:bookmarkStart w:id="52" w:name="_Toc509332365"/>
      <w:bookmarkStart w:id="53" w:name="_Toc72935206"/>
      <w:bookmarkStart w:id="54" w:name="_Toc18429790"/>
      <w:r>
        <w:rPr>
          <w:rFonts w:hint="eastAsia" w:ascii="宋体" w:hAnsi="宋体" w:cs="宋体"/>
          <w:b/>
          <w:szCs w:val="21"/>
        </w:rPr>
        <w:t>关于竞价文件</w:t>
      </w:r>
      <w:bookmarkEnd w:id="49"/>
      <w:bookmarkEnd w:id="50"/>
      <w:bookmarkEnd w:id="51"/>
      <w:bookmarkEnd w:id="52"/>
      <w:bookmarkEnd w:id="53"/>
      <w:bookmarkEnd w:id="54"/>
    </w:p>
    <w:p w14:paraId="738D2DF1">
      <w:pPr>
        <w:numPr>
          <w:ilvl w:val="0"/>
          <w:numId w:val="15"/>
        </w:numPr>
        <w:snapToGrid w:val="0"/>
        <w:spacing w:line="360" w:lineRule="auto"/>
        <w:outlineLvl w:val="2"/>
        <w:rPr>
          <w:rFonts w:hint="eastAsia" w:ascii="宋体" w:hAnsi="宋体" w:cs="宋体"/>
          <w:b/>
          <w:szCs w:val="21"/>
        </w:rPr>
      </w:pPr>
      <w:bookmarkStart w:id="55" w:name="_Toc18429791"/>
      <w:bookmarkStart w:id="56" w:name="_Toc59193987"/>
      <w:bookmarkStart w:id="57" w:name="_Toc368513774"/>
      <w:bookmarkStart w:id="58" w:name="_Toc72163746"/>
      <w:bookmarkStart w:id="59" w:name="_Toc72935207"/>
      <w:r>
        <w:rPr>
          <w:rFonts w:hint="eastAsia" w:ascii="宋体" w:hAnsi="宋体" w:cs="宋体"/>
          <w:b/>
          <w:szCs w:val="21"/>
        </w:rPr>
        <w:t>竞价文件的组成</w:t>
      </w:r>
      <w:bookmarkEnd w:id="55"/>
      <w:bookmarkEnd w:id="56"/>
      <w:bookmarkEnd w:id="57"/>
      <w:bookmarkEnd w:id="58"/>
      <w:bookmarkEnd w:id="59"/>
    </w:p>
    <w:p w14:paraId="0A28758F">
      <w:pPr>
        <w:numPr>
          <w:ilvl w:val="1"/>
          <w:numId w:val="16"/>
        </w:numPr>
        <w:tabs>
          <w:tab w:val="left" w:pos="720"/>
          <w:tab w:val="clear" w:pos="992"/>
        </w:tabs>
        <w:snapToGrid w:val="0"/>
        <w:spacing w:line="360" w:lineRule="auto"/>
        <w:ind w:left="709"/>
        <w:rPr>
          <w:rFonts w:hint="eastAsia" w:ascii="宋体" w:hAnsi="宋体" w:cs="宋体"/>
          <w:szCs w:val="21"/>
        </w:rPr>
      </w:pPr>
      <w:r>
        <w:rPr>
          <w:rFonts w:hint="eastAsia" w:ascii="宋体" w:hAnsi="宋体" w:cs="宋体"/>
          <w:szCs w:val="21"/>
        </w:rPr>
        <w:t>竞价文件仅适用于本次竞价公告中所叙述的项目，由下列部分组成：</w:t>
      </w:r>
    </w:p>
    <w:p w14:paraId="4D329DEE">
      <w:pPr>
        <w:numPr>
          <w:ilvl w:val="2"/>
          <w:numId w:val="17"/>
        </w:numPr>
        <w:tabs>
          <w:tab w:val="left" w:pos="840"/>
          <w:tab w:val="left" w:pos="960"/>
          <w:tab w:val="clear" w:pos="1271"/>
        </w:tabs>
        <w:snapToGrid w:val="0"/>
        <w:spacing w:line="360" w:lineRule="auto"/>
        <w:ind w:left="960"/>
        <w:rPr>
          <w:rFonts w:hint="eastAsia" w:ascii="宋体" w:hAnsi="宋体" w:cs="宋体"/>
          <w:szCs w:val="21"/>
        </w:rPr>
      </w:pPr>
      <w:r>
        <w:rPr>
          <w:rFonts w:hint="eastAsia" w:ascii="宋体" w:hAnsi="宋体" w:cs="宋体"/>
          <w:szCs w:val="21"/>
        </w:rPr>
        <w:t xml:space="preserve">竞价公告； </w:t>
      </w:r>
    </w:p>
    <w:p w14:paraId="29E18908">
      <w:pPr>
        <w:numPr>
          <w:ilvl w:val="2"/>
          <w:numId w:val="17"/>
        </w:numPr>
        <w:tabs>
          <w:tab w:val="left" w:pos="840"/>
          <w:tab w:val="left" w:pos="960"/>
          <w:tab w:val="clear" w:pos="1271"/>
        </w:tabs>
        <w:snapToGrid w:val="0"/>
        <w:spacing w:line="360" w:lineRule="auto"/>
        <w:ind w:left="960"/>
        <w:rPr>
          <w:rFonts w:hint="eastAsia" w:ascii="宋体" w:hAnsi="宋体" w:cs="宋体"/>
          <w:szCs w:val="21"/>
        </w:rPr>
      </w:pPr>
      <w:r>
        <w:rPr>
          <w:rFonts w:hint="eastAsia" w:ascii="宋体" w:hAnsi="宋体" w:cs="宋体"/>
          <w:szCs w:val="21"/>
        </w:rPr>
        <w:t>竞价须知；</w:t>
      </w:r>
    </w:p>
    <w:p w14:paraId="4C52BC04">
      <w:pPr>
        <w:numPr>
          <w:ilvl w:val="2"/>
          <w:numId w:val="17"/>
        </w:numPr>
        <w:tabs>
          <w:tab w:val="left" w:pos="840"/>
          <w:tab w:val="left" w:pos="960"/>
          <w:tab w:val="clear" w:pos="1271"/>
        </w:tabs>
        <w:snapToGrid w:val="0"/>
        <w:spacing w:line="360" w:lineRule="auto"/>
        <w:ind w:left="960"/>
        <w:rPr>
          <w:rFonts w:hint="eastAsia" w:ascii="宋体" w:hAnsi="宋体" w:cs="宋体"/>
          <w:szCs w:val="21"/>
        </w:rPr>
      </w:pPr>
      <w:r>
        <w:rPr>
          <w:rFonts w:hint="eastAsia" w:ascii="宋体" w:hAnsi="宋体" w:cs="宋体"/>
          <w:szCs w:val="21"/>
        </w:rPr>
        <w:t>项目内容和要求；</w:t>
      </w:r>
    </w:p>
    <w:p w14:paraId="1D03C391">
      <w:pPr>
        <w:numPr>
          <w:ilvl w:val="2"/>
          <w:numId w:val="17"/>
        </w:numPr>
        <w:tabs>
          <w:tab w:val="left" w:pos="840"/>
          <w:tab w:val="left" w:pos="960"/>
          <w:tab w:val="clear" w:pos="1271"/>
        </w:tabs>
        <w:snapToGrid w:val="0"/>
        <w:spacing w:line="360" w:lineRule="auto"/>
        <w:ind w:left="960"/>
        <w:rPr>
          <w:rFonts w:hint="eastAsia" w:ascii="宋体" w:hAnsi="宋体" w:cs="宋体"/>
          <w:szCs w:val="21"/>
        </w:rPr>
      </w:pPr>
      <w:r>
        <w:rPr>
          <w:rFonts w:hint="eastAsia" w:ascii="宋体" w:hAnsi="宋体" w:cs="宋体"/>
          <w:szCs w:val="21"/>
        </w:rPr>
        <w:t>拟签订的合同文本；</w:t>
      </w:r>
    </w:p>
    <w:p w14:paraId="34724A8C">
      <w:pPr>
        <w:numPr>
          <w:ilvl w:val="2"/>
          <w:numId w:val="17"/>
        </w:numPr>
        <w:tabs>
          <w:tab w:val="left" w:pos="840"/>
          <w:tab w:val="left" w:pos="960"/>
          <w:tab w:val="clear" w:pos="1271"/>
        </w:tabs>
        <w:snapToGrid w:val="0"/>
        <w:spacing w:line="360" w:lineRule="auto"/>
        <w:ind w:left="960"/>
        <w:rPr>
          <w:rFonts w:hint="eastAsia" w:ascii="宋体" w:hAnsi="宋体" w:cs="宋体"/>
          <w:szCs w:val="21"/>
        </w:rPr>
      </w:pPr>
      <w:r>
        <w:rPr>
          <w:rFonts w:hint="eastAsia" w:ascii="宋体" w:hAnsi="宋体" w:cs="宋体"/>
          <w:szCs w:val="21"/>
        </w:rPr>
        <w:t>竞价过程中发生的澄清、修改和补充文件（如有）。</w:t>
      </w:r>
    </w:p>
    <w:p w14:paraId="1FA2B188">
      <w:pPr>
        <w:numPr>
          <w:ilvl w:val="1"/>
          <w:numId w:val="16"/>
        </w:numPr>
        <w:tabs>
          <w:tab w:val="left" w:pos="720"/>
          <w:tab w:val="clear" w:pos="992"/>
        </w:tabs>
        <w:snapToGrid w:val="0"/>
        <w:spacing w:line="360" w:lineRule="auto"/>
        <w:ind w:left="709"/>
        <w:rPr>
          <w:rFonts w:hint="eastAsia" w:ascii="宋体" w:hAnsi="宋体" w:cs="宋体"/>
          <w:szCs w:val="21"/>
        </w:rPr>
      </w:pPr>
      <w:r>
        <w:rPr>
          <w:rFonts w:hint="eastAsia" w:ascii="宋体" w:hAnsi="宋体" w:cs="宋体"/>
          <w:szCs w:val="21"/>
        </w:rPr>
        <w:t>供应商应认真阅读竞价文件中的所有事项、条款等要求。</w:t>
      </w:r>
    </w:p>
    <w:p w14:paraId="3F816B9F">
      <w:pPr>
        <w:numPr>
          <w:ilvl w:val="0"/>
          <w:numId w:val="15"/>
        </w:numPr>
        <w:snapToGrid w:val="0"/>
        <w:spacing w:line="360" w:lineRule="auto"/>
        <w:outlineLvl w:val="2"/>
        <w:rPr>
          <w:rFonts w:hint="eastAsia" w:ascii="宋体" w:hAnsi="宋体" w:cs="宋体"/>
          <w:b/>
          <w:szCs w:val="21"/>
        </w:rPr>
      </w:pPr>
      <w:bookmarkStart w:id="60" w:name="_Toc72935208"/>
      <w:bookmarkStart w:id="61" w:name="_Toc72163747"/>
      <w:bookmarkStart w:id="62" w:name="_Toc59193988"/>
      <w:bookmarkStart w:id="63" w:name="_Toc18429792"/>
      <w:bookmarkStart w:id="64" w:name="_Toc368513776"/>
      <w:r>
        <w:rPr>
          <w:rFonts w:hint="eastAsia" w:ascii="宋体" w:hAnsi="宋体" w:cs="宋体"/>
          <w:b/>
          <w:szCs w:val="21"/>
        </w:rPr>
        <w:t>竞价文件的补充、修改和澄清等</w:t>
      </w:r>
      <w:bookmarkEnd w:id="60"/>
      <w:bookmarkEnd w:id="61"/>
      <w:bookmarkEnd w:id="62"/>
      <w:bookmarkEnd w:id="63"/>
      <w:bookmarkEnd w:id="64"/>
    </w:p>
    <w:p w14:paraId="630A9BF6">
      <w:pPr>
        <w:numPr>
          <w:ilvl w:val="255"/>
          <w:numId w:val="0"/>
        </w:numPr>
        <w:tabs>
          <w:tab w:val="left" w:pos="720"/>
        </w:tabs>
        <w:snapToGrid w:val="0"/>
        <w:spacing w:line="360" w:lineRule="auto"/>
        <w:ind w:left="180"/>
        <w:rPr>
          <w:rFonts w:hint="eastAsia" w:ascii="宋体" w:hAnsi="宋体" w:cs="宋体"/>
          <w:szCs w:val="21"/>
        </w:rPr>
      </w:pPr>
      <w:r>
        <w:rPr>
          <w:rFonts w:hint="eastAsia" w:ascii="宋体" w:hAnsi="宋体" w:cs="宋体"/>
          <w:szCs w:val="21"/>
        </w:rPr>
        <w:t>2.1采购人</w:t>
      </w:r>
      <w:r>
        <w:rPr>
          <w:rFonts w:hint="eastAsia" w:ascii="宋体" w:hAnsi="宋体" w:cs="宋体"/>
          <w:szCs w:val="21"/>
          <w:lang w:eastAsia="zh-TW"/>
        </w:rPr>
        <w:t>或者</w:t>
      </w:r>
      <w:r>
        <w:rPr>
          <w:rFonts w:hint="eastAsia" w:ascii="宋体" w:hAnsi="宋体" w:cs="宋体"/>
          <w:szCs w:val="21"/>
        </w:rPr>
        <w:t>采购代理机构</w:t>
      </w:r>
      <w:r>
        <w:rPr>
          <w:rFonts w:hint="eastAsia" w:ascii="宋体" w:hAnsi="宋体" w:cs="宋体"/>
          <w:szCs w:val="21"/>
          <w:lang w:eastAsia="zh-TW"/>
        </w:rPr>
        <w:t>可以对已发出的</w:t>
      </w:r>
      <w:r>
        <w:rPr>
          <w:rFonts w:hint="eastAsia" w:ascii="宋体" w:hAnsi="宋体" w:cs="宋体"/>
          <w:szCs w:val="21"/>
        </w:rPr>
        <w:t>竞价</w:t>
      </w:r>
      <w:r>
        <w:rPr>
          <w:rFonts w:hint="eastAsia" w:ascii="宋体" w:hAnsi="宋体" w:cs="宋体"/>
          <w:szCs w:val="21"/>
          <w:lang w:eastAsia="zh-TW"/>
        </w:rPr>
        <w:t>文件进行必要的澄清或者修改。澄清或者修改应当在原公告发布媒体上发布澄清</w:t>
      </w:r>
      <w:r>
        <w:rPr>
          <w:rFonts w:hint="eastAsia" w:ascii="宋体" w:hAnsi="宋体" w:cs="宋体"/>
          <w:szCs w:val="21"/>
        </w:rPr>
        <w:t>（更正/变更）</w:t>
      </w:r>
      <w:r>
        <w:rPr>
          <w:rFonts w:hint="eastAsia" w:ascii="宋体" w:hAnsi="宋体" w:cs="宋体"/>
          <w:szCs w:val="21"/>
          <w:lang w:eastAsia="zh-TW"/>
        </w:rPr>
        <w:t>公告</w:t>
      </w:r>
      <w:r>
        <w:rPr>
          <w:rFonts w:hint="eastAsia" w:ascii="宋体" w:hAnsi="宋体" w:cs="宋体"/>
          <w:szCs w:val="21"/>
        </w:rPr>
        <w:t>。</w:t>
      </w:r>
    </w:p>
    <w:p w14:paraId="290E071B">
      <w:pPr>
        <w:numPr>
          <w:ilvl w:val="255"/>
          <w:numId w:val="0"/>
        </w:numPr>
        <w:tabs>
          <w:tab w:val="left" w:pos="720"/>
        </w:tabs>
        <w:snapToGrid w:val="0"/>
        <w:spacing w:line="360" w:lineRule="auto"/>
        <w:ind w:left="180"/>
        <w:rPr>
          <w:rFonts w:hint="eastAsia" w:ascii="宋体" w:hAnsi="宋体" w:cs="宋体"/>
          <w:szCs w:val="21"/>
        </w:rPr>
      </w:pPr>
      <w:r>
        <w:rPr>
          <w:rFonts w:hint="eastAsia" w:ascii="宋体" w:hAnsi="宋体" w:cs="宋体"/>
          <w:szCs w:val="21"/>
        </w:rPr>
        <w:t>2.2</w:t>
      </w:r>
      <w:r>
        <w:rPr>
          <w:rFonts w:hint="eastAsia" w:ascii="宋体" w:hAnsi="宋体" w:cs="宋体"/>
          <w:szCs w:val="21"/>
          <w:lang w:eastAsia="zh-TW"/>
        </w:rPr>
        <w:t>澄清或者修改的内容可能影响</w:t>
      </w:r>
      <w:r>
        <w:rPr>
          <w:rFonts w:hint="eastAsia" w:ascii="宋体" w:hAnsi="宋体" w:cs="宋体"/>
          <w:szCs w:val="21"/>
        </w:rPr>
        <w:t>竞价活动的开展</w:t>
      </w:r>
      <w:r>
        <w:rPr>
          <w:rFonts w:hint="eastAsia" w:ascii="宋体" w:hAnsi="宋体" w:cs="宋体"/>
          <w:szCs w:val="21"/>
          <w:lang w:eastAsia="zh-TW"/>
        </w:rPr>
        <w:t>的</w:t>
      </w:r>
      <w:r>
        <w:rPr>
          <w:rFonts w:hint="eastAsia" w:ascii="宋体" w:hAnsi="宋体" w:cs="宋体"/>
          <w:szCs w:val="21"/>
        </w:rPr>
        <w:t>，如要延期竞价的</w:t>
      </w:r>
      <w:r>
        <w:rPr>
          <w:rFonts w:hint="eastAsia" w:ascii="宋体" w:hAnsi="宋体" w:cs="宋体"/>
          <w:szCs w:val="21"/>
          <w:lang w:eastAsia="zh-TW"/>
        </w:rPr>
        <w:t>，</w:t>
      </w:r>
      <w:r>
        <w:rPr>
          <w:rFonts w:hint="eastAsia" w:ascii="宋体" w:hAnsi="宋体" w:cs="宋体"/>
          <w:szCs w:val="21"/>
        </w:rPr>
        <w:t>采购人</w:t>
      </w:r>
      <w:r>
        <w:rPr>
          <w:rFonts w:hint="eastAsia" w:ascii="宋体" w:hAnsi="宋体" w:cs="宋体"/>
          <w:szCs w:val="21"/>
          <w:lang w:eastAsia="zh-TW"/>
        </w:rPr>
        <w:t>或者</w:t>
      </w:r>
      <w:r>
        <w:rPr>
          <w:rFonts w:hint="eastAsia" w:ascii="宋体" w:hAnsi="宋体" w:cs="宋体"/>
          <w:szCs w:val="21"/>
        </w:rPr>
        <w:t>采购代理机构</w:t>
      </w:r>
      <w:r>
        <w:rPr>
          <w:rFonts w:hint="eastAsia" w:ascii="宋体" w:hAnsi="宋体" w:cs="宋体"/>
          <w:szCs w:val="21"/>
          <w:lang w:eastAsia="zh-TW"/>
        </w:rPr>
        <w:t>应当在</w:t>
      </w:r>
      <w:r>
        <w:rPr>
          <w:rFonts w:hint="eastAsia" w:ascii="宋体" w:hAnsi="宋体" w:cs="宋体"/>
          <w:szCs w:val="21"/>
        </w:rPr>
        <w:t>报价开始</w:t>
      </w:r>
      <w:r>
        <w:rPr>
          <w:rFonts w:hint="eastAsia" w:ascii="宋体" w:hAnsi="宋体" w:cs="宋体"/>
          <w:szCs w:val="21"/>
          <w:lang w:eastAsia="zh-TW"/>
        </w:rPr>
        <w:t>时间前，以书面形式通知所有获取</w:t>
      </w:r>
      <w:r>
        <w:rPr>
          <w:rFonts w:hint="eastAsia" w:ascii="宋体" w:hAnsi="宋体" w:cs="宋体"/>
          <w:szCs w:val="21"/>
        </w:rPr>
        <w:t>竞价</w:t>
      </w:r>
      <w:r>
        <w:rPr>
          <w:rFonts w:hint="eastAsia" w:ascii="宋体" w:hAnsi="宋体" w:cs="宋体"/>
          <w:szCs w:val="21"/>
          <w:lang w:eastAsia="zh-TW"/>
        </w:rPr>
        <w:t>文件的潜在</w:t>
      </w:r>
      <w:r>
        <w:rPr>
          <w:rFonts w:hint="eastAsia" w:ascii="宋体" w:hAnsi="宋体" w:cs="宋体"/>
          <w:szCs w:val="21"/>
        </w:rPr>
        <w:t>供应商。</w:t>
      </w:r>
    </w:p>
    <w:p w14:paraId="1A336F60">
      <w:pPr>
        <w:numPr>
          <w:ilvl w:val="255"/>
          <w:numId w:val="0"/>
        </w:numPr>
        <w:tabs>
          <w:tab w:val="left" w:pos="720"/>
        </w:tabs>
        <w:snapToGrid w:val="0"/>
        <w:spacing w:line="360" w:lineRule="auto"/>
        <w:ind w:left="180"/>
        <w:rPr>
          <w:rFonts w:hint="eastAsia" w:ascii="宋体" w:hAnsi="宋体" w:cs="宋体"/>
          <w:szCs w:val="21"/>
        </w:rPr>
      </w:pPr>
      <w:r>
        <w:rPr>
          <w:rFonts w:hint="eastAsia" w:ascii="宋体" w:hAnsi="宋体" w:cs="宋体"/>
          <w:szCs w:val="21"/>
        </w:rPr>
        <w:t>2.3采购人</w:t>
      </w:r>
      <w:r>
        <w:rPr>
          <w:rFonts w:hint="eastAsia" w:ascii="宋体" w:hAnsi="宋体" w:cs="宋体"/>
          <w:szCs w:val="21"/>
          <w:lang w:eastAsia="zh-TW"/>
        </w:rPr>
        <w:t>或者</w:t>
      </w:r>
      <w:r>
        <w:rPr>
          <w:rFonts w:hint="eastAsia" w:ascii="宋体" w:hAnsi="宋体" w:cs="宋体"/>
          <w:szCs w:val="21"/>
        </w:rPr>
        <w:t>采购代理机构将</w:t>
      </w:r>
      <w:r>
        <w:rPr>
          <w:rFonts w:hint="eastAsia" w:ascii="宋体" w:hAnsi="宋体" w:cs="宋体"/>
          <w:szCs w:val="21"/>
          <w:lang w:eastAsia="zh-TW"/>
        </w:rPr>
        <w:t>澄清</w:t>
      </w:r>
      <w:r>
        <w:rPr>
          <w:rFonts w:hint="eastAsia" w:ascii="宋体" w:hAnsi="宋体" w:cs="宋体"/>
          <w:szCs w:val="21"/>
        </w:rPr>
        <w:t>（更正/变更）</w:t>
      </w:r>
      <w:r>
        <w:rPr>
          <w:rFonts w:hint="eastAsia" w:ascii="宋体" w:hAnsi="宋体" w:cs="宋体"/>
          <w:szCs w:val="21"/>
          <w:lang w:eastAsia="zh-TW"/>
        </w:rPr>
        <w:t>公告</w:t>
      </w:r>
      <w:r>
        <w:rPr>
          <w:rFonts w:hint="eastAsia" w:ascii="宋体" w:hAnsi="宋体" w:cs="宋体"/>
          <w:szCs w:val="21"/>
        </w:rPr>
        <w:t>通知已成功获取竞价文件的供应商，其供应商在收到澄清或修改（更正/变更）通知后应按要求以书面形式（传真或电子邮件）予以确认。</w:t>
      </w:r>
      <w:r>
        <w:rPr>
          <w:rFonts w:hint="eastAsia" w:ascii="宋体" w:hAnsi="宋体" w:cs="宋体"/>
          <w:szCs w:val="21"/>
          <w:lang w:eastAsia="zh-TW"/>
        </w:rPr>
        <w:t>如在12小时之内无书面</w:t>
      </w:r>
      <w:r>
        <w:rPr>
          <w:rFonts w:hint="eastAsia" w:ascii="宋体" w:hAnsi="宋体" w:cs="宋体"/>
          <w:szCs w:val="21"/>
        </w:rPr>
        <w:t>确认</w:t>
      </w:r>
      <w:r>
        <w:rPr>
          <w:rFonts w:hint="eastAsia" w:ascii="宋体" w:hAnsi="宋体" w:cs="宋体"/>
          <w:szCs w:val="21"/>
          <w:lang w:eastAsia="zh-TW"/>
        </w:rPr>
        <w:t>则视为同意修改内容，并有责任履行相应的义务。</w:t>
      </w:r>
    </w:p>
    <w:p w14:paraId="4244842D">
      <w:pPr>
        <w:numPr>
          <w:ilvl w:val="255"/>
          <w:numId w:val="0"/>
        </w:numPr>
        <w:tabs>
          <w:tab w:val="left" w:pos="720"/>
        </w:tabs>
        <w:snapToGrid w:val="0"/>
        <w:spacing w:line="360" w:lineRule="auto"/>
        <w:ind w:left="180"/>
        <w:rPr>
          <w:rFonts w:hint="eastAsia" w:ascii="宋体" w:hAnsi="宋体" w:cs="宋体"/>
          <w:szCs w:val="21"/>
        </w:rPr>
      </w:pPr>
      <w:r>
        <w:rPr>
          <w:rFonts w:hint="eastAsia" w:ascii="宋体" w:hAnsi="宋体" w:cs="宋体"/>
          <w:szCs w:val="21"/>
        </w:rPr>
        <w:t>2.4采购人</w:t>
      </w:r>
      <w:r>
        <w:rPr>
          <w:rFonts w:hint="eastAsia" w:ascii="宋体" w:hAnsi="宋体" w:cs="宋体"/>
          <w:szCs w:val="21"/>
          <w:lang w:eastAsia="zh-TW"/>
        </w:rPr>
        <w:t>或者</w:t>
      </w:r>
      <w:r>
        <w:rPr>
          <w:rFonts w:hint="eastAsia" w:ascii="宋体" w:hAnsi="宋体" w:cs="宋体"/>
          <w:szCs w:val="21"/>
        </w:rPr>
        <w:t>采购代理机构发出的澄清或修改（更正/变更）的内容为竞价文件的组成部分。</w:t>
      </w:r>
    </w:p>
    <w:p w14:paraId="598F8511">
      <w:pPr>
        <w:numPr>
          <w:ilvl w:val="0"/>
          <w:numId w:val="12"/>
        </w:numPr>
        <w:spacing w:line="360" w:lineRule="auto"/>
        <w:jc w:val="left"/>
        <w:outlineLvl w:val="1"/>
        <w:rPr>
          <w:rFonts w:hint="eastAsia" w:ascii="宋体" w:hAnsi="宋体" w:cs="宋体"/>
          <w:b/>
          <w:szCs w:val="21"/>
        </w:rPr>
      </w:pPr>
      <w:bookmarkStart w:id="65" w:name="_Toc18429793"/>
      <w:bookmarkStart w:id="66" w:name="_Toc59193989"/>
      <w:bookmarkStart w:id="67" w:name="_Toc368513777"/>
      <w:bookmarkStart w:id="68" w:name="_Toc509332366"/>
      <w:bookmarkStart w:id="69" w:name="_Toc72163748"/>
      <w:bookmarkStart w:id="70" w:name="_Toc72935209"/>
      <w:r>
        <w:rPr>
          <w:rFonts w:hint="eastAsia" w:ascii="宋体" w:hAnsi="宋体" w:cs="宋体"/>
          <w:b/>
          <w:szCs w:val="21"/>
        </w:rPr>
        <w:t>关于供应商</w:t>
      </w:r>
      <w:bookmarkEnd w:id="65"/>
      <w:bookmarkEnd w:id="66"/>
      <w:bookmarkEnd w:id="67"/>
      <w:bookmarkEnd w:id="68"/>
      <w:bookmarkEnd w:id="69"/>
      <w:bookmarkEnd w:id="70"/>
    </w:p>
    <w:p w14:paraId="71F0CB64">
      <w:pPr>
        <w:numPr>
          <w:ilvl w:val="0"/>
          <w:numId w:val="18"/>
        </w:numPr>
        <w:snapToGrid w:val="0"/>
        <w:spacing w:line="360" w:lineRule="auto"/>
        <w:outlineLvl w:val="2"/>
        <w:rPr>
          <w:rFonts w:hint="eastAsia" w:ascii="宋体" w:hAnsi="宋体" w:cs="宋体"/>
          <w:b/>
          <w:szCs w:val="21"/>
        </w:rPr>
      </w:pPr>
      <w:bookmarkStart w:id="71" w:name="_Toc72163749"/>
      <w:bookmarkStart w:id="72" w:name="_Toc72935210"/>
      <w:bookmarkStart w:id="73" w:name="_Toc18429794"/>
      <w:bookmarkStart w:id="74" w:name="_Toc59193990"/>
      <w:bookmarkStart w:id="75" w:name="_Toc368513778"/>
      <w:r>
        <w:rPr>
          <w:rFonts w:hint="eastAsia" w:ascii="宋体" w:hAnsi="宋体" w:cs="宋体"/>
          <w:b/>
          <w:szCs w:val="21"/>
        </w:rPr>
        <w:t>对供应商的要求</w:t>
      </w:r>
      <w:bookmarkEnd w:id="71"/>
      <w:bookmarkEnd w:id="72"/>
      <w:bookmarkEnd w:id="73"/>
      <w:bookmarkEnd w:id="74"/>
      <w:bookmarkEnd w:id="75"/>
    </w:p>
    <w:p w14:paraId="3DB7C2F3">
      <w:pPr>
        <w:numPr>
          <w:ilvl w:val="1"/>
          <w:numId w:val="18"/>
        </w:numPr>
        <w:tabs>
          <w:tab w:val="left" w:pos="720"/>
        </w:tabs>
        <w:snapToGrid w:val="0"/>
        <w:spacing w:line="360" w:lineRule="auto"/>
        <w:ind w:hanging="812"/>
        <w:rPr>
          <w:rFonts w:hint="eastAsia" w:ascii="宋体" w:hAnsi="宋体" w:cs="宋体"/>
          <w:szCs w:val="21"/>
        </w:rPr>
      </w:pPr>
      <w:r>
        <w:rPr>
          <w:rFonts w:hint="eastAsia" w:ascii="宋体" w:hAnsi="宋体" w:cs="宋体"/>
          <w:szCs w:val="21"/>
        </w:rPr>
        <w:t>供应商的资格要求：详见竞价公告中的“供应商资格”部分。</w:t>
      </w:r>
    </w:p>
    <w:p w14:paraId="4DBEB56D">
      <w:pPr>
        <w:numPr>
          <w:ilvl w:val="0"/>
          <w:numId w:val="18"/>
        </w:numPr>
        <w:snapToGrid w:val="0"/>
        <w:spacing w:line="360" w:lineRule="auto"/>
        <w:outlineLvl w:val="2"/>
        <w:rPr>
          <w:rFonts w:hint="eastAsia" w:ascii="宋体" w:hAnsi="宋体" w:cs="宋体"/>
          <w:b/>
          <w:szCs w:val="21"/>
        </w:rPr>
      </w:pPr>
      <w:bookmarkStart w:id="76" w:name="_Toc18429795"/>
      <w:bookmarkStart w:id="77" w:name="_Toc72935211"/>
      <w:bookmarkStart w:id="78" w:name="_Toc59193991"/>
      <w:bookmarkStart w:id="79" w:name="_Toc72163750"/>
      <w:r>
        <w:rPr>
          <w:rFonts w:hint="eastAsia" w:ascii="宋体" w:hAnsi="宋体" w:cs="宋体"/>
          <w:b/>
          <w:szCs w:val="21"/>
        </w:rPr>
        <w:t>不得参与同一竞价项目竞争的供应商</w:t>
      </w:r>
      <w:bookmarkEnd w:id="76"/>
      <w:bookmarkEnd w:id="77"/>
      <w:bookmarkEnd w:id="78"/>
      <w:bookmarkEnd w:id="79"/>
    </w:p>
    <w:p w14:paraId="2842E593">
      <w:pPr>
        <w:numPr>
          <w:ilvl w:val="1"/>
          <w:numId w:val="18"/>
        </w:numPr>
        <w:tabs>
          <w:tab w:val="left" w:pos="709"/>
          <w:tab w:val="clear" w:pos="992"/>
        </w:tabs>
        <w:snapToGrid w:val="0"/>
        <w:spacing w:line="360" w:lineRule="auto"/>
        <w:ind w:left="709"/>
        <w:rPr>
          <w:rFonts w:hint="eastAsia" w:ascii="宋体" w:hAnsi="宋体" w:cs="宋体"/>
          <w:szCs w:val="21"/>
        </w:rPr>
      </w:pPr>
      <w:r>
        <w:rPr>
          <w:rFonts w:hint="eastAsia" w:ascii="宋体" w:hAnsi="宋体" w:cs="宋体"/>
          <w:szCs w:val="21"/>
        </w:rPr>
        <w:t>单位负责人为同一人或者存在直接控股、管理关系的不同报价，不得参加同一包组竞价或者未划分包组的同一竞价项目的活动。如同时参加，则均作无效报价处理。</w:t>
      </w:r>
    </w:p>
    <w:p w14:paraId="296DFD1D">
      <w:pPr>
        <w:numPr>
          <w:ilvl w:val="1"/>
          <w:numId w:val="18"/>
        </w:numPr>
        <w:tabs>
          <w:tab w:val="left" w:pos="709"/>
          <w:tab w:val="clear" w:pos="992"/>
        </w:tabs>
        <w:snapToGrid w:val="0"/>
        <w:spacing w:line="360" w:lineRule="auto"/>
        <w:ind w:left="709"/>
        <w:rPr>
          <w:rFonts w:hint="eastAsia" w:ascii="宋体" w:hAnsi="宋体" w:cs="宋体"/>
          <w:szCs w:val="21"/>
        </w:rPr>
      </w:pPr>
      <w:r>
        <w:rPr>
          <w:rFonts w:hint="eastAsia" w:ascii="宋体" w:hAnsi="宋体" w:cs="宋体"/>
          <w:szCs w:val="21"/>
        </w:rPr>
        <w:t>彼此存在投资与被投资关系的，不得参与同一竞价项目竞争。如同时参加，则均作无效报价处理。</w:t>
      </w:r>
    </w:p>
    <w:p w14:paraId="7B940AA9">
      <w:pPr>
        <w:numPr>
          <w:ilvl w:val="1"/>
          <w:numId w:val="18"/>
        </w:numPr>
        <w:tabs>
          <w:tab w:val="left" w:pos="709"/>
          <w:tab w:val="clear" w:pos="992"/>
        </w:tabs>
        <w:snapToGrid w:val="0"/>
        <w:spacing w:line="360" w:lineRule="auto"/>
        <w:ind w:left="709"/>
        <w:rPr>
          <w:rFonts w:hint="eastAsia" w:ascii="宋体" w:hAnsi="宋体" w:cs="宋体"/>
          <w:szCs w:val="21"/>
        </w:rPr>
      </w:pPr>
      <w:r>
        <w:rPr>
          <w:rFonts w:hint="eastAsia" w:ascii="宋体" w:hAnsi="宋体" w:cs="宋体"/>
          <w:szCs w:val="21"/>
        </w:rPr>
        <w:t>彼此的经营者、董事会（或同类管理机构）成员属于直系亲属或配偶关系的，不得参与同一竞价项目竞争。如同时参加，则均作无效竞价处理。</w:t>
      </w:r>
    </w:p>
    <w:p w14:paraId="796A0062">
      <w:pPr>
        <w:numPr>
          <w:ilvl w:val="0"/>
          <w:numId w:val="12"/>
        </w:numPr>
        <w:spacing w:line="360" w:lineRule="auto"/>
        <w:jc w:val="left"/>
        <w:outlineLvl w:val="1"/>
        <w:rPr>
          <w:rFonts w:hint="eastAsia" w:ascii="宋体" w:hAnsi="宋体" w:cs="宋体"/>
          <w:b/>
          <w:szCs w:val="21"/>
        </w:rPr>
      </w:pPr>
      <w:bookmarkStart w:id="80" w:name="_Toc18429796"/>
      <w:bookmarkStart w:id="81" w:name="_Toc72163751"/>
      <w:bookmarkStart w:id="82" w:name="_Toc72935212"/>
      <w:bookmarkStart w:id="83" w:name="_Toc59193992"/>
      <w:r>
        <w:rPr>
          <w:rFonts w:hint="eastAsia" w:ascii="宋体" w:hAnsi="宋体" w:cs="宋体"/>
          <w:b/>
          <w:szCs w:val="21"/>
        </w:rPr>
        <w:t>报价要求</w:t>
      </w:r>
      <w:bookmarkEnd w:id="80"/>
      <w:bookmarkEnd w:id="81"/>
      <w:bookmarkEnd w:id="82"/>
      <w:bookmarkEnd w:id="83"/>
    </w:p>
    <w:p w14:paraId="729DADB4">
      <w:pPr>
        <w:numPr>
          <w:ilvl w:val="255"/>
          <w:numId w:val="0"/>
        </w:numPr>
        <w:snapToGrid w:val="0"/>
        <w:spacing w:line="360" w:lineRule="auto"/>
        <w:outlineLvl w:val="2"/>
        <w:rPr>
          <w:rFonts w:hint="eastAsia" w:ascii="宋体" w:hAnsi="宋体" w:cs="宋体"/>
          <w:b/>
          <w:szCs w:val="21"/>
        </w:rPr>
      </w:pPr>
      <w:bookmarkStart w:id="84" w:name="_Toc368513784"/>
      <w:bookmarkStart w:id="85" w:name="_Toc72935213"/>
      <w:bookmarkStart w:id="86" w:name="_Toc72163752"/>
      <w:bookmarkStart w:id="87" w:name="_Toc18429797"/>
      <w:bookmarkStart w:id="88" w:name="_Toc59193993"/>
      <w:r>
        <w:rPr>
          <w:rFonts w:hint="eastAsia" w:ascii="宋体" w:hAnsi="宋体" w:cs="宋体"/>
          <w:b/>
          <w:szCs w:val="21"/>
        </w:rPr>
        <w:t>1、报价说明</w:t>
      </w:r>
      <w:bookmarkEnd w:id="84"/>
      <w:bookmarkEnd w:id="85"/>
      <w:bookmarkEnd w:id="86"/>
      <w:bookmarkEnd w:id="87"/>
      <w:bookmarkEnd w:id="88"/>
    </w:p>
    <w:p w14:paraId="261DC735">
      <w:pPr>
        <w:numPr>
          <w:ilvl w:val="1"/>
          <w:numId w:val="19"/>
        </w:numPr>
        <w:tabs>
          <w:tab w:val="left" w:pos="720"/>
        </w:tabs>
        <w:snapToGrid w:val="0"/>
        <w:spacing w:line="360" w:lineRule="auto"/>
        <w:ind w:left="720" w:hanging="540"/>
        <w:rPr>
          <w:rFonts w:hint="eastAsia" w:ascii="宋体" w:hAnsi="宋体" w:cs="宋体"/>
          <w:szCs w:val="21"/>
        </w:rPr>
      </w:pPr>
      <w:r>
        <w:rPr>
          <w:rFonts w:hint="eastAsia" w:ascii="宋体" w:hAnsi="宋体" w:cs="宋体"/>
          <w:szCs w:val="21"/>
        </w:rPr>
        <w:t>供应商应以人民币报价。</w:t>
      </w:r>
    </w:p>
    <w:p w14:paraId="5F6FF69F">
      <w:pPr>
        <w:numPr>
          <w:ilvl w:val="1"/>
          <w:numId w:val="19"/>
        </w:numPr>
        <w:tabs>
          <w:tab w:val="left" w:pos="720"/>
        </w:tabs>
        <w:snapToGrid w:val="0"/>
        <w:spacing w:line="360" w:lineRule="auto"/>
        <w:ind w:left="720" w:hanging="540"/>
        <w:rPr>
          <w:rFonts w:hint="eastAsia" w:ascii="宋体" w:hAnsi="宋体" w:cs="宋体"/>
          <w:szCs w:val="21"/>
        </w:rPr>
      </w:pPr>
      <w:r>
        <w:rPr>
          <w:rFonts w:hint="eastAsia" w:ascii="宋体" w:hAnsi="宋体" w:cs="宋体"/>
          <w:szCs w:val="21"/>
        </w:rPr>
        <w:t>供应商</w:t>
      </w:r>
      <w:r>
        <w:rPr>
          <w:rFonts w:hint="eastAsia" w:ascii="宋体" w:hAnsi="宋体" w:cs="宋体"/>
          <w:szCs w:val="21"/>
          <w:shd w:val="clear" w:color="auto" w:fill="FFFFFF"/>
        </w:rPr>
        <w:t>最大报价次数</w:t>
      </w:r>
      <w:r>
        <w:rPr>
          <w:rFonts w:hint="eastAsia" w:ascii="宋体" w:hAnsi="宋体" w:cs="宋体"/>
          <w:szCs w:val="21"/>
        </w:rPr>
        <w:t>“详见竞价须知前附表”。</w:t>
      </w:r>
    </w:p>
    <w:p w14:paraId="65551EB5">
      <w:pPr>
        <w:numPr>
          <w:ilvl w:val="1"/>
          <w:numId w:val="19"/>
        </w:numPr>
        <w:tabs>
          <w:tab w:val="left" w:pos="720"/>
        </w:tabs>
        <w:snapToGrid w:val="0"/>
        <w:spacing w:line="360" w:lineRule="auto"/>
        <w:ind w:left="720" w:hanging="540"/>
        <w:rPr>
          <w:rFonts w:hint="eastAsia" w:ascii="宋体" w:hAnsi="宋体" w:cs="宋体"/>
          <w:szCs w:val="21"/>
        </w:rPr>
      </w:pPr>
      <w:r>
        <w:rPr>
          <w:rFonts w:hint="eastAsia" w:ascii="宋体" w:hAnsi="宋体" w:cs="宋体"/>
          <w:szCs w:val="21"/>
        </w:rPr>
        <w:t>竞价类型：“详见竞价须知前附表”。</w:t>
      </w:r>
    </w:p>
    <w:p w14:paraId="0D87E3A4">
      <w:pPr>
        <w:numPr>
          <w:ilvl w:val="1"/>
          <w:numId w:val="19"/>
        </w:numPr>
        <w:tabs>
          <w:tab w:val="left" w:pos="720"/>
        </w:tabs>
        <w:snapToGrid w:val="0"/>
        <w:spacing w:line="360" w:lineRule="auto"/>
        <w:ind w:left="720" w:hanging="540"/>
        <w:rPr>
          <w:rFonts w:hint="eastAsia" w:ascii="宋体" w:hAnsi="宋体" w:cs="宋体"/>
          <w:szCs w:val="21"/>
        </w:rPr>
      </w:pPr>
      <w:r>
        <w:rPr>
          <w:rFonts w:hint="eastAsia" w:ascii="宋体" w:hAnsi="宋体" w:cs="宋体"/>
          <w:szCs w:val="21"/>
        </w:rPr>
        <w:t>竞价方式：“详见竞价须知前附表”。</w:t>
      </w:r>
    </w:p>
    <w:p w14:paraId="3134D4E9">
      <w:pPr>
        <w:numPr>
          <w:ilvl w:val="1"/>
          <w:numId w:val="19"/>
        </w:numPr>
        <w:tabs>
          <w:tab w:val="left" w:pos="720"/>
        </w:tabs>
        <w:snapToGrid w:val="0"/>
        <w:spacing w:line="360" w:lineRule="auto"/>
        <w:ind w:left="720" w:hanging="540"/>
        <w:rPr>
          <w:rFonts w:hint="eastAsia" w:ascii="宋体" w:hAnsi="宋体" w:cs="宋体"/>
          <w:szCs w:val="21"/>
        </w:rPr>
      </w:pPr>
      <w:r>
        <w:rPr>
          <w:rFonts w:hint="eastAsia" w:ascii="宋体" w:hAnsi="宋体" w:cs="宋体"/>
          <w:szCs w:val="21"/>
        </w:rPr>
        <w:t>价格梯度：“详见竞价须知前附表”。</w:t>
      </w:r>
    </w:p>
    <w:p w14:paraId="52D8A950">
      <w:pPr>
        <w:numPr>
          <w:ilvl w:val="255"/>
          <w:numId w:val="0"/>
        </w:numPr>
        <w:snapToGrid w:val="0"/>
        <w:spacing w:line="360" w:lineRule="auto"/>
        <w:outlineLvl w:val="2"/>
        <w:rPr>
          <w:rFonts w:hint="eastAsia" w:ascii="宋体" w:hAnsi="宋体" w:cs="宋体"/>
          <w:b/>
          <w:szCs w:val="21"/>
        </w:rPr>
      </w:pPr>
      <w:bookmarkStart w:id="89" w:name="_Toc368513789"/>
      <w:bookmarkStart w:id="90" w:name="_Toc18429798"/>
      <w:bookmarkStart w:id="91" w:name="_Toc72935214"/>
      <w:bookmarkStart w:id="92" w:name="_Toc72163753"/>
      <w:bookmarkStart w:id="93" w:name="_Toc59193994"/>
      <w:r>
        <w:rPr>
          <w:rFonts w:hint="eastAsia" w:ascii="宋体" w:hAnsi="宋体" w:cs="宋体"/>
          <w:b/>
          <w:szCs w:val="21"/>
        </w:rPr>
        <w:t>2、报价的修改和撤回</w:t>
      </w:r>
      <w:bookmarkEnd w:id="89"/>
      <w:bookmarkEnd w:id="90"/>
      <w:bookmarkEnd w:id="91"/>
      <w:bookmarkEnd w:id="92"/>
      <w:bookmarkEnd w:id="93"/>
    </w:p>
    <w:p w14:paraId="5CE44484">
      <w:pPr>
        <w:numPr>
          <w:ilvl w:val="255"/>
          <w:numId w:val="0"/>
        </w:numPr>
        <w:tabs>
          <w:tab w:val="left" w:pos="720"/>
        </w:tabs>
        <w:snapToGrid w:val="0"/>
        <w:spacing w:line="360" w:lineRule="auto"/>
        <w:ind w:firstLine="630" w:firstLineChars="300"/>
        <w:rPr>
          <w:rFonts w:hint="eastAsia" w:ascii="宋体" w:hAnsi="宋体" w:cs="宋体"/>
          <w:szCs w:val="21"/>
        </w:rPr>
      </w:pPr>
      <w:r>
        <w:rPr>
          <w:rFonts w:hint="eastAsia" w:ascii="宋体" w:hAnsi="宋体" w:cs="宋体"/>
          <w:szCs w:val="21"/>
        </w:rPr>
        <w:t>供应商在竞价过程中做出报价是不可修改及撤回的。</w:t>
      </w:r>
    </w:p>
    <w:p w14:paraId="3C256FB8">
      <w:pPr>
        <w:numPr>
          <w:ilvl w:val="255"/>
          <w:numId w:val="0"/>
        </w:numPr>
        <w:snapToGrid w:val="0"/>
        <w:spacing w:line="360" w:lineRule="auto"/>
        <w:outlineLvl w:val="2"/>
        <w:rPr>
          <w:rFonts w:hint="eastAsia" w:ascii="宋体" w:hAnsi="宋体" w:cs="宋体"/>
          <w:b/>
          <w:szCs w:val="21"/>
        </w:rPr>
      </w:pPr>
      <w:bookmarkStart w:id="94" w:name="_Toc72935215"/>
      <w:bookmarkStart w:id="95" w:name="_Toc368513791"/>
      <w:bookmarkStart w:id="96" w:name="_Toc72163754"/>
      <w:bookmarkStart w:id="97" w:name="_Toc59193995"/>
      <w:bookmarkStart w:id="98" w:name="_Toc18429799"/>
      <w:r>
        <w:rPr>
          <w:rFonts w:hint="eastAsia" w:ascii="宋体" w:hAnsi="宋体" w:cs="宋体"/>
          <w:b/>
          <w:szCs w:val="21"/>
        </w:rPr>
        <w:t>3、竞价保证金</w:t>
      </w:r>
      <w:bookmarkEnd w:id="94"/>
      <w:bookmarkEnd w:id="95"/>
      <w:bookmarkEnd w:id="96"/>
      <w:bookmarkEnd w:id="97"/>
      <w:bookmarkEnd w:id="98"/>
    </w:p>
    <w:p w14:paraId="033BB1AD">
      <w:pPr>
        <w:numPr>
          <w:ilvl w:val="255"/>
          <w:numId w:val="0"/>
        </w:numPr>
        <w:tabs>
          <w:tab w:val="left" w:pos="709"/>
        </w:tabs>
        <w:snapToGrid w:val="0"/>
        <w:spacing w:line="360" w:lineRule="auto"/>
        <w:ind w:left="142"/>
        <w:rPr>
          <w:rFonts w:hint="eastAsia" w:ascii="宋体" w:hAnsi="宋体" w:cs="宋体"/>
          <w:szCs w:val="21"/>
        </w:rPr>
      </w:pPr>
      <w:r>
        <w:rPr>
          <w:rFonts w:hint="eastAsia" w:ascii="宋体" w:hAnsi="宋体" w:cs="宋体"/>
          <w:szCs w:val="21"/>
        </w:rPr>
        <w:t>3.1供应商应按竞价文件规定的金额和期限缴纳保证金。</w:t>
      </w:r>
    </w:p>
    <w:p w14:paraId="241BE66F">
      <w:pPr>
        <w:numPr>
          <w:ilvl w:val="255"/>
          <w:numId w:val="0"/>
        </w:numPr>
        <w:tabs>
          <w:tab w:val="left" w:pos="709"/>
        </w:tabs>
        <w:snapToGrid w:val="0"/>
        <w:spacing w:line="360" w:lineRule="auto"/>
        <w:ind w:left="142"/>
        <w:rPr>
          <w:rFonts w:hint="eastAsia" w:ascii="宋体" w:hAnsi="宋体" w:cs="宋体"/>
          <w:szCs w:val="21"/>
        </w:rPr>
      </w:pPr>
      <w:r>
        <w:rPr>
          <w:rFonts w:hint="eastAsia" w:ascii="宋体" w:hAnsi="宋体" w:cs="宋体"/>
          <w:szCs w:val="21"/>
        </w:rPr>
        <w:t>3.2保证金交纳形式: 竞价保证金如采用银行转账或电汇形式提交的,应在竞价截止时间前到达代理机构保证金账户。且必须符合下列规定：（详见竞价须知前附表）</w:t>
      </w:r>
    </w:p>
    <w:p w14:paraId="5D63E6B9">
      <w:pPr>
        <w:numPr>
          <w:ilvl w:val="255"/>
          <w:numId w:val="0"/>
        </w:numPr>
        <w:tabs>
          <w:tab w:val="left" w:pos="709"/>
        </w:tabs>
        <w:snapToGrid w:val="0"/>
        <w:spacing w:line="360" w:lineRule="auto"/>
        <w:ind w:left="142"/>
        <w:rPr>
          <w:rFonts w:hint="eastAsia" w:ascii="宋体" w:hAnsi="宋体" w:cs="宋体"/>
          <w:szCs w:val="21"/>
        </w:rPr>
      </w:pPr>
      <w:r>
        <w:rPr>
          <w:rFonts w:hint="eastAsia" w:ascii="宋体" w:hAnsi="宋体" w:cs="宋体"/>
          <w:szCs w:val="21"/>
        </w:rPr>
        <w:t>3.3凡未按规定缴纳保证金的，其竞价为无效报价。</w:t>
      </w:r>
    </w:p>
    <w:p w14:paraId="5C97331A">
      <w:pPr>
        <w:numPr>
          <w:ilvl w:val="255"/>
          <w:numId w:val="0"/>
        </w:numPr>
        <w:tabs>
          <w:tab w:val="left" w:pos="709"/>
        </w:tabs>
        <w:snapToGrid w:val="0"/>
        <w:spacing w:line="360" w:lineRule="auto"/>
        <w:ind w:left="142"/>
        <w:rPr>
          <w:rFonts w:hint="eastAsia" w:ascii="宋体" w:hAnsi="宋体" w:cs="宋体"/>
          <w:szCs w:val="21"/>
        </w:rPr>
      </w:pPr>
      <w:r>
        <w:rPr>
          <w:rFonts w:hint="eastAsia" w:ascii="宋体" w:hAnsi="宋体" w:cs="宋体"/>
          <w:szCs w:val="21"/>
        </w:rPr>
        <w:t>3.4未被确定为成交供应商的保证金，在成交通知书发出后原额退还。</w:t>
      </w:r>
    </w:p>
    <w:p w14:paraId="2F905BDD">
      <w:pPr>
        <w:numPr>
          <w:ilvl w:val="255"/>
          <w:numId w:val="0"/>
        </w:numPr>
        <w:tabs>
          <w:tab w:val="left" w:pos="709"/>
        </w:tabs>
        <w:snapToGrid w:val="0"/>
        <w:spacing w:line="360" w:lineRule="auto"/>
        <w:ind w:left="142"/>
        <w:rPr>
          <w:rFonts w:hint="eastAsia" w:ascii="宋体" w:hAnsi="宋体" w:cs="宋体"/>
          <w:szCs w:val="21"/>
          <w:u w:val="single"/>
        </w:rPr>
      </w:pPr>
      <w:r>
        <w:rPr>
          <w:rFonts w:hint="eastAsia" w:ascii="宋体" w:hAnsi="宋体" w:cs="宋体"/>
          <w:szCs w:val="21"/>
          <w:u w:val="single"/>
        </w:rPr>
        <w:t>3.5成交人的保证金,在成交人与采购人签订合同后退还给成交人。</w:t>
      </w:r>
    </w:p>
    <w:p w14:paraId="50210AF2">
      <w:pPr>
        <w:numPr>
          <w:ilvl w:val="255"/>
          <w:numId w:val="0"/>
        </w:numPr>
        <w:tabs>
          <w:tab w:val="left" w:pos="709"/>
        </w:tabs>
        <w:snapToGrid w:val="0"/>
        <w:spacing w:line="360" w:lineRule="auto"/>
        <w:ind w:left="142"/>
        <w:rPr>
          <w:rFonts w:hint="eastAsia" w:ascii="宋体" w:hAnsi="宋体" w:cs="宋体"/>
          <w:szCs w:val="21"/>
        </w:rPr>
      </w:pPr>
      <w:r>
        <w:rPr>
          <w:rFonts w:hint="eastAsia" w:ascii="宋体" w:hAnsi="宋体" w:cs="宋体"/>
          <w:szCs w:val="21"/>
        </w:rPr>
        <w:t>3.6在下列情况下保证金将不予退还：</w:t>
      </w:r>
    </w:p>
    <w:p w14:paraId="1EADC1B4">
      <w:pPr>
        <w:tabs>
          <w:tab w:val="left" w:pos="709"/>
        </w:tabs>
        <w:snapToGrid w:val="0"/>
        <w:spacing w:line="360" w:lineRule="auto"/>
        <w:ind w:left="709"/>
        <w:rPr>
          <w:rFonts w:hint="eastAsia" w:ascii="宋体" w:hAnsi="宋体" w:cs="宋体"/>
          <w:szCs w:val="21"/>
        </w:rPr>
      </w:pPr>
      <w:r>
        <w:rPr>
          <w:rFonts w:hint="eastAsia" w:ascii="宋体" w:hAnsi="宋体" w:cs="宋体"/>
          <w:szCs w:val="21"/>
        </w:rPr>
        <w:t>1） 成交后无正当理由不与采购人签订合同的；</w:t>
      </w:r>
    </w:p>
    <w:p w14:paraId="0AECDD6D">
      <w:pPr>
        <w:tabs>
          <w:tab w:val="left" w:pos="709"/>
        </w:tabs>
        <w:snapToGrid w:val="0"/>
        <w:spacing w:line="360" w:lineRule="auto"/>
        <w:ind w:left="709"/>
        <w:rPr>
          <w:rFonts w:hint="eastAsia" w:ascii="宋体" w:hAnsi="宋体" w:cs="宋体"/>
          <w:szCs w:val="21"/>
        </w:rPr>
      </w:pPr>
      <w:r>
        <w:rPr>
          <w:rFonts w:hint="eastAsia" w:ascii="宋体" w:hAnsi="宋体" w:cs="宋体"/>
          <w:szCs w:val="21"/>
        </w:rPr>
        <w:t>2） 将成交项目转让给他人，或者在竞价文件中未说明，且未经采购人同意，违反竞价文件规定，将成交项目分包给他人的。</w:t>
      </w:r>
    </w:p>
    <w:p w14:paraId="3BF75991">
      <w:pPr>
        <w:tabs>
          <w:tab w:val="left" w:pos="709"/>
        </w:tabs>
        <w:snapToGrid w:val="0"/>
        <w:spacing w:line="360" w:lineRule="auto"/>
        <w:ind w:left="709"/>
        <w:rPr>
          <w:rFonts w:hint="eastAsia" w:ascii="宋体" w:hAnsi="宋体" w:cs="宋体"/>
          <w:szCs w:val="21"/>
        </w:rPr>
      </w:pPr>
      <w:r>
        <w:rPr>
          <w:rFonts w:hint="eastAsia" w:ascii="宋体" w:hAnsi="宋体" w:cs="宋体"/>
          <w:szCs w:val="21"/>
        </w:rPr>
        <w:t>3）在竞价期间使用不正当手段影响竞价结果，违反有关法律法规的。</w:t>
      </w:r>
    </w:p>
    <w:p w14:paraId="1B33E7A5">
      <w:pPr>
        <w:tabs>
          <w:tab w:val="left" w:pos="709"/>
        </w:tabs>
        <w:snapToGrid w:val="0"/>
        <w:spacing w:line="360" w:lineRule="auto"/>
        <w:ind w:left="709"/>
        <w:rPr>
          <w:rFonts w:hint="eastAsia" w:ascii="宋体" w:hAnsi="宋体" w:cs="宋体"/>
          <w:szCs w:val="21"/>
        </w:rPr>
      </w:pPr>
      <w:r>
        <w:rPr>
          <w:rFonts w:hint="eastAsia" w:ascii="宋体" w:hAnsi="宋体" w:cs="宋体"/>
          <w:szCs w:val="21"/>
        </w:rPr>
        <w:t>4）成交人不按竞价文件规定交纳成交代理服务费。</w:t>
      </w:r>
    </w:p>
    <w:p w14:paraId="314A61DC">
      <w:pPr>
        <w:numPr>
          <w:ilvl w:val="0"/>
          <w:numId w:val="12"/>
        </w:numPr>
        <w:spacing w:line="360" w:lineRule="auto"/>
        <w:jc w:val="left"/>
        <w:outlineLvl w:val="1"/>
        <w:rPr>
          <w:rFonts w:hint="eastAsia" w:ascii="宋体" w:hAnsi="宋体" w:cs="宋体"/>
          <w:b/>
          <w:szCs w:val="21"/>
        </w:rPr>
      </w:pPr>
      <w:bookmarkStart w:id="99" w:name="_Toc509332368"/>
      <w:bookmarkStart w:id="100" w:name="_Toc368513792"/>
      <w:bookmarkStart w:id="101" w:name="_Toc18429800"/>
      <w:bookmarkStart w:id="102" w:name="_Toc72935216"/>
      <w:bookmarkStart w:id="103" w:name="_Toc59193996"/>
      <w:bookmarkStart w:id="104" w:name="_Toc72163755"/>
      <w:r>
        <w:rPr>
          <w:rFonts w:hint="eastAsia" w:ascii="宋体" w:hAnsi="宋体" w:cs="宋体"/>
          <w:b/>
          <w:szCs w:val="21"/>
        </w:rPr>
        <w:t>关于</w:t>
      </w:r>
      <w:bookmarkEnd w:id="99"/>
      <w:bookmarkEnd w:id="100"/>
      <w:r>
        <w:rPr>
          <w:rFonts w:hint="eastAsia" w:ascii="宋体" w:hAnsi="宋体" w:cs="宋体"/>
          <w:b/>
          <w:szCs w:val="21"/>
        </w:rPr>
        <w:t>竞价</w:t>
      </w:r>
      <w:bookmarkEnd w:id="101"/>
      <w:bookmarkEnd w:id="102"/>
      <w:bookmarkEnd w:id="103"/>
      <w:bookmarkEnd w:id="104"/>
      <w:bookmarkStart w:id="105" w:name="_Toc368513793"/>
    </w:p>
    <w:p w14:paraId="0D990240">
      <w:pPr>
        <w:numPr>
          <w:ilvl w:val="0"/>
          <w:numId w:val="20"/>
        </w:numPr>
        <w:snapToGrid w:val="0"/>
        <w:spacing w:line="360" w:lineRule="auto"/>
        <w:outlineLvl w:val="2"/>
        <w:rPr>
          <w:rFonts w:hint="eastAsia" w:ascii="宋体" w:hAnsi="宋体" w:cs="宋体"/>
          <w:b/>
          <w:szCs w:val="21"/>
        </w:rPr>
      </w:pPr>
      <w:bookmarkStart w:id="106" w:name="_Toc18429801"/>
      <w:bookmarkStart w:id="107" w:name="_Toc72935217"/>
      <w:bookmarkStart w:id="108" w:name="_Toc72163756"/>
      <w:bookmarkStart w:id="109" w:name="_Toc59193997"/>
      <w:bookmarkStart w:id="110" w:name="_Toc368513796"/>
      <w:r>
        <w:rPr>
          <w:rFonts w:hint="eastAsia" w:ascii="宋体" w:hAnsi="宋体" w:cs="宋体"/>
          <w:b/>
          <w:szCs w:val="21"/>
        </w:rPr>
        <w:t>竞价原则</w:t>
      </w:r>
      <w:bookmarkEnd w:id="106"/>
      <w:bookmarkEnd w:id="107"/>
      <w:bookmarkEnd w:id="108"/>
      <w:bookmarkEnd w:id="109"/>
      <w:bookmarkEnd w:id="110"/>
    </w:p>
    <w:p w14:paraId="41F8161C">
      <w:pPr>
        <w:numPr>
          <w:ilvl w:val="1"/>
          <w:numId w:val="20"/>
        </w:numPr>
        <w:tabs>
          <w:tab w:val="left" w:pos="720"/>
        </w:tabs>
        <w:snapToGrid w:val="0"/>
        <w:spacing w:line="360" w:lineRule="auto"/>
        <w:ind w:hanging="850"/>
        <w:rPr>
          <w:rFonts w:hint="eastAsia" w:ascii="宋体" w:hAnsi="宋体" w:cs="宋体"/>
          <w:szCs w:val="21"/>
        </w:rPr>
      </w:pPr>
      <w:r>
        <w:rPr>
          <w:rFonts w:hint="eastAsia" w:ascii="宋体" w:hAnsi="宋体" w:cs="宋体"/>
          <w:szCs w:val="21"/>
        </w:rPr>
        <w:t>竞价遵循公平、公正、科学、择优的原则。</w:t>
      </w:r>
    </w:p>
    <w:bookmarkEnd w:id="105"/>
    <w:p w14:paraId="6575073D">
      <w:pPr>
        <w:numPr>
          <w:ilvl w:val="0"/>
          <w:numId w:val="20"/>
        </w:numPr>
        <w:snapToGrid w:val="0"/>
        <w:spacing w:line="360" w:lineRule="auto"/>
        <w:outlineLvl w:val="2"/>
        <w:rPr>
          <w:rFonts w:hint="eastAsia" w:ascii="宋体" w:hAnsi="宋体" w:cs="宋体"/>
          <w:b/>
          <w:szCs w:val="21"/>
        </w:rPr>
      </w:pPr>
      <w:bookmarkStart w:id="111" w:name="_Toc72163757"/>
      <w:bookmarkStart w:id="112" w:name="_Toc72935218"/>
      <w:bookmarkStart w:id="113" w:name="_Toc59193998"/>
      <w:r>
        <w:rPr>
          <w:rFonts w:hint="eastAsia" w:ascii="宋体" w:hAnsi="宋体" w:cs="宋体"/>
          <w:b/>
          <w:szCs w:val="21"/>
        </w:rPr>
        <w:t>竞价规程</w:t>
      </w:r>
      <w:bookmarkEnd w:id="111"/>
      <w:bookmarkEnd w:id="112"/>
      <w:bookmarkEnd w:id="113"/>
    </w:p>
    <w:p w14:paraId="55A38B8C">
      <w:pPr>
        <w:numPr>
          <w:ilvl w:val="1"/>
          <w:numId w:val="20"/>
        </w:numPr>
        <w:tabs>
          <w:tab w:val="left" w:pos="720"/>
        </w:tabs>
        <w:snapToGrid w:val="0"/>
        <w:spacing w:line="360" w:lineRule="auto"/>
        <w:ind w:hanging="850"/>
        <w:rPr>
          <w:rFonts w:hint="eastAsia" w:ascii="宋体" w:hAnsi="宋体" w:cs="宋体"/>
          <w:szCs w:val="21"/>
        </w:rPr>
      </w:pPr>
      <w:bookmarkStart w:id="114" w:name="_Toc18429803"/>
      <w:bookmarkStart w:id="115" w:name="_Toc368513794"/>
      <w:bookmarkStart w:id="116" w:name="_Toc59193999"/>
      <w:bookmarkStart w:id="117" w:name="_Toc72163758"/>
      <w:bookmarkStart w:id="118" w:name="_Toc72935219"/>
      <w:r>
        <w:rPr>
          <w:rFonts w:hint="eastAsia" w:ascii="宋体" w:hAnsi="宋体" w:cs="宋体"/>
          <w:szCs w:val="21"/>
        </w:rPr>
        <w:t>如果报价金额相等，则以提交报价时间最先者优先排名。</w:t>
      </w:r>
    </w:p>
    <w:p w14:paraId="7E2D5245">
      <w:pPr>
        <w:numPr>
          <w:ilvl w:val="1"/>
          <w:numId w:val="20"/>
        </w:numPr>
        <w:tabs>
          <w:tab w:val="left" w:pos="720"/>
        </w:tabs>
        <w:snapToGrid w:val="0"/>
        <w:spacing w:line="360" w:lineRule="auto"/>
        <w:ind w:hanging="850"/>
        <w:rPr>
          <w:rFonts w:hint="eastAsia" w:ascii="宋体" w:hAnsi="宋体" w:cs="宋体"/>
          <w:szCs w:val="21"/>
        </w:rPr>
      </w:pPr>
      <w:r>
        <w:rPr>
          <w:rFonts w:hint="eastAsia" w:ascii="宋体" w:hAnsi="宋体" w:cs="宋体"/>
          <w:szCs w:val="21"/>
        </w:rPr>
        <w:t>竞价过程中公布供应商参与竞价总数量。</w:t>
      </w:r>
    </w:p>
    <w:p w14:paraId="2BBA2E28">
      <w:pPr>
        <w:numPr>
          <w:ilvl w:val="1"/>
          <w:numId w:val="20"/>
        </w:numPr>
        <w:tabs>
          <w:tab w:val="left" w:pos="720"/>
        </w:tabs>
        <w:snapToGrid w:val="0"/>
        <w:spacing w:line="360" w:lineRule="auto"/>
        <w:ind w:hanging="850"/>
        <w:rPr>
          <w:rFonts w:hint="eastAsia" w:ascii="宋体" w:hAnsi="宋体" w:cs="宋体"/>
          <w:szCs w:val="21"/>
        </w:rPr>
      </w:pPr>
      <w:r>
        <w:rPr>
          <w:rFonts w:hint="eastAsia" w:ascii="宋体" w:hAnsi="宋体" w:cs="宋体"/>
          <w:szCs w:val="21"/>
        </w:rPr>
        <w:t>本次竞价，允许未报价的供应商在竞价延时阶段参与竞价。</w:t>
      </w:r>
    </w:p>
    <w:p w14:paraId="20898F92">
      <w:pPr>
        <w:numPr>
          <w:ilvl w:val="1"/>
          <w:numId w:val="20"/>
        </w:numPr>
        <w:tabs>
          <w:tab w:val="left" w:pos="720"/>
        </w:tabs>
        <w:snapToGrid w:val="0"/>
        <w:spacing w:line="360" w:lineRule="auto"/>
        <w:ind w:hanging="850"/>
        <w:rPr>
          <w:rFonts w:hint="eastAsia" w:ascii="宋体" w:hAnsi="宋体" w:cs="宋体"/>
          <w:szCs w:val="21"/>
        </w:rPr>
      </w:pPr>
      <w:r>
        <w:rPr>
          <w:rFonts w:hint="eastAsia" w:ascii="宋体" w:hAnsi="宋体" w:cs="宋体"/>
          <w:szCs w:val="21"/>
        </w:rPr>
        <w:t>竞价过程中可以查看自身报价排名。</w:t>
      </w:r>
    </w:p>
    <w:p w14:paraId="5855A21D">
      <w:pPr>
        <w:numPr>
          <w:ilvl w:val="1"/>
          <w:numId w:val="20"/>
        </w:numPr>
        <w:tabs>
          <w:tab w:val="left" w:pos="720"/>
        </w:tabs>
        <w:snapToGrid w:val="0"/>
        <w:spacing w:line="360" w:lineRule="auto"/>
        <w:ind w:hanging="850"/>
        <w:rPr>
          <w:rFonts w:hint="eastAsia" w:ascii="宋体" w:hAnsi="宋体" w:cs="宋体"/>
          <w:szCs w:val="21"/>
        </w:rPr>
      </w:pPr>
      <w:r>
        <w:rPr>
          <w:rFonts w:hint="eastAsia" w:ascii="宋体" w:hAnsi="宋体" w:cs="宋体"/>
          <w:szCs w:val="21"/>
        </w:rPr>
        <w:t>竞价过程不可以查看项目竞价中的报价。</w:t>
      </w:r>
    </w:p>
    <w:p w14:paraId="683916B6">
      <w:pPr>
        <w:numPr>
          <w:ilvl w:val="1"/>
          <w:numId w:val="20"/>
        </w:numPr>
        <w:tabs>
          <w:tab w:val="left" w:pos="720"/>
        </w:tabs>
        <w:snapToGrid w:val="0"/>
        <w:spacing w:line="360" w:lineRule="auto"/>
        <w:ind w:hanging="850"/>
        <w:rPr>
          <w:rFonts w:hint="eastAsia" w:ascii="宋体" w:hAnsi="宋体" w:cs="宋体"/>
          <w:szCs w:val="21"/>
        </w:rPr>
      </w:pPr>
      <w:r>
        <w:rPr>
          <w:rFonts w:hint="eastAsia" w:ascii="宋体" w:hAnsi="宋体" w:cs="宋体"/>
          <w:szCs w:val="21"/>
        </w:rPr>
        <w:t>竞价时间截止之后,请成交人在主控台操作补填明细。</w:t>
      </w:r>
    </w:p>
    <w:p w14:paraId="71293EB2">
      <w:pPr>
        <w:numPr>
          <w:ilvl w:val="1"/>
          <w:numId w:val="20"/>
        </w:numPr>
        <w:tabs>
          <w:tab w:val="left" w:pos="720"/>
        </w:tabs>
        <w:snapToGrid w:val="0"/>
        <w:spacing w:line="360" w:lineRule="auto"/>
        <w:ind w:hanging="850"/>
        <w:rPr>
          <w:rFonts w:hint="eastAsia" w:ascii="宋体" w:hAnsi="宋体" w:cs="宋体"/>
          <w:szCs w:val="21"/>
        </w:rPr>
      </w:pPr>
      <w:r>
        <w:rPr>
          <w:rFonts w:hint="eastAsia" w:ascii="宋体" w:hAnsi="宋体" w:cs="宋体"/>
          <w:szCs w:val="21"/>
        </w:rPr>
        <w:t>报价为含税价。</w:t>
      </w:r>
    </w:p>
    <w:p w14:paraId="56573929">
      <w:pPr>
        <w:numPr>
          <w:ilvl w:val="0"/>
          <w:numId w:val="20"/>
        </w:numPr>
        <w:snapToGrid w:val="0"/>
        <w:spacing w:line="360" w:lineRule="auto"/>
        <w:outlineLvl w:val="2"/>
        <w:rPr>
          <w:rFonts w:hint="eastAsia" w:ascii="宋体" w:hAnsi="宋体" w:cs="宋体"/>
          <w:b/>
          <w:szCs w:val="21"/>
        </w:rPr>
      </w:pPr>
      <w:r>
        <w:rPr>
          <w:rFonts w:hint="eastAsia" w:ascii="宋体" w:hAnsi="宋体" w:cs="宋体"/>
          <w:b/>
          <w:szCs w:val="21"/>
        </w:rPr>
        <w:t>竞价程序</w:t>
      </w:r>
      <w:bookmarkEnd w:id="114"/>
      <w:bookmarkEnd w:id="115"/>
      <w:bookmarkEnd w:id="116"/>
      <w:bookmarkEnd w:id="117"/>
      <w:bookmarkEnd w:id="118"/>
    </w:p>
    <w:p w14:paraId="6B38B588">
      <w:pPr>
        <w:numPr>
          <w:ilvl w:val="1"/>
          <w:numId w:val="20"/>
        </w:numPr>
        <w:tabs>
          <w:tab w:val="left" w:pos="709"/>
        </w:tabs>
        <w:snapToGrid w:val="0"/>
        <w:spacing w:line="360" w:lineRule="auto"/>
        <w:ind w:left="709"/>
        <w:rPr>
          <w:rFonts w:hint="eastAsia" w:ascii="宋体" w:hAnsi="宋体" w:cs="宋体"/>
          <w:szCs w:val="21"/>
        </w:rPr>
      </w:pPr>
      <w:r>
        <w:rPr>
          <w:rFonts w:hint="eastAsia" w:ascii="宋体" w:hAnsi="宋体" w:cs="宋体"/>
          <w:szCs w:val="21"/>
        </w:rPr>
        <w:t>竞价开始前，供应商确保网络通畅提前调试好设备，登录系统。</w:t>
      </w:r>
    </w:p>
    <w:p w14:paraId="799901DD">
      <w:pPr>
        <w:numPr>
          <w:ilvl w:val="1"/>
          <w:numId w:val="20"/>
        </w:numPr>
        <w:tabs>
          <w:tab w:val="left" w:pos="709"/>
        </w:tabs>
        <w:snapToGrid w:val="0"/>
        <w:spacing w:line="360" w:lineRule="auto"/>
        <w:ind w:left="709"/>
        <w:rPr>
          <w:rFonts w:hint="eastAsia" w:ascii="宋体" w:hAnsi="宋体" w:cs="宋体"/>
          <w:szCs w:val="21"/>
        </w:rPr>
      </w:pPr>
      <w:r>
        <w:rPr>
          <w:rFonts w:hint="eastAsia" w:ascii="宋体" w:hAnsi="宋体" w:cs="宋体"/>
          <w:szCs w:val="21"/>
        </w:rPr>
        <w:t>竞价总时间以系统设置为准，竞价开始后供应商根据起拍价和价格梯度做出报价，竞价自动延时和总延时时间“详见竞价须知前附表”。</w:t>
      </w:r>
    </w:p>
    <w:p w14:paraId="7DE96501">
      <w:pPr>
        <w:numPr>
          <w:ilvl w:val="0"/>
          <w:numId w:val="12"/>
        </w:numPr>
        <w:spacing w:line="360" w:lineRule="auto"/>
        <w:jc w:val="left"/>
        <w:outlineLvl w:val="1"/>
        <w:rPr>
          <w:rFonts w:hint="eastAsia" w:ascii="宋体" w:hAnsi="宋体" w:cs="宋体"/>
          <w:b/>
          <w:szCs w:val="21"/>
        </w:rPr>
      </w:pPr>
      <w:bookmarkStart w:id="119" w:name="_Toc368513800"/>
      <w:bookmarkStart w:id="120" w:name="_Toc37496261"/>
      <w:bookmarkStart w:id="121" w:name="_Toc509332370"/>
      <w:bookmarkStart w:id="122" w:name="_Toc26800381"/>
      <w:bookmarkStart w:id="123" w:name="_Toc43264551"/>
      <w:bookmarkStart w:id="124" w:name="_Toc18429804"/>
      <w:bookmarkStart w:id="125" w:name="_Toc59194000"/>
      <w:bookmarkStart w:id="126" w:name="_Toc72163759"/>
      <w:bookmarkStart w:id="127" w:name="_Toc72935220"/>
      <w:r>
        <w:rPr>
          <w:rFonts w:hint="eastAsia" w:ascii="宋体" w:hAnsi="宋体" w:cs="宋体"/>
          <w:b/>
          <w:szCs w:val="21"/>
        </w:rPr>
        <w:t>关于</w:t>
      </w:r>
      <w:bookmarkEnd w:id="119"/>
      <w:bookmarkEnd w:id="120"/>
      <w:bookmarkEnd w:id="121"/>
      <w:bookmarkEnd w:id="122"/>
      <w:bookmarkEnd w:id="123"/>
      <w:r>
        <w:rPr>
          <w:rFonts w:hint="eastAsia" w:ascii="宋体" w:hAnsi="宋体" w:cs="宋体"/>
          <w:b/>
          <w:szCs w:val="21"/>
        </w:rPr>
        <w:t>成交</w:t>
      </w:r>
      <w:bookmarkEnd w:id="124"/>
      <w:bookmarkEnd w:id="125"/>
      <w:bookmarkEnd w:id="126"/>
      <w:bookmarkEnd w:id="127"/>
    </w:p>
    <w:p w14:paraId="7DD4E2F4">
      <w:pPr>
        <w:numPr>
          <w:ilvl w:val="0"/>
          <w:numId w:val="21"/>
        </w:numPr>
        <w:snapToGrid w:val="0"/>
        <w:spacing w:line="360" w:lineRule="auto"/>
        <w:outlineLvl w:val="2"/>
        <w:rPr>
          <w:rFonts w:hint="eastAsia" w:ascii="宋体" w:hAnsi="宋体" w:cs="宋体"/>
          <w:b/>
          <w:szCs w:val="21"/>
        </w:rPr>
      </w:pPr>
      <w:bookmarkStart w:id="128" w:name="_Toc18429805"/>
      <w:bookmarkStart w:id="129" w:name="_Toc72163760"/>
      <w:bookmarkStart w:id="130" w:name="_Toc72935221"/>
      <w:bookmarkStart w:id="131" w:name="_Toc368513801"/>
      <w:bookmarkStart w:id="132" w:name="_Toc59194001"/>
      <w:r>
        <w:rPr>
          <w:rFonts w:hint="eastAsia" w:ascii="宋体" w:hAnsi="宋体" w:cs="宋体"/>
          <w:b/>
          <w:szCs w:val="21"/>
        </w:rPr>
        <w:t>成交人的确定</w:t>
      </w:r>
      <w:bookmarkEnd w:id="128"/>
      <w:bookmarkEnd w:id="129"/>
      <w:bookmarkEnd w:id="130"/>
      <w:bookmarkEnd w:id="131"/>
      <w:bookmarkEnd w:id="132"/>
    </w:p>
    <w:p w14:paraId="6B1393C3">
      <w:pPr>
        <w:numPr>
          <w:ilvl w:val="1"/>
          <w:numId w:val="21"/>
        </w:numPr>
        <w:tabs>
          <w:tab w:val="left" w:pos="709"/>
          <w:tab w:val="clear" w:pos="992"/>
        </w:tabs>
        <w:snapToGrid w:val="0"/>
        <w:spacing w:line="360" w:lineRule="auto"/>
        <w:ind w:left="748"/>
        <w:rPr>
          <w:rFonts w:hint="eastAsia" w:ascii="宋体" w:hAnsi="宋体" w:cs="宋体"/>
          <w:szCs w:val="21"/>
        </w:rPr>
      </w:pPr>
      <w:r>
        <w:rPr>
          <w:rFonts w:hint="eastAsia" w:ascii="宋体" w:hAnsi="宋体" w:cs="宋体"/>
          <w:szCs w:val="21"/>
        </w:rPr>
        <w:t>在竞价结束时间，系统自动按“价格优先、时间优先”原则成交，即最低价格成交。当出现两个以上相同最低价格时，先报价者作为成交人。报价相同且报价时间相同的，系统随机确定。</w:t>
      </w:r>
    </w:p>
    <w:p w14:paraId="69189A0C">
      <w:pPr>
        <w:numPr>
          <w:ilvl w:val="1"/>
          <w:numId w:val="21"/>
        </w:numPr>
        <w:tabs>
          <w:tab w:val="left" w:pos="709"/>
          <w:tab w:val="clear" w:pos="992"/>
        </w:tabs>
        <w:snapToGrid w:val="0"/>
        <w:spacing w:line="360" w:lineRule="auto"/>
        <w:ind w:left="748"/>
        <w:rPr>
          <w:rFonts w:hint="eastAsia" w:ascii="宋体" w:hAnsi="宋体" w:cs="宋体"/>
          <w:szCs w:val="21"/>
        </w:rPr>
      </w:pPr>
      <w:r>
        <w:rPr>
          <w:rFonts w:hint="eastAsia" w:ascii="宋体" w:hAnsi="宋体" w:cs="宋体"/>
          <w:szCs w:val="21"/>
        </w:rPr>
        <w:t>成交人在竞价结束后应在主控台操作补填明细。</w:t>
      </w:r>
    </w:p>
    <w:p w14:paraId="6FDAA216">
      <w:pPr>
        <w:numPr>
          <w:ilvl w:val="0"/>
          <w:numId w:val="21"/>
        </w:numPr>
        <w:snapToGrid w:val="0"/>
        <w:spacing w:line="360" w:lineRule="auto"/>
        <w:outlineLvl w:val="2"/>
        <w:rPr>
          <w:rFonts w:hint="eastAsia" w:ascii="宋体" w:hAnsi="宋体" w:cs="宋体"/>
          <w:b/>
          <w:szCs w:val="21"/>
        </w:rPr>
      </w:pPr>
      <w:bookmarkStart w:id="133" w:name="_Toc59194002"/>
      <w:bookmarkStart w:id="134" w:name="_Toc72163761"/>
      <w:bookmarkStart w:id="135" w:name="_Toc18429806"/>
      <w:bookmarkStart w:id="136" w:name="_Toc72935222"/>
      <w:r>
        <w:rPr>
          <w:rFonts w:hint="eastAsia" w:ascii="宋体" w:hAnsi="宋体" w:cs="宋体"/>
          <w:b/>
          <w:szCs w:val="21"/>
        </w:rPr>
        <w:t>成交结果</w:t>
      </w:r>
      <w:bookmarkEnd w:id="133"/>
      <w:bookmarkEnd w:id="134"/>
      <w:bookmarkEnd w:id="135"/>
      <w:bookmarkEnd w:id="136"/>
    </w:p>
    <w:p w14:paraId="31891D21">
      <w:pPr>
        <w:numPr>
          <w:ilvl w:val="1"/>
          <w:numId w:val="21"/>
        </w:numPr>
        <w:tabs>
          <w:tab w:val="left" w:pos="709"/>
          <w:tab w:val="clear" w:pos="992"/>
        </w:tabs>
        <w:snapToGrid w:val="0"/>
        <w:spacing w:line="360" w:lineRule="auto"/>
        <w:ind w:left="748"/>
        <w:rPr>
          <w:rFonts w:hint="eastAsia" w:ascii="宋体" w:hAnsi="宋体" w:cs="宋体"/>
          <w:szCs w:val="21"/>
        </w:rPr>
      </w:pPr>
      <w:r>
        <w:rPr>
          <w:rFonts w:hint="eastAsia" w:ascii="宋体" w:hAnsi="宋体" w:cs="宋体"/>
          <w:szCs w:val="21"/>
        </w:rPr>
        <w:t>采购代理机构自评审竞价之日起2个工作日内将成交意见送交采购人。经采购人确认后，采购代理机构将成交公告在竞价公告规定的媒体上进行发布。</w:t>
      </w:r>
    </w:p>
    <w:p w14:paraId="742F4DA2">
      <w:pPr>
        <w:numPr>
          <w:ilvl w:val="1"/>
          <w:numId w:val="21"/>
        </w:numPr>
        <w:tabs>
          <w:tab w:val="left" w:pos="709"/>
          <w:tab w:val="clear" w:pos="992"/>
        </w:tabs>
        <w:snapToGrid w:val="0"/>
        <w:spacing w:line="360" w:lineRule="auto"/>
        <w:ind w:left="748"/>
        <w:rPr>
          <w:rFonts w:hint="eastAsia" w:ascii="宋体" w:hAnsi="宋体" w:cs="宋体"/>
          <w:szCs w:val="21"/>
        </w:rPr>
      </w:pPr>
      <w:r>
        <w:rPr>
          <w:rFonts w:hint="eastAsia" w:ascii="宋体" w:hAnsi="宋体" w:cs="宋体"/>
          <w:szCs w:val="21"/>
        </w:rPr>
        <w:t>采购代理机构在规定的媒体上发布成交公告的同时，向成交人发出《成交通知书》。</w:t>
      </w:r>
    </w:p>
    <w:p w14:paraId="55C2271A">
      <w:pPr>
        <w:numPr>
          <w:ilvl w:val="0"/>
          <w:numId w:val="21"/>
        </w:numPr>
        <w:snapToGrid w:val="0"/>
        <w:spacing w:line="360" w:lineRule="auto"/>
        <w:outlineLvl w:val="2"/>
        <w:rPr>
          <w:rFonts w:hint="eastAsia" w:ascii="宋体" w:hAnsi="宋体" w:cs="宋体"/>
          <w:b/>
          <w:szCs w:val="21"/>
        </w:rPr>
      </w:pPr>
      <w:bookmarkStart w:id="137" w:name="_Toc72163762"/>
      <w:bookmarkStart w:id="138" w:name="_Toc72935223"/>
      <w:bookmarkStart w:id="139" w:name="_Toc59194003"/>
      <w:bookmarkStart w:id="140" w:name="_Toc368513803"/>
      <w:bookmarkStart w:id="141" w:name="_Toc18429807"/>
      <w:r>
        <w:rPr>
          <w:rFonts w:hint="eastAsia" w:ascii="宋体" w:hAnsi="宋体" w:cs="宋体"/>
          <w:b/>
          <w:szCs w:val="21"/>
        </w:rPr>
        <w:t>成交通知书</w:t>
      </w:r>
      <w:bookmarkEnd w:id="137"/>
      <w:bookmarkEnd w:id="138"/>
      <w:bookmarkEnd w:id="139"/>
      <w:bookmarkEnd w:id="140"/>
      <w:bookmarkEnd w:id="141"/>
    </w:p>
    <w:p w14:paraId="1462F5FA">
      <w:pPr>
        <w:numPr>
          <w:ilvl w:val="1"/>
          <w:numId w:val="21"/>
        </w:numPr>
        <w:tabs>
          <w:tab w:val="left" w:pos="709"/>
          <w:tab w:val="clear" w:pos="992"/>
        </w:tabs>
        <w:snapToGrid w:val="0"/>
        <w:spacing w:line="360" w:lineRule="auto"/>
        <w:ind w:left="748"/>
        <w:rPr>
          <w:rFonts w:hint="eastAsia" w:ascii="宋体" w:hAnsi="宋体" w:cs="宋体"/>
          <w:szCs w:val="21"/>
        </w:rPr>
      </w:pPr>
      <w:r>
        <w:rPr>
          <w:rFonts w:hint="eastAsia" w:ascii="宋体" w:hAnsi="宋体" w:cs="宋体"/>
          <w:szCs w:val="21"/>
        </w:rPr>
        <w:t>《成交通知书》是该项目成交确认合同的组成部分。《成交通知书》发出后，采购人改变成交结果的，或者成交人放弃成交项目的，应当依法承担法律责任。</w:t>
      </w:r>
    </w:p>
    <w:p w14:paraId="33833005">
      <w:pPr>
        <w:numPr>
          <w:ilvl w:val="1"/>
          <w:numId w:val="21"/>
        </w:numPr>
        <w:tabs>
          <w:tab w:val="left" w:pos="709"/>
          <w:tab w:val="clear" w:pos="992"/>
        </w:tabs>
        <w:snapToGrid w:val="0"/>
        <w:spacing w:line="360" w:lineRule="auto"/>
        <w:ind w:left="748"/>
        <w:rPr>
          <w:rFonts w:hint="eastAsia" w:ascii="宋体" w:hAnsi="宋体" w:cs="宋体"/>
          <w:szCs w:val="21"/>
        </w:rPr>
      </w:pPr>
      <w:r>
        <w:rPr>
          <w:rFonts w:hint="eastAsia" w:ascii="宋体" w:hAnsi="宋体" w:cs="宋体"/>
          <w:szCs w:val="21"/>
        </w:rPr>
        <w:t>成交人应当自成交通知书发出之日起三日内，按照成交报价和竞价文件要求，派遣其授权代表携带采购代理机构发出的《成交通知书》，前往与采购人签署合同。</w:t>
      </w:r>
    </w:p>
    <w:p w14:paraId="4AD5EC22">
      <w:pPr>
        <w:numPr>
          <w:ilvl w:val="0"/>
          <w:numId w:val="12"/>
        </w:numPr>
        <w:spacing w:line="360" w:lineRule="auto"/>
        <w:jc w:val="left"/>
        <w:outlineLvl w:val="1"/>
        <w:rPr>
          <w:rFonts w:hint="eastAsia" w:ascii="宋体" w:hAnsi="宋体" w:cs="宋体"/>
          <w:b/>
          <w:szCs w:val="21"/>
        </w:rPr>
      </w:pPr>
      <w:bookmarkStart w:id="142" w:name="_Toc18429808"/>
      <w:bookmarkStart w:id="143" w:name="_Toc59194004"/>
      <w:bookmarkStart w:id="144" w:name="_Toc72935224"/>
      <w:bookmarkStart w:id="145" w:name="_Toc509332371"/>
      <w:bookmarkStart w:id="146" w:name="_Toc72163763"/>
      <w:bookmarkStart w:id="147" w:name="_Toc368513805"/>
      <w:r>
        <w:rPr>
          <w:rFonts w:hint="eastAsia" w:ascii="宋体" w:hAnsi="宋体" w:cs="宋体"/>
          <w:b/>
          <w:szCs w:val="21"/>
        </w:rPr>
        <w:t>关于无效报价的认定</w:t>
      </w:r>
      <w:bookmarkEnd w:id="142"/>
      <w:bookmarkEnd w:id="143"/>
      <w:bookmarkEnd w:id="144"/>
      <w:bookmarkEnd w:id="145"/>
      <w:bookmarkEnd w:id="146"/>
      <w:bookmarkEnd w:id="147"/>
    </w:p>
    <w:p w14:paraId="0BD0B6A9">
      <w:pPr>
        <w:numPr>
          <w:ilvl w:val="0"/>
          <w:numId w:val="22"/>
        </w:numPr>
        <w:tabs>
          <w:tab w:val="left" w:pos="720"/>
        </w:tabs>
        <w:snapToGrid w:val="0"/>
        <w:spacing w:line="360" w:lineRule="auto"/>
        <w:outlineLvl w:val="2"/>
        <w:rPr>
          <w:rFonts w:hint="eastAsia" w:ascii="宋体" w:hAnsi="宋体" w:cs="宋体"/>
          <w:b/>
          <w:szCs w:val="21"/>
        </w:rPr>
      </w:pPr>
      <w:bookmarkStart w:id="148" w:name="_Toc72935225"/>
      <w:bookmarkStart w:id="149" w:name="_Toc368513806"/>
      <w:bookmarkStart w:id="150" w:name="_Toc59194005"/>
      <w:bookmarkStart w:id="151" w:name="_Toc18429809"/>
      <w:bookmarkStart w:id="152" w:name="_Toc72163764"/>
      <w:r>
        <w:rPr>
          <w:rFonts w:hint="eastAsia" w:ascii="宋体" w:hAnsi="宋体" w:cs="宋体"/>
          <w:b/>
          <w:szCs w:val="21"/>
        </w:rPr>
        <w:t>属下列情况之一的，应当按照无效报价处理：</w:t>
      </w:r>
      <w:bookmarkEnd w:id="148"/>
      <w:bookmarkEnd w:id="149"/>
      <w:bookmarkEnd w:id="150"/>
      <w:bookmarkEnd w:id="151"/>
      <w:bookmarkEnd w:id="152"/>
    </w:p>
    <w:p w14:paraId="60FC30DB">
      <w:pPr>
        <w:numPr>
          <w:ilvl w:val="1"/>
          <w:numId w:val="22"/>
        </w:numPr>
        <w:tabs>
          <w:tab w:val="left" w:pos="720"/>
          <w:tab w:val="clear" w:pos="992"/>
        </w:tabs>
        <w:snapToGrid w:val="0"/>
        <w:spacing w:line="360" w:lineRule="auto"/>
        <w:ind w:left="748"/>
        <w:rPr>
          <w:rFonts w:hint="eastAsia" w:ascii="宋体" w:hAnsi="宋体" w:cs="宋体"/>
          <w:szCs w:val="21"/>
        </w:rPr>
      </w:pPr>
      <w:r>
        <w:rPr>
          <w:rFonts w:hint="eastAsia" w:ascii="宋体" w:hAnsi="宋体" w:cs="宋体"/>
          <w:szCs w:val="21"/>
        </w:rPr>
        <w:t>不符合竞价公告中供应商资格要求的。</w:t>
      </w:r>
    </w:p>
    <w:p w14:paraId="45EB3BFE">
      <w:pPr>
        <w:numPr>
          <w:ilvl w:val="1"/>
          <w:numId w:val="22"/>
        </w:numPr>
        <w:tabs>
          <w:tab w:val="left" w:pos="720"/>
          <w:tab w:val="clear" w:pos="992"/>
        </w:tabs>
        <w:snapToGrid w:val="0"/>
        <w:spacing w:line="360" w:lineRule="auto"/>
        <w:ind w:left="748"/>
        <w:rPr>
          <w:rFonts w:hint="eastAsia" w:ascii="宋体" w:hAnsi="宋体" w:cs="宋体"/>
          <w:szCs w:val="21"/>
        </w:rPr>
      </w:pPr>
      <w:r>
        <w:rPr>
          <w:rFonts w:hint="eastAsia" w:ascii="宋体" w:hAnsi="宋体" w:cs="宋体"/>
          <w:szCs w:val="21"/>
        </w:rPr>
        <w:t>未按照要求递交竞价保证金的。</w:t>
      </w:r>
    </w:p>
    <w:p w14:paraId="6C695178">
      <w:pPr>
        <w:numPr>
          <w:ilvl w:val="0"/>
          <w:numId w:val="22"/>
        </w:numPr>
        <w:tabs>
          <w:tab w:val="left" w:pos="720"/>
        </w:tabs>
        <w:snapToGrid w:val="0"/>
        <w:spacing w:line="360" w:lineRule="auto"/>
        <w:outlineLvl w:val="2"/>
        <w:rPr>
          <w:rFonts w:hint="eastAsia" w:ascii="宋体" w:hAnsi="宋体" w:cs="宋体"/>
          <w:szCs w:val="21"/>
        </w:rPr>
      </w:pPr>
      <w:bookmarkStart w:id="153" w:name="_Toc72163765"/>
      <w:bookmarkStart w:id="154" w:name="_Toc72935226"/>
      <w:bookmarkStart w:id="155" w:name="_Toc59194006"/>
      <w:bookmarkStart w:id="156" w:name="_Toc18429810"/>
      <w:bookmarkStart w:id="157" w:name="_Toc368513808"/>
      <w:r>
        <w:rPr>
          <w:rFonts w:hint="eastAsia" w:ascii="宋体" w:hAnsi="宋体" w:cs="宋体"/>
          <w:b/>
          <w:szCs w:val="21"/>
        </w:rPr>
        <w:t>有下列情况之一出现，将视为竞价失败</w:t>
      </w:r>
      <w:r>
        <w:rPr>
          <w:rFonts w:hint="eastAsia" w:ascii="宋体" w:hAnsi="宋体" w:cs="宋体"/>
          <w:szCs w:val="21"/>
        </w:rPr>
        <w:t>：</w:t>
      </w:r>
      <w:bookmarkEnd w:id="153"/>
      <w:bookmarkEnd w:id="154"/>
      <w:bookmarkEnd w:id="155"/>
      <w:bookmarkEnd w:id="156"/>
    </w:p>
    <w:p w14:paraId="1F674C67">
      <w:pPr>
        <w:numPr>
          <w:ilvl w:val="1"/>
          <w:numId w:val="22"/>
        </w:numPr>
        <w:tabs>
          <w:tab w:val="left" w:pos="720"/>
          <w:tab w:val="clear" w:pos="992"/>
        </w:tabs>
        <w:snapToGrid w:val="0"/>
        <w:spacing w:line="360" w:lineRule="auto"/>
        <w:ind w:left="748"/>
        <w:rPr>
          <w:rFonts w:hint="eastAsia" w:ascii="宋体" w:hAnsi="宋体" w:cs="宋体"/>
          <w:szCs w:val="21"/>
        </w:rPr>
      </w:pPr>
      <w:r>
        <w:rPr>
          <w:rFonts w:hint="eastAsia" w:ascii="宋体" w:hAnsi="宋体" w:cs="宋体"/>
          <w:szCs w:val="21"/>
        </w:rPr>
        <w:t>不符合供应商资格条件的供应商家数不足“竞价须知前附表规定”的；</w:t>
      </w:r>
    </w:p>
    <w:p w14:paraId="58EABCCB">
      <w:pPr>
        <w:numPr>
          <w:ilvl w:val="1"/>
          <w:numId w:val="22"/>
        </w:numPr>
        <w:tabs>
          <w:tab w:val="left" w:pos="720"/>
          <w:tab w:val="clear" w:pos="992"/>
        </w:tabs>
        <w:snapToGrid w:val="0"/>
        <w:spacing w:line="360" w:lineRule="auto"/>
        <w:ind w:left="748"/>
        <w:rPr>
          <w:rFonts w:hint="eastAsia" w:ascii="宋体" w:hAnsi="宋体" w:cs="宋体"/>
          <w:szCs w:val="21"/>
        </w:rPr>
      </w:pPr>
      <w:r>
        <w:rPr>
          <w:rFonts w:hint="eastAsia" w:ascii="宋体" w:hAnsi="宋体" w:cs="宋体"/>
          <w:szCs w:val="21"/>
        </w:rPr>
        <w:t>出现影响竞价公正的违法、违规行为的；</w:t>
      </w:r>
    </w:p>
    <w:p w14:paraId="4059AC7C">
      <w:pPr>
        <w:numPr>
          <w:ilvl w:val="1"/>
          <w:numId w:val="22"/>
        </w:numPr>
        <w:tabs>
          <w:tab w:val="left" w:pos="720"/>
          <w:tab w:val="clear" w:pos="992"/>
        </w:tabs>
        <w:snapToGrid w:val="0"/>
        <w:spacing w:line="360" w:lineRule="auto"/>
        <w:ind w:left="748"/>
        <w:rPr>
          <w:rFonts w:hint="eastAsia" w:ascii="宋体" w:hAnsi="宋体" w:cs="宋体"/>
          <w:szCs w:val="21"/>
        </w:rPr>
      </w:pPr>
      <w:r>
        <w:rPr>
          <w:rFonts w:hint="eastAsia" w:ascii="宋体" w:hAnsi="宋体" w:cs="宋体"/>
          <w:szCs w:val="21"/>
        </w:rPr>
        <w:t>因重大变故，竞价项目取消的。</w:t>
      </w:r>
    </w:p>
    <w:p w14:paraId="4B3AEABC">
      <w:pPr>
        <w:numPr>
          <w:ilvl w:val="0"/>
          <w:numId w:val="12"/>
        </w:numPr>
        <w:spacing w:line="360" w:lineRule="auto"/>
        <w:jc w:val="left"/>
        <w:outlineLvl w:val="1"/>
        <w:rPr>
          <w:rFonts w:hint="eastAsia" w:ascii="宋体" w:hAnsi="宋体" w:cs="宋体"/>
          <w:b/>
          <w:szCs w:val="21"/>
        </w:rPr>
      </w:pPr>
      <w:bookmarkStart w:id="158" w:name="_Toc59194007"/>
      <w:bookmarkStart w:id="159" w:name="_Toc509332372"/>
      <w:bookmarkStart w:id="160" w:name="_Toc72935227"/>
      <w:bookmarkStart w:id="161" w:name="_Toc72163766"/>
      <w:bookmarkStart w:id="162" w:name="_Toc18429811"/>
      <w:r>
        <w:rPr>
          <w:rFonts w:hint="eastAsia" w:ascii="宋体" w:hAnsi="宋体" w:cs="宋体"/>
          <w:b/>
          <w:szCs w:val="21"/>
        </w:rPr>
        <w:t>关于成交代理服务费</w:t>
      </w:r>
      <w:bookmarkEnd w:id="157"/>
      <w:bookmarkEnd w:id="158"/>
      <w:bookmarkEnd w:id="159"/>
      <w:bookmarkEnd w:id="160"/>
      <w:bookmarkEnd w:id="161"/>
      <w:bookmarkEnd w:id="162"/>
    </w:p>
    <w:p w14:paraId="2E4C1866">
      <w:pPr>
        <w:numPr>
          <w:ilvl w:val="0"/>
          <w:numId w:val="23"/>
        </w:numPr>
        <w:snapToGrid w:val="0"/>
        <w:spacing w:line="360" w:lineRule="auto"/>
        <w:outlineLvl w:val="2"/>
        <w:rPr>
          <w:rFonts w:hint="eastAsia" w:ascii="宋体" w:hAnsi="宋体" w:cs="宋体"/>
          <w:b/>
          <w:szCs w:val="21"/>
        </w:rPr>
      </w:pPr>
      <w:bookmarkStart w:id="163" w:name="_Toc59194008"/>
      <w:bookmarkStart w:id="164" w:name="_Toc368513809"/>
      <w:bookmarkStart w:id="165" w:name="_Toc72935228"/>
      <w:bookmarkStart w:id="166" w:name="_Toc18429812"/>
      <w:bookmarkStart w:id="167" w:name="_Toc72163767"/>
      <w:r>
        <w:rPr>
          <w:rFonts w:hint="eastAsia" w:ascii="宋体" w:hAnsi="宋体" w:cs="宋体"/>
          <w:b/>
          <w:szCs w:val="21"/>
        </w:rPr>
        <w:t>收费标准</w:t>
      </w:r>
      <w:bookmarkEnd w:id="163"/>
      <w:bookmarkEnd w:id="164"/>
      <w:bookmarkEnd w:id="165"/>
      <w:bookmarkEnd w:id="166"/>
      <w:bookmarkEnd w:id="167"/>
    </w:p>
    <w:p w14:paraId="3850BC53">
      <w:pPr>
        <w:numPr>
          <w:ilvl w:val="1"/>
          <w:numId w:val="23"/>
        </w:numPr>
        <w:tabs>
          <w:tab w:val="left" w:pos="720"/>
          <w:tab w:val="left" w:pos="851"/>
          <w:tab w:val="clear" w:pos="992"/>
        </w:tabs>
        <w:snapToGrid w:val="0"/>
        <w:spacing w:line="360" w:lineRule="auto"/>
        <w:ind w:left="142" w:firstLine="0"/>
        <w:rPr>
          <w:rFonts w:hint="eastAsia" w:ascii="宋体" w:hAnsi="宋体" w:cs="宋体"/>
          <w:szCs w:val="21"/>
        </w:rPr>
      </w:pPr>
      <w:r>
        <w:rPr>
          <w:rFonts w:hint="eastAsia" w:ascii="宋体" w:hAnsi="宋体" w:cs="宋体"/>
          <w:szCs w:val="21"/>
        </w:rPr>
        <w:t>本次成交代理服务费按竞价须知前附表规定收取。</w:t>
      </w:r>
    </w:p>
    <w:p w14:paraId="0C5589A2">
      <w:pPr>
        <w:numPr>
          <w:ilvl w:val="1"/>
          <w:numId w:val="23"/>
        </w:numPr>
        <w:tabs>
          <w:tab w:val="left" w:pos="720"/>
          <w:tab w:val="left" w:pos="851"/>
          <w:tab w:val="clear" w:pos="992"/>
        </w:tabs>
        <w:snapToGrid w:val="0"/>
        <w:spacing w:line="360" w:lineRule="auto"/>
        <w:ind w:left="142" w:firstLine="0"/>
        <w:rPr>
          <w:rFonts w:hint="eastAsia" w:ascii="宋体" w:hAnsi="宋体" w:cs="宋体"/>
          <w:bCs/>
          <w:szCs w:val="21"/>
        </w:rPr>
      </w:pPr>
      <w:r>
        <w:rPr>
          <w:rFonts w:hint="eastAsia" w:ascii="宋体" w:hAnsi="宋体" w:cs="宋体"/>
        </w:rPr>
        <mc:AlternateContent>
          <mc:Choice Requires="wps">
            <w:drawing>
              <wp:anchor distT="0" distB="0" distL="114300" distR="114300" simplePos="0" relativeHeight="251662336" behindDoc="0" locked="0" layoutInCell="1" allowOverlap="1">
                <wp:simplePos x="0" y="0"/>
                <wp:positionH relativeFrom="column">
                  <wp:posOffset>325755</wp:posOffset>
                </wp:positionH>
                <wp:positionV relativeFrom="paragraph">
                  <wp:posOffset>524510</wp:posOffset>
                </wp:positionV>
                <wp:extent cx="1351915" cy="772160"/>
                <wp:effectExtent l="0" t="0" r="20320" b="27940"/>
                <wp:wrapNone/>
                <wp:docPr id="4" name="直线 9"/>
                <wp:cNvGraphicFramePr/>
                <a:graphic xmlns:a="http://schemas.openxmlformats.org/drawingml/2006/main">
                  <a:graphicData uri="http://schemas.microsoft.com/office/word/2010/wordprocessingShape">
                    <wps:wsp>
                      <wps:cNvCnPr>
                        <a:cxnSpLocks noChangeShapeType="1"/>
                      </wps:cNvCnPr>
                      <wps:spPr bwMode="auto">
                        <a:xfrm flipH="1" flipV="1">
                          <a:off x="0" y="0"/>
                          <a:ext cx="1351736" cy="772316"/>
                        </a:xfrm>
                        <a:prstGeom prst="line">
                          <a:avLst/>
                        </a:prstGeom>
                        <a:noFill/>
                        <a:ln w="9525">
                          <a:solidFill>
                            <a:srgbClr val="000000"/>
                          </a:solidFill>
                          <a:round/>
                        </a:ln>
                        <a:effectLst/>
                      </wps:spPr>
                      <wps:bodyPr/>
                    </wps:wsp>
                  </a:graphicData>
                </a:graphic>
              </wp:anchor>
            </w:drawing>
          </mc:Choice>
          <mc:Fallback>
            <w:pict>
              <v:line id="直线 9" o:spid="_x0000_s1026" o:spt="20" style="position:absolute;left:0pt;flip:x y;margin-left:25.65pt;margin-top:41.3pt;height:60.8pt;width:106.45pt;z-index:251662336;mso-width-relative:page;mso-height-relative:page;" filled="f" stroked="t" coordsize="21600,21600" o:gfxdata="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7D&#10;UdQAAAAJAQAADwAAAAAAAAABACAAAAAiAAAAZHJzL2Rvd25yZXYueG1sUEsBAhQAFAAAAAgAh07i&#10;QPK3KK7tAQAAyAMAAA4AAAAAAAAAAQAgAAAAIwEAAGRycy9lMm9Eb2MueG1sUEsFBgAAAAAGAAYA&#10;WQEAAIIFAAAAAA==&#10;">
                <v:fill on="f" focussize="0,0"/>
                <v:stroke color="#000000" joinstyle="round"/>
                <v:imagedata o:title=""/>
                <o:lock v:ext="edit" aspectratio="f"/>
              </v:line>
            </w:pict>
          </mc:Fallback>
        </mc:AlternateContent>
      </w:r>
      <w:r>
        <w:rPr>
          <w:rFonts w:hint="eastAsia" w:ascii="宋体" w:hAnsi="宋体" w:cs="宋体"/>
        </w:rPr>
        <w:t>采购</w:t>
      </w:r>
      <w:r>
        <w:rPr>
          <w:rFonts w:hint="eastAsia" w:ascii="宋体" w:hAnsi="宋体" w:cs="宋体"/>
          <w:bCs/>
          <w:szCs w:val="21"/>
        </w:rPr>
        <w:t>代理服务费按差额定率累进法计算，不在报价中单列，除“竞价</w:t>
      </w:r>
      <w:r>
        <w:rPr>
          <w:rFonts w:hint="eastAsia" w:ascii="宋体" w:hAnsi="宋体" w:cs="宋体"/>
        </w:rPr>
        <w:t>须知前附表</w:t>
      </w:r>
      <w:r>
        <w:rPr>
          <w:rFonts w:hint="eastAsia" w:ascii="宋体" w:hAnsi="宋体" w:cs="宋体"/>
          <w:bCs/>
          <w:szCs w:val="21"/>
        </w:rPr>
        <w:t>”另有约定外，计费标准见下表：</w:t>
      </w:r>
    </w:p>
    <w:tbl>
      <w:tblPr>
        <w:tblStyle w:val="43"/>
        <w:tblW w:w="8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991"/>
        <w:gridCol w:w="1991"/>
        <w:gridCol w:w="1992"/>
      </w:tblGrid>
      <w:tr w14:paraId="1570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2263" w:type="dxa"/>
          </w:tcPr>
          <w:p w14:paraId="488DB849">
            <w:pPr>
              <w:tabs>
                <w:tab w:val="left" w:pos="360"/>
              </w:tabs>
              <w:spacing w:line="360" w:lineRule="auto"/>
              <w:ind w:firstLine="1050" w:firstLineChars="500"/>
              <w:rPr>
                <w:rFonts w:hint="eastAsia" w:ascii="宋体" w:hAnsi="宋体" w:cs="宋体"/>
                <w:bCs/>
                <w:szCs w:val="21"/>
              </w:rPr>
            </w:pPr>
            <w:r>
              <w:rPr>
                <w:rFonts w:hint="eastAsia" w:ascii="宋体" w:hAnsi="宋体" w:cs="宋体"/>
              </w:rPr>
              <mc:AlternateContent>
                <mc:Choice Requires="wps">
                  <w:drawing>
                    <wp:anchor distT="0" distB="0" distL="114300" distR="114300" simplePos="0" relativeHeight="251663360" behindDoc="0" locked="0" layoutInCell="1" allowOverlap="1">
                      <wp:simplePos x="0" y="0"/>
                      <wp:positionH relativeFrom="column">
                        <wp:posOffset>-77470</wp:posOffset>
                      </wp:positionH>
                      <wp:positionV relativeFrom="paragraph">
                        <wp:posOffset>-17145</wp:posOffset>
                      </wp:positionV>
                      <wp:extent cx="1457960" cy="387985"/>
                      <wp:effectExtent l="0" t="0" r="28575" b="31115"/>
                      <wp:wrapNone/>
                      <wp:docPr id="10" name="直线 10"/>
                      <wp:cNvGraphicFramePr/>
                      <a:graphic xmlns:a="http://schemas.openxmlformats.org/drawingml/2006/main">
                        <a:graphicData uri="http://schemas.microsoft.com/office/word/2010/wordprocessingShape">
                          <wps:wsp>
                            <wps:cNvCnPr>
                              <a:cxnSpLocks noChangeShapeType="1"/>
                            </wps:cNvCnPr>
                            <wps:spPr bwMode="auto">
                              <a:xfrm flipH="1" flipV="1">
                                <a:off x="0" y="0"/>
                                <a:ext cx="1457864" cy="388189"/>
                              </a:xfrm>
                              <a:prstGeom prst="line">
                                <a:avLst/>
                              </a:prstGeom>
                              <a:noFill/>
                              <a:ln w="9525">
                                <a:solidFill>
                                  <a:srgbClr val="000000"/>
                                </a:solidFill>
                                <a:round/>
                              </a:ln>
                              <a:effectLst/>
                            </wps:spPr>
                            <wps:bodyPr/>
                          </wps:wsp>
                        </a:graphicData>
                      </a:graphic>
                    </wp:anchor>
                  </w:drawing>
                </mc:Choice>
                <mc:Fallback>
                  <w:pict>
                    <v:line id="直线 10" o:spid="_x0000_s1026" o:spt="20" style="position:absolute;left:0pt;flip:x y;margin-left:-6.1pt;margin-top:-1.35pt;height:30.55pt;width:114.8pt;z-index:251663360;mso-width-relative:page;mso-height-relative:page;" filled="f" stroked="t" coordsize="21600,21600" o:gfxdata="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y&#10;f8vVAAAACQEAAA8AAAAAAAAAAQAgAAAAIgAAAGRycy9kb3ducmV2LnhtbFBLAQIUABQAAAAIAIdO&#10;4kD7jBfq7QEAAMoDAAAOAAAAAAAAAAEAIAAAACQBAABkcnMvZTJvRG9jLnhtbFBLBQYAAAAABgAG&#10;AFkBAACDBQAAAAA=&#10;">
                      <v:fill on="f" focussize="0,0"/>
                      <v:stroke color="#000000" joinstyle="round"/>
                      <v:imagedata o:title=""/>
                      <o:lock v:ext="edit" aspectratio="f"/>
                    </v:line>
                  </w:pict>
                </mc:Fallback>
              </mc:AlternateContent>
            </w:r>
            <w:r>
              <w:rPr>
                <w:rFonts w:hint="eastAsia" w:ascii="宋体" w:hAnsi="宋体" w:cs="宋体"/>
              </w:rPr>
              <mc:AlternateContent>
                <mc:Choice Requires="wps">
                  <w:drawing>
                    <wp:anchor distT="0" distB="0" distL="114300" distR="114300" simplePos="0" relativeHeight="251661312" behindDoc="0" locked="0" layoutInCell="0" allowOverlap="1">
                      <wp:simplePos x="0" y="0"/>
                      <wp:positionH relativeFrom="column">
                        <wp:posOffset>-114300</wp:posOffset>
                      </wp:positionH>
                      <wp:positionV relativeFrom="paragraph">
                        <wp:posOffset>-6350</wp:posOffset>
                      </wp:positionV>
                      <wp:extent cx="635" cy="0"/>
                      <wp:effectExtent l="0" t="0" r="0" b="0"/>
                      <wp:wrapNone/>
                      <wp:docPr id="11" name="直线 8"/>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直线 8" o:spid="_x0000_s1026" o:spt="20" style="position:absolute;left:0pt;margin-left:-9pt;margin-top:-0.5pt;height:0pt;width:0.05pt;z-index:251661312;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rkdN+1QAAAAkBAAAPAAAAAAAAAAEA&#10;IAAAACIAAABkcnMvZG93bnJldi54bWxQSwECFAAUAAAACACHTuJAa7khytkBAACsAwAADgAAAAAA&#10;AAABACAAAAAkAQAAZHJzL2Uyb0RvYy54bWxQSwUGAAAAAAYABgBZAQAAbwUAAAAA&#10;">
                      <v:fill on="f" focussize="0,0"/>
                      <v:stroke color="#000000" joinstyle="round"/>
                      <v:imagedata o:title=""/>
                      <o:lock v:ext="edit" aspectratio="f"/>
                    </v:line>
                  </w:pict>
                </mc:Fallback>
              </mc:AlternateContent>
            </w:r>
            <w:r>
              <w:rPr>
                <w:rFonts w:hint="eastAsia" w:ascii="宋体" w:hAnsi="宋体" w:cs="宋体"/>
                <w:bCs/>
                <w:szCs w:val="21"/>
              </w:rPr>
              <w:t>比选类型</w:t>
            </w:r>
          </w:p>
          <w:p w14:paraId="7FE39757">
            <w:pPr>
              <w:tabs>
                <w:tab w:val="left" w:pos="360"/>
              </w:tabs>
              <w:spacing w:line="360" w:lineRule="auto"/>
              <w:rPr>
                <w:rFonts w:hint="eastAsia" w:ascii="宋体" w:hAnsi="宋体" w:cs="宋体"/>
                <w:bCs/>
                <w:szCs w:val="21"/>
              </w:rPr>
            </w:pPr>
            <w:r>
              <w:rPr>
                <w:rFonts w:hint="eastAsia" w:ascii="宋体" w:hAnsi="宋体" w:cs="宋体"/>
                <w:bCs/>
                <w:szCs w:val="21"/>
              </w:rPr>
              <w:t>成交        费率</w:t>
            </w:r>
          </w:p>
          <w:p w14:paraId="5931E81A">
            <w:pPr>
              <w:tabs>
                <w:tab w:val="left" w:pos="360"/>
              </w:tabs>
              <w:spacing w:line="360" w:lineRule="auto"/>
              <w:rPr>
                <w:rFonts w:hint="eastAsia" w:ascii="宋体" w:hAnsi="宋体" w:cs="宋体"/>
                <w:bCs/>
                <w:szCs w:val="21"/>
              </w:rPr>
            </w:pPr>
            <w:r>
              <w:rPr>
                <w:rFonts w:hint="eastAsia" w:ascii="宋体" w:hAnsi="宋体" w:cs="宋体"/>
                <w:bCs/>
                <w:szCs w:val="21"/>
              </w:rPr>
              <w:t>金额（万元）</w:t>
            </w:r>
          </w:p>
        </w:tc>
        <w:tc>
          <w:tcPr>
            <w:tcW w:w="1991" w:type="dxa"/>
            <w:vAlign w:val="center"/>
          </w:tcPr>
          <w:p w14:paraId="6AA22541">
            <w:pPr>
              <w:tabs>
                <w:tab w:val="left" w:pos="360"/>
              </w:tabs>
              <w:spacing w:line="360" w:lineRule="auto"/>
              <w:jc w:val="center"/>
              <w:rPr>
                <w:rFonts w:hint="eastAsia" w:ascii="宋体" w:hAnsi="宋体" w:cs="宋体"/>
                <w:bCs/>
                <w:szCs w:val="21"/>
              </w:rPr>
            </w:pPr>
            <w:r>
              <w:rPr>
                <w:rFonts w:hint="eastAsia" w:ascii="宋体" w:hAnsi="宋体" w:cs="宋体"/>
                <w:bCs/>
                <w:szCs w:val="21"/>
              </w:rPr>
              <w:t>货物</w:t>
            </w:r>
          </w:p>
        </w:tc>
        <w:tc>
          <w:tcPr>
            <w:tcW w:w="1991" w:type="dxa"/>
            <w:vAlign w:val="center"/>
          </w:tcPr>
          <w:p w14:paraId="697C1975">
            <w:pPr>
              <w:tabs>
                <w:tab w:val="left" w:pos="360"/>
              </w:tabs>
              <w:spacing w:line="360" w:lineRule="auto"/>
              <w:jc w:val="center"/>
              <w:rPr>
                <w:rFonts w:hint="eastAsia" w:ascii="宋体" w:hAnsi="宋体" w:cs="宋体"/>
                <w:bCs/>
                <w:szCs w:val="21"/>
              </w:rPr>
            </w:pPr>
            <w:r>
              <w:rPr>
                <w:rFonts w:hint="eastAsia" w:ascii="宋体" w:hAnsi="宋体" w:cs="宋体"/>
                <w:bCs/>
                <w:szCs w:val="21"/>
              </w:rPr>
              <w:t>服务</w:t>
            </w:r>
          </w:p>
        </w:tc>
        <w:tc>
          <w:tcPr>
            <w:tcW w:w="1992" w:type="dxa"/>
            <w:vAlign w:val="center"/>
          </w:tcPr>
          <w:p w14:paraId="58E99E74">
            <w:pPr>
              <w:tabs>
                <w:tab w:val="left" w:pos="360"/>
              </w:tabs>
              <w:spacing w:line="360" w:lineRule="auto"/>
              <w:jc w:val="center"/>
              <w:rPr>
                <w:rFonts w:hint="eastAsia" w:ascii="宋体" w:hAnsi="宋体" w:cs="宋体"/>
                <w:bCs/>
                <w:szCs w:val="21"/>
              </w:rPr>
            </w:pPr>
            <w:r>
              <w:rPr>
                <w:rFonts w:hint="eastAsia" w:ascii="宋体" w:hAnsi="宋体" w:cs="宋体"/>
                <w:bCs/>
                <w:szCs w:val="21"/>
              </w:rPr>
              <w:t>工程</w:t>
            </w:r>
          </w:p>
        </w:tc>
      </w:tr>
      <w:tr w14:paraId="249F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14:paraId="207B23E5">
            <w:pPr>
              <w:tabs>
                <w:tab w:val="left" w:pos="360"/>
              </w:tabs>
              <w:spacing w:line="360" w:lineRule="auto"/>
              <w:rPr>
                <w:rFonts w:hint="eastAsia" w:ascii="宋体" w:hAnsi="宋体" w:cs="宋体"/>
                <w:bCs/>
                <w:szCs w:val="21"/>
              </w:rPr>
            </w:pPr>
            <w:r>
              <w:rPr>
                <w:rFonts w:hint="eastAsia" w:ascii="宋体" w:hAnsi="宋体" w:cs="宋体"/>
                <w:bCs/>
                <w:szCs w:val="21"/>
              </w:rPr>
              <w:t>100以下</w:t>
            </w:r>
          </w:p>
        </w:tc>
        <w:tc>
          <w:tcPr>
            <w:tcW w:w="1991" w:type="dxa"/>
            <w:vAlign w:val="center"/>
          </w:tcPr>
          <w:p w14:paraId="2F1CDA2A">
            <w:pPr>
              <w:tabs>
                <w:tab w:val="left" w:pos="360"/>
              </w:tabs>
              <w:spacing w:line="360" w:lineRule="auto"/>
              <w:jc w:val="center"/>
              <w:rPr>
                <w:rFonts w:hint="eastAsia" w:ascii="宋体" w:hAnsi="宋体" w:cs="宋体"/>
                <w:bCs/>
                <w:szCs w:val="21"/>
              </w:rPr>
            </w:pPr>
            <w:r>
              <w:rPr>
                <w:rFonts w:hint="eastAsia" w:ascii="宋体" w:hAnsi="宋体" w:cs="宋体"/>
                <w:bCs/>
                <w:szCs w:val="21"/>
              </w:rPr>
              <w:t>1.5%</w:t>
            </w:r>
          </w:p>
        </w:tc>
        <w:tc>
          <w:tcPr>
            <w:tcW w:w="1991" w:type="dxa"/>
            <w:vAlign w:val="center"/>
          </w:tcPr>
          <w:p w14:paraId="00EA4C29">
            <w:pPr>
              <w:tabs>
                <w:tab w:val="left" w:pos="360"/>
              </w:tabs>
              <w:spacing w:line="360" w:lineRule="auto"/>
              <w:jc w:val="center"/>
              <w:rPr>
                <w:rFonts w:hint="eastAsia" w:ascii="宋体" w:hAnsi="宋体" w:cs="宋体"/>
                <w:bCs/>
                <w:szCs w:val="21"/>
              </w:rPr>
            </w:pPr>
            <w:r>
              <w:rPr>
                <w:rFonts w:hint="eastAsia" w:ascii="宋体" w:hAnsi="宋体" w:cs="宋体"/>
                <w:bCs/>
                <w:szCs w:val="21"/>
              </w:rPr>
              <w:t>1.5%</w:t>
            </w:r>
          </w:p>
        </w:tc>
        <w:tc>
          <w:tcPr>
            <w:tcW w:w="1992" w:type="dxa"/>
            <w:vAlign w:val="center"/>
          </w:tcPr>
          <w:p w14:paraId="37787EA3">
            <w:pPr>
              <w:tabs>
                <w:tab w:val="left" w:pos="360"/>
              </w:tabs>
              <w:spacing w:line="360" w:lineRule="auto"/>
              <w:jc w:val="center"/>
              <w:rPr>
                <w:rFonts w:hint="eastAsia" w:ascii="宋体" w:hAnsi="宋体" w:cs="宋体"/>
                <w:bCs/>
                <w:szCs w:val="21"/>
              </w:rPr>
            </w:pPr>
            <w:r>
              <w:rPr>
                <w:rFonts w:hint="eastAsia" w:ascii="宋体" w:hAnsi="宋体" w:cs="宋体"/>
                <w:bCs/>
                <w:szCs w:val="21"/>
              </w:rPr>
              <w:t>1.0%</w:t>
            </w:r>
          </w:p>
        </w:tc>
      </w:tr>
      <w:tr w14:paraId="762C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14:paraId="02E1C4F4">
            <w:pPr>
              <w:tabs>
                <w:tab w:val="left" w:pos="360"/>
              </w:tabs>
              <w:spacing w:line="360" w:lineRule="auto"/>
              <w:rPr>
                <w:rFonts w:hint="eastAsia" w:ascii="宋体" w:hAnsi="宋体" w:cs="宋体"/>
                <w:bCs/>
                <w:szCs w:val="21"/>
              </w:rPr>
            </w:pPr>
            <w:r>
              <w:rPr>
                <w:rFonts w:hint="eastAsia" w:ascii="宋体" w:hAnsi="宋体" w:cs="宋体"/>
                <w:bCs/>
                <w:szCs w:val="21"/>
              </w:rPr>
              <w:t>100-500</w:t>
            </w:r>
          </w:p>
        </w:tc>
        <w:tc>
          <w:tcPr>
            <w:tcW w:w="1991" w:type="dxa"/>
            <w:vAlign w:val="center"/>
          </w:tcPr>
          <w:p w14:paraId="2A4D7173">
            <w:pPr>
              <w:tabs>
                <w:tab w:val="left" w:pos="360"/>
              </w:tabs>
              <w:spacing w:line="360" w:lineRule="auto"/>
              <w:jc w:val="center"/>
              <w:rPr>
                <w:rFonts w:hint="eastAsia" w:ascii="宋体" w:hAnsi="宋体" w:cs="宋体"/>
                <w:bCs/>
                <w:szCs w:val="21"/>
              </w:rPr>
            </w:pPr>
            <w:r>
              <w:rPr>
                <w:rFonts w:hint="eastAsia" w:ascii="宋体" w:hAnsi="宋体" w:cs="宋体"/>
                <w:bCs/>
                <w:szCs w:val="21"/>
              </w:rPr>
              <w:t>1.1%</w:t>
            </w:r>
          </w:p>
        </w:tc>
        <w:tc>
          <w:tcPr>
            <w:tcW w:w="1991" w:type="dxa"/>
            <w:vAlign w:val="center"/>
          </w:tcPr>
          <w:p w14:paraId="78061414">
            <w:pPr>
              <w:tabs>
                <w:tab w:val="left" w:pos="360"/>
              </w:tabs>
              <w:spacing w:line="360" w:lineRule="auto"/>
              <w:jc w:val="center"/>
              <w:rPr>
                <w:rFonts w:hint="eastAsia" w:ascii="宋体" w:hAnsi="宋体" w:cs="宋体"/>
                <w:bCs/>
                <w:szCs w:val="21"/>
              </w:rPr>
            </w:pPr>
            <w:r>
              <w:rPr>
                <w:rFonts w:hint="eastAsia" w:ascii="宋体" w:hAnsi="宋体" w:cs="宋体"/>
                <w:bCs/>
                <w:szCs w:val="21"/>
              </w:rPr>
              <w:t>0.8%</w:t>
            </w:r>
          </w:p>
        </w:tc>
        <w:tc>
          <w:tcPr>
            <w:tcW w:w="1992" w:type="dxa"/>
            <w:vAlign w:val="center"/>
          </w:tcPr>
          <w:p w14:paraId="1C3D492A">
            <w:pPr>
              <w:tabs>
                <w:tab w:val="left" w:pos="360"/>
              </w:tabs>
              <w:spacing w:line="360" w:lineRule="auto"/>
              <w:jc w:val="center"/>
              <w:rPr>
                <w:rFonts w:hint="eastAsia" w:ascii="宋体" w:hAnsi="宋体" w:cs="宋体"/>
                <w:bCs/>
                <w:szCs w:val="21"/>
              </w:rPr>
            </w:pPr>
            <w:r>
              <w:rPr>
                <w:rFonts w:hint="eastAsia" w:ascii="宋体" w:hAnsi="宋体" w:cs="宋体"/>
                <w:bCs/>
                <w:szCs w:val="21"/>
              </w:rPr>
              <w:t>0.7%</w:t>
            </w:r>
          </w:p>
        </w:tc>
      </w:tr>
      <w:tr w14:paraId="3B20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14:paraId="28306DA8">
            <w:pPr>
              <w:tabs>
                <w:tab w:val="left" w:pos="360"/>
              </w:tabs>
              <w:spacing w:line="360" w:lineRule="auto"/>
              <w:rPr>
                <w:rFonts w:hint="eastAsia" w:ascii="宋体" w:hAnsi="宋体" w:cs="宋体"/>
                <w:bCs/>
                <w:szCs w:val="21"/>
              </w:rPr>
            </w:pPr>
            <w:r>
              <w:rPr>
                <w:rFonts w:hint="eastAsia" w:ascii="宋体" w:hAnsi="宋体" w:cs="宋体"/>
                <w:bCs/>
                <w:szCs w:val="21"/>
              </w:rPr>
              <w:t>500-1000</w:t>
            </w:r>
          </w:p>
        </w:tc>
        <w:tc>
          <w:tcPr>
            <w:tcW w:w="1991" w:type="dxa"/>
            <w:vAlign w:val="center"/>
          </w:tcPr>
          <w:p w14:paraId="64EB8665">
            <w:pPr>
              <w:tabs>
                <w:tab w:val="left" w:pos="360"/>
              </w:tabs>
              <w:spacing w:line="360" w:lineRule="auto"/>
              <w:jc w:val="center"/>
              <w:rPr>
                <w:rFonts w:hint="eastAsia" w:ascii="宋体" w:hAnsi="宋体" w:cs="宋体"/>
                <w:bCs/>
                <w:szCs w:val="21"/>
              </w:rPr>
            </w:pPr>
            <w:r>
              <w:rPr>
                <w:rFonts w:hint="eastAsia" w:ascii="宋体" w:hAnsi="宋体" w:cs="宋体"/>
                <w:bCs/>
                <w:szCs w:val="21"/>
              </w:rPr>
              <w:t>0.8%</w:t>
            </w:r>
          </w:p>
        </w:tc>
        <w:tc>
          <w:tcPr>
            <w:tcW w:w="1991" w:type="dxa"/>
            <w:vAlign w:val="center"/>
          </w:tcPr>
          <w:p w14:paraId="3A8FABA8">
            <w:pPr>
              <w:tabs>
                <w:tab w:val="left" w:pos="360"/>
              </w:tabs>
              <w:spacing w:line="360" w:lineRule="auto"/>
              <w:jc w:val="center"/>
              <w:rPr>
                <w:rFonts w:hint="eastAsia" w:ascii="宋体" w:hAnsi="宋体" w:cs="宋体"/>
                <w:bCs/>
                <w:szCs w:val="21"/>
              </w:rPr>
            </w:pPr>
            <w:r>
              <w:rPr>
                <w:rFonts w:hint="eastAsia" w:ascii="宋体" w:hAnsi="宋体" w:cs="宋体"/>
                <w:bCs/>
                <w:szCs w:val="21"/>
              </w:rPr>
              <w:t>0.45%</w:t>
            </w:r>
          </w:p>
        </w:tc>
        <w:tc>
          <w:tcPr>
            <w:tcW w:w="1992" w:type="dxa"/>
            <w:vAlign w:val="center"/>
          </w:tcPr>
          <w:p w14:paraId="34B91324">
            <w:pPr>
              <w:tabs>
                <w:tab w:val="left" w:pos="360"/>
              </w:tabs>
              <w:spacing w:line="360" w:lineRule="auto"/>
              <w:jc w:val="center"/>
              <w:rPr>
                <w:rFonts w:hint="eastAsia" w:ascii="宋体" w:hAnsi="宋体" w:cs="宋体"/>
                <w:bCs/>
                <w:szCs w:val="21"/>
              </w:rPr>
            </w:pPr>
            <w:r>
              <w:rPr>
                <w:rFonts w:hint="eastAsia" w:ascii="宋体" w:hAnsi="宋体" w:cs="宋体"/>
                <w:bCs/>
                <w:szCs w:val="21"/>
              </w:rPr>
              <w:t>0.55%</w:t>
            </w:r>
          </w:p>
        </w:tc>
      </w:tr>
      <w:tr w14:paraId="6F47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14:paraId="57C6834C">
            <w:pPr>
              <w:tabs>
                <w:tab w:val="left" w:pos="360"/>
              </w:tabs>
              <w:spacing w:line="360" w:lineRule="auto"/>
              <w:rPr>
                <w:rFonts w:hint="eastAsia" w:ascii="宋体" w:hAnsi="宋体" w:cs="宋体"/>
                <w:bCs/>
                <w:szCs w:val="21"/>
              </w:rPr>
            </w:pPr>
            <w:r>
              <w:rPr>
                <w:rFonts w:hint="eastAsia" w:ascii="宋体" w:hAnsi="宋体" w:cs="宋体"/>
                <w:bCs/>
                <w:szCs w:val="21"/>
              </w:rPr>
              <w:t>1000-5000</w:t>
            </w:r>
          </w:p>
        </w:tc>
        <w:tc>
          <w:tcPr>
            <w:tcW w:w="1991" w:type="dxa"/>
            <w:vAlign w:val="center"/>
          </w:tcPr>
          <w:p w14:paraId="75A7DE43">
            <w:pPr>
              <w:tabs>
                <w:tab w:val="left" w:pos="360"/>
              </w:tabs>
              <w:spacing w:line="360" w:lineRule="auto"/>
              <w:jc w:val="center"/>
              <w:rPr>
                <w:rFonts w:hint="eastAsia" w:ascii="宋体" w:hAnsi="宋体" w:cs="宋体"/>
                <w:bCs/>
                <w:szCs w:val="21"/>
              </w:rPr>
            </w:pPr>
            <w:r>
              <w:rPr>
                <w:rFonts w:hint="eastAsia" w:ascii="宋体" w:hAnsi="宋体" w:cs="宋体"/>
                <w:bCs/>
                <w:szCs w:val="21"/>
              </w:rPr>
              <w:t>0.5%</w:t>
            </w:r>
          </w:p>
        </w:tc>
        <w:tc>
          <w:tcPr>
            <w:tcW w:w="1991" w:type="dxa"/>
            <w:vAlign w:val="center"/>
          </w:tcPr>
          <w:p w14:paraId="4406A082">
            <w:pPr>
              <w:tabs>
                <w:tab w:val="left" w:pos="360"/>
              </w:tabs>
              <w:spacing w:line="360" w:lineRule="auto"/>
              <w:jc w:val="center"/>
              <w:rPr>
                <w:rFonts w:hint="eastAsia" w:ascii="宋体" w:hAnsi="宋体" w:cs="宋体"/>
                <w:bCs/>
                <w:szCs w:val="21"/>
              </w:rPr>
            </w:pPr>
            <w:r>
              <w:rPr>
                <w:rFonts w:hint="eastAsia" w:ascii="宋体" w:hAnsi="宋体" w:cs="宋体"/>
                <w:bCs/>
                <w:szCs w:val="21"/>
              </w:rPr>
              <w:t>0.25%</w:t>
            </w:r>
          </w:p>
        </w:tc>
        <w:tc>
          <w:tcPr>
            <w:tcW w:w="1992" w:type="dxa"/>
            <w:vAlign w:val="center"/>
          </w:tcPr>
          <w:p w14:paraId="4D4871EB">
            <w:pPr>
              <w:tabs>
                <w:tab w:val="left" w:pos="360"/>
              </w:tabs>
              <w:spacing w:line="360" w:lineRule="auto"/>
              <w:jc w:val="center"/>
              <w:rPr>
                <w:rFonts w:hint="eastAsia" w:ascii="宋体" w:hAnsi="宋体" w:cs="宋体"/>
                <w:bCs/>
                <w:szCs w:val="21"/>
              </w:rPr>
            </w:pPr>
            <w:r>
              <w:rPr>
                <w:rFonts w:hint="eastAsia" w:ascii="宋体" w:hAnsi="宋体" w:cs="宋体"/>
                <w:bCs/>
                <w:szCs w:val="21"/>
              </w:rPr>
              <w:t>0.35%</w:t>
            </w:r>
          </w:p>
        </w:tc>
      </w:tr>
      <w:tr w14:paraId="46BE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14:paraId="1747A4D1">
            <w:pPr>
              <w:tabs>
                <w:tab w:val="left" w:pos="360"/>
              </w:tabs>
              <w:spacing w:line="360" w:lineRule="auto"/>
              <w:rPr>
                <w:rFonts w:hint="eastAsia" w:ascii="宋体" w:hAnsi="宋体" w:cs="宋体"/>
                <w:bCs/>
                <w:szCs w:val="21"/>
              </w:rPr>
            </w:pPr>
            <w:r>
              <w:rPr>
                <w:rFonts w:hint="eastAsia" w:ascii="宋体" w:hAnsi="宋体" w:cs="宋体"/>
                <w:bCs/>
                <w:szCs w:val="21"/>
              </w:rPr>
              <w:t>5000-10000</w:t>
            </w:r>
          </w:p>
        </w:tc>
        <w:tc>
          <w:tcPr>
            <w:tcW w:w="1991" w:type="dxa"/>
            <w:vAlign w:val="center"/>
          </w:tcPr>
          <w:p w14:paraId="328AA47E">
            <w:pPr>
              <w:tabs>
                <w:tab w:val="left" w:pos="360"/>
              </w:tabs>
              <w:spacing w:line="360" w:lineRule="auto"/>
              <w:jc w:val="center"/>
              <w:rPr>
                <w:rFonts w:hint="eastAsia" w:ascii="宋体" w:hAnsi="宋体" w:cs="宋体"/>
                <w:bCs/>
                <w:szCs w:val="21"/>
              </w:rPr>
            </w:pPr>
            <w:r>
              <w:rPr>
                <w:rFonts w:hint="eastAsia" w:ascii="宋体" w:hAnsi="宋体" w:cs="宋体"/>
                <w:bCs/>
                <w:szCs w:val="21"/>
              </w:rPr>
              <w:t>0.25%</w:t>
            </w:r>
          </w:p>
        </w:tc>
        <w:tc>
          <w:tcPr>
            <w:tcW w:w="1991" w:type="dxa"/>
            <w:vAlign w:val="center"/>
          </w:tcPr>
          <w:p w14:paraId="0BD542F4">
            <w:pPr>
              <w:tabs>
                <w:tab w:val="left" w:pos="360"/>
              </w:tabs>
              <w:spacing w:line="360" w:lineRule="auto"/>
              <w:jc w:val="center"/>
              <w:rPr>
                <w:rFonts w:hint="eastAsia" w:ascii="宋体" w:hAnsi="宋体" w:cs="宋体"/>
                <w:bCs/>
                <w:szCs w:val="21"/>
              </w:rPr>
            </w:pPr>
            <w:r>
              <w:rPr>
                <w:rFonts w:hint="eastAsia" w:ascii="宋体" w:hAnsi="宋体" w:cs="宋体"/>
                <w:bCs/>
                <w:szCs w:val="21"/>
              </w:rPr>
              <w:t>0.1%</w:t>
            </w:r>
          </w:p>
        </w:tc>
        <w:tc>
          <w:tcPr>
            <w:tcW w:w="1992" w:type="dxa"/>
            <w:vAlign w:val="center"/>
          </w:tcPr>
          <w:p w14:paraId="0F764191">
            <w:pPr>
              <w:tabs>
                <w:tab w:val="left" w:pos="360"/>
              </w:tabs>
              <w:spacing w:line="360" w:lineRule="auto"/>
              <w:jc w:val="center"/>
              <w:rPr>
                <w:rFonts w:hint="eastAsia" w:ascii="宋体" w:hAnsi="宋体" w:cs="宋体"/>
                <w:bCs/>
                <w:szCs w:val="21"/>
              </w:rPr>
            </w:pPr>
            <w:r>
              <w:rPr>
                <w:rFonts w:hint="eastAsia" w:ascii="宋体" w:hAnsi="宋体" w:cs="宋体"/>
                <w:bCs/>
                <w:szCs w:val="21"/>
              </w:rPr>
              <w:t>0.2%</w:t>
            </w:r>
          </w:p>
        </w:tc>
      </w:tr>
    </w:tbl>
    <w:p w14:paraId="04907F67">
      <w:pPr>
        <w:tabs>
          <w:tab w:val="left" w:pos="720"/>
        </w:tabs>
        <w:snapToGrid w:val="0"/>
        <w:spacing w:line="360" w:lineRule="auto"/>
        <w:ind w:left="992"/>
        <w:rPr>
          <w:rFonts w:hint="eastAsia" w:ascii="宋体" w:hAnsi="宋体" w:cs="宋体"/>
          <w:bCs/>
          <w:szCs w:val="21"/>
        </w:rPr>
      </w:pPr>
    </w:p>
    <w:p w14:paraId="36744B84">
      <w:pPr>
        <w:tabs>
          <w:tab w:val="left" w:pos="720"/>
        </w:tabs>
        <w:snapToGrid w:val="0"/>
        <w:spacing w:line="360" w:lineRule="auto"/>
        <w:ind w:left="992"/>
        <w:rPr>
          <w:rFonts w:hint="eastAsia" w:ascii="宋体" w:hAnsi="宋体" w:cs="宋体"/>
          <w:bCs/>
          <w:szCs w:val="21"/>
        </w:rPr>
      </w:pPr>
      <w:r>
        <w:rPr>
          <w:rFonts w:hint="eastAsia" w:ascii="宋体" w:hAnsi="宋体" w:cs="宋体"/>
          <w:bCs/>
          <w:szCs w:val="21"/>
        </w:rPr>
        <w:t>例如：某项目采购代理业务成交金额为200万元，计算采购代理服务费收费额如下：</w:t>
      </w:r>
    </w:p>
    <w:p w14:paraId="2681CA2A">
      <w:pPr>
        <w:tabs>
          <w:tab w:val="left" w:pos="720"/>
        </w:tabs>
        <w:snapToGrid w:val="0"/>
        <w:spacing w:line="360" w:lineRule="auto"/>
        <w:ind w:left="992" w:firstLine="707" w:firstLineChars="337"/>
        <w:rPr>
          <w:rFonts w:hint="eastAsia" w:ascii="宋体" w:hAnsi="宋体" w:cs="宋体"/>
          <w:bCs/>
          <w:szCs w:val="21"/>
        </w:rPr>
      </w:pPr>
      <w:r>
        <w:rPr>
          <w:rFonts w:hint="eastAsia" w:ascii="宋体" w:hAnsi="宋体" w:cs="宋体"/>
          <w:bCs/>
          <w:szCs w:val="21"/>
        </w:rPr>
        <w:t>100万元 × 1.5% = 1.5万元</w:t>
      </w:r>
    </w:p>
    <w:p w14:paraId="5C358479">
      <w:pPr>
        <w:tabs>
          <w:tab w:val="left" w:pos="720"/>
        </w:tabs>
        <w:snapToGrid w:val="0"/>
        <w:spacing w:line="360" w:lineRule="auto"/>
        <w:ind w:left="992" w:firstLine="707" w:firstLineChars="337"/>
        <w:rPr>
          <w:rFonts w:hint="eastAsia" w:ascii="宋体" w:hAnsi="宋体" w:cs="宋体"/>
          <w:bCs/>
          <w:szCs w:val="21"/>
        </w:rPr>
      </w:pPr>
      <w:r>
        <w:rPr>
          <w:rFonts w:hint="eastAsia" w:ascii="宋体" w:hAnsi="宋体" w:cs="宋体"/>
          <w:bCs/>
          <w:szCs w:val="21"/>
        </w:rPr>
        <w:t>（200-100）万元 × 0.8% = 0.8万元</w:t>
      </w:r>
    </w:p>
    <w:p w14:paraId="0C280049">
      <w:pPr>
        <w:tabs>
          <w:tab w:val="left" w:pos="720"/>
        </w:tabs>
        <w:snapToGrid w:val="0"/>
        <w:spacing w:line="360" w:lineRule="auto"/>
        <w:ind w:left="992" w:firstLine="707" w:firstLineChars="337"/>
        <w:rPr>
          <w:rFonts w:hint="eastAsia" w:ascii="宋体" w:hAnsi="宋体" w:cs="宋体"/>
          <w:bCs/>
          <w:szCs w:val="21"/>
        </w:rPr>
      </w:pPr>
      <w:r>
        <w:rPr>
          <w:rFonts w:hint="eastAsia" w:ascii="宋体" w:hAnsi="宋体" w:cs="宋体"/>
          <w:bCs/>
          <w:szCs w:val="21"/>
        </w:rPr>
        <w:t>累计收费 = 1.5万元 + 0.8万元 = 2.3万元</w:t>
      </w:r>
    </w:p>
    <w:p w14:paraId="759F9A54">
      <w:pPr>
        <w:numPr>
          <w:ilvl w:val="0"/>
          <w:numId w:val="12"/>
        </w:numPr>
        <w:spacing w:line="360" w:lineRule="auto"/>
        <w:jc w:val="left"/>
        <w:outlineLvl w:val="1"/>
        <w:rPr>
          <w:rFonts w:hint="eastAsia" w:ascii="宋体" w:hAnsi="宋体" w:cs="宋体"/>
          <w:b/>
          <w:szCs w:val="21"/>
        </w:rPr>
      </w:pPr>
      <w:bookmarkStart w:id="168" w:name="_Toc59194009"/>
      <w:bookmarkStart w:id="169" w:name="_Toc72935229"/>
      <w:bookmarkStart w:id="170" w:name="_Toc72163768"/>
      <w:bookmarkStart w:id="171" w:name="_Toc509332373"/>
      <w:bookmarkStart w:id="172" w:name="_Toc367012679"/>
      <w:bookmarkStart w:id="173" w:name="_Toc368513810"/>
      <w:bookmarkStart w:id="174" w:name="_Toc18429813"/>
      <w:r>
        <w:rPr>
          <w:rFonts w:hint="eastAsia" w:ascii="宋体" w:hAnsi="宋体" w:cs="宋体"/>
          <w:b/>
          <w:szCs w:val="21"/>
        </w:rPr>
        <w:t>关于合同</w:t>
      </w:r>
      <w:bookmarkEnd w:id="168"/>
      <w:bookmarkEnd w:id="169"/>
      <w:bookmarkEnd w:id="170"/>
      <w:bookmarkEnd w:id="171"/>
      <w:bookmarkEnd w:id="172"/>
      <w:bookmarkEnd w:id="173"/>
      <w:bookmarkEnd w:id="174"/>
    </w:p>
    <w:p w14:paraId="06F06FFF">
      <w:pPr>
        <w:numPr>
          <w:ilvl w:val="0"/>
          <w:numId w:val="24"/>
        </w:numPr>
        <w:snapToGrid w:val="0"/>
        <w:spacing w:line="360" w:lineRule="auto"/>
        <w:outlineLvl w:val="2"/>
        <w:rPr>
          <w:rFonts w:hint="eastAsia" w:ascii="宋体" w:hAnsi="宋体" w:cs="宋体"/>
          <w:b/>
          <w:szCs w:val="21"/>
        </w:rPr>
      </w:pPr>
      <w:bookmarkStart w:id="175" w:name="_Toc322606647"/>
      <w:bookmarkStart w:id="176" w:name="_Toc72935230"/>
      <w:bookmarkStart w:id="177" w:name="_Toc59194010"/>
      <w:bookmarkStart w:id="178" w:name="_Toc72163769"/>
      <w:bookmarkStart w:id="179" w:name="_Toc18429814"/>
      <w:r>
        <w:rPr>
          <w:rFonts w:hint="eastAsia" w:ascii="宋体" w:hAnsi="宋体" w:cs="宋体"/>
          <w:b/>
          <w:szCs w:val="21"/>
        </w:rPr>
        <w:t>合同的订立</w:t>
      </w:r>
      <w:bookmarkEnd w:id="175"/>
      <w:bookmarkEnd w:id="176"/>
      <w:bookmarkEnd w:id="177"/>
      <w:bookmarkEnd w:id="178"/>
      <w:bookmarkEnd w:id="179"/>
    </w:p>
    <w:p w14:paraId="51053744">
      <w:pPr>
        <w:numPr>
          <w:ilvl w:val="1"/>
          <w:numId w:val="25"/>
        </w:numPr>
        <w:tabs>
          <w:tab w:val="left" w:pos="426"/>
          <w:tab w:val="left" w:pos="720"/>
          <w:tab w:val="clear" w:pos="992"/>
        </w:tabs>
        <w:snapToGrid w:val="0"/>
        <w:spacing w:line="360" w:lineRule="auto"/>
        <w:ind w:left="709"/>
        <w:rPr>
          <w:rFonts w:hint="eastAsia" w:ascii="宋体" w:hAnsi="宋体" w:cs="宋体"/>
          <w:szCs w:val="21"/>
        </w:rPr>
      </w:pPr>
      <w:bookmarkStart w:id="180" w:name="_Toc322606648"/>
      <w:r>
        <w:rPr>
          <w:rFonts w:hint="eastAsia" w:ascii="宋体" w:hAnsi="宋体" w:cs="宋体"/>
          <w:szCs w:val="21"/>
        </w:rPr>
        <w:t>成交人应当自成交通知书发出之日起三日内，按照成交报价和竞价文件要求，派遣其授权代表携带采购代理机构发出的《成交通知书》，前往与采购人签署合同。</w:t>
      </w:r>
    </w:p>
    <w:bookmarkEnd w:id="180"/>
    <w:p w14:paraId="50261D4B">
      <w:pPr>
        <w:numPr>
          <w:ilvl w:val="0"/>
          <w:numId w:val="24"/>
        </w:numPr>
        <w:snapToGrid w:val="0"/>
        <w:spacing w:line="360" w:lineRule="auto"/>
        <w:outlineLvl w:val="2"/>
        <w:rPr>
          <w:rFonts w:hint="eastAsia" w:ascii="宋体" w:hAnsi="宋体" w:cs="宋体"/>
          <w:b/>
          <w:szCs w:val="21"/>
        </w:rPr>
      </w:pPr>
      <w:bookmarkStart w:id="181" w:name="_Toc72935231"/>
      <w:bookmarkStart w:id="182" w:name="_Toc72163770"/>
      <w:bookmarkStart w:id="183" w:name="_Toc18429815"/>
      <w:bookmarkStart w:id="184" w:name="_Toc59194011"/>
      <w:r>
        <w:rPr>
          <w:rFonts w:hint="eastAsia" w:ascii="宋体" w:hAnsi="宋体" w:cs="宋体"/>
          <w:b/>
          <w:szCs w:val="21"/>
        </w:rPr>
        <w:t>关于分包</w:t>
      </w:r>
      <w:bookmarkEnd w:id="181"/>
      <w:bookmarkEnd w:id="182"/>
      <w:bookmarkEnd w:id="183"/>
      <w:bookmarkEnd w:id="184"/>
    </w:p>
    <w:p w14:paraId="613EAE2C">
      <w:pPr>
        <w:tabs>
          <w:tab w:val="left" w:pos="720"/>
        </w:tabs>
        <w:snapToGrid w:val="0"/>
        <w:spacing w:line="360" w:lineRule="auto"/>
        <w:ind w:left="372" w:leftChars="177" w:firstLine="420" w:firstLineChars="200"/>
        <w:rPr>
          <w:rFonts w:hint="eastAsia" w:ascii="宋体" w:hAnsi="宋体" w:cs="宋体"/>
          <w:szCs w:val="21"/>
        </w:rPr>
      </w:pPr>
      <w:r>
        <w:rPr>
          <w:rFonts w:hint="eastAsia" w:ascii="宋体" w:hAnsi="宋体" w:cs="宋体"/>
          <w:szCs w:val="21"/>
        </w:rPr>
        <w:t>未载明分包承担主体及工作的，不得分包。成交项目的主体、关键性工作不得分包。</w:t>
      </w:r>
    </w:p>
    <w:p w14:paraId="3CACA55A">
      <w:pPr>
        <w:numPr>
          <w:ilvl w:val="0"/>
          <w:numId w:val="12"/>
        </w:numPr>
        <w:spacing w:line="360" w:lineRule="auto"/>
        <w:jc w:val="left"/>
        <w:outlineLvl w:val="1"/>
        <w:rPr>
          <w:rFonts w:hint="eastAsia" w:ascii="宋体" w:hAnsi="宋体" w:cs="宋体"/>
          <w:b/>
          <w:szCs w:val="21"/>
        </w:rPr>
      </w:pPr>
      <w:bookmarkStart w:id="185" w:name="_Toc72163771"/>
      <w:bookmarkStart w:id="186" w:name="_Toc368513811"/>
      <w:bookmarkStart w:id="187" w:name="_Toc234727576"/>
      <w:bookmarkStart w:id="188" w:name="_Toc509332374"/>
      <w:bookmarkStart w:id="189" w:name="_Toc59194012"/>
      <w:bookmarkStart w:id="190" w:name="_Toc18429816"/>
      <w:bookmarkStart w:id="191" w:name="_Toc72935232"/>
      <w:r>
        <w:rPr>
          <w:rFonts w:hint="eastAsia" w:ascii="宋体" w:hAnsi="宋体" w:cs="宋体"/>
          <w:b/>
          <w:szCs w:val="21"/>
        </w:rPr>
        <w:t>关于询问</w:t>
      </w:r>
      <w:bookmarkEnd w:id="185"/>
      <w:bookmarkEnd w:id="186"/>
      <w:bookmarkEnd w:id="187"/>
      <w:bookmarkEnd w:id="188"/>
      <w:bookmarkEnd w:id="189"/>
      <w:bookmarkEnd w:id="190"/>
      <w:bookmarkEnd w:id="191"/>
    </w:p>
    <w:p w14:paraId="46503F98">
      <w:pPr>
        <w:numPr>
          <w:ilvl w:val="0"/>
          <w:numId w:val="26"/>
        </w:numPr>
        <w:snapToGrid w:val="0"/>
        <w:spacing w:line="360" w:lineRule="auto"/>
        <w:outlineLvl w:val="2"/>
        <w:rPr>
          <w:rFonts w:hint="eastAsia" w:ascii="宋体" w:hAnsi="宋体" w:cs="宋体"/>
          <w:b/>
          <w:szCs w:val="21"/>
        </w:rPr>
      </w:pPr>
      <w:bookmarkStart w:id="192" w:name="_Toc59194013"/>
      <w:bookmarkStart w:id="193" w:name="_Toc72163772"/>
      <w:bookmarkStart w:id="194" w:name="_Toc72935233"/>
      <w:bookmarkStart w:id="195" w:name="_Toc18429817"/>
      <w:r>
        <w:rPr>
          <w:rFonts w:hint="eastAsia" w:ascii="宋体" w:hAnsi="宋体" w:cs="宋体"/>
          <w:b/>
          <w:szCs w:val="21"/>
        </w:rPr>
        <w:t>询问</w:t>
      </w:r>
      <w:bookmarkEnd w:id="192"/>
      <w:bookmarkEnd w:id="193"/>
      <w:bookmarkEnd w:id="194"/>
      <w:bookmarkEnd w:id="195"/>
    </w:p>
    <w:p w14:paraId="0FA47227">
      <w:pPr>
        <w:snapToGrid w:val="0"/>
        <w:spacing w:line="360" w:lineRule="auto"/>
        <w:ind w:firstLine="420" w:firstLineChars="200"/>
        <w:rPr>
          <w:rFonts w:hint="eastAsia" w:ascii="宋体" w:hAnsi="宋体" w:cs="宋体"/>
          <w:szCs w:val="21"/>
        </w:rPr>
      </w:pPr>
      <w:r>
        <w:rPr>
          <w:rFonts w:hint="eastAsia" w:ascii="宋体" w:hAnsi="宋体" w:cs="宋体"/>
          <w:szCs w:val="21"/>
        </w:rPr>
        <w:t>供应商对竞价活动事项（竞价文件、竞价过程）有疑问的，可以向采购人或采购代理机构提出询问，采购人或采购代理机构将作出答复，但答复的内容不涉及商业秘密。询问可以口头方式提出，也可以书面方式提出，书面方式包括但不限于传真、信函、电子邮件。联系方式详见《竞价公告》。</w:t>
      </w:r>
    </w:p>
    <w:p w14:paraId="32BC0408">
      <w:pPr>
        <w:numPr>
          <w:ilvl w:val="0"/>
          <w:numId w:val="12"/>
        </w:numPr>
        <w:spacing w:line="360" w:lineRule="auto"/>
        <w:jc w:val="left"/>
        <w:outlineLvl w:val="1"/>
        <w:rPr>
          <w:rFonts w:hint="eastAsia" w:ascii="宋体" w:hAnsi="宋体" w:cs="宋体"/>
          <w:b/>
          <w:szCs w:val="21"/>
        </w:rPr>
      </w:pPr>
      <w:bookmarkStart w:id="196" w:name="_Toc59194014"/>
      <w:bookmarkStart w:id="197" w:name="_Toc72163773"/>
      <w:bookmarkStart w:id="198" w:name="_Toc72935234"/>
      <w:r>
        <w:rPr>
          <w:rFonts w:hint="eastAsia" w:ascii="宋体" w:hAnsi="宋体" w:cs="宋体"/>
          <w:b/>
          <w:szCs w:val="21"/>
        </w:rPr>
        <w:t>免责声明</w:t>
      </w:r>
      <w:bookmarkEnd w:id="196"/>
      <w:bookmarkEnd w:id="197"/>
      <w:bookmarkEnd w:id="198"/>
    </w:p>
    <w:p w14:paraId="71F373C8">
      <w:pPr>
        <w:numPr>
          <w:ilvl w:val="0"/>
          <w:numId w:val="27"/>
        </w:numPr>
        <w:snapToGrid w:val="0"/>
        <w:spacing w:line="360" w:lineRule="auto"/>
        <w:outlineLvl w:val="2"/>
        <w:rPr>
          <w:rFonts w:hint="eastAsia" w:ascii="宋体" w:hAnsi="宋体" w:cs="宋体"/>
          <w:szCs w:val="21"/>
        </w:rPr>
      </w:pPr>
      <w:bookmarkStart w:id="199" w:name="_Toc72935235"/>
      <w:bookmarkStart w:id="200" w:name="_Toc72163774"/>
      <w:bookmarkStart w:id="201" w:name="_Toc59194015"/>
      <w:r>
        <w:rPr>
          <w:rFonts w:hint="eastAsia" w:ascii="宋体" w:hAnsi="宋体" w:cs="宋体"/>
          <w:szCs w:val="21"/>
        </w:rPr>
        <w:t>竞价数据以网上竞价平台数据库记录为准，一切因网络通信等外部因素造成的竞价数据错误或缺失，或导致竞价项目交易异常的，均与国E平台无关。</w:t>
      </w:r>
      <w:bookmarkEnd w:id="199"/>
      <w:bookmarkEnd w:id="200"/>
      <w:bookmarkEnd w:id="201"/>
    </w:p>
    <w:p w14:paraId="23ADA76F">
      <w:pPr>
        <w:numPr>
          <w:ilvl w:val="0"/>
          <w:numId w:val="27"/>
        </w:numPr>
        <w:snapToGrid w:val="0"/>
        <w:spacing w:line="360" w:lineRule="auto"/>
        <w:outlineLvl w:val="2"/>
        <w:rPr>
          <w:rFonts w:hint="eastAsia" w:ascii="宋体" w:hAnsi="宋体" w:cs="宋体"/>
          <w:szCs w:val="21"/>
        </w:rPr>
      </w:pPr>
      <w:bookmarkStart w:id="202" w:name="_Toc59194016"/>
      <w:bookmarkStart w:id="203" w:name="_Toc72163775"/>
      <w:bookmarkStart w:id="204" w:name="_Toc72935236"/>
      <w:r>
        <w:rPr>
          <w:rFonts w:hint="eastAsia" w:ascii="宋体" w:hAnsi="宋体" w:cs="宋体"/>
          <w:szCs w:val="21"/>
        </w:rPr>
        <w:t>因网络抖动等原因造成竞价延时情况由供应商承担。</w:t>
      </w:r>
      <w:bookmarkEnd w:id="202"/>
      <w:bookmarkEnd w:id="203"/>
      <w:bookmarkEnd w:id="204"/>
    </w:p>
    <w:p w14:paraId="16862722">
      <w:pPr>
        <w:snapToGrid w:val="0"/>
        <w:spacing w:line="360" w:lineRule="auto"/>
        <w:ind w:firstLine="420" w:firstLineChars="200"/>
        <w:rPr>
          <w:rFonts w:hint="eastAsia" w:ascii="宋体" w:hAnsi="宋体" w:cs="宋体"/>
          <w:szCs w:val="21"/>
        </w:rPr>
        <w:sectPr>
          <w:footerReference r:id="rId9" w:type="even"/>
          <w:pgSz w:w="11907" w:h="16840"/>
          <w:pgMar w:top="1134" w:right="1361" w:bottom="1134" w:left="1361" w:header="680" w:footer="567" w:gutter="0"/>
          <w:cols w:space="720" w:num="1"/>
          <w:docGrid w:linePitch="312" w:charSpace="0"/>
        </w:sectPr>
      </w:pPr>
    </w:p>
    <w:bookmarkEnd w:id="9"/>
    <w:p w14:paraId="3088772E">
      <w:pPr>
        <w:pStyle w:val="2"/>
        <w:spacing w:line="400" w:lineRule="exact"/>
        <w:jc w:val="center"/>
        <w:rPr>
          <w:rFonts w:hint="eastAsia" w:ascii="宋体" w:hAnsi="宋体" w:cs="宋体"/>
          <w:sz w:val="32"/>
          <w:szCs w:val="32"/>
        </w:rPr>
      </w:pPr>
      <w:bookmarkStart w:id="205" w:name="_Toc18676"/>
      <w:bookmarkStart w:id="206" w:name="_Toc59194017"/>
      <w:bookmarkStart w:id="207" w:name="_Toc187048339"/>
      <w:r>
        <w:rPr>
          <w:rFonts w:hint="eastAsia" w:ascii="宋体" w:hAnsi="宋体" w:cs="宋体"/>
          <w:sz w:val="32"/>
          <w:szCs w:val="32"/>
        </w:rPr>
        <w:t>第三部分 项目内容和要求</w:t>
      </w:r>
      <w:bookmarkEnd w:id="205"/>
      <w:bookmarkEnd w:id="206"/>
    </w:p>
    <w:p w14:paraId="6FB38564">
      <w:pPr>
        <w:pStyle w:val="126"/>
        <w:spacing w:line="360" w:lineRule="auto"/>
        <w:rPr>
          <w:rFonts w:hint="eastAsia" w:ascii="宋体" w:hAnsi="宋体" w:cs="宋体"/>
          <w:b/>
          <w:sz w:val="24"/>
          <w:u w:val="single"/>
        </w:rPr>
      </w:pPr>
      <w:r>
        <w:rPr>
          <w:rFonts w:hint="eastAsia" w:ascii="宋体" w:hAnsi="宋体" w:cs="宋体"/>
          <w:b/>
          <w:sz w:val="24"/>
          <w:u w:val="single"/>
        </w:rPr>
        <w:t>！！！！特别说明：供应商在竞价开始前应仔细审阅本项目要求，一旦点击报价，视为认同和接受项目要求，否则按以下处罚：</w:t>
      </w:r>
    </w:p>
    <w:p w14:paraId="668DFF9B">
      <w:pPr>
        <w:pStyle w:val="126"/>
        <w:spacing w:line="360" w:lineRule="auto"/>
        <w:rPr>
          <w:rFonts w:hint="eastAsia" w:ascii="宋体" w:hAnsi="宋体" w:cs="宋体"/>
          <w:b/>
          <w:sz w:val="24"/>
          <w:u w:val="single"/>
        </w:rPr>
      </w:pPr>
      <w:r>
        <w:rPr>
          <w:rFonts w:hint="eastAsia" w:ascii="宋体" w:hAnsi="宋体" w:cs="宋体"/>
          <w:b/>
          <w:sz w:val="24"/>
          <w:u w:val="single"/>
        </w:rPr>
        <w:t>1.成交无效，暂停竞价资格；</w:t>
      </w:r>
    </w:p>
    <w:p w14:paraId="5F448191">
      <w:pPr>
        <w:pStyle w:val="126"/>
        <w:spacing w:line="360" w:lineRule="auto"/>
        <w:jc w:val="left"/>
        <w:rPr>
          <w:rFonts w:hint="eastAsia" w:ascii="宋体" w:hAnsi="宋体" w:cs="宋体"/>
          <w:b/>
          <w:sz w:val="24"/>
          <w:u w:val="single"/>
        </w:rPr>
      </w:pPr>
      <w:r>
        <w:rPr>
          <w:rFonts w:hint="eastAsia" w:ascii="宋体" w:hAnsi="宋体" w:cs="宋体"/>
          <w:b/>
          <w:sz w:val="24"/>
          <w:u w:val="single"/>
        </w:rPr>
        <w:t>2.成交无效，扣除竞价保证金。</w:t>
      </w:r>
    </w:p>
    <w:p w14:paraId="4A3CC420">
      <w:pPr>
        <w:pStyle w:val="126"/>
        <w:spacing w:line="360" w:lineRule="auto"/>
        <w:ind w:firstLine="420" w:firstLineChars="200"/>
        <w:jc w:val="center"/>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148590</wp:posOffset>
                </wp:positionV>
                <wp:extent cx="6030595" cy="45720"/>
                <wp:effectExtent l="0" t="4445" r="8255" b="6985"/>
                <wp:wrapNone/>
                <wp:docPr id="19" name="直接箭头连接符 19"/>
                <wp:cNvGraphicFramePr/>
                <a:graphic xmlns:a="http://schemas.openxmlformats.org/drawingml/2006/main">
                  <a:graphicData uri="http://schemas.microsoft.com/office/word/2010/wordprocessingShape">
                    <wps:wsp>
                      <wps:cNvCnPr>
                        <a:cxnSpLocks noChangeShapeType="1"/>
                      </wps:cNvCnPr>
                      <wps:spPr bwMode="auto">
                        <a:xfrm flipV="1">
                          <a:off x="0" y="0"/>
                          <a:ext cx="6030906" cy="45719"/>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0.75pt;margin-top:11.7pt;height:3.6pt;width:474.85pt;z-index:251665408;mso-width-relative:page;mso-height-relative:page;" filled="f" stroked="t" coordsize="21600,21600" o:gfxdata="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wl/W61QAAAAcBAAAPAAAAAAAAAAEAIAAAACIAAABkcnMvZG93bnJl&#10;di54bWxQSwECFAAUAAAACACHTuJAozFdvgACAADOAwAADgAAAAAAAAABACAAAAAkAQAAZHJzL2Uy&#10;b0RvYy54bWxQSwUGAAAAAAYABgBZAQAAlgUAAAAA&#10;">
                <v:fill on="f" focussize="0,0"/>
                <v:stroke color="#000000" joinstyle="round"/>
                <v:imagedata o:title=""/>
                <o:lock v:ext="edit" aspectratio="f"/>
              </v:shape>
            </w:pict>
          </mc:Fallback>
        </mc:AlternateContent>
      </w:r>
      <w:r>
        <w:rPr>
          <w:rFonts w:hint="eastAsia" w:ascii="宋体" w:hAnsi="宋体" w:cs="宋体"/>
          <w:szCs w:val="21"/>
        </w:rPr>
        <w:t>（分割线）</w:t>
      </w:r>
      <w:bookmarkStart w:id="208" w:name="_Toc18419382"/>
      <w:bookmarkStart w:id="209" w:name="_Toc59194019"/>
    </w:p>
    <w:bookmarkEnd w:id="208"/>
    <w:bookmarkEnd w:id="209"/>
    <w:p w14:paraId="46DA9803">
      <w:pPr>
        <w:rPr>
          <w:rFonts w:hint="eastAsia" w:ascii="宋体" w:hAnsi="宋体" w:cs="宋体"/>
          <w:b/>
          <w:bCs/>
          <w:kern w:val="0"/>
          <w:sz w:val="24"/>
        </w:rPr>
      </w:pPr>
      <w:r>
        <w:rPr>
          <w:rFonts w:hint="eastAsia" w:ascii="宋体" w:hAnsi="宋体" w:cs="宋体"/>
          <w:b/>
          <w:bCs/>
          <w:kern w:val="0"/>
          <w:sz w:val="24"/>
        </w:rPr>
        <w:br w:type="page"/>
      </w:r>
    </w:p>
    <w:p w14:paraId="02F45455">
      <w:pPr>
        <w:pStyle w:val="2"/>
        <w:spacing w:line="400" w:lineRule="exact"/>
        <w:jc w:val="center"/>
        <w:rPr>
          <w:rFonts w:hint="eastAsia" w:ascii="宋体" w:hAnsi="宋体" w:cs="宋体"/>
          <w:sz w:val="32"/>
          <w:szCs w:val="32"/>
        </w:rPr>
      </w:pPr>
      <w:bookmarkStart w:id="210" w:name="_Toc31010"/>
      <w:r>
        <w:rPr>
          <w:rFonts w:hint="eastAsia" w:ascii="宋体" w:hAnsi="宋体" w:cs="宋体"/>
          <w:sz w:val="32"/>
          <w:szCs w:val="32"/>
        </w:rPr>
        <w:t>报价表</w:t>
      </w:r>
      <w:bookmarkEnd w:id="207"/>
      <w:bookmarkEnd w:id="210"/>
    </w:p>
    <w:p w14:paraId="629FDC22">
      <w:pPr>
        <w:pStyle w:val="3"/>
        <w:numPr>
          <w:ilvl w:val="1"/>
          <w:numId w:val="0"/>
        </w:numPr>
        <w:tabs>
          <w:tab w:val="clear" w:pos="180"/>
          <w:tab w:val="clear" w:pos="360"/>
        </w:tabs>
        <w:jc w:val="center"/>
        <w:rPr>
          <w:rFonts w:hint="eastAsia" w:hAnsi="宋体" w:cs="宋体"/>
          <w:szCs w:val="28"/>
        </w:rPr>
      </w:pPr>
      <w:r>
        <w:rPr>
          <w:rFonts w:hint="eastAsia" w:hAnsi="宋体" w:cs="宋体"/>
          <w:szCs w:val="28"/>
        </w:rPr>
        <w:t>报价一览表</w:t>
      </w:r>
    </w:p>
    <w:p w14:paraId="44D01CD8">
      <w:pPr>
        <w:spacing w:line="360" w:lineRule="auto"/>
        <w:rPr>
          <w:rFonts w:hint="eastAsia" w:ascii="宋体" w:hAnsi="宋体" w:eastAsia="宋体" w:cs="宋体"/>
          <w:lang w:eastAsia="zh-CN"/>
        </w:rPr>
      </w:pPr>
      <w:r>
        <w:rPr>
          <w:rFonts w:hint="eastAsia" w:ascii="宋体" w:hAnsi="宋体" w:cs="宋体"/>
        </w:rPr>
        <w:t>项目名称：</w:t>
      </w:r>
      <w:r>
        <w:rPr>
          <w:rFonts w:hint="eastAsia" w:ascii="宋体" w:hAnsi="宋体" w:cs="宋体"/>
          <w:lang w:eastAsia="zh-CN"/>
        </w:rPr>
        <w:t>宁德漳湾垃圾焚烧发电有限公司国网电力通信设备及调度设备改造服务项目</w:t>
      </w:r>
    </w:p>
    <w:p w14:paraId="70CDD823">
      <w:pPr>
        <w:spacing w:line="360" w:lineRule="auto"/>
        <w:rPr>
          <w:rFonts w:hint="eastAsia" w:ascii="宋体" w:hAnsi="宋体" w:eastAsia="宋体" w:cs="宋体"/>
          <w:lang w:eastAsia="zh-CN"/>
        </w:rPr>
      </w:pPr>
      <w:r>
        <w:rPr>
          <w:rFonts w:hint="eastAsia" w:ascii="宋体" w:hAnsi="宋体" w:cs="宋体"/>
        </w:rPr>
        <w:t>项目编号：</w:t>
      </w:r>
      <w:r>
        <w:rPr>
          <w:rFonts w:hint="eastAsia" w:ascii="宋体" w:hAnsi="宋体" w:cs="宋体"/>
          <w:lang w:eastAsia="zh-CN"/>
        </w:rPr>
        <w:t>GDZF-QYHJJ-2025-2611630</w:t>
      </w:r>
    </w:p>
    <w:p w14:paraId="4F2D67EF">
      <w:pPr>
        <w:spacing w:line="360" w:lineRule="auto"/>
        <w:rPr>
          <w:rFonts w:hint="eastAsia" w:ascii="宋体" w:hAnsi="宋体" w:eastAsia="宋体" w:cs="宋体"/>
          <w:lang w:eastAsia="zh-CN"/>
        </w:rPr>
      </w:pPr>
      <w:r>
        <w:rPr>
          <w:rFonts w:hint="eastAsia" w:ascii="宋体" w:hAnsi="宋体" w:cs="宋体"/>
        </w:rPr>
        <w:t>采购编号：</w:t>
      </w:r>
      <w:r>
        <w:rPr>
          <w:rFonts w:hint="eastAsia" w:ascii="宋体" w:hAnsi="宋体" w:cs="宋体"/>
          <w:lang w:eastAsia="zh-CN"/>
        </w:rPr>
        <w:t>ZC-HNF-2025-061</w:t>
      </w:r>
    </w:p>
    <w:tbl>
      <w:tblPr>
        <w:tblStyle w:val="43"/>
        <w:tblW w:w="4920" w:type="pct"/>
        <w:tblInd w:w="0" w:type="dxa"/>
        <w:tblLayout w:type="fixed"/>
        <w:tblCellMar>
          <w:top w:w="0" w:type="dxa"/>
          <w:left w:w="108" w:type="dxa"/>
          <w:bottom w:w="0" w:type="dxa"/>
          <w:right w:w="108" w:type="dxa"/>
        </w:tblCellMar>
      </w:tblPr>
      <w:tblGrid>
        <w:gridCol w:w="532"/>
        <w:gridCol w:w="1766"/>
        <w:gridCol w:w="1163"/>
        <w:gridCol w:w="420"/>
        <w:gridCol w:w="464"/>
        <w:gridCol w:w="471"/>
        <w:gridCol w:w="1004"/>
        <w:gridCol w:w="964"/>
        <w:gridCol w:w="981"/>
        <w:gridCol w:w="1032"/>
        <w:gridCol w:w="453"/>
      </w:tblGrid>
      <w:tr w14:paraId="09C45A5D">
        <w:tblPrEx>
          <w:tblCellMar>
            <w:top w:w="0" w:type="dxa"/>
            <w:left w:w="108" w:type="dxa"/>
            <w:bottom w:w="0" w:type="dxa"/>
            <w:right w:w="108" w:type="dxa"/>
          </w:tblCellMar>
        </w:tblPrEx>
        <w:trPr>
          <w:trHeight w:val="1338" w:hRule="atLeast"/>
        </w:trPr>
        <w:tc>
          <w:tcPr>
            <w:tcW w:w="287" w:type="pct"/>
            <w:tcBorders>
              <w:top w:val="single" w:color="000000" w:sz="4" w:space="0"/>
              <w:left w:val="single" w:color="000000" w:sz="4" w:space="0"/>
              <w:bottom w:val="single" w:color="000000" w:sz="4" w:space="0"/>
              <w:right w:val="single" w:color="000000" w:sz="4" w:space="0"/>
            </w:tcBorders>
            <w:vAlign w:val="center"/>
          </w:tcPr>
          <w:p w14:paraId="739E322C">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序号</w:t>
            </w:r>
          </w:p>
        </w:tc>
        <w:tc>
          <w:tcPr>
            <w:tcW w:w="954" w:type="pct"/>
            <w:tcBorders>
              <w:top w:val="single" w:color="000000" w:sz="4" w:space="0"/>
              <w:left w:val="single" w:color="000000" w:sz="4" w:space="0"/>
              <w:bottom w:val="single" w:color="000000" w:sz="4" w:space="0"/>
              <w:right w:val="single" w:color="000000" w:sz="4" w:space="0"/>
            </w:tcBorders>
            <w:vAlign w:val="center"/>
          </w:tcPr>
          <w:p w14:paraId="44060729">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货物名称</w:t>
            </w:r>
          </w:p>
        </w:tc>
        <w:tc>
          <w:tcPr>
            <w:tcW w:w="628" w:type="pct"/>
            <w:tcBorders>
              <w:top w:val="single" w:color="000000" w:sz="4" w:space="0"/>
              <w:left w:val="single" w:color="000000" w:sz="4" w:space="0"/>
              <w:bottom w:val="single" w:color="000000" w:sz="4" w:space="0"/>
              <w:right w:val="single" w:color="000000" w:sz="4" w:space="0"/>
            </w:tcBorders>
            <w:vAlign w:val="center"/>
          </w:tcPr>
          <w:p w14:paraId="1B0FF29B">
            <w:pPr>
              <w:widowControl/>
              <w:jc w:val="center"/>
              <w:textAlignment w:val="center"/>
              <w:rPr>
                <w:rFonts w:hint="eastAsia" w:ascii="宋体" w:hAnsi="宋体" w:cs="宋体"/>
                <w:color w:val="000000"/>
                <w:szCs w:val="21"/>
              </w:rPr>
            </w:pPr>
            <w:r>
              <w:rPr>
                <w:rFonts w:hint="eastAsia" w:ascii="宋体" w:hAnsi="宋体" w:cs="宋体"/>
                <w:color w:val="000000"/>
                <w:szCs w:val="21"/>
                <w:lang w:val="en-US" w:eastAsia="zh-CN" w:bidi="ar"/>
              </w:rPr>
              <w:t>设备</w:t>
            </w:r>
            <w:r>
              <w:rPr>
                <w:rFonts w:hint="eastAsia" w:ascii="宋体" w:hAnsi="宋体" w:cs="宋体"/>
                <w:color w:val="000000"/>
                <w:szCs w:val="21"/>
                <w:lang w:bidi="ar"/>
              </w:rPr>
              <w:t>型号</w:t>
            </w:r>
          </w:p>
        </w:tc>
        <w:tc>
          <w:tcPr>
            <w:tcW w:w="227" w:type="pct"/>
            <w:tcBorders>
              <w:top w:val="single" w:color="000000" w:sz="4" w:space="0"/>
              <w:left w:val="single" w:color="000000" w:sz="4" w:space="0"/>
              <w:bottom w:val="single" w:color="000000" w:sz="4" w:space="0"/>
              <w:right w:val="single" w:color="000000" w:sz="4" w:space="0"/>
            </w:tcBorders>
            <w:vAlign w:val="center"/>
          </w:tcPr>
          <w:p w14:paraId="4F342F5C">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单位</w:t>
            </w:r>
          </w:p>
        </w:tc>
        <w:tc>
          <w:tcPr>
            <w:tcW w:w="250" w:type="pct"/>
            <w:tcBorders>
              <w:top w:val="single" w:color="000000" w:sz="4" w:space="0"/>
              <w:left w:val="single" w:color="000000" w:sz="4" w:space="0"/>
              <w:bottom w:val="single" w:color="000000" w:sz="4" w:space="0"/>
              <w:right w:val="single" w:color="000000" w:sz="4" w:space="0"/>
            </w:tcBorders>
            <w:vAlign w:val="center"/>
          </w:tcPr>
          <w:p w14:paraId="3181610F">
            <w:pPr>
              <w:widowControl/>
              <w:jc w:val="center"/>
              <w:textAlignment w:val="center"/>
              <w:rPr>
                <w:rFonts w:hint="eastAsia" w:ascii="宋体" w:hAnsi="宋体" w:cs="宋体"/>
                <w:color w:val="000000"/>
                <w:szCs w:val="21"/>
              </w:rPr>
            </w:pPr>
            <w:r>
              <w:rPr>
                <w:rFonts w:hint="eastAsia" w:ascii="宋体" w:hAnsi="宋体" w:cs="宋体"/>
                <w:color w:val="000000"/>
                <w:szCs w:val="21"/>
                <w:lang w:bidi="ar"/>
              </w:rPr>
              <w:t>数量</w:t>
            </w:r>
          </w:p>
        </w:tc>
        <w:tc>
          <w:tcPr>
            <w:tcW w:w="254" w:type="pct"/>
            <w:tcBorders>
              <w:top w:val="single" w:color="000000" w:sz="4" w:space="0"/>
              <w:left w:val="single" w:color="000000" w:sz="4" w:space="0"/>
              <w:bottom w:val="single" w:color="000000" w:sz="4" w:space="0"/>
              <w:right w:val="single" w:color="000000" w:sz="4" w:space="0"/>
            </w:tcBorders>
            <w:vAlign w:val="center"/>
          </w:tcPr>
          <w:p w14:paraId="48C153DB">
            <w:pPr>
              <w:widowControl/>
              <w:jc w:val="center"/>
              <w:textAlignment w:val="center"/>
              <w:rPr>
                <w:rFonts w:hint="eastAsia" w:ascii="宋体" w:hAnsi="宋体" w:cs="宋体"/>
                <w:color w:val="000000"/>
                <w:szCs w:val="21"/>
                <w:lang w:bidi="ar"/>
              </w:rPr>
            </w:pPr>
            <w:r>
              <w:rPr>
                <w:rFonts w:hint="eastAsia" w:ascii="宋体" w:hAnsi="宋体" w:cs="宋体"/>
                <w:color w:val="000000"/>
                <w:szCs w:val="21"/>
                <w:lang w:bidi="ar"/>
              </w:rPr>
              <w:t>税率</w:t>
            </w:r>
          </w:p>
        </w:tc>
        <w:tc>
          <w:tcPr>
            <w:tcW w:w="542" w:type="pct"/>
            <w:tcBorders>
              <w:top w:val="single" w:color="000000" w:sz="4" w:space="0"/>
              <w:left w:val="single" w:color="000000" w:sz="4" w:space="0"/>
              <w:bottom w:val="single" w:color="000000" w:sz="4" w:space="0"/>
              <w:right w:val="single" w:color="000000" w:sz="4" w:space="0"/>
            </w:tcBorders>
            <w:vAlign w:val="center"/>
          </w:tcPr>
          <w:p w14:paraId="22CD568D">
            <w:pPr>
              <w:widowControl/>
              <w:jc w:val="center"/>
              <w:textAlignment w:val="center"/>
              <w:rPr>
                <w:rFonts w:hint="eastAsia" w:ascii="宋体" w:hAnsi="宋体" w:cs="宋体"/>
                <w:color w:val="000000"/>
                <w:szCs w:val="21"/>
                <w:lang w:bidi="ar"/>
              </w:rPr>
            </w:pPr>
            <w:r>
              <w:rPr>
                <w:rFonts w:hint="eastAsia" w:ascii="宋体" w:hAnsi="宋体" w:cs="宋体"/>
                <w:color w:val="000000"/>
                <w:szCs w:val="21"/>
                <w:lang w:bidi="ar"/>
              </w:rPr>
              <w:t>单价（不含税）</w:t>
            </w:r>
          </w:p>
        </w:tc>
        <w:tc>
          <w:tcPr>
            <w:tcW w:w="521" w:type="pct"/>
            <w:tcBorders>
              <w:top w:val="single" w:color="000000" w:sz="4" w:space="0"/>
              <w:left w:val="single" w:color="000000" w:sz="4" w:space="0"/>
              <w:bottom w:val="single" w:color="000000" w:sz="4" w:space="0"/>
              <w:right w:val="single" w:color="000000" w:sz="4" w:space="0"/>
            </w:tcBorders>
            <w:vAlign w:val="center"/>
          </w:tcPr>
          <w:p w14:paraId="5DDB3591">
            <w:pPr>
              <w:widowControl/>
              <w:jc w:val="center"/>
              <w:textAlignment w:val="center"/>
              <w:rPr>
                <w:rFonts w:hint="eastAsia" w:ascii="宋体" w:hAnsi="宋体" w:cs="宋体"/>
                <w:color w:val="000000"/>
                <w:szCs w:val="21"/>
                <w:lang w:bidi="ar"/>
              </w:rPr>
            </w:pPr>
            <w:r>
              <w:rPr>
                <w:rFonts w:hint="eastAsia" w:ascii="宋体" w:hAnsi="宋体" w:cs="宋体"/>
                <w:color w:val="000000"/>
                <w:szCs w:val="21"/>
                <w:lang w:bidi="ar"/>
              </w:rPr>
              <w:t>单价（含税）</w:t>
            </w:r>
          </w:p>
        </w:tc>
        <w:tc>
          <w:tcPr>
            <w:tcW w:w="530" w:type="pct"/>
            <w:tcBorders>
              <w:top w:val="single" w:color="000000" w:sz="4" w:space="0"/>
              <w:left w:val="single" w:color="000000" w:sz="4" w:space="0"/>
              <w:bottom w:val="single" w:color="000000" w:sz="4" w:space="0"/>
              <w:right w:val="single" w:color="000000" w:sz="4" w:space="0"/>
            </w:tcBorders>
            <w:vAlign w:val="center"/>
          </w:tcPr>
          <w:p w14:paraId="63F77FED">
            <w:pPr>
              <w:widowControl/>
              <w:jc w:val="center"/>
              <w:textAlignment w:val="center"/>
              <w:rPr>
                <w:rFonts w:hint="eastAsia" w:ascii="宋体" w:hAnsi="宋体" w:cs="宋体"/>
                <w:color w:val="000000"/>
                <w:szCs w:val="21"/>
                <w:lang w:bidi="ar"/>
              </w:rPr>
            </w:pPr>
            <w:r>
              <w:rPr>
                <w:rFonts w:hint="eastAsia" w:ascii="宋体" w:hAnsi="宋体" w:cs="宋体"/>
                <w:color w:val="000000"/>
                <w:szCs w:val="21"/>
                <w:lang w:bidi="ar"/>
              </w:rPr>
              <w:t>总价（不含税</w:t>
            </w:r>
          </w:p>
        </w:tc>
        <w:tc>
          <w:tcPr>
            <w:tcW w:w="557" w:type="pct"/>
            <w:tcBorders>
              <w:top w:val="single" w:color="000000" w:sz="4" w:space="0"/>
              <w:left w:val="single" w:color="000000" w:sz="4" w:space="0"/>
              <w:bottom w:val="single" w:color="000000" w:sz="4" w:space="0"/>
              <w:right w:val="single" w:color="000000" w:sz="4" w:space="0"/>
            </w:tcBorders>
            <w:vAlign w:val="center"/>
          </w:tcPr>
          <w:p w14:paraId="7AAAA532">
            <w:pPr>
              <w:widowControl/>
              <w:jc w:val="center"/>
              <w:textAlignment w:val="center"/>
              <w:rPr>
                <w:rFonts w:hint="eastAsia" w:ascii="宋体" w:hAnsi="宋体" w:cs="宋体"/>
                <w:color w:val="000000"/>
                <w:szCs w:val="21"/>
                <w:lang w:bidi="ar"/>
              </w:rPr>
            </w:pPr>
            <w:r>
              <w:rPr>
                <w:rFonts w:hint="eastAsia" w:ascii="宋体" w:hAnsi="宋体" w:cs="宋体"/>
                <w:color w:val="000000"/>
                <w:szCs w:val="21"/>
                <w:lang w:bidi="ar"/>
              </w:rPr>
              <w:t>总价（含税）</w:t>
            </w:r>
          </w:p>
        </w:tc>
        <w:tc>
          <w:tcPr>
            <w:tcW w:w="244" w:type="pct"/>
            <w:tcBorders>
              <w:top w:val="single" w:color="000000" w:sz="4" w:space="0"/>
              <w:left w:val="single" w:color="000000" w:sz="4" w:space="0"/>
              <w:bottom w:val="single" w:color="000000" w:sz="4" w:space="0"/>
              <w:right w:val="single" w:color="000000" w:sz="4" w:space="0"/>
            </w:tcBorders>
            <w:vAlign w:val="center"/>
          </w:tcPr>
          <w:p w14:paraId="1321D593">
            <w:pPr>
              <w:widowControl/>
              <w:jc w:val="center"/>
              <w:textAlignment w:val="center"/>
              <w:rPr>
                <w:rFonts w:hint="eastAsia" w:ascii="宋体" w:hAnsi="宋体" w:cs="宋体"/>
                <w:color w:val="000000"/>
                <w:szCs w:val="21"/>
              </w:rPr>
            </w:pPr>
            <w:r>
              <w:rPr>
                <w:rFonts w:hint="eastAsia" w:ascii="宋体" w:hAnsi="宋体" w:cs="宋体"/>
                <w:color w:val="000000"/>
                <w:szCs w:val="21"/>
              </w:rPr>
              <w:t>备注</w:t>
            </w:r>
          </w:p>
        </w:tc>
      </w:tr>
      <w:tr w14:paraId="1FEC4DD6">
        <w:tblPrEx>
          <w:tblCellMar>
            <w:top w:w="0" w:type="dxa"/>
            <w:left w:w="108" w:type="dxa"/>
            <w:bottom w:w="0" w:type="dxa"/>
            <w:right w:w="108" w:type="dxa"/>
          </w:tblCellMar>
        </w:tblPrEx>
        <w:trPr>
          <w:trHeight w:val="621" w:hRule="atLeast"/>
        </w:trPr>
        <w:tc>
          <w:tcPr>
            <w:tcW w:w="5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C92B4">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1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E9E85">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光传输设备</w:t>
            </w: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60E30">
            <w:pPr>
              <w:widowControl/>
              <w:jc w:val="center"/>
              <w:textAlignment w:val="center"/>
              <w:rPr>
                <w:rFonts w:hint="eastAsia" w:ascii="宋体" w:hAnsi="宋体"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F00BB">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套</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12331">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27AAC">
            <w:pPr>
              <w:widowControl/>
              <w:jc w:val="center"/>
              <w:textAlignment w:val="center"/>
              <w:rPr>
                <w:rFonts w:hint="eastAsia" w:ascii="宋体" w:hAnsi="宋体" w:cs="宋体"/>
                <w:color w:val="000000"/>
                <w:szCs w:val="21"/>
              </w:rPr>
            </w:pP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C5008">
            <w:pPr>
              <w:widowControl/>
              <w:jc w:val="center"/>
              <w:textAlignment w:val="center"/>
              <w:rPr>
                <w:rFonts w:hint="eastAsia" w:ascii="宋体" w:hAnsi="宋体" w:cs="宋体"/>
                <w:color w:val="000000"/>
                <w:szCs w:val="21"/>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A459F">
            <w:pPr>
              <w:widowControl/>
              <w:jc w:val="center"/>
              <w:textAlignment w:val="center"/>
              <w:rPr>
                <w:rFonts w:hint="eastAsia" w:ascii="宋体" w:hAnsi="宋体" w:cs="宋体"/>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4A4F0">
            <w:pPr>
              <w:widowControl/>
              <w:jc w:val="center"/>
              <w:textAlignment w:val="center"/>
              <w:rPr>
                <w:rFonts w:hint="eastAsia" w:ascii="宋体" w:hAnsi="宋体" w:cs="宋体"/>
                <w:color w:val="000000"/>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158E8">
            <w:pPr>
              <w:widowControl/>
              <w:jc w:val="center"/>
              <w:textAlignment w:val="center"/>
              <w:rPr>
                <w:rFonts w:hint="eastAsia" w:ascii="宋体" w:hAnsi="宋体" w:cs="宋体"/>
                <w:color w:val="000000"/>
                <w:szCs w:val="21"/>
              </w:rPr>
            </w:pPr>
          </w:p>
        </w:tc>
        <w:tc>
          <w:tcPr>
            <w:tcW w:w="2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88EBE">
            <w:pPr>
              <w:widowControl/>
              <w:jc w:val="center"/>
              <w:textAlignment w:val="center"/>
              <w:rPr>
                <w:rFonts w:hint="eastAsia" w:ascii="宋体" w:hAnsi="宋体" w:cs="宋体"/>
                <w:color w:val="000000"/>
                <w:szCs w:val="21"/>
              </w:rPr>
            </w:pPr>
          </w:p>
        </w:tc>
      </w:tr>
      <w:tr w14:paraId="540DD6BD">
        <w:tblPrEx>
          <w:tblCellMar>
            <w:top w:w="0" w:type="dxa"/>
            <w:left w:w="108" w:type="dxa"/>
            <w:bottom w:w="0" w:type="dxa"/>
            <w:right w:w="108" w:type="dxa"/>
          </w:tblCellMar>
        </w:tblPrEx>
        <w:trPr>
          <w:trHeight w:val="621" w:hRule="atLeast"/>
        </w:trPr>
        <w:tc>
          <w:tcPr>
            <w:tcW w:w="5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A2BD3">
            <w:pPr>
              <w:keepNext w:val="0"/>
              <w:keepLines w:val="0"/>
              <w:widowControl/>
              <w:suppressLineNumbers w:val="0"/>
              <w:jc w:val="center"/>
              <w:textAlignment w:val="center"/>
              <w:rPr>
                <w:rFonts w:hint="eastAsia" w:ascii="宋体" w:hAnsi="宋体" w:cs="宋体"/>
                <w:color w:val="000000"/>
                <w:szCs w:val="21"/>
                <w:lang w:bidi="ar"/>
              </w:rPr>
            </w:pPr>
            <w:r>
              <w:rPr>
                <w:rFonts w:hint="eastAsia" w:ascii="宋体" w:hAnsi="宋体" w:eastAsia="宋体" w:cs="宋体"/>
                <w:i w:val="0"/>
                <w:iCs w:val="0"/>
                <w:color w:val="000000"/>
                <w:kern w:val="0"/>
                <w:sz w:val="21"/>
                <w:szCs w:val="21"/>
                <w:u w:val="none"/>
                <w:lang w:val="en-US" w:eastAsia="zh-CN" w:bidi="ar"/>
              </w:rPr>
              <w:t>2</w:t>
            </w:r>
          </w:p>
        </w:tc>
        <w:tc>
          <w:tcPr>
            <w:tcW w:w="1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27BD8">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iad</w:t>
            </w: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5457A">
            <w:pPr>
              <w:widowControl/>
              <w:jc w:val="center"/>
              <w:textAlignment w:val="center"/>
              <w:rPr>
                <w:rFonts w:hint="eastAsia" w:ascii="宋体" w:hAnsi="宋体"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26B29">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套</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C08D5">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2B00A">
            <w:pPr>
              <w:widowControl/>
              <w:jc w:val="center"/>
              <w:textAlignment w:val="center"/>
              <w:rPr>
                <w:rFonts w:hint="eastAsia" w:ascii="宋体" w:hAnsi="宋体" w:cs="宋体"/>
                <w:color w:val="000000"/>
                <w:szCs w:val="21"/>
              </w:rPr>
            </w:pP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8481D">
            <w:pPr>
              <w:widowControl/>
              <w:jc w:val="center"/>
              <w:textAlignment w:val="center"/>
              <w:rPr>
                <w:rFonts w:hint="eastAsia" w:ascii="宋体" w:hAnsi="宋体" w:cs="宋体"/>
                <w:color w:val="000000"/>
                <w:szCs w:val="21"/>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0481B">
            <w:pPr>
              <w:widowControl/>
              <w:jc w:val="center"/>
              <w:textAlignment w:val="center"/>
              <w:rPr>
                <w:rFonts w:hint="eastAsia" w:ascii="宋体" w:hAnsi="宋体" w:cs="宋体"/>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4FCB1">
            <w:pPr>
              <w:widowControl/>
              <w:jc w:val="center"/>
              <w:textAlignment w:val="center"/>
              <w:rPr>
                <w:rFonts w:hint="eastAsia" w:ascii="宋体" w:hAnsi="宋体" w:cs="宋体"/>
                <w:color w:val="000000"/>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05A65">
            <w:pPr>
              <w:widowControl/>
              <w:jc w:val="center"/>
              <w:textAlignment w:val="center"/>
              <w:rPr>
                <w:rFonts w:hint="eastAsia" w:ascii="宋体" w:hAnsi="宋体" w:cs="宋体"/>
                <w:color w:val="000000"/>
                <w:szCs w:val="21"/>
              </w:rPr>
            </w:pPr>
          </w:p>
        </w:tc>
        <w:tc>
          <w:tcPr>
            <w:tcW w:w="2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D139E">
            <w:pPr>
              <w:widowControl/>
              <w:jc w:val="center"/>
              <w:textAlignment w:val="center"/>
              <w:rPr>
                <w:rFonts w:hint="eastAsia" w:ascii="宋体" w:hAnsi="宋体" w:cs="宋体"/>
                <w:color w:val="000000"/>
                <w:szCs w:val="21"/>
              </w:rPr>
            </w:pPr>
          </w:p>
        </w:tc>
      </w:tr>
      <w:tr w14:paraId="4FE6FC34">
        <w:tblPrEx>
          <w:tblCellMar>
            <w:top w:w="0" w:type="dxa"/>
            <w:left w:w="108" w:type="dxa"/>
            <w:bottom w:w="0" w:type="dxa"/>
            <w:right w:w="108" w:type="dxa"/>
          </w:tblCellMar>
        </w:tblPrEx>
        <w:trPr>
          <w:trHeight w:val="621" w:hRule="atLeast"/>
        </w:trPr>
        <w:tc>
          <w:tcPr>
            <w:tcW w:w="5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50AC4">
            <w:pPr>
              <w:keepNext w:val="0"/>
              <w:keepLines w:val="0"/>
              <w:widowControl/>
              <w:suppressLineNumbers w:val="0"/>
              <w:jc w:val="center"/>
              <w:textAlignment w:val="center"/>
              <w:rPr>
                <w:rFonts w:hint="eastAsia" w:ascii="宋体" w:hAnsi="宋体" w:cs="宋体"/>
                <w:color w:val="000000"/>
                <w:szCs w:val="21"/>
                <w:lang w:bidi="ar"/>
              </w:rPr>
            </w:pPr>
            <w:r>
              <w:rPr>
                <w:rFonts w:hint="eastAsia" w:ascii="宋体" w:hAnsi="宋体" w:eastAsia="宋体" w:cs="宋体"/>
                <w:i w:val="0"/>
                <w:iCs w:val="0"/>
                <w:color w:val="000000"/>
                <w:kern w:val="0"/>
                <w:sz w:val="21"/>
                <w:szCs w:val="21"/>
                <w:u w:val="none"/>
                <w:lang w:val="en-US" w:eastAsia="zh-CN" w:bidi="ar"/>
              </w:rPr>
              <w:t>3</w:t>
            </w:r>
          </w:p>
        </w:tc>
        <w:tc>
          <w:tcPr>
            <w:tcW w:w="1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9274D">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ip板卡</w:t>
            </w: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2BE8E">
            <w:pPr>
              <w:widowControl/>
              <w:jc w:val="center"/>
              <w:textAlignment w:val="center"/>
              <w:rPr>
                <w:rFonts w:hint="eastAsia" w:ascii="宋体" w:hAnsi="宋体"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CE557">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块</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87C21">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34528">
            <w:pPr>
              <w:widowControl/>
              <w:jc w:val="center"/>
              <w:textAlignment w:val="center"/>
              <w:rPr>
                <w:rFonts w:hint="eastAsia" w:ascii="宋体" w:hAnsi="宋体" w:cs="宋体"/>
                <w:color w:val="000000"/>
                <w:szCs w:val="21"/>
              </w:rPr>
            </w:pP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1BD6F">
            <w:pPr>
              <w:widowControl/>
              <w:jc w:val="center"/>
              <w:textAlignment w:val="center"/>
              <w:rPr>
                <w:rFonts w:hint="eastAsia" w:ascii="宋体" w:hAnsi="宋体" w:cs="宋体"/>
                <w:color w:val="000000"/>
                <w:szCs w:val="21"/>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B8FA0">
            <w:pPr>
              <w:widowControl/>
              <w:jc w:val="center"/>
              <w:textAlignment w:val="center"/>
              <w:rPr>
                <w:rFonts w:hint="eastAsia" w:ascii="宋体" w:hAnsi="宋体" w:cs="宋体"/>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778F0">
            <w:pPr>
              <w:widowControl/>
              <w:jc w:val="center"/>
              <w:textAlignment w:val="center"/>
              <w:rPr>
                <w:rFonts w:hint="eastAsia" w:ascii="宋体" w:hAnsi="宋体" w:cs="宋体"/>
                <w:color w:val="000000"/>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703B0">
            <w:pPr>
              <w:widowControl/>
              <w:jc w:val="center"/>
              <w:textAlignment w:val="center"/>
              <w:rPr>
                <w:rFonts w:hint="eastAsia" w:ascii="宋体" w:hAnsi="宋体" w:cs="宋体"/>
                <w:color w:val="000000"/>
                <w:szCs w:val="21"/>
              </w:rPr>
            </w:pPr>
          </w:p>
        </w:tc>
        <w:tc>
          <w:tcPr>
            <w:tcW w:w="2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54CAD">
            <w:pPr>
              <w:widowControl/>
              <w:jc w:val="center"/>
              <w:textAlignment w:val="center"/>
              <w:rPr>
                <w:rFonts w:hint="eastAsia" w:ascii="宋体" w:hAnsi="宋体" w:cs="宋体"/>
                <w:color w:val="000000"/>
                <w:szCs w:val="21"/>
              </w:rPr>
            </w:pPr>
          </w:p>
        </w:tc>
      </w:tr>
      <w:tr w14:paraId="7F10B631">
        <w:tblPrEx>
          <w:tblCellMar>
            <w:top w:w="0" w:type="dxa"/>
            <w:left w:w="108" w:type="dxa"/>
            <w:bottom w:w="0" w:type="dxa"/>
            <w:right w:w="108" w:type="dxa"/>
          </w:tblCellMar>
        </w:tblPrEx>
        <w:trPr>
          <w:trHeight w:val="621" w:hRule="atLeast"/>
        </w:trPr>
        <w:tc>
          <w:tcPr>
            <w:tcW w:w="5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0247A">
            <w:pPr>
              <w:keepNext w:val="0"/>
              <w:keepLines w:val="0"/>
              <w:widowControl/>
              <w:suppressLineNumbers w:val="0"/>
              <w:jc w:val="center"/>
              <w:textAlignment w:val="center"/>
              <w:rPr>
                <w:rFonts w:hint="eastAsia" w:ascii="宋体" w:hAnsi="宋体" w:cs="宋体"/>
                <w:color w:val="000000"/>
                <w:szCs w:val="21"/>
                <w:lang w:bidi="ar"/>
              </w:rPr>
            </w:pPr>
            <w:r>
              <w:rPr>
                <w:rFonts w:hint="eastAsia" w:ascii="宋体" w:hAnsi="宋体" w:eastAsia="宋体" w:cs="宋体"/>
                <w:i w:val="0"/>
                <w:iCs w:val="0"/>
                <w:color w:val="000000"/>
                <w:kern w:val="0"/>
                <w:sz w:val="21"/>
                <w:szCs w:val="21"/>
                <w:u w:val="none"/>
                <w:lang w:val="en-US" w:eastAsia="zh-CN" w:bidi="ar"/>
              </w:rPr>
              <w:t>4</w:t>
            </w:r>
          </w:p>
        </w:tc>
        <w:tc>
          <w:tcPr>
            <w:tcW w:w="1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02762">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路由器</w:t>
            </w: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E5E2C">
            <w:pPr>
              <w:widowControl/>
              <w:jc w:val="center"/>
              <w:textAlignment w:val="center"/>
              <w:rPr>
                <w:rFonts w:hint="eastAsia" w:ascii="宋体" w:hAnsi="宋体"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1A5A7">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套</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2CDBB">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2</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F88C9">
            <w:pPr>
              <w:widowControl/>
              <w:jc w:val="center"/>
              <w:textAlignment w:val="center"/>
              <w:rPr>
                <w:rFonts w:hint="eastAsia" w:ascii="宋体" w:hAnsi="宋体" w:cs="宋体"/>
                <w:color w:val="000000"/>
                <w:szCs w:val="21"/>
              </w:rPr>
            </w:pP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57DD4">
            <w:pPr>
              <w:widowControl/>
              <w:jc w:val="center"/>
              <w:textAlignment w:val="center"/>
              <w:rPr>
                <w:rFonts w:hint="eastAsia" w:ascii="宋体" w:hAnsi="宋体" w:cs="宋体"/>
                <w:color w:val="000000"/>
                <w:szCs w:val="21"/>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29ECC">
            <w:pPr>
              <w:widowControl/>
              <w:jc w:val="center"/>
              <w:textAlignment w:val="center"/>
              <w:rPr>
                <w:rFonts w:hint="eastAsia" w:ascii="宋体" w:hAnsi="宋体" w:cs="宋体"/>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0B18B">
            <w:pPr>
              <w:widowControl/>
              <w:jc w:val="center"/>
              <w:textAlignment w:val="center"/>
              <w:rPr>
                <w:rFonts w:hint="eastAsia" w:ascii="宋体" w:hAnsi="宋体" w:cs="宋体"/>
                <w:color w:val="000000"/>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FB2EC">
            <w:pPr>
              <w:widowControl/>
              <w:jc w:val="center"/>
              <w:textAlignment w:val="center"/>
              <w:rPr>
                <w:rFonts w:hint="eastAsia" w:ascii="宋体" w:hAnsi="宋体" w:cs="宋体"/>
                <w:color w:val="000000"/>
                <w:szCs w:val="21"/>
              </w:rPr>
            </w:pPr>
          </w:p>
        </w:tc>
        <w:tc>
          <w:tcPr>
            <w:tcW w:w="2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40ED0">
            <w:pPr>
              <w:widowControl/>
              <w:jc w:val="center"/>
              <w:textAlignment w:val="center"/>
              <w:rPr>
                <w:rFonts w:hint="eastAsia" w:ascii="宋体" w:hAnsi="宋体" w:cs="宋体"/>
                <w:color w:val="000000"/>
                <w:szCs w:val="21"/>
              </w:rPr>
            </w:pPr>
          </w:p>
        </w:tc>
      </w:tr>
      <w:tr w14:paraId="658F009C">
        <w:tblPrEx>
          <w:tblCellMar>
            <w:top w:w="0" w:type="dxa"/>
            <w:left w:w="108" w:type="dxa"/>
            <w:bottom w:w="0" w:type="dxa"/>
            <w:right w:w="108" w:type="dxa"/>
          </w:tblCellMar>
        </w:tblPrEx>
        <w:trPr>
          <w:trHeight w:val="621" w:hRule="atLeast"/>
        </w:trPr>
        <w:tc>
          <w:tcPr>
            <w:tcW w:w="5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25425">
            <w:pPr>
              <w:keepNext w:val="0"/>
              <w:keepLines w:val="0"/>
              <w:widowControl/>
              <w:suppressLineNumbers w:val="0"/>
              <w:jc w:val="center"/>
              <w:textAlignment w:val="center"/>
              <w:rPr>
                <w:rFonts w:hint="eastAsia" w:ascii="宋体" w:hAnsi="宋体" w:cs="宋体"/>
                <w:color w:val="000000"/>
                <w:szCs w:val="21"/>
                <w:lang w:bidi="ar"/>
              </w:rPr>
            </w:pPr>
            <w:r>
              <w:rPr>
                <w:rFonts w:hint="eastAsia" w:ascii="宋体" w:hAnsi="宋体" w:eastAsia="宋体" w:cs="宋体"/>
                <w:i w:val="0"/>
                <w:iCs w:val="0"/>
                <w:color w:val="000000"/>
                <w:kern w:val="0"/>
                <w:sz w:val="21"/>
                <w:szCs w:val="21"/>
                <w:u w:val="none"/>
                <w:lang w:val="en-US" w:eastAsia="zh-CN" w:bidi="ar"/>
              </w:rPr>
              <w:t>5</w:t>
            </w:r>
          </w:p>
        </w:tc>
        <w:tc>
          <w:tcPr>
            <w:tcW w:w="1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C3EBF">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交换机</w:t>
            </w: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8EABD">
            <w:pPr>
              <w:widowControl/>
              <w:jc w:val="center"/>
              <w:textAlignment w:val="center"/>
              <w:rPr>
                <w:rFonts w:hint="eastAsia" w:ascii="宋体" w:hAnsi="宋体"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6B6B2">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套</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CE2DE">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4</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4A49D">
            <w:pPr>
              <w:widowControl/>
              <w:jc w:val="center"/>
              <w:textAlignment w:val="center"/>
              <w:rPr>
                <w:rFonts w:hint="eastAsia" w:ascii="宋体" w:hAnsi="宋体" w:cs="宋体"/>
                <w:color w:val="000000"/>
                <w:szCs w:val="21"/>
              </w:rPr>
            </w:pP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2BE92">
            <w:pPr>
              <w:widowControl/>
              <w:jc w:val="center"/>
              <w:textAlignment w:val="center"/>
              <w:rPr>
                <w:rFonts w:hint="eastAsia" w:ascii="宋体" w:hAnsi="宋体" w:cs="宋体"/>
                <w:color w:val="000000"/>
                <w:szCs w:val="21"/>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1CA01">
            <w:pPr>
              <w:widowControl/>
              <w:jc w:val="center"/>
              <w:textAlignment w:val="center"/>
              <w:rPr>
                <w:rFonts w:hint="eastAsia" w:ascii="宋体" w:hAnsi="宋体" w:cs="宋体"/>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C529B">
            <w:pPr>
              <w:widowControl/>
              <w:jc w:val="center"/>
              <w:textAlignment w:val="center"/>
              <w:rPr>
                <w:rFonts w:hint="eastAsia" w:ascii="宋体" w:hAnsi="宋体" w:cs="宋体"/>
                <w:color w:val="000000"/>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30EBB">
            <w:pPr>
              <w:widowControl/>
              <w:jc w:val="center"/>
              <w:textAlignment w:val="center"/>
              <w:rPr>
                <w:rFonts w:hint="eastAsia" w:ascii="宋体" w:hAnsi="宋体" w:cs="宋体"/>
                <w:color w:val="000000"/>
                <w:szCs w:val="21"/>
              </w:rPr>
            </w:pPr>
          </w:p>
        </w:tc>
        <w:tc>
          <w:tcPr>
            <w:tcW w:w="2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588F0">
            <w:pPr>
              <w:widowControl/>
              <w:jc w:val="center"/>
              <w:textAlignment w:val="center"/>
              <w:rPr>
                <w:rFonts w:hint="eastAsia" w:ascii="宋体" w:hAnsi="宋体" w:cs="宋体"/>
                <w:color w:val="000000"/>
                <w:szCs w:val="21"/>
              </w:rPr>
            </w:pPr>
          </w:p>
        </w:tc>
      </w:tr>
      <w:tr w14:paraId="06449BD0">
        <w:tblPrEx>
          <w:tblCellMar>
            <w:top w:w="0" w:type="dxa"/>
            <w:left w:w="108" w:type="dxa"/>
            <w:bottom w:w="0" w:type="dxa"/>
            <w:right w:w="108" w:type="dxa"/>
          </w:tblCellMar>
        </w:tblPrEx>
        <w:trPr>
          <w:trHeight w:val="621" w:hRule="atLeast"/>
        </w:trPr>
        <w:tc>
          <w:tcPr>
            <w:tcW w:w="5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86411">
            <w:pPr>
              <w:keepNext w:val="0"/>
              <w:keepLines w:val="0"/>
              <w:widowControl/>
              <w:suppressLineNumbers w:val="0"/>
              <w:jc w:val="center"/>
              <w:textAlignment w:val="center"/>
              <w:rPr>
                <w:rFonts w:hint="eastAsia" w:ascii="宋体" w:hAnsi="宋体" w:cs="宋体"/>
                <w:color w:val="000000"/>
                <w:szCs w:val="21"/>
                <w:lang w:bidi="ar"/>
              </w:rPr>
            </w:pPr>
            <w:r>
              <w:rPr>
                <w:rFonts w:hint="eastAsia" w:ascii="宋体" w:hAnsi="宋体" w:eastAsia="宋体" w:cs="宋体"/>
                <w:i w:val="0"/>
                <w:iCs w:val="0"/>
                <w:color w:val="000000"/>
                <w:kern w:val="0"/>
                <w:sz w:val="21"/>
                <w:szCs w:val="21"/>
                <w:u w:val="none"/>
                <w:lang w:val="en-US" w:eastAsia="zh-CN" w:bidi="ar"/>
              </w:rPr>
              <w:t>6</w:t>
            </w:r>
          </w:p>
        </w:tc>
        <w:tc>
          <w:tcPr>
            <w:tcW w:w="1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D625F">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网络加固</w:t>
            </w: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9779D">
            <w:pPr>
              <w:widowControl/>
              <w:jc w:val="center"/>
              <w:textAlignment w:val="center"/>
              <w:rPr>
                <w:rFonts w:hint="eastAsia" w:ascii="宋体" w:hAnsi="宋体"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020F4">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项</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5A232">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24552">
            <w:pPr>
              <w:widowControl/>
              <w:jc w:val="center"/>
              <w:textAlignment w:val="center"/>
              <w:rPr>
                <w:rFonts w:hint="eastAsia" w:ascii="宋体" w:hAnsi="宋体" w:cs="宋体"/>
                <w:color w:val="000000"/>
                <w:szCs w:val="21"/>
              </w:rPr>
            </w:pP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0D542">
            <w:pPr>
              <w:widowControl/>
              <w:jc w:val="center"/>
              <w:textAlignment w:val="center"/>
              <w:rPr>
                <w:rFonts w:hint="eastAsia" w:ascii="宋体" w:hAnsi="宋体" w:cs="宋体"/>
                <w:color w:val="000000"/>
                <w:szCs w:val="21"/>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0D543">
            <w:pPr>
              <w:widowControl/>
              <w:jc w:val="center"/>
              <w:textAlignment w:val="center"/>
              <w:rPr>
                <w:rFonts w:hint="eastAsia" w:ascii="宋体" w:hAnsi="宋体" w:cs="宋体"/>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FA3C6">
            <w:pPr>
              <w:widowControl/>
              <w:jc w:val="center"/>
              <w:textAlignment w:val="center"/>
              <w:rPr>
                <w:rFonts w:hint="eastAsia" w:ascii="宋体" w:hAnsi="宋体" w:cs="宋体"/>
                <w:color w:val="000000"/>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46687">
            <w:pPr>
              <w:widowControl/>
              <w:jc w:val="center"/>
              <w:textAlignment w:val="center"/>
              <w:rPr>
                <w:rFonts w:hint="eastAsia" w:ascii="宋体" w:hAnsi="宋体" w:cs="宋体"/>
                <w:color w:val="000000"/>
                <w:szCs w:val="21"/>
              </w:rPr>
            </w:pPr>
          </w:p>
        </w:tc>
        <w:tc>
          <w:tcPr>
            <w:tcW w:w="2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2F23F">
            <w:pPr>
              <w:widowControl/>
              <w:jc w:val="center"/>
              <w:textAlignment w:val="center"/>
              <w:rPr>
                <w:rFonts w:hint="eastAsia" w:ascii="宋体" w:hAnsi="宋体" w:cs="宋体"/>
                <w:color w:val="000000"/>
                <w:szCs w:val="21"/>
              </w:rPr>
            </w:pPr>
          </w:p>
        </w:tc>
      </w:tr>
      <w:tr w14:paraId="073605E8">
        <w:tblPrEx>
          <w:tblCellMar>
            <w:top w:w="0" w:type="dxa"/>
            <w:left w:w="108" w:type="dxa"/>
            <w:bottom w:w="0" w:type="dxa"/>
            <w:right w:w="108" w:type="dxa"/>
          </w:tblCellMar>
        </w:tblPrEx>
        <w:trPr>
          <w:trHeight w:val="621" w:hRule="atLeast"/>
        </w:trPr>
        <w:tc>
          <w:tcPr>
            <w:tcW w:w="5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ECE4D">
            <w:pPr>
              <w:keepNext w:val="0"/>
              <w:keepLines w:val="0"/>
              <w:widowControl/>
              <w:suppressLineNumbers w:val="0"/>
              <w:jc w:val="center"/>
              <w:textAlignment w:val="center"/>
              <w:rPr>
                <w:rFonts w:hint="eastAsia" w:ascii="宋体" w:hAnsi="宋体" w:cs="宋体"/>
                <w:color w:val="000000"/>
                <w:szCs w:val="21"/>
                <w:lang w:bidi="ar"/>
              </w:rPr>
            </w:pPr>
            <w:r>
              <w:rPr>
                <w:rFonts w:hint="eastAsia" w:ascii="宋体" w:hAnsi="宋体" w:eastAsia="宋体" w:cs="宋体"/>
                <w:i w:val="0"/>
                <w:iCs w:val="0"/>
                <w:color w:val="000000"/>
                <w:kern w:val="0"/>
                <w:sz w:val="21"/>
                <w:szCs w:val="21"/>
                <w:u w:val="none"/>
                <w:lang w:val="en-US" w:eastAsia="zh-CN" w:bidi="ar"/>
              </w:rPr>
              <w:t>7</w:t>
            </w:r>
          </w:p>
        </w:tc>
        <w:tc>
          <w:tcPr>
            <w:tcW w:w="1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BC5FA">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蓄电池</w:t>
            </w:r>
          </w:p>
        </w:tc>
        <w:tc>
          <w:tcPr>
            <w:tcW w:w="6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AB4B5">
            <w:pPr>
              <w:widowControl/>
              <w:jc w:val="center"/>
              <w:textAlignment w:val="center"/>
              <w:rPr>
                <w:rFonts w:hint="eastAsia" w:ascii="宋体" w:hAnsi="宋体" w:cs="宋体"/>
                <w:color w:val="00000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D7D43">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粒</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E7D1C">
            <w:pPr>
              <w:keepNext w:val="0"/>
              <w:keepLines w:val="0"/>
              <w:widowControl/>
              <w:suppressLineNumbers w:val="0"/>
              <w:jc w:val="center"/>
              <w:textAlignment w:val="center"/>
              <w:rPr>
                <w:rFonts w:hint="eastAsia" w:ascii="宋体" w:hAnsi="宋体" w:cs="宋体"/>
                <w:color w:val="000000"/>
                <w:szCs w:val="21"/>
              </w:rPr>
            </w:pPr>
            <w:r>
              <w:rPr>
                <w:rFonts w:hint="eastAsia" w:ascii="宋体" w:hAnsi="宋体" w:eastAsia="宋体" w:cs="宋体"/>
                <w:i w:val="0"/>
                <w:iCs w:val="0"/>
                <w:color w:val="000000"/>
                <w:kern w:val="0"/>
                <w:sz w:val="21"/>
                <w:szCs w:val="21"/>
                <w:u w:val="none"/>
                <w:lang w:val="en-US" w:eastAsia="zh-CN" w:bidi="ar"/>
              </w:rPr>
              <w:t>8</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0BECA">
            <w:pPr>
              <w:widowControl/>
              <w:jc w:val="center"/>
              <w:textAlignment w:val="center"/>
              <w:rPr>
                <w:rFonts w:hint="eastAsia" w:ascii="宋体" w:hAnsi="宋体" w:cs="宋体"/>
                <w:color w:val="000000"/>
                <w:szCs w:val="21"/>
              </w:rPr>
            </w:pP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3F41C">
            <w:pPr>
              <w:widowControl/>
              <w:jc w:val="center"/>
              <w:textAlignment w:val="center"/>
              <w:rPr>
                <w:rFonts w:hint="eastAsia" w:ascii="宋体" w:hAnsi="宋体" w:cs="宋体"/>
                <w:color w:val="000000"/>
                <w:szCs w:val="21"/>
              </w:rPr>
            </w:pP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D901D">
            <w:pPr>
              <w:widowControl/>
              <w:jc w:val="center"/>
              <w:textAlignment w:val="center"/>
              <w:rPr>
                <w:rFonts w:hint="eastAsia" w:ascii="宋体" w:hAnsi="宋体" w:cs="宋体"/>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AA240">
            <w:pPr>
              <w:widowControl/>
              <w:jc w:val="center"/>
              <w:textAlignment w:val="center"/>
              <w:rPr>
                <w:rFonts w:hint="eastAsia" w:ascii="宋体" w:hAnsi="宋体" w:cs="宋体"/>
                <w:color w:val="000000"/>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59BC5">
            <w:pPr>
              <w:widowControl/>
              <w:jc w:val="center"/>
              <w:textAlignment w:val="center"/>
              <w:rPr>
                <w:rFonts w:hint="eastAsia" w:ascii="宋体" w:hAnsi="宋体" w:cs="宋体"/>
                <w:color w:val="000000"/>
                <w:szCs w:val="21"/>
              </w:rPr>
            </w:pPr>
          </w:p>
        </w:tc>
        <w:tc>
          <w:tcPr>
            <w:tcW w:w="2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9757F">
            <w:pPr>
              <w:widowControl/>
              <w:jc w:val="center"/>
              <w:textAlignment w:val="center"/>
              <w:rPr>
                <w:rFonts w:hint="eastAsia" w:ascii="宋体" w:hAnsi="宋体" w:cs="宋体"/>
                <w:color w:val="000000"/>
                <w:szCs w:val="21"/>
              </w:rPr>
            </w:pPr>
          </w:p>
        </w:tc>
      </w:tr>
      <w:tr w14:paraId="703CAE04">
        <w:tblPrEx>
          <w:tblCellMar>
            <w:top w:w="0" w:type="dxa"/>
            <w:left w:w="108" w:type="dxa"/>
            <w:bottom w:w="0" w:type="dxa"/>
            <w:right w:w="108" w:type="dxa"/>
          </w:tblCellMar>
        </w:tblPrEx>
        <w:trPr>
          <w:trHeight w:val="686" w:hRule="atLeast"/>
        </w:trPr>
        <w:tc>
          <w:tcPr>
            <w:tcW w:w="3667" w:type="pct"/>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57F96DC0">
            <w:pPr>
              <w:widowControl/>
              <w:jc w:val="center"/>
              <w:textAlignment w:val="center"/>
              <w:rPr>
                <w:rFonts w:hint="eastAsia" w:ascii="宋体" w:hAnsi="宋体" w:cs="宋体"/>
                <w:color w:val="000000"/>
                <w:szCs w:val="21"/>
              </w:rPr>
            </w:pPr>
            <w:r>
              <w:rPr>
                <w:rFonts w:hint="eastAsia" w:ascii="宋体" w:hAnsi="宋体" w:cs="宋体"/>
                <w:color w:val="000000"/>
                <w:szCs w:val="21"/>
              </w:rPr>
              <w:t>合计</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5E744">
            <w:pPr>
              <w:widowControl/>
              <w:jc w:val="center"/>
              <w:textAlignment w:val="center"/>
              <w:rPr>
                <w:rFonts w:hint="eastAsia" w:ascii="宋体" w:hAnsi="宋体" w:cs="宋体"/>
                <w:color w:val="000000"/>
                <w:szCs w:val="21"/>
              </w:rPr>
            </w:pPr>
          </w:p>
        </w:tc>
        <w:tc>
          <w:tcPr>
            <w:tcW w:w="5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ECFBF">
            <w:pPr>
              <w:widowControl/>
              <w:jc w:val="center"/>
              <w:textAlignment w:val="center"/>
              <w:rPr>
                <w:rFonts w:hint="eastAsia" w:ascii="宋体" w:hAnsi="宋体" w:cs="宋体"/>
                <w:color w:val="000000"/>
                <w:szCs w:val="21"/>
              </w:rPr>
            </w:pPr>
          </w:p>
        </w:tc>
        <w:tc>
          <w:tcPr>
            <w:tcW w:w="2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1C774">
            <w:pPr>
              <w:widowControl/>
              <w:jc w:val="center"/>
              <w:textAlignment w:val="center"/>
              <w:rPr>
                <w:rFonts w:hint="eastAsia" w:ascii="宋体" w:hAnsi="宋体" w:cs="宋体"/>
                <w:color w:val="000000"/>
                <w:szCs w:val="21"/>
              </w:rPr>
            </w:pPr>
          </w:p>
        </w:tc>
      </w:tr>
    </w:tbl>
    <w:p w14:paraId="6635EFCE">
      <w:pPr>
        <w:widowControl/>
        <w:jc w:val="left"/>
        <w:rPr>
          <w:rFonts w:hint="eastAsia" w:ascii="宋体" w:hAnsi="宋体"/>
          <w:b/>
          <w:sz w:val="28"/>
        </w:rPr>
      </w:pPr>
    </w:p>
    <w:p w14:paraId="29153257">
      <w:pPr>
        <w:pStyle w:val="21"/>
        <w:numPr>
          <w:ilvl w:val="0"/>
          <w:numId w:val="28"/>
        </w:numPr>
        <w:tabs>
          <w:tab w:val="left" w:pos="360"/>
        </w:tabs>
        <w:snapToGrid w:val="0"/>
        <w:spacing w:line="360" w:lineRule="auto"/>
        <w:ind w:right="120" w:rightChars="57"/>
        <w:jc w:val="left"/>
        <w:rPr>
          <w:rFonts w:hint="eastAsia" w:hAnsi="宋体" w:cs="宋体"/>
        </w:rPr>
      </w:pPr>
      <w:r>
        <w:rPr>
          <w:rFonts w:hint="eastAsia" w:hAnsi="宋体" w:cs="宋体"/>
        </w:rPr>
        <w:t>此表在竞价结束后填写最终报价并上传到国E平台。</w:t>
      </w:r>
    </w:p>
    <w:p w14:paraId="595B47DD">
      <w:pPr>
        <w:pStyle w:val="21"/>
        <w:numPr>
          <w:ilvl w:val="0"/>
          <w:numId w:val="28"/>
        </w:numPr>
        <w:tabs>
          <w:tab w:val="left" w:pos="360"/>
        </w:tabs>
        <w:snapToGrid w:val="0"/>
        <w:spacing w:line="360" w:lineRule="auto"/>
        <w:ind w:right="120" w:rightChars="57"/>
        <w:jc w:val="left"/>
        <w:rPr>
          <w:rFonts w:hint="eastAsia" w:hAnsi="宋体" w:cs="宋体"/>
        </w:rPr>
      </w:pPr>
      <w:r>
        <w:rPr>
          <w:rFonts w:hint="eastAsia" w:hAnsi="宋体" w:cs="宋体"/>
          <w:lang w:val="en-US" w:eastAsia="zh-CN"/>
        </w:rPr>
        <w:t>设备型号须与原厂授权委托书一致，否则采购人有权否定其报价。</w:t>
      </w:r>
    </w:p>
    <w:p w14:paraId="1E54D79E">
      <w:pPr>
        <w:pStyle w:val="21"/>
        <w:numPr>
          <w:ilvl w:val="0"/>
          <w:numId w:val="28"/>
        </w:numPr>
        <w:tabs>
          <w:tab w:val="left" w:pos="360"/>
        </w:tabs>
        <w:snapToGrid w:val="0"/>
        <w:spacing w:line="360" w:lineRule="auto"/>
        <w:ind w:right="120" w:rightChars="57"/>
        <w:jc w:val="left"/>
        <w:rPr>
          <w:rFonts w:hint="eastAsia" w:hAnsi="宋体" w:cs="宋体"/>
          <w:b/>
          <w:bCs/>
        </w:rPr>
      </w:pPr>
      <w:r>
        <w:rPr>
          <w:rFonts w:hint="eastAsia" w:hAnsi="宋体" w:cs="宋体"/>
          <w:b/>
          <w:bCs/>
          <w:lang w:val="en-US" w:eastAsia="zh-CN"/>
        </w:rPr>
        <w:t>本项目竞价以不含税价为准。</w:t>
      </w:r>
    </w:p>
    <w:p w14:paraId="0647AAB9">
      <w:pPr>
        <w:pStyle w:val="21"/>
        <w:numPr>
          <w:ilvl w:val="0"/>
          <w:numId w:val="28"/>
        </w:numPr>
        <w:tabs>
          <w:tab w:val="left" w:pos="360"/>
        </w:tabs>
        <w:snapToGrid w:val="0"/>
        <w:spacing w:line="360" w:lineRule="auto"/>
        <w:ind w:right="120" w:rightChars="57"/>
        <w:jc w:val="left"/>
        <w:rPr>
          <w:rFonts w:hint="eastAsia" w:hAnsi="宋体" w:cs="宋体"/>
        </w:rPr>
      </w:pPr>
      <w:r>
        <w:rPr>
          <w:rFonts w:hint="eastAsia" w:hAnsi="宋体" w:cs="宋体"/>
        </w:rPr>
        <w:t>本项目采购包括但不限于人工/劳务费</w:t>
      </w:r>
      <w:r>
        <w:rPr>
          <w:rFonts w:hint="eastAsia" w:hAnsi="宋体"/>
        </w:rPr>
        <w:t>运费、装卸费、安装费、调试费、培训指导费、保险费、包装费、检验费等其他可能产生的费用。</w:t>
      </w:r>
    </w:p>
    <w:p w14:paraId="51E3DBA6">
      <w:pPr>
        <w:pStyle w:val="21"/>
        <w:spacing w:line="480" w:lineRule="exact"/>
        <w:ind w:left="735" w:hanging="735"/>
        <w:rPr>
          <w:rFonts w:hint="eastAsia" w:hAnsi="宋体" w:cs="宋体"/>
          <w:b/>
          <w:bCs/>
        </w:rPr>
      </w:pPr>
    </w:p>
    <w:p w14:paraId="6F998707">
      <w:pPr>
        <w:adjustRightInd w:val="0"/>
        <w:snapToGrid w:val="0"/>
        <w:spacing w:line="360" w:lineRule="auto"/>
        <w:rPr>
          <w:rFonts w:hint="eastAsia" w:ascii="宋体" w:hAnsi="宋体" w:cs="宋体"/>
          <w:szCs w:val="21"/>
          <w:u w:val="single"/>
        </w:rPr>
      </w:pPr>
      <w:r>
        <w:rPr>
          <w:rFonts w:hint="eastAsia" w:ascii="宋体" w:hAnsi="宋体" w:cs="宋体"/>
          <w:szCs w:val="21"/>
        </w:rPr>
        <w:t>响应人名称（签章）：</w:t>
      </w:r>
      <w:r>
        <w:rPr>
          <w:rFonts w:hint="eastAsia" w:ascii="宋体" w:hAnsi="宋体" w:cs="宋体"/>
          <w:szCs w:val="21"/>
          <w:u w:val="single"/>
        </w:rPr>
        <w:t xml:space="preserve">              </w:t>
      </w:r>
    </w:p>
    <w:p w14:paraId="3A788F5F">
      <w:pPr>
        <w:adjustRightInd w:val="0"/>
        <w:snapToGrid w:val="0"/>
        <w:spacing w:line="360" w:lineRule="auto"/>
        <w:rPr>
          <w:rFonts w:hint="eastAsia" w:ascii="宋体" w:hAnsi="宋体" w:cs="宋体"/>
          <w:szCs w:val="21"/>
        </w:rPr>
      </w:pPr>
      <w:r>
        <w:rPr>
          <w:rFonts w:hint="eastAsia" w:ascii="宋体" w:hAnsi="宋体" w:cs="宋体"/>
          <w:szCs w:val="21"/>
        </w:rPr>
        <w:t>响应人法定代表人或授权代表（签字或盖章）：</w:t>
      </w:r>
      <w:r>
        <w:rPr>
          <w:rFonts w:hint="eastAsia" w:ascii="宋体" w:hAnsi="宋体" w:cs="宋体"/>
          <w:szCs w:val="21"/>
          <w:u w:val="single"/>
        </w:rPr>
        <w:t xml:space="preserve">                   </w:t>
      </w:r>
      <w:r>
        <w:rPr>
          <w:rFonts w:hint="eastAsia" w:ascii="宋体" w:hAnsi="宋体" w:cs="宋体"/>
          <w:szCs w:val="21"/>
        </w:rPr>
        <w:t xml:space="preserve">   </w:t>
      </w:r>
    </w:p>
    <w:p w14:paraId="00BAD9D6">
      <w:pPr>
        <w:tabs>
          <w:tab w:val="left" w:pos="3960"/>
        </w:tabs>
        <w:spacing w:line="360" w:lineRule="auto"/>
        <w:ind w:right="301"/>
        <w:rPr>
          <w:rFonts w:hint="eastAsia" w:ascii="宋体" w:hAnsi="宋体" w:cs="宋体"/>
          <w:szCs w:val="21"/>
        </w:rPr>
      </w:pPr>
      <w:r>
        <w:rPr>
          <w:rFonts w:hint="eastAsia" w:ascii="宋体" w:hAnsi="宋体" w:cs="宋体"/>
          <w:szCs w:val="21"/>
        </w:rPr>
        <w:t>日期：    年      月      日</w:t>
      </w:r>
    </w:p>
    <w:p w14:paraId="6BF8DB0A">
      <w:pPr>
        <w:widowControl/>
        <w:jc w:val="left"/>
        <w:rPr>
          <w:rFonts w:hint="eastAsia" w:ascii="宋体" w:hAnsi="宋体"/>
          <w:b/>
          <w:sz w:val="28"/>
        </w:rPr>
      </w:pPr>
    </w:p>
    <w:p w14:paraId="25443482">
      <w:pPr>
        <w:rPr>
          <w:rFonts w:hint="eastAsia" w:ascii="宋体" w:hAnsi="宋体" w:cs="宋体"/>
          <w:sz w:val="32"/>
          <w:szCs w:val="32"/>
        </w:rPr>
        <w:sectPr>
          <w:headerReference r:id="rId10" w:type="default"/>
          <w:footerReference r:id="rId11" w:type="default"/>
          <w:pgSz w:w="11906" w:h="16838"/>
          <w:pgMar w:top="1134" w:right="1361" w:bottom="1134" w:left="1361" w:header="851" w:footer="992" w:gutter="0"/>
          <w:cols w:space="425" w:num="1"/>
          <w:docGrid w:linePitch="312" w:charSpace="0"/>
        </w:sectPr>
      </w:pPr>
      <w:bookmarkStart w:id="211" w:name="_Toc17463"/>
      <w:r>
        <w:rPr>
          <w:rFonts w:hint="eastAsia" w:ascii="宋体" w:hAnsi="宋体" w:cs="宋体"/>
          <w:sz w:val="32"/>
          <w:szCs w:val="32"/>
        </w:rPr>
        <w:br w:type="page"/>
      </w:r>
    </w:p>
    <w:p w14:paraId="2722CD63">
      <w:pPr>
        <w:autoSpaceDE w:val="0"/>
        <w:autoSpaceDN w:val="0"/>
        <w:adjustRightInd w:val="0"/>
        <w:spacing w:line="360" w:lineRule="auto"/>
        <w:jc w:val="center"/>
        <w:rPr>
          <w:rFonts w:hint="eastAsia" w:ascii="宋体" w:hAnsi="宋体" w:eastAsia="宋体" w:cs="宋体"/>
          <w:b/>
          <w:color w:val="000000"/>
          <w:sz w:val="56"/>
          <w:lang w:val="en-US" w:eastAsia="zh-CN"/>
        </w:rPr>
      </w:pPr>
    </w:p>
    <w:p w14:paraId="337942E7">
      <w:pPr>
        <w:autoSpaceDE w:val="0"/>
        <w:autoSpaceDN w:val="0"/>
        <w:adjustRightInd w:val="0"/>
        <w:spacing w:line="360" w:lineRule="auto"/>
        <w:jc w:val="center"/>
        <w:rPr>
          <w:rFonts w:hint="eastAsia" w:ascii="宋体" w:hAnsi="宋体" w:eastAsia="宋体" w:cs="宋体"/>
          <w:b/>
          <w:color w:val="000000"/>
          <w:sz w:val="56"/>
          <w:lang w:val="en-US" w:eastAsia="zh-CN"/>
        </w:rPr>
      </w:pPr>
    </w:p>
    <w:p w14:paraId="0AB73F5B">
      <w:pPr>
        <w:autoSpaceDE w:val="0"/>
        <w:autoSpaceDN w:val="0"/>
        <w:adjustRightInd w:val="0"/>
        <w:spacing w:line="360" w:lineRule="auto"/>
        <w:jc w:val="center"/>
        <w:rPr>
          <w:rFonts w:hint="eastAsia" w:ascii="宋体" w:hAnsi="宋体" w:eastAsia="宋体" w:cs="宋体"/>
          <w:b/>
          <w:color w:val="000000"/>
          <w:sz w:val="56"/>
          <w:lang w:val="en-US" w:eastAsia="zh-CN"/>
        </w:rPr>
      </w:pPr>
      <w:r>
        <w:rPr>
          <w:rFonts w:hint="eastAsia" w:ascii="宋体" w:hAnsi="宋体" w:eastAsia="宋体" w:cs="宋体"/>
          <w:b/>
          <w:color w:val="000000"/>
          <w:sz w:val="56"/>
          <w:lang w:val="en-US" w:eastAsia="zh-CN"/>
        </w:rPr>
        <w:t>宁德漳湾垃圾焚烧发电有限公司国网电力通信及调度数据网设备</w:t>
      </w:r>
    </w:p>
    <w:p w14:paraId="4FC32B4A">
      <w:pPr>
        <w:autoSpaceDE w:val="0"/>
        <w:autoSpaceDN w:val="0"/>
        <w:adjustRightInd w:val="0"/>
        <w:spacing w:line="360" w:lineRule="auto"/>
        <w:jc w:val="center"/>
        <w:rPr>
          <w:rFonts w:hint="eastAsia" w:ascii="宋体" w:hAnsi="宋体" w:eastAsia="宋体" w:cs="宋体"/>
          <w:b/>
          <w:color w:val="000000"/>
          <w:sz w:val="56"/>
        </w:rPr>
      </w:pPr>
      <w:r>
        <w:rPr>
          <w:rFonts w:hint="eastAsia" w:ascii="宋体" w:hAnsi="宋体" w:eastAsia="宋体" w:cs="宋体"/>
          <w:b/>
          <w:color w:val="000000"/>
          <w:sz w:val="56"/>
        </w:rPr>
        <w:t>改造项目</w:t>
      </w:r>
    </w:p>
    <w:p w14:paraId="06867C4A">
      <w:pPr>
        <w:autoSpaceDE w:val="0"/>
        <w:autoSpaceDN w:val="0"/>
        <w:adjustRightInd w:val="0"/>
        <w:spacing w:line="360" w:lineRule="auto"/>
        <w:jc w:val="center"/>
        <w:rPr>
          <w:rFonts w:hint="eastAsia" w:ascii="宋体" w:hAnsi="宋体" w:eastAsia="宋体" w:cs="宋体"/>
          <w:b/>
          <w:color w:val="000000"/>
          <w:sz w:val="56"/>
        </w:rPr>
      </w:pPr>
    </w:p>
    <w:p w14:paraId="2FDB59E2">
      <w:pPr>
        <w:autoSpaceDE w:val="0"/>
        <w:autoSpaceDN w:val="0"/>
        <w:adjustRightInd w:val="0"/>
        <w:spacing w:line="360" w:lineRule="auto"/>
        <w:jc w:val="center"/>
        <w:rPr>
          <w:rFonts w:hint="eastAsia" w:ascii="宋体" w:hAnsi="宋体" w:eastAsia="宋体" w:cs="宋体"/>
          <w:b/>
          <w:color w:val="000000"/>
          <w:sz w:val="112"/>
          <w:szCs w:val="112"/>
        </w:rPr>
      </w:pPr>
    </w:p>
    <w:p w14:paraId="5C54438B">
      <w:pPr>
        <w:autoSpaceDE w:val="0"/>
        <w:autoSpaceDN w:val="0"/>
        <w:adjustRightInd w:val="0"/>
        <w:spacing w:line="360" w:lineRule="auto"/>
        <w:jc w:val="center"/>
        <w:outlineLvl w:val="1"/>
        <w:rPr>
          <w:rFonts w:hint="eastAsia" w:ascii="宋体" w:hAnsi="宋体" w:eastAsia="宋体" w:cs="宋体"/>
          <w:b/>
          <w:color w:val="000000"/>
          <w:sz w:val="112"/>
          <w:szCs w:val="112"/>
        </w:rPr>
      </w:pPr>
      <w:r>
        <w:rPr>
          <w:rFonts w:hint="eastAsia" w:ascii="宋体" w:hAnsi="宋体" w:eastAsia="宋体" w:cs="宋体"/>
          <w:b/>
          <w:color w:val="000000"/>
          <w:sz w:val="112"/>
          <w:szCs w:val="112"/>
        </w:rPr>
        <w:t>技术规范书</w:t>
      </w:r>
    </w:p>
    <w:p w14:paraId="209F23AA">
      <w:pPr>
        <w:autoSpaceDE w:val="0"/>
        <w:autoSpaceDN w:val="0"/>
        <w:adjustRightInd w:val="0"/>
        <w:spacing w:line="360" w:lineRule="auto"/>
        <w:jc w:val="center"/>
        <w:rPr>
          <w:rFonts w:hint="eastAsia" w:ascii="宋体" w:hAnsi="宋体" w:eastAsia="宋体" w:cs="宋体"/>
          <w:b/>
          <w:kern w:val="1"/>
          <w:sz w:val="28"/>
          <w:szCs w:val="28"/>
        </w:rPr>
      </w:pPr>
    </w:p>
    <w:p w14:paraId="1502CB78">
      <w:pPr>
        <w:autoSpaceDE w:val="0"/>
        <w:autoSpaceDN w:val="0"/>
        <w:adjustRightInd w:val="0"/>
        <w:spacing w:line="360" w:lineRule="auto"/>
        <w:jc w:val="center"/>
        <w:rPr>
          <w:rFonts w:hint="eastAsia" w:ascii="宋体" w:hAnsi="宋体" w:eastAsia="宋体" w:cs="宋体"/>
          <w:b/>
          <w:kern w:val="1"/>
          <w:sz w:val="28"/>
          <w:szCs w:val="28"/>
        </w:rPr>
      </w:pPr>
    </w:p>
    <w:p w14:paraId="7E1C1A91">
      <w:pPr>
        <w:autoSpaceDE w:val="0"/>
        <w:autoSpaceDN w:val="0"/>
        <w:adjustRightInd w:val="0"/>
        <w:spacing w:line="360" w:lineRule="auto"/>
        <w:jc w:val="center"/>
        <w:rPr>
          <w:rFonts w:hint="eastAsia" w:ascii="宋体" w:hAnsi="宋体" w:eastAsia="宋体" w:cs="宋体"/>
          <w:b/>
          <w:kern w:val="1"/>
          <w:sz w:val="28"/>
          <w:szCs w:val="28"/>
        </w:rPr>
      </w:pPr>
    </w:p>
    <w:p w14:paraId="6AF49BFA">
      <w:pPr>
        <w:autoSpaceDE w:val="0"/>
        <w:autoSpaceDN w:val="0"/>
        <w:adjustRightInd w:val="0"/>
        <w:spacing w:line="360" w:lineRule="auto"/>
        <w:jc w:val="center"/>
        <w:rPr>
          <w:rFonts w:hint="eastAsia" w:ascii="宋体" w:hAnsi="宋体" w:eastAsia="宋体" w:cs="宋体"/>
          <w:b/>
          <w:kern w:val="1"/>
          <w:sz w:val="28"/>
          <w:szCs w:val="28"/>
        </w:rPr>
      </w:pPr>
    </w:p>
    <w:p w14:paraId="4384BEEC">
      <w:pPr>
        <w:autoSpaceDE w:val="0"/>
        <w:autoSpaceDN w:val="0"/>
        <w:adjustRightInd w:val="0"/>
        <w:spacing w:line="360" w:lineRule="auto"/>
        <w:jc w:val="center"/>
        <w:rPr>
          <w:rFonts w:hint="eastAsia" w:ascii="宋体" w:hAnsi="宋体" w:eastAsia="宋体" w:cs="宋体"/>
          <w:b/>
          <w:kern w:val="1"/>
          <w:sz w:val="28"/>
          <w:szCs w:val="28"/>
        </w:rPr>
      </w:pPr>
    </w:p>
    <w:p w14:paraId="013FBD6C">
      <w:pPr>
        <w:autoSpaceDE w:val="0"/>
        <w:autoSpaceDN w:val="0"/>
        <w:adjustRightInd w:val="0"/>
        <w:spacing w:line="360" w:lineRule="auto"/>
        <w:jc w:val="center"/>
        <w:rPr>
          <w:rFonts w:hint="eastAsia" w:ascii="宋体" w:hAnsi="宋体" w:eastAsia="宋体" w:cs="宋体"/>
          <w:b/>
          <w:kern w:val="1"/>
          <w:sz w:val="28"/>
          <w:szCs w:val="28"/>
        </w:rPr>
      </w:pPr>
    </w:p>
    <w:p w14:paraId="1BE95CE6">
      <w:pPr>
        <w:autoSpaceDE w:val="0"/>
        <w:autoSpaceDN w:val="0"/>
        <w:adjustRightInd w:val="0"/>
        <w:spacing w:line="360" w:lineRule="auto"/>
        <w:jc w:val="center"/>
        <w:rPr>
          <w:rFonts w:hint="eastAsia" w:ascii="宋体" w:hAnsi="宋体" w:eastAsia="宋体" w:cs="宋体"/>
          <w:b/>
          <w:kern w:val="1"/>
          <w:sz w:val="28"/>
          <w:szCs w:val="28"/>
        </w:rPr>
      </w:pPr>
    </w:p>
    <w:p w14:paraId="33E8E5B0">
      <w:pPr>
        <w:autoSpaceDE w:val="0"/>
        <w:autoSpaceDN w:val="0"/>
        <w:adjustRightInd w:val="0"/>
        <w:spacing w:line="360" w:lineRule="auto"/>
        <w:jc w:val="center"/>
        <w:rPr>
          <w:rFonts w:hint="eastAsia" w:ascii="宋体" w:hAnsi="宋体" w:eastAsia="宋体" w:cs="宋体"/>
          <w:b/>
          <w:kern w:val="1"/>
          <w:sz w:val="28"/>
          <w:szCs w:val="28"/>
        </w:rPr>
      </w:pPr>
    </w:p>
    <w:p w14:paraId="7571CB07">
      <w:pPr>
        <w:widowControl/>
        <w:jc w:val="left"/>
        <w:rPr>
          <w:rFonts w:hint="eastAsia" w:ascii="宋体" w:hAnsi="宋体" w:eastAsia="宋体" w:cs="宋体"/>
          <w:b/>
          <w:kern w:val="1"/>
          <w:sz w:val="28"/>
          <w:szCs w:val="28"/>
        </w:rPr>
      </w:pPr>
      <w:r>
        <w:rPr>
          <w:rFonts w:hint="eastAsia" w:ascii="宋体" w:hAnsi="宋体" w:eastAsia="宋体" w:cs="宋体"/>
          <w:b/>
          <w:kern w:val="1"/>
          <w:sz w:val="28"/>
          <w:szCs w:val="28"/>
        </w:rPr>
        <w:br w:type="page"/>
      </w:r>
    </w:p>
    <w:p w14:paraId="0D701E23">
      <w:pPr>
        <w:keepNext/>
        <w:keepLines/>
        <w:widowControl w:val="0"/>
        <w:tabs>
          <w:tab w:val="left" w:pos="432"/>
        </w:tabs>
        <w:spacing w:before="340" w:after="330" w:line="360" w:lineRule="auto"/>
        <w:ind w:left="432" w:hanging="432"/>
        <w:jc w:val="both"/>
        <w:outlineLvl w:val="9"/>
        <w:rPr>
          <w:rFonts w:hint="eastAsia" w:ascii="宋体" w:hAnsi="宋体" w:eastAsia="宋体" w:cs="宋体"/>
          <w:b/>
          <w:sz w:val="28"/>
          <w:szCs w:val="28"/>
          <w:lang w:eastAsia="zh-CN"/>
        </w:rPr>
      </w:pPr>
      <w:r>
        <w:rPr>
          <w:rFonts w:hint="eastAsia" w:ascii="宋体" w:hAnsi="宋体" w:eastAsia="宋体" w:cs="宋体"/>
          <w:b/>
          <w:sz w:val="28"/>
          <w:szCs w:val="28"/>
          <w:lang w:eastAsia="zh-CN"/>
        </w:rPr>
        <w:t>一、总体要求</w:t>
      </w:r>
    </w:p>
    <w:p w14:paraId="02877C46">
      <w:pPr>
        <w:numPr>
          <w:ilvl w:val="0"/>
          <w:numId w:val="29"/>
        </w:numPr>
        <w:spacing w:line="360" w:lineRule="auto"/>
        <w:rPr>
          <w:rFonts w:hint="eastAsia" w:ascii="宋体" w:hAnsi="宋体" w:eastAsia="宋体" w:cs="宋体"/>
          <w:sz w:val="24"/>
          <w:szCs w:val="24"/>
        </w:rPr>
      </w:pPr>
      <w:r>
        <w:rPr>
          <w:rFonts w:hint="eastAsia" w:ascii="宋体" w:hAnsi="宋体" w:eastAsia="宋体" w:cs="宋体"/>
          <w:sz w:val="24"/>
          <w:szCs w:val="24"/>
        </w:rPr>
        <w:t>本技术规范内容为订货合同的附件，与订货合同具有同等法律效力。</w:t>
      </w:r>
    </w:p>
    <w:p w14:paraId="3AA4C607">
      <w:pPr>
        <w:numPr>
          <w:ilvl w:val="0"/>
          <w:numId w:val="29"/>
        </w:num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应提供供货设备的技术数据列表，所有参数的单位使用国际标准单位。</w:t>
      </w:r>
    </w:p>
    <w:p w14:paraId="3C4739F5">
      <w:pPr>
        <w:numPr>
          <w:ilvl w:val="0"/>
          <w:numId w:val="29"/>
        </w:num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提供的设备应方便于现场的搬运、安装和拆卸，并有防腐措施。</w:t>
      </w:r>
    </w:p>
    <w:p w14:paraId="762DC27D">
      <w:pPr>
        <w:numPr>
          <w:ilvl w:val="0"/>
          <w:numId w:val="29"/>
        </w:numPr>
        <w:spacing w:line="360" w:lineRule="auto"/>
        <w:ind w:left="0" w:firstLine="0"/>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所投产品应在近三年的供货中未出现严重违约或产品未出现重大的技术及质量事故。</w:t>
      </w:r>
    </w:p>
    <w:p w14:paraId="7B0F6278">
      <w:pPr>
        <w:keepNext/>
        <w:keepLines/>
        <w:widowControl w:val="0"/>
        <w:tabs>
          <w:tab w:val="left" w:pos="432"/>
        </w:tabs>
        <w:spacing w:before="340" w:after="330" w:line="360" w:lineRule="auto"/>
        <w:ind w:left="432" w:hanging="432"/>
        <w:jc w:val="both"/>
        <w:outlineLvl w:val="9"/>
        <w:rPr>
          <w:rFonts w:hint="eastAsia" w:ascii="宋体" w:hAnsi="宋体" w:eastAsia="宋体" w:cs="宋体"/>
          <w:b/>
          <w:sz w:val="28"/>
          <w:szCs w:val="28"/>
        </w:rPr>
      </w:pPr>
      <w:r>
        <w:rPr>
          <w:rFonts w:hint="eastAsia" w:ascii="宋体" w:hAnsi="宋体" w:eastAsia="宋体" w:cs="宋体"/>
          <w:b/>
          <w:sz w:val="28"/>
          <w:szCs w:val="28"/>
          <w:lang w:eastAsia="zh-CN"/>
        </w:rPr>
        <w:t>二、采购范围及分项清单表</w:t>
      </w:r>
    </w:p>
    <w:p w14:paraId="2F23600C">
      <w:pPr>
        <w:tabs>
          <w:tab w:val="left" w:pos="1867"/>
          <w:tab w:val="left" w:pos="2880"/>
        </w:tabs>
        <w:spacing w:before="156" w:beforeLines="50" w:line="360" w:lineRule="auto"/>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改造范围：通信传输设备、通信 PCM 设备、通信蓄电池及调度数据网设备更换安装、调试、保障设备正常运行。</w:t>
      </w:r>
    </w:p>
    <w:p w14:paraId="066123F7">
      <w:pPr>
        <w:tabs>
          <w:tab w:val="left" w:pos="1867"/>
          <w:tab w:val="left" w:pos="2880"/>
        </w:tabs>
        <w:spacing w:before="156" w:beforeLines="50" w:line="360" w:lineRule="auto"/>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分项清单表</w:t>
      </w:r>
      <w:r>
        <w:rPr>
          <w:rFonts w:hint="eastAsia" w:ascii="宋体" w:hAnsi="宋体" w:eastAsia="宋体" w:cs="宋体"/>
          <w:b w:val="0"/>
          <w:bCs w:val="0"/>
          <w:sz w:val="24"/>
          <w:szCs w:val="24"/>
          <w:lang w:eastAsia="zh-CN"/>
        </w:rPr>
        <w:t>：</w:t>
      </w:r>
    </w:p>
    <w:tbl>
      <w:tblPr>
        <w:tblStyle w:val="43"/>
        <w:tblpPr w:leftFromText="180" w:rightFromText="180" w:vertAnchor="text" w:horzAnchor="page" w:tblpX="1329" w:tblpY="284"/>
        <w:tblOverlap w:val="never"/>
        <w:tblW w:w="9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9"/>
        <w:gridCol w:w="2618"/>
        <w:gridCol w:w="4273"/>
        <w:gridCol w:w="700"/>
        <w:gridCol w:w="720"/>
      </w:tblGrid>
      <w:tr w14:paraId="2A390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217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29D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1B3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内容</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6B3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E6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r>
      <w:tr w14:paraId="7596D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01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E4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光传输设备</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6A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将原有烽火550F升级780B,旧设备拆卸、新设备安装、调试、通信接入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01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E7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6EF6F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4A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B8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iad</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B1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将原有的普天MJ120更换为8路IAD设备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57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FB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2E3E1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71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E3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ip板卡</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84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MPGW</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1B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14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14:paraId="6F41A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E5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34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路由器</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CA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MSR 3610-X1-DP；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4个千兆电口，其中2个光电复用口，2个SFP千兆光口，双电源；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含EI板卡及线缆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71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AC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1A8C9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17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C9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B2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5130S-28S-EI-DP；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24个10/100/1000Base-T自适应以太网端口，4个万兆SFP+口</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5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D8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678D8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D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4A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网络加固</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C6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包含交换机路由器更换后接入宁德调度的安全加固服务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D5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DB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0CFD0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81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42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蓄电池</w:t>
            </w:r>
          </w:p>
        </w:tc>
        <w:tc>
          <w:tcPr>
            <w:tcW w:w="4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B98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12V100ah</w:t>
            </w:r>
          </w:p>
          <w:p w14:paraId="2DA61D2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（须保障电力通信系统可靠运行。在主电源电力通信提供不间断电力供应时，确保通信设备、监控系统、自动化装置等关键负荷的正常运行。）</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72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0A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r>
    </w:tbl>
    <w:p w14:paraId="20A4A1C3">
      <w:pPr>
        <w:rPr>
          <w:rFonts w:hint="eastAsia" w:ascii="宋体" w:hAnsi="宋体" w:eastAsia="宋体" w:cs="宋体"/>
          <w:b/>
          <w:kern w:val="1"/>
          <w:sz w:val="28"/>
          <w:szCs w:val="28"/>
        </w:rPr>
      </w:pPr>
      <w:r>
        <w:rPr>
          <w:rFonts w:hint="eastAsia" w:ascii="宋体" w:hAnsi="宋体" w:eastAsia="宋体" w:cs="宋体"/>
          <w:b/>
          <w:kern w:val="1"/>
          <w:sz w:val="28"/>
          <w:szCs w:val="28"/>
        </w:rPr>
        <w:br w:type="page"/>
      </w:r>
    </w:p>
    <w:p w14:paraId="730C8D39">
      <w:pPr>
        <w:autoSpaceDE w:val="0"/>
        <w:autoSpaceDN w:val="0"/>
        <w:adjustRightInd w:val="0"/>
        <w:spacing w:line="360" w:lineRule="auto"/>
        <w:jc w:val="left"/>
        <w:rPr>
          <w:rFonts w:hint="eastAsia" w:ascii="宋体" w:hAnsi="宋体" w:eastAsia="宋体" w:cs="宋体"/>
          <w:b/>
          <w:bCs/>
          <w:sz w:val="28"/>
          <w:szCs w:val="28"/>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通用技术规范</w:t>
      </w:r>
    </w:p>
    <w:p w14:paraId="2006F21C">
      <w:pPr>
        <w:autoSpaceDE w:val="0"/>
        <w:autoSpaceDN w:val="0"/>
        <w:adjustRightInd w:val="0"/>
        <w:spacing w:line="360" w:lineRule="auto"/>
        <w:jc w:val="left"/>
        <w:outlineLvl w:val="9"/>
        <w:rPr>
          <w:rFonts w:hint="eastAsia" w:ascii="宋体" w:hAnsi="宋体" w:eastAsia="宋体" w:cs="宋体"/>
          <w:b/>
          <w:sz w:val="28"/>
        </w:rPr>
      </w:pPr>
      <w:bookmarkStart w:id="212" w:name="_Toc528855095"/>
      <w:r>
        <w:rPr>
          <w:rFonts w:hint="eastAsia" w:ascii="宋体" w:hAnsi="宋体" w:eastAsia="宋体" w:cs="宋体"/>
          <w:b/>
          <w:sz w:val="28"/>
        </w:rPr>
        <w:t>1 范围</w:t>
      </w:r>
      <w:bookmarkEnd w:id="212"/>
    </w:p>
    <w:p w14:paraId="71A0703C">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本部分规定了招标的总则、技术参数和性能要求、试验、包装、运输、交货及工厂检验和监造的一般要求。</w:t>
      </w:r>
    </w:p>
    <w:p w14:paraId="21390830">
      <w:pPr>
        <w:autoSpaceDE w:val="0"/>
        <w:autoSpaceDN w:val="0"/>
        <w:adjustRightInd w:val="0"/>
        <w:spacing w:line="360" w:lineRule="auto"/>
        <w:jc w:val="left"/>
        <w:outlineLvl w:val="9"/>
        <w:rPr>
          <w:rFonts w:hint="eastAsia" w:ascii="宋体" w:hAnsi="宋体" w:eastAsia="宋体" w:cs="宋体"/>
          <w:b/>
          <w:sz w:val="28"/>
        </w:rPr>
      </w:pPr>
      <w:bookmarkStart w:id="213" w:name="_Toc528855096"/>
      <w:r>
        <w:rPr>
          <w:rFonts w:hint="eastAsia" w:ascii="宋体" w:hAnsi="宋体" w:eastAsia="宋体" w:cs="宋体"/>
          <w:b/>
          <w:sz w:val="28"/>
        </w:rPr>
        <w:t>2 规范性引用文件</w:t>
      </w:r>
      <w:bookmarkEnd w:id="213"/>
    </w:p>
    <w:p w14:paraId="45B8C30D">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下列文件对于本文件的应用是必不可少的。凡是注日期的引用文件，仅注日期的版本适用于本文件。</w:t>
      </w:r>
    </w:p>
    <w:p w14:paraId="27017A42">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凡是不注日期的引用文件，其最新版本（包括所有的修改单）适用于本文件。</w:t>
      </w:r>
    </w:p>
    <w:p w14:paraId="6477B0B9">
      <w:pPr>
        <w:autoSpaceDE w:val="0"/>
        <w:autoSpaceDN w:val="0"/>
        <w:adjustRightInd w:val="0"/>
        <w:spacing w:line="360" w:lineRule="auto"/>
        <w:ind w:firstLine="480" w:firstLineChars="200"/>
        <w:jc w:val="left"/>
        <w:rPr>
          <w:rFonts w:hint="eastAsia" w:ascii="宋体" w:hAnsi="宋体" w:eastAsia="宋体" w:cs="宋体"/>
          <w:sz w:val="24"/>
        </w:rPr>
      </w:pPr>
      <w:bookmarkStart w:id="214" w:name="_Toc528855097"/>
      <w:r>
        <w:rPr>
          <w:rFonts w:hint="eastAsia" w:ascii="宋体" w:hAnsi="宋体" w:eastAsia="宋体" w:cs="宋体"/>
          <w:sz w:val="24"/>
        </w:rPr>
        <w:t>《信息安全等级保护管理办法》（公通字[2007]43号）</w:t>
      </w:r>
    </w:p>
    <w:p w14:paraId="39DFAE05">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《GB/T22239-2019信息安全技术网络安全等级保护基本要求》</w:t>
      </w:r>
    </w:p>
    <w:p w14:paraId="42B4032F">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《GB/T25070-2019网络安全等级保护设计技术要求》</w:t>
      </w:r>
    </w:p>
    <w:p w14:paraId="1D306E82">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《GB/T28448-2019网络安全等级保护测评要求》</w:t>
      </w:r>
    </w:p>
    <w:p w14:paraId="17655983">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《GB/T 22239-2008 信息安全技术 信息系统安全等级保护基本要求》</w:t>
      </w:r>
    </w:p>
    <w:p w14:paraId="08CBAC00">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《GB/T 22240-2008 信息安全技术 信息系统安全等级保护定级指南》</w:t>
      </w:r>
    </w:p>
    <w:p w14:paraId="6FAD15B7">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《GB/T 25058-2010 信息安全技术 信息系统安全等级保护实施指南》</w:t>
      </w:r>
    </w:p>
    <w:p w14:paraId="208D5BE6">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《GB/T 28448-2012 信息安全技术 信息系统安全等级保护测评要求》</w:t>
      </w:r>
    </w:p>
    <w:p w14:paraId="5003C7E2">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《GB/T 28449-2012 信息安全技术 信息系统安全等级保护测评过程指南》</w:t>
      </w:r>
    </w:p>
    <w:p w14:paraId="73F68ACD">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《关于开展电力行业信息系统安全等级保护定级工作的通知》（电监信息〔2007〕34号）</w:t>
      </w:r>
    </w:p>
    <w:p w14:paraId="20568F90">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《电力行业信息系统安全等级保护基本要求》（电监信息[2012]62号）</w:t>
      </w:r>
    </w:p>
    <w:p w14:paraId="781DD8D7">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《电力行业网络与信息安全管理办法》（国能安全[2014]317号）</w:t>
      </w:r>
    </w:p>
    <w:p w14:paraId="7466AD05">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《电力行业信息安全等级保护管理办法》（国能安全[2014]318号）</w:t>
      </w:r>
    </w:p>
    <w:p w14:paraId="2F9190A2">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《电力监控系统安全防护规定》（国家发展改革委员会[2014年]第14号令）</w:t>
      </w:r>
    </w:p>
    <w:p w14:paraId="6DB1FDDD">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《发电厂监控系统安全防护方案》国能安全[2015]36号</w:t>
      </w:r>
    </w:p>
    <w:p w14:paraId="214F37F5">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《电力监控系统安全防护评估规范》国能安全[2015]36号</w:t>
      </w:r>
    </w:p>
    <w:p w14:paraId="3201210E">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《电力监控系统安全防护规范》（国家发改委令2014年第14号） </w:t>
      </w:r>
    </w:p>
    <w:p w14:paraId="2C84A273">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《国调中心关于印发Windows操作系统安全加固指导手册》（调网安〔2017〕169号）</w:t>
      </w:r>
    </w:p>
    <w:p w14:paraId="05B039BD">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《国调中心关于开展清朗有序网络安全空间创建活动的通知》（调网安〔2018〕37号）</w:t>
      </w:r>
    </w:p>
    <w:p w14:paraId="76F533F9">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《关于开展电力监控系统安全防护专项检查工作的通知》（国能综92号文）</w:t>
      </w:r>
    </w:p>
    <w:p w14:paraId="55D98334">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《国家电网公司关于加快推进电力监控系统网络安全管理平台建设的通知》（国家电网调〔2017〕1084号）</w:t>
      </w:r>
    </w:p>
    <w:p w14:paraId="7BA330B9">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《国家发改委 国家能源局关于推进电力安全生产领域改革发展的实施意见》（发改能源规〔2017〕1986号）</w:t>
      </w:r>
    </w:p>
    <w:p w14:paraId="10D9106C">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《国网福建电力调控中心关于印发福建电网厂站调度自动化系统可研、初设技术审查要点（试行）的通知》（调自〔2018〕125号）</w:t>
      </w:r>
    </w:p>
    <w:p w14:paraId="7C4AA7F1">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《福建能源监管办进一步加强电力监控系统网络安全管理工作的通知》（闽监能安全【2019】41号）</w:t>
      </w:r>
    </w:p>
    <w:p w14:paraId="65D0B1AF">
      <w:pPr>
        <w:autoSpaceDE w:val="0"/>
        <w:autoSpaceDN w:val="0"/>
        <w:adjustRightInd w:val="0"/>
        <w:spacing w:line="360" w:lineRule="auto"/>
        <w:jc w:val="left"/>
        <w:outlineLvl w:val="9"/>
        <w:rPr>
          <w:rFonts w:hint="eastAsia" w:ascii="宋体" w:hAnsi="宋体" w:eastAsia="宋体" w:cs="宋体"/>
          <w:b/>
          <w:sz w:val="28"/>
        </w:rPr>
      </w:pPr>
      <w:r>
        <w:rPr>
          <w:rFonts w:hint="eastAsia" w:ascii="宋体" w:hAnsi="宋体" w:eastAsia="宋体" w:cs="宋体"/>
          <w:b/>
          <w:sz w:val="28"/>
        </w:rPr>
        <w:t>3 总则</w:t>
      </w:r>
      <w:bookmarkEnd w:id="214"/>
    </w:p>
    <w:p w14:paraId="7F690D86">
      <w:pPr>
        <w:autoSpaceDE w:val="0"/>
        <w:autoSpaceDN w:val="0"/>
        <w:adjustRightInd w:val="0"/>
        <w:spacing w:line="360" w:lineRule="auto"/>
        <w:jc w:val="left"/>
        <w:outlineLvl w:val="9"/>
        <w:rPr>
          <w:rFonts w:hint="eastAsia" w:ascii="宋体" w:hAnsi="宋体" w:eastAsia="宋体" w:cs="宋体"/>
          <w:b/>
          <w:sz w:val="24"/>
        </w:rPr>
      </w:pPr>
      <w:bookmarkStart w:id="215" w:name="_Toc528855098"/>
      <w:r>
        <w:rPr>
          <w:rFonts w:hint="eastAsia" w:ascii="宋体" w:hAnsi="宋体" w:eastAsia="宋体" w:cs="宋体"/>
          <w:b/>
          <w:sz w:val="24"/>
        </w:rPr>
        <w:t>3.1 一般性要求</w:t>
      </w:r>
      <w:bookmarkEnd w:id="215"/>
    </w:p>
    <w:p w14:paraId="7AC01DCE">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3.1.1 本部分提出了对设备系统结构、技术参数、功能、试验等方面的技术要求。</w:t>
      </w:r>
    </w:p>
    <w:p w14:paraId="7D647ABE">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3.1.2 本部分提出的是最低限度的要求，并未对一切技术细节做出规定，也未充分引述有关标准的条文，</w:t>
      </w:r>
      <w:r>
        <w:rPr>
          <w:rFonts w:hint="eastAsia" w:ascii="宋体" w:hAnsi="宋体" w:eastAsia="宋体" w:cs="宋体"/>
          <w:sz w:val="24"/>
          <w:lang w:eastAsia="zh-CN"/>
        </w:rPr>
        <w:t>供应商</w:t>
      </w:r>
      <w:r>
        <w:rPr>
          <w:rFonts w:hint="eastAsia" w:ascii="宋体" w:hAnsi="宋体" w:eastAsia="宋体" w:cs="宋体"/>
          <w:sz w:val="24"/>
        </w:rPr>
        <w:t>应提供符合本部分和工业标准的优质产品。</w:t>
      </w:r>
    </w:p>
    <w:p w14:paraId="3B57C32E">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3.1.3 如果</w:t>
      </w:r>
      <w:r>
        <w:rPr>
          <w:rFonts w:hint="eastAsia" w:ascii="宋体" w:hAnsi="宋体" w:eastAsia="宋体" w:cs="宋体"/>
          <w:sz w:val="24"/>
          <w:lang w:eastAsia="zh-CN"/>
        </w:rPr>
        <w:t>供应商</w:t>
      </w:r>
      <w:r>
        <w:rPr>
          <w:rFonts w:hint="eastAsia" w:ascii="宋体" w:hAnsi="宋体" w:eastAsia="宋体" w:cs="宋体"/>
          <w:sz w:val="24"/>
        </w:rPr>
        <w:t>没有以书面形式对本部分的条文提出差异，则意味着</w:t>
      </w:r>
      <w:r>
        <w:rPr>
          <w:rFonts w:hint="eastAsia" w:ascii="宋体" w:hAnsi="宋体" w:eastAsia="宋体" w:cs="宋体"/>
          <w:sz w:val="24"/>
          <w:lang w:eastAsia="zh-CN"/>
        </w:rPr>
        <w:t>供应商</w:t>
      </w:r>
      <w:r>
        <w:rPr>
          <w:rFonts w:hint="eastAsia" w:ascii="宋体" w:hAnsi="宋体" w:eastAsia="宋体" w:cs="宋体"/>
          <w:sz w:val="24"/>
        </w:rPr>
        <w:t>提供的设备完全符合本部分的要求。</w:t>
      </w:r>
    </w:p>
    <w:p w14:paraId="01B34A7A">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3.1.4 本部分所使用的标准如遇与</w:t>
      </w:r>
      <w:r>
        <w:rPr>
          <w:rFonts w:hint="eastAsia" w:ascii="宋体" w:hAnsi="宋体" w:eastAsia="宋体" w:cs="宋体"/>
          <w:sz w:val="24"/>
          <w:lang w:eastAsia="zh-CN"/>
        </w:rPr>
        <w:t>供应商</w:t>
      </w:r>
      <w:r>
        <w:rPr>
          <w:rFonts w:hint="eastAsia" w:ascii="宋体" w:hAnsi="宋体" w:eastAsia="宋体" w:cs="宋体"/>
          <w:sz w:val="24"/>
        </w:rPr>
        <w:t>所执行的标准不一致，按较高的标准执行。</w:t>
      </w:r>
    </w:p>
    <w:p w14:paraId="1A50A459">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3.1.5 本部分将作为订货合同的附件，与合同具有同等的法律效力。本部分未尽事宜，由合同签约双方在合同谈判时协商确定。</w:t>
      </w:r>
    </w:p>
    <w:p w14:paraId="48E92508">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3.1.6本部分中涉及有关商务方面的内容，如与招标文件的商务部分有矛盾时，以商务部分为准。</w:t>
      </w:r>
    </w:p>
    <w:p w14:paraId="6CD85FA4">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3.1.7 本部分各条款如与专用部分有冲突，以专用部分为准。</w:t>
      </w:r>
    </w:p>
    <w:p w14:paraId="564444CA">
      <w:pPr>
        <w:autoSpaceDE w:val="0"/>
        <w:autoSpaceDN w:val="0"/>
        <w:adjustRightInd w:val="0"/>
        <w:spacing w:line="360" w:lineRule="auto"/>
        <w:jc w:val="left"/>
        <w:outlineLvl w:val="9"/>
        <w:rPr>
          <w:rFonts w:hint="eastAsia" w:ascii="宋体" w:hAnsi="宋体" w:eastAsia="宋体" w:cs="宋体"/>
          <w:b/>
          <w:sz w:val="24"/>
        </w:rPr>
      </w:pPr>
      <w:r>
        <w:rPr>
          <w:rFonts w:hint="eastAsia" w:ascii="宋体" w:hAnsi="宋体" w:eastAsia="宋体" w:cs="宋体"/>
          <w:b/>
          <w:sz w:val="24"/>
        </w:rPr>
        <w:t>3.</w:t>
      </w:r>
      <w:r>
        <w:rPr>
          <w:rFonts w:hint="eastAsia" w:ascii="宋体" w:hAnsi="宋体" w:eastAsia="宋体" w:cs="宋体"/>
          <w:b/>
          <w:sz w:val="24"/>
          <w:lang w:val="en-US" w:eastAsia="zh-CN"/>
        </w:rPr>
        <w:t>2</w:t>
      </w:r>
      <w:r>
        <w:rPr>
          <w:rFonts w:hint="eastAsia" w:ascii="宋体" w:hAnsi="宋体" w:eastAsia="宋体" w:cs="宋体"/>
          <w:b/>
          <w:sz w:val="24"/>
        </w:rPr>
        <w:t xml:space="preserve"> </w:t>
      </w:r>
      <w:r>
        <w:rPr>
          <w:rFonts w:hint="eastAsia" w:ascii="宋体" w:hAnsi="宋体" w:eastAsia="宋体" w:cs="宋体"/>
          <w:b/>
          <w:bCs/>
          <w:color w:val="000000"/>
          <w:sz w:val="24"/>
          <w:szCs w:val="24"/>
        </w:rPr>
        <w:t>★</w:t>
      </w:r>
      <w:r>
        <w:rPr>
          <w:rFonts w:hint="eastAsia" w:ascii="宋体" w:hAnsi="宋体" w:eastAsia="宋体" w:cs="宋体"/>
          <w:b/>
          <w:sz w:val="24"/>
          <w:lang w:val="en-US" w:eastAsia="zh-CN"/>
        </w:rPr>
        <w:t>涉网设备</w:t>
      </w:r>
      <w:r>
        <w:rPr>
          <w:rFonts w:hint="eastAsia" w:ascii="宋体" w:hAnsi="宋体" w:eastAsia="宋体" w:cs="宋体"/>
          <w:b/>
          <w:sz w:val="24"/>
        </w:rPr>
        <w:t>要求</w:t>
      </w:r>
    </w:p>
    <w:p w14:paraId="45AA923A">
      <w:pPr>
        <w:autoSpaceDE w:val="0"/>
        <w:autoSpaceDN w:val="0"/>
        <w:adjustRightInd w:val="0"/>
        <w:spacing w:line="360" w:lineRule="auto"/>
        <w:ind w:firstLine="480" w:firstLineChars="200"/>
        <w:jc w:val="left"/>
        <w:rPr>
          <w:rFonts w:hint="eastAsia" w:ascii="宋体" w:hAnsi="宋体" w:eastAsia="宋体" w:cs="宋体"/>
          <w:sz w:val="24"/>
          <w:lang w:val="en-US" w:eastAsia="zh-CN"/>
        </w:rPr>
      </w:pPr>
      <w:r>
        <w:rPr>
          <w:rFonts w:hint="eastAsia" w:ascii="宋体" w:hAnsi="宋体" w:eastAsia="宋体" w:cs="宋体"/>
          <w:sz w:val="24"/>
        </w:rPr>
        <w:t>3.</w:t>
      </w:r>
      <w:r>
        <w:rPr>
          <w:rFonts w:hint="eastAsia" w:ascii="宋体" w:hAnsi="宋体" w:eastAsia="宋体" w:cs="宋体"/>
          <w:sz w:val="24"/>
          <w:lang w:val="en-US" w:eastAsia="zh-CN"/>
        </w:rPr>
        <w:t>2</w:t>
      </w:r>
      <w:r>
        <w:rPr>
          <w:rFonts w:hint="eastAsia" w:ascii="宋体" w:hAnsi="宋体" w:eastAsia="宋体" w:cs="宋体"/>
          <w:sz w:val="24"/>
        </w:rPr>
        <w:t>.</w:t>
      </w:r>
      <w:r>
        <w:rPr>
          <w:rFonts w:hint="eastAsia" w:ascii="宋体" w:hAnsi="宋体" w:eastAsia="宋体" w:cs="宋体"/>
          <w:sz w:val="24"/>
          <w:lang w:val="en-US" w:eastAsia="zh-CN"/>
        </w:rPr>
        <w:t>1 根据涉网设备要求，本次传输设备、IAD设备报价时需提供专网授权委托书（原厂授权委托书），未提供授权供应商的报价视为无效。</w:t>
      </w:r>
    </w:p>
    <w:p w14:paraId="4A1F1352">
      <w:pPr>
        <w:autoSpaceDE w:val="0"/>
        <w:autoSpaceDN w:val="0"/>
        <w:adjustRightInd w:val="0"/>
        <w:spacing w:line="360" w:lineRule="auto"/>
        <w:ind w:firstLine="480" w:firstLineChars="200"/>
        <w:jc w:val="left"/>
        <w:rPr>
          <w:rFonts w:hint="eastAsia" w:ascii="宋体" w:hAnsi="宋体" w:eastAsia="宋体" w:cs="宋体"/>
          <w:sz w:val="24"/>
          <w:lang w:val="en-US" w:eastAsia="zh-CN"/>
        </w:rPr>
      </w:pPr>
      <w:r>
        <w:rPr>
          <w:rFonts w:hint="eastAsia" w:ascii="宋体" w:hAnsi="宋体" w:eastAsia="宋体" w:cs="宋体"/>
          <w:sz w:val="24"/>
        </w:rPr>
        <w:t>3.</w:t>
      </w:r>
      <w:r>
        <w:rPr>
          <w:rFonts w:hint="eastAsia" w:ascii="宋体" w:hAnsi="宋体" w:eastAsia="宋体" w:cs="宋体"/>
          <w:sz w:val="24"/>
          <w:lang w:val="en-US" w:eastAsia="zh-CN"/>
        </w:rPr>
        <w:t>2</w:t>
      </w:r>
      <w:r>
        <w:rPr>
          <w:rFonts w:hint="eastAsia" w:ascii="宋体" w:hAnsi="宋体" w:eastAsia="宋体" w:cs="宋体"/>
          <w:sz w:val="24"/>
        </w:rPr>
        <w:t>.</w:t>
      </w:r>
      <w:r>
        <w:rPr>
          <w:rFonts w:hint="eastAsia" w:ascii="宋体" w:hAnsi="宋体" w:eastAsia="宋体" w:cs="宋体"/>
          <w:sz w:val="24"/>
          <w:lang w:val="en-US" w:eastAsia="zh-CN"/>
        </w:rPr>
        <w:t>2 供应商人员需在福建ORM安全管控普通注册队伍，并提供ORM安全管控平台截图，未提供供应商视为不合格。</w:t>
      </w:r>
    </w:p>
    <w:p w14:paraId="788B9E62">
      <w:pPr>
        <w:autoSpaceDE w:val="0"/>
        <w:autoSpaceDN w:val="0"/>
        <w:adjustRightInd w:val="0"/>
        <w:spacing w:line="360" w:lineRule="auto"/>
        <w:jc w:val="left"/>
        <w:outlineLvl w:val="9"/>
        <w:rPr>
          <w:rFonts w:hint="eastAsia" w:ascii="宋体" w:hAnsi="宋体" w:eastAsia="宋体" w:cs="宋体"/>
          <w:b/>
          <w:sz w:val="24"/>
          <w:szCs w:val="24"/>
        </w:rPr>
      </w:pPr>
      <w:bookmarkStart w:id="216" w:name="_Toc528855099"/>
      <w:bookmarkStart w:id="217" w:name="_Toc528855120"/>
      <w:r>
        <w:rPr>
          <w:rFonts w:hint="eastAsia" w:ascii="宋体" w:hAnsi="宋体" w:eastAsia="宋体" w:cs="宋体"/>
          <w:b/>
          <w:sz w:val="24"/>
          <w:szCs w:val="24"/>
        </w:rPr>
        <w:t xml:space="preserve">4 </w:t>
      </w:r>
      <w:r>
        <w:rPr>
          <w:rFonts w:hint="eastAsia" w:ascii="宋体" w:hAnsi="宋体" w:eastAsia="宋体" w:cs="宋体"/>
          <w:b/>
          <w:bCs/>
          <w:color w:val="000000"/>
          <w:sz w:val="24"/>
          <w:szCs w:val="24"/>
        </w:rPr>
        <w:t>★</w:t>
      </w:r>
      <w:r>
        <w:rPr>
          <w:rFonts w:hint="eastAsia" w:ascii="宋体" w:hAnsi="宋体" w:eastAsia="宋体" w:cs="宋体"/>
          <w:b/>
          <w:sz w:val="24"/>
          <w:szCs w:val="24"/>
        </w:rPr>
        <w:t>技术规范要求</w:t>
      </w:r>
      <w:bookmarkEnd w:id="216"/>
    </w:p>
    <w:p w14:paraId="602D899F">
      <w:pPr>
        <w:pStyle w:val="218"/>
        <w:numPr>
          <w:ilvl w:val="0"/>
          <w:numId w:val="30"/>
        </w:numPr>
        <w:spacing w:line="360" w:lineRule="auto"/>
        <w:ind w:right="-105" w:rightChars="-50"/>
        <w:outlineLvl w:val="9"/>
        <w:rPr>
          <w:rFonts w:hint="eastAsia" w:ascii="宋体" w:hAnsi="宋体" w:eastAsia="宋体" w:cs="宋体"/>
          <w:b/>
          <w:bCs/>
          <w:kern w:val="0"/>
          <w:sz w:val="24"/>
          <w:szCs w:val="24"/>
        </w:rPr>
      </w:pPr>
      <w:r>
        <w:rPr>
          <w:rFonts w:hint="eastAsia" w:ascii="宋体" w:hAnsi="宋体" w:eastAsia="宋体" w:cs="宋体"/>
          <w:b/>
          <w:bCs/>
          <w:color w:val="000000"/>
          <w:sz w:val="24"/>
          <w:szCs w:val="24"/>
          <w:lang w:val="en-US" w:eastAsia="zh-CN"/>
        </w:rPr>
        <w:t>光传输设备</w:t>
      </w:r>
    </w:p>
    <w:p w14:paraId="3BE68237">
      <w:pPr>
        <w:pStyle w:val="218"/>
        <w:spacing w:line="360" w:lineRule="auto"/>
        <w:ind w:right="-105" w:rightChars="-50"/>
        <w:rPr>
          <w:rFonts w:hint="eastAsia" w:ascii="宋体" w:hAnsi="宋体" w:eastAsia="宋体" w:cs="宋体"/>
          <w:b w:val="0"/>
          <w:bCs w:val="0"/>
          <w:sz w:val="24"/>
          <w:szCs w:val="24"/>
          <w:highlight w:val="yellow"/>
        </w:rPr>
      </w:pPr>
      <w:r>
        <w:rPr>
          <w:rFonts w:hint="eastAsia" w:ascii="宋体" w:hAnsi="宋体" w:eastAsia="宋体" w:cs="宋体"/>
          <w:b w:val="0"/>
          <w:bCs w:val="0"/>
          <w:sz w:val="24"/>
          <w:szCs w:val="24"/>
          <w:lang w:val="en-US" w:eastAsia="zh-CN"/>
        </w:rPr>
        <w:t>漳湾垃圾电厂一</w:t>
      </w:r>
      <w:r>
        <w:rPr>
          <w:rFonts w:hint="eastAsia" w:ascii="宋体" w:hAnsi="宋体" w:eastAsia="宋体" w:cs="宋体"/>
          <w:b w:val="0"/>
          <w:bCs w:val="0"/>
          <w:sz w:val="24"/>
          <w:szCs w:val="24"/>
        </w:rPr>
        <w:t>套光传输设备需接入对侧的变电站，并满足光传输设备需要与对端变电站光传输同规格、同型号兼容。</w:t>
      </w:r>
    </w:p>
    <w:p w14:paraId="5D009155">
      <w:pPr>
        <w:pStyle w:val="218"/>
        <w:spacing w:line="360" w:lineRule="auto"/>
        <w:ind w:right="-105" w:rightChars="-50"/>
        <w:rPr>
          <w:rFonts w:hint="eastAsia" w:ascii="宋体" w:hAnsi="宋体" w:eastAsia="宋体" w:cs="宋体"/>
          <w:b w:val="0"/>
          <w:bCs w:val="0"/>
          <w:sz w:val="24"/>
          <w:szCs w:val="24"/>
        </w:rPr>
      </w:pPr>
    </w:p>
    <w:tbl>
      <w:tblPr>
        <w:tblStyle w:val="43"/>
        <w:tblW w:w="86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2124"/>
        <w:gridCol w:w="3375"/>
        <w:gridCol w:w="1012"/>
        <w:gridCol w:w="1088"/>
      </w:tblGrid>
      <w:tr w14:paraId="62A0D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5" w:hRule="atLeast"/>
        </w:trPr>
        <w:tc>
          <w:tcPr>
            <w:tcW w:w="8679" w:type="dxa"/>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6736F3">
            <w:pPr>
              <w:keepNext w:val="0"/>
              <w:keepLines w:val="0"/>
              <w:widowControl/>
              <w:suppressLineNumbers w:val="0"/>
              <w:jc w:val="center"/>
              <w:textAlignment w:val="bottom"/>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780B配置清单</w:t>
            </w:r>
          </w:p>
        </w:tc>
      </w:tr>
      <w:tr w14:paraId="661E2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695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764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装置或配件名称</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525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3BF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01A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17AA6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57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2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60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STM-64 ADM设备</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3A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FonsWeaver780B</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C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1B5C">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r>
      <w:tr w14:paraId="387BB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5AC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0DC2">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公共部件</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40A0">
            <w:pPr>
              <w:jc w:val="center"/>
              <w:rPr>
                <w:rFonts w:hint="eastAsia" w:ascii="宋体" w:hAnsi="宋体" w:eastAsia="宋体" w:cs="宋体"/>
                <w:i w:val="0"/>
                <w:iCs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4F7C">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3559">
            <w:pPr>
              <w:jc w:val="center"/>
              <w:rPr>
                <w:rFonts w:hint="eastAsia" w:ascii="宋体" w:hAnsi="宋体" w:eastAsia="宋体" w:cs="宋体"/>
                <w:i w:val="0"/>
                <w:iCs w:val="0"/>
                <w:color w:val="000000"/>
                <w:sz w:val="21"/>
                <w:szCs w:val="21"/>
                <w:u w:val="none"/>
              </w:rPr>
            </w:pPr>
          </w:p>
        </w:tc>
      </w:tr>
      <w:tr w14:paraId="3E294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72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1F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交叉及时钟单元</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43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时钟交叉盘</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05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DC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12943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8F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D6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子架</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EDD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主子框</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5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7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1483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D7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64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电源板</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52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辅助电源端子板</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C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5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728EB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D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D3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控制板</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68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网元管理盘_EMU</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5F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4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16BDA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2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54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风扇单元</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1295">
            <w:pPr>
              <w:jc w:val="left"/>
              <w:rPr>
                <w:rFonts w:hint="eastAsia" w:ascii="宋体" w:hAnsi="宋体" w:eastAsia="宋体" w:cs="宋体"/>
                <w:i w:val="0"/>
                <w:iCs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7D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B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A91D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0F4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D4F3">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光接口板</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92A7">
            <w:pPr>
              <w:jc w:val="center"/>
              <w:rPr>
                <w:rFonts w:hint="eastAsia" w:ascii="宋体" w:hAnsi="宋体" w:eastAsia="宋体" w:cs="宋体"/>
                <w:i w:val="0"/>
                <w:iCs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BCB3">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92AE">
            <w:pPr>
              <w:jc w:val="center"/>
              <w:rPr>
                <w:rFonts w:hint="eastAsia" w:ascii="宋体" w:hAnsi="宋体" w:eastAsia="宋体" w:cs="宋体"/>
                <w:i w:val="0"/>
                <w:iCs w:val="0"/>
                <w:color w:val="000000"/>
                <w:sz w:val="21"/>
                <w:szCs w:val="21"/>
                <w:u w:val="none"/>
              </w:rPr>
            </w:pPr>
          </w:p>
        </w:tc>
      </w:tr>
      <w:tr w14:paraId="5F496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6AA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7F1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10"/>
                <w:rFonts w:hint="eastAsia" w:ascii="宋体" w:hAnsi="宋体" w:eastAsia="宋体" w:cs="宋体"/>
                <w:sz w:val="21"/>
                <w:szCs w:val="21"/>
                <w:lang w:val="en-US" w:eastAsia="zh-CN" w:bidi="ar"/>
              </w:rPr>
              <w:t>S-4.1（4光口）</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F6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STM4光接口盘（4路、S4.1、LC）</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AF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1C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F89B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CDCE1">
            <w:pPr>
              <w:jc w:val="center"/>
              <w:rPr>
                <w:rFonts w:hint="eastAsia" w:ascii="宋体" w:hAnsi="宋体" w:eastAsia="宋体" w:cs="宋体"/>
                <w:i w:val="0"/>
                <w:iCs w:val="0"/>
                <w:color w:val="000000"/>
                <w:sz w:val="21"/>
                <w:szCs w:val="21"/>
                <w:u w:val="none"/>
              </w:rPr>
            </w:pPr>
          </w:p>
        </w:tc>
        <w:tc>
          <w:tcPr>
            <w:tcW w:w="2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0E041">
            <w:pPr>
              <w:jc w:val="left"/>
              <w:rPr>
                <w:rFonts w:hint="eastAsia" w:ascii="宋体" w:hAnsi="宋体" w:eastAsia="宋体" w:cs="宋体"/>
                <w:i w:val="0"/>
                <w:iCs w:val="0"/>
                <w:color w:val="000000"/>
                <w:sz w:val="21"/>
                <w:szCs w:val="21"/>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02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STM4光接模块 S4.2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61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B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76426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7AC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FFD1">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业务板</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ECF3">
            <w:pPr>
              <w:jc w:val="center"/>
              <w:rPr>
                <w:rFonts w:hint="eastAsia" w:ascii="宋体" w:hAnsi="宋体" w:eastAsia="宋体" w:cs="宋体"/>
                <w:i w:val="0"/>
                <w:iCs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21EA">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D0A1">
            <w:pPr>
              <w:jc w:val="center"/>
              <w:rPr>
                <w:rFonts w:hint="eastAsia" w:ascii="宋体" w:hAnsi="宋体" w:eastAsia="宋体" w:cs="宋体"/>
                <w:i w:val="0"/>
                <w:iCs w:val="0"/>
                <w:color w:val="000000"/>
                <w:sz w:val="21"/>
                <w:szCs w:val="21"/>
                <w:u w:val="none"/>
              </w:rPr>
            </w:pPr>
          </w:p>
        </w:tc>
      </w:tr>
      <w:tr w14:paraId="4C97D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DE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18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2M板处理板</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F4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2M接口盘（63路）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55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05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82F9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4A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2C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2M接线板</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41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2M端子板（75欧，63路）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05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EF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7CA9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704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BEB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2M接口保护板</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C0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2M接口盘（63路）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40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6F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32A3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9C773">
            <w:pPr>
              <w:jc w:val="center"/>
              <w:rPr>
                <w:rFonts w:hint="eastAsia" w:ascii="宋体" w:hAnsi="宋体" w:eastAsia="宋体" w:cs="宋体"/>
                <w:i w:val="0"/>
                <w:iCs w:val="0"/>
                <w:color w:val="000000"/>
                <w:sz w:val="21"/>
                <w:szCs w:val="21"/>
                <w:u w:val="none"/>
              </w:rPr>
            </w:pPr>
          </w:p>
        </w:tc>
        <w:tc>
          <w:tcPr>
            <w:tcW w:w="2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6A3B1">
            <w:pPr>
              <w:jc w:val="left"/>
              <w:rPr>
                <w:rFonts w:hint="eastAsia" w:ascii="宋体" w:hAnsi="宋体" w:eastAsia="宋体" w:cs="宋体"/>
                <w:i w:val="0"/>
                <w:iCs w:val="0"/>
                <w:color w:val="000000"/>
                <w:sz w:val="21"/>
                <w:szCs w:val="21"/>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B1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2M保护端子板</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6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DB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0837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43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705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8FE+2GE以太网板</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5D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以太网接口盘（8FE+2GE）</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13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8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4C00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04BD1">
            <w:pPr>
              <w:jc w:val="center"/>
              <w:rPr>
                <w:rFonts w:hint="eastAsia" w:ascii="宋体" w:hAnsi="宋体" w:eastAsia="宋体" w:cs="宋体"/>
                <w:i w:val="0"/>
                <w:iCs w:val="0"/>
                <w:color w:val="000000"/>
                <w:sz w:val="21"/>
                <w:szCs w:val="21"/>
                <w:u w:val="none"/>
              </w:rPr>
            </w:pPr>
          </w:p>
        </w:tc>
        <w:tc>
          <w:tcPr>
            <w:tcW w:w="2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3E921">
            <w:pPr>
              <w:jc w:val="left"/>
              <w:rPr>
                <w:rFonts w:hint="eastAsia" w:ascii="宋体" w:hAnsi="宋体" w:eastAsia="宋体" w:cs="宋体"/>
                <w:i w:val="0"/>
                <w:iCs w:val="0"/>
                <w:color w:val="000000"/>
                <w:sz w:val="21"/>
                <w:szCs w:val="21"/>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86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以太网接口模块(GE口，单模 10km)</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6B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D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3EF07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6E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287F">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Style w:val="219"/>
                <w:rFonts w:hint="eastAsia" w:ascii="宋体" w:hAnsi="宋体" w:eastAsia="宋体" w:cs="宋体"/>
                <w:sz w:val="21"/>
                <w:szCs w:val="21"/>
                <w:lang w:val="en-US" w:eastAsia="zh-CN" w:bidi="ar"/>
              </w:rPr>
              <w:t>1</w:t>
            </w:r>
            <w:r>
              <w:rPr>
                <w:rStyle w:val="210"/>
                <w:rFonts w:hint="eastAsia" w:ascii="宋体" w:hAnsi="宋体" w:eastAsia="宋体" w:cs="宋体"/>
                <w:sz w:val="21"/>
                <w:szCs w:val="21"/>
                <w:lang w:val="en-US" w:eastAsia="zh-CN" w:bidi="ar"/>
              </w:rPr>
              <w:t>0m光缆尾纤</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3077">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与各光接口相适应</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7A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BC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0EF14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5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6478">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2M</w:t>
            </w:r>
            <w:r>
              <w:rPr>
                <w:rStyle w:val="220"/>
                <w:rFonts w:hint="eastAsia" w:ascii="宋体" w:hAnsi="宋体" w:eastAsia="宋体" w:cs="宋体"/>
                <w:sz w:val="21"/>
                <w:szCs w:val="21"/>
                <w:lang w:val="en-US" w:eastAsia="zh-CN" w:bidi="ar"/>
              </w:rPr>
              <w:t>同轴电缆（</w:t>
            </w:r>
            <w:r>
              <w:rPr>
                <w:rStyle w:val="221"/>
                <w:rFonts w:hint="eastAsia" w:ascii="宋体" w:hAnsi="宋体" w:eastAsia="宋体" w:cs="宋体"/>
                <w:sz w:val="21"/>
                <w:szCs w:val="21"/>
                <w:lang w:val="en-US" w:eastAsia="zh-CN" w:bidi="ar"/>
              </w:rPr>
              <w:t>75</w:t>
            </w:r>
            <w:r>
              <w:rPr>
                <w:rStyle w:val="220"/>
                <w:rFonts w:hint="eastAsia" w:ascii="宋体" w:hAnsi="宋体" w:eastAsia="宋体" w:cs="宋体"/>
                <w:sz w:val="21"/>
                <w:szCs w:val="21"/>
                <w:lang w:val="en-US" w:eastAsia="zh-CN" w:bidi="ar"/>
              </w:rPr>
              <w:t>欧，每根</w:t>
            </w:r>
            <w:r>
              <w:rPr>
                <w:rStyle w:val="221"/>
                <w:rFonts w:hint="eastAsia" w:ascii="宋体" w:hAnsi="宋体" w:eastAsia="宋体" w:cs="宋体"/>
                <w:sz w:val="21"/>
                <w:szCs w:val="21"/>
                <w:lang w:val="en-US" w:eastAsia="zh-CN" w:bidi="ar"/>
              </w:rPr>
              <w:t>32</w:t>
            </w:r>
            <w:r>
              <w:rPr>
                <w:rStyle w:val="220"/>
                <w:rFonts w:hint="eastAsia" w:ascii="宋体" w:hAnsi="宋体" w:eastAsia="宋体" w:cs="宋体"/>
                <w:sz w:val="21"/>
                <w:szCs w:val="21"/>
                <w:lang w:val="en-US" w:eastAsia="zh-CN" w:bidi="ar"/>
              </w:rPr>
              <w:t>芯（</w:t>
            </w:r>
            <w:r>
              <w:rPr>
                <w:rStyle w:val="221"/>
                <w:rFonts w:hint="eastAsia" w:ascii="宋体" w:hAnsi="宋体" w:eastAsia="宋体" w:cs="宋体"/>
                <w:sz w:val="21"/>
                <w:szCs w:val="21"/>
                <w:lang w:val="en-US" w:eastAsia="zh-CN" w:bidi="ar"/>
              </w:rPr>
              <w:t>16</w:t>
            </w:r>
            <w:r>
              <w:rPr>
                <w:rStyle w:val="220"/>
                <w:rFonts w:hint="eastAsia" w:ascii="宋体" w:hAnsi="宋体" w:eastAsia="宋体" w:cs="宋体"/>
                <w:sz w:val="21"/>
                <w:szCs w:val="21"/>
                <w:lang w:val="en-US" w:eastAsia="zh-CN" w:bidi="ar"/>
              </w:rPr>
              <w:t>路），</w:t>
            </w:r>
            <w:r>
              <w:rPr>
                <w:rStyle w:val="221"/>
                <w:rFonts w:hint="eastAsia" w:ascii="宋体" w:hAnsi="宋体" w:eastAsia="宋体" w:cs="宋体"/>
                <w:sz w:val="21"/>
                <w:szCs w:val="21"/>
                <w:lang w:val="en-US" w:eastAsia="zh-CN" w:bidi="ar"/>
              </w:rPr>
              <w:t>10m</w:t>
            </w:r>
            <w:r>
              <w:rPr>
                <w:rStyle w:val="220"/>
                <w:rFonts w:hint="eastAsia" w:ascii="宋体" w:hAnsi="宋体" w:eastAsia="宋体" w:cs="宋体"/>
                <w:sz w:val="21"/>
                <w:szCs w:val="21"/>
                <w:lang w:val="en-US" w:eastAsia="zh-CN" w:bidi="ar"/>
              </w:rPr>
              <w:t>）</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368D">
            <w:pPr>
              <w:jc w:val="left"/>
              <w:rPr>
                <w:rFonts w:hint="eastAsia" w:ascii="宋体" w:hAnsi="宋体" w:eastAsia="宋体" w:cs="宋体"/>
                <w:b/>
                <w:bCs/>
                <w:i w:val="0"/>
                <w:iCs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4E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7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5B888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799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A66A">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授权及技术服务</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top"/>
          </w:tcPr>
          <w:p w14:paraId="18479F1A">
            <w:pPr>
              <w:jc w:val="left"/>
              <w:rPr>
                <w:rFonts w:hint="eastAsia" w:ascii="宋体" w:hAnsi="宋体" w:eastAsia="宋体" w:cs="宋体"/>
                <w:i w:val="0"/>
                <w:iCs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8345">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C940">
            <w:pPr>
              <w:jc w:val="center"/>
              <w:rPr>
                <w:rFonts w:hint="eastAsia" w:ascii="宋体" w:hAnsi="宋体" w:eastAsia="宋体" w:cs="宋体"/>
                <w:i w:val="0"/>
                <w:iCs w:val="0"/>
                <w:color w:val="000000"/>
                <w:sz w:val="21"/>
                <w:szCs w:val="21"/>
                <w:u w:val="none"/>
              </w:rPr>
            </w:pPr>
          </w:p>
        </w:tc>
      </w:tr>
      <w:tr w14:paraId="328EB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F8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066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网元软件License授权</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top"/>
          </w:tcPr>
          <w:p w14:paraId="42E64B09">
            <w:pPr>
              <w:jc w:val="left"/>
              <w:rPr>
                <w:rFonts w:hint="eastAsia" w:ascii="宋体" w:hAnsi="宋体" w:eastAsia="宋体" w:cs="宋体"/>
                <w:i w:val="0"/>
                <w:iCs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1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59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5EA27BE8">
      <w:pPr>
        <w:pStyle w:val="218"/>
        <w:spacing w:line="360" w:lineRule="auto"/>
        <w:ind w:right="-105" w:rightChars="-50"/>
        <w:rPr>
          <w:rFonts w:hint="eastAsia" w:ascii="宋体" w:hAnsi="宋体" w:eastAsia="宋体" w:cs="宋体"/>
          <w:b/>
          <w:bCs/>
          <w:sz w:val="21"/>
          <w:szCs w:val="21"/>
        </w:rPr>
      </w:pPr>
    </w:p>
    <w:p w14:paraId="2729FF9F">
      <w:pPr>
        <w:pStyle w:val="218"/>
        <w:numPr>
          <w:ilvl w:val="0"/>
          <w:numId w:val="30"/>
        </w:numPr>
        <w:spacing w:line="360" w:lineRule="auto"/>
        <w:ind w:right="-105" w:rightChars="-50"/>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IAD设备</w:t>
      </w:r>
    </w:p>
    <w:p w14:paraId="7832B409">
      <w:pPr>
        <w:pStyle w:val="218"/>
        <w:numPr>
          <w:ilvl w:val="-1"/>
          <w:numId w:val="0"/>
        </w:numPr>
        <w:spacing w:line="360" w:lineRule="auto"/>
        <w:ind w:left="284" w:right="-105" w:rightChars="-50" w:firstLine="0"/>
        <w:outlineLvl w:val="9"/>
        <w:rPr>
          <w:rFonts w:hint="eastAsia" w:ascii="宋体" w:hAnsi="宋体" w:eastAsia="宋体" w:cs="宋体"/>
          <w:b/>
          <w:bCs/>
          <w:kern w:val="0"/>
          <w:sz w:val="24"/>
          <w:szCs w:val="24"/>
          <w:highlight w:val="none"/>
        </w:rPr>
      </w:pPr>
      <w:r>
        <w:rPr>
          <w:rFonts w:hint="eastAsia" w:ascii="宋体" w:hAnsi="宋体" w:eastAsia="宋体" w:cs="宋体"/>
          <w:b w:val="0"/>
          <w:bCs w:val="0"/>
          <w:sz w:val="24"/>
          <w:szCs w:val="24"/>
          <w:highlight w:val="none"/>
          <w:lang w:val="en-US" w:eastAsia="zh-CN"/>
        </w:rPr>
        <w:t>IAD</w:t>
      </w:r>
      <w:r>
        <w:rPr>
          <w:rFonts w:hint="eastAsia" w:ascii="宋体" w:hAnsi="宋体" w:eastAsia="宋体" w:cs="宋体"/>
          <w:b w:val="0"/>
          <w:bCs w:val="0"/>
          <w:sz w:val="24"/>
          <w:szCs w:val="24"/>
          <w:highlight w:val="none"/>
        </w:rPr>
        <w:t>设备需要与对端变电站</w:t>
      </w:r>
      <w:r>
        <w:rPr>
          <w:rFonts w:hint="eastAsia" w:ascii="宋体" w:hAnsi="宋体" w:eastAsia="宋体" w:cs="宋体"/>
          <w:b w:val="0"/>
          <w:bCs w:val="0"/>
          <w:sz w:val="24"/>
          <w:szCs w:val="24"/>
          <w:highlight w:val="none"/>
          <w:lang w:val="en-US" w:eastAsia="zh-CN"/>
        </w:rPr>
        <w:t>IAD</w:t>
      </w:r>
      <w:r>
        <w:rPr>
          <w:rFonts w:hint="eastAsia" w:ascii="宋体" w:hAnsi="宋体" w:eastAsia="宋体" w:cs="宋体"/>
          <w:b w:val="0"/>
          <w:bCs w:val="0"/>
          <w:sz w:val="24"/>
          <w:szCs w:val="24"/>
          <w:highlight w:val="none"/>
        </w:rPr>
        <w:t>设备同规格、同型号兼容，确保数据传输完整性。</w:t>
      </w:r>
    </w:p>
    <w:tbl>
      <w:tblPr>
        <w:tblStyle w:val="43"/>
        <w:tblpPr w:leftFromText="180" w:rightFromText="180" w:vertAnchor="text" w:horzAnchor="page" w:tblpX="1822" w:tblpY="450"/>
        <w:tblOverlap w:val="never"/>
        <w:tblW w:w="863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61"/>
        <w:gridCol w:w="3462"/>
        <w:gridCol w:w="2306"/>
        <w:gridCol w:w="900"/>
      </w:tblGrid>
      <w:tr w14:paraId="267AF7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709" w:type="dxa"/>
            <w:noWrap w:val="0"/>
            <w:vAlign w:val="center"/>
          </w:tcPr>
          <w:p w14:paraId="0D64CAF0">
            <w:pPr>
              <w:topLinePunct/>
              <w:snapToGrid w:val="0"/>
              <w:spacing w:before="60" w:after="60"/>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261" w:type="dxa"/>
            <w:noWrap w:val="0"/>
            <w:tcMar>
              <w:left w:w="57" w:type="dxa"/>
              <w:right w:w="57" w:type="dxa"/>
            </w:tcMar>
            <w:vAlign w:val="center"/>
          </w:tcPr>
          <w:p w14:paraId="385E2DA8">
            <w:pPr>
              <w:topLinePunct/>
              <w:snapToGrid w:val="0"/>
              <w:spacing w:before="60" w:after="60"/>
              <w:jc w:val="center"/>
              <w:rPr>
                <w:rFonts w:hint="eastAsia" w:ascii="宋体" w:hAnsi="宋体" w:eastAsia="宋体" w:cs="宋体"/>
                <w:b/>
                <w:sz w:val="21"/>
                <w:szCs w:val="21"/>
              </w:rPr>
            </w:pPr>
            <w:r>
              <w:rPr>
                <w:rFonts w:hint="eastAsia" w:ascii="宋体" w:hAnsi="宋体" w:eastAsia="宋体" w:cs="宋体"/>
                <w:b/>
                <w:sz w:val="21"/>
                <w:szCs w:val="21"/>
              </w:rPr>
              <w:t>名　　称</w:t>
            </w:r>
          </w:p>
        </w:tc>
        <w:tc>
          <w:tcPr>
            <w:tcW w:w="3462" w:type="dxa"/>
            <w:noWrap w:val="0"/>
            <w:tcMar>
              <w:left w:w="57" w:type="dxa"/>
              <w:right w:w="57" w:type="dxa"/>
            </w:tcMar>
            <w:vAlign w:val="center"/>
          </w:tcPr>
          <w:p w14:paraId="56D58834">
            <w:pPr>
              <w:topLinePunct/>
              <w:snapToGrid w:val="0"/>
              <w:spacing w:before="60" w:after="60"/>
              <w:jc w:val="center"/>
              <w:rPr>
                <w:rFonts w:hint="eastAsia" w:ascii="宋体" w:hAnsi="宋体" w:eastAsia="宋体" w:cs="宋体"/>
                <w:b/>
                <w:sz w:val="21"/>
                <w:szCs w:val="21"/>
              </w:rPr>
            </w:pPr>
            <w:r>
              <w:rPr>
                <w:rFonts w:hint="eastAsia" w:ascii="宋体" w:hAnsi="宋体" w:eastAsia="宋体" w:cs="宋体"/>
                <w:b/>
                <w:sz w:val="21"/>
                <w:szCs w:val="21"/>
              </w:rPr>
              <w:t>项　　目</w:t>
            </w:r>
          </w:p>
        </w:tc>
        <w:tc>
          <w:tcPr>
            <w:tcW w:w="2306" w:type="dxa"/>
            <w:noWrap w:val="0"/>
            <w:tcMar>
              <w:left w:w="57" w:type="dxa"/>
              <w:right w:w="57" w:type="dxa"/>
            </w:tcMar>
            <w:vAlign w:val="center"/>
          </w:tcPr>
          <w:p w14:paraId="5DD02F38">
            <w:pPr>
              <w:topLinePunct/>
              <w:snapToGrid w:val="0"/>
              <w:spacing w:before="60" w:after="60"/>
              <w:jc w:val="center"/>
              <w:rPr>
                <w:rFonts w:hint="eastAsia" w:ascii="宋体" w:hAnsi="宋体" w:eastAsia="宋体" w:cs="宋体"/>
                <w:b/>
                <w:sz w:val="21"/>
                <w:szCs w:val="21"/>
              </w:rPr>
            </w:pPr>
            <w:r>
              <w:rPr>
                <w:rFonts w:hint="eastAsia" w:ascii="宋体" w:hAnsi="宋体" w:eastAsia="宋体" w:cs="宋体"/>
                <w:b/>
                <w:sz w:val="21"/>
                <w:szCs w:val="21"/>
              </w:rPr>
              <w:t>标准参数值</w:t>
            </w:r>
          </w:p>
        </w:tc>
        <w:tc>
          <w:tcPr>
            <w:tcW w:w="900" w:type="dxa"/>
            <w:noWrap w:val="0"/>
            <w:vAlign w:val="top"/>
          </w:tcPr>
          <w:p w14:paraId="7E854408">
            <w:pPr>
              <w:topLinePunct/>
              <w:snapToGrid w:val="0"/>
              <w:spacing w:before="60" w:after="60"/>
              <w:jc w:val="center"/>
              <w:rPr>
                <w:rFonts w:hint="eastAsia" w:ascii="宋体" w:hAnsi="宋体" w:eastAsia="宋体" w:cs="宋体"/>
                <w:b/>
                <w:sz w:val="21"/>
                <w:szCs w:val="21"/>
              </w:rPr>
            </w:pPr>
            <w:r>
              <w:rPr>
                <w:rFonts w:hint="eastAsia" w:ascii="宋体" w:hAnsi="宋体" w:eastAsia="宋体" w:cs="宋体"/>
                <w:b/>
                <w:sz w:val="21"/>
                <w:szCs w:val="21"/>
                <w:lang w:eastAsia="zh-CN"/>
              </w:rPr>
              <w:t>供应商</w:t>
            </w:r>
            <w:r>
              <w:rPr>
                <w:rFonts w:hint="eastAsia" w:ascii="宋体" w:hAnsi="宋体" w:eastAsia="宋体" w:cs="宋体"/>
                <w:b/>
                <w:sz w:val="21"/>
                <w:szCs w:val="21"/>
              </w:rPr>
              <w:t>保证值</w:t>
            </w:r>
          </w:p>
        </w:tc>
      </w:tr>
      <w:tr w14:paraId="0C8769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restart"/>
            <w:noWrap w:val="0"/>
            <w:vAlign w:val="center"/>
          </w:tcPr>
          <w:p w14:paraId="062139C4">
            <w:pPr>
              <w:topLinePunct/>
              <w:snapToGrid w:val="0"/>
              <w:spacing w:before="60" w:after="60"/>
              <w:jc w:val="center"/>
              <w:rPr>
                <w:rFonts w:hint="eastAsia" w:ascii="宋体" w:hAnsi="宋体" w:eastAsia="宋体" w:cs="宋体"/>
                <w:sz w:val="21"/>
                <w:szCs w:val="21"/>
              </w:rPr>
            </w:pPr>
            <w:r>
              <w:rPr>
                <w:rFonts w:hint="eastAsia" w:ascii="宋体" w:hAnsi="宋体" w:eastAsia="宋体" w:cs="宋体"/>
                <w:sz w:val="21"/>
                <w:szCs w:val="21"/>
              </w:rPr>
              <w:t>1</w:t>
            </w:r>
          </w:p>
        </w:tc>
        <w:tc>
          <w:tcPr>
            <w:tcW w:w="1261" w:type="dxa"/>
            <w:vMerge w:val="restart"/>
            <w:noWrap w:val="0"/>
            <w:tcMar>
              <w:left w:w="57" w:type="dxa"/>
              <w:right w:w="57" w:type="dxa"/>
            </w:tcMar>
            <w:vAlign w:val="center"/>
          </w:tcPr>
          <w:p w14:paraId="025D2F6E">
            <w:pPr>
              <w:topLinePunct/>
              <w:snapToGrid w:val="0"/>
              <w:spacing w:before="60" w:after="60"/>
              <w:jc w:val="center"/>
              <w:rPr>
                <w:rFonts w:hint="eastAsia" w:ascii="宋体" w:hAnsi="宋体" w:eastAsia="宋体" w:cs="宋体"/>
                <w:sz w:val="21"/>
                <w:szCs w:val="21"/>
              </w:rPr>
            </w:pPr>
            <w:r>
              <w:rPr>
                <w:rFonts w:hint="eastAsia" w:ascii="宋体" w:hAnsi="宋体" w:eastAsia="宋体" w:cs="宋体"/>
                <w:sz w:val="21"/>
                <w:szCs w:val="21"/>
                <w:lang w:eastAsia="zh-CN"/>
              </w:rPr>
              <w:t>电厂</w:t>
            </w:r>
            <w:r>
              <w:rPr>
                <w:rFonts w:hint="eastAsia" w:ascii="宋体" w:hAnsi="宋体" w:eastAsia="宋体" w:cs="宋体"/>
                <w:sz w:val="21"/>
                <w:szCs w:val="21"/>
              </w:rPr>
              <w:t>接口</w:t>
            </w:r>
          </w:p>
        </w:tc>
        <w:tc>
          <w:tcPr>
            <w:tcW w:w="3462" w:type="dxa"/>
            <w:noWrap w:val="0"/>
            <w:tcMar>
              <w:left w:w="57" w:type="dxa"/>
              <w:right w:w="57" w:type="dxa"/>
            </w:tcMar>
            <w:vAlign w:val="center"/>
          </w:tcPr>
          <w:p w14:paraId="2DEE9F8C">
            <w:pPr>
              <w:topLinePunct/>
              <w:snapToGrid w:val="0"/>
              <w:spacing w:before="50" w:after="50"/>
              <w:jc w:val="center"/>
              <w:rPr>
                <w:rFonts w:hint="eastAsia" w:ascii="宋体" w:hAnsi="宋体" w:eastAsia="宋体" w:cs="宋体"/>
                <w:sz w:val="21"/>
                <w:szCs w:val="21"/>
              </w:rPr>
            </w:pPr>
            <w:r>
              <w:rPr>
                <w:rFonts w:hint="eastAsia" w:ascii="宋体" w:hAnsi="宋体" w:eastAsia="宋体" w:cs="宋体"/>
                <w:sz w:val="21"/>
                <w:szCs w:val="21"/>
              </w:rPr>
              <w:t>FXS</w:t>
            </w:r>
          </w:p>
        </w:tc>
        <w:tc>
          <w:tcPr>
            <w:tcW w:w="2306" w:type="dxa"/>
            <w:noWrap w:val="0"/>
            <w:tcMar>
              <w:left w:w="57" w:type="dxa"/>
              <w:right w:w="57" w:type="dxa"/>
            </w:tcMar>
            <w:vAlign w:val="center"/>
          </w:tcPr>
          <w:p w14:paraId="17AACF2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支持</w:t>
            </w:r>
          </w:p>
        </w:tc>
        <w:tc>
          <w:tcPr>
            <w:tcW w:w="900" w:type="dxa"/>
            <w:noWrap w:val="0"/>
            <w:vAlign w:val="center"/>
          </w:tcPr>
          <w:p w14:paraId="5EAE804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14:paraId="334FBB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continue"/>
            <w:noWrap w:val="0"/>
            <w:vAlign w:val="center"/>
          </w:tcPr>
          <w:p w14:paraId="2487A7EF">
            <w:pPr>
              <w:topLinePunct/>
              <w:snapToGrid w:val="0"/>
              <w:spacing w:before="60" w:after="60"/>
              <w:jc w:val="center"/>
              <w:rPr>
                <w:rFonts w:hint="eastAsia" w:ascii="宋体" w:hAnsi="宋体" w:eastAsia="宋体" w:cs="宋体"/>
                <w:sz w:val="21"/>
                <w:szCs w:val="21"/>
              </w:rPr>
            </w:pPr>
          </w:p>
        </w:tc>
        <w:tc>
          <w:tcPr>
            <w:tcW w:w="1261" w:type="dxa"/>
            <w:vMerge w:val="continue"/>
            <w:noWrap w:val="0"/>
            <w:tcMar>
              <w:left w:w="57" w:type="dxa"/>
              <w:right w:w="57" w:type="dxa"/>
            </w:tcMar>
            <w:vAlign w:val="center"/>
          </w:tcPr>
          <w:p w14:paraId="5F4AEEC1">
            <w:pPr>
              <w:topLinePunct/>
              <w:snapToGrid w:val="0"/>
              <w:spacing w:before="60" w:after="60"/>
              <w:jc w:val="center"/>
              <w:rPr>
                <w:rFonts w:hint="eastAsia" w:ascii="宋体" w:hAnsi="宋体" w:eastAsia="宋体" w:cs="宋体"/>
                <w:sz w:val="21"/>
                <w:szCs w:val="21"/>
              </w:rPr>
            </w:pPr>
          </w:p>
        </w:tc>
        <w:tc>
          <w:tcPr>
            <w:tcW w:w="3462" w:type="dxa"/>
            <w:noWrap w:val="0"/>
            <w:tcMar>
              <w:left w:w="57" w:type="dxa"/>
              <w:right w:w="57" w:type="dxa"/>
            </w:tcMar>
            <w:vAlign w:val="center"/>
          </w:tcPr>
          <w:p w14:paraId="701FEF0F">
            <w:pPr>
              <w:topLinePunct/>
              <w:snapToGrid w:val="0"/>
              <w:spacing w:before="50" w:after="50"/>
              <w:jc w:val="center"/>
              <w:rPr>
                <w:rFonts w:hint="eastAsia" w:ascii="宋体" w:hAnsi="宋体" w:eastAsia="宋体" w:cs="宋体"/>
                <w:sz w:val="21"/>
                <w:szCs w:val="21"/>
              </w:rPr>
            </w:pPr>
            <w:r>
              <w:rPr>
                <w:rFonts w:hint="eastAsia" w:ascii="宋体" w:hAnsi="宋体" w:eastAsia="宋体" w:cs="宋体"/>
                <w:sz w:val="21"/>
                <w:szCs w:val="21"/>
              </w:rPr>
              <w:t>容量</w:t>
            </w:r>
          </w:p>
        </w:tc>
        <w:tc>
          <w:tcPr>
            <w:tcW w:w="2306" w:type="dxa"/>
            <w:noWrap w:val="0"/>
            <w:tcMar>
              <w:left w:w="57" w:type="dxa"/>
              <w:right w:w="57" w:type="dxa"/>
            </w:tcMar>
            <w:vAlign w:val="center"/>
          </w:tcPr>
          <w:p w14:paraId="3410E79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900" w:type="dxa"/>
            <w:noWrap w:val="0"/>
            <w:vAlign w:val="center"/>
          </w:tcPr>
          <w:p w14:paraId="3BE042E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14:paraId="3AC53D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restart"/>
            <w:noWrap w:val="0"/>
            <w:vAlign w:val="center"/>
          </w:tcPr>
          <w:p w14:paraId="588C169E">
            <w:pPr>
              <w:topLinePunct/>
              <w:snapToGrid w:val="0"/>
              <w:spacing w:before="60" w:after="60"/>
              <w:jc w:val="center"/>
              <w:rPr>
                <w:rFonts w:hint="eastAsia" w:ascii="宋体" w:hAnsi="宋体" w:eastAsia="宋体" w:cs="宋体"/>
                <w:sz w:val="21"/>
                <w:szCs w:val="21"/>
              </w:rPr>
            </w:pPr>
            <w:r>
              <w:rPr>
                <w:rFonts w:hint="eastAsia" w:ascii="宋体" w:hAnsi="宋体" w:eastAsia="宋体" w:cs="宋体"/>
                <w:sz w:val="21"/>
                <w:szCs w:val="21"/>
              </w:rPr>
              <w:t>2</w:t>
            </w:r>
          </w:p>
        </w:tc>
        <w:tc>
          <w:tcPr>
            <w:tcW w:w="1261" w:type="dxa"/>
            <w:vMerge w:val="restart"/>
            <w:noWrap w:val="0"/>
            <w:tcMar>
              <w:left w:w="57" w:type="dxa"/>
              <w:right w:w="57" w:type="dxa"/>
            </w:tcMar>
            <w:vAlign w:val="center"/>
          </w:tcPr>
          <w:p w14:paraId="0EE312D8">
            <w:pPr>
              <w:topLinePunct/>
              <w:snapToGrid w:val="0"/>
              <w:spacing w:before="60" w:after="60"/>
              <w:jc w:val="center"/>
              <w:rPr>
                <w:rFonts w:hint="eastAsia" w:ascii="宋体" w:hAnsi="宋体" w:eastAsia="宋体" w:cs="宋体"/>
                <w:sz w:val="21"/>
                <w:szCs w:val="21"/>
              </w:rPr>
            </w:pPr>
            <w:r>
              <w:rPr>
                <w:rFonts w:hint="eastAsia" w:ascii="宋体" w:hAnsi="宋体" w:eastAsia="宋体" w:cs="宋体"/>
                <w:sz w:val="21"/>
                <w:szCs w:val="21"/>
              </w:rPr>
              <w:t>物理接口</w:t>
            </w:r>
          </w:p>
        </w:tc>
        <w:tc>
          <w:tcPr>
            <w:tcW w:w="3462" w:type="dxa"/>
            <w:noWrap w:val="0"/>
            <w:tcMar>
              <w:left w:w="57" w:type="dxa"/>
              <w:right w:w="57" w:type="dxa"/>
            </w:tcMar>
            <w:vAlign w:val="center"/>
          </w:tcPr>
          <w:p w14:paraId="2FA6F0A8">
            <w:pPr>
              <w:topLinePunct/>
              <w:snapToGrid w:val="0"/>
              <w:spacing w:before="50" w:after="50"/>
              <w:jc w:val="center"/>
              <w:rPr>
                <w:rFonts w:hint="eastAsia" w:ascii="宋体" w:hAnsi="宋体" w:eastAsia="宋体" w:cs="宋体"/>
                <w:sz w:val="21"/>
                <w:szCs w:val="21"/>
              </w:rPr>
            </w:pPr>
            <w:r>
              <w:rPr>
                <w:rFonts w:hint="eastAsia" w:ascii="宋体" w:hAnsi="宋体" w:eastAsia="宋体" w:cs="宋体"/>
                <w:sz w:val="21"/>
                <w:szCs w:val="21"/>
              </w:rPr>
              <w:t>LAN接口</w:t>
            </w:r>
          </w:p>
        </w:tc>
        <w:tc>
          <w:tcPr>
            <w:tcW w:w="2306" w:type="dxa"/>
            <w:noWrap w:val="0"/>
            <w:tcMar>
              <w:left w:w="57" w:type="dxa"/>
              <w:right w:w="57" w:type="dxa"/>
            </w:tcMar>
            <w:vAlign w:val="center"/>
          </w:tcPr>
          <w:p w14:paraId="7611D467">
            <w:pPr>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w:t>
            </w:r>
            <w:r>
              <w:rPr>
                <w:rFonts w:hint="eastAsia" w:ascii="宋体" w:hAnsi="宋体" w:eastAsia="宋体" w:cs="宋体"/>
                <w:color w:val="000000"/>
                <w:sz w:val="21"/>
                <w:szCs w:val="21"/>
              </w:rPr>
              <w:t>2</w:t>
            </w:r>
          </w:p>
        </w:tc>
        <w:tc>
          <w:tcPr>
            <w:tcW w:w="900" w:type="dxa"/>
            <w:noWrap w:val="0"/>
            <w:vAlign w:val="center"/>
          </w:tcPr>
          <w:p w14:paraId="5AA4865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14:paraId="54AE75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continue"/>
            <w:noWrap w:val="0"/>
            <w:vAlign w:val="center"/>
          </w:tcPr>
          <w:p w14:paraId="74C393D8">
            <w:pPr>
              <w:topLinePunct/>
              <w:snapToGrid w:val="0"/>
              <w:spacing w:before="60" w:after="60"/>
              <w:jc w:val="center"/>
              <w:rPr>
                <w:rFonts w:hint="eastAsia" w:ascii="宋体" w:hAnsi="宋体" w:eastAsia="宋体" w:cs="宋体"/>
                <w:sz w:val="21"/>
                <w:szCs w:val="21"/>
              </w:rPr>
            </w:pPr>
          </w:p>
        </w:tc>
        <w:tc>
          <w:tcPr>
            <w:tcW w:w="1261" w:type="dxa"/>
            <w:vMerge w:val="continue"/>
            <w:noWrap w:val="0"/>
            <w:tcMar>
              <w:left w:w="57" w:type="dxa"/>
              <w:right w:w="57" w:type="dxa"/>
            </w:tcMar>
            <w:vAlign w:val="center"/>
          </w:tcPr>
          <w:p w14:paraId="65F10728">
            <w:pPr>
              <w:topLinePunct/>
              <w:snapToGrid w:val="0"/>
              <w:spacing w:before="60" w:after="60"/>
              <w:jc w:val="center"/>
              <w:rPr>
                <w:rFonts w:hint="eastAsia" w:ascii="宋体" w:hAnsi="宋体" w:eastAsia="宋体" w:cs="宋体"/>
                <w:sz w:val="21"/>
                <w:szCs w:val="21"/>
              </w:rPr>
            </w:pPr>
          </w:p>
        </w:tc>
        <w:tc>
          <w:tcPr>
            <w:tcW w:w="3462" w:type="dxa"/>
            <w:noWrap w:val="0"/>
            <w:tcMar>
              <w:left w:w="57" w:type="dxa"/>
              <w:right w:w="57" w:type="dxa"/>
            </w:tcMar>
            <w:vAlign w:val="center"/>
          </w:tcPr>
          <w:p w14:paraId="2AFE50E4">
            <w:pPr>
              <w:topLinePunct/>
              <w:snapToGrid w:val="0"/>
              <w:spacing w:before="50" w:after="50"/>
              <w:jc w:val="center"/>
              <w:rPr>
                <w:rFonts w:hint="eastAsia" w:ascii="宋体" w:hAnsi="宋体" w:eastAsia="宋体" w:cs="宋体"/>
                <w:sz w:val="21"/>
                <w:szCs w:val="21"/>
              </w:rPr>
            </w:pPr>
            <w:r>
              <w:rPr>
                <w:rFonts w:hint="eastAsia" w:ascii="宋体" w:hAnsi="宋体" w:eastAsia="宋体" w:cs="宋体"/>
                <w:sz w:val="21"/>
                <w:szCs w:val="21"/>
              </w:rPr>
              <w:t>串口</w:t>
            </w:r>
          </w:p>
        </w:tc>
        <w:tc>
          <w:tcPr>
            <w:tcW w:w="2306" w:type="dxa"/>
            <w:noWrap w:val="0"/>
            <w:tcMar>
              <w:left w:w="57" w:type="dxa"/>
              <w:right w:w="57" w:type="dxa"/>
            </w:tcMar>
            <w:vAlign w:val="center"/>
          </w:tcPr>
          <w:p w14:paraId="5C2BDE8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支持</w:t>
            </w:r>
          </w:p>
        </w:tc>
        <w:tc>
          <w:tcPr>
            <w:tcW w:w="900" w:type="dxa"/>
            <w:noWrap w:val="0"/>
            <w:vAlign w:val="center"/>
          </w:tcPr>
          <w:p w14:paraId="5F3A5F0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14:paraId="4237D7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restart"/>
            <w:noWrap w:val="0"/>
            <w:vAlign w:val="center"/>
          </w:tcPr>
          <w:p w14:paraId="2E24E42A">
            <w:pPr>
              <w:topLinePunct/>
              <w:snapToGrid w:val="0"/>
              <w:spacing w:before="60" w:after="60"/>
              <w:jc w:val="center"/>
              <w:rPr>
                <w:rFonts w:hint="eastAsia" w:ascii="宋体" w:hAnsi="宋体" w:eastAsia="宋体" w:cs="宋体"/>
                <w:sz w:val="21"/>
                <w:szCs w:val="21"/>
              </w:rPr>
            </w:pPr>
            <w:r>
              <w:rPr>
                <w:rFonts w:hint="eastAsia" w:ascii="宋体" w:hAnsi="宋体" w:eastAsia="宋体" w:cs="宋体"/>
                <w:sz w:val="21"/>
                <w:szCs w:val="21"/>
              </w:rPr>
              <w:t>3</w:t>
            </w:r>
          </w:p>
        </w:tc>
        <w:tc>
          <w:tcPr>
            <w:tcW w:w="1261" w:type="dxa"/>
            <w:vMerge w:val="restart"/>
            <w:noWrap w:val="0"/>
            <w:tcMar>
              <w:left w:w="57" w:type="dxa"/>
              <w:right w:w="57" w:type="dxa"/>
            </w:tcMar>
            <w:vAlign w:val="center"/>
          </w:tcPr>
          <w:p w14:paraId="379A0FC3">
            <w:pPr>
              <w:topLinePunct/>
              <w:snapToGrid w:val="0"/>
              <w:spacing w:before="60" w:after="60"/>
              <w:jc w:val="center"/>
              <w:rPr>
                <w:rFonts w:hint="eastAsia" w:ascii="宋体" w:hAnsi="宋体" w:eastAsia="宋体" w:cs="宋体"/>
                <w:sz w:val="21"/>
                <w:szCs w:val="21"/>
              </w:rPr>
            </w:pPr>
            <w:r>
              <w:rPr>
                <w:rFonts w:hint="eastAsia" w:ascii="宋体" w:hAnsi="宋体" w:eastAsia="宋体" w:cs="宋体"/>
                <w:sz w:val="21"/>
                <w:szCs w:val="21"/>
              </w:rPr>
              <w:t>支持协议</w:t>
            </w:r>
          </w:p>
        </w:tc>
        <w:tc>
          <w:tcPr>
            <w:tcW w:w="3462" w:type="dxa"/>
            <w:noWrap w:val="0"/>
            <w:tcMar>
              <w:left w:w="57" w:type="dxa"/>
              <w:right w:w="57" w:type="dxa"/>
            </w:tcMar>
            <w:vAlign w:val="center"/>
          </w:tcPr>
          <w:p w14:paraId="4F12DD49">
            <w:pPr>
              <w:topLinePunct/>
              <w:snapToGrid w:val="0"/>
              <w:spacing w:before="50" w:after="50"/>
              <w:jc w:val="center"/>
              <w:rPr>
                <w:rFonts w:hint="eastAsia" w:ascii="宋体" w:hAnsi="宋体" w:eastAsia="宋体" w:cs="宋体"/>
                <w:sz w:val="21"/>
                <w:szCs w:val="21"/>
              </w:rPr>
            </w:pPr>
            <w:r>
              <w:rPr>
                <w:rFonts w:hint="eastAsia" w:ascii="宋体" w:hAnsi="宋体" w:eastAsia="宋体" w:cs="宋体"/>
                <w:sz w:val="21"/>
                <w:szCs w:val="21"/>
              </w:rPr>
              <w:t>SIP</w:t>
            </w:r>
          </w:p>
        </w:tc>
        <w:tc>
          <w:tcPr>
            <w:tcW w:w="2306" w:type="dxa"/>
            <w:noWrap w:val="0"/>
            <w:tcMar>
              <w:left w:w="57" w:type="dxa"/>
              <w:right w:w="57" w:type="dxa"/>
            </w:tcMar>
            <w:vAlign w:val="center"/>
          </w:tcPr>
          <w:p w14:paraId="4D518C9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支持</w:t>
            </w:r>
          </w:p>
        </w:tc>
        <w:tc>
          <w:tcPr>
            <w:tcW w:w="900" w:type="dxa"/>
            <w:noWrap w:val="0"/>
            <w:vAlign w:val="center"/>
          </w:tcPr>
          <w:p w14:paraId="02D80D8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14:paraId="54518A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continue"/>
            <w:noWrap w:val="0"/>
            <w:vAlign w:val="center"/>
          </w:tcPr>
          <w:p w14:paraId="4308D587">
            <w:pPr>
              <w:topLinePunct/>
              <w:snapToGrid w:val="0"/>
              <w:spacing w:before="60" w:after="60"/>
              <w:jc w:val="center"/>
              <w:rPr>
                <w:rFonts w:hint="eastAsia" w:ascii="宋体" w:hAnsi="宋体" w:eastAsia="宋体" w:cs="宋体"/>
                <w:sz w:val="21"/>
                <w:szCs w:val="21"/>
              </w:rPr>
            </w:pPr>
          </w:p>
        </w:tc>
        <w:tc>
          <w:tcPr>
            <w:tcW w:w="1261" w:type="dxa"/>
            <w:vMerge w:val="continue"/>
            <w:noWrap w:val="0"/>
            <w:tcMar>
              <w:left w:w="57" w:type="dxa"/>
              <w:right w:w="57" w:type="dxa"/>
            </w:tcMar>
            <w:vAlign w:val="center"/>
          </w:tcPr>
          <w:p w14:paraId="069B0B53">
            <w:pPr>
              <w:topLinePunct/>
              <w:snapToGrid w:val="0"/>
              <w:spacing w:before="60" w:after="60"/>
              <w:jc w:val="center"/>
              <w:rPr>
                <w:rFonts w:hint="eastAsia" w:ascii="宋体" w:hAnsi="宋体" w:eastAsia="宋体" w:cs="宋体"/>
                <w:sz w:val="21"/>
                <w:szCs w:val="21"/>
              </w:rPr>
            </w:pPr>
          </w:p>
        </w:tc>
        <w:tc>
          <w:tcPr>
            <w:tcW w:w="3462" w:type="dxa"/>
            <w:noWrap w:val="0"/>
            <w:tcMar>
              <w:left w:w="57" w:type="dxa"/>
              <w:right w:w="57" w:type="dxa"/>
            </w:tcMar>
            <w:vAlign w:val="center"/>
          </w:tcPr>
          <w:p w14:paraId="6D8DBC12">
            <w:pPr>
              <w:topLinePunct/>
              <w:snapToGrid w:val="0"/>
              <w:spacing w:before="50" w:after="50"/>
              <w:jc w:val="center"/>
              <w:rPr>
                <w:rFonts w:hint="eastAsia" w:ascii="宋体" w:hAnsi="宋体" w:eastAsia="宋体" w:cs="宋体"/>
                <w:sz w:val="21"/>
                <w:szCs w:val="21"/>
              </w:rPr>
            </w:pPr>
            <w:r>
              <w:rPr>
                <w:rFonts w:hint="eastAsia" w:ascii="宋体" w:hAnsi="宋体" w:eastAsia="宋体" w:cs="宋体"/>
                <w:sz w:val="21"/>
                <w:szCs w:val="21"/>
              </w:rPr>
              <w:t>TCP/IP</w:t>
            </w:r>
          </w:p>
        </w:tc>
        <w:tc>
          <w:tcPr>
            <w:tcW w:w="2306" w:type="dxa"/>
            <w:noWrap w:val="0"/>
            <w:tcMar>
              <w:left w:w="57" w:type="dxa"/>
              <w:right w:w="57" w:type="dxa"/>
            </w:tcMar>
            <w:vAlign w:val="center"/>
          </w:tcPr>
          <w:p w14:paraId="347C5E4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支持</w:t>
            </w:r>
          </w:p>
        </w:tc>
        <w:tc>
          <w:tcPr>
            <w:tcW w:w="900" w:type="dxa"/>
            <w:noWrap w:val="0"/>
            <w:vAlign w:val="center"/>
          </w:tcPr>
          <w:p w14:paraId="2F4534EF">
            <w:pPr>
              <w:jc w:val="center"/>
              <w:rPr>
                <w:rFonts w:hint="eastAsia" w:ascii="宋体" w:hAnsi="宋体" w:eastAsia="宋体" w:cs="宋体"/>
                <w:color w:val="000000"/>
                <w:sz w:val="21"/>
                <w:szCs w:val="21"/>
              </w:rPr>
            </w:pPr>
          </w:p>
        </w:tc>
      </w:tr>
      <w:tr w14:paraId="76EFFD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continue"/>
            <w:noWrap w:val="0"/>
            <w:vAlign w:val="center"/>
          </w:tcPr>
          <w:p w14:paraId="43F55C3B">
            <w:pPr>
              <w:topLinePunct/>
              <w:snapToGrid w:val="0"/>
              <w:spacing w:before="60" w:after="60"/>
              <w:jc w:val="center"/>
              <w:rPr>
                <w:rFonts w:hint="eastAsia" w:ascii="宋体" w:hAnsi="宋体" w:eastAsia="宋体" w:cs="宋体"/>
                <w:sz w:val="21"/>
                <w:szCs w:val="21"/>
              </w:rPr>
            </w:pPr>
          </w:p>
        </w:tc>
        <w:tc>
          <w:tcPr>
            <w:tcW w:w="1261" w:type="dxa"/>
            <w:vMerge w:val="continue"/>
            <w:noWrap w:val="0"/>
            <w:tcMar>
              <w:left w:w="57" w:type="dxa"/>
              <w:right w:w="57" w:type="dxa"/>
            </w:tcMar>
            <w:vAlign w:val="center"/>
          </w:tcPr>
          <w:p w14:paraId="6A321D92">
            <w:pPr>
              <w:topLinePunct/>
              <w:snapToGrid w:val="0"/>
              <w:spacing w:before="60" w:after="60"/>
              <w:jc w:val="center"/>
              <w:rPr>
                <w:rFonts w:hint="eastAsia" w:ascii="宋体" w:hAnsi="宋体" w:eastAsia="宋体" w:cs="宋体"/>
                <w:sz w:val="21"/>
                <w:szCs w:val="21"/>
              </w:rPr>
            </w:pPr>
          </w:p>
        </w:tc>
        <w:tc>
          <w:tcPr>
            <w:tcW w:w="3462" w:type="dxa"/>
            <w:noWrap w:val="0"/>
            <w:tcMar>
              <w:left w:w="57" w:type="dxa"/>
              <w:right w:w="57" w:type="dxa"/>
            </w:tcMar>
            <w:vAlign w:val="center"/>
          </w:tcPr>
          <w:p w14:paraId="58BCC78F">
            <w:pPr>
              <w:topLinePunct/>
              <w:snapToGrid w:val="0"/>
              <w:spacing w:before="50" w:after="50"/>
              <w:jc w:val="center"/>
              <w:rPr>
                <w:rFonts w:hint="eastAsia" w:ascii="宋体" w:hAnsi="宋体" w:eastAsia="宋体" w:cs="宋体"/>
                <w:sz w:val="21"/>
                <w:szCs w:val="21"/>
              </w:rPr>
            </w:pPr>
            <w:r>
              <w:rPr>
                <w:rFonts w:hint="eastAsia" w:ascii="宋体" w:hAnsi="宋体" w:eastAsia="宋体" w:cs="宋体"/>
                <w:sz w:val="21"/>
                <w:szCs w:val="21"/>
              </w:rPr>
              <w:t>RTP/RTCP</w:t>
            </w:r>
          </w:p>
        </w:tc>
        <w:tc>
          <w:tcPr>
            <w:tcW w:w="2306" w:type="dxa"/>
            <w:noWrap w:val="0"/>
            <w:tcMar>
              <w:left w:w="57" w:type="dxa"/>
              <w:right w:w="57" w:type="dxa"/>
            </w:tcMar>
            <w:vAlign w:val="center"/>
          </w:tcPr>
          <w:p w14:paraId="18311D2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支持</w:t>
            </w:r>
          </w:p>
        </w:tc>
        <w:tc>
          <w:tcPr>
            <w:tcW w:w="900" w:type="dxa"/>
            <w:noWrap w:val="0"/>
            <w:vAlign w:val="center"/>
          </w:tcPr>
          <w:p w14:paraId="1C45783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14:paraId="6F88FE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continue"/>
            <w:noWrap w:val="0"/>
            <w:vAlign w:val="center"/>
          </w:tcPr>
          <w:p w14:paraId="773C2AB6">
            <w:pPr>
              <w:topLinePunct/>
              <w:snapToGrid w:val="0"/>
              <w:spacing w:before="60" w:after="60"/>
              <w:jc w:val="center"/>
              <w:rPr>
                <w:rFonts w:hint="eastAsia" w:ascii="宋体" w:hAnsi="宋体" w:eastAsia="宋体" w:cs="宋体"/>
                <w:sz w:val="21"/>
                <w:szCs w:val="21"/>
              </w:rPr>
            </w:pPr>
          </w:p>
        </w:tc>
        <w:tc>
          <w:tcPr>
            <w:tcW w:w="1261" w:type="dxa"/>
            <w:vMerge w:val="continue"/>
            <w:noWrap w:val="0"/>
            <w:tcMar>
              <w:left w:w="57" w:type="dxa"/>
              <w:right w:w="57" w:type="dxa"/>
            </w:tcMar>
            <w:vAlign w:val="center"/>
          </w:tcPr>
          <w:p w14:paraId="55E3F91D">
            <w:pPr>
              <w:topLinePunct/>
              <w:snapToGrid w:val="0"/>
              <w:spacing w:before="60" w:after="60"/>
              <w:jc w:val="center"/>
              <w:rPr>
                <w:rFonts w:hint="eastAsia" w:ascii="宋体" w:hAnsi="宋体" w:eastAsia="宋体" w:cs="宋体"/>
                <w:sz w:val="21"/>
                <w:szCs w:val="21"/>
              </w:rPr>
            </w:pPr>
          </w:p>
        </w:tc>
        <w:tc>
          <w:tcPr>
            <w:tcW w:w="3462" w:type="dxa"/>
            <w:noWrap w:val="0"/>
            <w:tcMar>
              <w:left w:w="57" w:type="dxa"/>
              <w:right w:w="57" w:type="dxa"/>
            </w:tcMar>
            <w:vAlign w:val="center"/>
          </w:tcPr>
          <w:p w14:paraId="6CE8CD4F">
            <w:pPr>
              <w:topLinePunct/>
              <w:snapToGrid w:val="0"/>
              <w:spacing w:before="50" w:after="50"/>
              <w:jc w:val="center"/>
              <w:rPr>
                <w:rFonts w:hint="eastAsia" w:ascii="宋体" w:hAnsi="宋体" w:eastAsia="宋体" w:cs="宋体"/>
                <w:sz w:val="21"/>
                <w:szCs w:val="21"/>
              </w:rPr>
            </w:pPr>
            <w:r>
              <w:rPr>
                <w:rFonts w:hint="eastAsia" w:ascii="宋体" w:hAnsi="宋体" w:eastAsia="宋体" w:cs="宋体"/>
                <w:sz w:val="21"/>
                <w:szCs w:val="21"/>
              </w:rPr>
              <w:t>TFTP</w:t>
            </w:r>
          </w:p>
        </w:tc>
        <w:tc>
          <w:tcPr>
            <w:tcW w:w="2306" w:type="dxa"/>
            <w:noWrap w:val="0"/>
            <w:tcMar>
              <w:left w:w="57" w:type="dxa"/>
              <w:right w:w="57" w:type="dxa"/>
            </w:tcMar>
            <w:vAlign w:val="center"/>
          </w:tcPr>
          <w:p w14:paraId="5A4B3B8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支持</w:t>
            </w:r>
          </w:p>
        </w:tc>
        <w:tc>
          <w:tcPr>
            <w:tcW w:w="900" w:type="dxa"/>
            <w:noWrap w:val="0"/>
            <w:vAlign w:val="center"/>
          </w:tcPr>
          <w:p w14:paraId="0321EAA8">
            <w:pPr>
              <w:jc w:val="center"/>
              <w:rPr>
                <w:rFonts w:hint="eastAsia" w:ascii="宋体" w:hAnsi="宋体" w:eastAsia="宋体" w:cs="宋体"/>
                <w:color w:val="000000"/>
                <w:sz w:val="21"/>
                <w:szCs w:val="21"/>
              </w:rPr>
            </w:pPr>
          </w:p>
        </w:tc>
      </w:tr>
      <w:tr w14:paraId="1D5128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33" w:hRule="atLeast"/>
        </w:trPr>
        <w:tc>
          <w:tcPr>
            <w:tcW w:w="709" w:type="dxa"/>
            <w:vMerge w:val="restart"/>
            <w:noWrap w:val="0"/>
            <w:vAlign w:val="center"/>
          </w:tcPr>
          <w:p w14:paraId="44A296C5">
            <w:pPr>
              <w:topLinePunct/>
              <w:snapToGrid w:val="0"/>
              <w:spacing w:before="60" w:after="60"/>
              <w:jc w:val="center"/>
              <w:rPr>
                <w:rFonts w:hint="eastAsia" w:ascii="宋体" w:hAnsi="宋体" w:eastAsia="宋体" w:cs="宋体"/>
                <w:sz w:val="21"/>
                <w:szCs w:val="21"/>
              </w:rPr>
            </w:pPr>
            <w:r>
              <w:rPr>
                <w:rFonts w:hint="eastAsia" w:ascii="宋体" w:hAnsi="宋体" w:eastAsia="宋体" w:cs="宋体"/>
                <w:sz w:val="21"/>
                <w:szCs w:val="21"/>
              </w:rPr>
              <w:t>4</w:t>
            </w:r>
          </w:p>
        </w:tc>
        <w:tc>
          <w:tcPr>
            <w:tcW w:w="1261" w:type="dxa"/>
            <w:vMerge w:val="restart"/>
            <w:noWrap w:val="0"/>
            <w:tcMar>
              <w:left w:w="57" w:type="dxa"/>
              <w:right w:w="57" w:type="dxa"/>
            </w:tcMar>
            <w:vAlign w:val="center"/>
          </w:tcPr>
          <w:p w14:paraId="0279FED3">
            <w:pPr>
              <w:topLinePunct/>
              <w:snapToGrid w:val="0"/>
              <w:spacing w:before="60" w:after="60"/>
              <w:jc w:val="center"/>
              <w:rPr>
                <w:rFonts w:hint="eastAsia" w:ascii="宋体" w:hAnsi="宋体" w:eastAsia="宋体" w:cs="宋体"/>
                <w:sz w:val="21"/>
                <w:szCs w:val="21"/>
              </w:rPr>
            </w:pPr>
            <w:r>
              <w:rPr>
                <w:rFonts w:hint="eastAsia" w:ascii="宋体" w:hAnsi="宋体" w:eastAsia="宋体" w:cs="宋体"/>
                <w:sz w:val="21"/>
                <w:szCs w:val="21"/>
              </w:rPr>
              <w:t>语音编解码</w:t>
            </w:r>
          </w:p>
        </w:tc>
        <w:tc>
          <w:tcPr>
            <w:tcW w:w="3462" w:type="dxa"/>
            <w:noWrap w:val="0"/>
            <w:tcMar>
              <w:left w:w="57" w:type="dxa"/>
              <w:right w:w="57" w:type="dxa"/>
            </w:tcMar>
            <w:vAlign w:val="center"/>
          </w:tcPr>
          <w:p w14:paraId="2AF8B279">
            <w:pPr>
              <w:topLinePunct/>
              <w:snapToGrid w:val="0"/>
              <w:spacing w:before="50" w:after="50"/>
              <w:jc w:val="center"/>
              <w:rPr>
                <w:rFonts w:hint="eastAsia" w:ascii="宋体" w:hAnsi="宋体" w:eastAsia="宋体" w:cs="宋体"/>
                <w:sz w:val="21"/>
                <w:szCs w:val="21"/>
              </w:rPr>
            </w:pPr>
            <w:r>
              <w:rPr>
                <w:rFonts w:hint="eastAsia" w:ascii="宋体" w:hAnsi="宋体" w:eastAsia="宋体" w:cs="宋体"/>
                <w:sz w:val="21"/>
                <w:szCs w:val="21"/>
              </w:rPr>
              <w:t>G.711a/μ</w:t>
            </w:r>
          </w:p>
        </w:tc>
        <w:tc>
          <w:tcPr>
            <w:tcW w:w="2306" w:type="dxa"/>
            <w:noWrap w:val="0"/>
            <w:tcMar>
              <w:left w:w="57" w:type="dxa"/>
              <w:right w:w="57" w:type="dxa"/>
            </w:tcMar>
            <w:vAlign w:val="center"/>
          </w:tcPr>
          <w:p w14:paraId="3C177A1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支持</w:t>
            </w:r>
          </w:p>
        </w:tc>
        <w:tc>
          <w:tcPr>
            <w:tcW w:w="900" w:type="dxa"/>
            <w:noWrap w:val="0"/>
            <w:vAlign w:val="center"/>
          </w:tcPr>
          <w:p w14:paraId="6C9AD39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14:paraId="5BC9C4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09" w:type="dxa"/>
            <w:vMerge w:val="continue"/>
            <w:noWrap w:val="0"/>
            <w:vAlign w:val="center"/>
          </w:tcPr>
          <w:p w14:paraId="0B99BE78">
            <w:pPr>
              <w:topLinePunct/>
              <w:snapToGrid w:val="0"/>
              <w:spacing w:before="60" w:after="60"/>
              <w:jc w:val="center"/>
              <w:rPr>
                <w:rFonts w:hint="eastAsia" w:ascii="宋体" w:hAnsi="宋体" w:eastAsia="宋体" w:cs="宋体"/>
                <w:sz w:val="21"/>
                <w:szCs w:val="21"/>
              </w:rPr>
            </w:pPr>
          </w:p>
        </w:tc>
        <w:tc>
          <w:tcPr>
            <w:tcW w:w="1261" w:type="dxa"/>
            <w:vMerge w:val="continue"/>
            <w:noWrap w:val="0"/>
            <w:tcMar>
              <w:left w:w="57" w:type="dxa"/>
              <w:right w:w="57" w:type="dxa"/>
            </w:tcMar>
            <w:vAlign w:val="center"/>
          </w:tcPr>
          <w:p w14:paraId="279598FF">
            <w:pPr>
              <w:topLinePunct/>
              <w:snapToGrid w:val="0"/>
              <w:spacing w:before="60" w:after="60"/>
              <w:jc w:val="center"/>
              <w:rPr>
                <w:rFonts w:hint="eastAsia" w:ascii="宋体" w:hAnsi="宋体" w:eastAsia="宋体" w:cs="宋体"/>
                <w:color w:val="000000"/>
                <w:sz w:val="21"/>
                <w:szCs w:val="21"/>
              </w:rPr>
            </w:pPr>
          </w:p>
        </w:tc>
        <w:tc>
          <w:tcPr>
            <w:tcW w:w="3462" w:type="dxa"/>
            <w:noWrap w:val="0"/>
            <w:tcMar>
              <w:left w:w="57" w:type="dxa"/>
              <w:right w:w="57" w:type="dxa"/>
            </w:tcMar>
            <w:vAlign w:val="center"/>
          </w:tcPr>
          <w:p w14:paraId="620C8329">
            <w:pPr>
              <w:topLinePunct/>
              <w:snapToGrid w:val="0"/>
              <w:spacing w:before="50" w:after="50"/>
              <w:jc w:val="center"/>
              <w:rPr>
                <w:rFonts w:hint="eastAsia" w:ascii="宋体" w:hAnsi="宋体" w:eastAsia="宋体" w:cs="宋体"/>
                <w:sz w:val="21"/>
                <w:szCs w:val="21"/>
              </w:rPr>
            </w:pPr>
            <w:r>
              <w:rPr>
                <w:rFonts w:hint="eastAsia" w:ascii="宋体" w:hAnsi="宋体" w:eastAsia="宋体" w:cs="宋体"/>
                <w:sz w:val="21"/>
                <w:szCs w:val="21"/>
              </w:rPr>
              <w:t>G.723</w:t>
            </w:r>
          </w:p>
        </w:tc>
        <w:tc>
          <w:tcPr>
            <w:tcW w:w="2306" w:type="dxa"/>
            <w:noWrap w:val="0"/>
            <w:tcMar>
              <w:left w:w="57" w:type="dxa"/>
              <w:right w:w="57" w:type="dxa"/>
            </w:tcMar>
            <w:vAlign w:val="center"/>
          </w:tcPr>
          <w:p w14:paraId="3B44150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支持</w:t>
            </w:r>
          </w:p>
        </w:tc>
        <w:tc>
          <w:tcPr>
            <w:tcW w:w="900" w:type="dxa"/>
            <w:noWrap w:val="0"/>
            <w:vAlign w:val="center"/>
          </w:tcPr>
          <w:p w14:paraId="757F9715">
            <w:pPr>
              <w:jc w:val="center"/>
              <w:rPr>
                <w:rFonts w:hint="eastAsia" w:ascii="宋体" w:hAnsi="宋体" w:eastAsia="宋体" w:cs="宋体"/>
                <w:color w:val="000000"/>
                <w:sz w:val="21"/>
                <w:szCs w:val="21"/>
              </w:rPr>
            </w:pPr>
          </w:p>
        </w:tc>
      </w:tr>
      <w:tr w14:paraId="6A8CB0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09" w:type="dxa"/>
            <w:vMerge w:val="continue"/>
            <w:noWrap w:val="0"/>
            <w:vAlign w:val="center"/>
          </w:tcPr>
          <w:p w14:paraId="70AEB5D5">
            <w:pPr>
              <w:topLinePunct/>
              <w:snapToGrid w:val="0"/>
              <w:spacing w:before="60" w:after="60"/>
              <w:jc w:val="center"/>
              <w:rPr>
                <w:rFonts w:hint="eastAsia" w:ascii="宋体" w:hAnsi="宋体" w:eastAsia="宋体" w:cs="宋体"/>
                <w:sz w:val="21"/>
                <w:szCs w:val="21"/>
              </w:rPr>
            </w:pPr>
          </w:p>
        </w:tc>
        <w:tc>
          <w:tcPr>
            <w:tcW w:w="1261" w:type="dxa"/>
            <w:vMerge w:val="continue"/>
            <w:noWrap w:val="0"/>
            <w:tcMar>
              <w:left w:w="57" w:type="dxa"/>
              <w:right w:w="57" w:type="dxa"/>
            </w:tcMar>
            <w:vAlign w:val="center"/>
          </w:tcPr>
          <w:p w14:paraId="24A7A203">
            <w:pPr>
              <w:topLinePunct/>
              <w:snapToGrid w:val="0"/>
              <w:spacing w:before="60" w:after="60"/>
              <w:jc w:val="center"/>
              <w:rPr>
                <w:rFonts w:hint="eastAsia" w:ascii="宋体" w:hAnsi="宋体" w:eastAsia="宋体" w:cs="宋体"/>
                <w:sz w:val="21"/>
                <w:szCs w:val="21"/>
              </w:rPr>
            </w:pPr>
          </w:p>
        </w:tc>
        <w:tc>
          <w:tcPr>
            <w:tcW w:w="3462" w:type="dxa"/>
            <w:noWrap w:val="0"/>
            <w:tcMar>
              <w:left w:w="57" w:type="dxa"/>
              <w:right w:w="57" w:type="dxa"/>
            </w:tcMar>
            <w:vAlign w:val="center"/>
          </w:tcPr>
          <w:p w14:paraId="4990A2F1">
            <w:pPr>
              <w:topLinePunct/>
              <w:snapToGrid w:val="0"/>
              <w:spacing w:before="50" w:after="50"/>
              <w:jc w:val="center"/>
              <w:rPr>
                <w:rFonts w:hint="eastAsia" w:ascii="宋体" w:hAnsi="宋体" w:eastAsia="宋体" w:cs="宋体"/>
                <w:sz w:val="21"/>
                <w:szCs w:val="21"/>
              </w:rPr>
            </w:pPr>
            <w:r>
              <w:rPr>
                <w:rFonts w:hint="eastAsia" w:ascii="宋体" w:hAnsi="宋体" w:eastAsia="宋体" w:cs="宋体"/>
                <w:sz w:val="21"/>
                <w:szCs w:val="21"/>
              </w:rPr>
              <w:t>G.729</w:t>
            </w:r>
          </w:p>
        </w:tc>
        <w:tc>
          <w:tcPr>
            <w:tcW w:w="2306" w:type="dxa"/>
            <w:noWrap w:val="0"/>
            <w:tcMar>
              <w:left w:w="57" w:type="dxa"/>
              <w:right w:w="57" w:type="dxa"/>
            </w:tcMar>
            <w:vAlign w:val="center"/>
          </w:tcPr>
          <w:p w14:paraId="34DA08D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支持</w:t>
            </w:r>
          </w:p>
        </w:tc>
        <w:tc>
          <w:tcPr>
            <w:tcW w:w="900" w:type="dxa"/>
            <w:noWrap w:val="0"/>
            <w:vAlign w:val="center"/>
          </w:tcPr>
          <w:p w14:paraId="2ECD023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14:paraId="692351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09" w:type="dxa"/>
            <w:vMerge w:val="restart"/>
            <w:noWrap w:val="0"/>
            <w:vAlign w:val="center"/>
          </w:tcPr>
          <w:p w14:paraId="238F2D03">
            <w:pPr>
              <w:topLinePunct/>
              <w:snapToGrid w:val="0"/>
              <w:spacing w:before="60" w:after="60"/>
              <w:jc w:val="center"/>
              <w:rPr>
                <w:rFonts w:hint="eastAsia" w:ascii="宋体" w:hAnsi="宋体" w:eastAsia="宋体" w:cs="宋体"/>
                <w:sz w:val="21"/>
                <w:szCs w:val="21"/>
              </w:rPr>
            </w:pPr>
            <w:r>
              <w:rPr>
                <w:rFonts w:hint="eastAsia" w:ascii="宋体" w:hAnsi="宋体" w:eastAsia="宋体" w:cs="宋体"/>
                <w:sz w:val="21"/>
                <w:szCs w:val="21"/>
              </w:rPr>
              <w:t>5</w:t>
            </w:r>
          </w:p>
        </w:tc>
        <w:tc>
          <w:tcPr>
            <w:tcW w:w="1261" w:type="dxa"/>
            <w:vMerge w:val="restart"/>
            <w:noWrap w:val="0"/>
            <w:tcMar>
              <w:left w:w="57" w:type="dxa"/>
              <w:right w:w="57" w:type="dxa"/>
            </w:tcMar>
            <w:vAlign w:val="center"/>
          </w:tcPr>
          <w:p w14:paraId="5AF399F9">
            <w:pPr>
              <w:topLinePunct/>
              <w:snapToGrid w:val="0"/>
              <w:spacing w:before="60" w:after="60"/>
              <w:jc w:val="center"/>
              <w:rPr>
                <w:rFonts w:hint="eastAsia" w:ascii="宋体" w:hAnsi="宋体" w:eastAsia="宋体" w:cs="宋体"/>
                <w:sz w:val="21"/>
                <w:szCs w:val="21"/>
              </w:rPr>
            </w:pPr>
            <w:r>
              <w:rPr>
                <w:rFonts w:hint="eastAsia" w:ascii="宋体" w:hAnsi="宋体" w:eastAsia="宋体" w:cs="宋体"/>
                <w:sz w:val="21"/>
                <w:szCs w:val="21"/>
              </w:rPr>
              <w:t>传真协议</w:t>
            </w:r>
          </w:p>
        </w:tc>
        <w:tc>
          <w:tcPr>
            <w:tcW w:w="3462" w:type="dxa"/>
            <w:noWrap w:val="0"/>
            <w:tcMar>
              <w:left w:w="57" w:type="dxa"/>
              <w:right w:w="57" w:type="dxa"/>
            </w:tcMar>
            <w:vAlign w:val="center"/>
          </w:tcPr>
          <w:p w14:paraId="60FCFA89">
            <w:pPr>
              <w:topLinePunct/>
              <w:snapToGrid w:val="0"/>
              <w:spacing w:before="50" w:after="50"/>
              <w:jc w:val="center"/>
              <w:rPr>
                <w:rFonts w:hint="eastAsia" w:ascii="宋体" w:hAnsi="宋体" w:eastAsia="宋体" w:cs="宋体"/>
                <w:sz w:val="21"/>
                <w:szCs w:val="21"/>
              </w:rPr>
            </w:pPr>
            <w:r>
              <w:rPr>
                <w:rFonts w:hint="eastAsia" w:ascii="宋体" w:hAnsi="宋体" w:eastAsia="宋体" w:cs="宋体"/>
                <w:sz w:val="21"/>
                <w:szCs w:val="21"/>
              </w:rPr>
              <w:t>透传</w:t>
            </w:r>
          </w:p>
        </w:tc>
        <w:tc>
          <w:tcPr>
            <w:tcW w:w="2306" w:type="dxa"/>
            <w:noWrap w:val="0"/>
            <w:tcMar>
              <w:left w:w="57" w:type="dxa"/>
              <w:right w:w="57" w:type="dxa"/>
            </w:tcMar>
            <w:vAlign w:val="center"/>
          </w:tcPr>
          <w:p w14:paraId="7471F78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支持</w:t>
            </w:r>
          </w:p>
        </w:tc>
        <w:tc>
          <w:tcPr>
            <w:tcW w:w="900" w:type="dxa"/>
            <w:noWrap w:val="0"/>
            <w:vAlign w:val="center"/>
          </w:tcPr>
          <w:p w14:paraId="7175A8D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14:paraId="5B443E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09" w:type="dxa"/>
            <w:vMerge w:val="continue"/>
            <w:noWrap w:val="0"/>
            <w:vAlign w:val="center"/>
          </w:tcPr>
          <w:p w14:paraId="64603B17">
            <w:pPr>
              <w:topLinePunct/>
              <w:snapToGrid w:val="0"/>
              <w:spacing w:before="60" w:after="60"/>
              <w:jc w:val="center"/>
              <w:rPr>
                <w:rFonts w:hint="eastAsia" w:ascii="宋体" w:hAnsi="宋体" w:eastAsia="宋体" w:cs="宋体"/>
                <w:sz w:val="21"/>
                <w:szCs w:val="21"/>
              </w:rPr>
            </w:pPr>
          </w:p>
        </w:tc>
        <w:tc>
          <w:tcPr>
            <w:tcW w:w="1261" w:type="dxa"/>
            <w:vMerge w:val="continue"/>
            <w:noWrap w:val="0"/>
            <w:tcMar>
              <w:left w:w="57" w:type="dxa"/>
              <w:right w:w="57" w:type="dxa"/>
            </w:tcMar>
            <w:vAlign w:val="center"/>
          </w:tcPr>
          <w:p w14:paraId="583840D6">
            <w:pPr>
              <w:topLinePunct/>
              <w:snapToGrid w:val="0"/>
              <w:spacing w:before="60" w:after="60"/>
              <w:jc w:val="center"/>
              <w:rPr>
                <w:rFonts w:hint="eastAsia" w:ascii="宋体" w:hAnsi="宋体" w:eastAsia="宋体" w:cs="宋体"/>
                <w:sz w:val="21"/>
                <w:szCs w:val="21"/>
              </w:rPr>
            </w:pPr>
          </w:p>
        </w:tc>
        <w:tc>
          <w:tcPr>
            <w:tcW w:w="3462" w:type="dxa"/>
            <w:noWrap w:val="0"/>
            <w:tcMar>
              <w:left w:w="57" w:type="dxa"/>
              <w:right w:w="57" w:type="dxa"/>
            </w:tcMar>
            <w:vAlign w:val="center"/>
          </w:tcPr>
          <w:p w14:paraId="74A3EB83">
            <w:pPr>
              <w:topLinePunct/>
              <w:snapToGrid w:val="0"/>
              <w:spacing w:before="50" w:after="50"/>
              <w:jc w:val="center"/>
              <w:rPr>
                <w:rFonts w:hint="eastAsia" w:ascii="宋体" w:hAnsi="宋体" w:eastAsia="宋体" w:cs="宋体"/>
                <w:sz w:val="21"/>
                <w:szCs w:val="21"/>
              </w:rPr>
            </w:pPr>
            <w:r>
              <w:rPr>
                <w:rFonts w:hint="eastAsia" w:ascii="宋体" w:hAnsi="宋体" w:eastAsia="宋体" w:cs="宋体"/>
                <w:sz w:val="21"/>
                <w:szCs w:val="21"/>
              </w:rPr>
              <w:t>T.38</w:t>
            </w:r>
          </w:p>
        </w:tc>
        <w:tc>
          <w:tcPr>
            <w:tcW w:w="2306" w:type="dxa"/>
            <w:noWrap w:val="0"/>
            <w:tcMar>
              <w:left w:w="57" w:type="dxa"/>
              <w:right w:w="57" w:type="dxa"/>
            </w:tcMar>
            <w:vAlign w:val="center"/>
          </w:tcPr>
          <w:p w14:paraId="6EB4BD5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支持</w:t>
            </w:r>
          </w:p>
        </w:tc>
        <w:tc>
          <w:tcPr>
            <w:tcW w:w="900" w:type="dxa"/>
            <w:noWrap w:val="0"/>
            <w:vAlign w:val="center"/>
          </w:tcPr>
          <w:p w14:paraId="68E209D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14:paraId="72843C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restart"/>
            <w:noWrap w:val="0"/>
            <w:vAlign w:val="center"/>
          </w:tcPr>
          <w:p w14:paraId="6B11A3FB">
            <w:pPr>
              <w:topLinePunct/>
              <w:snapToGrid w:val="0"/>
              <w:spacing w:before="60" w:after="60"/>
              <w:jc w:val="center"/>
              <w:rPr>
                <w:rFonts w:hint="eastAsia" w:ascii="宋体" w:hAnsi="宋体" w:eastAsia="宋体" w:cs="宋体"/>
                <w:sz w:val="21"/>
                <w:szCs w:val="21"/>
              </w:rPr>
            </w:pPr>
            <w:r>
              <w:rPr>
                <w:rFonts w:hint="eastAsia" w:ascii="宋体" w:hAnsi="宋体" w:eastAsia="宋体" w:cs="宋体"/>
                <w:sz w:val="21"/>
                <w:szCs w:val="21"/>
              </w:rPr>
              <w:t>6</w:t>
            </w:r>
          </w:p>
        </w:tc>
        <w:tc>
          <w:tcPr>
            <w:tcW w:w="1261" w:type="dxa"/>
            <w:vMerge w:val="restart"/>
            <w:noWrap w:val="0"/>
            <w:tcMar>
              <w:left w:w="57" w:type="dxa"/>
              <w:right w:w="57" w:type="dxa"/>
            </w:tcMar>
            <w:vAlign w:val="center"/>
          </w:tcPr>
          <w:p w14:paraId="1625C0F2">
            <w:pPr>
              <w:topLinePunct/>
              <w:snapToGrid w:val="0"/>
              <w:spacing w:before="60" w:after="60"/>
              <w:jc w:val="center"/>
              <w:rPr>
                <w:rFonts w:hint="eastAsia" w:ascii="宋体" w:hAnsi="宋体" w:eastAsia="宋体" w:cs="宋体"/>
                <w:sz w:val="21"/>
                <w:szCs w:val="21"/>
              </w:rPr>
            </w:pPr>
            <w:r>
              <w:rPr>
                <w:rFonts w:hint="eastAsia" w:ascii="宋体" w:hAnsi="宋体" w:eastAsia="宋体" w:cs="宋体"/>
                <w:sz w:val="21"/>
                <w:szCs w:val="21"/>
              </w:rPr>
              <w:t>可靠性</w:t>
            </w:r>
          </w:p>
        </w:tc>
        <w:tc>
          <w:tcPr>
            <w:tcW w:w="3462" w:type="dxa"/>
            <w:noWrap w:val="0"/>
            <w:tcMar>
              <w:left w:w="57" w:type="dxa"/>
              <w:right w:w="57" w:type="dxa"/>
            </w:tcMar>
            <w:vAlign w:val="center"/>
          </w:tcPr>
          <w:p w14:paraId="48D2EF7E">
            <w:pPr>
              <w:topLinePunct/>
              <w:snapToGrid w:val="0"/>
              <w:spacing w:before="50" w:after="50"/>
              <w:jc w:val="center"/>
              <w:rPr>
                <w:rFonts w:hint="eastAsia" w:ascii="宋体" w:hAnsi="宋体" w:eastAsia="宋体" w:cs="宋体"/>
                <w:sz w:val="21"/>
                <w:szCs w:val="21"/>
              </w:rPr>
            </w:pPr>
            <w:r>
              <w:rPr>
                <w:rFonts w:hint="eastAsia" w:ascii="宋体" w:hAnsi="宋体" w:eastAsia="宋体" w:cs="宋体"/>
                <w:sz w:val="21"/>
                <w:szCs w:val="21"/>
              </w:rPr>
              <w:t>本地自交换</w:t>
            </w:r>
          </w:p>
        </w:tc>
        <w:tc>
          <w:tcPr>
            <w:tcW w:w="2306" w:type="dxa"/>
            <w:noWrap w:val="0"/>
            <w:tcMar>
              <w:left w:w="57" w:type="dxa"/>
              <w:right w:w="57" w:type="dxa"/>
            </w:tcMar>
            <w:vAlign w:val="center"/>
          </w:tcPr>
          <w:p w14:paraId="740A85B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支持</w:t>
            </w:r>
          </w:p>
        </w:tc>
        <w:tc>
          <w:tcPr>
            <w:tcW w:w="900" w:type="dxa"/>
            <w:noWrap w:val="0"/>
            <w:vAlign w:val="center"/>
          </w:tcPr>
          <w:p w14:paraId="3EE6A85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14:paraId="57F808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continue"/>
            <w:noWrap w:val="0"/>
            <w:vAlign w:val="center"/>
          </w:tcPr>
          <w:p w14:paraId="6B684B45">
            <w:pPr>
              <w:topLinePunct/>
              <w:snapToGrid w:val="0"/>
              <w:spacing w:before="60" w:after="60"/>
              <w:jc w:val="center"/>
              <w:rPr>
                <w:rFonts w:hint="eastAsia" w:ascii="宋体" w:hAnsi="宋体" w:eastAsia="宋体" w:cs="宋体"/>
                <w:sz w:val="21"/>
                <w:szCs w:val="21"/>
              </w:rPr>
            </w:pPr>
          </w:p>
        </w:tc>
        <w:tc>
          <w:tcPr>
            <w:tcW w:w="1261" w:type="dxa"/>
            <w:vMerge w:val="continue"/>
            <w:noWrap w:val="0"/>
            <w:tcMar>
              <w:left w:w="57" w:type="dxa"/>
              <w:right w:w="57" w:type="dxa"/>
            </w:tcMar>
            <w:vAlign w:val="center"/>
          </w:tcPr>
          <w:p w14:paraId="121CB3EA">
            <w:pPr>
              <w:topLinePunct/>
              <w:snapToGrid w:val="0"/>
              <w:spacing w:before="50" w:after="50"/>
              <w:jc w:val="center"/>
              <w:rPr>
                <w:rFonts w:hint="eastAsia" w:ascii="宋体" w:hAnsi="宋体" w:eastAsia="宋体" w:cs="宋体"/>
                <w:sz w:val="21"/>
                <w:szCs w:val="21"/>
              </w:rPr>
            </w:pPr>
          </w:p>
        </w:tc>
        <w:tc>
          <w:tcPr>
            <w:tcW w:w="3462" w:type="dxa"/>
            <w:noWrap w:val="0"/>
            <w:tcMar>
              <w:left w:w="57" w:type="dxa"/>
              <w:right w:w="57" w:type="dxa"/>
            </w:tcMar>
            <w:vAlign w:val="center"/>
          </w:tcPr>
          <w:p w14:paraId="27681FCA">
            <w:pPr>
              <w:topLinePunct/>
              <w:snapToGrid w:val="0"/>
              <w:spacing w:before="50" w:after="50"/>
              <w:jc w:val="center"/>
              <w:rPr>
                <w:rFonts w:hint="eastAsia" w:ascii="宋体" w:hAnsi="宋体" w:eastAsia="宋体" w:cs="宋体"/>
                <w:sz w:val="21"/>
                <w:szCs w:val="21"/>
              </w:rPr>
            </w:pPr>
            <w:r>
              <w:rPr>
                <w:rFonts w:hint="eastAsia" w:ascii="宋体" w:hAnsi="宋体" w:eastAsia="宋体" w:cs="宋体"/>
                <w:sz w:val="21"/>
                <w:szCs w:val="21"/>
              </w:rPr>
              <w:t>断电逃生</w:t>
            </w:r>
          </w:p>
        </w:tc>
        <w:tc>
          <w:tcPr>
            <w:tcW w:w="2306" w:type="dxa"/>
            <w:noWrap w:val="0"/>
            <w:tcMar>
              <w:left w:w="57" w:type="dxa"/>
              <w:right w:w="57" w:type="dxa"/>
            </w:tcMar>
            <w:vAlign w:val="center"/>
          </w:tcPr>
          <w:p w14:paraId="136B7EA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支持</w:t>
            </w:r>
          </w:p>
        </w:tc>
        <w:tc>
          <w:tcPr>
            <w:tcW w:w="900" w:type="dxa"/>
            <w:noWrap w:val="0"/>
            <w:vAlign w:val="center"/>
          </w:tcPr>
          <w:p w14:paraId="167603A6">
            <w:pPr>
              <w:jc w:val="center"/>
              <w:rPr>
                <w:rFonts w:hint="eastAsia" w:ascii="宋体" w:hAnsi="宋体" w:eastAsia="宋体" w:cs="宋体"/>
                <w:color w:val="000000"/>
                <w:sz w:val="21"/>
                <w:szCs w:val="21"/>
              </w:rPr>
            </w:pPr>
          </w:p>
        </w:tc>
      </w:tr>
      <w:tr w14:paraId="73DD2F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restart"/>
            <w:noWrap w:val="0"/>
            <w:vAlign w:val="center"/>
          </w:tcPr>
          <w:p w14:paraId="37180584">
            <w:pPr>
              <w:topLinePunct/>
              <w:snapToGrid w:val="0"/>
              <w:spacing w:before="60" w:after="60"/>
              <w:jc w:val="center"/>
              <w:rPr>
                <w:rFonts w:hint="eastAsia" w:ascii="宋体" w:hAnsi="宋体" w:eastAsia="宋体" w:cs="宋体"/>
                <w:sz w:val="21"/>
                <w:szCs w:val="21"/>
              </w:rPr>
            </w:pPr>
            <w:r>
              <w:rPr>
                <w:rFonts w:hint="eastAsia" w:ascii="宋体" w:hAnsi="宋体" w:eastAsia="宋体" w:cs="宋体"/>
                <w:sz w:val="21"/>
                <w:szCs w:val="21"/>
              </w:rPr>
              <w:t>7</w:t>
            </w:r>
          </w:p>
        </w:tc>
        <w:tc>
          <w:tcPr>
            <w:tcW w:w="1261" w:type="dxa"/>
            <w:vMerge w:val="restart"/>
            <w:noWrap w:val="0"/>
            <w:tcMar>
              <w:left w:w="57" w:type="dxa"/>
              <w:right w:w="57" w:type="dxa"/>
            </w:tcMar>
            <w:vAlign w:val="center"/>
          </w:tcPr>
          <w:p w14:paraId="1680A889">
            <w:pPr>
              <w:topLinePunct/>
              <w:snapToGrid w:val="0"/>
              <w:spacing w:before="60" w:after="60"/>
              <w:jc w:val="center"/>
              <w:rPr>
                <w:rFonts w:hint="eastAsia" w:ascii="宋体" w:hAnsi="宋体" w:eastAsia="宋体" w:cs="宋体"/>
                <w:sz w:val="21"/>
                <w:szCs w:val="21"/>
              </w:rPr>
            </w:pPr>
            <w:r>
              <w:rPr>
                <w:rFonts w:hint="eastAsia" w:ascii="宋体" w:hAnsi="宋体" w:eastAsia="宋体" w:cs="宋体"/>
                <w:sz w:val="21"/>
                <w:szCs w:val="21"/>
              </w:rPr>
              <w:t>物理特性</w:t>
            </w:r>
          </w:p>
        </w:tc>
        <w:tc>
          <w:tcPr>
            <w:tcW w:w="3462" w:type="dxa"/>
            <w:noWrap w:val="0"/>
            <w:tcMar>
              <w:left w:w="57" w:type="dxa"/>
              <w:right w:w="57" w:type="dxa"/>
            </w:tcMar>
            <w:vAlign w:val="center"/>
          </w:tcPr>
          <w:p w14:paraId="747D0B94">
            <w:pPr>
              <w:topLinePunct/>
              <w:snapToGrid w:val="0"/>
              <w:spacing w:before="50" w:after="50"/>
              <w:jc w:val="center"/>
              <w:rPr>
                <w:rFonts w:hint="eastAsia" w:ascii="宋体" w:hAnsi="宋体" w:eastAsia="宋体" w:cs="宋体"/>
                <w:sz w:val="21"/>
                <w:szCs w:val="21"/>
              </w:rPr>
            </w:pPr>
            <w:r>
              <w:rPr>
                <w:rFonts w:hint="eastAsia" w:ascii="宋体" w:hAnsi="宋体" w:eastAsia="宋体" w:cs="宋体"/>
                <w:sz w:val="21"/>
                <w:szCs w:val="21"/>
              </w:rPr>
              <w:t>尺寸</w:t>
            </w:r>
          </w:p>
        </w:tc>
        <w:tc>
          <w:tcPr>
            <w:tcW w:w="2306" w:type="dxa"/>
            <w:noWrap w:val="0"/>
            <w:tcMar>
              <w:left w:w="57" w:type="dxa"/>
              <w:right w:w="57" w:type="dxa"/>
            </w:tcMar>
            <w:vAlign w:val="center"/>
          </w:tcPr>
          <w:p w14:paraId="52D407F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19英寸机架安装</w:t>
            </w:r>
          </w:p>
        </w:tc>
        <w:tc>
          <w:tcPr>
            <w:tcW w:w="900" w:type="dxa"/>
            <w:noWrap w:val="0"/>
            <w:vAlign w:val="center"/>
          </w:tcPr>
          <w:p w14:paraId="1833BE8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14:paraId="1D3C8F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9" w:type="dxa"/>
            <w:vMerge w:val="continue"/>
            <w:noWrap w:val="0"/>
            <w:vAlign w:val="center"/>
          </w:tcPr>
          <w:p w14:paraId="7C5E3823">
            <w:pPr>
              <w:topLinePunct/>
              <w:snapToGrid w:val="0"/>
              <w:spacing w:before="60" w:after="60"/>
              <w:rPr>
                <w:rFonts w:hint="eastAsia" w:ascii="宋体" w:hAnsi="宋体" w:eastAsia="宋体" w:cs="宋体"/>
                <w:sz w:val="21"/>
                <w:szCs w:val="21"/>
              </w:rPr>
            </w:pPr>
          </w:p>
        </w:tc>
        <w:tc>
          <w:tcPr>
            <w:tcW w:w="1261" w:type="dxa"/>
            <w:vMerge w:val="continue"/>
            <w:noWrap w:val="0"/>
            <w:tcMar>
              <w:left w:w="57" w:type="dxa"/>
              <w:right w:w="57" w:type="dxa"/>
            </w:tcMar>
            <w:vAlign w:val="center"/>
          </w:tcPr>
          <w:p w14:paraId="185C3CD9">
            <w:pPr>
              <w:topLinePunct/>
              <w:snapToGrid w:val="0"/>
              <w:spacing w:before="60" w:after="60"/>
              <w:jc w:val="center"/>
              <w:rPr>
                <w:rFonts w:hint="eastAsia" w:ascii="宋体" w:hAnsi="宋体" w:eastAsia="宋体" w:cs="宋体"/>
                <w:sz w:val="21"/>
                <w:szCs w:val="21"/>
              </w:rPr>
            </w:pPr>
          </w:p>
        </w:tc>
        <w:tc>
          <w:tcPr>
            <w:tcW w:w="3462" w:type="dxa"/>
            <w:noWrap w:val="0"/>
            <w:tcMar>
              <w:left w:w="57" w:type="dxa"/>
              <w:right w:w="57" w:type="dxa"/>
            </w:tcMar>
            <w:vAlign w:val="center"/>
          </w:tcPr>
          <w:p w14:paraId="2517AA9F">
            <w:pPr>
              <w:topLinePunct/>
              <w:snapToGrid w:val="0"/>
              <w:spacing w:before="50" w:after="50"/>
              <w:jc w:val="center"/>
              <w:rPr>
                <w:rFonts w:hint="eastAsia" w:ascii="宋体" w:hAnsi="宋体" w:eastAsia="宋体" w:cs="宋体"/>
                <w:sz w:val="21"/>
                <w:szCs w:val="21"/>
              </w:rPr>
            </w:pPr>
            <w:r>
              <w:rPr>
                <w:rFonts w:hint="eastAsia" w:ascii="宋体" w:hAnsi="宋体" w:eastAsia="宋体" w:cs="宋体"/>
                <w:sz w:val="21"/>
                <w:szCs w:val="21"/>
              </w:rPr>
              <w:t>电源</w:t>
            </w:r>
          </w:p>
        </w:tc>
        <w:tc>
          <w:tcPr>
            <w:tcW w:w="2306" w:type="dxa"/>
            <w:noWrap w:val="0"/>
            <w:tcMar>
              <w:left w:w="57" w:type="dxa"/>
              <w:right w:w="57" w:type="dxa"/>
            </w:tcMar>
            <w:vAlign w:val="center"/>
          </w:tcPr>
          <w:p w14:paraId="12B8ACB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交直流可选，供货前确认</w:t>
            </w:r>
          </w:p>
        </w:tc>
        <w:tc>
          <w:tcPr>
            <w:tcW w:w="900" w:type="dxa"/>
            <w:noWrap w:val="0"/>
            <w:vAlign w:val="center"/>
          </w:tcPr>
          <w:p w14:paraId="198135D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14:paraId="291814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09" w:type="dxa"/>
            <w:vMerge w:val="continue"/>
            <w:noWrap w:val="0"/>
            <w:vAlign w:val="center"/>
          </w:tcPr>
          <w:p w14:paraId="7C657FF6">
            <w:pPr>
              <w:topLinePunct/>
              <w:snapToGrid w:val="0"/>
              <w:spacing w:before="60" w:after="60"/>
              <w:rPr>
                <w:rFonts w:hint="eastAsia" w:ascii="宋体" w:hAnsi="宋体" w:eastAsia="宋体" w:cs="宋体"/>
                <w:sz w:val="21"/>
                <w:szCs w:val="21"/>
              </w:rPr>
            </w:pPr>
          </w:p>
        </w:tc>
        <w:tc>
          <w:tcPr>
            <w:tcW w:w="1261" w:type="dxa"/>
            <w:vMerge w:val="continue"/>
            <w:noWrap w:val="0"/>
            <w:tcMar>
              <w:left w:w="57" w:type="dxa"/>
              <w:right w:w="57" w:type="dxa"/>
            </w:tcMar>
            <w:vAlign w:val="center"/>
          </w:tcPr>
          <w:p w14:paraId="0EEDFAAD">
            <w:pPr>
              <w:topLinePunct/>
              <w:snapToGrid w:val="0"/>
              <w:spacing w:before="60" w:after="60"/>
              <w:jc w:val="center"/>
              <w:rPr>
                <w:rFonts w:hint="eastAsia" w:ascii="宋体" w:hAnsi="宋体" w:eastAsia="宋体" w:cs="宋体"/>
                <w:sz w:val="21"/>
                <w:szCs w:val="21"/>
              </w:rPr>
            </w:pPr>
          </w:p>
        </w:tc>
        <w:tc>
          <w:tcPr>
            <w:tcW w:w="3462" w:type="dxa"/>
            <w:noWrap w:val="0"/>
            <w:tcMar>
              <w:left w:w="57" w:type="dxa"/>
              <w:right w:w="57" w:type="dxa"/>
            </w:tcMar>
            <w:vAlign w:val="center"/>
          </w:tcPr>
          <w:p w14:paraId="072F1D99">
            <w:pPr>
              <w:topLinePunct/>
              <w:snapToGrid w:val="0"/>
              <w:spacing w:before="50" w:after="50"/>
              <w:jc w:val="center"/>
              <w:rPr>
                <w:rFonts w:hint="eastAsia" w:ascii="宋体" w:hAnsi="宋体" w:eastAsia="宋体" w:cs="宋体"/>
                <w:sz w:val="21"/>
                <w:szCs w:val="21"/>
              </w:rPr>
            </w:pPr>
            <w:r>
              <w:rPr>
                <w:rFonts w:hint="eastAsia" w:ascii="宋体" w:hAnsi="宋体" w:eastAsia="宋体" w:cs="宋体"/>
                <w:sz w:val="21"/>
                <w:szCs w:val="21"/>
              </w:rPr>
              <w:t>最大功耗</w:t>
            </w:r>
          </w:p>
        </w:tc>
        <w:tc>
          <w:tcPr>
            <w:tcW w:w="2306" w:type="dxa"/>
            <w:noWrap w:val="0"/>
            <w:tcMar>
              <w:left w:w="57" w:type="dxa"/>
              <w:right w:w="57" w:type="dxa"/>
            </w:tcMar>
            <w:vAlign w:val="center"/>
          </w:tcPr>
          <w:p w14:paraId="178A0ED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由</w:t>
            </w:r>
            <w:r>
              <w:rPr>
                <w:rFonts w:hint="eastAsia" w:ascii="宋体" w:hAnsi="宋体" w:eastAsia="宋体" w:cs="宋体"/>
                <w:color w:val="000000"/>
                <w:sz w:val="21"/>
                <w:szCs w:val="21"/>
                <w:lang w:eastAsia="zh-CN"/>
              </w:rPr>
              <w:t>供应商</w:t>
            </w:r>
            <w:r>
              <w:rPr>
                <w:rFonts w:hint="eastAsia" w:ascii="宋体" w:hAnsi="宋体" w:eastAsia="宋体" w:cs="宋体"/>
                <w:color w:val="000000"/>
                <w:sz w:val="21"/>
                <w:szCs w:val="21"/>
              </w:rPr>
              <w:t>提供</w:t>
            </w:r>
          </w:p>
        </w:tc>
        <w:tc>
          <w:tcPr>
            <w:tcW w:w="900" w:type="dxa"/>
            <w:noWrap w:val="0"/>
            <w:vAlign w:val="center"/>
          </w:tcPr>
          <w:p w14:paraId="410C193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14:paraId="5A2144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09" w:type="dxa"/>
            <w:noWrap w:val="0"/>
            <w:vAlign w:val="center"/>
          </w:tcPr>
          <w:p w14:paraId="6CC35F75">
            <w:pPr>
              <w:topLinePunct/>
              <w:snapToGrid w:val="0"/>
              <w:spacing w:before="60" w:after="60"/>
              <w:jc w:val="center"/>
              <w:rPr>
                <w:rFonts w:hint="eastAsia" w:ascii="宋体" w:hAnsi="宋体" w:eastAsia="宋体" w:cs="宋体"/>
                <w:sz w:val="21"/>
                <w:szCs w:val="21"/>
              </w:rPr>
            </w:pPr>
            <w:r>
              <w:rPr>
                <w:rFonts w:hint="eastAsia" w:ascii="宋体" w:hAnsi="宋体" w:eastAsia="宋体" w:cs="宋体"/>
                <w:sz w:val="21"/>
                <w:szCs w:val="21"/>
              </w:rPr>
              <w:t>8</w:t>
            </w:r>
          </w:p>
        </w:tc>
        <w:tc>
          <w:tcPr>
            <w:tcW w:w="1261" w:type="dxa"/>
            <w:noWrap w:val="0"/>
            <w:tcMar>
              <w:left w:w="57" w:type="dxa"/>
              <w:right w:w="57" w:type="dxa"/>
            </w:tcMar>
            <w:vAlign w:val="center"/>
          </w:tcPr>
          <w:p w14:paraId="025FCCDE">
            <w:pPr>
              <w:topLinePunct/>
              <w:snapToGrid w:val="0"/>
              <w:spacing w:before="60" w:after="60"/>
              <w:jc w:val="center"/>
              <w:rPr>
                <w:rFonts w:hint="eastAsia" w:ascii="宋体" w:hAnsi="宋体" w:eastAsia="宋体" w:cs="宋体"/>
                <w:sz w:val="21"/>
                <w:szCs w:val="21"/>
              </w:rPr>
            </w:pPr>
            <w:r>
              <w:rPr>
                <w:rFonts w:hint="eastAsia" w:ascii="宋体" w:hAnsi="宋体" w:eastAsia="宋体" w:cs="宋体"/>
                <w:sz w:val="21"/>
                <w:szCs w:val="21"/>
              </w:rPr>
              <w:t>QOS</w:t>
            </w:r>
          </w:p>
        </w:tc>
        <w:tc>
          <w:tcPr>
            <w:tcW w:w="3462" w:type="dxa"/>
            <w:noWrap w:val="0"/>
            <w:tcMar>
              <w:left w:w="57" w:type="dxa"/>
              <w:right w:w="57" w:type="dxa"/>
            </w:tcMar>
            <w:vAlign w:val="center"/>
          </w:tcPr>
          <w:p w14:paraId="5736087B">
            <w:pPr>
              <w:spacing w:before="48" w:after="48" w:line="336" w:lineRule="auto"/>
              <w:jc w:val="center"/>
              <w:rPr>
                <w:rFonts w:hint="eastAsia" w:ascii="宋体" w:hAnsi="宋体" w:eastAsia="宋体" w:cs="宋体"/>
                <w:sz w:val="21"/>
                <w:szCs w:val="21"/>
              </w:rPr>
            </w:pPr>
            <w:r>
              <w:rPr>
                <w:rFonts w:hint="eastAsia" w:ascii="宋体" w:hAnsi="宋体" w:eastAsia="宋体" w:cs="宋体"/>
                <w:sz w:val="21"/>
                <w:szCs w:val="21"/>
              </w:rPr>
              <w:t>Dscp</w:t>
            </w:r>
          </w:p>
        </w:tc>
        <w:tc>
          <w:tcPr>
            <w:tcW w:w="2306" w:type="dxa"/>
            <w:noWrap w:val="0"/>
            <w:tcMar>
              <w:left w:w="57" w:type="dxa"/>
              <w:right w:w="57" w:type="dxa"/>
            </w:tcMar>
            <w:vAlign w:val="center"/>
          </w:tcPr>
          <w:p w14:paraId="11D24D0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支持</w:t>
            </w:r>
          </w:p>
        </w:tc>
        <w:tc>
          <w:tcPr>
            <w:tcW w:w="900" w:type="dxa"/>
            <w:noWrap w:val="0"/>
            <w:vAlign w:val="center"/>
          </w:tcPr>
          <w:p w14:paraId="4EC9EE5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14:paraId="578655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restart"/>
            <w:noWrap w:val="0"/>
            <w:vAlign w:val="center"/>
          </w:tcPr>
          <w:p w14:paraId="2FCEA024">
            <w:pPr>
              <w:topLinePunct/>
              <w:snapToGrid w:val="0"/>
              <w:spacing w:before="60" w:after="60"/>
              <w:jc w:val="center"/>
              <w:rPr>
                <w:rFonts w:hint="eastAsia" w:ascii="宋体" w:hAnsi="宋体" w:eastAsia="宋体" w:cs="宋体"/>
                <w:sz w:val="21"/>
                <w:szCs w:val="21"/>
              </w:rPr>
            </w:pPr>
            <w:r>
              <w:rPr>
                <w:rFonts w:hint="eastAsia" w:ascii="宋体" w:hAnsi="宋体" w:eastAsia="宋体" w:cs="宋体"/>
                <w:sz w:val="21"/>
                <w:szCs w:val="21"/>
              </w:rPr>
              <w:t>9</w:t>
            </w:r>
          </w:p>
        </w:tc>
        <w:tc>
          <w:tcPr>
            <w:tcW w:w="1261" w:type="dxa"/>
            <w:vMerge w:val="restart"/>
            <w:noWrap w:val="0"/>
            <w:tcMar>
              <w:left w:w="57" w:type="dxa"/>
              <w:right w:w="57" w:type="dxa"/>
            </w:tcMar>
            <w:vAlign w:val="center"/>
          </w:tcPr>
          <w:p w14:paraId="51C74EDA">
            <w:pPr>
              <w:topLinePunct/>
              <w:snapToGrid w:val="0"/>
              <w:spacing w:before="60" w:after="60"/>
              <w:jc w:val="center"/>
              <w:rPr>
                <w:rFonts w:hint="eastAsia" w:ascii="宋体" w:hAnsi="宋体" w:eastAsia="宋体" w:cs="宋体"/>
                <w:sz w:val="21"/>
                <w:szCs w:val="21"/>
              </w:rPr>
            </w:pPr>
            <w:r>
              <w:rPr>
                <w:rFonts w:hint="eastAsia" w:ascii="宋体" w:hAnsi="宋体" w:eastAsia="宋体" w:cs="宋体"/>
                <w:sz w:val="21"/>
                <w:szCs w:val="21"/>
              </w:rPr>
              <w:t>运维</w:t>
            </w:r>
          </w:p>
        </w:tc>
        <w:tc>
          <w:tcPr>
            <w:tcW w:w="3462" w:type="dxa"/>
            <w:noWrap w:val="0"/>
            <w:tcMar>
              <w:left w:w="57" w:type="dxa"/>
              <w:right w:w="57" w:type="dxa"/>
            </w:tcMar>
            <w:vAlign w:val="center"/>
          </w:tcPr>
          <w:p w14:paraId="63DB6CF1">
            <w:pPr>
              <w:spacing w:before="48" w:after="48" w:line="336" w:lineRule="auto"/>
              <w:jc w:val="center"/>
              <w:rPr>
                <w:rFonts w:hint="eastAsia" w:ascii="宋体" w:hAnsi="宋体" w:eastAsia="宋体" w:cs="宋体"/>
                <w:sz w:val="21"/>
                <w:szCs w:val="21"/>
              </w:rPr>
            </w:pPr>
            <w:r>
              <w:rPr>
                <w:rFonts w:hint="eastAsia" w:ascii="宋体" w:hAnsi="宋体" w:eastAsia="宋体" w:cs="宋体"/>
                <w:sz w:val="21"/>
                <w:szCs w:val="21"/>
              </w:rPr>
              <w:t>支持网管维护、WEB维护、串口维护、TELNET维护等</w:t>
            </w:r>
          </w:p>
        </w:tc>
        <w:tc>
          <w:tcPr>
            <w:tcW w:w="2306" w:type="dxa"/>
            <w:noWrap w:val="0"/>
            <w:tcMar>
              <w:left w:w="57" w:type="dxa"/>
              <w:right w:w="57" w:type="dxa"/>
            </w:tcMar>
            <w:vAlign w:val="center"/>
          </w:tcPr>
          <w:p w14:paraId="387F54EC">
            <w:pPr>
              <w:jc w:val="center"/>
              <w:rPr>
                <w:rFonts w:hint="eastAsia" w:ascii="宋体" w:hAnsi="宋体" w:eastAsia="宋体" w:cs="宋体"/>
                <w:color w:val="000000"/>
                <w:sz w:val="21"/>
                <w:szCs w:val="21"/>
              </w:rPr>
            </w:pPr>
            <w:r>
              <w:rPr>
                <w:rFonts w:hint="eastAsia" w:ascii="宋体" w:hAnsi="宋体" w:eastAsia="宋体" w:cs="宋体"/>
                <w:sz w:val="21"/>
                <w:szCs w:val="21"/>
              </w:rPr>
              <w:t>支持</w:t>
            </w:r>
          </w:p>
        </w:tc>
        <w:tc>
          <w:tcPr>
            <w:tcW w:w="900" w:type="dxa"/>
            <w:noWrap w:val="0"/>
            <w:vAlign w:val="center"/>
          </w:tcPr>
          <w:p w14:paraId="4CCD9AD0">
            <w:pPr>
              <w:jc w:val="center"/>
              <w:rPr>
                <w:rFonts w:hint="eastAsia" w:ascii="宋体" w:hAnsi="宋体" w:eastAsia="宋体" w:cs="宋体"/>
                <w:color w:val="000000"/>
                <w:sz w:val="21"/>
                <w:szCs w:val="21"/>
              </w:rPr>
            </w:pPr>
          </w:p>
        </w:tc>
      </w:tr>
      <w:tr w14:paraId="039107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continue"/>
            <w:noWrap w:val="0"/>
            <w:vAlign w:val="center"/>
          </w:tcPr>
          <w:p w14:paraId="2183C175">
            <w:pPr>
              <w:topLinePunct/>
              <w:snapToGrid w:val="0"/>
              <w:spacing w:before="60" w:after="60"/>
              <w:jc w:val="center"/>
              <w:rPr>
                <w:rFonts w:hint="eastAsia" w:ascii="宋体" w:hAnsi="宋体" w:eastAsia="宋体" w:cs="宋体"/>
                <w:sz w:val="21"/>
                <w:szCs w:val="21"/>
              </w:rPr>
            </w:pPr>
          </w:p>
        </w:tc>
        <w:tc>
          <w:tcPr>
            <w:tcW w:w="1261" w:type="dxa"/>
            <w:vMerge w:val="continue"/>
            <w:noWrap w:val="0"/>
            <w:tcMar>
              <w:left w:w="57" w:type="dxa"/>
              <w:right w:w="57" w:type="dxa"/>
            </w:tcMar>
            <w:vAlign w:val="center"/>
          </w:tcPr>
          <w:p w14:paraId="4FAB25EC">
            <w:pPr>
              <w:topLinePunct/>
              <w:snapToGrid w:val="0"/>
              <w:spacing w:before="60" w:after="60"/>
              <w:jc w:val="center"/>
              <w:rPr>
                <w:rFonts w:hint="eastAsia" w:ascii="宋体" w:hAnsi="宋体" w:eastAsia="宋体" w:cs="宋体"/>
                <w:sz w:val="21"/>
                <w:szCs w:val="21"/>
              </w:rPr>
            </w:pPr>
          </w:p>
        </w:tc>
        <w:tc>
          <w:tcPr>
            <w:tcW w:w="3462" w:type="dxa"/>
            <w:noWrap w:val="0"/>
            <w:tcMar>
              <w:left w:w="57" w:type="dxa"/>
              <w:right w:w="57" w:type="dxa"/>
            </w:tcMar>
            <w:vAlign w:val="center"/>
          </w:tcPr>
          <w:p w14:paraId="10E250FE">
            <w:pPr>
              <w:spacing w:before="48" w:after="48" w:line="336" w:lineRule="auto"/>
              <w:jc w:val="center"/>
              <w:rPr>
                <w:rFonts w:hint="eastAsia" w:ascii="宋体" w:hAnsi="宋体" w:eastAsia="宋体" w:cs="宋体"/>
                <w:sz w:val="21"/>
                <w:szCs w:val="21"/>
              </w:rPr>
            </w:pPr>
            <w:r>
              <w:rPr>
                <w:rFonts w:hint="eastAsia" w:ascii="宋体" w:hAnsi="宋体" w:eastAsia="宋体" w:cs="宋体"/>
                <w:sz w:val="21"/>
                <w:szCs w:val="21"/>
              </w:rPr>
              <w:t>提供本地维护和远程维护功能及相关接口</w:t>
            </w:r>
          </w:p>
        </w:tc>
        <w:tc>
          <w:tcPr>
            <w:tcW w:w="2306" w:type="dxa"/>
            <w:noWrap w:val="0"/>
            <w:tcMar>
              <w:left w:w="57" w:type="dxa"/>
              <w:right w:w="57" w:type="dxa"/>
            </w:tcMar>
            <w:vAlign w:val="center"/>
          </w:tcPr>
          <w:p w14:paraId="64EFBD7D">
            <w:pPr>
              <w:jc w:val="center"/>
              <w:rPr>
                <w:rFonts w:hint="eastAsia" w:ascii="宋体" w:hAnsi="宋体" w:eastAsia="宋体" w:cs="宋体"/>
                <w:color w:val="000000"/>
                <w:sz w:val="21"/>
                <w:szCs w:val="21"/>
              </w:rPr>
            </w:pPr>
            <w:r>
              <w:rPr>
                <w:rFonts w:hint="eastAsia" w:ascii="宋体" w:hAnsi="宋体" w:eastAsia="宋体" w:cs="宋体"/>
                <w:sz w:val="21"/>
                <w:szCs w:val="21"/>
              </w:rPr>
              <w:t>支持</w:t>
            </w:r>
          </w:p>
        </w:tc>
        <w:tc>
          <w:tcPr>
            <w:tcW w:w="900" w:type="dxa"/>
            <w:noWrap w:val="0"/>
            <w:vAlign w:val="center"/>
          </w:tcPr>
          <w:p w14:paraId="61E48680">
            <w:pPr>
              <w:jc w:val="center"/>
              <w:rPr>
                <w:rFonts w:hint="eastAsia" w:ascii="宋体" w:hAnsi="宋体" w:eastAsia="宋体" w:cs="宋体"/>
                <w:color w:val="000000"/>
                <w:sz w:val="21"/>
                <w:szCs w:val="21"/>
              </w:rPr>
            </w:pPr>
          </w:p>
        </w:tc>
      </w:tr>
      <w:tr w14:paraId="19CE66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continue"/>
            <w:noWrap w:val="0"/>
            <w:vAlign w:val="center"/>
          </w:tcPr>
          <w:p w14:paraId="0A33AA8C">
            <w:pPr>
              <w:topLinePunct/>
              <w:snapToGrid w:val="0"/>
              <w:spacing w:before="60" w:after="60"/>
              <w:jc w:val="center"/>
              <w:rPr>
                <w:rFonts w:hint="eastAsia" w:ascii="宋体" w:hAnsi="宋体" w:eastAsia="宋体" w:cs="宋体"/>
                <w:sz w:val="21"/>
                <w:szCs w:val="21"/>
              </w:rPr>
            </w:pPr>
          </w:p>
        </w:tc>
        <w:tc>
          <w:tcPr>
            <w:tcW w:w="1261" w:type="dxa"/>
            <w:vMerge w:val="continue"/>
            <w:noWrap w:val="0"/>
            <w:tcMar>
              <w:left w:w="57" w:type="dxa"/>
              <w:right w:w="57" w:type="dxa"/>
            </w:tcMar>
            <w:vAlign w:val="center"/>
          </w:tcPr>
          <w:p w14:paraId="06C929AB">
            <w:pPr>
              <w:topLinePunct/>
              <w:snapToGrid w:val="0"/>
              <w:spacing w:before="60" w:after="60"/>
              <w:jc w:val="center"/>
              <w:rPr>
                <w:rFonts w:hint="eastAsia" w:ascii="宋体" w:hAnsi="宋体" w:eastAsia="宋体" w:cs="宋体"/>
                <w:sz w:val="21"/>
                <w:szCs w:val="21"/>
              </w:rPr>
            </w:pPr>
          </w:p>
        </w:tc>
        <w:tc>
          <w:tcPr>
            <w:tcW w:w="3462" w:type="dxa"/>
            <w:noWrap w:val="0"/>
            <w:tcMar>
              <w:left w:w="57" w:type="dxa"/>
              <w:right w:w="57" w:type="dxa"/>
            </w:tcMar>
            <w:vAlign w:val="center"/>
          </w:tcPr>
          <w:p w14:paraId="555961E0">
            <w:pPr>
              <w:spacing w:before="48" w:after="48" w:line="336" w:lineRule="auto"/>
              <w:jc w:val="center"/>
              <w:rPr>
                <w:rFonts w:hint="eastAsia" w:ascii="宋体" w:hAnsi="宋体" w:eastAsia="宋体" w:cs="宋体"/>
                <w:sz w:val="21"/>
                <w:szCs w:val="21"/>
              </w:rPr>
            </w:pPr>
            <w:r>
              <w:rPr>
                <w:rFonts w:hint="eastAsia" w:ascii="宋体" w:hAnsi="宋体" w:eastAsia="宋体" w:cs="宋体"/>
                <w:sz w:val="21"/>
                <w:szCs w:val="21"/>
              </w:rPr>
              <w:t>测试和诊断</w:t>
            </w:r>
          </w:p>
        </w:tc>
        <w:tc>
          <w:tcPr>
            <w:tcW w:w="2306" w:type="dxa"/>
            <w:noWrap w:val="0"/>
            <w:tcMar>
              <w:left w:w="57" w:type="dxa"/>
              <w:right w:w="57" w:type="dxa"/>
            </w:tcMar>
            <w:vAlign w:val="center"/>
          </w:tcPr>
          <w:p w14:paraId="60A56F9A">
            <w:pPr>
              <w:jc w:val="center"/>
              <w:rPr>
                <w:rFonts w:hint="eastAsia" w:ascii="宋体" w:hAnsi="宋体" w:eastAsia="宋体" w:cs="宋体"/>
                <w:color w:val="000000"/>
                <w:sz w:val="21"/>
                <w:szCs w:val="21"/>
              </w:rPr>
            </w:pPr>
            <w:r>
              <w:rPr>
                <w:rFonts w:hint="eastAsia" w:ascii="宋体" w:hAnsi="宋体" w:eastAsia="宋体" w:cs="宋体"/>
                <w:sz w:val="21"/>
                <w:szCs w:val="21"/>
              </w:rPr>
              <w:t>支持</w:t>
            </w:r>
          </w:p>
        </w:tc>
        <w:tc>
          <w:tcPr>
            <w:tcW w:w="900" w:type="dxa"/>
            <w:noWrap w:val="0"/>
            <w:vAlign w:val="center"/>
          </w:tcPr>
          <w:p w14:paraId="4160ECDE">
            <w:pPr>
              <w:jc w:val="center"/>
              <w:rPr>
                <w:rFonts w:hint="eastAsia" w:ascii="宋体" w:hAnsi="宋体" w:eastAsia="宋体" w:cs="宋体"/>
                <w:color w:val="000000"/>
                <w:sz w:val="21"/>
                <w:szCs w:val="21"/>
              </w:rPr>
            </w:pPr>
          </w:p>
        </w:tc>
      </w:tr>
      <w:tr w14:paraId="60589A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continue"/>
            <w:noWrap w:val="0"/>
            <w:vAlign w:val="center"/>
          </w:tcPr>
          <w:p w14:paraId="0B561434">
            <w:pPr>
              <w:topLinePunct/>
              <w:snapToGrid w:val="0"/>
              <w:spacing w:before="60" w:after="60"/>
              <w:jc w:val="center"/>
              <w:rPr>
                <w:rFonts w:hint="eastAsia" w:ascii="宋体" w:hAnsi="宋体" w:eastAsia="宋体" w:cs="宋体"/>
                <w:sz w:val="21"/>
                <w:szCs w:val="21"/>
              </w:rPr>
            </w:pPr>
          </w:p>
        </w:tc>
        <w:tc>
          <w:tcPr>
            <w:tcW w:w="1261" w:type="dxa"/>
            <w:vMerge w:val="continue"/>
            <w:noWrap w:val="0"/>
            <w:tcMar>
              <w:left w:w="57" w:type="dxa"/>
              <w:right w:w="57" w:type="dxa"/>
            </w:tcMar>
            <w:vAlign w:val="center"/>
          </w:tcPr>
          <w:p w14:paraId="29187A6B">
            <w:pPr>
              <w:topLinePunct/>
              <w:snapToGrid w:val="0"/>
              <w:spacing w:before="60" w:after="60"/>
              <w:jc w:val="center"/>
              <w:rPr>
                <w:rFonts w:hint="eastAsia" w:ascii="宋体" w:hAnsi="宋体" w:eastAsia="宋体" w:cs="宋体"/>
                <w:sz w:val="21"/>
                <w:szCs w:val="21"/>
              </w:rPr>
            </w:pPr>
          </w:p>
        </w:tc>
        <w:tc>
          <w:tcPr>
            <w:tcW w:w="3462" w:type="dxa"/>
            <w:noWrap w:val="0"/>
            <w:tcMar>
              <w:left w:w="57" w:type="dxa"/>
              <w:right w:w="57" w:type="dxa"/>
            </w:tcMar>
            <w:vAlign w:val="center"/>
          </w:tcPr>
          <w:p w14:paraId="0A30B9DC">
            <w:pPr>
              <w:spacing w:before="48" w:after="48" w:line="336" w:lineRule="auto"/>
              <w:jc w:val="center"/>
              <w:rPr>
                <w:rFonts w:hint="eastAsia" w:ascii="宋体" w:hAnsi="宋体" w:eastAsia="宋体" w:cs="宋体"/>
                <w:sz w:val="21"/>
                <w:szCs w:val="21"/>
              </w:rPr>
            </w:pPr>
            <w:r>
              <w:rPr>
                <w:rFonts w:hint="eastAsia" w:ascii="宋体" w:hAnsi="宋体" w:eastAsia="宋体" w:cs="宋体"/>
                <w:sz w:val="21"/>
                <w:szCs w:val="21"/>
              </w:rPr>
              <w:t>设备数据配置</w:t>
            </w:r>
          </w:p>
        </w:tc>
        <w:tc>
          <w:tcPr>
            <w:tcW w:w="2306" w:type="dxa"/>
            <w:noWrap w:val="0"/>
            <w:tcMar>
              <w:left w:w="57" w:type="dxa"/>
              <w:right w:w="57" w:type="dxa"/>
            </w:tcMar>
            <w:vAlign w:val="center"/>
          </w:tcPr>
          <w:p w14:paraId="22E15A95">
            <w:pPr>
              <w:jc w:val="center"/>
              <w:rPr>
                <w:rFonts w:hint="eastAsia" w:ascii="宋体" w:hAnsi="宋体" w:eastAsia="宋体" w:cs="宋体"/>
                <w:color w:val="000000"/>
                <w:sz w:val="21"/>
                <w:szCs w:val="21"/>
              </w:rPr>
            </w:pPr>
            <w:r>
              <w:rPr>
                <w:rFonts w:hint="eastAsia" w:ascii="宋体" w:hAnsi="宋体" w:eastAsia="宋体" w:cs="宋体"/>
                <w:sz w:val="21"/>
                <w:szCs w:val="21"/>
              </w:rPr>
              <w:t>支持</w:t>
            </w:r>
          </w:p>
        </w:tc>
        <w:tc>
          <w:tcPr>
            <w:tcW w:w="900" w:type="dxa"/>
            <w:noWrap w:val="0"/>
            <w:vAlign w:val="center"/>
          </w:tcPr>
          <w:p w14:paraId="3943B7DF">
            <w:pPr>
              <w:jc w:val="center"/>
              <w:rPr>
                <w:rFonts w:hint="eastAsia" w:ascii="宋体" w:hAnsi="宋体" w:eastAsia="宋体" w:cs="宋体"/>
                <w:color w:val="000000"/>
                <w:sz w:val="21"/>
                <w:szCs w:val="21"/>
              </w:rPr>
            </w:pPr>
          </w:p>
        </w:tc>
      </w:tr>
      <w:tr w14:paraId="30E8E7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vMerge w:val="continue"/>
            <w:noWrap w:val="0"/>
            <w:vAlign w:val="center"/>
          </w:tcPr>
          <w:p w14:paraId="43E6010C">
            <w:pPr>
              <w:topLinePunct/>
              <w:snapToGrid w:val="0"/>
              <w:spacing w:before="60" w:after="60"/>
              <w:jc w:val="center"/>
              <w:rPr>
                <w:rFonts w:hint="eastAsia" w:ascii="宋体" w:hAnsi="宋体" w:eastAsia="宋体" w:cs="宋体"/>
                <w:sz w:val="21"/>
                <w:szCs w:val="21"/>
              </w:rPr>
            </w:pPr>
          </w:p>
        </w:tc>
        <w:tc>
          <w:tcPr>
            <w:tcW w:w="1261" w:type="dxa"/>
            <w:vMerge w:val="continue"/>
            <w:noWrap w:val="0"/>
            <w:tcMar>
              <w:left w:w="57" w:type="dxa"/>
              <w:right w:w="57" w:type="dxa"/>
            </w:tcMar>
            <w:vAlign w:val="center"/>
          </w:tcPr>
          <w:p w14:paraId="2A9D23C6">
            <w:pPr>
              <w:topLinePunct/>
              <w:snapToGrid w:val="0"/>
              <w:spacing w:before="60" w:after="60"/>
              <w:jc w:val="center"/>
              <w:rPr>
                <w:rFonts w:hint="eastAsia" w:ascii="宋体" w:hAnsi="宋体" w:eastAsia="宋体" w:cs="宋体"/>
                <w:sz w:val="21"/>
                <w:szCs w:val="21"/>
              </w:rPr>
            </w:pPr>
          </w:p>
        </w:tc>
        <w:tc>
          <w:tcPr>
            <w:tcW w:w="3462" w:type="dxa"/>
            <w:noWrap w:val="0"/>
            <w:tcMar>
              <w:left w:w="57" w:type="dxa"/>
              <w:right w:w="57" w:type="dxa"/>
            </w:tcMar>
            <w:vAlign w:val="center"/>
          </w:tcPr>
          <w:p w14:paraId="0C86FDB1">
            <w:pPr>
              <w:spacing w:before="48" w:after="48" w:line="336" w:lineRule="auto"/>
              <w:jc w:val="center"/>
              <w:rPr>
                <w:rFonts w:hint="eastAsia" w:ascii="宋体" w:hAnsi="宋体" w:eastAsia="宋体" w:cs="宋体"/>
                <w:sz w:val="21"/>
                <w:szCs w:val="21"/>
              </w:rPr>
            </w:pPr>
            <w:r>
              <w:rPr>
                <w:rFonts w:hint="eastAsia" w:ascii="宋体" w:hAnsi="宋体" w:eastAsia="宋体" w:cs="宋体"/>
                <w:sz w:val="21"/>
                <w:szCs w:val="21"/>
              </w:rPr>
              <w:t>权限管理</w:t>
            </w:r>
          </w:p>
        </w:tc>
        <w:tc>
          <w:tcPr>
            <w:tcW w:w="2306" w:type="dxa"/>
            <w:noWrap w:val="0"/>
            <w:tcMar>
              <w:left w:w="57" w:type="dxa"/>
              <w:right w:w="57" w:type="dxa"/>
            </w:tcMar>
            <w:vAlign w:val="center"/>
          </w:tcPr>
          <w:p w14:paraId="75CCC914">
            <w:pPr>
              <w:jc w:val="center"/>
              <w:rPr>
                <w:rFonts w:hint="eastAsia" w:ascii="宋体" w:hAnsi="宋体" w:eastAsia="宋体" w:cs="宋体"/>
                <w:sz w:val="21"/>
                <w:szCs w:val="21"/>
              </w:rPr>
            </w:pPr>
            <w:r>
              <w:rPr>
                <w:rFonts w:hint="eastAsia" w:ascii="宋体" w:hAnsi="宋体" w:eastAsia="宋体" w:cs="宋体"/>
                <w:sz w:val="21"/>
                <w:szCs w:val="21"/>
              </w:rPr>
              <w:t>支持</w:t>
            </w:r>
          </w:p>
        </w:tc>
        <w:tc>
          <w:tcPr>
            <w:tcW w:w="900" w:type="dxa"/>
            <w:noWrap w:val="0"/>
            <w:vAlign w:val="center"/>
          </w:tcPr>
          <w:p w14:paraId="0E02F661">
            <w:pPr>
              <w:jc w:val="center"/>
              <w:rPr>
                <w:rFonts w:hint="eastAsia" w:ascii="宋体" w:hAnsi="宋体" w:eastAsia="宋体" w:cs="宋体"/>
                <w:color w:val="000000"/>
                <w:sz w:val="21"/>
                <w:szCs w:val="21"/>
              </w:rPr>
            </w:pPr>
          </w:p>
        </w:tc>
      </w:tr>
      <w:tr w14:paraId="309927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159301BF">
            <w:pPr>
              <w:topLinePunct/>
              <w:snapToGrid w:val="0"/>
              <w:spacing w:before="60" w:after="6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261" w:type="dxa"/>
            <w:noWrap w:val="0"/>
            <w:tcMar>
              <w:left w:w="57" w:type="dxa"/>
              <w:right w:w="57" w:type="dxa"/>
            </w:tcMar>
            <w:vAlign w:val="center"/>
          </w:tcPr>
          <w:p w14:paraId="62D2B373">
            <w:pPr>
              <w:topLinePunct/>
              <w:snapToGrid w:val="0"/>
              <w:spacing w:before="60" w:after="60"/>
              <w:jc w:val="center"/>
              <w:rPr>
                <w:rFonts w:hint="eastAsia" w:ascii="宋体" w:hAnsi="宋体" w:eastAsia="宋体" w:cs="宋体"/>
                <w:sz w:val="21"/>
                <w:szCs w:val="21"/>
              </w:rPr>
            </w:pPr>
            <w:r>
              <w:rPr>
                <w:rFonts w:hint="eastAsia" w:ascii="宋体" w:hAnsi="宋体" w:eastAsia="宋体" w:cs="宋体"/>
                <w:kern w:val="0"/>
                <w:sz w:val="21"/>
                <w:szCs w:val="21"/>
                <w:lang w:val="en-US" w:eastAsia="zh-CN"/>
              </w:rPr>
              <w:t>I</w:t>
            </w:r>
            <w:r>
              <w:rPr>
                <w:rFonts w:hint="eastAsia" w:ascii="宋体" w:hAnsi="宋体" w:eastAsia="宋体" w:cs="宋体"/>
                <w:kern w:val="0"/>
                <w:sz w:val="21"/>
                <w:szCs w:val="21"/>
              </w:rPr>
              <w:t>P放号板</w:t>
            </w:r>
          </w:p>
        </w:tc>
        <w:tc>
          <w:tcPr>
            <w:tcW w:w="3462" w:type="dxa"/>
            <w:noWrap w:val="0"/>
            <w:tcMar>
              <w:left w:w="57" w:type="dxa"/>
              <w:right w:w="57" w:type="dxa"/>
            </w:tcMar>
            <w:vAlign w:val="center"/>
          </w:tcPr>
          <w:p w14:paraId="31D8A370">
            <w:pPr>
              <w:spacing w:before="48" w:after="48" w:line="336" w:lineRule="auto"/>
              <w:jc w:val="center"/>
              <w:rPr>
                <w:rFonts w:hint="eastAsia" w:ascii="宋体" w:hAnsi="宋体" w:eastAsia="宋体" w:cs="宋体"/>
                <w:sz w:val="21"/>
                <w:szCs w:val="21"/>
              </w:rPr>
            </w:pPr>
            <w:r>
              <w:rPr>
                <w:rFonts w:hint="eastAsia" w:ascii="宋体" w:hAnsi="宋体" w:eastAsia="宋体" w:cs="宋体"/>
                <w:kern w:val="0"/>
                <w:sz w:val="21"/>
                <w:szCs w:val="21"/>
              </w:rPr>
              <w:t>保证能插入福建省现网运行的通信调度交换机中实现正常放号功能，单板支持128路放号</w:t>
            </w:r>
          </w:p>
        </w:tc>
        <w:tc>
          <w:tcPr>
            <w:tcW w:w="2306" w:type="dxa"/>
            <w:noWrap w:val="0"/>
            <w:tcMar>
              <w:left w:w="57" w:type="dxa"/>
              <w:right w:w="57" w:type="dxa"/>
            </w:tcMar>
            <w:vAlign w:val="center"/>
          </w:tcPr>
          <w:p w14:paraId="7DD0A945">
            <w:pPr>
              <w:jc w:val="center"/>
              <w:rPr>
                <w:rFonts w:hint="eastAsia" w:ascii="宋体" w:hAnsi="宋体" w:eastAsia="宋体" w:cs="宋体"/>
                <w:sz w:val="21"/>
                <w:szCs w:val="21"/>
              </w:rPr>
            </w:pPr>
          </w:p>
        </w:tc>
        <w:tc>
          <w:tcPr>
            <w:tcW w:w="900" w:type="dxa"/>
            <w:noWrap w:val="0"/>
            <w:vAlign w:val="center"/>
          </w:tcPr>
          <w:p w14:paraId="20B92F0D">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1块</w:t>
            </w:r>
          </w:p>
        </w:tc>
      </w:tr>
    </w:tbl>
    <w:p w14:paraId="0EA0EAB5">
      <w:pPr>
        <w:pStyle w:val="218"/>
        <w:numPr>
          <w:ilvl w:val="0"/>
          <w:numId w:val="0"/>
        </w:numPr>
        <w:spacing w:line="360" w:lineRule="auto"/>
        <w:ind w:left="284" w:leftChars="0" w:right="-105" w:rightChars="-50"/>
        <w:outlineLvl w:val="9"/>
        <w:rPr>
          <w:rFonts w:hint="eastAsia" w:ascii="宋体" w:hAnsi="宋体" w:eastAsia="宋体" w:cs="宋体"/>
          <w:b/>
          <w:bCs/>
          <w:kern w:val="0"/>
          <w:sz w:val="24"/>
        </w:rPr>
      </w:pPr>
    </w:p>
    <w:p w14:paraId="5340DAB5">
      <w:pPr>
        <w:pStyle w:val="218"/>
        <w:numPr>
          <w:ilvl w:val="0"/>
          <w:numId w:val="30"/>
        </w:numPr>
        <w:spacing w:line="360" w:lineRule="auto"/>
        <w:ind w:right="-105" w:rightChars="-50"/>
        <w:outlineLvl w:val="9"/>
        <w:rPr>
          <w:rFonts w:hint="eastAsia" w:ascii="宋体" w:hAnsi="宋体" w:eastAsia="宋体" w:cs="宋体"/>
          <w:b/>
          <w:bCs/>
          <w:kern w:val="0"/>
          <w:sz w:val="24"/>
        </w:rPr>
      </w:pPr>
      <w:r>
        <w:rPr>
          <w:rFonts w:hint="eastAsia" w:ascii="宋体" w:hAnsi="宋体" w:eastAsia="宋体" w:cs="宋体"/>
          <w:b/>
          <w:bCs/>
          <w:kern w:val="0"/>
          <w:sz w:val="24"/>
        </w:rPr>
        <w:t>调度数据网</w:t>
      </w:r>
    </w:p>
    <w:p w14:paraId="51B28246">
      <w:pPr>
        <w:pStyle w:val="218"/>
        <w:numPr>
          <w:ilvl w:val="2"/>
          <w:numId w:val="31"/>
        </w:numPr>
        <w:spacing w:line="360" w:lineRule="auto"/>
        <w:outlineLvl w:val="9"/>
        <w:rPr>
          <w:rFonts w:hint="eastAsia" w:ascii="宋体" w:hAnsi="宋体" w:eastAsia="宋体" w:cs="宋体"/>
          <w:b/>
          <w:bCs/>
          <w:kern w:val="0"/>
          <w:sz w:val="24"/>
        </w:rPr>
      </w:pPr>
      <w:bookmarkStart w:id="218" w:name="_Hlk118452084"/>
      <w:r>
        <w:rPr>
          <w:rFonts w:hint="eastAsia" w:ascii="宋体" w:hAnsi="宋体" w:eastAsia="宋体" w:cs="宋体"/>
          <w:b/>
          <w:bCs/>
          <w:kern w:val="0"/>
          <w:sz w:val="24"/>
        </w:rPr>
        <w:t>调度数据网</w:t>
      </w:r>
      <w:r>
        <w:rPr>
          <w:rFonts w:hint="eastAsia" w:ascii="宋体" w:hAnsi="宋体" w:eastAsia="宋体" w:cs="宋体"/>
          <w:b/>
          <w:bCs/>
          <w:kern w:val="0"/>
          <w:sz w:val="24"/>
          <w:lang w:val="en-US" w:eastAsia="zh-CN"/>
        </w:rPr>
        <w:t>路由器</w:t>
      </w:r>
      <w:r>
        <w:rPr>
          <w:rFonts w:hint="eastAsia" w:ascii="宋体" w:hAnsi="宋体" w:eastAsia="宋体" w:cs="宋体"/>
          <w:b/>
          <w:bCs/>
          <w:kern w:val="0"/>
          <w:sz w:val="24"/>
        </w:rPr>
        <w:t>设备</w:t>
      </w:r>
    </w:p>
    <w:tbl>
      <w:tblPr>
        <w:tblStyle w:val="43"/>
        <w:tblW w:w="9185" w:type="dxa"/>
        <w:jc w:val="center"/>
        <w:tblLayout w:type="fixed"/>
        <w:tblCellMar>
          <w:top w:w="0" w:type="dxa"/>
          <w:left w:w="0" w:type="dxa"/>
          <w:bottom w:w="0" w:type="dxa"/>
          <w:right w:w="0" w:type="dxa"/>
        </w:tblCellMar>
      </w:tblPr>
      <w:tblGrid>
        <w:gridCol w:w="1515"/>
        <w:gridCol w:w="7670"/>
      </w:tblGrid>
      <w:tr w14:paraId="08E4EA94">
        <w:tblPrEx>
          <w:tblCellMar>
            <w:top w:w="0" w:type="dxa"/>
            <w:left w:w="0" w:type="dxa"/>
            <w:bottom w:w="0" w:type="dxa"/>
            <w:right w:w="0" w:type="dxa"/>
          </w:tblCellMar>
        </w:tblPrEx>
        <w:trPr>
          <w:jc w:val="center"/>
        </w:trPr>
        <w:tc>
          <w:tcPr>
            <w:tcW w:w="1515" w:type="dxa"/>
            <w:tcBorders>
              <w:top w:val="single" w:color="auto" w:sz="8" w:space="0"/>
              <w:left w:val="single" w:color="auto" w:sz="8" w:space="0"/>
              <w:bottom w:val="single" w:color="auto" w:sz="8" w:space="0"/>
              <w:right w:val="single" w:color="auto" w:sz="8" w:space="0"/>
            </w:tcBorders>
            <w:shd w:val="clear" w:color="auto" w:fill="AEAAAA" w:themeFill="background2" w:themeFillShade="BF"/>
            <w:tcMar>
              <w:top w:w="0" w:type="dxa"/>
              <w:left w:w="108" w:type="dxa"/>
              <w:bottom w:w="0" w:type="dxa"/>
              <w:right w:w="108" w:type="dxa"/>
            </w:tcMar>
          </w:tcPr>
          <w:p w14:paraId="65302835">
            <w:pPr>
              <w:spacing w:line="360" w:lineRule="auto"/>
              <w:jc w:val="center"/>
              <w:rPr>
                <w:rFonts w:hint="eastAsia" w:ascii="宋体" w:hAnsi="宋体" w:eastAsia="宋体" w:cs="宋体"/>
                <w:b/>
                <w:bCs/>
                <w:color w:val="000000"/>
                <w:szCs w:val="21"/>
              </w:rPr>
            </w:pPr>
            <w:r>
              <w:rPr>
                <w:rFonts w:hint="eastAsia" w:ascii="宋体" w:hAnsi="宋体" w:eastAsia="宋体" w:cs="宋体"/>
                <w:b/>
                <w:bCs/>
                <w:kern w:val="0"/>
                <w:szCs w:val="21"/>
              </w:rPr>
              <w:t>产品要求</w:t>
            </w:r>
          </w:p>
        </w:tc>
        <w:tc>
          <w:tcPr>
            <w:tcW w:w="7670" w:type="dxa"/>
            <w:tcBorders>
              <w:top w:val="single" w:color="auto" w:sz="8" w:space="0"/>
              <w:left w:val="nil"/>
              <w:bottom w:val="single" w:color="auto" w:sz="8" w:space="0"/>
              <w:right w:val="single" w:color="auto" w:sz="8" w:space="0"/>
            </w:tcBorders>
            <w:shd w:val="clear" w:color="auto" w:fill="AEAAAA" w:themeFill="background2" w:themeFillShade="BF"/>
            <w:tcMar>
              <w:top w:w="0" w:type="dxa"/>
              <w:left w:w="108" w:type="dxa"/>
              <w:bottom w:w="0" w:type="dxa"/>
              <w:right w:w="108" w:type="dxa"/>
            </w:tcMar>
          </w:tcPr>
          <w:p w14:paraId="34E45CEA">
            <w:pPr>
              <w:spacing w:line="360" w:lineRule="auto"/>
              <w:jc w:val="center"/>
              <w:rPr>
                <w:rFonts w:hint="eastAsia" w:ascii="宋体" w:hAnsi="宋体" w:eastAsia="宋体" w:cs="宋体"/>
                <w:b/>
                <w:bCs/>
                <w:color w:val="000000"/>
                <w:szCs w:val="21"/>
              </w:rPr>
            </w:pPr>
            <w:r>
              <w:rPr>
                <w:rFonts w:hint="eastAsia" w:ascii="宋体" w:hAnsi="宋体" w:eastAsia="宋体" w:cs="宋体"/>
                <w:b/>
                <w:bCs/>
                <w:kern w:val="0"/>
                <w:szCs w:val="21"/>
              </w:rPr>
              <w:t>详细说明</w:t>
            </w:r>
          </w:p>
        </w:tc>
      </w:tr>
      <w:tr w14:paraId="6B8D5F58">
        <w:tblPrEx>
          <w:tblCellMar>
            <w:top w:w="0" w:type="dxa"/>
            <w:left w:w="0" w:type="dxa"/>
            <w:bottom w:w="0" w:type="dxa"/>
            <w:right w:w="0" w:type="dxa"/>
          </w:tblCellMar>
        </w:tblPrEx>
        <w:trPr>
          <w:jc w:val="center"/>
        </w:trPr>
        <w:tc>
          <w:tcPr>
            <w:tcW w:w="15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DC02997">
            <w:pPr>
              <w:spacing w:line="360" w:lineRule="auto"/>
              <w:jc w:val="center"/>
              <w:rPr>
                <w:rFonts w:hint="eastAsia" w:ascii="宋体" w:hAnsi="宋体" w:eastAsia="宋体" w:cs="宋体"/>
                <w:b/>
                <w:bCs/>
                <w:color w:val="000000"/>
                <w:szCs w:val="21"/>
              </w:rPr>
            </w:pPr>
            <w:r>
              <w:rPr>
                <w:rFonts w:hint="eastAsia" w:ascii="宋体" w:hAnsi="宋体" w:eastAsia="宋体" w:cs="宋体"/>
                <w:b/>
                <w:bCs/>
                <w:color w:val="000000"/>
                <w:szCs w:val="21"/>
              </w:rPr>
              <w:t>固定接口数目</w:t>
            </w:r>
          </w:p>
        </w:tc>
        <w:tc>
          <w:tcPr>
            <w:tcW w:w="7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0EDE7ACA">
            <w:pPr>
              <w:spacing w:line="360" w:lineRule="auto"/>
              <w:rPr>
                <w:rFonts w:hint="eastAsia" w:ascii="宋体" w:hAnsi="宋体" w:eastAsia="宋体" w:cs="宋体"/>
                <w:color w:val="000000"/>
                <w:szCs w:val="21"/>
              </w:rPr>
            </w:pPr>
            <w:r>
              <w:rPr>
                <w:rFonts w:hint="eastAsia" w:ascii="宋体" w:hAnsi="宋体" w:eastAsia="宋体" w:cs="宋体"/>
                <w:color w:val="000000"/>
                <w:szCs w:val="21"/>
              </w:rPr>
              <w:t>≥3GE（2Combo）</w:t>
            </w:r>
          </w:p>
        </w:tc>
      </w:tr>
      <w:tr w14:paraId="5836093A">
        <w:tblPrEx>
          <w:tblCellMar>
            <w:top w:w="0" w:type="dxa"/>
            <w:left w:w="0" w:type="dxa"/>
            <w:bottom w:w="0" w:type="dxa"/>
            <w:right w:w="0" w:type="dxa"/>
          </w:tblCellMar>
        </w:tblPrEx>
        <w:trPr>
          <w:jc w:val="center"/>
        </w:trPr>
        <w:tc>
          <w:tcPr>
            <w:tcW w:w="15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3DEC31B">
            <w:pPr>
              <w:spacing w:line="360" w:lineRule="auto"/>
              <w:jc w:val="center"/>
              <w:rPr>
                <w:rFonts w:hint="eastAsia" w:ascii="宋体" w:hAnsi="宋体" w:eastAsia="宋体" w:cs="宋体"/>
                <w:b/>
                <w:bCs/>
                <w:color w:val="000000"/>
                <w:szCs w:val="21"/>
              </w:rPr>
            </w:pPr>
            <w:r>
              <w:rPr>
                <w:rFonts w:hint="eastAsia" w:ascii="宋体" w:hAnsi="宋体" w:eastAsia="宋体" w:cs="宋体"/>
                <w:b/>
                <w:bCs/>
                <w:color w:val="000000"/>
                <w:szCs w:val="21"/>
              </w:rPr>
              <w:t>性能</w:t>
            </w:r>
          </w:p>
        </w:tc>
        <w:tc>
          <w:tcPr>
            <w:tcW w:w="7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59349E24">
            <w:pPr>
              <w:spacing w:line="360" w:lineRule="auto"/>
              <w:rPr>
                <w:rFonts w:hint="eastAsia" w:ascii="宋体" w:hAnsi="宋体" w:eastAsia="宋体" w:cs="宋体"/>
                <w:color w:val="000000"/>
                <w:szCs w:val="21"/>
              </w:rPr>
            </w:pPr>
            <w:r>
              <w:rPr>
                <w:rFonts w:hint="eastAsia" w:ascii="宋体" w:hAnsi="宋体" w:eastAsia="宋体" w:cs="宋体"/>
                <w:color w:val="000000"/>
                <w:szCs w:val="21"/>
              </w:rPr>
              <w:t>IPv4包转发≥6Mpps</w:t>
            </w:r>
          </w:p>
          <w:p w14:paraId="126FA012">
            <w:pPr>
              <w:spacing w:line="360" w:lineRule="auto"/>
              <w:rPr>
                <w:rFonts w:hint="eastAsia" w:ascii="宋体" w:hAnsi="宋体" w:eastAsia="宋体" w:cs="宋体"/>
                <w:color w:val="000000"/>
                <w:szCs w:val="21"/>
              </w:rPr>
            </w:pPr>
            <w:r>
              <w:rPr>
                <w:rFonts w:hint="eastAsia" w:ascii="宋体" w:hAnsi="宋体" w:eastAsia="宋体" w:cs="宋体"/>
                <w:color w:val="000000"/>
                <w:szCs w:val="21"/>
              </w:rPr>
              <w:t>带业务的IPv4性能（IMIX）≥2Gbps</w:t>
            </w:r>
          </w:p>
        </w:tc>
      </w:tr>
      <w:tr w14:paraId="31DE517D">
        <w:tblPrEx>
          <w:tblCellMar>
            <w:top w:w="0" w:type="dxa"/>
            <w:left w:w="0" w:type="dxa"/>
            <w:bottom w:w="0" w:type="dxa"/>
            <w:right w:w="0" w:type="dxa"/>
          </w:tblCellMar>
        </w:tblPrEx>
        <w:trPr>
          <w:jc w:val="center"/>
        </w:trPr>
        <w:tc>
          <w:tcPr>
            <w:tcW w:w="15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A03C6F9">
            <w:pPr>
              <w:spacing w:line="360" w:lineRule="auto"/>
              <w:jc w:val="center"/>
              <w:rPr>
                <w:rFonts w:hint="eastAsia" w:ascii="宋体" w:hAnsi="宋体" w:eastAsia="宋体" w:cs="宋体"/>
                <w:b/>
                <w:bCs/>
                <w:color w:val="000000"/>
                <w:szCs w:val="21"/>
              </w:rPr>
            </w:pPr>
            <w:r>
              <w:rPr>
                <w:rFonts w:hint="eastAsia" w:ascii="宋体" w:hAnsi="宋体" w:eastAsia="宋体" w:cs="宋体"/>
                <w:b/>
                <w:bCs/>
                <w:color w:val="000000"/>
                <w:szCs w:val="21"/>
              </w:rPr>
              <w:t>扩展插槽</w:t>
            </w:r>
          </w:p>
        </w:tc>
        <w:tc>
          <w:tcPr>
            <w:tcW w:w="7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79265D05">
            <w:pPr>
              <w:spacing w:line="360" w:lineRule="auto"/>
              <w:rPr>
                <w:rFonts w:hint="eastAsia" w:ascii="宋体" w:hAnsi="宋体" w:eastAsia="宋体" w:cs="宋体"/>
                <w:color w:val="000000"/>
                <w:szCs w:val="21"/>
              </w:rPr>
            </w:pPr>
            <w:r>
              <w:rPr>
                <w:rFonts w:hint="eastAsia" w:ascii="宋体" w:hAnsi="宋体" w:eastAsia="宋体" w:cs="宋体"/>
                <w:color w:val="000000"/>
                <w:szCs w:val="21"/>
              </w:rPr>
              <w:t>接口模块插槽≥8个</w:t>
            </w:r>
          </w:p>
        </w:tc>
      </w:tr>
      <w:tr w14:paraId="4E60C8C2">
        <w:tblPrEx>
          <w:tblCellMar>
            <w:top w:w="0" w:type="dxa"/>
            <w:left w:w="0" w:type="dxa"/>
            <w:bottom w:w="0" w:type="dxa"/>
            <w:right w:w="0" w:type="dxa"/>
          </w:tblCellMar>
        </w:tblPrEx>
        <w:trPr>
          <w:jc w:val="center"/>
        </w:trPr>
        <w:tc>
          <w:tcPr>
            <w:tcW w:w="15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EFAF2C">
            <w:pPr>
              <w:spacing w:line="360" w:lineRule="auto"/>
              <w:jc w:val="center"/>
              <w:rPr>
                <w:rFonts w:hint="eastAsia" w:ascii="宋体" w:hAnsi="宋体" w:eastAsia="宋体" w:cs="宋体"/>
                <w:b/>
                <w:bCs/>
                <w:color w:val="000000"/>
                <w:szCs w:val="21"/>
              </w:rPr>
            </w:pPr>
            <w:r>
              <w:rPr>
                <w:rFonts w:hint="eastAsia" w:ascii="宋体" w:hAnsi="宋体" w:eastAsia="宋体" w:cs="宋体"/>
                <w:b/>
                <w:bCs/>
                <w:color w:val="000000"/>
                <w:szCs w:val="21"/>
              </w:rPr>
              <w:t>电源</w:t>
            </w:r>
          </w:p>
        </w:tc>
        <w:tc>
          <w:tcPr>
            <w:tcW w:w="7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4DDFADCE">
            <w:pPr>
              <w:spacing w:line="360" w:lineRule="auto"/>
              <w:rPr>
                <w:rFonts w:hint="eastAsia" w:ascii="宋体" w:hAnsi="宋体" w:eastAsia="宋体" w:cs="宋体"/>
                <w:color w:val="000000"/>
                <w:szCs w:val="21"/>
              </w:rPr>
            </w:pPr>
            <w:r>
              <w:rPr>
                <w:rFonts w:hint="eastAsia" w:ascii="宋体" w:hAnsi="宋体" w:eastAsia="宋体" w:cs="宋体"/>
                <w:color w:val="000000"/>
                <w:szCs w:val="21"/>
              </w:rPr>
              <w:t>支持冗余电源</w:t>
            </w:r>
          </w:p>
        </w:tc>
      </w:tr>
      <w:tr w14:paraId="2C2B111D">
        <w:tblPrEx>
          <w:tblCellMar>
            <w:top w:w="0" w:type="dxa"/>
            <w:left w:w="0" w:type="dxa"/>
            <w:bottom w:w="0" w:type="dxa"/>
            <w:right w:w="0" w:type="dxa"/>
          </w:tblCellMar>
        </w:tblPrEx>
        <w:trPr>
          <w:trHeight w:val="653" w:hRule="atLeast"/>
          <w:jc w:val="center"/>
        </w:trPr>
        <w:tc>
          <w:tcPr>
            <w:tcW w:w="15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50DC4AB">
            <w:pPr>
              <w:spacing w:line="360" w:lineRule="auto"/>
              <w:jc w:val="center"/>
              <w:rPr>
                <w:rFonts w:hint="eastAsia" w:ascii="宋体" w:hAnsi="宋体" w:eastAsia="宋体" w:cs="宋体"/>
                <w:b/>
                <w:bCs/>
                <w:color w:val="000000"/>
                <w:szCs w:val="21"/>
              </w:rPr>
            </w:pPr>
            <w:r>
              <w:rPr>
                <w:rFonts w:hint="eastAsia" w:ascii="宋体" w:hAnsi="宋体" w:eastAsia="宋体" w:cs="宋体"/>
                <w:b/>
                <w:bCs/>
                <w:color w:val="000000"/>
                <w:szCs w:val="21"/>
              </w:rPr>
              <w:t>基础功能</w:t>
            </w:r>
          </w:p>
        </w:tc>
        <w:tc>
          <w:tcPr>
            <w:tcW w:w="7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30F2296D">
            <w:pPr>
              <w:pStyle w:val="204"/>
              <w:spacing w:before="0" w:after="0"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支持静态路由、动态路由协议：RIPv1/v2、RIPng、OSPFv3、BGP、IS-IS、IS-ISv6，BGP4+</w:t>
            </w:r>
          </w:p>
          <w:p w14:paraId="52E5AF02">
            <w:pPr>
              <w:pStyle w:val="204"/>
              <w:spacing w:before="0" w:after="0"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组播路由协议：IGMPV1/V2/V3，PIM-DM，PIM-SM，MBGP，MSDP</w:t>
            </w:r>
          </w:p>
        </w:tc>
      </w:tr>
      <w:tr w14:paraId="41EBCA78">
        <w:tblPrEx>
          <w:tblCellMar>
            <w:top w:w="0" w:type="dxa"/>
            <w:left w:w="0" w:type="dxa"/>
            <w:bottom w:w="0" w:type="dxa"/>
            <w:right w:w="0" w:type="dxa"/>
          </w:tblCellMar>
        </w:tblPrEx>
        <w:trPr>
          <w:trHeight w:val="653" w:hRule="atLeast"/>
          <w:jc w:val="center"/>
        </w:trPr>
        <w:tc>
          <w:tcPr>
            <w:tcW w:w="15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2E571CA">
            <w:pPr>
              <w:spacing w:line="360" w:lineRule="auto"/>
              <w:jc w:val="center"/>
              <w:rPr>
                <w:rFonts w:hint="eastAsia" w:ascii="宋体" w:hAnsi="宋体" w:eastAsia="宋体" w:cs="宋体"/>
                <w:b/>
                <w:bCs/>
                <w:color w:val="000000"/>
                <w:szCs w:val="21"/>
              </w:rPr>
            </w:pPr>
            <w:r>
              <w:rPr>
                <w:rFonts w:hint="eastAsia" w:ascii="宋体" w:hAnsi="宋体" w:eastAsia="宋体" w:cs="宋体"/>
                <w:b/>
                <w:bCs/>
                <w:color w:val="000000"/>
                <w:szCs w:val="21"/>
              </w:rPr>
              <w:t>IP服务</w:t>
            </w:r>
          </w:p>
        </w:tc>
        <w:tc>
          <w:tcPr>
            <w:tcW w:w="7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1122985E">
            <w:pPr>
              <w:pStyle w:val="204"/>
              <w:widowControl w:val="0"/>
              <w:spacing w:before="0" w:after="0"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支持单播转发/组播转发，TCP，UDP，IP Option，IP Unnumber，策略路由，Netstream，sFlow等</w:t>
            </w:r>
          </w:p>
        </w:tc>
      </w:tr>
      <w:tr w14:paraId="4164FB10">
        <w:tblPrEx>
          <w:tblCellMar>
            <w:top w:w="0" w:type="dxa"/>
            <w:left w:w="0" w:type="dxa"/>
            <w:bottom w:w="0" w:type="dxa"/>
            <w:right w:w="0" w:type="dxa"/>
          </w:tblCellMar>
        </w:tblPrEx>
        <w:trPr>
          <w:trHeight w:val="653" w:hRule="atLeast"/>
          <w:jc w:val="center"/>
        </w:trPr>
        <w:tc>
          <w:tcPr>
            <w:tcW w:w="15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78C851">
            <w:pPr>
              <w:spacing w:line="360" w:lineRule="auto"/>
              <w:jc w:val="center"/>
              <w:rPr>
                <w:rFonts w:hint="eastAsia" w:ascii="宋体" w:hAnsi="宋体" w:eastAsia="宋体" w:cs="宋体"/>
                <w:b/>
                <w:bCs/>
                <w:color w:val="000000"/>
                <w:szCs w:val="21"/>
              </w:rPr>
            </w:pPr>
            <w:r>
              <w:rPr>
                <w:rFonts w:hint="eastAsia" w:ascii="宋体" w:hAnsi="宋体" w:eastAsia="宋体" w:cs="宋体"/>
                <w:b/>
                <w:bCs/>
                <w:color w:val="000000"/>
                <w:szCs w:val="21"/>
              </w:rPr>
              <w:t>IPv4路由</w:t>
            </w:r>
          </w:p>
        </w:tc>
        <w:tc>
          <w:tcPr>
            <w:tcW w:w="7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4F241351">
            <w:pPr>
              <w:pStyle w:val="204"/>
              <w:widowControl w:val="0"/>
              <w:spacing w:before="0" w:after="0"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静态路由</w:t>
            </w:r>
          </w:p>
          <w:p w14:paraId="6DC5ECC8">
            <w:pPr>
              <w:pStyle w:val="204"/>
              <w:widowControl w:val="0"/>
              <w:spacing w:before="0" w:after="0"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动态路由协议：RIPv1/v2、OSPFv2、BGP、IS-IS</w:t>
            </w:r>
          </w:p>
          <w:p w14:paraId="7A7740B0">
            <w:pPr>
              <w:pStyle w:val="204"/>
              <w:widowControl w:val="0"/>
              <w:spacing w:before="0" w:after="0"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路由迭代</w:t>
            </w:r>
          </w:p>
          <w:p w14:paraId="6B4DD8F3">
            <w:pPr>
              <w:pStyle w:val="204"/>
              <w:widowControl w:val="0"/>
              <w:spacing w:before="0" w:after="0"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路由策略</w:t>
            </w:r>
          </w:p>
          <w:p w14:paraId="17CFBB6D">
            <w:pPr>
              <w:pStyle w:val="204"/>
              <w:widowControl w:val="0"/>
              <w:spacing w:before="0" w:after="0"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ECMP（等价多路径）</w:t>
            </w:r>
          </w:p>
          <w:p w14:paraId="3637A479">
            <w:pPr>
              <w:pStyle w:val="204"/>
              <w:widowControl w:val="0"/>
              <w:spacing w:before="0" w:after="0"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组播路由协议：IGMPV1/V2/V3，PIM-DM，PIM-SM，MBGP，MSDP</w:t>
            </w:r>
          </w:p>
        </w:tc>
      </w:tr>
      <w:tr w14:paraId="1259FC73">
        <w:tblPrEx>
          <w:tblCellMar>
            <w:top w:w="0" w:type="dxa"/>
            <w:left w:w="0" w:type="dxa"/>
            <w:bottom w:w="0" w:type="dxa"/>
            <w:right w:w="0" w:type="dxa"/>
          </w:tblCellMar>
        </w:tblPrEx>
        <w:trPr>
          <w:trHeight w:val="653" w:hRule="atLeast"/>
          <w:jc w:val="center"/>
        </w:trPr>
        <w:tc>
          <w:tcPr>
            <w:tcW w:w="15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DC6985B">
            <w:pPr>
              <w:spacing w:line="360" w:lineRule="auto"/>
              <w:jc w:val="center"/>
              <w:rPr>
                <w:rFonts w:hint="eastAsia" w:ascii="宋体" w:hAnsi="宋体" w:eastAsia="宋体" w:cs="宋体"/>
                <w:b/>
                <w:bCs/>
                <w:color w:val="000000"/>
                <w:szCs w:val="21"/>
              </w:rPr>
            </w:pPr>
            <w:r>
              <w:rPr>
                <w:rFonts w:hint="eastAsia" w:ascii="宋体" w:hAnsi="宋体" w:eastAsia="宋体" w:cs="宋体"/>
                <w:b/>
                <w:bCs/>
                <w:color w:val="000000"/>
                <w:szCs w:val="21"/>
              </w:rPr>
              <w:t>IPv6</w:t>
            </w:r>
          </w:p>
        </w:tc>
        <w:tc>
          <w:tcPr>
            <w:tcW w:w="7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640BC690">
            <w:pPr>
              <w:pStyle w:val="204"/>
              <w:widowControl w:val="0"/>
              <w:spacing w:before="0" w:after="0"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支持Ipv6 ND，Ipv6 PMTU，Ipv6 FIB，Ipv6 ACL，NAT-PT，Ipv6隧道，6PE、DS-LITE；</w:t>
            </w:r>
          </w:p>
          <w:p w14:paraId="6A0DE7DE">
            <w:pPr>
              <w:pStyle w:val="204"/>
              <w:widowControl w:val="0"/>
              <w:spacing w:before="0" w:after="0"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IPv6隧道技术：手工隧道，自动隧道，GRE隧道，6to4，ISATAP</w:t>
            </w:r>
          </w:p>
          <w:p w14:paraId="69FEB78D">
            <w:pPr>
              <w:pStyle w:val="204"/>
              <w:widowControl w:val="0"/>
              <w:spacing w:before="0" w:after="0"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静态路由</w:t>
            </w:r>
          </w:p>
          <w:p w14:paraId="10D6066E">
            <w:pPr>
              <w:pStyle w:val="204"/>
              <w:widowControl w:val="0"/>
              <w:spacing w:before="0" w:after="0"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动态路由协议：RIPng，OSPFv3，IS-ISv6，BGP4+</w:t>
            </w:r>
          </w:p>
          <w:p w14:paraId="6B879F3B">
            <w:pPr>
              <w:pStyle w:val="204"/>
              <w:widowControl w:val="0"/>
              <w:spacing w:before="0" w:after="0"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IPv6组播协议：MLD V1/V2，PIM-DM，PIM-SM</w:t>
            </w:r>
          </w:p>
        </w:tc>
      </w:tr>
      <w:tr w14:paraId="04F90978">
        <w:tblPrEx>
          <w:tblCellMar>
            <w:top w:w="0" w:type="dxa"/>
            <w:left w:w="0" w:type="dxa"/>
            <w:bottom w:w="0" w:type="dxa"/>
            <w:right w:w="0" w:type="dxa"/>
          </w:tblCellMar>
        </w:tblPrEx>
        <w:trPr>
          <w:trHeight w:val="653" w:hRule="atLeast"/>
          <w:jc w:val="center"/>
        </w:trPr>
        <w:tc>
          <w:tcPr>
            <w:tcW w:w="15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9005FAA">
            <w:pPr>
              <w:spacing w:line="360" w:lineRule="auto"/>
              <w:jc w:val="center"/>
              <w:rPr>
                <w:rFonts w:hint="eastAsia" w:ascii="宋体" w:hAnsi="宋体" w:eastAsia="宋体" w:cs="宋体"/>
                <w:b/>
                <w:bCs/>
                <w:color w:val="000000"/>
                <w:szCs w:val="21"/>
              </w:rPr>
            </w:pPr>
            <w:r>
              <w:rPr>
                <w:rFonts w:hint="eastAsia" w:ascii="宋体" w:hAnsi="宋体" w:eastAsia="宋体" w:cs="宋体"/>
                <w:b/>
                <w:bCs/>
                <w:color w:val="000000"/>
                <w:szCs w:val="21"/>
              </w:rPr>
              <w:t>QOS功能</w:t>
            </w:r>
          </w:p>
        </w:tc>
        <w:tc>
          <w:tcPr>
            <w:tcW w:w="7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7B3A56D0">
            <w:pPr>
              <w:spacing w:line="360" w:lineRule="auto"/>
              <w:rPr>
                <w:rFonts w:hint="eastAsia" w:ascii="宋体" w:hAnsi="宋体" w:eastAsia="宋体" w:cs="宋体"/>
                <w:color w:val="000000"/>
                <w:szCs w:val="21"/>
              </w:rPr>
            </w:pPr>
            <w:r>
              <w:rPr>
                <w:rFonts w:hint="eastAsia" w:ascii="宋体" w:hAnsi="宋体" w:eastAsia="宋体" w:cs="宋体"/>
                <w:color w:val="000000"/>
                <w:szCs w:val="21"/>
              </w:rPr>
              <w:t>支持LR、Port-Based Mirroring 、Port Trust Mode，Port Priority等</w:t>
            </w:r>
          </w:p>
          <w:p w14:paraId="7358D272">
            <w:pPr>
              <w:spacing w:line="360" w:lineRule="auto"/>
              <w:rPr>
                <w:rFonts w:hint="eastAsia" w:ascii="宋体" w:hAnsi="宋体" w:eastAsia="宋体" w:cs="宋体"/>
                <w:color w:val="000000"/>
                <w:szCs w:val="21"/>
              </w:rPr>
            </w:pPr>
            <w:r>
              <w:rPr>
                <w:rFonts w:hint="eastAsia" w:ascii="宋体" w:hAnsi="宋体" w:eastAsia="宋体" w:cs="宋体"/>
                <w:color w:val="000000"/>
                <w:szCs w:val="21"/>
              </w:rPr>
              <w:t>支持CAR（Committed Access Rate）</w:t>
            </w:r>
          </w:p>
          <w:p w14:paraId="2F248EE5">
            <w:pPr>
              <w:spacing w:line="360" w:lineRule="auto"/>
              <w:rPr>
                <w:rFonts w:hint="eastAsia" w:ascii="宋体" w:hAnsi="宋体" w:eastAsia="宋体" w:cs="宋体"/>
                <w:color w:val="000000"/>
                <w:szCs w:val="21"/>
              </w:rPr>
            </w:pPr>
            <w:r>
              <w:rPr>
                <w:rFonts w:hint="eastAsia" w:ascii="宋体" w:hAnsi="宋体" w:eastAsia="宋体" w:cs="宋体"/>
                <w:color w:val="000000"/>
                <w:szCs w:val="21"/>
              </w:rPr>
              <w:t>支持FIFO、WFQ、CBQ等</w:t>
            </w:r>
          </w:p>
          <w:p w14:paraId="64985FBE">
            <w:pPr>
              <w:spacing w:line="360" w:lineRule="auto"/>
              <w:rPr>
                <w:rFonts w:hint="eastAsia" w:ascii="宋体" w:hAnsi="宋体" w:eastAsia="宋体" w:cs="宋体"/>
                <w:color w:val="000000"/>
                <w:szCs w:val="21"/>
              </w:rPr>
            </w:pPr>
            <w:r>
              <w:rPr>
                <w:rFonts w:hint="eastAsia" w:ascii="宋体" w:hAnsi="宋体" w:eastAsia="宋体" w:cs="宋体"/>
                <w:color w:val="000000"/>
                <w:szCs w:val="21"/>
              </w:rPr>
              <w:t>支持GTS（Generic Traffic Shaping）</w:t>
            </w:r>
          </w:p>
          <w:p w14:paraId="5E4AD390">
            <w:pPr>
              <w:spacing w:line="360" w:lineRule="auto"/>
              <w:rPr>
                <w:rFonts w:hint="eastAsia" w:ascii="宋体" w:hAnsi="宋体" w:eastAsia="宋体" w:cs="宋体"/>
                <w:color w:val="000000"/>
                <w:szCs w:val="21"/>
              </w:rPr>
            </w:pPr>
            <w:r>
              <w:rPr>
                <w:rFonts w:hint="eastAsia" w:ascii="宋体" w:hAnsi="宋体" w:eastAsia="宋体" w:cs="宋体"/>
                <w:color w:val="000000"/>
                <w:szCs w:val="21"/>
              </w:rPr>
              <w:t>支持流量分类</w:t>
            </w:r>
          </w:p>
        </w:tc>
      </w:tr>
      <w:tr w14:paraId="3350702D">
        <w:tblPrEx>
          <w:tblCellMar>
            <w:top w:w="0" w:type="dxa"/>
            <w:left w:w="0" w:type="dxa"/>
            <w:bottom w:w="0" w:type="dxa"/>
            <w:right w:w="0" w:type="dxa"/>
          </w:tblCellMar>
        </w:tblPrEx>
        <w:trPr>
          <w:jc w:val="center"/>
        </w:trPr>
        <w:tc>
          <w:tcPr>
            <w:tcW w:w="15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5ECC44A">
            <w:pPr>
              <w:spacing w:line="360" w:lineRule="auto"/>
              <w:jc w:val="center"/>
              <w:rPr>
                <w:rFonts w:hint="eastAsia" w:ascii="宋体" w:hAnsi="宋体" w:eastAsia="宋体" w:cs="宋体"/>
                <w:b/>
                <w:bCs/>
                <w:color w:val="000000"/>
                <w:szCs w:val="21"/>
              </w:rPr>
            </w:pPr>
            <w:r>
              <w:rPr>
                <w:rFonts w:hint="eastAsia" w:ascii="宋体" w:hAnsi="宋体" w:eastAsia="宋体" w:cs="宋体"/>
                <w:b/>
                <w:bCs/>
                <w:color w:val="000000"/>
                <w:szCs w:val="21"/>
              </w:rPr>
              <w:t>安全特性</w:t>
            </w:r>
          </w:p>
        </w:tc>
        <w:tc>
          <w:tcPr>
            <w:tcW w:w="7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1BA762CD">
            <w:pPr>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PORTAL，802.1x</w:t>
            </w:r>
          </w:p>
          <w:p w14:paraId="067430F9">
            <w:pPr>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Local认证， Radius，Tacacs</w:t>
            </w:r>
          </w:p>
          <w:p w14:paraId="1AF78A42">
            <w:pPr>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支持ADVPN</w:t>
            </w:r>
          </w:p>
          <w:p w14:paraId="2BCDA639">
            <w:pPr>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支持基于域的防火墙,攻击防范；</w:t>
            </w:r>
          </w:p>
          <w:p w14:paraId="027A69DA">
            <w:pPr>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支持基于角色接入控制；</w:t>
            </w:r>
          </w:p>
          <w:p w14:paraId="7AD90E66">
            <w:pPr>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支持对终端准入控制的支持</w:t>
            </w:r>
          </w:p>
        </w:tc>
      </w:tr>
      <w:tr w14:paraId="7C39AA12">
        <w:tblPrEx>
          <w:tblCellMar>
            <w:top w:w="0" w:type="dxa"/>
            <w:left w:w="0" w:type="dxa"/>
            <w:bottom w:w="0" w:type="dxa"/>
            <w:right w:w="0" w:type="dxa"/>
          </w:tblCellMar>
        </w:tblPrEx>
        <w:trPr>
          <w:trHeight w:val="181" w:hRule="atLeast"/>
          <w:jc w:val="center"/>
        </w:trPr>
        <w:tc>
          <w:tcPr>
            <w:tcW w:w="15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4E4F8CD">
            <w:pPr>
              <w:spacing w:line="360" w:lineRule="auto"/>
              <w:jc w:val="center"/>
              <w:rPr>
                <w:rFonts w:hint="eastAsia" w:ascii="宋体" w:hAnsi="宋体" w:eastAsia="宋体" w:cs="宋体"/>
                <w:b/>
                <w:bCs/>
                <w:color w:val="000000"/>
                <w:szCs w:val="21"/>
              </w:rPr>
            </w:pPr>
            <w:r>
              <w:rPr>
                <w:rFonts w:hint="eastAsia" w:ascii="宋体" w:hAnsi="宋体" w:eastAsia="宋体" w:cs="宋体"/>
                <w:b/>
                <w:bCs/>
                <w:color w:val="000000"/>
                <w:szCs w:val="21"/>
              </w:rPr>
              <w:t>可靠性</w:t>
            </w:r>
          </w:p>
        </w:tc>
        <w:tc>
          <w:tcPr>
            <w:tcW w:w="7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5F6A7514">
            <w:pPr>
              <w:spacing w:line="360" w:lineRule="auto"/>
              <w:rPr>
                <w:rFonts w:hint="eastAsia" w:ascii="宋体" w:hAnsi="宋体" w:eastAsia="宋体" w:cs="宋体"/>
                <w:color w:val="000000"/>
                <w:szCs w:val="21"/>
              </w:rPr>
            </w:pPr>
            <w:r>
              <w:rPr>
                <w:rFonts w:hint="eastAsia" w:ascii="宋体" w:hAnsi="宋体" w:eastAsia="宋体" w:cs="宋体"/>
                <w:color w:val="000000"/>
                <w:szCs w:val="21"/>
              </w:rPr>
              <w:t>支持VRRP、VRRPv3</w:t>
            </w:r>
          </w:p>
          <w:p w14:paraId="7A68EC29">
            <w:pPr>
              <w:spacing w:line="360" w:lineRule="auto"/>
              <w:rPr>
                <w:rFonts w:hint="eastAsia" w:ascii="宋体" w:hAnsi="宋体" w:eastAsia="宋体" w:cs="宋体"/>
                <w:color w:val="000000"/>
                <w:szCs w:val="21"/>
              </w:rPr>
            </w:pPr>
            <w:r>
              <w:rPr>
                <w:rFonts w:hint="eastAsia" w:ascii="宋体" w:hAnsi="宋体" w:eastAsia="宋体" w:cs="宋体"/>
                <w:color w:val="000000"/>
                <w:szCs w:val="21"/>
              </w:rPr>
              <w:t>支持基于带宽的负载分担与备份</w:t>
            </w:r>
          </w:p>
          <w:p w14:paraId="5B56E7BC">
            <w:pPr>
              <w:spacing w:line="360" w:lineRule="auto"/>
              <w:rPr>
                <w:rFonts w:hint="eastAsia" w:ascii="宋体" w:hAnsi="宋体" w:eastAsia="宋体" w:cs="宋体"/>
                <w:color w:val="000000"/>
                <w:szCs w:val="21"/>
              </w:rPr>
            </w:pPr>
            <w:r>
              <w:rPr>
                <w:rFonts w:hint="eastAsia" w:ascii="宋体" w:hAnsi="宋体" w:eastAsia="宋体" w:cs="宋体"/>
                <w:color w:val="000000"/>
                <w:szCs w:val="21"/>
              </w:rPr>
              <w:t>支持基于</w:t>
            </w:r>
            <w:r>
              <w:rPr>
                <w:rFonts w:hint="eastAsia" w:ascii="宋体" w:hAnsi="宋体" w:eastAsia="宋体" w:cs="宋体"/>
                <w:color w:val="000000"/>
                <w:szCs w:val="21"/>
                <w:lang w:eastAsia="zh-CN"/>
              </w:rPr>
              <w:t>电厂</w:t>
            </w:r>
            <w:r>
              <w:rPr>
                <w:rFonts w:hint="eastAsia" w:ascii="宋体" w:hAnsi="宋体" w:eastAsia="宋体" w:cs="宋体"/>
                <w:color w:val="000000"/>
                <w:szCs w:val="21"/>
              </w:rPr>
              <w:t>（IP地址）的负载分担与备份</w:t>
            </w:r>
          </w:p>
          <w:p w14:paraId="2B0AF060">
            <w:pPr>
              <w:spacing w:line="360" w:lineRule="auto"/>
              <w:rPr>
                <w:rFonts w:hint="eastAsia" w:ascii="宋体" w:hAnsi="宋体" w:eastAsia="宋体" w:cs="宋体"/>
                <w:color w:val="000000"/>
                <w:szCs w:val="21"/>
              </w:rPr>
            </w:pPr>
            <w:r>
              <w:rPr>
                <w:rFonts w:hint="eastAsia" w:ascii="宋体" w:hAnsi="宋体" w:eastAsia="宋体" w:cs="宋体"/>
                <w:color w:val="000000"/>
                <w:szCs w:val="21"/>
              </w:rPr>
              <w:t>支持NQA同路由、VRRP和接口备份的联动功能，实现端到端链路的检测与备份功能</w:t>
            </w:r>
          </w:p>
        </w:tc>
      </w:tr>
      <w:tr w14:paraId="0B93203D">
        <w:tblPrEx>
          <w:tblCellMar>
            <w:top w:w="0" w:type="dxa"/>
            <w:left w:w="0" w:type="dxa"/>
            <w:bottom w:w="0" w:type="dxa"/>
            <w:right w:w="0" w:type="dxa"/>
          </w:tblCellMar>
        </w:tblPrEx>
        <w:trPr>
          <w:trHeight w:val="181" w:hRule="atLeast"/>
          <w:jc w:val="center"/>
        </w:trPr>
        <w:tc>
          <w:tcPr>
            <w:tcW w:w="15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B846536">
            <w:pPr>
              <w:spacing w:line="360" w:lineRule="auto"/>
              <w:jc w:val="center"/>
              <w:rPr>
                <w:rFonts w:hint="eastAsia" w:ascii="宋体" w:hAnsi="宋体" w:eastAsia="宋体" w:cs="宋体"/>
                <w:b/>
                <w:bCs/>
                <w:color w:val="000000"/>
                <w:szCs w:val="21"/>
              </w:rPr>
            </w:pPr>
            <w:r>
              <w:rPr>
                <w:rFonts w:hint="eastAsia" w:ascii="宋体" w:hAnsi="宋体" w:eastAsia="宋体" w:cs="宋体"/>
                <w:b/>
                <w:bCs/>
                <w:color w:val="000000"/>
                <w:szCs w:val="21"/>
              </w:rPr>
              <w:t>数据中心特性</w:t>
            </w:r>
          </w:p>
        </w:tc>
        <w:tc>
          <w:tcPr>
            <w:tcW w:w="7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62520B2E">
            <w:pPr>
              <w:spacing w:line="360" w:lineRule="auto"/>
              <w:rPr>
                <w:rFonts w:hint="eastAsia" w:ascii="宋体" w:hAnsi="宋体" w:eastAsia="宋体" w:cs="宋体"/>
                <w:color w:val="000000"/>
                <w:szCs w:val="21"/>
              </w:rPr>
            </w:pPr>
            <w:r>
              <w:rPr>
                <w:rFonts w:hint="eastAsia" w:ascii="宋体" w:hAnsi="宋体" w:eastAsia="宋体" w:cs="宋体"/>
                <w:color w:val="000000"/>
                <w:szCs w:val="21"/>
              </w:rPr>
              <w:t>以太网二层虚拟化互联（EVI）特性</w:t>
            </w:r>
          </w:p>
        </w:tc>
      </w:tr>
      <w:tr w14:paraId="2077C771">
        <w:tblPrEx>
          <w:tblCellMar>
            <w:top w:w="0" w:type="dxa"/>
            <w:left w:w="0" w:type="dxa"/>
            <w:bottom w:w="0" w:type="dxa"/>
            <w:right w:w="0" w:type="dxa"/>
          </w:tblCellMar>
        </w:tblPrEx>
        <w:trPr>
          <w:trHeight w:val="181" w:hRule="atLeast"/>
          <w:jc w:val="center"/>
        </w:trPr>
        <w:tc>
          <w:tcPr>
            <w:tcW w:w="15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19BA531">
            <w:pPr>
              <w:spacing w:line="360" w:lineRule="auto"/>
              <w:jc w:val="center"/>
              <w:rPr>
                <w:rFonts w:hint="eastAsia" w:ascii="宋体" w:hAnsi="宋体" w:eastAsia="宋体" w:cs="宋体"/>
                <w:b/>
                <w:bCs/>
                <w:color w:val="000000"/>
                <w:szCs w:val="21"/>
              </w:rPr>
            </w:pPr>
            <w:r>
              <w:rPr>
                <w:rFonts w:hint="eastAsia" w:ascii="宋体" w:hAnsi="宋体" w:eastAsia="宋体" w:cs="宋体"/>
                <w:b/>
                <w:bCs/>
                <w:color w:val="000000"/>
                <w:szCs w:val="21"/>
              </w:rPr>
              <w:t>嵌入式自动化架构</w:t>
            </w:r>
          </w:p>
        </w:tc>
        <w:tc>
          <w:tcPr>
            <w:tcW w:w="7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20197580">
            <w:pPr>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设备支持对系统软硬件部件的内部事件、状态进行监控，出现问题时收集实时信息并自动修复,并能将实时信息发送到指定的服务器； </w:t>
            </w:r>
          </w:p>
        </w:tc>
      </w:tr>
      <w:tr w14:paraId="04EF6A01">
        <w:tblPrEx>
          <w:tblCellMar>
            <w:top w:w="0" w:type="dxa"/>
            <w:left w:w="0" w:type="dxa"/>
            <w:bottom w:w="0" w:type="dxa"/>
            <w:right w:w="0" w:type="dxa"/>
          </w:tblCellMar>
        </w:tblPrEx>
        <w:trPr>
          <w:trHeight w:val="994" w:hRule="atLeast"/>
          <w:jc w:val="center"/>
        </w:trPr>
        <w:tc>
          <w:tcPr>
            <w:tcW w:w="15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4CA8ADF">
            <w:pPr>
              <w:spacing w:line="360" w:lineRule="auto"/>
              <w:jc w:val="center"/>
              <w:rPr>
                <w:rFonts w:hint="eastAsia" w:ascii="宋体" w:hAnsi="宋体" w:eastAsia="宋体" w:cs="宋体"/>
                <w:b/>
                <w:bCs/>
                <w:color w:val="000000"/>
                <w:szCs w:val="21"/>
              </w:rPr>
            </w:pPr>
            <w:r>
              <w:rPr>
                <w:rFonts w:hint="eastAsia" w:ascii="宋体" w:hAnsi="宋体" w:eastAsia="宋体" w:cs="宋体"/>
                <w:b/>
                <w:bCs/>
                <w:color w:val="000000"/>
                <w:szCs w:val="21"/>
              </w:rPr>
              <w:t>管理和维护</w:t>
            </w:r>
          </w:p>
        </w:tc>
        <w:tc>
          <w:tcPr>
            <w:tcW w:w="7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5B8D3E40">
            <w:pPr>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支持SNMP V1/V2c/V3，MIB，SYSLOG，RMON</w:t>
            </w:r>
          </w:p>
          <w:p w14:paraId="0937B058">
            <w:pPr>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支持TR069远程管理方案，支持U盘开局</w:t>
            </w:r>
          </w:p>
          <w:p w14:paraId="34005CEA">
            <w:pPr>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支持零配置部署，可实现零配置方式下的批量设备开局，通过短信实现设备的零开局，并且在误配置时可自动实现设备配置的回退</w:t>
            </w:r>
          </w:p>
          <w:p w14:paraId="489494F1">
            <w:pPr>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设备支持对系统软硬件部件的内部事件、状态进行监控，出现问题时收集实时信息并自动修复，并能将实时信息发送到指定的Email邮箱</w:t>
            </w:r>
          </w:p>
        </w:tc>
      </w:tr>
      <w:tr w14:paraId="03F61691">
        <w:tblPrEx>
          <w:tblCellMar>
            <w:top w:w="0" w:type="dxa"/>
            <w:left w:w="0" w:type="dxa"/>
            <w:bottom w:w="0" w:type="dxa"/>
            <w:right w:w="0" w:type="dxa"/>
          </w:tblCellMar>
        </w:tblPrEx>
        <w:trPr>
          <w:jc w:val="center"/>
        </w:trPr>
        <w:tc>
          <w:tcPr>
            <w:tcW w:w="15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984A3CB">
            <w:pPr>
              <w:spacing w:line="360" w:lineRule="auto"/>
              <w:jc w:val="center"/>
              <w:rPr>
                <w:rFonts w:hint="eastAsia" w:ascii="宋体" w:hAnsi="宋体" w:eastAsia="宋体" w:cs="宋体"/>
                <w:b/>
                <w:bCs/>
                <w:color w:val="000000"/>
                <w:szCs w:val="21"/>
              </w:rPr>
            </w:pPr>
            <w:r>
              <w:rPr>
                <w:rFonts w:hint="eastAsia" w:ascii="宋体" w:hAnsi="宋体" w:eastAsia="宋体" w:cs="宋体"/>
                <w:b/>
                <w:bCs/>
                <w:color w:val="000000"/>
                <w:szCs w:val="21"/>
              </w:rPr>
              <w:t>虚拟化</w:t>
            </w:r>
          </w:p>
        </w:tc>
        <w:tc>
          <w:tcPr>
            <w:tcW w:w="7670" w:type="dxa"/>
            <w:tcBorders>
              <w:top w:val="nil"/>
              <w:left w:val="nil"/>
              <w:bottom w:val="single" w:color="auto" w:sz="8" w:space="0"/>
              <w:right w:val="single" w:color="auto" w:sz="8" w:space="0"/>
            </w:tcBorders>
            <w:tcMar>
              <w:top w:w="0" w:type="dxa"/>
              <w:left w:w="108" w:type="dxa"/>
              <w:bottom w:w="0" w:type="dxa"/>
              <w:right w:w="108" w:type="dxa"/>
            </w:tcMar>
            <w:vAlign w:val="center"/>
          </w:tcPr>
          <w:p w14:paraId="314C8B41">
            <w:pPr>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支持网络设备虚拟化功能，支持将多台物理设备虚拟成一台逻辑设备，提升链路利用率，支持跨设备链路聚合</w:t>
            </w:r>
          </w:p>
        </w:tc>
      </w:tr>
      <w:tr w14:paraId="21753C51">
        <w:tblPrEx>
          <w:tblCellMar>
            <w:top w:w="0" w:type="dxa"/>
            <w:left w:w="0" w:type="dxa"/>
            <w:bottom w:w="0" w:type="dxa"/>
            <w:right w:w="0" w:type="dxa"/>
          </w:tblCellMar>
        </w:tblPrEx>
        <w:trPr>
          <w:jc w:val="center"/>
        </w:trPr>
        <w:tc>
          <w:tcPr>
            <w:tcW w:w="1515" w:type="dxa"/>
            <w:tcBorders>
              <w:top w:val="nil"/>
              <w:left w:val="single" w:color="auto" w:sz="8" w:space="0"/>
              <w:bottom w:val="nil"/>
              <w:right w:val="single" w:color="auto" w:sz="8" w:space="0"/>
            </w:tcBorders>
            <w:tcMar>
              <w:top w:w="0" w:type="dxa"/>
              <w:left w:w="108" w:type="dxa"/>
              <w:bottom w:w="0" w:type="dxa"/>
              <w:right w:w="108" w:type="dxa"/>
            </w:tcMar>
            <w:vAlign w:val="center"/>
          </w:tcPr>
          <w:p w14:paraId="67CA6601">
            <w:pPr>
              <w:spacing w:line="360" w:lineRule="auto"/>
              <w:jc w:val="center"/>
              <w:rPr>
                <w:rFonts w:hint="eastAsia" w:ascii="宋体" w:hAnsi="宋体" w:eastAsia="宋体" w:cs="宋体"/>
                <w:b/>
                <w:bCs/>
                <w:color w:val="000000"/>
                <w:szCs w:val="21"/>
              </w:rPr>
            </w:pPr>
            <w:r>
              <w:rPr>
                <w:rFonts w:hint="eastAsia" w:ascii="宋体" w:hAnsi="宋体" w:eastAsia="宋体" w:cs="宋体"/>
                <w:b/>
                <w:bCs/>
                <w:color w:val="000000"/>
                <w:szCs w:val="21"/>
              </w:rPr>
              <w:t>OAP云点</w:t>
            </w:r>
          </w:p>
        </w:tc>
        <w:tc>
          <w:tcPr>
            <w:tcW w:w="7670" w:type="dxa"/>
            <w:tcBorders>
              <w:top w:val="nil"/>
              <w:left w:val="nil"/>
              <w:bottom w:val="nil"/>
              <w:right w:val="single" w:color="auto" w:sz="8" w:space="0"/>
            </w:tcBorders>
            <w:tcMar>
              <w:top w:w="0" w:type="dxa"/>
              <w:left w:w="108" w:type="dxa"/>
              <w:bottom w:w="0" w:type="dxa"/>
              <w:right w:w="108" w:type="dxa"/>
            </w:tcMar>
            <w:vAlign w:val="center"/>
          </w:tcPr>
          <w:p w14:paraId="3B481402">
            <w:pPr>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支持集中管理和部署虚拟机（PoC）</w:t>
            </w:r>
          </w:p>
        </w:tc>
      </w:tr>
      <w:tr w14:paraId="1014E8D0">
        <w:tblPrEx>
          <w:tblCellMar>
            <w:top w:w="0" w:type="dxa"/>
            <w:left w:w="0" w:type="dxa"/>
            <w:bottom w:w="0" w:type="dxa"/>
            <w:right w:w="0" w:type="dxa"/>
          </w:tblCellMar>
        </w:tblPrEx>
        <w:trPr>
          <w:jc w:val="center"/>
        </w:trPr>
        <w:tc>
          <w:tcPr>
            <w:tcW w:w="151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082FD349">
            <w:pPr>
              <w:spacing w:line="360" w:lineRule="auto"/>
              <w:jc w:val="center"/>
              <w:rPr>
                <w:rFonts w:hint="eastAsia" w:ascii="宋体" w:hAnsi="宋体" w:eastAsia="宋体" w:cs="宋体"/>
                <w:b/>
                <w:bCs/>
                <w:color w:val="000000"/>
                <w:szCs w:val="21"/>
                <w:lang w:val="en-US" w:eastAsia="zh-CN"/>
              </w:rPr>
            </w:pPr>
            <w:r>
              <w:rPr>
                <w:rFonts w:hint="eastAsia" w:ascii="宋体" w:hAnsi="宋体" w:eastAsia="宋体" w:cs="宋体"/>
                <w:b/>
                <w:bCs/>
                <w:color w:val="000000"/>
                <w:szCs w:val="21"/>
                <w:lang w:val="en-US" w:eastAsia="zh-CN"/>
              </w:rPr>
              <w:t>安全加固</w:t>
            </w:r>
          </w:p>
        </w:tc>
        <w:tc>
          <w:tcPr>
            <w:tcW w:w="7670" w:type="dxa"/>
            <w:tcBorders>
              <w:top w:val="nil"/>
              <w:left w:val="nil"/>
              <w:bottom w:val="single" w:color="auto" w:sz="4" w:space="0"/>
              <w:right w:val="single" w:color="auto" w:sz="8" w:space="0"/>
            </w:tcBorders>
            <w:tcMar>
              <w:top w:w="0" w:type="dxa"/>
              <w:left w:w="108" w:type="dxa"/>
              <w:bottom w:w="0" w:type="dxa"/>
              <w:right w:w="108" w:type="dxa"/>
            </w:tcMar>
            <w:vAlign w:val="center"/>
          </w:tcPr>
          <w:p w14:paraId="0758B958">
            <w:pPr>
              <w:spacing w:line="360" w:lineRule="auto"/>
              <w:jc w:val="lef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包含接入调度数据网的安全加固服务，</w:t>
            </w:r>
          </w:p>
        </w:tc>
      </w:tr>
    </w:tbl>
    <w:p w14:paraId="43BE80D3">
      <w:pPr>
        <w:pStyle w:val="218"/>
        <w:spacing w:line="360" w:lineRule="auto"/>
        <w:rPr>
          <w:rFonts w:hint="eastAsia" w:ascii="宋体" w:hAnsi="宋体" w:eastAsia="宋体" w:cs="宋体"/>
          <w:b/>
          <w:bCs/>
          <w:kern w:val="0"/>
          <w:sz w:val="24"/>
        </w:rPr>
      </w:pPr>
    </w:p>
    <w:p w14:paraId="4D1DC02F">
      <w:pPr>
        <w:pStyle w:val="218"/>
        <w:spacing w:line="360" w:lineRule="auto"/>
        <w:rPr>
          <w:rFonts w:hint="eastAsia" w:ascii="宋体" w:hAnsi="宋体" w:eastAsia="宋体" w:cs="宋体"/>
          <w:b/>
          <w:bCs/>
          <w:kern w:val="0"/>
          <w:sz w:val="24"/>
        </w:rPr>
      </w:pPr>
    </w:p>
    <w:p w14:paraId="76EC9BA8">
      <w:pPr>
        <w:pStyle w:val="218"/>
        <w:spacing w:line="360" w:lineRule="auto"/>
        <w:rPr>
          <w:rFonts w:hint="eastAsia" w:ascii="宋体" w:hAnsi="宋体" w:eastAsia="宋体" w:cs="宋体"/>
          <w:b/>
          <w:bCs/>
          <w:kern w:val="0"/>
          <w:sz w:val="24"/>
        </w:rPr>
      </w:pPr>
    </w:p>
    <w:p w14:paraId="6985E892">
      <w:pPr>
        <w:pStyle w:val="218"/>
        <w:spacing w:line="360" w:lineRule="auto"/>
        <w:rPr>
          <w:rFonts w:hint="eastAsia" w:ascii="宋体" w:hAnsi="宋体" w:eastAsia="宋体" w:cs="宋体"/>
          <w:b/>
          <w:bCs/>
          <w:kern w:val="0"/>
          <w:sz w:val="24"/>
        </w:rPr>
      </w:pPr>
    </w:p>
    <w:p w14:paraId="45B43995">
      <w:pPr>
        <w:pStyle w:val="218"/>
        <w:numPr>
          <w:ilvl w:val="2"/>
          <w:numId w:val="31"/>
        </w:numPr>
        <w:spacing w:line="360" w:lineRule="auto"/>
        <w:outlineLvl w:val="9"/>
        <w:rPr>
          <w:rFonts w:hint="eastAsia" w:ascii="宋体" w:hAnsi="宋体" w:eastAsia="宋体" w:cs="宋体"/>
          <w:b/>
          <w:bCs/>
          <w:kern w:val="0"/>
          <w:sz w:val="24"/>
        </w:rPr>
      </w:pPr>
      <w:r>
        <w:rPr>
          <w:rFonts w:hint="eastAsia" w:ascii="宋体" w:hAnsi="宋体" w:eastAsia="宋体" w:cs="宋体"/>
          <w:b/>
          <w:bCs/>
          <w:kern w:val="0"/>
          <w:sz w:val="24"/>
        </w:rPr>
        <w:t>调度数据网</w:t>
      </w:r>
      <w:r>
        <w:rPr>
          <w:rFonts w:hint="eastAsia" w:ascii="宋体" w:hAnsi="宋体" w:eastAsia="宋体" w:cs="宋体"/>
          <w:b/>
          <w:bCs/>
          <w:kern w:val="0"/>
          <w:sz w:val="24"/>
          <w:lang w:val="en-US" w:eastAsia="zh-CN"/>
        </w:rPr>
        <w:t>交换机</w:t>
      </w:r>
      <w:r>
        <w:rPr>
          <w:rFonts w:hint="eastAsia" w:ascii="宋体" w:hAnsi="宋体" w:eastAsia="宋体" w:cs="宋体"/>
          <w:b/>
          <w:bCs/>
          <w:kern w:val="0"/>
          <w:sz w:val="24"/>
        </w:rPr>
        <w:t>设备</w:t>
      </w:r>
    </w:p>
    <w:tbl>
      <w:tblPr>
        <w:tblStyle w:val="43"/>
        <w:tblW w:w="9913" w:type="dxa"/>
        <w:jc w:val="center"/>
        <w:tblLayout w:type="fixed"/>
        <w:tblCellMar>
          <w:top w:w="0" w:type="dxa"/>
          <w:left w:w="108" w:type="dxa"/>
          <w:bottom w:w="0" w:type="dxa"/>
          <w:right w:w="108" w:type="dxa"/>
        </w:tblCellMar>
      </w:tblPr>
      <w:tblGrid>
        <w:gridCol w:w="1242"/>
        <w:gridCol w:w="8671"/>
      </w:tblGrid>
      <w:tr w14:paraId="344B428A">
        <w:tblPrEx>
          <w:tblCellMar>
            <w:top w:w="0" w:type="dxa"/>
            <w:left w:w="108" w:type="dxa"/>
            <w:bottom w:w="0" w:type="dxa"/>
            <w:right w:w="108" w:type="dxa"/>
          </w:tblCellMar>
        </w:tblPrEx>
        <w:trPr>
          <w:trHeight w:val="20" w:hRule="atLeast"/>
          <w:tblHeader/>
          <w:jc w:val="center"/>
        </w:trPr>
        <w:tc>
          <w:tcPr>
            <w:tcW w:w="1242" w:type="dxa"/>
            <w:tcBorders>
              <w:top w:val="single" w:color="auto" w:sz="8" w:space="0"/>
              <w:left w:val="single" w:color="auto" w:sz="8" w:space="0"/>
              <w:bottom w:val="single" w:color="auto" w:sz="8" w:space="0"/>
              <w:right w:val="single" w:color="auto" w:sz="8" w:space="0"/>
            </w:tcBorders>
            <w:shd w:val="clear" w:color="auto" w:fill="BFBFBF"/>
          </w:tcPr>
          <w:p w14:paraId="103BF2FD">
            <w:pPr>
              <w:widowControl/>
              <w:spacing w:line="360" w:lineRule="auto"/>
              <w:rPr>
                <w:rFonts w:hint="eastAsia" w:ascii="宋体" w:hAnsi="宋体" w:eastAsia="宋体" w:cs="宋体"/>
                <w:b/>
                <w:bCs/>
                <w:kern w:val="0"/>
                <w:szCs w:val="21"/>
              </w:rPr>
            </w:pPr>
            <w:r>
              <w:rPr>
                <w:rFonts w:hint="eastAsia" w:ascii="宋体" w:hAnsi="宋体" w:eastAsia="宋体" w:cs="宋体"/>
                <w:b/>
                <w:bCs/>
                <w:kern w:val="0"/>
                <w:szCs w:val="21"/>
              </w:rPr>
              <w:t>产品要求</w:t>
            </w:r>
          </w:p>
        </w:tc>
        <w:tc>
          <w:tcPr>
            <w:tcW w:w="8671" w:type="dxa"/>
            <w:tcBorders>
              <w:top w:val="single" w:color="auto" w:sz="8" w:space="0"/>
              <w:left w:val="nil"/>
              <w:bottom w:val="single" w:color="auto" w:sz="8" w:space="0"/>
              <w:right w:val="single" w:color="auto" w:sz="8" w:space="0"/>
            </w:tcBorders>
            <w:shd w:val="clear" w:color="auto" w:fill="BFBFBF"/>
          </w:tcPr>
          <w:p w14:paraId="15E42C63">
            <w:pPr>
              <w:widowControl/>
              <w:spacing w:line="360" w:lineRule="auto"/>
              <w:jc w:val="center"/>
              <w:rPr>
                <w:rFonts w:hint="eastAsia" w:ascii="宋体" w:hAnsi="宋体" w:eastAsia="宋体" w:cs="宋体"/>
                <w:b/>
                <w:bCs/>
                <w:kern w:val="0"/>
                <w:szCs w:val="21"/>
              </w:rPr>
            </w:pPr>
            <w:r>
              <w:rPr>
                <w:rFonts w:hint="eastAsia" w:ascii="宋体" w:hAnsi="宋体" w:eastAsia="宋体" w:cs="宋体"/>
                <w:b/>
                <w:bCs/>
                <w:kern w:val="0"/>
                <w:szCs w:val="21"/>
              </w:rPr>
              <w:t>详细说明</w:t>
            </w:r>
          </w:p>
        </w:tc>
      </w:tr>
      <w:tr w14:paraId="7B3AE3BA">
        <w:tblPrEx>
          <w:tblCellMar>
            <w:top w:w="0" w:type="dxa"/>
            <w:left w:w="108" w:type="dxa"/>
            <w:bottom w:w="0" w:type="dxa"/>
            <w:right w:w="108" w:type="dxa"/>
          </w:tblCellMar>
        </w:tblPrEx>
        <w:trPr>
          <w:trHeight w:val="60" w:hRule="atLeast"/>
          <w:jc w:val="center"/>
        </w:trPr>
        <w:tc>
          <w:tcPr>
            <w:tcW w:w="1242" w:type="dxa"/>
            <w:tcBorders>
              <w:top w:val="single" w:color="auto" w:sz="8" w:space="0"/>
              <w:left w:val="single" w:color="auto" w:sz="8" w:space="0"/>
              <w:bottom w:val="single" w:color="auto" w:sz="8" w:space="0"/>
              <w:right w:val="single" w:color="auto" w:sz="8" w:space="0"/>
            </w:tcBorders>
            <w:vAlign w:val="center"/>
          </w:tcPr>
          <w:p w14:paraId="46DC56F9">
            <w:pPr>
              <w:widowControl/>
              <w:spacing w:line="360" w:lineRule="auto"/>
              <w:jc w:val="left"/>
              <w:rPr>
                <w:rFonts w:hint="eastAsia" w:ascii="宋体" w:hAnsi="宋体" w:eastAsia="宋体" w:cs="宋体"/>
                <w:b/>
                <w:bCs/>
                <w:kern w:val="0"/>
                <w:szCs w:val="21"/>
              </w:rPr>
            </w:pPr>
            <w:r>
              <w:rPr>
                <w:rFonts w:hint="eastAsia" w:ascii="宋体" w:hAnsi="宋体" w:eastAsia="宋体" w:cs="宋体"/>
                <w:b/>
                <w:bCs/>
                <w:kern w:val="0"/>
                <w:szCs w:val="21"/>
              </w:rPr>
              <w:t>具体参数</w:t>
            </w:r>
          </w:p>
        </w:tc>
        <w:tc>
          <w:tcPr>
            <w:tcW w:w="8671" w:type="dxa"/>
            <w:tcBorders>
              <w:top w:val="single" w:color="auto" w:sz="8" w:space="0"/>
              <w:left w:val="nil"/>
              <w:bottom w:val="single" w:color="auto" w:sz="8" w:space="0"/>
              <w:right w:val="single" w:color="auto" w:sz="8" w:space="0"/>
            </w:tcBorders>
          </w:tcPr>
          <w:p w14:paraId="10B71601">
            <w:pPr>
              <w:pStyle w:val="145"/>
              <w:numPr>
                <w:ilvl w:val="0"/>
                <w:numId w:val="32"/>
              </w:numPr>
              <w:spacing w:line="360" w:lineRule="auto"/>
              <w:ind w:firstLineChars="0"/>
              <w:rPr>
                <w:rFonts w:hint="eastAsia" w:ascii="宋体" w:hAnsi="宋体" w:eastAsia="宋体" w:cs="宋体"/>
                <w:kern w:val="0"/>
                <w:szCs w:val="21"/>
              </w:rPr>
            </w:pPr>
            <w:r>
              <w:rPr>
                <w:rFonts w:hint="eastAsia" w:ascii="宋体" w:hAnsi="宋体" w:eastAsia="宋体" w:cs="宋体"/>
                <w:kern w:val="0"/>
                <w:szCs w:val="21"/>
              </w:rPr>
              <w:t xml:space="preserve">交换容量≥ 3.36Tbps，转发性能≥ 126Mpps </w:t>
            </w:r>
          </w:p>
          <w:p w14:paraId="28EFD28E">
            <w:pPr>
              <w:pStyle w:val="145"/>
              <w:numPr>
                <w:ilvl w:val="0"/>
                <w:numId w:val="32"/>
              </w:numPr>
              <w:spacing w:line="360" w:lineRule="auto"/>
              <w:ind w:firstLineChars="0"/>
              <w:rPr>
                <w:rFonts w:hint="eastAsia" w:ascii="宋体" w:hAnsi="宋体" w:eastAsia="宋体" w:cs="宋体"/>
                <w:kern w:val="0"/>
                <w:szCs w:val="21"/>
              </w:rPr>
            </w:pPr>
            <w:r>
              <w:rPr>
                <w:rFonts w:hint="eastAsia" w:ascii="宋体" w:hAnsi="宋体" w:eastAsia="宋体" w:cs="宋体"/>
                <w:kern w:val="0"/>
                <w:szCs w:val="21"/>
              </w:rPr>
              <w:t>路由表容量≥1K（支持OSPF），MAC地址表≥16K</w:t>
            </w:r>
          </w:p>
          <w:p w14:paraId="0B65008D">
            <w:pPr>
              <w:pStyle w:val="145"/>
              <w:numPr>
                <w:ilvl w:val="0"/>
                <w:numId w:val="32"/>
              </w:numPr>
              <w:spacing w:line="360" w:lineRule="auto"/>
              <w:ind w:firstLineChars="0"/>
              <w:rPr>
                <w:rFonts w:hint="eastAsia" w:ascii="宋体" w:hAnsi="宋体" w:eastAsia="宋体" w:cs="宋体"/>
                <w:kern w:val="0"/>
                <w:szCs w:val="21"/>
              </w:rPr>
            </w:pPr>
            <w:r>
              <w:rPr>
                <w:rFonts w:hint="eastAsia" w:ascii="宋体" w:hAnsi="宋体" w:eastAsia="宋体" w:cs="宋体"/>
                <w:kern w:val="0"/>
                <w:szCs w:val="21"/>
              </w:rPr>
              <w:t>端口数≥24个GE端口，8个10/100/1000Base-T（combo）端口, ≥4个万兆SFP+口</w:t>
            </w:r>
          </w:p>
          <w:p w14:paraId="6F2E3BB2">
            <w:pPr>
              <w:pStyle w:val="145"/>
              <w:numPr>
                <w:ilvl w:val="0"/>
                <w:numId w:val="32"/>
              </w:numPr>
              <w:spacing w:line="360" w:lineRule="auto"/>
              <w:ind w:firstLineChars="0"/>
              <w:rPr>
                <w:rFonts w:hint="eastAsia" w:ascii="宋体" w:hAnsi="宋体" w:eastAsia="宋体" w:cs="宋体"/>
                <w:kern w:val="0"/>
                <w:szCs w:val="21"/>
              </w:rPr>
            </w:pPr>
            <w:r>
              <w:rPr>
                <w:rFonts w:hint="eastAsia" w:ascii="宋体" w:hAnsi="宋体" w:eastAsia="宋体" w:cs="宋体"/>
                <w:kern w:val="0"/>
                <w:szCs w:val="21"/>
              </w:rPr>
              <w:t>实现ERPS功能，可与其他厂商设备混组网，能够快速阻断环路，链路收敛时间≤50ms</w:t>
            </w:r>
          </w:p>
          <w:p w14:paraId="1570ED7F">
            <w:pPr>
              <w:pStyle w:val="145"/>
              <w:numPr>
                <w:ilvl w:val="0"/>
                <w:numId w:val="32"/>
              </w:numPr>
              <w:spacing w:line="360" w:lineRule="auto"/>
              <w:ind w:firstLineChars="0"/>
              <w:rPr>
                <w:rFonts w:hint="eastAsia" w:ascii="宋体" w:hAnsi="宋体" w:eastAsia="宋体" w:cs="宋体"/>
                <w:kern w:val="0"/>
                <w:szCs w:val="21"/>
              </w:rPr>
            </w:pPr>
            <w:r>
              <w:rPr>
                <w:rFonts w:hint="eastAsia" w:ascii="宋体" w:hAnsi="宋体" w:eastAsia="宋体" w:cs="宋体"/>
                <w:kern w:val="0"/>
                <w:szCs w:val="21"/>
              </w:rPr>
              <w:t>实现CPU保护功能，能限制非法报文对CPU的攻击，保护交换机在各种环境下稳定工作</w:t>
            </w:r>
          </w:p>
          <w:p w14:paraId="1B77138C">
            <w:pPr>
              <w:pStyle w:val="145"/>
              <w:numPr>
                <w:ilvl w:val="0"/>
                <w:numId w:val="32"/>
              </w:numPr>
              <w:spacing w:line="360" w:lineRule="auto"/>
              <w:ind w:firstLineChars="0"/>
              <w:rPr>
                <w:rFonts w:hint="eastAsia" w:ascii="宋体" w:hAnsi="宋体" w:eastAsia="宋体" w:cs="宋体"/>
                <w:kern w:val="0"/>
                <w:szCs w:val="21"/>
              </w:rPr>
            </w:pPr>
            <w:r>
              <w:rPr>
                <w:rFonts w:hint="eastAsia" w:ascii="宋体" w:hAnsi="宋体" w:eastAsia="宋体" w:cs="宋体"/>
                <w:kern w:val="0"/>
                <w:szCs w:val="21"/>
              </w:rPr>
              <w:t>支持跨设备链路聚合，单一IP管理，分布式弹性路由，支持通过标准以太端口进行堆叠（万兆或千兆均支持）</w:t>
            </w:r>
          </w:p>
          <w:p w14:paraId="6CFDBCE4">
            <w:pPr>
              <w:pStyle w:val="145"/>
              <w:numPr>
                <w:ilvl w:val="0"/>
                <w:numId w:val="32"/>
              </w:numPr>
              <w:spacing w:line="360" w:lineRule="auto"/>
              <w:ind w:firstLineChars="0"/>
              <w:rPr>
                <w:rFonts w:hint="eastAsia" w:ascii="宋体" w:hAnsi="宋体" w:eastAsia="宋体" w:cs="宋体"/>
                <w:kern w:val="0"/>
                <w:szCs w:val="21"/>
              </w:rPr>
            </w:pPr>
            <w:r>
              <w:rPr>
                <w:rFonts w:hint="eastAsia" w:ascii="宋体" w:hAnsi="宋体" w:eastAsia="宋体" w:cs="宋体"/>
                <w:kern w:val="0"/>
                <w:szCs w:val="21"/>
              </w:rPr>
              <w:t>配置网管平台，能够实现通过图形化界面进行设备配置、命令一键下发和版本智能升级等管理功能，实现对下联接入网络设备的统一运维及管理。</w:t>
            </w:r>
          </w:p>
          <w:p w14:paraId="2595C215">
            <w:pPr>
              <w:pStyle w:val="145"/>
              <w:numPr>
                <w:ilvl w:val="0"/>
                <w:numId w:val="32"/>
              </w:numPr>
              <w:spacing w:line="360" w:lineRule="auto"/>
              <w:ind w:firstLineChars="0"/>
              <w:rPr>
                <w:rFonts w:hint="eastAsia" w:ascii="宋体" w:hAnsi="宋体" w:eastAsia="宋体" w:cs="宋体"/>
                <w:kern w:val="0"/>
                <w:szCs w:val="21"/>
              </w:rPr>
            </w:pPr>
            <w:r>
              <w:rPr>
                <w:rFonts w:hint="eastAsia" w:ascii="宋体" w:hAnsi="宋体" w:eastAsia="宋体" w:cs="宋体"/>
                <w:kern w:val="0"/>
                <w:szCs w:val="21"/>
              </w:rPr>
              <w:t>支持基于端口的VLAN，支持基于协议的VLAN；支持基于MAC的VLAN；最大VLAN数(不是VLAN ID)&gt;=4094</w:t>
            </w:r>
          </w:p>
          <w:p w14:paraId="6820E00C">
            <w:pPr>
              <w:pStyle w:val="145"/>
              <w:numPr>
                <w:ilvl w:val="0"/>
                <w:numId w:val="32"/>
              </w:numPr>
              <w:spacing w:line="360" w:lineRule="auto"/>
              <w:ind w:firstLineChars="0"/>
              <w:rPr>
                <w:rFonts w:hint="eastAsia" w:ascii="宋体" w:hAnsi="宋体" w:eastAsia="宋体" w:cs="宋体"/>
                <w:kern w:val="0"/>
                <w:szCs w:val="21"/>
              </w:rPr>
            </w:pPr>
            <w:r>
              <w:rPr>
                <w:rFonts w:hint="eastAsia" w:ascii="宋体" w:hAnsi="宋体" w:eastAsia="宋体" w:cs="宋体"/>
                <w:kern w:val="0"/>
                <w:szCs w:val="21"/>
              </w:rPr>
              <w:t>支持本地端口镜像和远程端口镜像RSPAN；支持流镜像；同时支持N：M的端口镜像（M大于1）</w:t>
            </w:r>
          </w:p>
          <w:p w14:paraId="3EE729C3">
            <w:pPr>
              <w:pStyle w:val="145"/>
              <w:numPr>
                <w:ilvl w:val="0"/>
                <w:numId w:val="32"/>
              </w:numPr>
              <w:spacing w:line="360" w:lineRule="auto"/>
              <w:ind w:firstLineChars="0"/>
              <w:rPr>
                <w:rFonts w:hint="eastAsia" w:ascii="宋体" w:hAnsi="宋体" w:eastAsia="宋体" w:cs="宋体"/>
                <w:kern w:val="0"/>
                <w:szCs w:val="21"/>
              </w:rPr>
            </w:pPr>
            <w:r>
              <w:rPr>
                <w:rFonts w:hint="eastAsia" w:ascii="宋体" w:hAnsi="宋体" w:eastAsia="宋体" w:cs="宋体"/>
                <w:kern w:val="0"/>
                <w:szCs w:val="21"/>
              </w:rPr>
              <w:t>支持IGMP v1/v2/v3，MLD v1/v2；支持PIM Snooping；支持MSDP，MSDP for IPv6；支持MBGP，MBGP for Ipv6</w:t>
            </w:r>
          </w:p>
          <w:p w14:paraId="55208676">
            <w:pPr>
              <w:pStyle w:val="145"/>
              <w:numPr>
                <w:ilvl w:val="0"/>
                <w:numId w:val="32"/>
              </w:numPr>
              <w:spacing w:line="360" w:lineRule="auto"/>
              <w:ind w:firstLineChars="0"/>
              <w:rPr>
                <w:rFonts w:hint="eastAsia" w:ascii="宋体" w:hAnsi="宋体" w:eastAsia="宋体" w:cs="宋体"/>
                <w:kern w:val="0"/>
                <w:szCs w:val="21"/>
              </w:rPr>
            </w:pPr>
            <w:r>
              <w:rPr>
                <w:rFonts w:hint="eastAsia" w:ascii="宋体" w:hAnsi="宋体" w:eastAsia="宋体" w:cs="宋体"/>
                <w:kern w:val="0"/>
                <w:szCs w:val="21"/>
              </w:rPr>
              <w:t>支持OPENFLOW 1.3标准支持普通模式和Openflow 模式切换</w:t>
            </w:r>
          </w:p>
          <w:p w14:paraId="432B7458">
            <w:pPr>
              <w:pStyle w:val="145"/>
              <w:numPr>
                <w:ilvl w:val="0"/>
                <w:numId w:val="32"/>
              </w:numPr>
              <w:spacing w:line="360" w:lineRule="auto"/>
              <w:ind w:firstLineChars="0"/>
              <w:rPr>
                <w:rFonts w:hint="eastAsia" w:ascii="宋体" w:hAnsi="宋体" w:eastAsia="宋体" w:cs="宋体"/>
                <w:kern w:val="0"/>
                <w:szCs w:val="21"/>
              </w:rPr>
            </w:pPr>
            <w:r>
              <w:rPr>
                <w:rFonts w:hint="eastAsia" w:ascii="宋体" w:hAnsi="宋体" w:eastAsia="宋体" w:cs="宋体"/>
                <w:kern w:val="0"/>
                <w:szCs w:val="21"/>
              </w:rPr>
              <w:t>支持IPv4静态路由、RIP V1/V2、OSPF；支持IPv6静态路由、RIPng</w:t>
            </w:r>
          </w:p>
          <w:p w14:paraId="57BAD5FB">
            <w:pPr>
              <w:pStyle w:val="145"/>
              <w:numPr>
                <w:ilvl w:val="0"/>
                <w:numId w:val="32"/>
              </w:numPr>
              <w:spacing w:line="360" w:lineRule="auto"/>
              <w:ind w:firstLineChars="0"/>
              <w:rPr>
                <w:rFonts w:hint="eastAsia" w:ascii="宋体" w:hAnsi="宋体" w:eastAsia="宋体" w:cs="宋体"/>
                <w:kern w:val="0"/>
                <w:szCs w:val="21"/>
              </w:rPr>
            </w:pPr>
            <w:r>
              <w:rPr>
                <w:rFonts w:hint="eastAsia" w:ascii="宋体" w:hAnsi="宋体" w:eastAsia="宋体" w:cs="宋体"/>
                <w:kern w:val="0"/>
                <w:szCs w:val="21"/>
              </w:rPr>
              <w:t>支持快速环网保护协议，环网故障恢复时间不超过50ms；支持RSTP功能：收敛时间≤50ms；支持PVST功能：收敛时间≤50ms</w:t>
            </w:r>
          </w:p>
          <w:p w14:paraId="1776E125">
            <w:pPr>
              <w:pStyle w:val="145"/>
              <w:numPr>
                <w:ilvl w:val="0"/>
                <w:numId w:val="32"/>
              </w:numPr>
              <w:spacing w:line="360" w:lineRule="auto"/>
              <w:ind w:firstLineChars="0"/>
              <w:rPr>
                <w:rFonts w:hint="eastAsia" w:ascii="宋体" w:hAnsi="宋体" w:eastAsia="宋体" w:cs="宋体"/>
                <w:kern w:val="0"/>
                <w:szCs w:val="21"/>
              </w:rPr>
            </w:pPr>
            <w:r>
              <w:rPr>
                <w:rFonts w:hint="eastAsia" w:ascii="宋体" w:hAnsi="宋体" w:eastAsia="宋体" w:cs="宋体"/>
                <w:kern w:val="0"/>
                <w:szCs w:val="21"/>
              </w:rPr>
              <w:t>支持SNMP V1/V2/V3、RMON、SSHV2；支持OAM(802.1AG， 802.3AH)以太网运行、维护和管理标准</w:t>
            </w:r>
          </w:p>
          <w:p w14:paraId="642AEB1D">
            <w:pPr>
              <w:pStyle w:val="145"/>
              <w:numPr>
                <w:ilvl w:val="0"/>
                <w:numId w:val="32"/>
              </w:numPr>
              <w:spacing w:line="360" w:lineRule="auto"/>
              <w:ind w:firstLineChars="0"/>
              <w:rPr>
                <w:rFonts w:hint="eastAsia" w:ascii="宋体" w:hAnsi="宋体" w:eastAsia="宋体" w:cs="宋体"/>
                <w:kern w:val="0"/>
                <w:szCs w:val="21"/>
              </w:rPr>
            </w:pPr>
            <w:r>
              <w:rPr>
                <w:rFonts w:hint="eastAsia" w:ascii="宋体" w:hAnsi="宋体" w:eastAsia="宋体" w:cs="宋体"/>
                <w:kern w:val="0"/>
                <w:szCs w:val="21"/>
              </w:rPr>
              <w:t>为了避免强雷雨天气，设备遭受雷击损坏。要求设备端口具备10KV抗雷击。</w:t>
            </w:r>
          </w:p>
          <w:p w14:paraId="431EA75C">
            <w:pPr>
              <w:pStyle w:val="145"/>
              <w:numPr>
                <w:ilvl w:val="0"/>
                <w:numId w:val="32"/>
              </w:numPr>
              <w:spacing w:line="360" w:lineRule="auto"/>
              <w:ind w:firstLineChars="0"/>
              <w:rPr>
                <w:rFonts w:hint="eastAsia" w:ascii="宋体" w:hAnsi="宋体" w:eastAsia="宋体" w:cs="宋体"/>
                <w:kern w:val="0"/>
                <w:szCs w:val="21"/>
              </w:rPr>
            </w:pPr>
            <w:r>
              <w:rPr>
                <w:rFonts w:hint="eastAsia" w:ascii="宋体" w:hAnsi="宋体" w:eastAsia="宋体" w:cs="宋体"/>
                <w:szCs w:val="21"/>
              </w:rPr>
              <w:t>符合IEEE 802.3az（EEE）节能标准，支持端口休眠，关闭没有应用的端口，节省能源，支持智能风扇调速，支持端口定时down功能（Schedule job）</w:t>
            </w:r>
          </w:p>
          <w:p w14:paraId="211B833F">
            <w:pPr>
              <w:pStyle w:val="145"/>
              <w:numPr>
                <w:ilvl w:val="0"/>
                <w:numId w:val="32"/>
              </w:numPr>
              <w:spacing w:line="360" w:lineRule="auto"/>
              <w:ind w:firstLineChars="0"/>
              <w:rPr>
                <w:rFonts w:hint="eastAsia" w:ascii="宋体" w:hAnsi="宋体" w:eastAsia="宋体" w:cs="宋体"/>
                <w:kern w:val="0"/>
                <w:szCs w:val="21"/>
              </w:rPr>
            </w:pPr>
            <w:r>
              <w:rPr>
                <w:rFonts w:hint="eastAsia" w:ascii="宋体" w:hAnsi="宋体" w:eastAsia="宋体" w:cs="宋体"/>
                <w:kern w:val="0"/>
                <w:szCs w:val="21"/>
              </w:rPr>
              <w:t xml:space="preserve">支持DLDP，支持虚拟电缆检测(Virtual Cable Test) </w:t>
            </w:r>
          </w:p>
          <w:p w14:paraId="77180424">
            <w:pPr>
              <w:pStyle w:val="145"/>
              <w:numPr>
                <w:ilvl w:val="0"/>
                <w:numId w:val="32"/>
              </w:numPr>
              <w:spacing w:line="360" w:lineRule="auto"/>
              <w:ind w:firstLineChars="0"/>
              <w:rPr>
                <w:rFonts w:hint="eastAsia" w:ascii="宋体" w:hAnsi="宋体" w:eastAsia="宋体" w:cs="宋体"/>
                <w:kern w:val="0"/>
                <w:szCs w:val="21"/>
              </w:rPr>
            </w:pPr>
            <w:r>
              <w:rPr>
                <w:rFonts w:hint="eastAsia" w:ascii="宋体" w:hAnsi="宋体" w:eastAsia="宋体" w:cs="宋体"/>
                <w:kern w:val="0"/>
                <w:szCs w:val="21"/>
              </w:rPr>
              <w:t>支持模块化双电源</w:t>
            </w:r>
          </w:p>
          <w:p w14:paraId="5E780E57">
            <w:pPr>
              <w:pStyle w:val="145"/>
              <w:numPr>
                <w:ilvl w:val="0"/>
                <w:numId w:val="32"/>
              </w:numPr>
              <w:spacing w:line="360" w:lineRule="auto"/>
              <w:ind w:firstLineChars="0"/>
              <w:rPr>
                <w:rFonts w:hint="eastAsia" w:ascii="宋体" w:hAnsi="宋体" w:eastAsia="宋体" w:cs="宋体"/>
                <w:kern w:val="0"/>
                <w:szCs w:val="21"/>
              </w:rPr>
            </w:pPr>
            <w:r>
              <w:rPr>
                <w:rFonts w:hint="eastAsia" w:ascii="宋体" w:hAnsi="宋体" w:eastAsia="宋体" w:cs="宋体"/>
                <w:kern w:val="0"/>
                <w:szCs w:val="21"/>
                <w:lang w:val="en-US" w:eastAsia="zh-CN"/>
              </w:rPr>
              <w:t>安全加固：包含接入宁德调度数据网的安全加固</w:t>
            </w:r>
          </w:p>
        </w:tc>
      </w:tr>
      <w:bookmarkEnd w:id="218"/>
    </w:tbl>
    <w:p w14:paraId="5BC3937C">
      <w:pPr>
        <w:widowControl/>
        <w:jc w:val="left"/>
        <w:rPr>
          <w:rFonts w:hint="eastAsia" w:ascii="宋体" w:hAnsi="宋体" w:eastAsia="宋体" w:cs="宋体"/>
          <w:b/>
          <w:bCs/>
          <w:kern w:val="0"/>
          <w:sz w:val="24"/>
          <w:szCs w:val="21"/>
        </w:rPr>
      </w:pPr>
    </w:p>
    <w:p w14:paraId="306A7179">
      <w:pPr>
        <w:pStyle w:val="218"/>
        <w:spacing w:line="360" w:lineRule="auto"/>
        <w:outlineLvl w:val="9"/>
        <w:rPr>
          <w:rFonts w:hint="eastAsia" w:ascii="宋体" w:hAnsi="宋体" w:eastAsia="宋体" w:cs="宋体"/>
          <w:b/>
          <w:bCs/>
          <w:kern w:val="0"/>
          <w:sz w:val="28"/>
        </w:rPr>
      </w:pPr>
      <w:r>
        <w:rPr>
          <w:rFonts w:hint="eastAsia" w:ascii="宋体" w:hAnsi="宋体" w:eastAsia="宋体" w:cs="宋体"/>
          <w:b/>
          <w:bCs/>
          <w:kern w:val="0"/>
          <w:sz w:val="28"/>
        </w:rPr>
        <w:t>5</w:t>
      </w:r>
      <w:r>
        <w:rPr>
          <w:rFonts w:hint="eastAsia" w:ascii="宋体" w:hAnsi="宋体" w:eastAsia="宋体" w:cs="宋体"/>
          <w:b/>
          <w:bCs/>
          <w:kern w:val="0"/>
          <w:sz w:val="28"/>
          <w:lang w:eastAsia="zh-CN"/>
        </w:rPr>
        <w:t>安装</w:t>
      </w:r>
      <w:r>
        <w:rPr>
          <w:rFonts w:hint="eastAsia" w:ascii="宋体" w:hAnsi="宋体" w:eastAsia="宋体" w:cs="宋体"/>
          <w:b/>
          <w:bCs/>
          <w:kern w:val="0"/>
          <w:sz w:val="28"/>
        </w:rPr>
        <w:t>和验收</w:t>
      </w:r>
      <w:bookmarkEnd w:id="217"/>
    </w:p>
    <w:p w14:paraId="4956579A">
      <w:pPr>
        <w:autoSpaceDE w:val="0"/>
        <w:autoSpaceDN w:val="0"/>
        <w:adjustRightInd w:val="0"/>
        <w:spacing w:line="360" w:lineRule="auto"/>
        <w:jc w:val="left"/>
        <w:rPr>
          <w:rFonts w:hint="eastAsia" w:ascii="宋体" w:hAnsi="宋体" w:eastAsia="宋体" w:cs="宋体"/>
          <w:b/>
          <w:bCs/>
          <w:sz w:val="24"/>
        </w:rPr>
      </w:pPr>
      <w:r>
        <w:rPr>
          <w:rFonts w:hint="eastAsia" w:ascii="宋体" w:hAnsi="宋体" w:eastAsia="宋体" w:cs="宋体"/>
          <w:b/>
          <w:bCs/>
          <w:sz w:val="24"/>
        </w:rPr>
        <w:t>5.1 安装调试</w:t>
      </w:r>
    </w:p>
    <w:p w14:paraId="7EF958CF">
      <w:pPr>
        <w:pStyle w:val="218"/>
        <w:spacing w:line="360" w:lineRule="auto"/>
        <w:ind w:firstLine="420"/>
        <w:rPr>
          <w:rFonts w:hint="eastAsia" w:ascii="宋体" w:hAnsi="宋体" w:eastAsia="宋体" w:cs="宋体"/>
          <w:kern w:val="0"/>
          <w:sz w:val="24"/>
        </w:rPr>
      </w:pPr>
      <w:r>
        <w:rPr>
          <w:rFonts w:hint="eastAsia" w:ascii="宋体" w:hAnsi="宋体" w:eastAsia="宋体" w:cs="宋体"/>
          <w:kern w:val="0"/>
          <w:sz w:val="24"/>
        </w:rPr>
        <w:t>5.1.1 安装地点和环境在采购人指定的地点，</w:t>
      </w:r>
      <w:r>
        <w:rPr>
          <w:rFonts w:hint="eastAsia" w:ascii="宋体" w:hAnsi="宋体" w:eastAsia="宋体" w:cs="宋体"/>
          <w:kern w:val="0"/>
          <w:sz w:val="24"/>
          <w:lang w:eastAsia="zh-CN"/>
        </w:rPr>
        <w:t>供应商</w:t>
      </w:r>
      <w:r>
        <w:rPr>
          <w:rFonts w:hint="eastAsia" w:ascii="宋体" w:hAnsi="宋体" w:eastAsia="宋体" w:cs="宋体"/>
          <w:kern w:val="0"/>
          <w:sz w:val="24"/>
        </w:rPr>
        <w:t>应负责设备的安装、调试，保障设备正常运行。</w:t>
      </w:r>
      <w:r>
        <w:rPr>
          <w:rFonts w:hint="eastAsia" w:ascii="宋体" w:hAnsi="宋体" w:eastAsia="宋体" w:cs="宋体"/>
          <w:kern w:val="0"/>
          <w:sz w:val="24"/>
          <w:lang w:eastAsia="zh-CN"/>
        </w:rPr>
        <w:t>供应商</w:t>
      </w:r>
      <w:r>
        <w:rPr>
          <w:rFonts w:hint="eastAsia" w:ascii="宋体" w:hAnsi="宋体" w:eastAsia="宋体" w:cs="宋体"/>
          <w:kern w:val="0"/>
          <w:sz w:val="24"/>
        </w:rPr>
        <w:t>需明确以下问题：</w:t>
      </w:r>
    </w:p>
    <w:p w14:paraId="3224DFC7">
      <w:pPr>
        <w:pStyle w:val="218"/>
        <w:spacing w:line="360" w:lineRule="auto"/>
        <w:ind w:firstLine="420"/>
        <w:rPr>
          <w:rFonts w:hint="eastAsia" w:ascii="宋体" w:hAnsi="宋体" w:eastAsia="宋体" w:cs="宋体"/>
          <w:kern w:val="0"/>
          <w:sz w:val="24"/>
        </w:rPr>
      </w:pPr>
      <w:r>
        <w:rPr>
          <w:rFonts w:hint="eastAsia" w:ascii="宋体" w:hAnsi="宋体" w:eastAsia="宋体" w:cs="宋体"/>
          <w:kern w:val="0"/>
          <w:sz w:val="24"/>
        </w:rPr>
        <w:t>a） 设备安装由</w:t>
      </w:r>
      <w:r>
        <w:rPr>
          <w:rFonts w:hint="eastAsia" w:ascii="宋体" w:hAnsi="宋体" w:eastAsia="宋体" w:cs="宋体"/>
          <w:kern w:val="0"/>
          <w:sz w:val="24"/>
          <w:lang w:eastAsia="zh-CN"/>
        </w:rPr>
        <w:t>供应商</w:t>
      </w:r>
      <w:r>
        <w:rPr>
          <w:rFonts w:hint="eastAsia" w:ascii="宋体" w:hAnsi="宋体" w:eastAsia="宋体" w:cs="宋体"/>
          <w:kern w:val="0"/>
          <w:sz w:val="24"/>
        </w:rPr>
        <w:t>负责；</w:t>
      </w:r>
    </w:p>
    <w:p w14:paraId="5CE88B2F">
      <w:pPr>
        <w:pStyle w:val="218"/>
        <w:spacing w:line="360" w:lineRule="auto"/>
        <w:ind w:firstLine="420"/>
        <w:rPr>
          <w:rFonts w:hint="eastAsia" w:ascii="宋体" w:hAnsi="宋体" w:eastAsia="宋体" w:cs="宋体"/>
          <w:kern w:val="0"/>
          <w:sz w:val="24"/>
        </w:rPr>
      </w:pPr>
      <w:r>
        <w:rPr>
          <w:rFonts w:hint="eastAsia" w:ascii="宋体" w:hAnsi="宋体" w:eastAsia="宋体" w:cs="宋体"/>
          <w:kern w:val="0"/>
          <w:sz w:val="24"/>
        </w:rPr>
        <w:t xml:space="preserve">b） </w:t>
      </w:r>
      <w:r>
        <w:rPr>
          <w:rFonts w:hint="eastAsia" w:ascii="宋体" w:hAnsi="宋体" w:eastAsia="宋体" w:cs="宋体"/>
          <w:kern w:val="0"/>
          <w:sz w:val="24"/>
          <w:lang w:eastAsia="zh-CN"/>
        </w:rPr>
        <w:t>供应商</w:t>
      </w:r>
      <w:r>
        <w:rPr>
          <w:rFonts w:hint="eastAsia" w:ascii="宋体" w:hAnsi="宋体" w:eastAsia="宋体" w:cs="宋体"/>
          <w:kern w:val="0"/>
          <w:sz w:val="24"/>
        </w:rPr>
        <w:t>负责对施工地点进行现场勘察，提供工程施工和相关安装资料，并负责指导采购人的相关人员掌握和使用这些设备及熟悉相关技术资料。</w:t>
      </w:r>
    </w:p>
    <w:p w14:paraId="33E0FC4E">
      <w:pPr>
        <w:pStyle w:val="218"/>
        <w:spacing w:line="360" w:lineRule="auto"/>
        <w:ind w:firstLine="420"/>
        <w:rPr>
          <w:rFonts w:hint="eastAsia" w:ascii="宋体" w:hAnsi="宋体" w:eastAsia="宋体" w:cs="宋体"/>
          <w:kern w:val="0"/>
          <w:sz w:val="24"/>
        </w:rPr>
      </w:pPr>
      <w:r>
        <w:rPr>
          <w:rFonts w:hint="eastAsia" w:ascii="宋体" w:hAnsi="宋体" w:eastAsia="宋体" w:cs="宋体"/>
          <w:kern w:val="0"/>
          <w:sz w:val="24"/>
        </w:rPr>
        <w:t>5.1.2 安装调测时使用的工具、设备由</w:t>
      </w:r>
      <w:r>
        <w:rPr>
          <w:rFonts w:hint="eastAsia" w:ascii="宋体" w:hAnsi="宋体" w:eastAsia="宋体" w:cs="宋体"/>
          <w:kern w:val="0"/>
          <w:sz w:val="24"/>
          <w:lang w:eastAsia="zh-CN"/>
        </w:rPr>
        <w:t>供应商</w:t>
      </w:r>
      <w:r>
        <w:rPr>
          <w:rFonts w:hint="eastAsia" w:ascii="宋体" w:hAnsi="宋体" w:eastAsia="宋体" w:cs="宋体"/>
          <w:kern w:val="0"/>
          <w:sz w:val="24"/>
        </w:rPr>
        <w:t>提供，通用工具由采购人协助解决。双方应协商制定工程进度表，</w:t>
      </w:r>
      <w:r>
        <w:rPr>
          <w:rFonts w:hint="eastAsia" w:ascii="宋体" w:hAnsi="宋体" w:eastAsia="宋体" w:cs="宋体"/>
          <w:kern w:val="0"/>
          <w:sz w:val="24"/>
          <w:lang w:eastAsia="zh-CN"/>
        </w:rPr>
        <w:t>供应商</w:t>
      </w:r>
      <w:r>
        <w:rPr>
          <w:rFonts w:hint="eastAsia" w:ascii="宋体" w:hAnsi="宋体" w:eastAsia="宋体" w:cs="宋体"/>
          <w:kern w:val="0"/>
          <w:sz w:val="24"/>
        </w:rPr>
        <w:t>负责按工程进度表进行施工。</w:t>
      </w:r>
    </w:p>
    <w:p w14:paraId="69367D4A">
      <w:pPr>
        <w:pStyle w:val="218"/>
        <w:spacing w:line="360" w:lineRule="auto"/>
        <w:ind w:firstLine="420"/>
        <w:rPr>
          <w:rFonts w:hint="eastAsia" w:ascii="宋体" w:hAnsi="宋体" w:eastAsia="宋体" w:cs="宋体"/>
          <w:kern w:val="0"/>
          <w:sz w:val="24"/>
        </w:rPr>
      </w:pPr>
      <w:r>
        <w:rPr>
          <w:rFonts w:hint="eastAsia" w:ascii="宋体" w:hAnsi="宋体" w:eastAsia="宋体" w:cs="宋体"/>
          <w:kern w:val="0"/>
          <w:sz w:val="24"/>
        </w:rPr>
        <w:t>5.1.3 设备调试由</w:t>
      </w:r>
      <w:r>
        <w:rPr>
          <w:rFonts w:hint="eastAsia" w:ascii="宋体" w:hAnsi="宋体" w:eastAsia="宋体" w:cs="宋体"/>
          <w:kern w:val="0"/>
          <w:sz w:val="24"/>
          <w:lang w:eastAsia="zh-CN"/>
        </w:rPr>
        <w:t>供应商</w:t>
      </w:r>
      <w:r>
        <w:rPr>
          <w:rFonts w:hint="eastAsia" w:ascii="宋体" w:hAnsi="宋体" w:eastAsia="宋体" w:cs="宋体"/>
          <w:kern w:val="0"/>
          <w:sz w:val="24"/>
        </w:rPr>
        <w:t>负责，</w:t>
      </w:r>
      <w:r>
        <w:rPr>
          <w:rFonts w:hint="eastAsia" w:ascii="宋体" w:hAnsi="宋体" w:eastAsia="宋体" w:cs="宋体"/>
          <w:kern w:val="0"/>
          <w:sz w:val="24"/>
          <w:lang w:eastAsia="zh-CN"/>
        </w:rPr>
        <w:t>供应商</w:t>
      </w:r>
      <w:r>
        <w:rPr>
          <w:rFonts w:hint="eastAsia" w:ascii="宋体" w:hAnsi="宋体" w:eastAsia="宋体" w:cs="宋体"/>
          <w:kern w:val="0"/>
          <w:sz w:val="24"/>
        </w:rPr>
        <w:t>调试前应提出完整的调试计划并经采购人确认，包括设备调试的内容、项目、指标、方法和进度，并提供相应的仪器和工具。</w:t>
      </w:r>
      <w:r>
        <w:rPr>
          <w:rFonts w:hint="eastAsia" w:ascii="宋体" w:hAnsi="宋体" w:eastAsia="宋体" w:cs="宋体"/>
          <w:kern w:val="0"/>
          <w:sz w:val="24"/>
          <w:lang w:eastAsia="zh-CN"/>
        </w:rPr>
        <w:t>供应商</w:t>
      </w:r>
      <w:r>
        <w:rPr>
          <w:rFonts w:hint="eastAsia" w:ascii="宋体" w:hAnsi="宋体" w:eastAsia="宋体" w:cs="宋体"/>
          <w:kern w:val="0"/>
          <w:sz w:val="24"/>
        </w:rPr>
        <w:t>应对采购人的技术人员提出的问题做出解答。</w:t>
      </w:r>
    </w:p>
    <w:p w14:paraId="58DE4948">
      <w:pPr>
        <w:autoSpaceDE w:val="0"/>
        <w:autoSpaceDN w:val="0"/>
        <w:adjustRightInd w:val="0"/>
        <w:spacing w:line="360" w:lineRule="auto"/>
        <w:jc w:val="left"/>
        <w:rPr>
          <w:rFonts w:hint="eastAsia" w:ascii="宋体" w:hAnsi="宋体" w:eastAsia="宋体" w:cs="宋体"/>
          <w:b/>
          <w:bCs/>
          <w:sz w:val="24"/>
        </w:rPr>
      </w:pPr>
      <w:r>
        <w:rPr>
          <w:rFonts w:hint="eastAsia" w:ascii="宋体" w:hAnsi="宋体" w:eastAsia="宋体" w:cs="宋体"/>
          <w:b/>
          <w:bCs/>
          <w:sz w:val="24"/>
        </w:rPr>
        <w:t>5.2 设备验收</w:t>
      </w:r>
    </w:p>
    <w:p w14:paraId="554DE579">
      <w:pPr>
        <w:pStyle w:val="218"/>
        <w:spacing w:line="360" w:lineRule="auto"/>
        <w:ind w:firstLine="420"/>
        <w:rPr>
          <w:rFonts w:hint="eastAsia" w:ascii="宋体" w:hAnsi="宋体" w:eastAsia="宋体" w:cs="宋体"/>
          <w:kern w:val="0"/>
          <w:sz w:val="24"/>
        </w:rPr>
      </w:pPr>
      <w:r>
        <w:rPr>
          <w:rFonts w:hint="eastAsia" w:ascii="宋体" w:hAnsi="宋体" w:eastAsia="宋体" w:cs="宋体"/>
          <w:kern w:val="0"/>
          <w:sz w:val="24"/>
        </w:rPr>
        <w:t>5.2.1 项目单位与</w:t>
      </w:r>
      <w:r>
        <w:rPr>
          <w:rFonts w:hint="eastAsia" w:ascii="宋体" w:hAnsi="宋体" w:eastAsia="宋体" w:cs="宋体"/>
          <w:kern w:val="0"/>
          <w:sz w:val="24"/>
          <w:lang w:eastAsia="zh-CN"/>
        </w:rPr>
        <w:t>供应商</w:t>
      </w:r>
      <w:r>
        <w:rPr>
          <w:rFonts w:hint="eastAsia" w:ascii="宋体" w:hAnsi="宋体" w:eastAsia="宋体" w:cs="宋体"/>
          <w:kern w:val="0"/>
          <w:sz w:val="24"/>
        </w:rPr>
        <w:t>对设备到货后共同配合进行开箱检查，出现损坏、数量不全或产品不对等问题时，由</w:t>
      </w:r>
      <w:r>
        <w:rPr>
          <w:rFonts w:hint="eastAsia" w:ascii="宋体" w:hAnsi="宋体" w:eastAsia="宋体" w:cs="宋体"/>
          <w:kern w:val="0"/>
          <w:sz w:val="24"/>
          <w:lang w:eastAsia="zh-CN"/>
        </w:rPr>
        <w:t>供应商</w:t>
      </w:r>
      <w:r>
        <w:rPr>
          <w:rFonts w:hint="eastAsia" w:ascii="宋体" w:hAnsi="宋体" w:eastAsia="宋体" w:cs="宋体"/>
          <w:kern w:val="0"/>
          <w:sz w:val="24"/>
        </w:rPr>
        <w:t>负责解决。</w:t>
      </w:r>
    </w:p>
    <w:p w14:paraId="417E6037">
      <w:pPr>
        <w:pStyle w:val="218"/>
        <w:spacing w:line="360" w:lineRule="auto"/>
        <w:ind w:firstLine="420"/>
        <w:rPr>
          <w:rFonts w:hint="eastAsia" w:ascii="宋体" w:hAnsi="宋体" w:eastAsia="宋体" w:cs="宋体"/>
          <w:kern w:val="0"/>
          <w:sz w:val="24"/>
        </w:rPr>
      </w:pPr>
      <w:r>
        <w:rPr>
          <w:rFonts w:hint="eastAsia" w:ascii="宋体" w:hAnsi="宋体" w:eastAsia="宋体" w:cs="宋体"/>
          <w:kern w:val="0"/>
          <w:sz w:val="24"/>
        </w:rPr>
        <w:t>5.2.2 依技术规范要求对全部设备、产品、型号、规格、数量、外形、外观、包装及资料、文件（包括装箱单、保修单、随箱介质等）的验收。</w:t>
      </w:r>
    </w:p>
    <w:p w14:paraId="34EF5178">
      <w:pPr>
        <w:pStyle w:val="218"/>
        <w:spacing w:line="360" w:lineRule="auto"/>
        <w:ind w:firstLine="420"/>
        <w:rPr>
          <w:rFonts w:hint="eastAsia" w:ascii="宋体" w:hAnsi="宋体" w:eastAsia="宋体" w:cs="宋体"/>
          <w:kern w:val="0"/>
          <w:sz w:val="24"/>
        </w:rPr>
      </w:pPr>
      <w:r>
        <w:rPr>
          <w:rFonts w:hint="eastAsia" w:ascii="宋体" w:hAnsi="宋体" w:eastAsia="宋体" w:cs="宋体"/>
          <w:kern w:val="0"/>
          <w:sz w:val="24"/>
        </w:rPr>
        <w:t>5.2.3 全部设备应在规定的地点和环境下，进行安装、调试，加电实现正常运行，并达到技术规范要求的性能和产品技术规格中的性能。</w:t>
      </w:r>
    </w:p>
    <w:p w14:paraId="0FD82995">
      <w:pPr>
        <w:pStyle w:val="218"/>
        <w:spacing w:line="360" w:lineRule="auto"/>
        <w:ind w:firstLine="420"/>
        <w:rPr>
          <w:rFonts w:hint="eastAsia" w:ascii="宋体" w:hAnsi="宋体" w:eastAsia="宋体" w:cs="宋体"/>
          <w:kern w:val="0"/>
          <w:sz w:val="24"/>
        </w:rPr>
      </w:pPr>
      <w:r>
        <w:rPr>
          <w:rFonts w:hint="eastAsia" w:ascii="宋体" w:hAnsi="宋体" w:eastAsia="宋体" w:cs="宋体"/>
          <w:kern w:val="0"/>
          <w:sz w:val="24"/>
        </w:rPr>
        <w:t>5.2.4 按规范技术部分要求对产品进行测试检查。设备产品测试中出现性能指标或功能上不符合规范和合同时，项目单位有拒收的权利。</w:t>
      </w:r>
    </w:p>
    <w:p w14:paraId="6B66ACC5">
      <w:pPr>
        <w:pStyle w:val="218"/>
        <w:spacing w:line="360" w:lineRule="auto"/>
        <w:ind w:firstLine="420"/>
        <w:rPr>
          <w:rFonts w:hint="eastAsia" w:ascii="宋体" w:hAnsi="宋体" w:eastAsia="宋体" w:cs="宋体"/>
          <w:kern w:val="0"/>
          <w:sz w:val="24"/>
        </w:rPr>
      </w:pPr>
      <w:r>
        <w:rPr>
          <w:rFonts w:hint="eastAsia" w:ascii="宋体" w:hAnsi="宋体" w:eastAsia="宋体" w:cs="宋体"/>
          <w:kern w:val="0"/>
          <w:sz w:val="24"/>
        </w:rPr>
        <w:t>5.2.5 如验收及测试中出现不符合规范和合同要求的严重质量问题时，采购人保留索赔权利。</w:t>
      </w:r>
    </w:p>
    <w:p w14:paraId="4965E4CB">
      <w:pPr>
        <w:pStyle w:val="218"/>
        <w:spacing w:line="360" w:lineRule="auto"/>
        <w:outlineLvl w:val="9"/>
        <w:rPr>
          <w:rFonts w:hint="eastAsia" w:ascii="宋体" w:hAnsi="宋体" w:eastAsia="宋体" w:cs="宋体"/>
          <w:b/>
          <w:bCs/>
          <w:kern w:val="0"/>
          <w:sz w:val="28"/>
          <w:lang w:eastAsia="zh-CN"/>
        </w:rPr>
      </w:pPr>
      <w:bookmarkStart w:id="219" w:name="_Toc528855121"/>
      <w:r>
        <w:rPr>
          <w:rFonts w:hint="eastAsia" w:ascii="宋体" w:hAnsi="宋体" w:eastAsia="宋体" w:cs="宋体"/>
          <w:b/>
          <w:bCs/>
          <w:kern w:val="0"/>
          <w:sz w:val="28"/>
        </w:rPr>
        <w:t xml:space="preserve">6 </w:t>
      </w:r>
      <w:bookmarkEnd w:id="219"/>
      <w:r>
        <w:rPr>
          <w:rFonts w:hint="eastAsia" w:ascii="宋体" w:hAnsi="宋体" w:eastAsia="宋体" w:cs="宋体"/>
          <w:b/>
          <w:bCs/>
          <w:kern w:val="0"/>
          <w:sz w:val="28"/>
          <w:lang w:eastAsia="zh-CN"/>
        </w:rPr>
        <w:t>服务要求</w:t>
      </w:r>
    </w:p>
    <w:p w14:paraId="12B27AE1">
      <w:pPr>
        <w:autoSpaceDE w:val="0"/>
        <w:autoSpaceDN w:val="0"/>
        <w:adjustRightInd w:val="0"/>
        <w:spacing w:line="360" w:lineRule="auto"/>
        <w:jc w:val="left"/>
        <w:outlineLvl w:val="9"/>
        <w:rPr>
          <w:rFonts w:hint="eastAsia" w:ascii="宋体" w:hAnsi="宋体" w:eastAsia="宋体" w:cs="宋体"/>
          <w:b/>
          <w:bCs/>
          <w:sz w:val="24"/>
        </w:rPr>
      </w:pPr>
      <w:bookmarkStart w:id="220" w:name="_Toc528855122"/>
      <w:r>
        <w:rPr>
          <w:rFonts w:hint="eastAsia" w:ascii="宋体" w:hAnsi="宋体" w:eastAsia="宋体" w:cs="宋体"/>
          <w:b/>
          <w:bCs/>
          <w:sz w:val="24"/>
        </w:rPr>
        <w:t>6.1 技术服务</w:t>
      </w:r>
      <w:bookmarkEnd w:id="220"/>
    </w:p>
    <w:p w14:paraId="4F78FDC6">
      <w:pPr>
        <w:pStyle w:val="218"/>
        <w:spacing w:line="360" w:lineRule="auto"/>
        <w:ind w:firstLine="420"/>
        <w:outlineLvl w:val="9"/>
        <w:rPr>
          <w:rFonts w:hint="eastAsia" w:ascii="宋体" w:hAnsi="宋体" w:eastAsia="宋体" w:cs="宋体"/>
          <w:b/>
          <w:bCs/>
          <w:kern w:val="0"/>
          <w:sz w:val="24"/>
        </w:rPr>
      </w:pPr>
      <w:bookmarkStart w:id="221" w:name="_Toc528855123"/>
      <w:r>
        <w:rPr>
          <w:rFonts w:hint="eastAsia" w:ascii="宋体" w:hAnsi="宋体" w:eastAsia="宋体" w:cs="宋体"/>
          <w:b/>
          <w:bCs/>
          <w:kern w:val="0"/>
          <w:sz w:val="24"/>
        </w:rPr>
        <w:t>6.1.1 技术后援支持</w:t>
      </w:r>
      <w:bookmarkEnd w:id="221"/>
    </w:p>
    <w:p w14:paraId="35966B79">
      <w:pPr>
        <w:pStyle w:val="218"/>
        <w:spacing w:line="360" w:lineRule="auto"/>
        <w:ind w:firstLine="420"/>
        <w:rPr>
          <w:rFonts w:hint="eastAsia" w:ascii="宋体" w:hAnsi="宋体" w:eastAsia="宋体" w:cs="宋体"/>
          <w:kern w:val="0"/>
          <w:sz w:val="24"/>
        </w:rPr>
      </w:pPr>
      <w:r>
        <w:rPr>
          <w:rFonts w:hint="eastAsia" w:ascii="宋体" w:hAnsi="宋体" w:eastAsia="宋体" w:cs="宋体"/>
          <w:kern w:val="0"/>
          <w:sz w:val="24"/>
          <w:lang w:eastAsia="zh-CN"/>
        </w:rPr>
        <w:t>供应商</w:t>
      </w:r>
      <w:r>
        <w:rPr>
          <w:rFonts w:hint="eastAsia" w:ascii="宋体" w:hAnsi="宋体" w:eastAsia="宋体" w:cs="宋体"/>
          <w:kern w:val="0"/>
          <w:sz w:val="24"/>
        </w:rPr>
        <w:t>应向采购人承诺技术后援支持，为今后采购人主要软、硬件设备的功能扩充、服务提供至少1年的技术支持。</w:t>
      </w:r>
    </w:p>
    <w:p w14:paraId="6D1AC686">
      <w:pPr>
        <w:pStyle w:val="218"/>
        <w:spacing w:line="360" w:lineRule="auto"/>
        <w:ind w:firstLine="420"/>
        <w:rPr>
          <w:rFonts w:hint="eastAsia" w:ascii="宋体" w:hAnsi="宋体" w:eastAsia="宋体" w:cs="宋体"/>
          <w:b/>
          <w:bCs/>
          <w:kern w:val="0"/>
          <w:sz w:val="24"/>
        </w:rPr>
      </w:pPr>
      <w:bookmarkStart w:id="222" w:name="_Toc528855124"/>
    </w:p>
    <w:p w14:paraId="020C7875">
      <w:pPr>
        <w:pStyle w:val="218"/>
        <w:spacing w:line="360" w:lineRule="auto"/>
        <w:ind w:firstLine="420"/>
        <w:rPr>
          <w:rFonts w:hint="eastAsia" w:ascii="宋体" w:hAnsi="宋体" w:eastAsia="宋体" w:cs="宋体"/>
          <w:b/>
          <w:bCs/>
          <w:kern w:val="0"/>
          <w:sz w:val="24"/>
        </w:rPr>
      </w:pPr>
      <w:r>
        <w:rPr>
          <w:rFonts w:hint="eastAsia" w:ascii="宋体" w:hAnsi="宋体" w:eastAsia="宋体" w:cs="宋体"/>
          <w:b/>
          <w:bCs/>
          <w:kern w:val="0"/>
          <w:sz w:val="24"/>
        </w:rPr>
        <w:t>6.1.2 质保及售后服务</w:t>
      </w:r>
      <w:bookmarkEnd w:id="222"/>
    </w:p>
    <w:p w14:paraId="099652F2">
      <w:pPr>
        <w:pStyle w:val="218"/>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本部分中所有设备应具备以下条件：</w:t>
      </w:r>
    </w:p>
    <w:p w14:paraId="6CBA3A2A">
      <w:pPr>
        <w:pStyle w:val="218"/>
        <w:spacing w:line="360" w:lineRule="auto"/>
        <w:ind w:firstLine="420"/>
        <w:rPr>
          <w:rFonts w:hint="eastAsia" w:ascii="宋体" w:hAnsi="宋体" w:eastAsia="宋体" w:cs="宋体"/>
          <w:kern w:val="0"/>
          <w:sz w:val="24"/>
        </w:rPr>
      </w:pPr>
      <w:r>
        <w:rPr>
          <w:rFonts w:hint="eastAsia" w:ascii="宋体" w:hAnsi="宋体" w:eastAsia="宋体" w:cs="宋体"/>
          <w:kern w:val="0"/>
          <w:sz w:val="24"/>
        </w:rPr>
        <w:t>a） 质保：所有本部分内包含的产品质保期为</w:t>
      </w:r>
      <w:r>
        <w:rPr>
          <w:rFonts w:hint="eastAsia" w:ascii="宋体" w:hAnsi="宋体" w:eastAsia="宋体" w:cs="宋体"/>
          <w:kern w:val="0"/>
          <w:sz w:val="24"/>
          <w:lang w:val="en-US" w:eastAsia="zh-CN"/>
        </w:rPr>
        <w:t>12</w:t>
      </w:r>
      <w:r>
        <w:rPr>
          <w:rFonts w:hint="eastAsia" w:ascii="宋体" w:hAnsi="宋体" w:eastAsia="宋体" w:cs="宋体"/>
          <w:kern w:val="0"/>
          <w:sz w:val="24"/>
        </w:rPr>
        <w:t>个月，对于设备，包括硬件、软件，在质保期内，提供免费的生产原厂商软件升级包和免费的生产原厂商设备保修备件；质保期自设备通过最终验收之日起计算，其费用计入总价。</w:t>
      </w:r>
    </w:p>
    <w:p w14:paraId="438EB3D7">
      <w:pPr>
        <w:pStyle w:val="218"/>
        <w:spacing w:line="360" w:lineRule="auto"/>
        <w:ind w:firstLine="420"/>
        <w:rPr>
          <w:rFonts w:hint="eastAsia" w:ascii="宋体" w:hAnsi="宋体" w:eastAsia="宋体" w:cs="宋体"/>
          <w:kern w:val="0"/>
          <w:sz w:val="24"/>
        </w:rPr>
      </w:pPr>
      <w:r>
        <w:rPr>
          <w:rFonts w:hint="eastAsia" w:ascii="宋体" w:hAnsi="宋体" w:eastAsia="宋体" w:cs="宋体"/>
          <w:kern w:val="0"/>
          <w:sz w:val="24"/>
        </w:rPr>
        <w:t>b） 售后服务：</w:t>
      </w:r>
      <w:r>
        <w:rPr>
          <w:rFonts w:hint="eastAsia" w:ascii="宋体" w:hAnsi="宋体" w:eastAsia="宋体" w:cs="宋体"/>
          <w:kern w:val="0"/>
          <w:sz w:val="24"/>
          <w:lang w:eastAsia="zh-CN"/>
        </w:rPr>
        <w:t>供应商</w:t>
      </w:r>
      <w:r>
        <w:rPr>
          <w:rFonts w:hint="eastAsia" w:ascii="宋体" w:hAnsi="宋体" w:eastAsia="宋体" w:cs="宋体"/>
          <w:kern w:val="0"/>
          <w:sz w:val="24"/>
        </w:rPr>
        <w:t>需提供质保期内免费的7×24h 技术支持与服务。</w:t>
      </w:r>
      <w:r>
        <w:rPr>
          <w:rFonts w:hint="eastAsia" w:ascii="宋体" w:hAnsi="宋体" w:eastAsia="宋体" w:cs="宋体"/>
          <w:kern w:val="0"/>
          <w:sz w:val="24"/>
          <w:lang w:eastAsia="zh-CN"/>
        </w:rPr>
        <w:t>供应商</w:t>
      </w:r>
      <w:r>
        <w:rPr>
          <w:rFonts w:hint="eastAsia" w:ascii="宋体" w:hAnsi="宋体" w:eastAsia="宋体" w:cs="宋体"/>
          <w:kern w:val="0"/>
          <w:sz w:val="24"/>
        </w:rPr>
        <w:t>应按照如下格式对服务响应时间进行明确描述。设备出现故障时应在2h 内对采购人所提出的维修要求做出响应，如有必要，在甲乙双方协商确定的时间内派出技术人员到现场处理。</w:t>
      </w:r>
    </w:p>
    <w:p w14:paraId="48416018">
      <w:pPr>
        <w:pStyle w:val="218"/>
        <w:spacing w:line="360" w:lineRule="auto"/>
        <w:ind w:firstLine="420"/>
        <w:rPr>
          <w:rFonts w:hint="eastAsia" w:ascii="宋体" w:hAnsi="宋体" w:eastAsia="宋体" w:cs="宋体"/>
          <w:kern w:val="0"/>
          <w:sz w:val="24"/>
        </w:rPr>
      </w:pPr>
      <w:r>
        <w:rPr>
          <w:rFonts w:hint="eastAsia" w:ascii="宋体" w:hAnsi="宋体" w:eastAsia="宋体" w:cs="宋体"/>
          <w:kern w:val="0"/>
          <w:sz w:val="24"/>
        </w:rPr>
        <w:t xml:space="preserve">c） </w:t>
      </w:r>
      <w:r>
        <w:rPr>
          <w:rFonts w:hint="eastAsia" w:ascii="宋体" w:hAnsi="宋体" w:eastAsia="宋体" w:cs="宋体"/>
          <w:kern w:val="0"/>
          <w:sz w:val="24"/>
          <w:lang w:eastAsia="zh-CN"/>
        </w:rPr>
        <w:t>供应商</w:t>
      </w:r>
      <w:r>
        <w:rPr>
          <w:rFonts w:hint="eastAsia" w:ascii="宋体" w:hAnsi="宋体" w:eastAsia="宋体" w:cs="宋体"/>
          <w:kern w:val="0"/>
          <w:sz w:val="24"/>
        </w:rPr>
        <w:t>详细说明所提供的设备原厂商1年售后服务与技术支持的级别及服务内容。</w:t>
      </w:r>
      <w:r>
        <w:rPr>
          <w:rFonts w:hint="eastAsia" w:ascii="宋体" w:hAnsi="宋体" w:eastAsia="宋体" w:cs="宋体"/>
          <w:kern w:val="0"/>
          <w:sz w:val="24"/>
          <w:lang w:eastAsia="zh-CN"/>
        </w:rPr>
        <w:t>供应商</w:t>
      </w:r>
      <w:r>
        <w:rPr>
          <w:rFonts w:hint="eastAsia" w:ascii="宋体" w:hAnsi="宋体" w:eastAsia="宋体" w:cs="宋体"/>
          <w:kern w:val="0"/>
          <w:sz w:val="24"/>
        </w:rPr>
        <w:t>应提出质保期内的维修、维护内容及服务方式、范围（产品、技术、模块、部件）；</w:t>
      </w:r>
    </w:p>
    <w:p w14:paraId="3A535CE1">
      <w:pPr>
        <w:pStyle w:val="218"/>
        <w:spacing w:line="360" w:lineRule="auto"/>
        <w:ind w:firstLine="420"/>
        <w:rPr>
          <w:rFonts w:hint="eastAsia" w:ascii="宋体" w:hAnsi="宋体" w:eastAsia="宋体" w:cs="宋体"/>
          <w:kern w:val="0"/>
          <w:sz w:val="24"/>
        </w:rPr>
      </w:pPr>
      <w:r>
        <w:rPr>
          <w:rFonts w:hint="eastAsia" w:ascii="宋体" w:hAnsi="宋体" w:eastAsia="宋体" w:cs="宋体"/>
          <w:kern w:val="0"/>
          <w:sz w:val="24"/>
        </w:rPr>
        <w:t>d） 在质保期内，</w:t>
      </w:r>
      <w:r>
        <w:rPr>
          <w:rFonts w:hint="eastAsia" w:ascii="宋体" w:hAnsi="宋体" w:eastAsia="宋体" w:cs="宋体"/>
          <w:kern w:val="0"/>
          <w:sz w:val="24"/>
          <w:lang w:eastAsia="zh-CN"/>
        </w:rPr>
        <w:t>供应商</w:t>
      </w:r>
      <w:r>
        <w:rPr>
          <w:rFonts w:hint="eastAsia" w:ascii="宋体" w:hAnsi="宋体" w:eastAsia="宋体" w:cs="宋体"/>
          <w:kern w:val="0"/>
          <w:sz w:val="24"/>
        </w:rPr>
        <w:t>应提供相关软件的免费升级和备品更换服务；</w:t>
      </w:r>
      <w:r>
        <w:rPr>
          <w:rFonts w:hint="eastAsia" w:ascii="宋体" w:hAnsi="宋体" w:eastAsia="宋体" w:cs="宋体"/>
          <w:kern w:val="0"/>
          <w:sz w:val="24"/>
          <w:lang w:eastAsia="zh-CN"/>
        </w:rPr>
        <w:t>供应商</w:t>
      </w:r>
      <w:r>
        <w:rPr>
          <w:rFonts w:hint="eastAsia" w:ascii="宋体" w:hAnsi="宋体" w:eastAsia="宋体" w:cs="宋体"/>
          <w:kern w:val="0"/>
          <w:sz w:val="24"/>
        </w:rPr>
        <w:t>负责对其提供的设备进行现场维修与维护，不收取额外费用；在质保期后</w:t>
      </w:r>
      <w:r>
        <w:rPr>
          <w:rFonts w:hint="eastAsia" w:ascii="宋体" w:hAnsi="宋体" w:eastAsia="宋体" w:cs="宋体"/>
          <w:kern w:val="0"/>
          <w:sz w:val="24"/>
          <w:lang w:eastAsia="zh-CN"/>
        </w:rPr>
        <w:t>供应商</w:t>
      </w:r>
      <w:r>
        <w:rPr>
          <w:rFonts w:hint="eastAsia" w:ascii="宋体" w:hAnsi="宋体" w:eastAsia="宋体" w:cs="宋体"/>
          <w:kern w:val="0"/>
          <w:sz w:val="24"/>
        </w:rPr>
        <w:t>应以不高于本合同相应的最优惠价格向采购人提供修理和维修合同设备必要的备品备件；</w:t>
      </w:r>
    </w:p>
    <w:p w14:paraId="6A8F27A8">
      <w:pPr>
        <w:pStyle w:val="218"/>
        <w:spacing w:line="360" w:lineRule="auto"/>
        <w:ind w:firstLine="420"/>
        <w:rPr>
          <w:rFonts w:hint="eastAsia" w:ascii="宋体" w:hAnsi="宋体" w:eastAsia="宋体" w:cs="宋体"/>
          <w:kern w:val="0"/>
          <w:sz w:val="24"/>
        </w:rPr>
      </w:pPr>
      <w:r>
        <w:rPr>
          <w:rFonts w:hint="eastAsia" w:ascii="宋体" w:hAnsi="宋体" w:eastAsia="宋体" w:cs="宋体"/>
          <w:kern w:val="0"/>
          <w:sz w:val="24"/>
        </w:rPr>
        <w:t>e） 要求</w:t>
      </w:r>
      <w:r>
        <w:rPr>
          <w:rFonts w:hint="eastAsia" w:ascii="宋体" w:hAnsi="宋体" w:eastAsia="宋体" w:cs="宋体"/>
          <w:kern w:val="0"/>
          <w:sz w:val="24"/>
          <w:lang w:eastAsia="zh-CN"/>
        </w:rPr>
        <w:t>供应商</w:t>
      </w:r>
      <w:r>
        <w:rPr>
          <w:rFonts w:hint="eastAsia" w:ascii="宋体" w:hAnsi="宋体" w:eastAsia="宋体" w:cs="宋体"/>
          <w:kern w:val="0"/>
          <w:sz w:val="24"/>
        </w:rPr>
        <w:t>承诺在产品交付时提供针对交付产品的原厂1年质保函。</w:t>
      </w:r>
    </w:p>
    <w:p w14:paraId="75AB9FA2">
      <w:pPr>
        <w:pStyle w:val="218"/>
        <w:spacing w:line="360" w:lineRule="auto"/>
        <w:ind w:firstLine="482" w:firstLineChars="200"/>
        <w:rPr>
          <w:rFonts w:hint="eastAsia" w:ascii="宋体" w:hAnsi="宋体" w:eastAsia="宋体" w:cs="宋体"/>
          <w:b/>
          <w:bCs/>
          <w:kern w:val="0"/>
          <w:sz w:val="24"/>
        </w:rPr>
      </w:pPr>
      <w:r>
        <w:rPr>
          <w:rFonts w:hint="eastAsia" w:ascii="宋体" w:hAnsi="宋体" w:eastAsia="宋体" w:cs="宋体"/>
          <w:b/>
          <w:bCs/>
          <w:kern w:val="0"/>
          <w:sz w:val="24"/>
        </w:rPr>
        <w:t>6.1.</w:t>
      </w:r>
      <w:r>
        <w:rPr>
          <w:rFonts w:hint="eastAsia" w:ascii="宋体" w:hAnsi="宋体" w:eastAsia="宋体" w:cs="宋体"/>
          <w:b/>
          <w:bCs/>
          <w:kern w:val="0"/>
          <w:sz w:val="24"/>
          <w:lang w:val="en-US" w:eastAsia="zh-CN"/>
        </w:rPr>
        <w:t>3</w:t>
      </w:r>
      <w:r>
        <w:rPr>
          <w:rFonts w:hint="eastAsia" w:ascii="宋体" w:hAnsi="宋体" w:eastAsia="宋体" w:cs="宋体"/>
          <w:b/>
          <w:bCs/>
          <w:kern w:val="0"/>
          <w:sz w:val="24"/>
        </w:rPr>
        <w:t>. 质保和售后服务要求如下：</w:t>
      </w:r>
    </w:p>
    <w:p w14:paraId="21A47820">
      <w:pPr>
        <w:pStyle w:val="218"/>
        <w:spacing w:line="360" w:lineRule="auto"/>
        <w:ind w:firstLine="420"/>
        <w:rPr>
          <w:rFonts w:hint="eastAsia" w:ascii="宋体" w:hAnsi="宋体" w:eastAsia="宋体" w:cs="宋体"/>
          <w:kern w:val="0"/>
          <w:sz w:val="24"/>
        </w:rPr>
      </w:pPr>
      <w:r>
        <w:rPr>
          <w:rFonts w:hint="eastAsia" w:ascii="宋体" w:hAnsi="宋体" w:eastAsia="宋体" w:cs="宋体"/>
          <w:kern w:val="0"/>
          <w:sz w:val="24"/>
        </w:rPr>
        <w:t xml:space="preserve">a） </w:t>
      </w:r>
      <w:r>
        <w:rPr>
          <w:rFonts w:hint="eastAsia" w:ascii="宋体" w:hAnsi="宋体" w:eastAsia="宋体" w:cs="宋体"/>
          <w:kern w:val="0"/>
          <w:sz w:val="24"/>
          <w:lang w:eastAsia="zh-CN"/>
        </w:rPr>
        <w:t>供应商</w:t>
      </w:r>
      <w:r>
        <w:rPr>
          <w:rFonts w:hint="eastAsia" w:ascii="宋体" w:hAnsi="宋体" w:eastAsia="宋体" w:cs="宋体"/>
          <w:kern w:val="0"/>
          <w:sz w:val="24"/>
        </w:rPr>
        <w:t>按照上述质保与售后服务为标准</w:t>
      </w:r>
      <w:r>
        <w:rPr>
          <w:rFonts w:hint="eastAsia" w:ascii="宋体" w:hAnsi="宋体" w:eastAsia="宋体" w:cs="宋体"/>
          <w:kern w:val="0"/>
          <w:sz w:val="24"/>
          <w:lang w:eastAsia="zh-CN"/>
        </w:rPr>
        <w:t>，</w:t>
      </w:r>
      <w:r>
        <w:rPr>
          <w:rFonts w:hint="eastAsia" w:ascii="宋体" w:hAnsi="宋体" w:eastAsia="宋体" w:cs="宋体"/>
          <w:kern w:val="0"/>
          <w:sz w:val="24"/>
        </w:rPr>
        <w:t>为采购人提供质保期后的维保方案和报价，不计入总价；</w:t>
      </w:r>
    </w:p>
    <w:p w14:paraId="1915DD0E">
      <w:pPr>
        <w:pStyle w:val="218"/>
        <w:spacing w:line="360" w:lineRule="auto"/>
        <w:ind w:firstLine="420"/>
        <w:rPr>
          <w:rFonts w:hint="eastAsia" w:ascii="宋体" w:hAnsi="宋体" w:eastAsia="宋体" w:cs="宋体"/>
          <w:kern w:val="0"/>
          <w:sz w:val="24"/>
        </w:rPr>
      </w:pPr>
      <w:r>
        <w:rPr>
          <w:rFonts w:hint="eastAsia" w:ascii="宋体" w:hAnsi="宋体" w:eastAsia="宋体" w:cs="宋体"/>
          <w:kern w:val="0"/>
          <w:sz w:val="24"/>
        </w:rPr>
        <w:t>b） 在质保期过后，</w:t>
      </w:r>
      <w:r>
        <w:rPr>
          <w:rFonts w:hint="eastAsia" w:ascii="宋体" w:hAnsi="宋体" w:eastAsia="宋体" w:cs="宋体"/>
          <w:kern w:val="0"/>
          <w:sz w:val="24"/>
          <w:lang w:eastAsia="zh-CN"/>
        </w:rPr>
        <w:t>供应商</w:t>
      </w:r>
      <w:r>
        <w:rPr>
          <w:rFonts w:hint="eastAsia" w:ascii="宋体" w:hAnsi="宋体" w:eastAsia="宋体" w:cs="宋体"/>
          <w:kern w:val="0"/>
          <w:sz w:val="24"/>
        </w:rPr>
        <w:t>应以不高于本合同相应的最优惠价格向采购人提供修理和维修合同设备必要的备品备件；</w:t>
      </w:r>
    </w:p>
    <w:p w14:paraId="4D48F057">
      <w:pPr>
        <w:pStyle w:val="218"/>
        <w:spacing w:line="360" w:lineRule="auto"/>
        <w:ind w:firstLine="420"/>
        <w:rPr>
          <w:rFonts w:hint="eastAsia" w:ascii="宋体" w:hAnsi="宋体" w:eastAsia="宋体" w:cs="宋体"/>
          <w:kern w:val="0"/>
          <w:sz w:val="24"/>
        </w:rPr>
      </w:pPr>
      <w:r>
        <w:rPr>
          <w:rFonts w:hint="eastAsia" w:ascii="宋体" w:hAnsi="宋体" w:eastAsia="宋体" w:cs="宋体"/>
          <w:kern w:val="0"/>
          <w:sz w:val="24"/>
        </w:rPr>
        <w:t>c） 原厂商技术支持站点（或办事处）与原厂商备品备件库；</w:t>
      </w:r>
    </w:p>
    <w:p w14:paraId="20D09277">
      <w:pPr>
        <w:pStyle w:val="218"/>
        <w:spacing w:line="360" w:lineRule="auto"/>
        <w:rPr>
          <w:rFonts w:hint="eastAsia" w:ascii="宋体" w:hAnsi="宋体" w:eastAsia="宋体" w:cs="宋体"/>
          <w:b/>
          <w:bCs/>
          <w:kern w:val="0"/>
          <w:sz w:val="24"/>
        </w:rPr>
      </w:pPr>
      <w:r>
        <w:rPr>
          <w:rFonts w:hint="eastAsia" w:ascii="宋体" w:hAnsi="宋体" w:eastAsia="宋体" w:cs="宋体"/>
          <w:b/>
          <w:bCs/>
          <w:kern w:val="0"/>
          <w:sz w:val="24"/>
          <w:lang w:val="en-US" w:eastAsia="zh-CN"/>
        </w:rPr>
        <w:t xml:space="preserve">6.2 技术要求 </w:t>
      </w:r>
    </w:p>
    <w:p w14:paraId="4D6BE4D5">
      <w:pPr>
        <w:pStyle w:val="218"/>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en-US" w:eastAsia="zh-CN"/>
        </w:rPr>
        <w:t xml:space="preserve">6.2.1、本次改造设备为涉网设备，供应商需满足电网侧变电站施工及故障处理能力要求，未在电网注册风险管控平台的应标单位视为不满足要求单位，相对应报价视为无效； </w:t>
      </w:r>
    </w:p>
    <w:p w14:paraId="2816D60F">
      <w:pPr>
        <w:pStyle w:val="218"/>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6.2.2、供应商需按照宁德信通公司、宁德调度中心的检修管理要求，执行月度检修申请、周检修提报、施工方案审查、新设备接入申请、业务通道申请单、检修票填写及申请来执行电网公司要求；</w:t>
      </w:r>
    </w:p>
    <w:p w14:paraId="40445459">
      <w:pPr>
        <w:pStyle w:val="218"/>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en-US" w:eastAsia="zh-CN"/>
        </w:rPr>
        <w:t xml:space="preserve">6.2.3、供应商需配置3组人员前往宁德110kV碧山变配合漳湾垃圾电厂设备更换 检修、光路测试、标签修改等工作，宁德调度中心新接入设备性能指标、业务数 据配置、地调调度接入网1及地调调度接入网2设备运行情况验证、网安检修挂牌， 宁德信通公司对新接入SDH设备及调度IAD设备验证、设备入网配置、业务通道配置、调度电话配置及备案调度中心； </w:t>
      </w:r>
    </w:p>
    <w:p w14:paraId="6B79CFFA">
      <w:pPr>
        <w:pStyle w:val="218"/>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en-US" w:eastAsia="zh-CN"/>
        </w:rPr>
        <w:t xml:space="preserve">6.2.4、供应商依据电网对外来人员持证要求，进入电网的人员须提供高压电工证及登高证，所以人员需安全准入并且满足电网要求； </w:t>
      </w:r>
    </w:p>
    <w:p w14:paraId="7F4C1E6E">
      <w:pPr>
        <w:pStyle w:val="218"/>
        <w:spacing w:line="360" w:lineRule="auto"/>
        <w:rPr>
          <w:rFonts w:hint="eastAsia" w:ascii="宋体" w:hAnsi="宋体" w:eastAsia="宋体" w:cs="宋体"/>
          <w:b/>
          <w:bCs/>
          <w:kern w:val="0"/>
          <w:sz w:val="24"/>
        </w:rPr>
      </w:pPr>
      <w:r>
        <w:rPr>
          <w:rFonts w:hint="eastAsia" w:ascii="宋体" w:hAnsi="宋体" w:eastAsia="宋体" w:cs="宋体"/>
          <w:b/>
          <w:bCs/>
          <w:kern w:val="0"/>
          <w:sz w:val="24"/>
          <w:lang w:val="en-US" w:eastAsia="zh-CN"/>
        </w:rPr>
        <w:t xml:space="preserve">6.3 设备技术培训 </w:t>
      </w:r>
    </w:p>
    <w:p w14:paraId="2C870774">
      <w:pPr>
        <w:pStyle w:val="218"/>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en-US" w:eastAsia="zh-CN"/>
        </w:rPr>
        <w:t xml:space="preserve">6.3.1 供应商组织一场不小于1个小时设备运行维护培训工作，主要电源系统、 通信SDH系统、调度电话、调度数据网系统的日常维护、故障分析、故障处理、对应设备关系等培训工作； </w:t>
      </w:r>
    </w:p>
    <w:p w14:paraId="1E88AD5F">
      <w:pPr>
        <w:pStyle w:val="218"/>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6.3.2 供应商提供一整套设备运行原理图（CAD图）、业务方式图，设备改造后设备调试、设备配置、设备账号及密码等相关资料。</w:t>
      </w:r>
    </w:p>
    <w:p w14:paraId="76762E91">
      <w:pPr>
        <w:pStyle w:val="218"/>
        <w:spacing w:line="360" w:lineRule="auto"/>
        <w:ind w:firstLine="480" w:firstLineChars="200"/>
        <w:rPr>
          <w:rFonts w:hint="eastAsia" w:ascii="宋体" w:hAnsi="宋体" w:eastAsia="宋体" w:cs="宋体"/>
          <w:kern w:val="0"/>
          <w:sz w:val="24"/>
          <w:lang w:val="en-US" w:eastAsia="zh-CN"/>
        </w:rPr>
        <w:sectPr>
          <w:headerReference r:id="rId13" w:type="first"/>
          <w:footerReference r:id="rId15" w:type="first"/>
          <w:headerReference r:id="rId12" w:type="default"/>
          <w:footerReference r:id="rId14" w:type="default"/>
          <w:pgSz w:w="11906" w:h="16838"/>
          <w:pgMar w:top="1134" w:right="1134" w:bottom="1021" w:left="1134" w:header="851" w:footer="992" w:gutter="284"/>
          <w:pgNumType w:fmt="decimal" w:start="0"/>
          <w:cols w:space="720" w:num="1"/>
          <w:docGrid w:type="lines" w:linePitch="312" w:charSpace="0"/>
        </w:sectPr>
      </w:pPr>
    </w:p>
    <w:p w14:paraId="6D3C284F">
      <w:pPr>
        <w:pStyle w:val="7"/>
        <w:spacing w:before="156" w:beforeLines="50"/>
        <w:ind w:left="10" w:hanging="10"/>
        <w:rPr>
          <w:rFonts w:hint="eastAsia" w:ascii="宋体" w:hAnsi="宋体" w:eastAsia="宋体" w:cs="宋体"/>
          <w:sz w:val="21"/>
          <w:szCs w:val="21"/>
        </w:rPr>
      </w:pPr>
    </w:p>
    <w:p w14:paraId="3FE896DC">
      <w:pPr>
        <w:pStyle w:val="17"/>
        <w:spacing w:before="164" w:line="225" w:lineRule="auto"/>
        <w:jc w:val="center"/>
        <w:outlineLvl w:val="1"/>
        <w:rPr>
          <w:rFonts w:hint="eastAsia" w:ascii="宋体" w:hAnsi="宋体" w:eastAsia="宋体" w:cs="宋体"/>
          <w:sz w:val="30"/>
          <w:szCs w:val="30"/>
        </w:rPr>
      </w:pPr>
      <w:r>
        <w:rPr>
          <w:rFonts w:hint="eastAsia" w:ascii="宋体" w:hAnsi="宋体" w:eastAsia="宋体" w:cs="宋体"/>
          <w:b/>
          <w:bCs/>
          <w:spacing w:val="6"/>
          <w:sz w:val="30"/>
          <w:szCs w:val="30"/>
        </w:rPr>
        <w:t>改造实施方案</w:t>
      </w:r>
    </w:p>
    <w:p w14:paraId="3A90C8EA">
      <w:pPr>
        <w:pStyle w:val="17"/>
        <w:spacing w:before="130" w:line="219" w:lineRule="auto"/>
        <w:ind w:left="12"/>
        <w:outlineLvl w:val="9"/>
        <w:rPr>
          <w:rFonts w:hint="eastAsia" w:ascii="宋体" w:hAnsi="宋体" w:eastAsia="宋体" w:cs="宋体"/>
          <w:b/>
          <w:bCs/>
          <w:spacing w:val="-5"/>
          <w:sz w:val="30"/>
          <w:szCs w:val="30"/>
        </w:rPr>
      </w:pPr>
    </w:p>
    <w:p w14:paraId="70367156">
      <w:pPr>
        <w:pStyle w:val="218"/>
        <w:spacing w:line="360" w:lineRule="auto"/>
        <w:ind w:firstLine="420"/>
        <w:outlineLvl w:val="9"/>
        <w:rPr>
          <w:rFonts w:hint="eastAsia" w:ascii="宋体" w:hAnsi="宋体" w:eastAsia="宋体" w:cs="宋体"/>
          <w:b/>
          <w:bCs/>
          <w:spacing w:val="-3"/>
          <w:sz w:val="30"/>
          <w:szCs w:val="30"/>
        </w:rPr>
      </w:pPr>
      <w:r>
        <w:rPr>
          <w:rFonts w:hint="eastAsia" w:ascii="宋体" w:hAnsi="宋体" w:eastAsia="宋体" w:cs="宋体"/>
          <w:b w:val="0"/>
          <w:bCs w:val="0"/>
          <w:spacing w:val="-3"/>
          <w:sz w:val="30"/>
          <w:szCs w:val="30"/>
        </w:rPr>
        <w:t>本次涉及通信设备改造的有烽火</w:t>
      </w:r>
      <w:r>
        <w:rPr>
          <w:rFonts w:hint="eastAsia" w:ascii="宋体" w:hAnsi="宋体" w:eastAsia="宋体" w:cs="宋体"/>
          <w:b w:val="0"/>
          <w:bCs w:val="0"/>
          <w:spacing w:val="-48"/>
          <w:sz w:val="30"/>
          <w:szCs w:val="30"/>
        </w:rPr>
        <w:t xml:space="preserve"> </w:t>
      </w:r>
      <w:r>
        <w:rPr>
          <w:rFonts w:hint="eastAsia" w:ascii="宋体" w:hAnsi="宋体" w:eastAsia="宋体" w:cs="宋体"/>
          <w:b w:val="0"/>
          <w:bCs w:val="0"/>
          <w:spacing w:val="-3"/>
          <w:sz w:val="30"/>
          <w:szCs w:val="30"/>
        </w:rPr>
        <w:t>550F一套、普天</w:t>
      </w:r>
      <w:r>
        <w:rPr>
          <w:rFonts w:hint="eastAsia" w:ascii="宋体" w:hAnsi="宋体" w:eastAsia="宋体" w:cs="宋体"/>
          <w:b w:val="0"/>
          <w:bCs w:val="0"/>
          <w:spacing w:val="-40"/>
          <w:sz w:val="30"/>
          <w:szCs w:val="30"/>
        </w:rPr>
        <w:t xml:space="preserve"> </w:t>
      </w:r>
      <w:r>
        <w:rPr>
          <w:rFonts w:hint="eastAsia" w:ascii="宋体" w:hAnsi="宋体" w:eastAsia="宋体" w:cs="宋体"/>
          <w:b w:val="0"/>
          <w:bCs w:val="0"/>
          <w:spacing w:val="-3"/>
          <w:sz w:val="30"/>
          <w:szCs w:val="30"/>
        </w:rPr>
        <w:t>PCM一套、调度数据网路由器二套、调度数据网交换机四套、通信蓄电</w:t>
      </w:r>
      <w:r>
        <w:rPr>
          <w:rFonts w:hint="eastAsia" w:ascii="宋体" w:hAnsi="宋体" w:eastAsia="宋体" w:cs="宋体"/>
          <w:b w:val="0"/>
          <w:bCs w:val="0"/>
          <w:spacing w:val="-4"/>
          <w:sz w:val="30"/>
          <w:szCs w:val="30"/>
        </w:rPr>
        <w:t>池组</w:t>
      </w:r>
      <w:r>
        <w:rPr>
          <w:rFonts w:hint="eastAsia" w:ascii="宋体" w:hAnsi="宋体" w:eastAsia="宋体" w:cs="宋体"/>
          <w:b w:val="0"/>
          <w:bCs w:val="0"/>
          <w:spacing w:val="-47"/>
          <w:sz w:val="30"/>
          <w:szCs w:val="30"/>
        </w:rPr>
        <w:t xml:space="preserve"> </w:t>
      </w:r>
      <w:r>
        <w:rPr>
          <w:rFonts w:hint="eastAsia" w:ascii="宋体" w:hAnsi="宋体" w:eastAsia="宋体" w:cs="宋体"/>
          <w:b w:val="0"/>
          <w:bCs w:val="0"/>
          <w:spacing w:val="-47"/>
          <w:sz w:val="30"/>
          <w:szCs w:val="30"/>
          <w:lang w:val="en-US" w:eastAsia="zh-CN"/>
        </w:rPr>
        <w:t xml:space="preserve">2  </w:t>
      </w:r>
      <w:r>
        <w:rPr>
          <w:rFonts w:hint="eastAsia" w:ascii="宋体" w:hAnsi="宋体" w:eastAsia="宋体" w:cs="宋体"/>
          <w:b w:val="0"/>
          <w:bCs w:val="0"/>
          <w:spacing w:val="-3"/>
          <w:sz w:val="30"/>
          <w:szCs w:val="30"/>
        </w:rPr>
        <w:t>组</w:t>
      </w:r>
      <w:r>
        <w:rPr>
          <w:rFonts w:hint="eastAsia" w:ascii="宋体" w:hAnsi="宋体" w:eastAsia="宋体" w:cs="宋体"/>
          <w:b w:val="0"/>
          <w:bCs w:val="0"/>
          <w:spacing w:val="-3"/>
          <w:sz w:val="30"/>
          <w:szCs w:val="30"/>
          <w:lang w:eastAsia="zh-CN"/>
        </w:rPr>
        <w:t>（</w:t>
      </w:r>
      <w:r>
        <w:rPr>
          <w:rFonts w:hint="eastAsia" w:ascii="宋体" w:hAnsi="宋体" w:eastAsia="宋体" w:cs="宋体"/>
          <w:b w:val="0"/>
          <w:bCs w:val="0"/>
          <w:spacing w:val="-3"/>
          <w:sz w:val="30"/>
          <w:szCs w:val="30"/>
          <w:lang w:val="en-US" w:eastAsia="zh-CN"/>
        </w:rPr>
        <w:t>1组4粒）</w:t>
      </w:r>
      <w:r>
        <w:rPr>
          <w:rFonts w:hint="eastAsia" w:ascii="宋体" w:hAnsi="宋体" w:eastAsia="宋体" w:cs="宋体"/>
          <w:b/>
          <w:bCs/>
          <w:spacing w:val="-3"/>
          <w:sz w:val="30"/>
          <w:szCs w:val="30"/>
        </w:rPr>
        <w:t>。</w:t>
      </w:r>
    </w:p>
    <w:p w14:paraId="007E4646">
      <w:pPr>
        <w:pStyle w:val="218"/>
        <w:spacing w:line="360" w:lineRule="auto"/>
        <w:ind w:firstLine="420"/>
        <w:outlineLvl w:val="9"/>
        <w:rPr>
          <w:rFonts w:hint="eastAsia" w:ascii="宋体" w:hAnsi="宋体" w:eastAsia="宋体" w:cs="宋体"/>
          <w:b w:val="0"/>
          <w:bCs w:val="0"/>
          <w:spacing w:val="-5"/>
          <w:position w:val="2"/>
          <w:sz w:val="24"/>
          <w:szCs w:val="24"/>
        </w:rPr>
      </w:pPr>
      <w:r>
        <w:rPr>
          <w:rFonts w:hint="eastAsia" w:ascii="宋体" w:hAnsi="宋体" w:eastAsia="宋体" w:cs="宋体"/>
          <w:b w:val="0"/>
          <w:bCs w:val="0"/>
          <w:spacing w:val="-5"/>
          <w:position w:val="2"/>
          <w:sz w:val="24"/>
          <w:szCs w:val="24"/>
        </w:rPr>
        <w:t>1、改造前通信图</w:t>
      </w:r>
    </w:p>
    <w:p w14:paraId="16C08285">
      <w:pPr>
        <w:pStyle w:val="218"/>
        <w:spacing w:line="360" w:lineRule="auto"/>
        <w:outlineLvl w:val="9"/>
        <w:rPr>
          <w:rFonts w:hint="eastAsia" w:ascii="宋体" w:hAnsi="宋体" w:eastAsia="宋体" w:cs="宋体"/>
          <w:position w:val="-107"/>
        </w:rPr>
      </w:pPr>
      <w:r>
        <w:rPr>
          <w:rFonts w:hint="eastAsia" w:ascii="宋体" w:hAnsi="宋体" w:eastAsia="宋体" w:cs="宋体"/>
          <w:position w:val="-107"/>
        </w:rPr>
        <w:drawing>
          <wp:inline distT="0" distB="0" distL="0" distR="0">
            <wp:extent cx="5984240" cy="3302635"/>
            <wp:effectExtent l="0" t="0" r="6985" b="2540"/>
            <wp:docPr id="7" name="IM 4"/>
            <wp:cNvGraphicFramePr/>
            <a:graphic xmlns:a="http://schemas.openxmlformats.org/drawingml/2006/main">
              <a:graphicData uri="http://schemas.openxmlformats.org/drawingml/2006/picture">
                <pic:pic xmlns:pic="http://schemas.openxmlformats.org/drawingml/2006/picture">
                  <pic:nvPicPr>
                    <pic:cNvPr id="7" name="IM 4"/>
                    <pic:cNvPicPr/>
                  </pic:nvPicPr>
                  <pic:blipFill>
                    <a:blip r:embed="rId19"/>
                    <a:stretch>
                      <a:fillRect/>
                    </a:stretch>
                  </pic:blipFill>
                  <pic:spPr>
                    <a:xfrm>
                      <a:off x="0" y="0"/>
                      <a:ext cx="5984240" cy="3302635"/>
                    </a:xfrm>
                    <a:prstGeom prst="rect">
                      <a:avLst/>
                    </a:prstGeom>
                  </pic:spPr>
                </pic:pic>
              </a:graphicData>
            </a:graphic>
          </wp:inline>
        </w:drawing>
      </w:r>
    </w:p>
    <w:p w14:paraId="548FD0F9">
      <w:pPr>
        <w:rPr>
          <w:rFonts w:hint="eastAsia" w:ascii="宋体" w:hAnsi="宋体" w:eastAsia="宋体" w:cs="宋体"/>
          <w:b w:val="0"/>
          <w:bCs w:val="0"/>
          <w:spacing w:val="-5"/>
          <w:position w:val="2"/>
          <w:sz w:val="24"/>
          <w:szCs w:val="24"/>
          <w:lang w:val="en-US" w:eastAsia="zh-CN"/>
        </w:rPr>
      </w:pPr>
      <w:r>
        <w:rPr>
          <w:rFonts w:hint="eastAsia" w:ascii="宋体" w:hAnsi="宋体" w:eastAsia="宋体" w:cs="宋体"/>
          <w:b w:val="0"/>
          <w:bCs w:val="0"/>
          <w:spacing w:val="-5"/>
          <w:position w:val="2"/>
          <w:sz w:val="24"/>
          <w:szCs w:val="24"/>
          <w:lang w:val="en-US" w:eastAsia="zh-CN"/>
        </w:rPr>
        <w:br w:type="page"/>
      </w:r>
    </w:p>
    <w:p w14:paraId="49C78260">
      <w:pPr>
        <w:pStyle w:val="218"/>
        <w:spacing w:line="360" w:lineRule="auto"/>
        <w:ind w:firstLine="420"/>
        <w:outlineLvl w:val="9"/>
        <w:rPr>
          <w:rFonts w:hint="eastAsia" w:ascii="宋体" w:hAnsi="宋体" w:eastAsia="宋体" w:cs="宋体"/>
          <w:position w:val="-107"/>
        </w:rPr>
      </w:pPr>
      <w:r>
        <w:rPr>
          <w:rFonts w:hint="eastAsia" w:ascii="宋体" w:hAnsi="宋体" w:eastAsia="宋体" w:cs="宋体"/>
          <w:b w:val="0"/>
          <w:bCs w:val="0"/>
          <w:spacing w:val="-5"/>
          <w:position w:val="2"/>
          <w:sz w:val="24"/>
          <w:szCs w:val="24"/>
          <w:lang w:val="en-US" w:eastAsia="zh-CN"/>
        </w:rPr>
        <w:t>2</w:t>
      </w:r>
      <w:r>
        <w:rPr>
          <w:rFonts w:hint="eastAsia" w:ascii="宋体" w:hAnsi="宋体" w:eastAsia="宋体" w:cs="宋体"/>
          <w:b w:val="0"/>
          <w:bCs w:val="0"/>
          <w:spacing w:val="-5"/>
          <w:position w:val="2"/>
          <w:sz w:val="24"/>
          <w:szCs w:val="24"/>
        </w:rPr>
        <w:t>、改</w:t>
      </w:r>
      <w:r>
        <w:rPr>
          <w:rFonts w:hint="eastAsia" w:ascii="宋体" w:hAnsi="宋体" w:eastAsia="宋体" w:cs="宋体"/>
          <w:b w:val="0"/>
          <w:bCs w:val="0"/>
          <w:spacing w:val="-5"/>
          <w:position w:val="2"/>
          <w:sz w:val="24"/>
          <w:szCs w:val="24"/>
          <w:lang w:eastAsia="zh-CN"/>
        </w:rPr>
        <w:t>后</w:t>
      </w:r>
      <w:r>
        <w:rPr>
          <w:rFonts w:hint="eastAsia" w:ascii="宋体" w:hAnsi="宋体" w:eastAsia="宋体" w:cs="宋体"/>
          <w:b w:val="0"/>
          <w:bCs w:val="0"/>
          <w:spacing w:val="-5"/>
          <w:position w:val="2"/>
          <w:sz w:val="24"/>
          <w:szCs w:val="24"/>
        </w:rPr>
        <w:t>前通信图</w:t>
      </w:r>
    </w:p>
    <w:p w14:paraId="26B296BE">
      <w:pPr>
        <w:pStyle w:val="17"/>
        <w:numPr>
          <w:ilvl w:val="0"/>
          <w:numId w:val="0"/>
        </w:numPr>
        <w:spacing w:before="25" w:line="237" w:lineRule="auto"/>
        <w:outlineLvl w:val="9"/>
        <w:rPr>
          <w:rFonts w:hint="eastAsia" w:ascii="宋体" w:hAnsi="宋体" w:eastAsia="宋体" w:cs="宋体"/>
          <w:position w:val="-143"/>
        </w:rPr>
      </w:pPr>
      <w:r>
        <w:rPr>
          <w:rFonts w:hint="eastAsia" w:ascii="宋体" w:hAnsi="宋体" w:eastAsia="宋体" w:cs="宋体"/>
          <w:position w:val="-143"/>
        </w:rPr>
        <w:drawing>
          <wp:inline distT="0" distB="0" distL="0" distR="0">
            <wp:extent cx="5866765" cy="3658235"/>
            <wp:effectExtent l="0" t="0" r="635" b="8890"/>
            <wp:docPr id="8" name="IM 6"/>
            <wp:cNvGraphicFramePr/>
            <a:graphic xmlns:a="http://schemas.openxmlformats.org/drawingml/2006/main">
              <a:graphicData uri="http://schemas.openxmlformats.org/drawingml/2006/picture">
                <pic:pic xmlns:pic="http://schemas.openxmlformats.org/drawingml/2006/picture">
                  <pic:nvPicPr>
                    <pic:cNvPr id="8" name="IM 6"/>
                    <pic:cNvPicPr/>
                  </pic:nvPicPr>
                  <pic:blipFill>
                    <a:blip r:embed="rId20"/>
                    <a:stretch>
                      <a:fillRect/>
                    </a:stretch>
                  </pic:blipFill>
                  <pic:spPr>
                    <a:xfrm>
                      <a:off x="0" y="0"/>
                      <a:ext cx="5866765" cy="3658235"/>
                    </a:xfrm>
                    <a:prstGeom prst="rect">
                      <a:avLst/>
                    </a:prstGeom>
                  </pic:spPr>
                </pic:pic>
              </a:graphicData>
            </a:graphic>
          </wp:inline>
        </w:drawing>
      </w:r>
    </w:p>
    <w:p w14:paraId="435AD18C">
      <w:pPr>
        <w:pStyle w:val="17"/>
        <w:spacing w:before="23" w:line="335" w:lineRule="exact"/>
        <w:ind w:left="12"/>
        <w:outlineLvl w:val="9"/>
        <w:rPr>
          <w:rFonts w:hint="eastAsia" w:ascii="宋体" w:hAnsi="宋体" w:eastAsia="宋体" w:cs="宋体"/>
          <w:b/>
          <w:bCs/>
          <w:spacing w:val="-4"/>
          <w:position w:val="1"/>
          <w:sz w:val="23"/>
          <w:szCs w:val="23"/>
        </w:rPr>
      </w:pPr>
    </w:p>
    <w:p w14:paraId="2BDC1ADE">
      <w:pPr>
        <w:pStyle w:val="17"/>
        <w:spacing w:before="23" w:line="335" w:lineRule="exact"/>
        <w:ind w:left="12"/>
        <w:outlineLvl w:val="9"/>
        <w:rPr>
          <w:rFonts w:hint="eastAsia" w:ascii="宋体" w:hAnsi="宋体" w:eastAsia="宋体" w:cs="宋体"/>
          <w:b/>
          <w:bCs/>
          <w:spacing w:val="-4"/>
          <w:position w:val="1"/>
          <w:sz w:val="23"/>
          <w:szCs w:val="23"/>
        </w:rPr>
      </w:pPr>
    </w:p>
    <w:p w14:paraId="52A3A9F9">
      <w:pPr>
        <w:pStyle w:val="17"/>
        <w:spacing w:before="23" w:line="335" w:lineRule="exact"/>
        <w:ind w:left="12"/>
        <w:outlineLvl w:val="9"/>
        <w:rPr>
          <w:rFonts w:hint="eastAsia" w:ascii="宋体" w:hAnsi="宋体" w:eastAsia="宋体" w:cs="宋体"/>
        </w:rPr>
      </w:pPr>
      <w:r>
        <w:rPr>
          <w:rFonts w:hint="eastAsia" w:ascii="宋体" w:hAnsi="宋体" w:eastAsia="宋体" w:cs="宋体"/>
          <w:b/>
          <w:bCs/>
          <w:spacing w:val="-4"/>
          <w:position w:val="1"/>
          <w:sz w:val="23"/>
          <w:szCs w:val="23"/>
        </w:rPr>
        <w:t>3</w:t>
      </w:r>
      <w:r>
        <w:rPr>
          <w:rFonts w:hint="eastAsia" w:ascii="宋体" w:hAnsi="宋体" w:eastAsia="宋体" w:cs="宋体"/>
          <w:b/>
          <w:bCs/>
          <w:spacing w:val="-4"/>
          <w:position w:val="1"/>
        </w:rPr>
        <w:t>、</w:t>
      </w:r>
      <w:r>
        <w:rPr>
          <w:rFonts w:hint="eastAsia" w:ascii="宋体" w:hAnsi="宋体" w:eastAsia="宋体" w:cs="宋体"/>
          <w:b/>
          <w:bCs/>
          <w:spacing w:val="-4"/>
          <w:position w:val="1"/>
          <w:lang w:eastAsia="zh-CN"/>
        </w:rPr>
        <w:t>电厂</w:t>
      </w:r>
      <w:r>
        <w:rPr>
          <w:rFonts w:hint="eastAsia" w:ascii="宋体" w:hAnsi="宋体" w:eastAsia="宋体" w:cs="宋体"/>
          <w:b/>
          <w:bCs/>
          <w:spacing w:val="-4"/>
          <w:position w:val="1"/>
        </w:rPr>
        <w:t>变侧工作量：</w:t>
      </w:r>
    </w:p>
    <w:p w14:paraId="1713B11D">
      <w:pPr>
        <w:pStyle w:val="17"/>
        <w:spacing w:before="1" w:line="217" w:lineRule="auto"/>
        <w:ind w:left="489"/>
        <w:outlineLvl w:val="9"/>
        <w:rPr>
          <w:rFonts w:hint="eastAsia" w:ascii="宋体" w:hAnsi="宋体" w:eastAsia="宋体" w:cs="宋体"/>
        </w:rPr>
      </w:pPr>
      <w:r>
        <w:rPr>
          <w:rFonts w:hint="eastAsia" w:ascii="宋体" w:hAnsi="宋体" w:eastAsia="宋体" w:cs="宋体"/>
          <w:b/>
          <w:bCs/>
          <w:spacing w:val="-2"/>
        </w:rPr>
        <w:t>拆除：烽火</w:t>
      </w:r>
      <w:r>
        <w:rPr>
          <w:rFonts w:hint="eastAsia" w:ascii="宋体" w:hAnsi="宋体" w:eastAsia="宋体" w:cs="宋体"/>
          <w:spacing w:val="-51"/>
        </w:rPr>
        <w:t xml:space="preserve"> </w:t>
      </w:r>
      <w:r>
        <w:rPr>
          <w:rFonts w:hint="eastAsia" w:ascii="宋体" w:hAnsi="宋体" w:eastAsia="宋体" w:cs="宋体"/>
          <w:b/>
          <w:bCs/>
          <w:spacing w:val="-2"/>
          <w:sz w:val="23"/>
          <w:szCs w:val="23"/>
        </w:rPr>
        <w:t xml:space="preserve">SDH </w:t>
      </w:r>
      <w:r>
        <w:rPr>
          <w:rFonts w:hint="eastAsia" w:ascii="宋体" w:hAnsi="宋体" w:eastAsia="宋体" w:cs="宋体"/>
          <w:b/>
          <w:bCs/>
          <w:spacing w:val="-2"/>
        </w:rPr>
        <w:t>传输设备一套、业务检</w:t>
      </w:r>
      <w:r>
        <w:rPr>
          <w:rFonts w:hint="eastAsia" w:ascii="宋体" w:hAnsi="宋体" w:eastAsia="宋体" w:cs="宋体"/>
          <w:b/>
          <w:bCs/>
          <w:spacing w:val="-3"/>
        </w:rPr>
        <w:t>修退出、线缆一批；</w:t>
      </w:r>
    </w:p>
    <w:p w14:paraId="386E2254">
      <w:pPr>
        <w:pStyle w:val="17"/>
        <w:spacing w:before="29" w:line="219" w:lineRule="auto"/>
        <w:ind w:left="489"/>
        <w:outlineLvl w:val="9"/>
        <w:rPr>
          <w:rFonts w:hint="eastAsia" w:ascii="宋体" w:hAnsi="宋体" w:eastAsia="宋体" w:cs="宋体"/>
        </w:rPr>
      </w:pPr>
      <w:r>
        <w:rPr>
          <w:rFonts w:hint="eastAsia" w:ascii="宋体" w:hAnsi="宋体" w:eastAsia="宋体" w:cs="宋体"/>
          <w:b/>
          <w:bCs/>
          <w:spacing w:val="-4"/>
        </w:rPr>
        <w:t>拆除：通信蓄电池组二套、线缆一批；</w:t>
      </w:r>
    </w:p>
    <w:p w14:paraId="298761B8">
      <w:pPr>
        <w:pStyle w:val="17"/>
        <w:spacing w:before="28" w:line="219" w:lineRule="auto"/>
        <w:ind w:left="489"/>
        <w:outlineLvl w:val="9"/>
        <w:rPr>
          <w:rFonts w:hint="eastAsia" w:ascii="宋体" w:hAnsi="宋体" w:eastAsia="宋体" w:cs="宋体"/>
        </w:rPr>
      </w:pPr>
      <w:r>
        <w:rPr>
          <w:rFonts w:hint="eastAsia" w:ascii="宋体" w:hAnsi="宋体" w:eastAsia="宋体" w:cs="宋体"/>
          <w:b/>
          <w:bCs/>
          <w:spacing w:val="-4"/>
        </w:rPr>
        <w:t>拆除：普天</w:t>
      </w:r>
      <w:r>
        <w:rPr>
          <w:rFonts w:hint="eastAsia" w:ascii="宋体" w:hAnsi="宋体" w:eastAsia="宋体" w:cs="宋体"/>
          <w:spacing w:val="-27"/>
        </w:rPr>
        <w:t xml:space="preserve"> </w:t>
      </w:r>
      <w:r>
        <w:rPr>
          <w:rFonts w:hint="eastAsia" w:ascii="宋体" w:hAnsi="宋体" w:eastAsia="宋体" w:cs="宋体"/>
          <w:b/>
          <w:bCs/>
          <w:spacing w:val="-4"/>
          <w:sz w:val="23"/>
          <w:szCs w:val="23"/>
        </w:rPr>
        <w:t>PCM</w:t>
      </w:r>
      <w:r>
        <w:rPr>
          <w:rFonts w:hint="eastAsia" w:ascii="宋体" w:hAnsi="宋体" w:eastAsia="宋体" w:cs="宋体"/>
          <w:b/>
          <w:bCs/>
          <w:spacing w:val="20"/>
          <w:w w:val="101"/>
          <w:sz w:val="23"/>
          <w:szCs w:val="23"/>
        </w:rPr>
        <w:t xml:space="preserve"> </w:t>
      </w:r>
      <w:r>
        <w:rPr>
          <w:rFonts w:hint="eastAsia" w:ascii="宋体" w:hAnsi="宋体" w:eastAsia="宋体" w:cs="宋体"/>
          <w:b/>
          <w:bCs/>
          <w:spacing w:val="-4"/>
        </w:rPr>
        <w:t>设备一套、业务检修退出、线缆一批；</w:t>
      </w:r>
    </w:p>
    <w:p w14:paraId="38E7F319">
      <w:pPr>
        <w:pStyle w:val="17"/>
        <w:spacing w:before="26" w:line="219" w:lineRule="auto"/>
        <w:ind w:left="489"/>
        <w:outlineLvl w:val="9"/>
        <w:rPr>
          <w:rFonts w:hint="eastAsia" w:ascii="宋体" w:hAnsi="宋体" w:eastAsia="宋体" w:cs="宋体"/>
        </w:rPr>
      </w:pPr>
      <w:r>
        <w:rPr>
          <w:rFonts w:hint="eastAsia" w:ascii="宋体" w:hAnsi="宋体" w:eastAsia="宋体" w:cs="宋体"/>
          <w:b/>
          <w:bCs/>
          <w:spacing w:val="-3"/>
        </w:rPr>
        <w:t>拆除：调度数据网路由器二套、业务检修退出、线缆一批；</w:t>
      </w:r>
    </w:p>
    <w:p w14:paraId="65FCFB4C">
      <w:pPr>
        <w:pStyle w:val="17"/>
        <w:spacing w:before="27" w:line="219" w:lineRule="auto"/>
        <w:ind w:left="489"/>
        <w:outlineLvl w:val="9"/>
        <w:rPr>
          <w:rFonts w:hint="eastAsia" w:ascii="宋体" w:hAnsi="宋体" w:eastAsia="宋体" w:cs="宋体"/>
        </w:rPr>
      </w:pPr>
      <w:r>
        <w:rPr>
          <w:rFonts w:hint="eastAsia" w:ascii="宋体" w:hAnsi="宋体" w:eastAsia="宋体" w:cs="宋体"/>
          <w:b/>
          <w:bCs/>
          <w:spacing w:val="-3"/>
        </w:rPr>
        <w:t>拆除：调度数据网交换机四套、业务检修退出、线缆一批；</w:t>
      </w:r>
    </w:p>
    <w:p w14:paraId="64BE221F">
      <w:pPr>
        <w:pStyle w:val="17"/>
        <w:spacing w:before="28"/>
        <w:ind w:left="8" w:right="18" w:firstLine="485"/>
        <w:outlineLvl w:val="9"/>
        <w:rPr>
          <w:rFonts w:hint="eastAsia" w:ascii="宋体" w:hAnsi="宋体" w:eastAsia="宋体" w:cs="宋体"/>
        </w:rPr>
      </w:pPr>
      <w:r>
        <w:rPr>
          <w:rFonts w:hint="eastAsia" w:ascii="宋体" w:hAnsi="宋体" w:eastAsia="宋体" w:cs="宋体"/>
          <w:b/>
          <w:bCs/>
          <w:spacing w:val="-3"/>
        </w:rPr>
        <w:t>安装：</w:t>
      </w:r>
      <w:r>
        <w:rPr>
          <w:rFonts w:hint="eastAsia" w:ascii="宋体" w:hAnsi="宋体" w:eastAsia="宋体" w:cs="宋体"/>
          <w:spacing w:val="-52"/>
        </w:rPr>
        <w:t xml:space="preserve"> </w:t>
      </w:r>
      <w:r>
        <w:rPr>
          <w:rFonts w:hint="eastAsia" w:ascii="宋体" w:hAnsi="宋体" w:eastAsia="宋体" w:cs="宋体"/>
          <w:b/>
          <w:bCs/>
          <w:spacing w:val="-3"/>
          <w:sz w:val="23"/>
          <w:szCs w:val="23"/>
        </w:rPr>
        <w:t xml:space="preserve">SDH </w:t>
      </w:r>
      <w:r>
        <w:rPr>
          <w:rFonts w:hint="eastAsia" w:ascii="宋体" w:hAnsi="宋体" w:eastAsia="宋体" w:cs="宋体"/>
          <w:b/>
          <w:bCs/>
          <w:spacing w:val="-3"/>
        </w:rPr>
        <w:t>传输设备一套、布放</w:t>
      </w:r>
      <w:r>
        <w:rPr>
          <w:rFonts w:hint="eastAsia" w:ascii="宋体" w:hAnsi="宋体" w:eastAsia="宋体" w:cs="宋体"/>
          <w:spacing w:val="-47"/>
        </w:rPr>
        <w:t xml:space="preserve"> </w:t>
      </w:r>
      <w:r>
        <w:rPr>
          <w:rFonts w:hint="eastAsia" w:ascii="宋体" w:hAnsi="宋体" w:eastAsia="宋体" w:cs="宋体"/>
          <w:b/>
          <w:bCs/>
          <w:spacing w:val="-3"/>
          <w:sz w:val="23"/>
          <w:szCs w:val="23"/>
        </w:rPr>
        <w:t>2M</w:t>
      </w:r>
      <w:r>
        <w:rPr>
          <w:rFonts w:hint="eastAsia" w:ascii="宋体" w:hAnsi="宋体" w:eastAsia="宋体" w:cs="宋体"/>
          <w:b/>
          <w:bCs/>
          <w:spacing w:val="22"/>
          <w:w w:val="101"/>
          <w:sz w:val="23"/>
          <w:szCs w:val="23"/>
        </w:rPr>
        <w:t xml:space="preserve"> </w:t>
      </w:r>
      <w:r>
        <w:rPr>
          <w:rFonts w:hint="eastAsia" w:ascii="宋体" w:hAnsi="宋体" w:eastAsia="宋体" w:cs="宋体"/>
          <w:b/>
          <w:bCs/>
          <w:spacing w:val="-3"/>
        </w:rPr>
        <w:t>线、尾纤及制作</w:t>
      </w:r>
      <w:r>
        <w:rPr>
          <w:rFonts w:hint="eastAsia" w:ascii="宋体" w:hAnsi="宋体" w:eastAsia="宋体" w:cs="宋体"/>
          <w:spacing w:val="-47"/>
        </w:rPr>
        <w:t xml:space="preserve"> </w:t>
      </w:r>
      <w:r>
        <w:rPr>
          <w:rFonts w:hint="eastAsia" w:ascii="宋体" w:hAnsi="宋体" w:eastAsia="宋体" w:cs="宋体"/>
          <w:b/>
          <w:bCs/>
          <w:spacing w:val="-3"/>
          <w:sz w:val="23"/>
          <w:szCs w:val="23"/>
        </w:rPr>
        <w:t>2M</w:t>
      </w:r>
      <w:r>
        <w:rPr>
          <w:rFonts w:hint="eastAsia" w:ascii="宋体" w:hAnsi="宋体" w:eastAsia="宋体" w:cs="宋体"/>
          <w:b/>
          <w:bCs/>
          <w:spacing w:val="20"/>
          <w:w w:val="101"/>
          <w:sz w:val="23"/>
          <w:szCs w:val="23"/>
        </w:rPr>
        <w:t xml:space="preserve"> </w:t>
      </w:r>
      <w:r>
        <w:rPr>
          <w:rFonts w:hint="eastAsia" w:ascii="宋体" w:hAnsi="宋体" w:eastAsia="宋体" w:cs="宋体"/>
          <w:b/>
          <w:bCs/>
          <w:spacing w:val="-3"/>
        </w:rPr>
        <w:t>头，设备单机调试、接入电网测试</w:t>
      </w:r>
      <w:r>
        <w:rPr>
          <w:rFonts w:hint="eastAsia" w:ascii="宋体" w:hAnsi="宋体" w:eastAsia="宋体" w:cs="宋体"/>
          <w:b/>
          <w:bCs/>
          <w:spacing w:val="-4"/>
        </w:rPr>
        <w:t>及业务恢复等工作；</w:t>
      </w:r>
    </w:p>
    <w:p w14:paraId="254A85E4">
      <w:pPr>
        <w:pStyle w:val="17"/>
        <w:spacing w:before="1" w:line="219" w:lineRule="auto"/>
        <w:ind w:left="493"/>
        <w:outlineLvl w:val="9"/>
        <w:rPr>
          <w:rFonts w:hint="eastAsia" w:ascii="宋体" w:hAnsi="宋体" w:eastAsia="宋体" w:cs="宋体"/>
        </w:rPr>
      </w:pPr>
      <w:r>
        <w:rPr>
          <w:rFonts w:hint="eastAsia" w:ascii="宋体" w:hAnsi="宋体" w:eastAsia="宋体" w:cs="宋体"/>
          <w:b/>
          <w:bCs/>
          <w:spacing w:val="-4"/>
        </w:rPr>
        <w:t>安装：</w:t>
      </w:r>
      <w:r>
        <w:rPr>
          <w:rFonts w:hint="eastAsia" w:ascii="宋体" w:hAnsi="宋体" w:eastAsia="宋体" w:cs="宋体"/>
          <w:spacing w:val="-39"/>
        </w:rPr>
        <w:t xml:space="preserve"> </w:t>
      </w:r>
      <w:r>
        <w:rPr>
          <w:rFonts w:hint="eastAsia" w:ascii="宋体" w:hAnsi="宋体" w:eastAsia="宋体" w:cs="宋体"/>
          <w:b/>
          <w:bCs/>
          <w:spacing w:val="-4"/>
          <w:sz w:val="23"/>
          <w:szCs w:val="23"/>
        </w:rPr>
        <w:t>IAD</w:t>
      </w:r>
      <w:r>
        <w:rPr>
          <w:rFonts w:hint="eastAsia" w:ascii="宋体" w:hAnsi="宋体" w:eastAsia="宋体" w:cs="宋体"/>
          <w:b/>
          <w:bCs/>
          <w:spacing w:val="-4"/>
        </w:rPr>
        <w:t>设备一台、敷设线缆、电话调试及测试工作；</w:t>
      </w:r>
    </w:p>
    <w:p w14:paraId="498D8555">
      <w:pPr>
        <w:pStyle w:val="17"/>
        <w:spacing w:before="4" w:line="334" w:lineRule="exact"/>
        <w:ind w:left="493"/>
        <w:outlineLvl w:val="9"/>
        <w:rPr>
          <w:rFonts w:hint="eastAsia" w:ascii="宋体" w:hAnsi="宋体" w:eastAsia="宋体" w:cs="宋体"/>
        </w:rPr>
      </w:pPr>
      <w:r>
        <w:rPr>
          <w:rFonts w:hint="eastAsia" w:ascii="宋体" w:hAnsi="宋体" w:eastAsia="宋体" w:cs="宋体"/>
          <w:b/>
          <w:bCs/>
          <w:spacing w:val="-4"/>
          <w:position w:val="1"/>
        </w:rPr>
        <w:t>安装：通信蓄电池组</w:t>
      </w:r>
      <w:r>
        <w:rPr>
          <w:rFonts w:hint="eastAsia" w:ascii="宋体" w:hAnsi="宋体" w:eastAsia="宋体" w:cs="宋体"/>
          <w:spacing w:val="-39"/>
          <w:position w:val="1"/>
        </w:rPr>
        <w:t xml:space="preserve"> </w:t>
      </w:r>
      <w:r>
        <w:rPr>
          <w:rFonts w:hint="eastAsia" w:ascii="宋体" w:hAnsi="宋体" w:eastAsia="宋体" w:cs="宋体"/>
          <w:b/>
          <w:bCs/>
          <w:spacing w:val="-4"/>
          <w:position w:val="1"/>
          <w:sz w:val="23"/>
          <w:szCs w:val="23"/>
        </w:rPr>
        <w:t>2</w:t>
      </w:r>
      <w:r>
        <w:rPr>
          <w:rFonts w:hint="eastAsia" w:ascii="宋体" w:hAnsi="宋体" w:eastAsia="宋体" w:cs="宋体"/>
          <w:b/>
          <w:bCs/>
          <w:spacing w:val="-4"/>
          <w:position w:val="1"/>
        </w:rPr>
        <w:t>组、敷设线缆、接入电源屏及调试工作；</w:t>
      </w:r>
    </w:p>
    <w:p w14:paraId="22056107">
      <w:pPr>
        <w:pStyle w:val="17"/>
        <w:spacing w:before="1" w:line="218" w:lineRule="auto"/>
        <w:ind w:left="493"/>
        <w:outlineLvl w:val="9"/>
        <w:rPr>
          <w:rFonts w:hint="eastAsia" w:ascii="宋体" w:hAnsi="宋体" w:eastAsia="宋体" w:cs="宋体"/>
        </w:rPr>
      </w:pPr>
      <w:r>
        <w:rPr>
          <w:rFonts w:hint="eastAsia" w:ascii="宋体" w:hAnsi="宋体" w:eastAsia="宋体" w:cs="宋体"/>
          <w:b/>
          <w:bCs/>
          <w:spacing w:val="-3"/>
        </w:rPr>
        <w:t>安装：调度数据网路由器二套、设备单机调试、接入电网测试及业务恢复等工作；</w:t>
      </w:r>
    </w:p>
    <w:p w14:paraId="21F6B359">
      <w:pPr>
        <w:pStyle w:val="17"/>
        <w:spacing w:before="27" w:line="219" w:lineRule="auto"/>
        <w:ind w:left="493"/>
        <w:outlineLvl w:val="9"/>
        <w:rPr>
          <w:rFonts w:hint="eastAsia" w:ascii="宋体" w:hAnsi="宋体" w:eastAsia="宋体" w:cs="宋体"/>
        </w:rPr>
      </w:pPr>
      <w:r>
        <w:rPr>
          <w:rFonts w:hint="eastAsia" w:ascii="宋体" w:hAnsi="宋体" w:eastAsia="宋体" w:cs="宋体"/>
          <w:b/>
          <w:bCs/>
          <w:spacing w:val="-3"/>
        </w:rPr>
        <w:t>安装：调度数据网交换机四套、设备单机调试、接入电网测试及业务恢复等工作；</w:t>
      </w:r>
    </w:p>
    <w:p w14:paraId="2A4369EB">
      <w:pPr>
        <w:pStyle w:val="17"/>
        <w:spacing w:before="6" w:line="335" w:lineRule="exact"/>
        <w:ind w:left="5"/>
        <w:outlineLvl w:val="9"/>
        <w:rPr>
          <w:rFonts w:hint="eastAsia" w:ascii="宋体" w:hAnsi="宋体" w:eastAsia="宋体" w:cs="宋体"/>
        </w:rPr>
      </w:pPr>
      <w:r>
        <w:rPr>
          <w:rFonts w:hint="eastAsia" w:ascii="宋体" w:hAnsi="宋体" w:eastAsia="宋体" w:cs="宋体"/>
          <w:b/>
          <w:bCs/>
          <w:spacing w:val="-3"/>
          <w:position w:val="1"/>
          <w:sz w:val="23"/>
          <w:szCs w:val="23"/>
        </w:rPr>
        <w:t>4</w:t>
      </w:r>
      <w:r>
        <w:rPr>
          <w:rFonts w:hint="eastAsia" w:ascii="宋体" w:hAnsi="宋体" w:eastAsia="宋体" w:cs="宋体"/>
          <w:b/>
          <w:bCs/>
          <w:spacing w:val="-3"/>
          <w:position w:val="1"/>
        </w:rPr>
        <w:t>、电网侧工作量：</w:t>
      </w:r>
    </w:p>
    <w:p w14:paraId="2C2E3AD4">
      <w:pPr>
        <w:pStyle w:val="17"/>
        <w:spacing w:before="2" w:line="239" w:lineRule="auto"/>
        <w:ind w:left="11" w:firstLine="480"/>
        <w:outlineLvl w:val="9"/>
        <w:rPr>
          <w:rFonts w:hint="eastAsia" w:ascii="宋体" w:hAnsi="宋体" w:eastAsia="宋体" w:cs="宋体"/>
        </w:rPr>
      </w:pPr>
      <w:r>
        <w:rPr>
          <w:rFonts w:hint="eastAsia" w:ascii="宋体" w:hAnsi="宋体" w:eastAsia="宋体" w:cs="宋体"/>
          <w:b/>
          <w:bCs/>
          <w:spacing w:val="-3"/>
        </w:rPr>
        <w:t>碧山变电站：配合漳湾垃圾电厂光路测试、纤芯优化调整，敷设尾纤及套管，板卡数据配置、业</w:t>
      </w:r>
      <w:r>
        <w:rPr>
          <w:rFonts w:hint="eastAsia" w:ascii="宋体" w:hAnsi="宋体" w:eastAsia="宋体" w:cs="宋体"/>
          <w:b/>
          <w:bCs/>
          <w:spacing w:val="-4"/>
        </w:rPr>
        <w:t>务配置及测试工作。</w:t>
      </w:r>
    </w:p>
    <w:p w14:paraId="5DD94E52">
      <w:pPr>
        <w:pStyle w:val="17"/>
        <w:spacing w:before="1" w:line="217" w:lineRule="auto"/>
        <w:ind w:left="501"/>
        <w:outlineLvl w:val="9"/>
        <w:rPr>
          <w:rFonts w:hint="eastAsia" w:ascii="宋体" w:hAnsi="宋体" w:eastAsia="宋体" w:cs="宋体"/>
          <w:b/>
          <w:bCs/>
          <w:spacing w:val="-3"/>
        </w:rPr>
      </w:pPr>
      <w:r>
        <w:rPr>
          <w:rFonts w:hint="eastAsia" w:ascii="宋体" w:hAnsi="宋体" w:eastAsia="宋体" w:cs="宋体"/>
          <w:b/>
          <w:bCs/>
          <w:spacing w:val="-3"/>
        </w:rPr>
        <w:t>宁德地调网控室：</w:t>
      </w:r>
      <w:r>
        <w:rPr>
          <w:rFonts w:hint="eastAsia" w:ascii="宋体" w:hAnsi="宋体" w:eastAsia="宋体" w:cs="宋体"/>
          <w:spacing w:val="-38"/>
        </w:rPr>
        <w:t xml:space="preserve"> </w:t>
      </w:r>
      <w:r>
        <w:rPr>
          <w:rFonts w:hint="eastAsia" w:ascii="宋体" w:hAnsi="宋体" w:eastAsia="宋体" w:cs="宋体"/>
          <w:b/>
          <w:bCs/>
          <w:spacing w:val="-3"/>
          <w:sz w:val="23"/>
          <w:szCs w:val="23"/>
        </w:rPr>
        <w:t xml:space="preserve">SDH </w:t>
      </w:r>
      <w:r>
        <w:rPr>
          <w:rFonts w:hint="eastAsia" w:ascii="宋体" w:hAnsi="宋体" w:eastAsia="宋体" w:cs="宋体"/>
          <w:b/>
          <w:bCs/>
          <w:spacing w:val="-3"/>
        </w:rPr>
        <w:t>传输设备、程控交换机设备，业务数据配置及业务测试。</w:t>
      </w:r>
    </w:p>
    <w:p w14:paraId="16E4BA0C">
      <w:pPr>
        <w:pStyle w:val="17"/>
        <w:spacing w:before="1" w:line="217" w:lineRule="auto"/>
        <w:outlineLvl w:val="9"/>
        <w:rPr>
          <w:rFonts w:hint="eastAsia" w:ascii="宋体" w:hAnsi="宋体" w:eastAsia="宋体" w:cs="宋体"/>
          <w:b/>
          <w:bCs/>
          <w:spacing w:val="-3"/>
          <w:lang w:val="en-US" w:eastAsia="zh-CN"/>
        </w:rPr>
      </w:pPr>
      <w:r>
        <w:rPr>
          <w:rFonts w:hint="eastAsia" w:ascii="宋体" w:hAnsi="宋体" w:eastAsia="宋体" w:cs="宋体"/>
          <w:b/>
          <w:bCs/>
          <w:spacing w:val="-3"/>
          <w:lang w:val="en-US" w:eastAsia="zh-CN"/>
        </w:rPr>
        <w:t>5、服务期限：供应商需货物交付后两天内完成设备改造调试工作。</w:t>
      </w:r>
    </w:p>
    <w:p w14:paraId="49A8F6E5">
      <w:pPr>
        <w:pStyle w:val="17"/>
        <w:spacing w:before="1" w:line="217" w:lineRule="auto"/>
        <w:outlineLvl w:val="9"/>
        <w:rPr>
          <w:rFonts w:hint="eastAsia" w:ascii="宋体" w:hAnsi="宋体" w:eastAsia="宋体" w:cs="宋体"/>
          <w:b/>
          <w:bCs/>
          <w:spacing w:val="-3"/>
          <w:lang w:val="en-US" w:eastAsia="zh-CN"/>
        </w:rPr>
      </w:pPr>
    </w:p>
    <w:p w14:paraId="2A1D6F19">
      <w:pPr>
        <w:rPr>
          <w:rFonts w:hint="eastAsia" w:ascii="宋体" w:hAnsi="宋体" w:eastAsia="宋体" w:cs="宋体"/>
        </w:rPr>
      </w:pPr>
    </w:p>
    <w:p w14:paraId="480B04EA">
      <w:pPr>
        <w:pStyle w:val="218"/>
        <w:spacing w:line="360" w:lineRule="auto"/>
        <w:ind w:firstLine="480" w:firstLineChars="200"/>
        <w:rPr>
          <w:rFonts w:hint="eastAsia" w:ascii="宋体" w:hAnsi="宋体" w:eastAsia="宋体" w:cs="宋体"/>
          <w:kern w:val="0"/>
          <w:sz w:val="24"/>
          <w:lang w:val="en-US" w:eastAsia="zh-CN"/>
        </w:rPr>
        <w:sectPr>
          <w:pgSz w:w="11906" w:h="16838"/>
          <w:pgMar w:top="1134" w:right="1134" w:bottom="1021" w:left="1134" w:header="851" w:footer="992" w:gutter="284"/>
          <w:pgNumType w:fmt="decimal" w:start="0"/>
          <w:cols w:space="720" w:num="1"/>
          <w:docGrid w:type="lines" w:linePitch="312" w:charSpace="0"/>
        </w:sectPr>
      </w:pPr>
    </w:p>
    <w:p w14:paraId="64FA5615">
      <w:pPr>
        <w:pStyle w:val="218"/>
        <w:spacing w:line="360" w:lineRule="auto"/>
        <w:ind w:firstLine="480" w:firstLineChars="200"/>
        <w:rPr>
          <w:rFonts w:hint="eastAsia" w:ascii="宋体" w:hAnsi="宋体" w:eastAsia="宋体" w:cs="宋体"/>
          <w:kern w:val="0"/>
          <w:sz w:val="24"/>
          <w:lang w:val="en-US" w:eastAsia="zh-CN"/>
        </w:rPr>
      </w:pPr>
    </w:p>
    <w:bookmarkEnd w:id="211"/>
    <w:p w14:paraId="4B4639A4">
      <w:pPr>
        <w:pStyle w:val="2"/>
        <w:spacing w:line="400" w:lineRule="exact"/>
        <w:jc w:val="center"/>
        <w:rPr>
          <w:rFonts w:hint="eastAsia" w:ascii="宋体" w:hAnsi="宋体" w:cs="宋体"/>
          <w:sz w:val="32"/>
          <w:szCs w:val="32"/>
        </w:rPr>
      </w:pPr>
      <w:bookmarkStart w:id="223" w:name="_Toc67474187"/>
      <w:bookmarkStart w:id="224" w:name="_Toc18448"/>
      <w:bookmarkStart w:id="225" w:name="_Toc51083522"/>
      <w:r>
        <w:rPr>
          <w:rFonts w:hint="eastAsia" w:ascii="宋体" w:hAnsi="宋体" w:cs="宋体"/>
          <w:sz w:val="32"/>
          <w:szCs w:val="32"/>
        </w:rPr>
        <w:t>第四部分 合同格式</w:t>
      </w:r>
    </w:p>
    <w:p w14:paraId="40146D27">
      <w:pPr>
        <w:rPr>
          <w:rFonts w:hint="eastAsia" w:ascii="宋体" w:hAnsi="宋体" w:cs="宋体"/>
        </w:rPr>
      </w:pPr>
      <w:r>
        <w:rPr>
          <w:rFonts w:hint="eastAsia" w:ascii="宋体" w:hAnsi="宋体" w:cs="宋体"/>
        </w:rPr>
        <w:t>注：提供的《合同模板》仅为合同的参考文本，合同签订双方可根据项目的具体要求进行修订。</w:t>
      </w:r>
    </w:p>
    <w:p w14:paraId="1033FE5B">
      <w:pPr>
        <w:spacing w:line="360" w:lineRule="auto"/>
        <w:jc w:val="center"/>
        <w:textAlignment w:val="baseline"/>
        <w:rPr>
          <w:rStyle w:val="187"/>
          <w:rFonts w:hint="eastAsia" w:ascii="宋体" w:hAnsi="宋体" w:eastAsia="宋体" w:cs="宋体"/>
          <w:b w:val="0"/>
          <w:bCs/>
          <w:sz w:val="52"/>
          <w:szCs w:val="52"/>
          <w:lang w:eastAsia="zh-CN"/>
        </w:rPr>
      </w:pPr>
      <w:r>
        <w:rPr>
          <w:rStyle w:val="187"/>
          <w:rFonts w:hint="eastAsia" w:ascii="宋体" w:hAnsi="宋体" w:eastAsia="宋体" w:cs="宋体"/>
          <w:b w:val="0"/>
          <w:bCs/>
          <w:sz w:val="52"/>
          <w:szCs w:val="52"/>
          <w:lang w:val="en-US" w:eastAsia="zh-CN"/>
        </w:rPr>
        <w:t>****设备改造（维修）</w:t>
      </w:r>
      <w:r>
        <w:rPr>
          <w:rStyle w:val="187"/>
          <w:rFonts w:hint="eastAsia" w:ascii="宋体" w:hAnsi="宋体" w:eastAsia="宋体" w:cs="宋体"/>
          <w:b w:val="0"/>
          <w:bCs/>
          <w:sz w:val="52"/>
          <w:szCs w:val="52"/>
          <w:lang w:eastAsia="zh-CN"/>
        </w:rPr>
        <w:t>服务合同</w:t>
      </w:r>
    </w:p>
    <w:p w14:paraId="0F04945C">
      <w:pPr>
        <w:jc w:val="center"/>
        <w:rPr>
          <w:rFonts w:hint="eastAsia" w:ascii="宋体" w:hAnsi="宋体" w:eastAsia="宋体" w:cs="宋体"/>
          <w:b/>
          <w:sz w:val="36"/>
          <w:szCs w:val="36"/>
        </w:rPr>
      </w:pPr>
      <w:bookmarkStart w:id="226" w:name="_Toc46308687"/>
      <w:bookmarkStart w:id="227" w:name="_Toc497225721"/>
      <w:bookmarkStart w:id="228" w:name="_Toc101843125"/>
      <w:bookmarkStart w:id="229" w:name="_Toc175644394"/>
      <w:bookmarkStart w:id="230" w:name="_Toc42394673"/>
      <w:bookmarkStart w:id="231" w:name="_Toc98579069"/>
      <w:bookmarkStart w:id="232" w:name="_Toc98035089"/>
      <w:bookmarkStart w:id="233" w:name="_Toc101771372"/>
      <w:bookmarkStart w:id="234" w:name="_Toc46308531"/>
      <w:bookmarkStart w:id="235" w:name="_Toc42313172"/>
      <w:bookmarkStart w:id="236" w:name="_Toc101951263"/>
      <w:bookmarkStart w:id="237" w:name="_Toc101775125"/>
      <w:bookmarkStart w:id="238" w:name="_Toc41884706"/>
      <w:bookmarkStart w:id="239" w:name="_Toc50276165"/>
      <w:bookmarkStart w:id="240" w:name="_Toc8730"/>
      <w:bookmarkStart w:id="241" w:name="_Toc98579610"/>
      <w:bookmarkStart w:id="242" w:name="_Toc98579011"/>
      <w:bookmarkStart w:id="243" w:name="_Toc42394517"/>
      <w:bookmarkStart w:id="244" w:name="_Toc41723936"/>
      <w:bookmarkStart w:id="245" w:name="_Toc50276204"/>
      <w:bookmarkStart w:id="246" w:name="_Toc469512912"/>
      <w:bookmarkStart w:id="247" w:name="_Toc98580293"/>
      <w:bookmarkStart w:id="248" w:name="_Toc469512686"/>
      <w:bookmarkStart w:id="249" w:name="_Toc497687608"/>
    </w:p>
    <w:p w14:paraId="6EB2093B">
      <w:pPr>
        <w:jc w:val="center"/>
        <w:rPr>
          <w:rFonts w:hint="eastAsia" w:ascii="宋体" w:hAnsi="宋体" w:eastAsia="宋体" w:cs="宋体"/>
          <w:b/>
          <w:sz w:val="36"/>
          <w:szCs w:val="36"/>
        </w:rPr>
      </w:pP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合同编号：</w:t>
      </w:r>
    </w:p>
    <w:p w14:paraId="3B854D03">
      <w:pPr>
        <w:jc w:val="center"/>
        <w:rPr>
          <w:rFonts w:hint="eastAsia" w:ascii="宋体" w:hAnsi="宋体" w:eastAsia="宋体" w:cs="宋体"/>
          <w:b/>
          <w:sz w:val="36"/>
          <w:szCs w:val="36"/>
        </w:rPr>
      </w:pPr>
    </w:p>
    <w:p w14:paraId="79206577">
      <w:pPr>
        <w:jc w:val="center"/>
        <w:rPr>
          <w:rFonts w:hint="eastAsia" w:ascii="宋体" w:hAnsi="宋体" w:eastAsia="宋体" w:cs="宋体"/>
          <w:b/>
          <w:sz w:val="36"/>
          <w:szCs w:val="36"/>
        </w:rPr>
      </w:pPr>
    </w:p>
    <w:p w14:paraId="0D974D75">
      <w:pPr>
        <w:jc w:val="center"/>
        <w:rPr>
          <w:rFonts w:hint="eastAsia" w:ascii="宋体" w:hAnsi="宋体" w:eastAsia="宋体" w:cs="宋体"/>
          <w:b/>
          <w:sz w:val="36"/>
          <w:szCs w:val="36"/>
        </w:rPr>
      </w:pPr>
    </w:p>
    <w:p w14:paraId="693BDA43">
      <w:pPr>
        <w:jc w:val="center"/>
        <w:rPr>
          <w:rFonts w:hint="eastAsia" w:ascii="宋体" w:hAnsi="宋体" w:eastAsia="宋体" w:cs="宋体"/>
          <w:b/>
          <w:sz w:val="36"/>
          <w:szCs w:val="36"/>
        </w:rPr>
      </w:pPr>
    </w:p>
    <w:p w14:paraId="11EA02AB">
      <w:pPr>
        <w:jc w:val="center"/>
        <w:rPr>
          <w:rFonts w:hint="eastAsia" w:ascii="宋体" w:hAnsi="宋体" w:eastAsia="宋体" w:cs="宋体"/>
          <w:b/>
          <w:sz w:val="36"/>
          <w:szCs w:val="36"/>
        </w:rPr>
      </w:pPr>
    </w:p>
    <w:p w14:paraId="5582C556">
      <w:pPr>
        <w:jc w:val="center"/>
        <w:rPr>
          <w:rFonts w:hint="eastAsia" w:ascii="宋体" w:hAnsi="宋体" w:eastAsia="宋体" w:cs="宋体"/>
          <w:b/>
          <w:sz w:val="36"/>
          <w:szCs w:val="36"/>
        </w:rPr>
      </w:pPr>
    </w:p>
    <w:p w14:paraId="5370C6CD">
      <w:pPr>
        <w:jc w:val="center"/>
        <w:rPr>
          <w:rFonts w:hint="eastAsia" w:ascii="宋体" w:hAnsi="宋体" w:eastAsia="宋体" w:cs="宋体"/>
          <w:b/>
          <w:sz w:val="36"/>
          <w:szCs w:val="36"/>
        </w:rPr>
      </w:pPr>
    </w:p>
    <w:p w14:paraId="3C74BA41">
      <w:pPr>
        <w:ind w:left="105" w:leftChars="50" w:firstLine="964" w:firstLineChars="343"/>
        <w:rPr>
          <w:rFonts w:hint="eastAsia" w:ascii="宋体" w:hAnsi="宋体" w:eastAsia="宋体" w:cs="宋体"/>
          <w:b/>
          <w:sz w:val="28"/>
          <w:szCs w:val="28"/>
          <w:lang w:eastAsia="zh-CN"/>
        </w:rPr>
      </w:pPr>
      <w:r>
        <w:rPr>
          <w:rFonts w:hint="eastAsia" w:ascii="宋体" w:hAnsi="宋体" w:eastAsia="宋体" w:cs="宋体"/>
          <w:b/>
          <w:sz w:val="28"/>
          <w:szCs w:val="28"/>
        </w:rPr>
        <w:t>甲方（委托方）：</w:t>
      </w:r>
      <w:r>
        <w:rPr>
          <w:rFonts w:hint="eastAsia" w:ascii="宋体" w:hAnsi="宋体" w:eastAsia="宋体" w:cs="宋体"/>
          <w:b/>
          <w:sz w:val="28"/>
          <w:szCs w:val="28"/>
          <w:lang w:eastAsia="zh-CN"/>
        </w:rPr>
        <w:t>宁德漳湾垃圾焚烧发电有限公司</w:t>
      </w:r>
    </w:p>
    <w:p w14:paraId="339C8786">
      <w:pPr>
        <w:ind w:left="105" w:leftChars="50" w:firstLine="967" w:firstLineChars="344"/>
        <w:rPr>
          <w:rFonts w:hint="eastAsia" w:ascii="宋体" w:hAnsi="宋体" w:eastAsia="宋体" w:cs="宋体"/>
          <w:b/>
          <w:sz w:val="28"/>
          <w:szCs w:val="28"/>
        </w:rPr>
      </w:pPr>
    </w:p>
    <w:p w14:paraId="683F144B">
      <w:pPr>
        <w:ind w:left="105" w:leftChars="50" w:firstLine="967" w:firstLineChars="344"/>
        <w:rPr>
          <w:rFonts w:hint="eastAsia" w:ascii="宋体" w:hAnsi="宋体" w:eastAsia="宋体" w:cs="宋体"/>
          <w:b/>
          <w:sz w:val="28"/>
          <w:szCs w:val="28"/>
        </w:rPr>
      </w:pPr>
      <w:r>
        <w:rPr>
          <w:rFonts w:hint="eastAsia" w:ascii="宋体" w:hAnsi="宋体" w:eastAsia="宋体" w:cs="宋体"/>
          <w:b/>
          <w:sz w:val="28"/>
          <w:szCs w:val="28"/>
        </w:rPr>
        <w:t>乙方（受托方）：</w:t>
      </w:r>
    </w:p>
    <w:p w14:paraId="7CFBBFEF">
      <w:pPr>
        <w:ind w:left="105" w:leftChars="50" w:firstLine="2361" w:firstLineChars="840"/>
        <w:rPr>
          <w:rFonts w:hint="eastAsia" w:ascii="宋体" w:hAnsi="宋体" w:eastAsia="宋体" w:cs="宋体"/>
          <w:b/>
          <w:sz w:val="28"/>
          <w:szCs w:val="28"/>
        </w:rPr>
      </w:pPr>
    </w:p>
    <w:p w14:paraId="07F16E67">
      <w:pPr>
        <w:rPr>
          <w:rFonts w:hint="eastAsia" w:ascii="宋体" w:hAnsi="宋体" w:eastAsia="宋体" w:cs="宋体"/>
          <w:b/>
          <w:sz w:val="28"/>
          <w:szCs w:val="28"/>
        </w:rPr>
      </w:pPr>
    </w:p>
    <w:p w14:paraId="4D43604A">
      <w:pPr>
        <w:ind w:left="105" w:leftChars="50" w:firstLine="4188" w:firstLineChars="1490"/>
        <w:rPr>
          <w:rFonts w:hint="eastAsia" w:ascii="宋体" w:hAnsi="宋体" w:eastAsia="宋体" w:cs="宋体"/>
          <w:b/>
          <w:sz w:val="28"/>
          <w:szCs w:val="28"/>
        </w:rPr>
      </w:pPr>
    </w:p>
    <w:p w14:paraId="2DBA6593">
      <w:pPr>
        <w:ind w:left="105" w:leftChars="50" w:firstLine="4188" w:firstLineChars="1490"/>
        <w:rPr>
          <w:rFonts w:hint="eastAsia" w:ascii="宋体" w:hAnsi="宋体" w:eastAsia="宋体" w:cs="宋体"/>
          <w:b/>
          <w:sz w:val="28"/>
          <w:szCs w:val="28"/>
          <w:lang w:eastAsia="zh-CN"/>
        </w:rPr>
      </w:pPr>
      <w:r>
        <w:rPr>
          <w:rFonts w:hint="eastAsia" w:ascii="宋体" w:hAnsi="宋体" w:eastAsia="宋体" w:cs="宋体"/>
          <w:b/>
          <w:sz w:val="28"/>
          <w:szCs w:val="28"/>
        </w:rPr>
        <w:t>合同签订地点：</w:t>
      </w:r>
      <w:r>
        <w:rPr>
          <w:rFonts w:hint="eastAsia" w:ascii="宋体" w:hAnsi="宋体" w:eastAsia="宋体" w:cs="宋体"/>
          <w:b/>
          <w:sz w:val="28"/>
          <w:szCs w:val="28"/>
          <w:lang w:eastAsia="zh-CN"/>
        </w:rPr>
        <w:t>福建省宁德市蕉城区</w:t>
      </w:r>
    </w:p>
    <w:p w14:paraId="42D7EF96">
      <w:pPr>
        <w:ind w:left="105" w:leftChars="50" w:firstLine="4188" w:firstLineChars="1490"/>
        <w:rPr>
          <w:rFonts w:hint="eastAsia" w:ascii="宋体" w:hAnsi="宋体" w:eastAsia="宋体" w:cs="宋体"/>
          <w:b/>
          <w:sz w:val="28"/>
          <w:szCs w:val="28"/>
        </w:rPr>
      </w:pPr>
    </w:p>
    <w:p w14:paraId="5B48C589">
      <w:pPr>
        <w:ind w:left="105" w:leftChars="50" w:firstLine="4188" w:firstLineChars="1490"/>
        <w:rPr>
          <w:rFonts w:hint="eastAsia" w:ascii="宋体" w:hAnsi="宋体" w:eastAsia="宋体" w:cs="宋体"/>
          <w:b/>
          <w:sz w:val="28"/>
          <w:szCs w:val="28"/>
        </w:rPr>
        <w:sectPr>
          <w:pgSz w:w="11906" w:h="16838"/>
          <w:pgMar w:top="1134" w:right="1134" w:bottom="1021" w:left="1134" w:header="851" w:footer="992" w:gutter="284"/>
          <w:pgNumType w:fmt="decimal" w:start="0"/>
          <w:cols w:space="720" w:num="1"/>
          <w:docGrid w:type="lines" w:linePitch="312" w:charSpace="0"/>
        </w:sectPr>
      </w:pPr>
      <w:r>
        <w:rPr>
          <w:rFonts w:hint="eastAsia" w:ascii="宋体" w:hAnsi="宋体" w:eastAsia="宋体" w:cs="宋体"/>
          <w:b/>
          <w:sz w:val="28"/>
          <w:szCs w:val="28"/>
        </w:rPr>
        <w:t>合同签订时间：   年  月  日</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6B083146">
      <w:pPr>
        <w:rPr>
          <w:rFonts w:hint="eastAsia" w:ascii="宋体" w:hAnsi="宋体" w:eastAsia="宋体" w:cs="宋体"/>
          <w:b/>
          <w:sz w:val="28"/>
          <w:szCs w:val="28"/>
        </w:rPr>
      </w:pPr>
    </w:p>
    <w:p w14:paraId="1612B27D">
      <w:pPr>
        <w:spacing w:line="360" w:lineRule="auto"/>
        <w:jc w:val="center"/>
        <w:textAlignment w:val="baseline"/>
        <w:rPr>
          <w:rStyle w:val="187"/>
          <w:rFonts w:hint="eastAsia" w:ascii="宋体" w:hAnsi="宋体" w:eastAsia="宋体" w:cs="宋体"/>
          <w:b w:val="0"/>
          <w:bCs/>
          <w:sz w:val="44"/>
          <w:szCs w:val="44"/>
          <w:lang w:eastAsia="zh-CN"/>
        </w:rPr>
      </w:pPr>
      <w:r>
        <w:rPr>
          <w:rStyle w:val="187"/>
          <w:rFonts w:hint="eastAsia" w:ascii="宋体" w:hAnsi="宋体" w:eastAsia="宋体" w:cs="宋体"/>
          <w:b w:val="0"/>
          <w:bCs/>
          <w:sz w:val="44"/>
          <w:szCs w:val="44"/>
          <w:lang w:val="en-US" w:eastAsia="zh-CN"/>
        </w:rPr>
        <w:t>*****设备改造（维修）</w:t>
      </w:r>
      <w:r>
        <w:rPr>
          <w:rStyle w:val="187"/>
          <w:rFonts w:hint="eastAsia" w:ascii="宋体" w:hAnsi="宋体" w:eastAsia="宋体" w:cs="宋体"/>
          <w:b w:val="0"/>
          <w:bCs/>
          <w:sz w:val="44"/>
          <w:szCs w:val="44"/>
          <w:lang w:eastAsia="zh-CN"/>
        </w:rPr>
        <w:t>服务合同</w:t>
      </w:r>
    </w:p>
    <w:p w14:paraId="4C15AFA0">
      <w:pPr>
        <w:rPr>
          <w:rFonts w:hint="eastAsia" w:ascii="宋体" w:hAnsi="宋体" w:eastAsia="宋体" w:cs="宋体"/>
          <w:b/>
          <w:sz w:val="28"/>
          <w:szCs w:val="28"/>
        </w:rPr>
      </w:pPr>
      <w:r>
        <w:rPr>
          <w:rFonts w:hint="eastAsia" w:ascii="宋体" w:hAnsi="宋体" w:eastAsia="宋体" w:cs="宋体"/>
          <w:b/>
          <w:sz w:val="28"/>
          <w:szCs w:val="28"/>
        </w:rPr>
        <w:t>甲方（委托方）：</w:t>
      </w:r>
    </w:p>
    <w:p w14:paraId="229F5EC0">
      <w:pPr>
        <w:rPr>
          <w:rFonts w:hint="eastAsia" w:ascii="宋体" w:hAnsi="宋体" w:eastAsia="宋体" w:cs="宋体"/>
          <w:b/>
          <w:sz w:val="28"/>
          <w:szCs w:val="28"/>
        </w:rPr>
      </w:pPr>
      <w:r>
        <w:rPr>
          <w:rFonts w:hint="eastAsia" w:ascii="宋体" w:hAnsi="宋体" w:eastAsia="宋体" w:cs="宋体"/>
          <w:b/>
          <w:sz w:val="28"/>
          <w:szCs w:val="28"/>
        </w:rPr>
        <w:t>法定代表人：</w:t>
      </w:r>
    </w:p>
    <w:p w14:paraId="6C98E69D">
      <w:pPr>
        <w:rPr>
          <w:rFonts w:hint="eastAsia" w:ascii="宋体" w:hAnsi="宋体" w:eastAsia="宋体" w:cs="宋体"/>
          <w:b/>
          <w:sz w:val="28"/>
          <w:szCs w:val="28"/>
        </w:rPr>
      </w:pPr>
      <w:r>
        <w:rPr>
          <w:rFonts w:hint="eastAsia" w:ascii="宋体" w:hAnsi="宋体" w:eastAsia="宋体" w:cs="宋体"/>
          <w:b/>
          <w:sz w:val="28"/>
          <w:szCs w:val="28"/>
        </w:rPr>
        <w:t>住所：</w:t>
      </w:r>
    </w:p>
    <w:p w14:paraId="040F46BF">
      <w:pPr>
        <w:rPr>
          <w:rFonts w:hint="eastAsia" w:ascii="宋体" w:hAnsi="宋体" w:eastAsia="宋体" w:cs="宋体"/>
          <w:b/>
          <w:sz w:val="28"/>
          <w:szCs w:val="28"/>
        </w:rPr>
      </w:pPr>
      <w:r>
        <w:rPr>
          <w:rFonts w:hint="eastAsia" w:ascii="宋体" w:hAnsi="宋体" w:eastAsia="宋体" w:cs="宋体"/>
          <w:b/>
          <w:sz w:val="28"/>
          <w:szCs w:val="28"/>
        </w:rPr>
        <w:t>乙方（受托方）：</w:t>
      </w:r>
    </w:p>
    <w:p w14:paraId="5A2ACEFB">
      <w:pPr>
        <w:rPr>
          <w:rFonts w:hint="eastAsia" w:ascii="宋体" w:hAnsi="宋体" w:eastAsia="宋体" w:cs="宋体"/>
          <w:b/>
          <w:sz w:val="28"/>
          <w:szCs w:val="28"/>
        </w:rPr>
      </w:pPr>
      <w:r>
        <w:rPr>
          <w:rFonts w:hint="eastAsia" w:ascii="宋体" w:hAnsi="宋体" w:eastAsia="宋体" w:cs="宋体"/>
          <w:b/>
          <w:sz w:val="28"/>
          <w:szCs w:val="28"/>
        </w:rPr>
        <w:t>法定代表人：</w:t>
      </w:r>
    </w:p>
    <w:p w14:paraId="36317837">
      <w:pPr>
        <w:rPr>
          <w:rFonts w:hint="eastAsia" w:ascii="宋体" w:hAnsi="宋体" w:eastAsia="宋体" w:cs="宋体"/>
          <w:sz w:val="28"/>
          <w:szCs w:val="28"/>
        </w:rPr>
      </w:pPr>
      <w:r>
        <w:rPr>
          <w:rFonts w:hint="eastAsia" w:ascii="宋体" w:hAnsi="宋体" w:eastAsia="宋体" w:cs="宋体"/>
          <w:b/>
          <w:sz w:val="28"/>
          <w:szCs w:val="28"/>
        </w:rPr>
        <w:t>住所：</w:t>
      </w:r>
    </w:p>
    <w:p w14:paraId="3DED8E46">
      <w:p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甲方于×年×月×日通过×××××方式，选定乙方为</w:t>
      </w:r>
      <w:r>
        <w:rPr>
          <w:rFonts w:hint="eastAsia" w:ascii="宋体" w:hAnsi="宋体" w:eastAsia="宋体" w:cs="宋体"/>
          <w:sz w:val="28"/>
          <w:szCs w:val="28"/>
          <w:lang w:val="en-US" w:eastAsia="zh-CN"/>
        </w:rPr>
        <w:t>宁德漳湾垃圾焚烧发电有限公司国网电力通信设备及调度设备改造项目的服务</w:t>
      </w:r>
      <w:r>
        <w:rPr>
          <w:rFonts w:hint="eastAsia" w:ascii="宋体" w:hAnsi="宋体" w:eastAsia="宋体" w:cs="宋体"/>
          <w:sz w:val="28"/>
          <w:szCs w:val="28"/>
          <w:lang w:eastAsia="zh-CN"/>
        </w:rPr>
        <w:t>商，现本着平等、自愿、诚实守信的原则，甲、乙双方基于本事项采购文件协商一致，并依照</w:t>
      </w:r>
      <w:r>
        <w:rPr>
          <w:rFonts w:hint="eastAsia" w:ascii="宋体" w:hAnsi="宋体" w:eastAsia="宋体" w:cs="宋体"/>
          <w:sz w:val="28"/>
          <w:szCs w:val="28"/>
        </w:rPr>
        <w:t>《中华人民共和国民法典》</w:t>
      </w:r>
      <w:r>
        <w:rPr>
          <w:rFonts w:hint="eastAsia" w:ascii="宋体" w:hAnsi="宋体" w:eastAsia="宋体" w:cs="宋体"/>
          <w:sz w:val="28"/>
          <w:szCs w:val="28"/>
          <w:lang w:eastAsia="zh-CN"/>
        </w:rPr>
        <w:t>及招标文件、投标文件等相关文件的内容，订立本合同，</w:t>
      </w:r>
      <w:r>
        <w:rPr>
          <w:rFonts w:hint="eastAsia" w:ascii="宋体" w:hAnsi="宋体" w:eastAsia="宋体" w:cs="宋体"/>
          <w:sz w:val="28"/>
          <w:szCs w:val="28"/>
        </w:rPr>
        <w:t>具体条款如下：</w:t>
      </w:r>
    </w:p>
    <w:p w14:paraId="20D98238">
      <w:pPr>
        <w:tabs>
          <w:tab w:val="left" w:pos="180"/>
          <w:tab w:val="left" w:pos="540"/>
        </w:tabs>
        <w:rPr>
          <w:rFonts w:hint="eastAsia" w:ascii="宋体" w:hAnsi="宋体" w:eastAsia="宋体" w:cs="宋体"/>
          <w:sz w:val="28"/>
          <w:szCs w:val="28"/>
        </w:rPr>
      </w:pPr>
      <w:r>
        <w:rPr>
          <w:rFonts w:hint="eastAsia" w:ascii="宋体" w:hAnsi="宋体" w:eastAsia="宋体" w:cs="宋体"/>
          <w:b/>
          <w:sz w:val="28"/>
          <w:szCs w:val="28"/>
        </w:rPr>
        <w:t>一、</w:t>
      </w:r>
      <w:r>
        <w:rPr>
          <w:rFonts w:hint="eastAsia" w:ascii="宋体" w:hAnsi="宋体" w:eastAsia="宋体" w:cs="宋体"/>
          <w:b/>
          <w:sz w:val="28"/>
          <w:szCs w:val="28"/>
          <w:lang w:eastAsia="zh-CN"/>
        </w:rPr>
        <w:t>改造维修</w:t>
      </w:r>
      <w:r>
        <w:rPr>
          <w:rFonts w:hint="eastAsia" w:ascii="宋体" w:hAnsi="宋体" w:eastAsia="宋体" w:cs="宋体"/>
          <w:b/>
          <w:sz w:val="28"/>
          <w:szCs w:val="28"/>
        </w:rPr>
        <w:t>的（设备名称/范围）：</w:t>
      </w:r>
      <w:r>
        <w:rPr>
          <w:rFonts w:hint="eastAsia" w:ascii="宋体" w:hAnsi="宋体" w:eastAsia="宋体" w:cs="宋体"/>
          <w:b/>
          <w:sz w:val="28"/>
          <w:szCs w:val="28"/>
          <w:u w:val="single"/>
        </w:rPr>
        <w:t xml:space="preserve">                        </w:t>
      </w:r>
      <w:r>
        <w:rPr>
          <w:rFonts w:hint="eastAsia" w:ascii="宋体" w:hAnsi="宋体" w:eastAsia="宋体" w:cs="宋体"/>
          <w:b/>
          <w:sz w:val="28"/>
          <w:szCs w:val="28"/>
        </w:rPr>
        <w:t xml:space="preserve"> </w:t>
      </w:r>
      <w:r>
        <w:rPr>
          <w:rFonts w:hint="eastAsia" w:ascii="宋体" w:hAnsi="宋体" w:eastAsia="宋体" w:cs="宋体"/>
          <w:sz w:val="28"/>
          <w:szCs w:val="28"/>
        </w:rPr>
        <w:t>。</w:t>
      </w:r>
    </w:p>
    <w:p w14:paraId="6AE7E5EE">
      <w:pPr>
        <w:tabs>
          <w:tab w:val="left" w:pos="180"/>
          <w:tab w:val="left" w:pos="540"/>
        </w:tabs>
        <w:rPr>
          <w:rFonts w:hint="eastAsia" w:ascii="宋体" w:hAnsi="宋体" w:eastAsia="宋体" w:cs="宋体"/>
          <w:sz w:val="28"/>
          <w:szCs w:val="28"/>
          <w:u w:val="single"/>
        </w:rPr>
      </w:pPr>
      <w:r>
        <w:rPr>
          <w:rFonts w:hint="eastAsia" w:ascii="宋体" w:hAnsi="宋体" w:eastAsia="宋体" w:cs="宋体"/>
          <w:b/>
          <w:sz w:val="28"/>
          <w:szCs w:val="28"/>
        </w:rPr>
        <w:t>二、</w:t>
      </w:r>
      <w:r>
        <w:rPr>
          <w:rFonts w:hint="eastAsia" w:ascii="宋体" w:hAnsi="宋体" w:eastAsia="宋体" w:cs="宋体"/>
          <w:b/>
          <w:sz w:val="28"/>
          <w:szCs w:val="28"/>
          <w:lang w:eastAsia="zh-CN"/>
        </w:rPr>
        <w:t>改造维修</w:t>
      </w:r>
      <w:r>
        <w:rPr>
          <w:rFonts w:hint="eastAsia" w:ascii="宋体" w:hAnsi="宋体" w:eastAsia="宋体" w:cs="宋体"/>
          <w:b/>
          <w:sz w:val="28"/>
          <w:szCs w:val="28"/>
        </w:rPr>
        <w:t>设备的地点：</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689F9056">
      <w:pPr>
        <w:widowControl/>
        <w:spacing w:line="360" w:lineRule="auto"/>
        <w:jc w:val="left"/>
        <w:rPr>
          <w:rFonts w:hint="eastAsia" w:ascii="宋体" w:hAnsi="宋体" w:eastAsia="宋体" w:cs="宋体"/>
          <w:b/>
          <w:sz w:val="28"/>
          <w:szCs w:val="28"/>
        </w:rPr>
      </w:pPr>
      <w:r>
        <w:rPr>
          <w:rFonts w:hint="eastAsia" w:ascii="宋体" w:hAnsi="宋体" w:eastAsia="宋体" w:cs="宋体"/>
          <w:b/>
          <w:sz w:val="28"/>
          <w:szCs w:val="28"/>
        </w:rPr>
        <w:t>三、设备</w:t>
      </w:r>
      <w:r>
        <w:rPr>
          <w:rFonts w:hint="eastAsia" w:ascii="宋体" w:hAnsi="宋体" w:eastAsia="宋体" w:cs="宋体"/>
          <w:b/>
          <w:sz w:val="28"/>
          <w:szCs w:val="28"/>
          <w:lang w:eastAsia="zh-CN"/>
        </w:rPr>
        <w:t>改造维修</w:t>
      </w:r>
      <w:r>
        <w:rPr>
          <w:rFonts w:hint="eastAsia" w:ascii="宋体" w:hAnsi="宋体" w:eastAsia="宋体" w:cs="宋体"/>
          <w:b/>
          <w:sz w:val="28"/>
          <w:szCs w:val="28"/>
        </w:rPr>
        <w:t>的具体内容：</w:t>
      </w:r>
    </w:p>
    <w:p w14:paraId="065C8A93">
      <w:pPr>
        <w:widowControl/>
        <w:spacing w:line="360" w:lineRule="auto"/>
        <w:jc w:val="left"/>
        <w:rPr>
          <w:rFonts w:hint="eastAsia" w:ascii="宋体" w:hAnsi="宋体" w:eastAsia="宋体" w:cs="宋体"/>
          <w:b/>
          <w:sz w:val="28"/>
          <w:szCs w:val="28"/>
        </w:rPr>
      </w:pPr>
      <w:r>
        <w:rPr>
          <w:rFonts w:hint="eastAsia" w:ascii="宋体" w:hAnsi="宋体" w:eastAsia="宋体" w:cs="宋体"/>
          <w:b/>
          <w:sz w:val="28"/>
          <w:szCs w:val="28"/>
        </w:rPr>
        <w:t xml:space="preserve">  （可以附件形式详细列明）</w:t>
      </w:r>
    </w:p>
    <w:p w14:paraId="7EF3E1E3">
      <w:pPr>
        <w:tabs>
          <w:tab w:val="left" w:pos="180"/>
          <w:tab w:val="left" w:pos="540"/>
          <w:tab w:val="left" w:pos="720"/>
        </w:tabs>
        <w:rPr>
          <w:rFonts w:hint="eastAsia" w:ascii="宋体" w:hAnsi="宋体" w:eastAsia="宋体" w:cs="宋体"/>
          <w:b/>
          <w:sz w:val="28"/>
          <w:szCs w:val="28"/>
        </w:rPr>
      </w:pPr>
      <w:r>
        <w:rPr>
          <w:rFonts w:hint="eastAsia" w:ascii="宋体" w:hAnsi="宋体" w:eastAsia="宋体" w:cs="宋体"/>
          <w:b/>
          <w:sz w:val="28"/>
          <w:szCs w:val="28"/>
        </w:rPr>
        <w:t>四、</w:t>
      </w:r>
      <w:r>
        <w:rPr>
          <w:rFonts w:hint="eastAsia" w:ascii="宋体" w:hAnsi="宋体" w:eastAsia="宋体" w:cs="宋体"/>
          <w:b/>
          <w:sz w:val="28"/>
          <w:szCs w:val="28"/>
          <w:lang w:eastAsia="zh-CN"/>
        </w:rPr>
        <w:t>改造维修</w:t>
      </w:r>
      <w:r>
        <w:rPr>
          <w:rFonts w:hint="eastAsia" w:ascii="宋体" w:hAnsi="宋体" w:eastAsia="宋体" w:cs="宋体"/>
          <w:b/>
          <w:sz w:val="28"/>
          <w:szCs w:val="28"/>
        </w:rPr>
        <w:t>费用及付款方式：</w:t>
      </w:r>
    </w:p>
    <w:p w14:paraId="1CD755CD">
      <w:pPr>
        <w:tabs>
          <w:tab w:val="left" w:pos="180"/>
          <w:tab w:val="left" w:pos="540"/>
          <w:tab w:val="left" w:pos="720"/>
        </w:tabs>
        <w:ind w:firstLine="560" w:firstLineChars="200"/>
        <w:rPr>
          <w:rFonts w:hint="eastAsia" w:ascii="宋体" w:hAnsi="宋体" w:eastAsia="宋体" w:cs="宋体"/>
          <w:sz w:val="28"/>
          <w:szCs w:val="28"/>
        </w:rPr>
      </w:pPr>
      <w:r>
        <w:rPr>
          <w:rFonts w:hint="eastAsia" w:ascii="宋体" w:hAnsi="宋体" w:eastAsia="宋体" w:cs="宋体"/>
          <w:sz w:val="28"/>
          <w:szCs w:val="28"/>
        </w:rPr>
        <w:t>1.本合同</w:t>
      </w:r>
      <w:r>
        <w:rPr>
          <w:rFonts w:hint="eastAsia" w:ascii="宋体" w:hAnsi="宋体" w:eastAsia="宋体" w:cs="宋体"/>
          <w:sz w:val="28"/>
          <w:szCs w:val="28"/>
          <w:lang w:eastAsia="zh-CN"/>
        </w:rPr>
        <w:t>改造维修</w:t>
      </w:r>
      <w:r>
        <w:rPr>
          <w:rFonts w:hint="eastAsia" w:ascii="宋体" w:hAnsi="宋体" w:eastAsia="宋体" w:cs="宋体"/>
          <w:sz w:val="28"/>
          <w:szCs w:val="28"/>
        </w:rPr>
        <w:t>费用</w:t>
      </w:r>
      <w:r>
        <w:rPr>
          <w:rFonts w:hint="eastAsia" w:ascii="宋体" w:hAnsi="宋体" w:eastAsia="宋体" w:cs="宋体"/>
          <w:sz w:val="28"/>
          <w:szCs w:val="28"/>
          <w:lang w:eastAsia="zh-CN"/>
        </w:rPr>
        <w:t>含税</w:t>
      </w:r>
      <w:r>
        <w:rPr>
          <w:rFonts w:hint="eastAsia" w:ascii="宋体" w:hAnsi="宋体" w:eastAsia="宋体" w:cs="宋体"/>
          <w:sz w:val="28"/>
          <w:szCs w:val="28"/>
        </w:rPr>
        <w:t>总额：人民币大写[    ]元，小写[   ]元。</w:t>
      </w:r>
    </w:p>
    <w:p w14:paraId="354B42FC">
      <w:pPr>
        <w:tabs>
          <w:tab w:val="left" w:pos="180"/>
          <w:tab w:val="left" w:pos="540"/>
          <w:tab w:val="left" w:pos="720"/>
        </w:tabs>
        <w:ind w:firstLine="560" w:firstLineChars="200"/>
        <w:rPr>
          <w:rFonts w:hint="eastAsia" w:ascii="宋体" w:hAnsi="宋体" w:eastAsia="宋体" w:cs="宋体"/>
          <w:sz w:val="28"/>
          <w:szCs w:val="28"/>
        </w:rPr>
      </w:pPr>
      <w:r>
        <w:rPr>
          <w:rFonts w:hint="eastAsia" w:ascii="宋体" w:hAnsi="宋体" w:eastAsia="宋体" w:cs="宋体"/>
          <w:sz w:val="28"/>
          <w:szCs w:val="28"/>
        </w:rPr>
        <w:t>2.上述合同总价包括但不限于：</w:t>
      </w:r>
    </w:p>
    <w:p w14:paraId="2C826009">
      <w:pPr>
        <w:tabs>
          <w:tab w:val="left" w:pos="180"/>
          <w:tab w:val="left" w:pos="540"/>
          <w:tab w:val="left" w:pos="720"/>
        </w:tabs>
        <w:ind w:firstLine="560" w:firstLineChars="200"/>
        <w:rPr>
          <w:rFonts w:hint="eastAsia" w:ascii="宋体" w:hAnsi="宋体" w:eastAsia="宋体" w:cs="宋体"/>
          <w:sz w:val="28"/>
          <w:szCs w:val="28"/>
        </w:rPr>
      </w:pPr>
      <w:r>
        <w:rPr>
          <w:rFonts w:hint="eastAsia" w:ascii="宋体" w:hAnsi="宋体" w:eastAsia="宋体" w:cs="宋体"/>
          <w:sz w:val="28"/>
          <w:szCs w:val="28"/>
        </w:rPr>
        <w:t>（1）乙方按照本合同约定提供</w:t>
      </w:r>
      <w:r>
        <w:rPr>
          <w:rFonts w:hint="eastAsia" w:ascii="宋体" w:hAnsi="宋体" w:eastAsia="宋体" w:cs="宋体"/>
          <w:sz w:val="28"/>
          <w:szCs w:val="28"/>
          <w:lang w:eastAsia="zh-CN"/>
        </w:rPr>
        <w:t>改造维修</w:t>
      </w:r>
      <w:r>
        <w:rPr>
          <w:rFonts w:hint="eastAsia" w:ascii="宋体" w:hAnsi="宋体" w:eastAsia="宋体" w:cs="宋体"/>
          <w:sz w:val="28"/>
          <w:szCs w:val="28"/>
        </w:rPr>
        <w:t>服务费用及相关人员工资等费用。</w:t>
      </w:r>
    </w:p>
    <w:p w14:paraId="66DB17DB">
      <w:pPr>
        <w:tabs>
          <w:tab w:val="left" w:pos="180"/>
          <w:tab w:val="left" w:pos="540"/>
          <w:tab w:val="left" w:pos="720"/>
        </w:tabs>
        <w:ind w:firstLine="560" w:firstLineChars="200"/>
        <w:rPr>
          <w:rFonts w:hint="eastAsia" w:ascii="宋体" w:hAnsi="宋体" w:eastAsia="宋体" w:cs="宋体"/>
          <w:sz w:val="28"/>
          <w:szCs w:val="28"/>
        </w:rPr>
      </w:pPr>
      <w:r>
        <w:rPr>
          <w:rFonts w:hint="eastAsia" w:ascii="宋体" w:hAnsi="宋体" w:eastAsia="宋体" w:cs="宋体"/>
          <w:sz w:val="28"/>
          <w:szCs w:val="28"/>
        </w:rPr>
        <w:t>（2）乙方</w:t>
      </w:r>
      <w:r>
        <w:rPr>
          <w:rFonts w:hint="eastAsia" w:ascii="宋体" w:hAnsi="宋体" w:eastAsia="宋体" w:cs="宋体"/>
          <w:sz w:val="28"/>
          <w:szCs w:val="28"/>
          <w:lang w:eastAsia="zh-CN"/>
        </w:rPr>
        <w:t>改造维修</w:t>
      </w:r>
      <w:r>
        <w:rPr>
          <w:rFonts w:hint="eastAsia" w:ascii="宋体" w:hAnsi="宋体" w:eastAsia="宋体" w:cs="宋体"/>
          <w:sz w:val="28"/>
          <w:szCs w:val="28"/>
        </w:rPr>
        <w:t>设备所需要更换的零部件的费用和工具费用。</w:t>
      </w:r>
    </w:p>
    <w:p w14:paraId="732AA1ED">
      <w:pPr>
        <w:tabs>
          <w:tab w:val="left" w:pos="180"/>
          <w:tab w:val="left" w:pos="540"/>
          <w:tab w:val="left" w:pos="720"/>
        </w:tabs>
        <w:ind w:firstLine="560" w:firstLineChars="200"/>
        <w:rPr>
          <w:rFonts w:hint="eastAsia" w:ascii="宋体" w:hAnsi="宋体" w:eastAsia="宋体" w:cs="宋体"/>
          <w:sz w:val="28"/>
          <w:szCs w:val="28"/>
        </w:rPr>
      </w:pPr>
      <w:r>
        <w:rPr>
          <w:rFonts w:hint="eastAsia" w:ascii="宋体" w:hAnsi="宋体" w:eastAsia="宋体" w:cs="宋体"/>
          <w:sz w:val="28"/>
          <w:szCs w:val="28"/>
        </w:rPr>
        <w:t>（3）乙方为履行设备</w:t>
      </w:r>
      <w:r>
        <w:rPr>
          <w:rFonts w:hint="eastAsia" w:ascii="宋体" w:hAnsi="宋体" w:eastAsia="宋体" w:cs="宋体"/>
          <w:sz w:val="28"/>
          <w:szCs w:val="28"/>
          <w:lang w:eastAsia="zh-CN"/>
        </w:rPr>
        <w:t>改造维修</w:t>
      </w:r>
      <w:r>
        <w:rPr>
          <w:rFonts w:hint="eastAsia" w:ascii="宋体" w:hAnsi="宋体" w:eastAsia="宋体" w:cs="宋体"/>
          <w:sz w:val="28"/>
          <w:szCs w:val="28"/>
        </w:rPr>
        <w:t>服务而支出的全部差旅费、通讯费、食宿费、设备运输或者拆卸、装配等费用。</w:t>
      </w:r>
    </w:p>
    <w:p w14:paraId="285B6075">
      <w:pPr>
        <w:tabs>
          <w:tab w:val="left" w:pos="180"/>
          <w:tab w:val="left" w:pos="540"/>
          <w:tab w:val="left" w:pos="720"/>
        </w:tabs>
        <w:ind w:firstLine="560" w:firstLineChars="200"/>
        <w:rPr>
          <w:rFonts w:hint="eastAsia" w:ascii="宋体" w:hAnsi="宋体" w:eastAsia="宋体" w:cs="宋体"/>
          <w:sz w:val="28"/>
          <w:szCs w:val="28"/>
        </w:rPr>
      </w:pPr>
      <w:r>
        <w:rPr>
          <w:rFonts w:hint="eastAsia" w:ascii="宋体" w:hAnsi="宋体" w:eastAsia="宋体" w:cs="宋体"/>
          <w:sz w:val="28"/>
          <w:szCs w:val="28"/>
        </w:rPr>
        <w:t>（4）乙方向甲方提供设备</w:t>
      </w:r>
      <w:r>
        <w:rPr>
          <w:rFonts w:hint="eastAsia" w:ascii="宋体" w:hAnsi="宋体" w:eastAsia="宋体" w:cs="宋体"/>
          <w:sz w:val="28"/>
          <w:szCs w:val="28"/>
          <w:lang w:eastAsia="zh-CN"/>
        </w:rPr>
        <w:t>改造维修</w:t>
      </w:r>
      <w:r>
        <w:rPr>
          <w:rFonts w:hint="eastAsia" w:ascii="宋体" w:hAnsi="宋体" w:eastAsia="宋体" w:cs="宋体"/>
          <w:sz w:val="28"/>
          <w:szCs w:val="28"/>
        </w:rPr>
        <w:t>服务而应交纳的所有税费。</w:t>
      </w:r>
    </w:p>
    <w:p w14:paraId="777541D4">
      <w:pPr>
        <w:tabs>
          <w:tab w:val="left" w:pos="180"/>
          <w:tab w:val="left" w:pos="540"/>
          <w:tab w:val="left" w:pos="720"/>
        </w:tabs>
        <w:ind w:firstLine="560" w:firstLineChars="200"/>
        <w:rPr>
          <w:rFonts w:hint="eastAsia" w:ascii="宋体" w:hAnsi="宋体" w:eastAsia="宋体" w:cs="宋体"/>
          <w:sz w:val="28"/>
          <w:szCs w:val="28"/>
        </w:rPr>
      </w:pPr>
      <w:r>
        <w:rPr>
          <w:rFonts w:hint="eastAsia" w:ascii="宋体" w:hAnsi="宋体" w:eastAsia="宋体" w:cs="宋体"/>
          <w:sz w:val="28"/>
          <w:szCs w:val="28"/>
        </w:rPr>
        <w:t>（5）乙方履行本合同应得的利润。</w:t>
      </w:r>
    </w:p>
    <w:p w14:paraId="67F9E70D">
      <w:pPr>
        <w:tabs>
          <w:tab w:val="left" w:pos="180"/>
          <w:tab w:val="left" w:pos="540"/>
          <w:tab w:val="left" w:pos="720"/>
        </w:tabs>
        <w:ind w:firstLine="560" w:firstLineChars="200"/>
        <w:rPr>
          <w:rFonts w:hint="eastAsia" w:ascii="宋体" w:hAnsi="宋体" w:eastAsia="宋体" w:cs="宋体"/>
          <w:sz w:val="28"/>
          <w:szCs w:val="28"/>
        </w:rPr>
      </w:pPr>
      <w:r>
        <w:rPr>
          <w:rFonts w:hint="eastAsia" w:ascii="宋体" w:hAnsi="宋体" w:eastAsia="宋体" w:cs="宋体"/>
          <w:sz w:val="28"/>
          <w:szCs w:val="28"/>
        </w:rPr>
        <w:t>（6）乙方提供技术服务产生的费用。</w:t>
      </w:r>
    </w:p>
    <w:p w14:paraId="497F092B">
      <w:pPr>
        <w:tabs>
          <w:tab w:val="left" w:pos="180"/>
          <w:tab w:val="left" w:pos="540"/>
          <w:tab w:val="left" w:pos="720"/>
        </w:tabs>
        <w:ind w:firstLine="560" w:firstLineChars="200"/>
        <w:rPr>
          <w:rFonts w:hint="eastAsia" w:ascii="宋体" w:hAnsi="宋体" w:eastAsia="宋体" w:cs="宋体"/>
          <w:sz w:val="28"/>
          <w:szCs w:val="28"/>
        </w:rPr>
      </w:pPr>
      <w:r>
        <w:rPr>
          <w:rFonts w:hint="eastAsia" w:ascii="宋体" w:hAnsi="宋体" w:eastAsia="宋体" w:cs="宋体"/>
          <w:sz w:val="28"/>
          <w:szCs w:val="28"/>
        </w:rPr>
        <w:t>（7）乙方履行本合同所需的其他必要费用。</w:t>
      </w:r>
    </w:p>
    <w:p w14:paraId="2701D065">
      <w:pPr>
        <w:tabs>
          <w:tab w:val="left" w:pos="180"/>
          <w:tab w:val="left" w:pos="540"/>
          <w:tab w:val="left" w:pos="720"/>
        </w:tabs>
        <w:ind w:firstLine="560" w:firstLineChars="200"/>
        <w:rPr>
          <w:rFonts w:hint="eastAsia" w:ascii="宋体" w:hAnsi="宋体" w:eastAsia="宋体" w:cs="宋体"/>
          <w:sz w:val="28"/>
          <w:szCs w:val="28"/>
        </w:rPr>
      </w:pPr>
      <w:r>
        <w:rPr>
          <w:rFonts w:hint="eastAsia" w:ascii="宋体" w:hAnsi="宋体" w:eastAsia="宋体" w:cs="宋体"/>
          <w:sz w:val="28"/>
          <w:szCs w:val="28"/>
        </w:rPr>
        <w:t>除另有约定外，甲方无需就本合同项下委托事项向乙方支付上述费用之外的任何其他费用。</w:t>
      </w:r>
    </w:p>
    <w:p w14:paraId="09343A77">
      <w:pPr>
        <w:widowControl w:val="0"/>
        <w:tabs>
          <w:tab w:val="left" w:pos="180"/>
          <w:tab w:val="left" w:pos="540"/>
          <w:tab w:val="left" w:pos="720"/>
        </w:tabs>
        <w:ind w:firstLine="560" w:firstLineChars="200"/>
        <w:jc w:val="both"/>
        <w:rPr>
          <w:rFonts w:hint="eastAsia" w:ascii="宋体" w:hAnsi="宋体" w:eastAsia="宋体" w:cs="宋体"/>
          <w:lang w:eastAsia="zh-CN"/>
        </w:rPr>
      </w:pPr>
      <w:r>
        <w:rPr>
          <w:rFonts w:hint="eastAsia" w:ascii="宋体" w:hAnsi="宋体" w:eastAsia="宋体" w:cs="宋体"/>
          <w:kern w:val="2"/>
          <w:sz w:val="28"/>
          <w:szCs w:val="28"/>
          <w:lang w:bidi="ar-SA"/>
        </w:rPr>
        <w:t>3.乙方需开具符合国家法律法规和标准的税率为【    】%的增值税专用发票。甲方在确认无误后，将按照本合同约定的各进度节点向乙方支付相应的服务费用。</w:t>
      </w:r>
    </w:p>
    <w:p w14:paraId="5D63C0AE">
      <w:pPr>
        <w:tabs>
          <w:tab w:val="left" w:pos="180"/>
          <w:tab w:val="left" w:pos="540"/>
          <w:tab w:val="left" w:pos="720"/>
        </w:tabs>
        <w:ind w:firstLine="560" w:firstLineChars="200"/>
        <w:rPr>
          <w:rFonts w:hint="eastAsia" w:ascii="宋体" w:hAnsi="宋体" w:eastAsia="宋体" w:cs="宋体"/>
          <w:sz w:val="28"/>
          <w:szCs w:val="28"/>
        </w:rPr>
      </w:pPr>
      <w:r>
        <w:rPr>
          <w:rFonts w:hint="eastAsia" w:ascii="宋体" w:hAnsi="宋体" w:eastAsia="宋体" w:cs="宋体"/>
          <w:sz w:val="28"/>
          <w:szCs w:val="28"/>
        </w:rPr>
        <w:t>4. 付款方式为：</w:t>
      </w:r>
    </w:p>
    <w:p w14:paraId="67D1A0C2">
      <w:pPr>
        <w:tabs>
          <w:tab w:val="left" w:pos="180"/>
          <w:tab w:val="left" w:pos="540"/>
          <w:tab w:val="left" w:pos="720"/>
        </w:tabs>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eastAsia="宋体" w:cs="宋体"/>
          <w:sz w:val="28"/>
          <w:szCs w:val="28"/>
          <w:lang w:eastAsia="zh-CN"/>
        </w:rPr>
        <w:t>预付款：</w:t>
      </w:r>
      <w:r>
        <w:rPr>
          <w:rFonts w:hint="eastAsia" w:ascii="宋体" w:hAnsi="宋体" w:eastAsia="宋体" w:cs="宋体"/>
          <w:sz w:val="28"/>
          <w:szCs w:val="28"/>
        </w:rPr>
        <w:t>合同签订后</w:t>
      </w:r>
      <w:r>
        <w:rPr>
          <w:rFonts w:hint="eastAsia" w:ascii="宋体" w:hAnsi="宋体" w:eastAsia="宋体" w:cs="宋体"/>
          <w:sz w:val="28"/>
          <w:szCs w:val="28"/>
          <w:lang w:eastAsia="zh-CN"/>
        </w:rPr>
        <w:t>甲方</w:t>
      </w:r>
      <w:r>
        <w:rPr>
          <w:rFonts w:hint="eastAsia" w:ascii="宋体" w:hAnsi="宋体" w:eastAsia="宋体" w:cs="宋体"/>
          <w:sz w:val="28"/>
          <w:szCs w:val="28"/>
          <w:u w:val="single"/>
          <w:lang w:val="en-US" w:eastAsia="zh-CN"/>
        </w:rPr>
        <w:t>30</w:t>
      </w:r>
      <w:r>
        <w:rPr>
          <w:rFonts w:hint="eastAsia" w:ascii="宋体" w:hAnsi="宋体" w:eastAsia="宋体" w:cs="宋体"/>
          <w:sz w:val="28"/>
          <w:szCs w:val="28"/>
        </w:rPr>
        <w:t>天内将合同金额的</w:t>
      </w:r>
      <w:r>
        <w:rPr>
          <w:rFonts w:hint="eastAsia" w:ascii="宋体" w:hAnsi="宋体" w:eastAsia="宋体" w:cs="宋体"/>
          <w:sz w:val="28"/>
          <w:szCs w:val="28"/>
          <w:u w:val="single"/>
          <w:lang w:val="en-US" w:eastAsia="zh-CN"/>
        </w:rPr>
        <w:t>25</w:t>
      </w:r>
      <w:r>
        <w:rPr>
          <w:rFonts w:hint="eastAsia" w:ascii="宋体" w:hAnsi="宋体" w:eastAsia="宋体" w:cs="宋体"/>
          <w:sz w:val="28"/>
          <w:szCs w:val="28"/>
          <w:u w:val="single"/>
        </w:rPr>
        <w:t>%</w:t>
      </w:r>
      <w:r>
        <w:rPr>
          <w:rFonts w:hint="eastAsia" w:ascii="宋体" w:hAnsi="宋体" w:eastAsia="宋体" w:cs="宋体"/>
          <w:sz w:val="28"/>
          <w:szCs w:val="28"/>
        </w:rPr>
        <w:t>支付给</w:t>
      </w:r>
      <w:r>
        <w:rPr>
          <w:rFonts w:hint="eastAsia" w:ascii="宋体" w:hAnsi="宋体" w:eastAsia="宋体" w:cs="宋体"/>
          <w:sz w:val="28"/>
          <w:szCs w:val="28"/>
          <w:lang w:eastAsia="zh-CN"/>
        </w:rPr>
        <w:t>乙方。</w:t>
      </w:r>
      <w:r>
        <w:rPr>
          <w:rFonts w:hint="eastAsia" w:ascii="宋体" w:hAnsi="宋体" w:cs="宋体"/>
          <w:sz w:val="28"/>
          <w:szCs w:val="28"/>
          <w:lang w:eastAsia="zh-CN"/>
        </w:rPr>
        <w:t>乙方收到预付款后</w:t>
      </w:r>
      <w:r>
        <w:rPr>
          <w:rFonts w:hint="eastAsia" w:ascii="宋体" w:hAnsi="宋体" w:cs="宋体"/>
          <w:sz w:val="28"/>
          <w:szCs w:val="28"/>
          <w:lang w:val="en-US" w:eastAsia="zh-CN"/>
        </w:rPr>
        <w:t>10天内交付设备。</w:t>
      </w:r>
    </w:p>
    <w:p w14:paraId="3F124832">
      <w:pPr>
        <w:tabs>
          <w:tab w:val="left" w:pos="180"/>
          <w:tab w:val="left" w:pos="540"/>
          <w:tab w:val="left" w:pos="720"/>
        </w:tabs>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结算款：设备安装、调试、试运行</w:t>
      </w:r>
      <w:r>
        <w:rPr>
          <w:rFonts w:hint="eastAsia" w:ascii="宋体" w:hAnsi="宋体" w:eastAsia="宋体" w:cs="宋体"/>
          <w:sz w:val="28"/>
          <w:szCs w:val="28"/>
        </w:rPr>
        <w:t>验收合格</w:t>
      </w:r>
      <w:r>
        <w:rPr>
          <w:rFonts w:hint="eastAsia" w:ascii="宋体" w:hAnsi="宋体" w:eastAsia="宋体" w:cs="宋体"/>
          <w:sz w:val="28"/>
          <w:szCs w:val="28"/>
          <w:lang w:eastAsia="zh-CN"/>
        </w:rPr>
        <w:t>且收到乙方</w:t>
      </w:r>
      <w:r>
        <w:rPr>
          <w:rFonts w:hint="eastAsia" w:ascii="宋体" w:hAnsi="宋体" w:eastAsia="宋体" w:cs="宋体"/>
          <w:sz w:val="28"/>
          <w:szCs w:val="28"/>
        </w:rPr>
        <w:t>提供的</w:t>
      </w:r>
      <w:r>
        <w:rPr>
          <w:rFonts w:hint="eastAsia" w:ascii="宋体" w:hAnsi="宋体" w:eastAsia="宋体" w:cs="宋体"/>
          <w:b w:val="0"/>
          <w:bCs w:val="0"/>
          <w:sz w:val="28"/>
          <w:szCs w:val="28"/>
          <w:u w:val="single"/>
          <w:lang w:eastAsia="zh-CN"/>
        </w:rPr>
        <w:t>全额</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sz w:val="28"/>
          <w:szCs w:val="28"/>
        </w:rPr>
        <w:t>有效发票</w:t>
      </w:r>
      <w:r>
        <w:rPr>
          <w:rFonts w:hint="eastAsia" w:ascii="宋体" w:hAnsi="宋体" w:eastAsia="宋体" w:cs="宋体"/>
          <w:sz w:val="28"/>
          <w:szCs w:val="28"/>
          <w:lang w:eastAsia="zh-CN"/>
        </w:rPr>
        <w:t>后</w:t>
      </w:r>
      <w:r>
        <w:rPr>
          <w:rFonts w:hint="eastAsia" w:ascii="宋体" w:hAnsi="宋体" w:eastAsia="宋体" w:cs="宋体"/>
          <w:sz w:val="28"/>
          <w:szCs w:val="28"/>
        </w:rPr>
        <w:t xml:space="preserve">，在【 </w:t>
      </w:r>
      <w:r>
        <w:rPr>
          <w:rFonts w:hint="eastAsia" w:ascii="宋体" w:hAnsi="宋体" w:eastAsia="宋体" w:cs="宋体"/>
          <w:sz w:val="28"/>
          <w:szCs w:val="28"/>
          <w:lang w:val="en-US" w:eastAsia="zh-CN"/>
        </w:rPr>
        <w:t>30</w:t>
      </w:r>
      <w:r>
        <w:rPr>
          <w:rFonts w:hint="eastAsia" w:ascii="宋体" w:hAnsi="宋体" w:eastAsia="宋体" w:cs="宋体"/>
          <w:sz w:val="28"/>
          <w:szCs w:val="28"/>
        </w:rPr>
        <w:t xml:space="preserve">】天内将合同金额的【 </w:t>
      </w:r>
      <w:r>
        <w:rPr>
          <w:rFonts w:hint="eastAsia" w:ascii="宋体" w:hAnsi="宋体" w:cs="宋体"/>
          <w:b w:val="0"/>
          <w:bCs w:val="0"/>
          <w:sz w:val="28"/>
          <w:szCs w:val="28"/>
          <w:lang w:val="en-US" w:eastAsia="zh-CN"/>
        </w:rPr>
        <w:t>72</w:t>
      </w:r>
      <w:r>
        <w:rPr>
          <w:rFonts w:hint="eastAsia" w:ascii="宋体" w:hAnsi="宋体" w:eastAsia="宋体" w:cs="宋体"/>
          <w:sz w:val="28"/>
          <w:szCs w:val="28"/>
        </w:rPr>
        <w:t>】%支付给</w:t>
      </w:r>
      <w:r>
        <w:rPr>
          <w:rFonts w:hint="eastAsia" w:ascii="宋体" w:hAnsi="宋体" w:eastAsia="宋体" w:cs="宋体"/>
          <w:sz w:val="28"/>
          <w:szCs w:val="28"/>
          <w:lang w:eastAsia="zh-CN"/>
        </w:rPr>
        <w:t>乙方：</w:t>
      </w:r>
    </w:p>
    <w:p w14:paraId="5C704193">
      <w:pPr>
        <w:tabs>
          <w:tab w:val="left" w:pos="180"/>
          <w:tab w:val="left" w:pos="540"/>
          <w:tab w:val="left" w:pos="720"/>
        </w:tabs>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w:t>
      </w:r>
      <w:r>
        <w:rPr>
          <w:rFonts w:hint="eastAsia" w:ascii="宋体" w:hAnsi="宋体" w:eastAsia="宋体" w:cs="宋体"/>
          <w:sz w:val="28"/>
          <w:szCs w:val="28"/>
          <w:lang w:val="en-US" w:eastAsia="zh-CN"/>
        </w:rPr>
        <w:t>质保金：</w:t>
      </w:r>
      <w:r>
        <w:rPr>
          <w:rFonts w:hint="eastAsia" w:ascii="宋体" w:hAnsi="宋体" w:eastAsia="宋体" w:cs="宋体"/>
          <w:sz w:val="28"/>
          <w:szCs w:val="28"/>
          <w:lang w:eastAsia="zh-CN"/>
        </w:rPr>
        <w:t>余下的【</w:t>
      </w:r>
      <w:r>
        <w:rPr>
          <w:rFonts w:hint="eastAsia" w:ascii="宋体" w:hAnsi="宋体" w:cs="宋体"/>
          <w:sz w:val="28"/>
          <w:szCs w:val="28"/>
          <w:lang w:val="en-US" w:eastAsia="zh-CN"/>
        </w:rPr>
        <w:t>3</w:t>
      </w:r>
      <w:r>
        <w:rPr>
          <w:rFonts w:hint="eastAsia" w:ascii="宋体" w:hAnsi="宋体" w:eastAsia="宋体" w:cs="宋体"/>
          <w:sz w:val="28"/>
          <w:szCs w:val="28"/>
          <w:lang w:eastAsia="zh-CN"/>
        </w:rPr>
        <w:t>】%合同金额在质保期结束后，经双方确认设备无质量问题、无缺陷后，在</w:t>
      </w:r>
      <w:r>
        <w:rPr>
          <w:rFonts w:hint="eastAsia" w:ascii="宋体" w:hAnsi="宋体" w:eastAsia="宋体" w:cs="宋体"/>
          <w:sz w:val="28"/>
          <w:szCs w:val="28"/>
          <w:lang w:val="en-US" w:eastAsia="zh-CN"/>
        </w:rPr>
        <w:t>30</w:t>
      </w:r>
      <w:r>
        <w:rPr>
          <w:rFonts w:hint="eastAsia" w:ascii="宋体" w:hAnsi="宋体" w:eastAsia="宋体" w:cs="宋体"/>
          <w:sz w:val="28"/>
          <w:szCs w:val="28"/>
          <w:lang w:eastAsia="zh-CN"/>
        </w:rPr>
        <w:t>天内支付给乙方。</w:t>
      </w:r>
    </w:p>
    <w:p w14:paraId="11E8C5E7">
      <w:pPr>
        <w:tabs>
          <w:tab w:val="left" w:pos="180"/>
          <w:tab w:val="left" w:pos="540"/>
          <w:tab w:val="left" w:pos="720"/>
        </w:tabs>
        <w:ind w:firstLine="560" w:firstLineChars="200"/>
        <w:rPr>
          <w:rFonts w:hint="eastAsia" w:ascii="宋体" w:hAnsi="宋体" w:eastAsia="宋体" w:cs="宋体"/>
          <w:sz w:val="28"/>
          <w:szCs w:val="28"/>
        </w:rPr>
      </w:pPr>
      <w:r>
        <w:rPr>
          <w:rFonts w:hint="eastAsia" w:ascii="宋体" w:hAnsi="宋体" w:eastAsia="宋体" w:cs="宋体"/>
          <w:sz w:val="28"/>
          <w:szCs w:val="28"/>
        </w:rPr>
        <w:t>5.付款方式：银行承兑汇票或汇款等方式均可</w:t>
      </w:r>
    </w:p>
    <w:p w14:paraId="3727746C">
      <w:pPr>
        <w:tabs>
          <w:tab w:val="left" w:pos="180"/>
          <w:tab w:val="left" w:pos="540"/>
          <w:tab w:val="left" w:pos="720"/>
        </w:tabs>
        <w:ind w:firstLine="840" w:firstLineChars="300"/>
        <w:rPr>
          <w:rFonts w:hint="eastAsia" w:ascii="宋体" w:hAnsi="宋体" w:eastAsia="宋体" w:cs="宋体"/>
          <w:sz w:val="28"/>
          <w:szCs w:val="28"/>
        </w:rPr>
      </w:pPr>
      <w:r>
        <w:rPr>
          <w:rFonts w:hint="eastAsia" w:ascii="宋体" w:hAnsi="宋体" w:eastAsia="宋体" w:cs="宋体"/>
          <w:sz w:val="28"/>
          <w:szCs w:val="28"/>
        </w:rPr>
        <w:t xml:space="preserve"> 乙方银行账户信息如下：</w:t>
      </w:r>
    </w:p>
    <w:p w14:paraId="7D17A5BF">
      <w:pPr>
        <w:tabs>
          <w:tab w:val="left" w:pos="180"/>
          <w:tab w:val="left" w:pos="540"/>
          <w:tab w:val="left" w:pos="720"/>
        </w:tabs>
        <w:ind w:firstLine="840" w:firstLineChars="300"/>
        <w:rPr>
          <w:rFonts w:hint="eastAsia" w:ascii="宋体" w:hAnsi="宋体" w:eastAsia="宋体" w:cs="宋体"/>
          <w:sz w:val="28"/>
          <w:szCs w:val="28"/>
        </w:rPr>
      </w:pPr>
      <w:r>
        <w:rPr>
          <w:rFonts w:hint="eastAsia" w:ascii="宋体" w:hAnsi="宋体" w:eastAsia="宋体" w:cs="宋体"/>
          <w:sz w:val="28"/>
          <w:szCs w:val="28"/>
        </w:rPr>
        <w:t>开户行：[             ]</w:t>
      </w:r>
    </w:p>
    <w:p w14:paraId="64C97509">
      <w:pPr>
        <w:tabs>
          <w:tab w:val="left" w:pos="180"/>
          <w:tab w:val="left" w:pos="540"/>
          <w:tab w:val="left" w:pos="720"/>
        </w:tabs>
        <w:ind w:firstLine="840" w:firstLineChars="300"/>
        <w:rPr>
          <w:rFonts w:hint="eastAsia" w:ascii="宋体" w:hAnsi="宋体" w:eastAsia="宋体" w:cs="宋体"/>
          <w:sz w:val="28"/>
          <w:szCs w:val="28"/>
        </w:rPr>
      </w:pPr>
      <w:r>
        <w:rPr>
          <w:rFonts w:hint="eastAsia" w:ascii="宋体" w:hAnsi="宋体" w:eastAsia="宋体" w:cs="宋体"/>
          <w:sz w:val="28"/>
          <w:szCs w:val="28"/>
        </w:rPr>
        <w:t>银行地址：[           ]</w:t>
      </w:r>
    </w:p>
    <w:p w14:paraId="25DF5A3A">
      <w:pPr>
        <w:tabs>
          <w:tab w:val="left" w:pos="180"/>
          <w:tab w:val="left" w:pos="540"/>
          <w:tab w:val="left" w:pos="720"/>
        </w:tabs>
        <w:ind w:firstLine="840" w:firstLineChars="300"/>
        <w:rPr>
          <w:rFonts w:hint="eastAsia" w:ascii="宋体" w:hAnsi="宋体" w:eastAsia="宋体" w:cs="宋体"/>
          <w:sz w:val="28"/>
          <w:szCs w:val="28"/>
        </w:rPr>
      </w:pPr>
      <w:r>
        <w:rPr>
          <w:rFonts w:hint="eastAsia" w:ascii="宋体" w:hAnsi="宋体" w:eastAsia="宋体" w:cs="宋体"/>
          <w:sz w:val="28"/>
          <w:szCs w:val="28"/>
        </w:rPr>
        <w:t>户名：[               ]</w:t>
      </w:r>
    </w:p>
    <w:p w14:paraId="49BE8F9D">
      <w:pPr>
        <w:tabs>
          <w:tab w:val="left" w:pos="180"/>
          <w:tab w:val="left" w:pos="540"/>
          <w:tab w:val="left" w:pos="720"/>
        </w:tabs>
        <w:ind w:firstLine="840" w:firstLineChars="300"/>
        <w:rPr>
          <w:rFonts w:hint="eastAsia" w:ascii="宋体" w:hAnsi="宋体" w:eastAsia="宋体" w:cs="宋体"/>
          <w:sz w:val="28"/>
          <w:szCs w:val="28"/>
        </w:rPr>
      </w:pPr>
      <w:r>
        <w:rPr>
          <w:rFonts w:hint="eastAsia" w:ascii="宋体" w:hAnsi="宋体" w:eastAsia="宋体" w:cs="宋体"/>
          <w:sz w:val="28"/>
          <w:szCs w:val="28"/>
        </w:rPr>
        <w:t>账号：[               ]</w:t>
      </w:r>
    </w:p>
    <w:p w14:paraId="712A2629">
      <w:pPr>
        <w:tabs>
          <w:tab w:val="left" w:pos="180"/>
          <w:tab w:val="left" w:pos="540"/>
          <w:tab w:val="left" w:pos="720"/>
        </w:tabs>
        <w:ind w:firstLine="560" w:firstLineChars="200"/>
        <w:rPr>
          <w:rFonts w:hint="eastAsia" w:ascii="宋体" w:hAnsi="宋体" w:eastAsia="宋体" w:cs="宋体"/>
          <w:sz w:val="28"/>
          <w:szCs w:val="28"/>
        </w:rPr>
      </w:pPr>
      <w:r>
        <w:rPr>
          <w:rFonts w:hint="eastAsia" w:ascii="宋体" w:hAnsi="宋体" w:eastAsia="宋体" w:cs="宋体"/>
          <w:sz w:val="28"/>
          <w:szCs w:val="28"/>
        </w:rPr>
        <w:t>6.若根据本合同约定乙方应当支付违约金和/或承担赔偿责任，则甲方有权从上述任何一笔付款中直接扣除相应金额。</w:t>
      </w:r>
    </w:p>
    <w:p w14:paraId="188C4A5F">
      <w:pPr>
        <w:spacing w:line="360" w:lineRule="auto"/>
        <w:rPr>
          <w:rFonts w:hint="eastAsia" w:ascii="宋体" w:hAnsi="宋体" w:eastAsia="宋体" w:cs="宋体"/>
          <w:sz w:val="28"/>
          <w:szCs w:val="28"/>
        </w:rPr>
      </w:pPr>
      <w:r>
        <w:rPr>
          <w:rFonts w:hint="eastAsia" w:ascii="宋体" w:hAnsi="宋体" w:eastAsia="宋体" w:cs="宋体"/>
          <w:b/>
          <w:sz w:val="28"/>
          <w:szCs w:val="28"/>
        </w:rPr>
        <w:t>五、</w:t>
      </w:r>
      <w:r>
        <w:rPr>
          <w:rFonts w:hint="eastAsia" w:ascii="宋体" w:hAnsi="宋体" w:eastAsia="宋体" w:cs="宋体"/>
          <w:b/>
          <w:sz w:val="28"/>
          <w:szCs w:val="28"/>
          <w:lang w:eastAsia="zh-CN"/>
        </w:rPr>
        <w:t>改造维修</w:t>
      </w:r>
      <w:r>
        <w:rPr>
          <w:rFonts w:hint="eastAsia" w:ascii="宋体" w:hAnsi="宋体" w:eastAsia="宋体" w:cs="宋体"/>
          <w:b/>
          <w:sz w:val="28"/>
          <w:szCs w:val="28"/>
        </w:rPr>
        <w:t>期限：</w:t>
      </w:r>
    </w:p>
    <w:p w14:paraId="2C40DACB">
      <w:pPr>
        <w:tabs>
          <w:tab w:val="left" w:pos="540"/>
          <w:tab w:val="left" w:pos="1980"/>
        </w:tabs>
        <w:ind w:firstLine="548" w:firstLineChars="196"/>
        <w:rPr>
          <w:rFonts w:hint="eastAsia" w:ascii="宋体" w:hAnsi="宋体" w:eastAsia="宋体" w:cs="宋体"/>
          <w:sz w:val="28"/>
          <w:szCs w:val="28"/>
        </w:rPr>
      </w:pPr>
      <w:r>
        <w:rPr>
          <w:rFonts w:hint="eastAsia" w:ascii="宋体" w:hAnsi="宋体" w:eastAsia="宋体" w:cs="宋体"/>
          <w:sz w:val="28"/>
          <w:szCs w:val="28"/>
          <w:lang w:eastAsia="zh-CN"/>
        </w:rPr>
        <w:t>改造维修</w:t>
      </w:r>
      <w:r>
        <w:rPr>
          <w:rFonts w:hint="eastAsia" w:ascii="宋体" w:hAnsi="宋体" w:eastAsia="宋体" w:cs="宋体"/>
          <w:sz w:val="28"/>
          <w:szCs w:val="28"/>
        </w:rPr>
        <w:t>期限为</w:t>
      </w:r>
      <w:r>
        <w:rPr>
          <w:rFonts w:hint="eastAsia" w:ascii="宋体" w:hAnsi="宋体" w:eastAsia="宋体" w:cs="宋体"/>
          <w:sz w:val="28"/>
          <w:szCs w:val="28"/>
          <w:u w:val="single"/>
        </w:rPr>
        <w:t xml:space="preserve">   </w:t>
      </w:r>
      <w:r>
        <w:rPr>
          <w:rFonts w:hint="eastAsia" w:ascii="宋体" w:hAnsi="宋体" w:eastAsia="宋体" w:cs="宋体"/>
          <w:sz w:val="28"/>
          <w:szCs w:val="28"/>
        </w:rPr>
        <w:t>天，从</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日（起始日期可根据实际情况，由甲乙双方协商确定）。</w:t>
      </w:r>
    </w:p>
    <w:p w14:paraId="2D706AE6">
      <w:pPr>
        <w:tabs>
          <w:tab w:val="left" w:pos="540"/>
          <w:tab w:val="left" w:pos="720"/>
        </w:tabs>
        <w:rPr>
          <w:rFonts w:hint="eastAsia" w:ascii="宋体" w:hAnsi="宋体" w:eastAsia="宋体" w:cs="宋体"/>
          <w:b/>
          <w:sz w:val="28"/>
          <w:szCs w:val="28"/>
        </w:rPr>
      </w:pPr>
      <w:r>
        <w:rPr>
          <w:rFonts w:hint="eastAsia" w:ascii="宋体" w:hAnsi="宋体" w:eastAsia="宋体" w:cs="宋体"/>
          <w:b/>
          <w:sz w:val="28"/>
          <w:szCs w:val="28"/>
        </w:rPr>
        <w:t>六、</w:t>
      </w:r>
      <w:r>
        <w:rPr>
          <w:rFonts w:hint="eastAsia" w:ascii="宋体" w:hAnsi="宋体" w:eastAsia="宋体" w:cs="宋体"/>
          <w:b/>
          <w:sz w:val="28"/>
          <w:szCs w:val="28"/>
          <w:lang w:eastAsia="zh-CN"/>
        </w:rPr>
        <w:t>改造维修</w:t>
      </w:r>
      <w:r>
        <w:rPr>
          <w:rFonts w:hint="eastAsia" w:ascii="宋体" w:hAnsi="宋体" w:eastAsia="宋体" w:cs="宋体"/>
          <w:b/>
          <w:sz w:val="28"/>
          <w:szCs w:val="28"/>
        </w:rPr>
        <w:t>零部件</w:t>
      </w:r>
    </w:p>
    <w:p w14:paraId="5D16CF46">
      <w:pPr>
        <w:tabs>
          <w:tab w:val="left" w:pos="540"/>
          <w:tab w:val="left" w:pos="720"/>
        </w:tabs>
        <w:ind w:firstLine="560" w:firstLineChars="200"/>
        <w:rPr>
          <w:rFonts w:hint="eastAsia" w:ascii="宋体" w:hAnsi="宋体" w:eastAsia="宋体" w:cs="宋体"/>
          <w:sz w:val="28"/>
          <w:szCs w:val="28"/>
        </w:rPr>
      </w:pPr>
      <w:r>
        <w:rPr>
          <w:rFonts w:hint="eastAsia" w:ascii="宋体" w:hAnsi="宋体" w:eastAsia="宋体" w:cs="宋体"/>
          <w:sz w:val="28"/>
          <w:szCs w:val="28"/>
        </w:rPr>
        <w:t>1.本合同项下</w:t>
      </w:r>
      <w:r>
        <w:rPr>
          <w:rFonts w:hint="eastAsia" w:ascii="宋体" w:hAnsi="宋体" w:eastAsia="宋体" w:cs="宋体"/>
          <w:sz w:val="28"/>
          <w:szCs w:val="28"/>
          <w:lang w:eastAsia="zh-CN"/>
        </w:rPr>
        <w:t>改造维修</w:t>
      </w:r>
      <w:r>
        <w:rPr>
          <w:rFonts w:hint="eastAsia" w:ascii="宋体" w:hAnsi="宋体" w:eastAsia="宋体" w:cs="宋体"/>
          <w:sz w:val="28"/>
          <w:szCs w:val="28"/>
        </w:rPr>
        <w:t>零部件费用已包含在</w:t>
      </w:r>
      <w:r>
        <w:rPr>
          <w:rFonts w:hint="eastAsia" w:ascii="宋体" w:hAnsi="宋体" w:eastAsia="宋体" w:cs="宋体"/>
          <w:sz w:val="28"/>
          <w:szCs w:val="28"/>
          <w:lang w:eastAsia="zh-CN"/>
        </w:rPr>
        <w:t>改造维修</w:t>
      </w:r>
      <w:r>
        <w:rPr>
          <w:rFonts w:hint="eastAsia" w:ascii="宋体" w:hAnsi="宋体" w:eastAsia="宋体" w:cs="宋体"/>
          <w:sz w:val="28"/>
          <w:szCs w:val="28"/>
        </w:rPr>
        <w:t>价款中。</w:t>
      </w:r>
    </w:p>
    <w:p w14:paraId="2608F0D8">
      <w:pPr>
        <w:tabs>
          <w:tab w:val="left" w:pos="540"/>
          <w:tab w:val="left" w:pos="720"/>
        </w:tabs>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改造维修</w:t>
      </w:r>
      <w:r>
        <w:rPr>
          <w:rFonts w:hint="eastAsia" w:ascii="宋体" w:hAnsi="宋体" w:eastAsia="宋体" w:cs="宋体"/>
          <w:sz w:val="28"/>
          <w:szCs w:val="28"/>
        </w:rPr>
        <w:t>所需零部件的规格要求：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275"/>
        <w:gridCol w:w="1560"/>
        <w:gridCol w:w="1275"/>
        <w:gridCol w:w="2835"/>
      </w:tblGrid>
      <w:tr w14:paraId="5C9C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14:paraId="2D138271">
            <w:pPr>
              <w:tabs>
                <w:tab w:val="left" w:pos="540"/>
                <w:tab w:val="left" w:pos="720"/>
              </w:tabs>
              <w:jc w:val="center"/>
              <w:rPr>
                <w:rFonts w:hint="eastAsia" w:ascii="宋体" w:hAnsi="宋体" w:eastAsia="宋体" w:cs="宋体"/>
                <w:sz w:val="28"/>
                <w:szCs w:val="28"/>
              </w:rPr>
            </w:pPr>
            <w:r>
              <w:rPr>
                <w:rFonts w:hint="eastAsia" w:ascii="宋体" w:hAnsi="宋体" w:eastAsia="宋体" w:cs="宋体"/>
                <w:sz w:val="28"/>
                <w:szCs w:val="28"/>
              </w:rPr>
              <w:t>序号</w:t>
            </w:r>
          </w:p>
        </w:tc>
        <w:tc>
          <w:tcPr>
            <w:tcW w:w="1275" w:type="dxa"/>
            <w:noWrap w:val="0"/>
            <w:vAlign w:val="center"/>
          </w:tcPr>
          <w:p w14:paraId="6CE5F3BF">
            <w:pPr>
              <w:tabs>
                <w:tab w:val="left" w:pos="540"/>
                <w:tab w:val="left" w:pos="720"/>
              </w:tabs>
              <w:jc w:val="center"/>
              <w:rPr>
                <w:rFonts w:hint="eastAsia" w:ascii="宋体" w:hAnsi="宋体" w:eastAsia="宋体" w:cs="宋体"/>
                <w:sz w:val="28"/>
                <w:szCs w:val="28"/>
              </w:rPr>
            </w:pPr>
            <w:r>
              <w:rPr>
                <w:rFonts w:hint="eastAsia" w:ascii="宋体" w:hAnsi="宋体" w:eastAsia="宋体" w:cs="宋体"/>
                <w:sz w:val="28"/>
                <w:szCs w:val="28"/>
              </w:rPr>
              <w:t>名称</w:t>
            </w:r>
          </w:p>
        </w:tc>
        <w:tc>
          <w:tcPr>
            <w:tcW w:w="1560" w:type="dxa"/>
            <w:noWrap w:val="0"/>
            <w:vAlign w:val="center"/>
          </w:tcPr>
          <w:p w14:paraId="514C7CC4">
            <w:pPr>
              <w:tabs>
                <w:tab w:val="left" w:pos="540"/>
                <w:tab w:val="left" w:pos="720"/>
              </w:tabs>
              <w:jc w:val="center"/>
              <w:rPr>
                <w:rFonts w:hint="eastAsia" w:ascii="宋体" w:hAnsi="宋体" w:eastAsia="宋体" w:cs="宋体"/>
                <w:sz w:val="28"/>
                <w:szCs w:val="28"/>
              </w:rPr>
            </w:pPr>
            <w:r>
              <w:rPr>
                <w:rFonts w:hint="eastAsia" w:ascii="宋体" w:hAnsi="宋体" w:eastAsia="宋体" w:cs="宋体"/>
                <w:sz w:val="28"/>
                <w:szCs w:val="28"/>
              </w:rPr>
              <w:t>型号</w:t>
            </w:r>
          </w:p>
        </w:tc>
        <w:tc>
          <w:tcPr>
            <w:tcW w:w="1275" w:type="dxa"/>
            <w:noWrap w:val="0"/>
            <w:vAlign w:val="center"/>
          </w:tcPr>
          <w:p w14:paraId="39F1E8E4">
            <w:pPr>
              <w:tabs>
                <w:tab w:val="left" w:pos="540"/>
                <w:tab w:val="left" w:pos="720"/>
              </w:tabs>
              <w:jc w:val="center"/>
              <w:rPr>
                <w:rFonts w:hint="eastAsia" w:ascii="宋体" w:hAnsi="宋体" w:eastAsia="宋体" w:cs="宋体"/>
                <w:sz w:val="28"/>
                <w:szCs w:val="28"/>
              </w:rPr>
            </w:pPr>
            <w:r>
              <w:rPr>
                <w:rFonts w:hint="eastAsia" w:ascii="宋体" w:hAnsi="宋体" w:eastAsia="宋体" w:cs="宋体"/>
                <w:sz w:val="28"/>
                <w:szCs w:val="28"/>
              </w:rPr>
              <w:t>厂家</w:t>
            </w:r>
          </w:p>
        </w:tc>
        <w:tc>
          <w:tcPr>
            <w:tcW w:w="2835" w:type="dxa"/>
            <w:noWrap w:val="0"/>
            <w:vAlign w:val="center"/>
          </w:tcPr>
          <w:p w14:paraId="1A1D4E70">
            <w:pPr>
              <w:tabs>
                <w:tab w:val="left" w:pos="540"/>
                <w:tab w:val="left" w:pos="720"/>
              </w:tabs>
              <w:jc w:val="center"/>
              <w:rPr>
                <w:rFonts w:hint="eastAsia" w:ascii="宋体" w:hAnsi="宋体" w:eastAsia="宋体" w:cs="宋体"/>
                <w:sz w:val="28"/>
                <w:szCs w:val="28"/>
              </w:rPr>
            </w:pPr>
            <w:r>
              <w:rPr>
                <w:rFonts w:hint="eastAsia" w:ascii="宋体" w:hAnsi="宋体" w:eastAsia="宋体" w:cs="宋体"/>
                <w:sz w:val="28"/>
                <w:szCs w:val="28"/>
              </w:rPr>
              <w:t>备注</w:t>
            </w:r>
          </w:p>
        </w:tc>
      </w:tr>
      <w:tr w14:paraId="3CB2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14:paraId="11D559DF">
            <w:pPr>
              <w:tabs>
                <w:tab w:val="left" w:pos="540"/>
                <w:tab w:val="left" w:pos="720"/>
              </w:tabs>
              <w:jc w:val="center"/>
              <w:rPr>
                <w:rFonts w:hint="eastAsia" w:ascii="宋体" w:hAnsi="宋体" w:eastAsia="宋体" w:cs="宋体"/>
                <w:sz w:val="28"/>
                <w:szCs w:val="28"/>
              </w:rPr>
            </w:pPr>
            <w:r>
              <w:rPr>
                <w:rFonts w:hint="eastAsia" w:ascii="宋体" w:hAnsi="宋体" w:eastAsia="宋体" w:cs="宋体"/>
                <w:sz w:val="28"/>
                <w:szCs w:val="28"/>
              </w:rPr>
              <w:t>1</w:t>
            </w:r>
          </w:p>
        </w:tc>
        <w:tc>
          <w:tcPr>
            <w:tcW w:w="1275" w:type="dxa"/>
            <w:noWrap w:val="0"/>
            <w:vAlign w:val="center"/>
          </w:tcPr>
          <w:p w14:paraId="16C550D8">
            <w:pPr>
              <w:tabs>
                <w:tab w:val="left" w:pos="540"/>
                <w:tab w:val="left" w:pos="720"/>
              </w:tabs>
              <w:jc w:val="center"/>
              <w:rPr>
                <w:rFonts w:hint="eastAsia" w:ascii="宋体" w:hAnsi="宋体" w:eastAsia="宋体" w:cs="宋体"/>
                <w:sz w:val="28"/>
                <w:szCs w:val="28"/>
              </w:rPr>
            </w:pPr>
          </w:p>
        </w:tc>
        <w:tc>
          <w:tcPr>
            <w:tcW w:w="1560" w:type="dxa"/>
            <w:noWrap w:val="0"/>
            <w:vAlign w:val="center"/>
          </w:tcPr>
          <w:p w14:paraId="07D9C897">
            <w:pPr>
              <w:tabs>
                <w:tab w:val="left" w:pos="540"/>
                <w:tab w:val="left" w:pos="720"/>
              </w:tabs>
              <w:jc w:val="center"/>
              <w:rPr>
                <w:rFonts w:hint="eastAsia" w:ascii="宋体" w:hAnsi="宋体" w:eastAsia="宋体" w:cs="宋体"/>
                <w:sz w:val="28"/>
                <w:szCs w:val="28"/>
              </w:rPr>
            </w:pPr>
          </w:p>
        </w:tc>
        <w:tc>
          <w:tcPr>
            <w:tcW w:w="1275" w:type="dxa"/>
            <w:noWrap w:val="0"/>
            <w:vAlign w:val="center"/>
          </w:tcPr>
          <w:p w14:paraId="0769D063">
            <w:pPr>
              <w:tabs>
                <w:tab w:val="left" w:pos="540"/>
                <w:tab w:val="left" w:pos="720"/>
              </w:tabs>
              <w:jc w:val="center"/>
              <w:rPr>
                <w:rFonts w:hint="eastAsia" w:ascii="宋体" w:hAnsi="宋体" w:eastAsia="宋体" w:cs="宋体"/>
                <w:sz w:val="28"/>
                <w:szCs w:val="28"/>
              </w:rPr>
            </w:pPr>
          </w:p>
        </w:tc>
        <w:tc>
          <w:tcPr>
            <w:tcW w:w="2835" w:type="dxa"/>
            <w:noWrap w:val="0"/>
            <w:vAlign w:val="center"/>
          </w:tcPr>
          <w:p w14:paraId="1A5AAA9F">
            <w:pPr>
              <w:tabs>
                <w:tab w:val="left" w:pos="540"/>
                <w:tab w:val="left" w:pos="720"/>
              </w:tabs>
              <w:jc w:val="center"/>
              <w:rPr>
                <w:rFonts w:hint="eastAsia" w:ascii="宋体" w:hAnsi="宋体" w:eastAsia="宋体" w:cs="宋体"/>
                <w:sz w:val="28"/>
                <w:szCs w:val="28"/>
              </w:rPr>
            </w:pPr>
          </w:p>
        </w:tc>
      </w:tr>
      <w:tr w14:paraId="0D67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14:paraId="12CA9880">
            <w:pPr>
              <w:tabs>
                <w:tab w:val="left" w:pos="540"/>
                <w:tab w:val="left" w:pos="720"/>
              </w:tabs>
              <w:jc w:val="center"/>
              <w:rPr>
                <w:rFonts w:hint="eastAsia" w:ascii="宋体" w:hAnsi="宋体" w:eastAsia="宋体" w:cs="宋体"/>
                <w:sz w:val="28"/>
                <w:szCs w:val="28"/>
              </w:rPr>
            </w:pPr>
            <w:r>
              <w:rPr>
                <w:rFonts w:hint="eastAsia" w:ascii="宋体" w:hAnsi="宋体" w:eastAsia="宋体" w:cs="宋体"/>
                <w:sz w:val="28"/>
                <w:szCs w:val="28"/>
              </w:rPr>
              <w:t>2</w:t>
            </w:r>
          </w:p>
        </w:tc>
        <w:tc>
          <w:tcPr>
            <w:tcW w:w="1275" w:type="dxa"/>
            <w:noWrap w:val="0"/>
            <w:vAlign w:val="center"/>
          </w:tcPr>
          <w:p w14:paraId="139497AB">
            <w:pPr>
              <w:tabs>
                <w:tab w:val="left" w:pos="540"/>
                <w:tab w:val="left" w:pos="720"/>
              </w:tabs>
              <w:jc w:val="center"/>
              <w:rPr>
                <w:rFonts w:hint="eastAsia" w:ascii="宋体" w:hAnsi="宋体" w:eastAsia="宋体" w:cs="宋体"/>
                <w:sz w:val="28"/>
                <w:szCs w:val="28"/>
              </w:rPr>
            </w:pPr>
          </w:p>
        </w:tc>
        <w:tc>
          <w:tcPr>
            <w:tcW w:w="1560" w:type="dxa"/>
            <w:noWrap w:val="0"/>
            <w:vAlign w:val="center"/>
          </w:tcPr>
          <w:p w14:paraId="570BBC0F">
            <w:pPr>
              <w:tabs>
                <w:tab w:val="left" w:pos="540"/>
                <w:tab w:val="left" w:pos="720"/>
              </w:tabs>
              <w:jc w:val="center"/>
              <w:rPr>
                <w:rFonts w:hint="eastAsia" w:ascii="宋体" w:hAnsi="宋体" w:eastAsia="宋体" w:cs="宋体"/>
                <w:sz w:val="28"/>
                <w:szCs w:val="28"/>
              </w:rPr>
            </w:pPr>
          </w:p>
        </w:tc>
        <w:tc>
          <w:tcPr>
            <w:tcW w:w="1275" w:type="dxa"/>
            <w:noWrap w:val="0"/>
            <w:vAlign w:val="center"/>
          </w:tcPr>
          <w:p w14:paraId="53EA2398">
            <w:pPr>
              <w:tabs>
                <w:tab w:val="left" w:pos="540"/>
                <w:tab w:val="left" w:pos="720"/>
              </w:tabs>
              <w:jc w:val="center"/>
              <w:rPr>
                <w:rFonts w:hint="eastAsia" w:ascii="宋体" w:hAnsi="宋体" w:eastAsia="宋体" w:cs="宋体"/>
                <w:sz w:val="28"/>
                <w:szCs w:val="28"/>
              </w:rPr>
            </w:pPr>
          </w:p>
        </w:tc>
        <w:tc>
          <w:tcPr>
            <w:tcW w:w="2835" w:type="dxa"/>
            <w:noWrap w:val="0"/>
            <w:vAlign w:val="center"/>
          </w:tcPr>
          <w:p w14:paraId="03580822">
            <w:pPr>
              <w:tabs>
                <w:tab w:val="left" w:pos="540"/>
                <w:tab w:val="left" w:pos="720"/>
              </w:tabs>
              <w:jc w:val="center"/>
              <w:rPr>
                <w:rFonts w:hint="eastAsia" w:ascii="宋体" w:hAnsi="宋体" w:eastAsia="宋体" w:cs="宋体"/>
                <w:sz w:val="28"/>
                <w:szCs w:val="28"/>
              </w:rPr>
            </w:pPr>
          </w:p>
        </w:tc>
      </w:tr>
    </w:tbl>
    <w:p w14:paraId="5AB452E9">
      <w:pPr>
        <w:tabs>
          <w:tab w:val="left" w:pos="540"/>
          <w:tab w:val="left" w:pos="900"/>
        </w:tabs>
        <w:rPr>
          <w:rFonts w:hint="eastAsia" w:ascii="宋体" w:hAnsi="宋体" w:eastAsia="宋体" w:cs="宋体"/>
          <w:b/>
          <w:sz w:val="28"/>
          <w:szCs w:val="28"/>
        </w:rPr>
      </w:pPr>
      <w:r>
        <w:rPr>
          <w:rFonts w:hint="eastAsia" w:ascii="宋体" w:hAnsi="宋体" w:eastAsia="宋体" w:cs="宋体"/>
          <w:b/>
          <w:sz w:val="28"/>
          <w:szCs w:val="28"/>
        </w:rPr>
        <w:t>七、</w:t>
      </w:r>
      <w:r>
        <w:rPr>
          <w:rFonts w:hint="eastAsia" w:ascii="宋体" w:hAnsi="宋体" w:eastAsia="宋体" w:cs="宋体"/>
          <w:b/>
          <w:sz w:val="28"/>
          <w:szCs w:val="28"/>
          <w:lang w:eastAsia="zh-CN"/>
        </w:rPr>
        <w:t>改造维修</w:t>
      </w:r>
      <w:r>
        <w:rPr>
          <w:rFonts w:hint="eastAsia" w:ascii="宋体" w:hAnsi="宋体" w:eastAsia="宋体" w:cs="宋体"/>
          <w:b/>
          <w:sz w:val="28"/>
          <w:szCs w:val="28"/>
        </w:rPr>
        <w:t>后的验收要求、标准及质量保证期限：</w:t>
      </w:r>
    </w:p>
    <w:p w14:paraId="351B5609">
      <w:pPr>
        <w:tabs>
          <w:tab w:val="left" w:pos="540"/>
          <w:tab w:val="left" w:pos="900"/>
        </w:tabs>
        <w:rPr>
          <w:rFonts w:hint="eastAsia" w:ascii="宋体" w:hAnsi="宋体" w:eastAsia="宋体" w:cs="宋体"/>
          <w:b/>
          <w:sz w:val="28"/>
          <w:szCs w:val="28"/>
          <w:lang w:eastAsia="zh-CN"/>
        </w:rPr>
      </w:pPr>
      <w:r>
        <w:rPr>
          <w:rFonts w:hint="eastAsia" w:ascii="宋体" w:hAnsi="宋体" w:eastAsia="宋体" w:cs="宋体"/>
          <w:b/>
          <w:sz w:val="28"/>
          <w:szCs w:val="28"/>
        </w:rPr>
        <w:t xml:space="preserve">    </w:t>
      </w:r>
      <w:r>
        <w:rPr>
          <w:rFonts w:hint="eastAsia" w:ascii="宋体" w:hAnsi="宋体" w:eastAsia="宋体" w:cs="宋体"/>
          <w:bCs/>
          <w:sz w:val="28"/>
          <w:szCs w:val="28"/>
        </w:rPr>
        <w:t>以国家及行业最新的质量标准为准（根据相关设备</w:t>
      </w:r>
      <w:r>
        <w:rPr>
          <w:rFonts w:hint="eastAsia" w:ascii="宋体" w:hAnsi="宋体" w:eastAsia="宋体" w:cs="宋体"/>
          <w:bCs/>
          <w:sz w:val="28"/>
          <w:szCs w:val="28"/>
          <w:lang w:eastAsia="zh-CN"/>
        </w:rPr>
        <w:t>制定</w:t>
      </w:r>
      <w:r>
        <w:rPr>
          <w:rFonts w:hint="eastAsia" w:ascii="宋体" w:hAnsi="宋体" w:eastAsia="宋体" w:cs="宋体"/>
          <w:bCs/>
          <w:sz w:val="28"/>
          <w:szCs w:val="28"/>
        </w:rPr>
        <w:t>具体的验收要求及标准，可以附件形式予以详细约定）</w:t>
      </w:r>
    </w:p>
    <w:p w14:paraId="62E97CC8">
      <w:pPr>
        <w:tabs>
          <w:tab w:val="left" w:pos="540"/>
          <w:tab w:val="left" w:pos="900"/>
        </w:tabs>
        <w:rPr>
          <w:rFonts w:hint="eastAsia" w:ascii="宋体" w:hAnsi="宋体" w:eastAsia="宋体" w:cs="宋体"/>
          <w:b/>
          <w:sz w:val="28"/>
          <w:szCs w:val="28"/>
        </w:rPr>
      </w:pPr>
      <w:r>
        <w:rPr>
          <w:rFonts w:hint="eastAsia" w:ascii="宋体" w:hAnsi="宋体" w:eastAsia="宋体" w:cs="宋体"/>
          <w:b/>
          <w:sz w:val="28"/>
          <w:szCs w:val="28"/>
        </w:rPr>
        <w:t xml:space="preserve">    质量保证期限：安装调试验收合格之日起</w:t>
      </w:r>
      <w:r>
        <w:rPr>
          <w:rFonts w:hint="eastAsia" w:ascii="宋体" w:hAnsi="宋体" w:eastAsia="宋体" w:cs="宋体"/>
          <w:b/>
          <w:sz w:val="28"/>
          <w:szCs w:val="28"/>
          <w:lang w:val="en-US" w:eastAsia="zh-CN"/>
        </w:rPr>
        <w:t>12个月</w:t>
      </w:r>
      <w:r>
        <w:rPr>
          <w:rFonts w:hint="eastAsia" w:ascii="宋体" w:hAnsi="宋体" w:eastAsia="宋体" w:cs="宋体"/>
          <w:b/>
          <w:sz w:val="28"/>
          <w:szCs w:val="28"/>
        </w:rPr>
        <w:t>。</w:t>
      </w:r>
      <w:r>
        <w:rPr>
          <w:rFonts w:hint="eastAsia" w:ascii="宋体" w:hAnsi="宋体" w:eastAsia="宋体" w:cs="宋体"/>
          <w:bCs/>
          <w:sz w:val="28"/>
          <w:szCs w:val="28"/>
        </w:rPr>
        <w:t>对于设备，包括硬件、软件，在质保期内，提供免费的生产原厂商软件升级包和免费的生产原厂商设备保修备件</w:t>
      </w:r>
      <w:r>
        <w:rPr>
          <w:rFonts w:hint="eastAsia" w:ascii="宋体" w:hAnsi="宋体" w:eastAsia="宋体" w:cs="宋体"/>
          <w:bCs/>
          <w:sz w:val="28"/>
          <w:szCs w:val="28"/>
          <w:lang w:eastAsia="zh-CN"/>
        </w:rPr>
        <w:t>。</w:t>
      </w:r>
    </w:p>
    <w:p w14:paraId="400E99B2">
      <w:pPr>
        <w:tabs>
          <w:tab w:val="left" w:pos="540"/>
          <w:tab w:val="left" w:pos="720"/>
        </w:tabs>
        <w:rPr>
          <w:rFonts w:hint="eastAsia" w:ascii="宋体" w:hAnsi="宋体" w:eastAsia="宋体" w:cs="宋体"/>
          <w:sz w:val="28"/>
          <w:szCs w:val="28"/>
        </w:rPr>
      </w:pPr>
      <w:r>
        <w:rPr>
          <w:rFonts w:hint="eastAsia" w:ascii="宋体" w:hAnsi="宋体" w:eastAsia="宋体" w:cs="宋体"/>
          <w:b/>
          <w:sz w:val="28"/>
          <w:szCs w:val="28"/>
        </w:rPr>
        <w:t>八、双方权利和义务：</w:t>
      </w:r>
    </w:p>
    <w:p w14:paraId="7BF73934">
      <w:pPr>
        <w:tabs>
          <w:tab w:val="left" w:pos="540"/>
          <w:tab w:val="left" w:pos="720"/>
        </w:tabs>
        <w:ind w:firstLine="562" w:firstLineChars="200"/>
        <w:rPr>
          <w:rFonts w:hint="eastAsia" w:ascii="宋体" w:hAnsi="宋体" w:eastAsia="宋体" w:cs="宋体"/>
          <w:b/>
          <w:sz w:val="28"/>
          <w:szCs w:val="28"/>
        </w:rPr>
      </w:pPr>
      <w:r>
        <w:rPr>
          <w:rFonts w:hint="eastAsia" w:ascii="宋体" w:hAnsi="宋体" w:eastAsia="宋体" w:cs="宋体"/>
          <w:b/>
          <w:sz w:val="28"/>
          <w:szCs w:val="28"/>
        </w:rPr>
        <w:t>1.甲方权利和义务：</w:t>
      </w:r>
    </w:p>
    <w:p w14:paraId="62E1D3E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（1）对乙方进厂实施</w:t>
      </w:r>
      <w:r>
        <w:rPr>
          <w:rFonts w:hint="eastAsia" w:ascii="宋体" w:hAnsi="宋体" w:eastAsia="宋体" w:cs="宋体"/>
          <w:sz w:val="28"/>
          <w:szCs w:val="28"/>
          <w:lang w:eastAsia="zh-CN"/>
        </w:rPr>
        <w:t>改造维修</w:t>
      </w:r>
      <w:r>
        <w:rPr>
          <w:rFonts w:hint="eastAsia" w:ascii="宋体" w:hAnsi="宋体" w:eastAsia="宋体" w:cs="宋体"/>
          <w:sz w:val="28"/>
          <w:szCs w:val="28"/>
        </w:rPr>
        <w:t>工作人员的工作进行监督;</w:t>
      </w:r>
    </w:p>
    <w:p w14:paraId="3B8E0E5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（2）收到乙方要求验收的通知后，组织验收工作。</w:t>
      </w:r>
    </w:p>
    <w:p w14:paraId="29E88219">
      <w:pPr>
        <w:tabs>
          <w:tab w:val="left" w:pos="540"/>
          <w:tab w:val="left" w:pos="720"/>
        </w:tabs>
        <w:ind w:firstLine="560" w:firstLineChars="200"/>
        <w:rPr>
          <w:rFonts w:hint="eastAsia" w:ascii="宋体" w:hAnsi="宋体" w:eastAsia="宋体" w:cs="宋体"/>
          <w:sz w:val="28"/>
          <w:szCs w:val="28"/>
        </w:rPr>
      </w:pPr>
      <w:r>
        <w:rPr>
          <w:rFonts w:hint="eastAsia" w:ascii="宋体" w:hAnsi="宋体" w:eastAsia="宋体" w:cs="宋体"/>
          <w:sz w:val="28"/>
          <w:szCs w:val="28"/>
        </w:rPr>
        <w:t>（3）按照</w:t>
      </w:r>
      <w:r>
        <w:rPr>
          <w:rFonts w:hint="eastAsia" w:ascii="宋体" w:hAnsi="宋体" w:eastAsia="宋体" w:cs="宋体"/>
          <w:kern w:val="0"/>
          <w:sz w:val="28"/>
          <w:szCs w:val="28"/>
          <w:lang w:val="zh-CN"/>
        </w:rPr>
        <w:t>合同约定支付价款。</w:t>
      </w:r>
    </w:p>
    <w:p w14:paraId="6CBBB810">
      <w:pPr>
        <w:tabs>
          <w:tab w:val="left" w:pos="540"/>
          <w:tab w:val="left" w:pos="720"/>
        </w:tabs>
        <w:ind w:firstLine="562" w:firstLineChars="200"/>
        <w:rPr>
          <w:rFonts w:hint="eastAsia" w:ascii="宋体" w:hAnsi="宋体" w:eastAsia="宋体" w:cs="宋体"/>
          <w:b/>
          <w:sz w:val="28"/>
          <w:szCs w:val="28"/>
        </w:rPr>
      </w:pPr>
      <w:r>
        <w:rPr>
          <w:rFonts w:hint="eastAsia" w:ascii="宋体" w:hAnsi="宋体" w:eastAsia="宋体" w:cs="宋体"/>
          <w:b/>
          <w:sz w:val="28"/>
          <w:szCs w:val="28"/>
        </w:rPr>
        <w:t>2.乙方权利和义务：</w:t>
      </w:r>
    </w:p>
    <w:p w14:paraId="2EDF7E81">
      <w:pPr>
        <w:spacing w:line="360" w:lineRule="auto"/>
        <w:ind w:firstLine="560" w:firstLineChars="200"/>
        <w:rPr>
          <w:rFonts w:hint="eastAsia" w:ascii="宋体" w:hAnsi="宋体" w:eastAsia="宋体" w:cs="宋体"/>
          <w:bCs/>
          <w:kern w:val="0"/>
          <w:sz w:val="28"/>
          <w:szCs w:val="28"/>
        </w:rPr>
      </w:pPr>
      <w:r>
        <w:rPr>
          <w:rFonts w:hint="eastAsia" w:ascii="宋体" w:hAnsi="宋体" w:eastAsia="宋体" w:cs="宋体"/>
          <w:bCs/>
          <w:sz w:val="28"/>
          <w:szCs w:val="28"/>
        </w:rPr>
        <w:t>（1）乙方是具有实施本合同约定</w:t>
      </w:r>
      <w:r>
        <w:rPr>
          <w:rFonts w:hint="eastAsia" w:ascii="宋体" w:hAnsi="宋体" w:eastAsia="宋体" w:cs="宋体"/>
          <w:bCs/>
          <w:sz w:val="28"/>
          <w:szCs w:val="28"/>
          <w:lang w:eastAsia="zh-CN"/>
        </w:rPr>
        <w:t>改造维修</w:t>
      </w:r>
      <w:r>
        <w:rPr>
          <w:rFonts w:hint="eastAsia" w:ascii="宋体" w:hAnsi="宋体" w:eastAsia="宋体" w:cs="宋体"/>
          <w:bCs/>
          <w:sz w:val="28"/>
          <w:szCs w:val="28"/>
        </w:rPr>
        <w:t>的相应资质和能力的企业，负责组织实施本合同约定的全部</w:t>
      </w:r>
      <w:r>
        <w:rPr>
          <w:rFonts w:hint="eastAsia" w:ascii="宋体" w:hAnsi="宋体" w:eastAsia="宋体" w:cs="宋体"/>
          <w:bCs/>
          <w:sz w:val="28"/>
          <w:szCs w:val="28"/>
          <w:lang w:eastAsia="zh-CN"/>
        </w:rPr>
        <w:t>改造维修</w:t>
      </w:r>
      <w:r>
        <w:rPr>
          <w:rFonts w:hint="eastAsia" w:ascii="宋体" w:hAnsi="宋体" w:eastAsia="宋体" w:cs="宋体"/>
          <w:bCs/>
          <w:sz w:val="28"/>
          <w:szCs w:val="28"/>
        </w:rPr>
        <w:t>任务；</w:t>
      </w:r>
    </w:p>
    <w:p w14:paraId="0550F9E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（2）乙方不得破坏工作现场地面、平台及其它设备，收工后要工完料净，确保卫生清洁；保证设备材料的完好性，丢失和人为损坏备品备件、材料的，乙方负责配齐；</w:t>
      </w:r>
    </w:p>
    <w:p w14:paraId="284C3C5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（3）乙方工作人员必须在规定工期内完成</w:t>
      </w:r>
      <w:r>
        <w:rPr>
          <w:rFonts w:hint="eastAsia" w:ascii="宋体" w:hAnsi="宋体" w:eastAsia="宋体" w:cs="宋体"/>
          <w:sz w:val="28"/>
          <w:szCs w:val="28"/>
          <w:lang w:eastAsia="zh-CN"/>
        </w:rPr>
        <w:t>改造维修</w:t>
      </w:r>
      <w:r>
        <w:rPr>
          <w:rFonts w:hint="eastAsia" w:ascii="宋体" w:hAnsi="宋体" w:eastAsia="宋体" w:cs="宋体"/>
          <w:sz w:val="28"/>
          <w:szCs w:val="28"/>
        </w:rPr>
        <w:t>任务，绝不能以任何理由影响、拖延</w:t>
      </w:r>
      <w:r>
        <w:rPr>
          <w:rFonts w:hint="eastAsia" w:ascii="宋体" w:hAnsi="宋体" w:eastAsia="宋体" w:cs="宋体"/>
          <w:sz w:val="28"/>
          <w:szCs w:val="28"/>
          <w:lang w:eastAsia="zh-CN"/>
        </w:rPr>
        <w:t>改造维修</w:t>
      </w:r>
      <w:r>
        <w:rPr>
          <w:rFonts w:hint="eastAsia" w:ascii="宋体" w:hAnsi="宋体" w:eastAsia="宋体" w:cs="宋体"/>
          <w:sz w:val="28"/>
          <w:szCs w:val="28"/>
        </w:rPr>
        <w:t>进度；</w:t>
      </w:r>
    </w:p>
    <w:p w14:paraId="62CB3E6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（4）乙方必须服从甲方现场人员的指挥，对甲方现场监督人员提出的问题及时进行整改；</w:t>
      </w:r>
    </w:p>
    <w:p w14:paraId="06323BF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（5）乙方对</w:t>
      </w:r>
      <w:r>
        <w:rPr>
          <w:rFonts w:hint="eastAsia" w:ascii="宋体" w:hAnsi="宋体" w:eastAsia="宋体" w:cs="宋体"/>
          <w:sz w:val="28"/>
          <w:szCs w:val="28"/>
          <w:lang w:eastAsia="zh-CN"/>
        </w:rPr>
        <w:t>改造维修</w:t>
      </w:r>
      <w:r>
        <w:rPr>
          <w:rFonts w:hint="eastAsia" w:ascii="宋体" w:hAnsi="宋体" w:eastAsia="宋体" w:cs="宋体"/>
          <w:sz w:val="28"/>
          <w:szCs w:val="28"/>
        </w:rPr>
        <w:t xml:space="preserve">过程中安全问题负全部责任。 </w:t>
      </w:r>
      <w:r>
        <w:rPr>
          <w:rFonts w:hint="eastAsia" w:ascii="宋体" w:hAnsi="宋体" w:eastAsia="宋体" w:cs="宋体"/>
          <w:sz w:val="28"/>
          <w:szCs w:val="28"/>
          <w:lang w:eastAsia="zh-CN"/>
        </w:rPr>
        <w:t>改造维修调试</w:t>
      </w:r>
      <w:r>
        <w:rPr>
          <w:rFonts w:hint="eastAsia" w:ascii="宋体" w:hAnsi="宋体" w:eastAsia="宋体" w:cs="宋体"/>
          <w:sz w:val="28"/>
          <w:szCs w:val="28"/>
        </w:rPr>
        <w:t>期间如因乙方原因发生设备、人身等事故，由乙方承担赔偿责任。乙方应对</w:t>
      </w:r>
      <w:r>
        <w:rPr>
          <w:rFonts w:hint="eastAsia" w:ascii="宋体" w:hAnsi="宋体" w:eastAsia="宋体" w:cs="宋体"/>
          <w:sz w:val="28"/>
          <w:szCs w:val="28"/>
          <w:lang w:eastAsia="zh-CN"/>
        </w:rPr>
        <w:t>自己</w:t>
      </w:r>
      <w:r>
        <w:rPr>
          <w:rFonts w:hint="eastAsia" w:ascii="宋体" w:hAnsi="宋体" w:eastAsia="宋体" w:cs="宋体"/>
          <w:sz w:val="28"/>
          <w:szCs w:val="28"/>
        </w:rPr>
        <w:t>员工的安全负责。</w:t>
      </w:r>
    </w:p>
    <w:p w14:paraId="469DD31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（6）乙方应当对设备</w:t>
      </w:r>
      <w:r>
        <w:rPr>
          <w:rFonts w:hint="eastAsia" w:ascii="宋体" w:hAnsi="宋体" w:eastAsia="宋体" w:cs="宋体"/>
          <w:sz w:val="28"/>
          <w:szCs w:val="28"/>
          <w:lang w:eastAsia="zh-CN"/>
        </w:rPr>
        <w:t>改造维修</w:t>
      </w:r>
      <w:r>
        <w:rPr>
          <w:rFonts w:hint="eastAsia" w:ascii="宋体" w:hAnsi="宋体" w:eastAsia="宋体" w:cs="宋体"/>
          <w:sz w:val="28"/>
          <w:szCs w:val="28"/>
        </w:rPr>
        <w:t>过程中发现的其他问题及时处理并立即告知甲方。</w:t>
      </w:r>
    </w:p>
    <w:p w14:paraId="539C9DD4">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（7）乙方应当对于</w:t>
      </w:r>
      <w:r>
        <w:rPr>
          <w:rFonts w:hint="eastAsia" w:ascii="宋体" w:hAnsi="宋体" w:eastAsia="宋体" w:cs="宋体"/>
          <w:sz w:val="28"/>
          <w:szCs w:val="28"/>
          <w:lang w:eastAsia="zh-CN"/>
        </w:rPr>
        <w:t>改造维修</w:t>
      </w:r>
      <w:r>
        <w:rPr>
          <w:rFonts w:hint="eastAsia" w:ascii="宋体" w:hAnsi="宋体" w:eastAsia="宋体" w:cs="宋体"/>
          <w:sz w:val="28"/>
          <w:szCs w:val="28"/>
        </w:rPr>
        <w:t>期间知悉的甲方的商业秘密、专有技术或者设备专利承担保密义务。未经甲方同意，不得自己使用或者许可他人使用。</w:t>
      </w:r>
    </w:p>
    <w:p w14:paraId="7737703D">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（8）乙方</w:t>
      </w:r>
      <w:r>
        <w:rPr>
          <w:rFonts w:hint="eastAsia" w:ascii="宋体" w:hAnsi="宋体" w:eastAsia="宋体" w:cs="宋体"/>
          <w:sz w:val="28"/>
          <w:szCs w:val="28"/>
          <w:lang w:eastAsia="zh-CN"/>
        </w:rPr>
        <w:t>改造维修</w:t>
      </w:r>
      <w:r>
        <w:rPr>
          <w:rFonts w:hint="eastAsia" w:ascii="宋体" w:hAnsi="宋体" w:eastAsia="宋体" w:cs="宋体"/>
          <w:sz w:val="28"/>
          <w:szCs w:val="28"/>
        </w:rPr>
        <w:t>设备在质量保证期内出现质量问题的，负责无偿重新</w:t>
      </w:r>
      <w:r>
        <w:rPr>
          <w:rFonts w:hint="eastAsia" w:ascii="宋体" w:hAnsi="宋体" w:eastAsia="宋体" w:cs="宋体"/>
          <w:sz w:val="28"/>
          <w:szCs w:val="28"/>
          <w:lang w:eastAsia="zh-CN"/>
        </w:rPr>
        <w:t>改造维修</w:t>
      </w:r>
      <w:r>
        <w:rPr>
          <w:rFonts w:hint="eastAsia" w:ascii="宋体" w:hAnsi="宋体" w:eastAsia="宋体" w:cs="宋体"/>
          <w:sz w:val="28"/>
          <w:szCs w:val="28"/>
        </w:rPr>
        <w:t>。</w:t>
      </w:r>
    </w:p>
    <w:p w14:paraId="634EED51">
      <w:pPr>
        <w:tabs>
          <w:tab w:val="left" w:pos="540"/>
        </w:tabs>
        <w:rPr>
          <w:rFonts w:hint="eastAsia" w:ascii="宋体" w:hAnsi="宋体" w:eastAsia="宋体" w:cs="宋体"/>
          <w:sz w:val="28"/>
          <w:szCs w:val="28"/>
        </w:rPr>
      </w:pPr>
      <w:r>
        <w:rPr>
          <w:rFonts w:hint="eastAsia" w:ascii="宋体" w:hAnsi="宋体" w:eastAsia="宋体" w:cs="宋体"/>
          <w:b/>
          <w:sz w:val="28"/>
          <w:szCs w:val="28"/>
        </w:rPr>
        <w:t>九、安全措施：</w:t>
      </w:r>
    </w:p>
    <w:p w14:paraId="0DF0303B">
      <w:pPr>
        <w:tabs>
          <w:tab w:val="left" w:pos="540"/>
        </w:tabs>
        <w:ind w:firstLine="560" w:firstLineChars="200"/>
        <w:rPr>
          <w:rFonts w:hint="eastAsia" w:ascii="宋体" w:hAnsi="宋体" w:eastAsia="宋体" w:cs="宋体"/>
          <w:sz w:val="28"/>
          <w:szCs w:val="28"/>
        </w:rPr>
      </w:pPr>
      <w:r>
        <w:rPr>
          <w:rFonts w:hint="eastAsia" w:ascii="宋体" w:hAnsi="宋体" w:eastAsia="宋体" w:cs="宋体"/>
          <w:sz w:val="28"/>
          <w:szCs w:val="28"/>
        </w:rPr>
        <w:t>1.乙方应设专职安全员，对整个</w:t>
      </w:r>
      <w:r>
        <w:rPr>
          <w:rFonts w:hint="eastAsia" w:ascii="宋体" w:hAnsi="宋体" w:eastAsia="宋体" w:cs="宋体"/>
          <w:sz w:val="28"/>
          <w:szCs w:val="28"/>
          <w:lang w:eastAsia="zh-CN"/>
        </w:rPr>
        <w:t>改造维修</w:t>
      </w:r>
      <w:r>
        <w:rPr>
          <w:rFonts w:hint="eastAsia" w:ascii="宋体" w:hAnsi="宋体" w:eastAsia="宋体" w:cs="宋体"/>
          <w:sz w:val="28"/>
          <w:szCs w:val="28"/>
        </w:rPr>
        <w:t>过程进行安全监督检查，在设备</w:t>
      </w:r>
      <w:r>
        <w:rPr>
          <w:rFonts w:hint="eastAsia" w:ascii="宋体" w:hAnsi="宋体" w:eastAsia="宋体" w:cs="宋体"/>
          <w:sz w:val="28"/>
          <w:szCs w:val="28"/>
          <w:lang w:eastAsia="zh-CN"/>
        </w:rPr>
        <w:t>改造维修</w:t>
      </w:r>
      <w:r>
        <w:rPr>
          <w:rFonts w:hint="eastAsia" w:ascii="宋体" w:hAnsi="宋体" w:eastAsia="宋体" w:cs="宋体"/>
          <w:sz w:val="28"/>
          <w:szCs w:val="28"/>
        </w:rPr>
        <w:t>中始终坚持“安全第一、预防为主”的原则，保证</w:t>
      </w:r>
      <w:r>
        <w:rPr>
          <w:rFonts w:hint="eastAsia" w:ascii="宋体" w:hAnsi="宋体" w:eastAsia="宋体" w:cs="宋体"/>
          <w:sz w:val="28"/>
          <w:szCs w:val="28"/>
          <w:lang w:eastAsia="zh-CN"/>
        </w:rPr>
        <w:t>改造维修</w:t>
      </w:r>
      <w:r>
        <w:rPr>
          <w:rFonts w:hint="eastAsia" w:ascii="宋体" w:hAnsi="宋体" w:eastAsia="宋体" w:cs="宋体"/>
          <w:sz w:val="28"/>
          <w:szCs w:val="28"/>
        </w:rPr>
        <w:t>工作安全进行。</w:t>
      </w:r>
    </w:p>
    <w:p w14:paraId="2E964E38">
      <w:pPr>
        <w:tabs>
          <w:tab w:val="left" w:pos="540"/>
        </w:tabs>
        <w:ind w:firstLine="560" w:firstLineChars="200"/>
        <w:rPr>
          <w:rFonts w:hint="eastAsia" w:ascii="宋体" w:hAnsi="宋体" w:eastAsia="宋体" w:cs="宋体"/>
          <w:sz w:val="28"/>
          <w:szCs w:val="28"/>
        </w:rPr>
      </w:pPr>
      <w:r>
        <w:rPr>
          <w:rFonts w:hint="eastAsia" w:ascii="宋体" w:hAnsi="宋体" w:eastAsia="宋体" w:cs="宋体"/>
          <w:sz w:val="28"/>
          <w:szCs w:val="28"/>
        </w:rPr>
        <w:t>2.乙方</w:t>
      </w:r>
      <w:r>
        <w:rPr>
          <w:rFonts w:hint="eastAsia" w:ascii="宋体" w:hAnsi="宋体" w:eastAsia="宋体" w:cs="宋体"/>
          <w:sz w:val="28"/>
          <w:szCs w:val="28"/>
          <w:lang w:eastAsia="zh-CN"/>
        </w:rPr>
        <w:t>改造维修</w:t>
      </w:r>
      <w:r>
        <w:rPr>
          <w:rFonts w:hint="eastAsia" w:ascii="宋体" w:hAnsi="宋体" w:eastAsia="宋体" w:cs="宋体"/>
          <w:sz w:val="28"/>
          <w:szCs w:val="28"/>
        </w:rPr>
        <w:t>过程中每发生一次违章</w:t>
      </w:r>
      <w:r>
        <w:rPr>
          <w:rFonts w:hint="eastAsia" w:ascii="宋体" w:hAnsi="宋体" w:eastAsia="宋体" w:cs="宋体"/>
          <w:sz w:val="28"/>
          <w:szCs w:val="28"/>
          <w:lang w:eastAsia="zh-CN"/>
        </w:rPr>
        <w:t>改造维修</w:t>
      </w:r>
      <w:r>
        <w:rPr>
          <w:rFonts w:hint="eastAsia" w:ascii="宋体" w:hAnsi="宋体" w:eastAsia="宋体" w:cs="宋体"/>
          <w:sz w:val="28"/>
          <w:szCs w:val="28"/>
        </w:rPr>
        <w:t>的情形，将按甲方的相关安全管理制度对乙方进行考核，考核款项作为乙方应当承担的违约金，从应付乙方的</w:t>
      </w:r>
      <w:r>
        <w:rPr>
          <w:rFonts w:hint="eastAsia" w:ascii="宋体" w:hAnsi="宋体" w:eastAsia="宋体" w:cs="宋体"/>
          <w:sz w:val="28"/>
          <w:szCs w:val="28"/>
          <w:lang w:eastAsia="zh-CN"/>
        </w:rPr>
        <w:t>改造维修</w:t>
      </w:r>
      <w:r>
        <w:rPr>
          <w:rFonts w:hint="eastAsia" w:ascii="宋体" w:hAnsi="宋体" w:eastAsia="宋体" w:cs="宋体"/>
          <w:sz w:val="28"/>
          <w:szCs w:val="28"/>
        </w:rPr>
        <w:t>费中扣除。</w:t>
      </w:r>
    </w:p>
    <w:p w14:paraId="4DE68626">
      <w:pPr>
        <w:spacing w:line="500" w:lineRule="exact"/>
        <w:ind w:firstLine="560" w:firstLineChars="200"/>
        <w:rPr>
          <w:rFonts w:hint="eastAsia" w:ascii="宋体" w:hAnsi="宋体" w:eastAsia="宋体" w:cs="宋体"/>
          <w:sz w:val="28"/>
        </w:rPr>
      </w:pPr>
      <w:r>
        <w:rPr>
          <w:rFonts w:hint="eastAsia" w:ascii="宋体" w:hAnsi="宋体" w:eastAsia="宋体" w:cs="宋体"/>
          <w:sz w:val="28"/>
        </w:rPr>
        <w:t>3.乙方必须建立规范、科学的安全管理制度，采取有效措施保证</w:t>
      </w:r>
      <w:r>
        <w:rPr>
          <w:rFonts w:hint="eastAsia" w:ascii="宋体" w:hAnsi="宋体" w:eastAsia="宋体" w:cs="宋体"/>
          <w:sz w:val="28"/>
          <w:szCs w:val="28"/>
          <w:lang w:eastAsia="zh-CN"/>
        </w:rPr>
        <w:t>改造维修</w:t>
      </w:r>
      <w:r>
        <w:rPr>
          <w:rFonts w:hint="eastAsia" w:ascii="宋体" w:hAnsi="宋体" w:eastAsia="宋体" w:cs="宋体"/>
          <w:sz w:val="28"/>
        </w:rPr>
        <w:t>工作安全、文明进行。</w:t>
      </w:r>
    </w:p>
    <w:p w14:paraId="376B9823">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rPr>
        <w:t>乙方对于进入现场的人员，应加强安全管理，并接受甲方安全监督，杜绝一切人身事故和设备事故的发生。</w:t>
      </w:r>
      <w:r>
        <w:rPr>
          <w:rFonts w:hint="eastAsia" w:ascii="宋体" w:hAnsi="宋体" w:eastAsia="宋体" w:cs="宋体"/>
          <w:sz w:val="28"/>
          <w:lang w:val="en-US" w:eastAsia="zh-CN"/>
        </w:rPr>
        <w:t>乙方人员</w:t>
      </w:r>
      <w:r>
        <w:rPr>
          <w:rFonts w:hint="eastAsia" w:ascii="宋体" w:hAnsi="宋体" w:eastAsia="宋体" w:cs="宋体"/>
          <w:sz w:val="28"/>
        </w:rPr>
        <w:t>发生各种安全事故，所造成的经济损失均由乙方</w:t>
      </w:r>
      <w:r>
        <w:rPr>
          <w:rFonts w:hint="eastAsia" w:ascii="宋体" w:hAnsi="宋体" w:eastAsia="宋体" w:cs="宋体"/>
          <w:sz w:val="28"/>
          <w:lang w:val="en-US" w:eastAsia="zh-CN"/>
        </w:rPr>
        <w:t>自行</w:t>
      </w:r>
      <w:r>
        <w:rPr>
          <w:rFonts w:hint="eastAsia" w:ascii="宋体" w:hAnsi="宋体" w:eastAsia="宋体" w:cs="宋体"/>
          <w:sz w:val="28"/>
        </w:rPr>
        <w:t>负责。</w:t>
      </w:r>
    </w:p>
    <w:p w14:paraId="75A06D9E">
      <w:pPr>
        <w:tabs>
          <w:tab w:val="left" w:pos="-180"/>
          <w:tab w:val="left" w:pos="180"/>
          <w:tab w:val="left" w:pos="360"/>
          <w:tab w:val="left" w:pos="540"/>
        </w:tabs>
        <w:ind w:left="-180"/>
        <w:rPr>
          <w:rFonts w:hint="eastAsia" w:ascii="宋体" w:hAnsi="宋体" w:eastAsia="宋体" w:cs="宋体"/>
          <w:sz w:val="28"/>
          <w:szCs w:val="28"/>
        </w:rPr>
      </w:pPr>
      <w:r>
        <w:rPr>
          <w:rFonts w:hint="eastAsia" w:ascii="宋体" w:hAnsi="宋体" w:eastAsia="宋体" w:cs="宋体"/>
          <w:b/>
          <w:sz w:val="28"/>
          <w:szCs w:val="28"/>
        </w:rPr>
        <w:t>十、违约责任：</w:t>
      </w:r>
    </w:p>
    <w:p w14:paraId="5B71106C">
      <w:pPr>
        <w:tabs>
          <w:tab w:val="left" w:pos="0"/>
          <w:tab w:val="left" w:pos="720"/>
        </w:tabs>
        <w:ind w:firstLine="560" w:firstLineChars="200"/>
        <w:rPr>
          <w:rFonts w:hint="eastAsia" w:ascii="宋体" w:hAnsi="宋体" w:eastAsia="宋体" w:cs="宋体"/>
          <w:sz w:val="28"/>
          <w:szCs w:val="28"/>
        </w:rPr>
      </w:pPr>
      <w:r>
        <w:rPr>
          <w:rFonts w:hint="eastAsia" w:ascii="宋体" w:hAnsi="宋体" w:eastAsia="宋体" w:cs="宋体"/>
          <w:sz w:val="28"/>
          <w:szCs w:val="28"/>
        </w:rPr>
        <w:t>1.乙方不得以任何理由延误</w:t>
      </w:r>
      <w:r>
        <w:rPr>
          <w:rFonts w:hint="eastAsia" w:ascii="宋体" w:hAnsi="宋体" w:eastAsia="宋体" w:cs="宋体"/>
          <w:sz w:val="28"/>
          <w:szCs w:val="28"/>
          <w:lang w:eastAsia="zh-CN"/>
        </w:rPr>
        <w:t>改造维修</w:t>
      </w:r>
      <w:r>
        <w:rPr>
          <w:rFonts w:hint="eastAsia" w:ascii="宋体" w:hAnsi="宋体" w:eastAsia="宋体" w:cs="宋体"/>
          <w:sz w:val="28"/>
          <w:szCs w:val="28"/>
        </w:rPr>
        <w:t>期，如乙方延误</w:t>
      </w:r>
      <w:r>
        <w:rPr>
          <w:rFonts w:hint="eastAsia" w:ascii="宋体" w:hAnsi="宋体" w:eastAsia="宋体" w:cs="宋体"/>
          <w:sz w:val="28"/>
          <w:szCs w:val="28"/>
          <w:lang w:eastAsia="zh-CN"/>
        </w:rPr>
        <w:t>改造维修</w:t>
      </w:r>
      <w:r>
        <w:rPr>
          <w:rFonts w:hint="eastAsia" w:ascii="宋体" w:hAnsi="宋体" w:eastAsia="宋体" w:cs="宋体"/>
          <w:sz w:val="28"/>
          <w:szCs w:val="28"/>
        </w:rPr>
        <w:t>期限的，每延误一天向甲方支付合同总价</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1~2</w:t>
      </w:r>
      <w:r>
        <w:rPr>
          <w:rFonts w:hint="eastAsia" w:ascii="宋体" w:hAnsi="宋体" w:eastAsia="宋体" w:cs="宋体"/>
          <w:sz w:val="28"/>
          <w:szCs w:val="28"/>
          <w:u w:val="single"/>
        </w:rPr>
        <w:t xml:space="preserve">  </w:t>
      </w:r>
      <w:r>
        <w:rPr>
          <w:rFonts w:hint="eastAsia" w:ascii="宋体" w:hAnsi="宋体" w:eastAsia="宋体" w:cs="宋体"/>
          <w:sz w:val="28"/>
          <w:szCs w:val="28"/>
        </w:rPr>
        <w:t>%的违约金；违约天数超过</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5~7</w:t>
      </w:r>
      <w:r>
        <w:rPr>
          <w:rFonts w:hint="eastAsia" w:ascii="宋体" w:hAnsi="宋体" w:eastAsia="宋体" w:cs="宋体"/>
          <w:sz w:val="28"/>
          <w:szCs w:val="28"/>
          <w:u w:val="single"/>
        </w:rPr>
        <w:t xml:space="preserve">  </w:t>
      </w:r>
      <w:r>
        <w:rPr>
          <w:rFonts w:hint="eastAsia" w:ascii="宋体" w:hAnsi="宋体" w:eastAsia="宋体" w:cs="宋体"/>
          <w:sz w:val="28"/>
          <w:szCs w:val="28"/>
        </w:rPr>
        <w:t>天的，甲方有权单方解除本合同，乙方已经完成的</w:t>
      </w:r>
      <w:r>
        <w:rPr>
          <w:rFonts w:hint="eastAsia" w:ascii="宋体" w:hAnsi="宋体" w:eastAsia="宋体" w:cs="宋体"/>
          <w:sz w:val="28"/>
          <w:szCs w:val="28"/>
          <w:lang w:eastAsia="zh-CN"/>
        </w:rPr>
        <w:t>改造维修</w:t>
      </w:r>
      <w:r>
        <w:rPr>
          <w:rFonts w:hint="eastAsia" w:ascii="宋体" w:hAnsi="宋体" w:eastAsia="宋体" w:cs="宋体"/>
          <w:sz w:val="28"/>
          <w:szCs w:val="28"/>
        </w:rPr>
        <w:t>量按照其价值的20%进行结算，其余视为对甲方的违约赔偿。</w:t>
      </w:r>
    </w:p>
    <w:p w14:paraId="50EB4947">
      <w:pPr>
        <w:tabs>
          <w:tab w:val="left" w:pos="540"/>
          <w:tab w:val="left" w:pos="2520"/>
        </w:tabs>
        <w:ind w:firstLine="560" w:firstLineChars="200"/>
        <w:rPr>
          <w:rFonts w:hint="eastAsia" w:ascii="宋体" w:hAnsi="宋体" w:eastAsia="宋体" w:cs="宋体"/>
          <w:sz w:val="28"/>
          <w:szCs w:val="28"/>
        </w:rPr>
      </w:pPr>
      <w:r>
        <w:rPr>
          <w:rFonts w:hint="eastAsia" w:ascii="宋体" w:hAnsi="宋体" w:eastAsia="宋体" w:cs="宋体"/>
          <w:sz w:val="28"/>
          <w:szCs w:val="28"/>
        </w:rPr>
        <w:t>2.乙方须对</w:t>
      </w:r>
      <w:r>
        <w:rPr>
          <w:rFonts w:hint="eastAsia" w:ascii="宋体" w:hAnsi="宋体" w:eastAsia="宋体" w:cs="宋体"/>
          <w:sz w:val="28"/>
          <w:szCs w:val="28"/>
          <w:lang w:eastAsia="zh-CN"/>
        </w:rPr>
        <w:t>改造维修</w:t>
      </w:r>
      <w:r>
        <w:rPr>
          <w:rFonts w:hint="eastAsia" w:ascii="宋体" w:hAnsi="宋体" w:eastAsia="宋体" w:cs="宋体"/>
          <w:sz w:val="28"/>
          <w:szCs w:val="28"/>
        </w:rPr>
        <w:t>内容的质量负责，如果乙方</w:t>
      </w:r>
      <w:r>
        <w:rPr>
          <w:rFonts w:hint="eastAsia" w:ascii="宋体" w:hAnsi="宋体" w:eastAsia="宋体" w:cs="宋体"/>
          <w:sz w:val="28"/>
          <w:szCs w:val="28"/>
          <w:lang w:eastAsia="zh-CN"/>
        </w:rPr>
        <w:t>没有</w:t>
      </w:r>
      <w:r>
        <w:rPr>
          <w:rFonts w:hint="eastAsia" w:ascii="宋体" w:hAnsi="宋体" w:eastAsia="宋体" w:cs="宋体"/>
          <w:sz w:val="28"/>
          <w:szCs w:val="28"/>
        </w:rPr>
        <w:t>按甲方提出的技术要求和</w:t>
      </w:r>
      <w:r>
        <w:rPr>
          <w:rFonts w:hint="eastAsia" w:ascii="宋体" w:hAnsi="宋体" w:eastAsia="宋体" w:cs="宋体"/>
          <w:sz w:val="28"/>
          <w:szCs w:val="28"/>
          <w:lang w:eastAsia="zh-CN"/>
        </w:rPr>
        <w:t>改造维修</w:t>
      </w:r>
      <w:r>
        <w:rPr>
          <w:rFonts w:hint="eastAsia" w:ascii="宋体" w:hAnsi="宋体" w:eastAsia="宋体" w:cs="宋体"/>
          <w:sz w:val="28"/>
          <w:szCs w:val="28"/>
        </w:rPr>
        <w:t>规范进行</w:t>
      </w:r>
      <w:r>
        <w:rPr>
          <w:rFonts w:hint="eastAsia" w:ascii="宋体" w:hAnsi="宋体" w:eastAsia="宋体" w:cs="宋体"/>
          <w:sz w:val="28"/>
          <w:szCs w:val="28"/>
          <w:lang w:eastAsia="zh-CN"/>
        </w:rPr>
        <w:t>改造维修</w:t>
      </w:r>
      <w:r>
        <w:rPr>
          <w:rFonts w:hint="eastAsia" w:ascii="宋体" w:hAnsi="宋体" w:eastAsia="宋体" w:cs="宋体"/>
          <w:sz w:val="28"/>
          <w:szCs w:val="28"/>
        </w:rPr>
        <w:t>或者在</w:t>
      </w:r>
      <w:r>
        <w:rPr>
          <w:rFonts w:hint="eastAsia" w:ascii="宋体" w:hAnsi="宋体" w:eastAsia="宋体" w:cs="宋体"/>
          <w:sz w:val="28"/>
          <w:szCs w:val="28"/>
          <w:lang w:eastAsia="zh-CN"/>
        </w:rPr>
        <w:t>改造维修</w:t>
      </w:r>
      <w:r>
        <w:rPr>
          <w:rFonts w:hint="eastAsia" w:ascii="宋体" w:hAnsi="宋体" w:eastAsia="宋体" w:cs="宋体"/>
          <w:sz w:val="28"/>
          <w:szCs w:val="28"/>
        </w:rPr>
        <w:t>质量保证期内出现质量问题的，所造成的重新</w:t>
      </w:r>
      <w:r>
        <w:rPr>
          <w:rFonts w:hint="eastAsia" w:ascii="宋体" w:hAnsi="宋体" w:eastAsia="宋体" w:cs="宋体"/>
          <w:sz w:val="28"/>
          <w:szCs w:val="28"/>
          <w:lang w:eastAsia="zh-CN"/>
        </w:rPr>
        <w:t>改造维修</w:t>
      </w:r>
      <w:r>
        <w:rPr>
          <w:rFonts w:hint="eastAsia" w:ascii="宋体" w:hAnsi="宋体" w:eastAsia="宋体" w:cs="宋体"/>
          <w:sz w:val="28"/>
          <w:szCs w:val="28"/>
        </w:rPr>
        <w:t>和补救费用由乙方自负，若对甲方造成损失由乙方负责赔偿。</w:t>
      </w:r>
    </w:p>
    <w:p w14:paraId="5660421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3.设备</w:t>
      </w:r>
      <w:r>
        <w:rPr>
          <w:rFonts w:hint="eastAsia" w:ascii="宋体" w:hAnsi="宋体" w:eastAsia="宋体" w:cs="宋体"/>
          <w:sz w:val="28"/>
          <w:szCs w:val="28"/>
          <w:lang w:eastAsia="zh-CN"/>
        </w:rPr>
        <w:t>改造维修</w:t>
      </w:r>
      <w:r>
        <w:rPr>
          <w:rFonts w:hint="eastAsia" w:ascii="宋体" w:hAnsi="宋体" w:eastAsia="宋体" w:cs="宋体"/>
          <w:sz w:val="28"/>
          <w:szCs w:val="28"/>
        </w:rPr>
        <w:t>完毕投入运行后，如果因为</w:t>
      </w:r>
      <w:r>
        <w:rPr>
          <w:rFonts w:hint="eastAsia" w:ascii="宋体" w:hAnsi="宋体" w:eastAsia="宋体" w:cs="宋体"/>
          <w:sz w:val="28"/>
          <w:szCs w:val="28"/>
          <w:lang w:eastAsia="zh-CN"/>
        </w:rPr>
        <w:t>改造维修</w:t>
      </w:r>
      <w:r>
        <w:rPr>
          <w:rFonts w:hint="eastAsia" w:ascii="宋体" w:hAnsi="宋体" w:eastAsia="宋体" w:cs="宋体"/>
          <w:sz w:val="28"/>
          <w:szCs w:val="28"/>
        </w:rPr>
        <w:t>工作的原因造成重大安全事故或者安全问题，乙方支付甲方合同总价</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10~30</w:t>
      </w:r>
      <w:r>
        <w:rPr>
          <w:rFonts w:hint="eastAsia" w:ascii="宋体" w:hAnsi="宋体" w:eastAsia="宋体" w:cs="宋体"/>
          <w:sz w:val="28"/>
          <w:szCs w:val="28"/>
          <w:u w:val="single"/>
        </w:rPr>
        <w:t xml:space="preserve">  </w:t>
      </w:r>
      <w:r>
        <w:rPr>
          <w:rFonts w:hint="eastAsia" w:ascii="宋体" w:hAnsi="宋体" w:eastAsia="宋体" w:cs="宋体"/>
          <w:sz w:val="28"/>
          <w:szCs w:val="28"/>
        </w:rPr>
        <w:t>%的违约金，该违约金不足以弥补甲方损失的，乙方按照给甲方造成的实际损失进行赔偿。</w:t>
      </w:r>
    </w:p>
    <w:p w14:paraId="43F7E85F">
      <w:pPr>
        <w:pStyle w:val="129"/>
        <w:spacing w:line="500" w:lineRule="atLeast"/>
        <w:ind w:firstLine="618" w:firstLineChars="221"/>
        <w:rPr>
          <w:rFonts w:hint="eastAsia" w:ascii="宋体" w:hAnsi="宋体" w:eastAsia="宋体" w:cs="宋体"/>
        </w:rPr>
      </w:pPr>
      <w:r>
        <w:rPr>
          <w:rFonts w:hint="eastAsia" w:ascii="宋体" w:hAnsi="宋体" w:eastAsia="宋体" w:cs="宋体"/>
          <w:sz w:val="28"/>
          <w:szCs w:val="28"/>
        </w:rPr>
        <w:t>4.</w:t>
      </w:r>
      <w:r>
        <w:rPr>
          <w:rFonts w:hint="eastAsia" w:ascii="宋体" w:hAnsi="宋体" w:eastAsia="宋体" w:cs="宋体"/>
          <w:sz w:val="28"/>
          <w:szCs w:val="28"/>
          <w:lang w:eastAsia="zh-CN"/>
        </w:rPr>
        <w:t>改造维修</w:t>
      </w:r>
      <w:r>
        <w:rPr>
          <w:rFonts w:hint="eastAsia" w:ascii="宋体" w:hAnsi="宋体" w:eastAsia="宋体" w:cs="宋体"/>
          <w:sz w:val="28"/>
          <w:szCs w:val="28"/>
        </w:rPr>
        <w:t>期间，因乙方原因未完成</w:t>
      </w:r>
      <w:r>
        <w:rPr>
          <w:rFonts w:hint="eastAsia" w:ascii="宋体" w:hAnsi="宋体" w:eastAsia="宋体" w:cs="宋体"/>
          <w:sz w:val="28"/>
          <w:szCs w:val="28"/>
          <w:lang w:eastAsia="zh-CN"/>
        </w:rPr>
        <w:t>改造维修</w:t>
      </w:r>
      <w:r>
        <w:rPr>
          <w:rFonts w:hint="eastAsia" w:ascii="宋体" w:hAnsi="宋体" w:eastAsia="宋体" w:cs="宋体"/>
          <w:sz w:val="28"/>
          <w:szCs w:val="28"/>
        </w:rPr>
        <w:t>内容的，甲方有权另行委托第三方进行</w:t>
      </w:r>
      <w:r>
        <w:rPr>
          <w:rFonts w:hint="eastAsia" w:ascii="宋体" w:hAnsi="宋体" w:eastAsia="宋体" w:cs="宋体"/>
          <w:sz w:val="28"/>
          <w:szCs w:val="28"/>
          <w:lang w:eastAsia="zh-CN"/>
        </w:rPr>
        <w:t>改造维修</w:t>
      </w:r>
      <w:r>
        <w:rPr>
          <w:rFonts w:hint="eastAsia" w:ascii="宋体" w:hAnsi="宋体" w:eastAsia="宋体" w:cs="宋体"/>
          <w:sz w:val="28"/>
          <w:szCs w:val="28"/>
        </w:rPr>
        <w:t>，所产生的费用及给甲方造成的损失都由乙方承担。</w:t>
      </w:r>
    </w:p>
    <w:p w14:paraId="1E112EFF">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5.乙方应严格按照甲方要求及合同约定内容进行</w:t>
      </w:r>
      <w:r>
        <w:rPr>
          <w:rFonts w:hint="eastAsia" w:ascii="宋体" w:hAnsi="宋体" w:eastAsia="宋体" w:cs="宋体"/>
          <w:sz w:val="28"/>
          <w:szCs w:val="28"/>
          <w:lang w:eastAsia="zh-CN"/>
        </w:rPr>
        <w:t>改造维修</w:t>
      </w:r>
      <w:r>
        <w:rPr>
          <w:rFonts w:hint="eastAsia" w:ascii="宋体" w:hAnsi="宋体" w:eastAsia="宋体" w:cs="宋体"/>
          <w:sz w:val="28"/>
          <w:szCs w:val="28"/>
        </w:rPr>
        <w:t>，未经甲方同意，不得漏项、缺项。如果发生漏项、缺项，扣除该项目的</w:t>
      </w:r>
      <w:r>
        <w:rPr>
          <w:rFonts w:hint="eastAsia" w:ascii="宋体" w:hAnsi="宋体" w:eastAsia="宋体" w:cs="宋体"/>
          <w:sz w:val="28"/>
          <w:szCs w:val="28"/>
          <w:lang w:eastAsia="zh-CN"/>
        </w:rPr>
        <w:t>改造维修</w:t>
      </w:r>
      <w:r>
        <w:rPr>
          <w:rFonts w:hint="eastAsia" w:ascii="宋体" w:hAnsi="宋体" w:eastAsia="宋体" w:cs="宋体"/>
          <w:sz w:val="28"/>
          <w:szCs w:val="28"/>
        </w:rPr>
        <w:t>费用外，向甲方支付合同总价</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5</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/次（项）</w:t>
      </w:r>
      <w:r>
        <w:rPr>
          <w:rFonts w:hint="eastAsia" w:ascii="宋体" w:hAnsi="宋体" w:eastAsia="宋体" w:cs="宋体"/>
          <w:sz w:val="28"/>
          <w:szCs w:val="28"/>
        </w:rPr>
        <w:t>的违约金。</w:t>
      </w:r>
    </w:p>
    <w:p w14:paraId="38489E8D">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eastAsia="zh-CN"/>
        </w:rPr>
        <w:t>改造维修</w:t>
      </w:r>
      <w:r>
        <w:rPr>
          <w:rFonts w:hint="eastAsia" w:ascii="宋体" w:hAnsi="宋体" w:eastAsia="宋体" w:cs="宋体"/>
          <w:sz w:val="28"/>
          <w:szCs w:val="28"/>
        </w:rPr>
        <w:t>过程中发生甲方原有设备损坏、零部件丢失等，给甲方造成损失，乙方按原价</w:t>
      </w:r>
      <w:r>
        <w:rPr>
          <w:rFonts w:hint="eastAsia" w:ascii="宋体" w:hAnsi="宋体" w:eastAsia="宋体" w:cs="宋体"/>
          <w:sz w:val="28"/>
          <w:szCs w:val="28"/>
          <w:lang w:eastAsia="zh-CN"/>
        </w:rPr>
        <w:t>赔偿</w:t>
      </w:r>
      <w:r>
        <w:rPr>
          <w:rFonts w:hint="eastAsia" w:ascii="宋体" w:hAnsi="宋体" w:eastAsia="宋体" w:cs="宋体"/>
          <w:sz w:val="28"/>
          <w:szCs w:val="28"/>
        </w:rPr>
        <w:t>。</w:t>
      </w:r>
    </w:p>
    <w:p w14:paraId="7A3AAACE">
      <w:pPr>
        <w:pStyle w:val="129"/>
        <w:ind w:firstLine="560" w:firstLineChars="200"/>
        <w:rPr>
          <w:rFonts w:hint="eastAsia" w:ascii="宋体" w:hAnsi="宋体" w:eastAsia="宋体" w:cs="宋体"/>
          <w:sz w:val="28"/>
          <w:szCs w:val="28"/>
        </w:rPr>
      </w:pPr>
      <w:r>
        <w:rPr>
          <w:rFonts w:hint="eastAsia" w:ascii="宋体" w:hAnsi="宋体" w:eastAsia="宋体" w:cs="宋体"/>
          <w:sz w:val="28"/>
          <w:szCs w:val="28"/>
        </w:rPr>
        <w:t>7.本合同一经签订，乙方不得无故解除。如乙方无故解除合同，应当承担给甲方造成的一切损失。</w:t>
      </w:r>
    </w:p>
    <w:p w14:paraId="18F249ED">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8.未经甲方同意，乙方不得分包或转包本合同的</w:t>
      </w:r>
      <w:r>
        <w:rPr>
          <w:rFonts w:hint="eastAsia" w:ascii="宋体" w:hAnsi="宋体" w:eastAsia="宋体" w:cs="宋体"/>
          <w:sz w:val="28"/>
          <w:szCs w:val="28"/>
          <w:lang w:eastAsia="zh-CN"/>
        </w:rPr>
        <w:t>改造维修</w:t>
      </w:r>
      <w:r>
        <w:rPr>
          <w:rFonts w:hint="eastAsia" w:ascii="宋体" w:hAnsi="宋体" w:eastAsia="宋体" w:cs="宋体"/>
          <w:sz w:val="28"/>
          <w:szCs w:val="28"/>
        </w:rPr>
        <w:t>内容，否则，甲方有权解除合同，并由乙方赔偿甲方由此造成的经济损失。</w:t>
      </w:r>
    </w:p>
    <w:p w14:paraId="56CA162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9.乙方</w:t>
      </w:r>
      <w:r>
        <w:rPr>
          <w:rFonts w:hint="eastAsia" w:ascii="宋体" w:hAnsi="宋体" w:eastAsia="宋体" w:cs="宋体"/>
          <w:sz w:val="28"/>
          <w:szCs w:val="28"/>
          <w:lang w:eastAsia="zh-CN"/>
        </w:rPr>
        <w:t>违反</w:t>
      </w:r>
      <w:r>
        <w:rPr>
          <w:rFonts w:hint="eastAsia" w:ascii="宋体" w:hAnsi="宋体" w:eastAsia="宋体" w:cs="宋体"/>
          <w:sz w:val="28"/>
          <w:szCs w:val="28"/>
        </w:rPr>
        <w:t>本合同其他约定给甲方造成损失的，应当承担赔偿责任。</w:t>
      </w:r>
    </w:p>
    <w:p w14:paraId="1F2732E6">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除本合同另有约定外，乙方违反本合同以及附件相关义务及责任的，每违约一次，甲方有权处以合同总价【10】%/次的违约金，如违反超过【3】次(含本数)的，甲方有权单方解除本合同，同时乙方承担本合同总工程款30%的违约金，并由乙方赔偿甲方由此造成的经济损失。</w:t>
      </w:r>
    </w:p>
    <w:p w14:paraId="6053ACFA">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11.任何一方违约，除应按本合同约定承担违约责任或赔偿责任外，还应向守约方支付守约方支出的一切费用，包括但不限于诉讼费、律师费、差旅费、保全费等。</w:t>
      </w:r>
    </w:p>
    <w:p w14:paraId="036E2BBD">
      <w:pPr>
        <w:spacing w:line="360" w:lineRule="auto"/>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十一、其他</w:t>
      </w:r>
    </w:p>
    <w:p w14:paraId="4D366880">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 因履行本合同产生的任何争议或纠纷，双方应友好协商解决；协商不成的，任何一方有权向甲方所在地法院提起诉讼。</w:t>
      </w:r>
    </w:p>
    <w:p w14:paraId="1B29656A">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2.本合同未尽事宜，由双方另行协商签订补充协议。</w:t>
      </w:r>
    </w:p>
    <w:p w14:paraId="6F03795B">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3.本合同附件包括：</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。合同的附件与本合同具有同等法律效力，但若合同附件内容与合同正文不一致的，以合同正文约定为准。</w:t>
      </w:r>
    </w:p>
    <w:p w14:paraId="06A97E35">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4.本合同一式</w:t>
      </w:r>
      <w:r>
        <w:rPr>
          <w:rFonts w:hint="eastAsia" w:ascii="宋体" w:hAnsi="宋体" w:eastAsia="宋体" w:cs="宋体"/>
          <w:sz w:val="28"/>
          <w:szCs w:val="28"/>
          <w:u w:val="single"/>
          <w:lang w:val="en-US" w:eastAsia="zh-CN"/>
        </w:rPr>
        <w:t>肆</w:t>
      </w:r>
      <w:r>
        <w:rPr>
          <w:rFonts w:hint="eastAsia" w:ascii="宋体" w:hAnsi="宋体" w:eastAsia="宋体" w:cs="宋体"/>
          <w:sz w:val="28"/>
          <w:szCs w:val="28"/>
          <w:lang w:val="en-US" w:eastAsia="zh-CN"/>
        </w:rPr>
        <w:t>份，经双方签署后生效，双方各执</w:t>
      </w:r>
      <w:r>
        <w:rPr>
          <w:rFonts w:hint="eastAsia" w:ascii="宋体" w:hAnsi="宋体" w:eastAsia="宋体" w:cs="宋体"/>
          <w:sz w:val="28"/>
          <w:szCs w:val="28"/>
          <w:u w:val="single"/>
          <w:lang w:val="en-US" w:eastAsia="zh-CN"/>
        </w:rPr>
        <w:t>贰</w:t>
      </w:r>
      <w:r>
        <w:rPr>
          <w:rFonts w:hint="eastAsia" w:ascii="宋体" w:hAnsi="宋体" w:eastAsia="宋体" w:cs="宋体"/>
          <w:sz w:val="28"/>
          <w:szCs w:val="28"/>
          <w:lang w:val="en-US" w:eastAsia="zh-CN"/>
        </w:rPr>
        <w:t>份，具有同等法律效力。</w:t>
      </w:r>
    </w:p>
    <w:p w14:paraId="3D0F105E">
      <w:pPr>
        <w:spacing w:line="360" w:lineRule="auto"/>
        <w:ind w:firstLine="560" w:firstLineChars="200"/>
        <w:rPr>
          <w:rFonts w:hint="eastAsia" w:ascii="宋体" w:hAnsi="宋体" w:eastAsia="宋体" w:cs="宋体"/>
          <w:sz w:val="28"/>
          <w:szCs w:val="28"/>
          <w:lang w:val="en-US" w:eastAsia="zh-CN"/>
        </w:rPr>
      </w:pPr>
    </w:p>
    <w:p w14:paraId="5C6C8AEA">
      <w:pPr>
        <w:tabs>
          <w:tab w:val="left" w:pos="540"/>
          <w:tab w:val="left" w:pos="720"/>
        </w:tabs>
        <w:ind w:left="-180"/>
        <w:rPr>
          <w:rFonts w:hint="eastAsia" w:ascii="宋体" w:hAnsi="宋体" w:eastAsia="宋体" w:cs="宋体"/>
          <w:sz w:val="28"/>
          <w:szCs w:val="28"/>
        </w:rPr>
      </w:pPr>
    </w:p>
    <w:p w14:paraId="33DBB123">
      <w:pPr>
        <w:tabs>
          <w:tab w:val="left" w:pos="540"/>
          <w:tab w:val="left" w:pos="720"/>
        </w:tabs>
        <w:ind w:left="-180"/>
        <w:rPr>
          <w:rFonts w:hint="eastAsia" w:ascii="宋体" w:hAnsi="宋体" w:eastAsia="宋体" w:cs="宋体"/>
          <w:sz w:val="28"/>
          <w:szCs w:val="28"/>
        </w:rPr>
      </w:pPr>
    </w:p>
    <w:p w14:paraId="6CFE68D2">
      <w:pPr>
        <w:spacing w:line="360" w:lineRule="exact"/>
        <w:rPr>
          <w:rFonts w:hint="eastAsia" w:ascii="宋体" w:hAnsi="宋体" w:eastAsia="宋体" w:cs="宋体"/>
          <w:sz w:val="28"/>
          <w:szCs w:val="28"/>
        </w:rPr>
      </w:pPr>
    </w:p>
    <w:p w14:paraId="4BDCB7F2">
      <w:pPr>
        <w:spacing w:line="360" w:lineRule="exact"/>
        <w:rPr>
          <w:rFonts w:hint="eastAsia" w:ascii="宋体" w:hAnsi="宋体" w:eastAsia="宋体" w:cs="宋体"/>
          <w:szCs w:val="28"/>
        </w:rPr>
      </w:pPr>
      <w:r>
        <w:rPr>
          <w:rFonts w:hint="eastAsia" w:ascii="宋体" w:hAnsi="宋体" w:eastAsia="宋体" w:cs="宋体"/>
          <w:sz w:val="28"/>
          <w:szCs w:val="28"/>
        </w:rPr>
        <w:t xml:space="preserve">甲方：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乙方：</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67A69162">
      <w:pPr>
        <w:autoSpaceDE w:val="0"/>
        <w:autoSpaceDN w:val="0"/>
        <w:adjustRightInd w:val="0"/>
        <w:spacing w:line="460" w:lineRule="exact"/>
        <w:jc w:val="left"/>
        <w:rPr>
          <w:rFonts w:hint="eastAsia" w:ascii="宋体" w:hAnsi="宋体" w:eastAsia="宋体" w:cs="宋体"/>
          <w:kern w:val="0"/>
          <w:sz w:val="28"/>
          <w:szCs w:val="28"/>
        </w:rPr>
      </w:pPr>
      <w:r>
        <w:rPr>
          <w:rFonts w:hint="eastAsia" w:ascii="宋体" w:hAnsi="宋体" w:eastAsia="宋体" w:cs="宋体"/>
          <w:kern w:val="0"/>
          <w:sz w:val="28"/>
          <w:szCs w:val="28"/>
        </w:rPr>
        <w:t>法定代表人/                   法定代表人/</w:t>
      </w:r>
    </w:p>
    <w:p w14:paraId="36C30335">
      <w:pPr>
        <w:autoSpaceDE w:val="0"/>
        <w:autoSpaceDN w:val="0"/>
        <w:adjustRightInd w:val="0"/>
        <w:spacing w:line="460" w:lineRule="exact"/>
        <w:jc w:val="left"/>
        <w:rPr>
          <w:rFonts w:hint="eastAsia" w:ascii="宋体" w:hAnsi="宋体" w:eastAsia="宋体" w:cs="宋体"/>
          <w:kern w:val="0"/>
          <w:sz w:val="28"/>
          <w:szCs w:val="28"/>
        </w:rPr>
      </w:pPr>
      <w:r>
        <w:rPr>
          <w:rFonts w:hint="eastAsia" w:ascii="宋体" w:hAnsi="宋体" w:eastAsia="宋体" w:cs="宋体"/>
          <w:kern w:val="0"/>
          <w:sz w:val="28"/>
          <w:szCs w:val="28"/>
        </w:rPr>
        <w:t>委托代理人：                  委托代理人：</w:t>
      </w:r>
    </w:p>
    <w:p w14:paraId="6EA71275">
      <w:pPr>
        <w:spacing w:line="480" w:lineRule="exact"/>
        <w:rPr>
          <w:rFonts w:hint="eastAsia" w:ascii="宋体" w:hAnsi="宋体" w:eastAsia="宋体" w:cs="宋体"/>
          <w:sz w:val="28"/>
          <w:szCs w:val="28"/>
        </w:rPr>
      </w:pPr>
    </w:p>
    <w:p w14:paraId="2309E395">
      <w:pPr>
        <w:spacing w:line="480" w:lineRule="exact"/>
        <w:rPr>
          <w:rFonts w:hint="eastAsia" w:ascii="宋体" w:hAnsi="宋体" w:eastAsia="宋体" w:cs="宋体"/>
          <w:sz w:val="28"/>
          <w:szCs w:val="28"/>
        </w:rPr>
      </w:pPr>
      <w:r>
        <w:rPr>
          <w:rFonts w:hint="eastAsia" w:ascii="宋体" w:hAnsi="宋体" w:eastAsia="宋体" w:cs="宋体"/>
          <w:sz w:val="28"/>
          <w:szCs w:val="28"/>
        </w:rPr>
        <w:t>签约双方其他信息：</w:t>
      </w:r>
    </w:p>
    <w:tbl>
      <w:tblPr>
        <w:tblStyle w:val="43"/>
        <w:tblW w:w="10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3648"/>
        <w:gridCol w:w="2010"/>
        <w:gridCol w:w="2939"/>
      </w:tblGrid>
      <w:tr w14:paraId="334A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5511" w:type="dxa"/>
            <w:gridSpan w:val="2"/>
            <w:tcBorders>
              <w:top w:val="single" w:color="auto" w:sz="4" w:space="0"/>
              <w:left w:val="single" w:color="auto" w:sz="4" w:space="0"/>
              <w:bottom w:val="single" w:color="auto" w:sz="4" w:space="0"/>
              <w:right w:val="single" w:color="auto" w:sz="4" w:space="0"/>
            </w:tcBorders>
            <w:noWrap w:val="0"/>
            <w:vAlign w:val="center"/>
          </w:tcPr>
          <w:p w14:paraId="3A0C67CE">
            <w:pPr>
              <w:spacing w:line="48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甲    方</w:t>
            </w:r>
          </w:p>
        </w:tc>
        <w:tc>
          <w:tcPr>
            <w:tcW w:w="4949" w:type="dxa"/>
            <w:gridSpan w:val="2"/>
            <w:tcBorders>
              <w:top w:val="single" w:color="auto" w:sz="4" w:space="0"/>
              <w:left w:val="single" w:color="auto" w:sz="4" w:space="0"/>
              <w:bottom w:val="single" w:color="auto" w:sz="4" w:space="0"/>
              <w:right w:val="single" w:color="auto" w:sz="4" w:space="0"/>
            </w:tcBorders>
            <w:noWrap w:val="0"/>
            <w:vAlign w:val="center"/>
          </w:tcPr>
          <w:p w14:paraId="7BCD86D3">
            <w:pPr>
              <w:spacing w:line="48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乙     方</w:t>
            </w:r>
          </w:p>
        </w:tc>
      </w:tr>
      <w:tr w14:paraId="23EE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863" w:type="dxa"/>
            <w:tcBorders>
              <w:top w:val="single" w:color="auto" w:sz="4" w:space="0"/>
              <w:left w:val="single" w:color="auto" w:sz="4" w:space="0"/>
              <w:bottom w:val="single" w:color="auto" w:sz="4" w:space="0"/>
              <w:right w:val="single" w:color="auto" w:sz="4" w:space="0"/>
            </w:tcBorders>
            <w:noWrap w:val="0"/>
            <w:vAlign w:val="center"/>
          </w:tcPr>
          <w:p w14:paraId="2B78C534">
            <w:pPr>
              <w:spacing w:line="48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单位名称</w:t>
            </w:r>
          </w:p>
        </w:tc>
        <w:tc>
          <w:tcPr>
            <w:tcW w:w="3648" w:type="dxa"/>
            <w:tcBorders>
              <w:top w:val="single" w:color="auto" w:sz="4" w:space="0"/>
              <w:left w:val="single" w:color="auto" w:sz="4" w:space="0"/>
              <w:bottom w:val="single" w:color="auto" w:sz="4" w:space="0"/>
              <w:right w:val="single" w:color="auto" w:sz="4" w:space="0"/>
            </w:tcBorders>
            <w:noWrap w:val="0"/>
            <w:vAlign w:val="center"/>
          </w:tcPr>
          <w:p w14:paraId="751EA721">
            <w:pPr>
              <w:spacing w:line="48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t>宁德漳湾垃圾焚烧发电有限公司</w:t>
            </w:r>
            <w:r>
              <w:rPr>
                <w:rFonts w:hint="eastAsia" w:ascii="宋体" w:hAnsi="宋体" w:eastAsia="宋体" w:cs="宋体"/>
                <w:b w:val="0"/>
                <w:bCs w:val="0"/>
                <w:sz w:val="28"/>
                <w:szCs w:val="28"/>
              </w:rPr>
              <w:t xml:space="preserve"> </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6546ED68">
            <w:pPr>
              <w:spacing w:line="48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单位名称</w:t>
            </w:r>
          </w:p>
        </w:tc>
        <w:tc>
          <w:tcPr>
            <w:tcW w:w="2939" w:type="dxa"/>
            <w:tcBorders>
              <w:top w:val="single" w:color="auto" w:sz="4" w:space="0"/>
              <w:left w:val="single" w:color="auto" w:sz="4" w:space="0"/>
              <w:bottom w:val="single" w:color="auto" w:sz="4" w:space="0"/>
              <w:right w:val="single" w:color="auto" w:sz="4" w:space="0"/>
            </w:tcBorders>
            <w:noWrap w:val="0"/>
            <w:vAlign w:val="center"/>
          </w:tcPr>
          <w:p w14:paraId="4F69FB32">
            <w:pPr>
              <w:spacing w:line="480" w:lineRule="exact"/>
              <w:rPr>
                <w:rFonts w:hint="eastAsia" w:ascii="宋体" w:hAnsi="宋体" w:eastAsia="宋体" w:cs="宋体"/>
                <w:b w:val="0"/>
                <w:bCs w:val="0"/>
                <w:sz w:val="28"/>
                <w:szCs w:val="28"/>
              </w:rPr>
            </w:pPr>
          </w:p>
        </w:tc>
      </w:tr>
      <w:tr w14:paraId="6A6E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63" w:type="dxa"/>
            <w:tcBorders>
              <w:top w:val="single" w:color="auto" w:sz="4" w:space="0"/>
              <w:left w:val="single" w:color="auto" w:sz="4" w:space="0"/>
              <w:bottom w:val="single" w:color="auto" w:sz="4" w:space="0"/>
              <w:right w:val="single" w:color="auto" w:sz="4" w:space="0"/>
            </w:tcBorders>
            <w:noWrap w:val="0"/>
            <w:vAlign w:val="center"/>
          </w:tcPr>
          <w:p w14:paraId="4AF82280">
            <w:pPr>
              <w:spacing w:line="48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单位地址</w:t>
            </w:r>
          </w:p>
        </w:tc>
        <w:tc>
          <w:tcPr>
            <w:tcW w:w="3648" w:type="dxa"/>
            <w:tcBorders>
              <w:top w:val="single" w:color="auto" w:sz="4" w:space="0"/>
              <w:left w:val="single" w:color="auto" w:sz="4" w:space="0"/>
              <w:bottom w:val="single" w:color="auto" w:sz="4" w:space="0"/>
              <w:right w:val="single" w:color="auto" w:sz="4" w:space="0"/>
            </w:tcBorders>
            <w:noWrap w:val="0"/>
            <w:vAlign w:val="center"/>
          </w:tcPr>
          <w:p w14:paraId="7C87B76A">
            <w:pPr>
              <w:spacing w:line="480" w:lineRule="exact"/>
              <w:rPr>
                <w:rFonts w:hint="eastAsia" w:ascii="宋体" w:hAnsi="宋体" w:eastAsia="宋体" w:cs="宋体"/>
                <w:b w:val="0"/>
                <w:bCs w:val="0"/>
                <w:sz w:val="28"/>
                <w:szCs w:val="28"/>
              </w:rPr>
            </w:pPr>
            <w:r>
              <w:rPr>
                <w:rFonts w:hint="eastAsia" w:ascii="宋体" w:hAnsi="宋体" w:eastAsia="宋体" w:cs="宋体"/>
                <w:b w:val="0"/>
                <w:bCs/>
                <w:sz w:val="28"/>
                <w:szCs w:val="28"/>
                <w:lang w:eastAsia="zh-CN"/>
              </w:rPr>
              <w:t>宁德东侨经济开发区闽东中路12号建设科技大楼6层</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B1523AC">
            <w:pPr>
              <w:spacing w:line="48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单位地址</w:t>
            </w:r>
          </w:p>
        </w:tc>
        <w:tc>
          <w:tcPr>
            <w:tcW w:w="2939" w:type="dxa"/>
            <w:tcBorders>
              <w:top w:val="single" w:color="auto" w:sz="4" w:space="0"/>
              <w:left w:val="single" w:color="auto" w:sz="4" w:space="0"/>
              <w:bottom w:val="single" w:color="auto" w:sz="4" w:space="0"/>
              <w:right w:val="single" w:color="auto" w:sz="4" w:space="0"/>
            </w:tcBorders>
            <w:noWrap w:val="0"/>
            <w:vAlign w:val="center"/>
          </w:tcPr>
          <w:p w14:paraId="7EDD259B">
            <w:pPr>
              <w:spacing w:line="480" w:lineRule="exact"/>
              <w:jc w:val="center"/>
              <w:rPr>
                <w:rFonts w:hint="eastAsia" w:ascii="宋体" w:hAnsi="宋体" w:eastAsia="宋体" w:cs="宋体"/>
                <w:b w:val="0"/>
                <w:bCs w:val="0"/>
                <w:sz w:val="28"/>
                <w:szCs w:val="28"/>
              </w:rPr>
            </w:pPr>
          </w:p>
        </w:tc>
      </w:tr>
      <w:tr w14:paraId="3E4E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63" w:type="dxa"/>
            <w:tcBorders>
              <w:top w:val="single" w:color="auto" w:sz="4" w:space="0"/>
              <w:left w:val="single" w:color="auto" w:sz="4" w:space="0"/>
              <w:bottom w:val="single" w:color="auto" w:sz="4" w:space="0"/>
              <w:right w:val="single" w:color="auto" w:sz="4" w:space="0"/>
            </w:tcBorders>
            <w:noWrap w:val="0"/>
            <w:vAlign w:val="center"/>
          </w:tcPr>
          <w:p w14:paraId="27ADD5FD">
            <w:pPr>
              <w:spacing w:line="48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法定代表人</w:t>
            </w:r>
          </w:p>
        </w:tc>
        <w:tc>
          <w:tcPr>
            <w:tcW w:w="3648" w:type="dxa"/>
            <w:tcBorders>
              <w:top w:val="single" w:color="auto" w:sz="4" w:space="0"/>
              <w:left w:val="single" w:color="auto" w:sz="4" w:space="0"/>
              <w:bottom w:val="single" w:color="auto" w:sz="4" w:space="0"/>
              <w:right w:val="single" w:color="auto" w:sz="4" w:space="0"/>
            </w:tcBorders>
            <w:noWrap w:val="0"/>
            <w:vAlign w:val="center"/>
          </w:tcPr>
          <w:p w14:paraId="6CD3D67B">
            <w:pPr>
              <w:spacing w:line="480" w:lineRule="exact"/>
              <w:jc w:val="center"/>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lang w:eastAsia="zh-CN"/>
              </w:rPr>
              <w:t>沈</w:t>
            </w:r>
            <w:r>
              <w:rPr>
                <w:rFonts w:hint="eastAsia" w:ascii="宋体" w:hAnsi="宋体" w:eastAsia="宋体" w:cs="宋体"/>
                <w:b w:val="0"/>
                <w:bCs w:val="0"/>
                <w:sz w:val="28"/>
                <w:szCs w:val="28"/>
                <w:lang w:val="en-US" w:eastAsia="zh-CN"/>
              </w:rPr>
              <w:t xml:space="preserve">  锋</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67A4A194">
            <w:pPr>
              <w:spacing w:line="48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法定代表人</w:t>
            </w:r>
          </w:p>
        </w:tc>
        <w:tc>
          <w:tcPr>
            <w:tcW w:w="2939" w:type="dxa"/>
            <w:tcBorders>
              <w:top w:val="single" w:color="auto" w:sz="4" w:space="0"/>
              <w:left w:val="single" w:color="auto" w:sz="4" w:space="0"/>
              <w:bottom w:val="single" w:color="auto" w:sz="4" w:space="0"/>
              <w:right w:val="single" w:color="auto" w:sz="4" w:space="0"/>
            </w:tcBorders>
            <w:noWrap w:val="0"/>
            <w:vAlign w:val="center"/>
          </w:tcPr>
          <w:p w14:paraId="022EF48E">
            <w:pPr>
              <w:spacing w:line="480" w:lineRule="exact"/>
              <w:jc w:val="center"/>
              <w:rPr>
                <w:rFonts w:hint="eastAsia" w:ascii="宋体" w:hAnsi="宋体" w:eastAsia="宋体" w:cs="宋体"/>
                <w:b w:val="0"/>
                <w:bCs w:val="0"/>
                <w:sz w:val="28"/>
                <w:szCs w:val="28"/>
              </w:rPr>
            </w:pPr>
          </w:p>
        </w:tc>
      </w:tr>
      <w:tr w14:paraId="33B5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863" w:type="dxa"/>
            <w:tcBorders>
              <w:top w:val="single" w:color="auto" w:sz="4" w:space="0"/>
              <w:left w:val="single" w:color="auto" w:sz="4" w:space="0"/>
              <w:bottom w:val="single" w:color="auto" w:sz="4" w:space="0"/>
              <w:right w:val="single" w:color="auto" w:sz="4" w:space="0"/>
            </w:tcBorders>
            <w:noWrap w:val="0"/>
            <w:vAlign w:val="center"/>
          </w:tcPr>
          <w:p w14:paraId="34B74AEA">
            <w:pPr>
              <w:spacing w:line="48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委托代理人</w:t>
            </w:r>
          </w:p>
        </w:tc>
        <w:tc>
          <w:tcPr>
            <w:tcW w:w="3648" w:type="dxa"/>
            <w:tcBorders>
              <w:top w:val="single" w:color="auto" w:sz="4" w:space="0"/>
              <w:left w:val="single" w:color="auto" w:sz="4" w:space="0"/>
              <w:bottom w:val="single" w:color="auto" w:sz="4" w:space="0"/>
              <w:right w:val="single" w:color="auto" w:sz="4" w:space="0"/>
            </w:tcBorders>
            <w:noWrap w:val="0"/>
            <w:vAlign w:val="center"/>
          </w:tcPr>
          <w:p w14:paraId="656F9341">
            <w:pPr>
              <w:spacing w:line="480" w:lineRule="exact"/>
              <w:rPr>
                <w:rFonts w:hint="eastAsia" w:ascii="宋体" w:hAnsi="宋体" w:eastAsia="宋体" w:cs="宋体"/>
                <w:b w:val="0"/>
                <w:bCs w:val="0"/>
                <w:sz w:val="28"/>
                <w:szCs w:val="28"/>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6609153C">
            <w:pPr>
              <w:spacing w:line="48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委托代理人</w:t>
            </w:r>
          </w:p>
        </w:tc>
        <w:tc>
          <w:tcPr>
            <w:tcW w:w="2939" w:type="dxa"/>
            <w:tcBorders>
              <w:top w:val="single" w:color="auto" w:sz="4" w:space="0"/>
              <w:left w:val="single" w:color="auto" w:sz="4" w:space="0"/>
              <w:bottom w:val="single" w:color="auto" w:sz="4" w:space="0"/>
              <w:right w:val="single" w:color="auto" w:sz="4" w:space="0"/>
            </w:tcBorders>
            <w:noWrap w:val="0"/>
            <w:vAlign w:val="center"/>
          </w:tcPr>
          <w:p w14:paraId="18D0F26C">
            <w:pPr>
              <w:spacing w:line="480" w:lineRule="exact"/>
              <w:jc w:val="center"/>
              <w:rPr>
                <w:rFonts w:hint="eastAsia" w:ascii="宋体" w:hAnsi="宋体" w:eastAsia="宋体" w:cs="宋体"/>
                <w:b w:val="0"/>
                <w:bCs w:val="0"/>
                <w:sz w:val="28"/>
                <w:szCs w:val="28"/>
              </w:rPr>
            </w:pPr>
          </w:p>
        </w:tc>
      </w:tr>
      <w:tr w14:paraId="57DF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863" w:type="dxa"/>
            <w:tcBorders>
              <w:top w:val="single" w:color="auto" w:sz="4" w:space="0"/>
              <w:left w:val="single" w:color="auto" w:sz="4" w:space="0"/>
              <w:bottom w:val="single" w:color="auto" w:sz="4" w:space="0"/>
              <w:right w:val="single" w:color="auto" w:sz="4" w:space="0"/>
            </w:tcBorders>
            <w:noWrap w:val="0"/>
            <w:vAlign w:val="center"/>
          </w:tcPr>
          <w:p w14:paraId="7AE0EA6E">
            <w:pPr>
              <w:spacing w:line="48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电子邮箱</w:t>
            </w:r>
          </w:p>
        </w:tc>
        <w:tc>
          <w:tcPr>
            <w:tcW w:w="3648" w:type="dxa"/>
            <w:tcBorders>
              <w:top w:val="single" w:color="auto" w:sz="4" w:space="0"/>
              <w:left w:val="single" w:color="auto" w:sz="4" w:space="0"/>
              <w:bottom w:val="single" w:color="auto" w:sz="4" w:space="0"/>
              <w:right w:val="single" w:color="auto" w:sz="4" w:space="0"/>
            </w:tcBorders>
            <w:noWrap w:val="0"/>
            <w:vAlign w:val="center"/>
          </w:tcPr>
          <w:p w14:paraId="583B2BBB">
            <w:pPr>
              <w:spacing w:line="480" w:lineRule="exact"/>
              <w:jc w:val="center"/>
              <w:rPr>
                <w:rFonts w:hint="eastAsia" w:ascii="宋体" w:hAnsi="宋体" w:eastAsia="宋体" w:cs="宋体"/>
                <w:b w:val="0"/>
                <w:bCs w:val="0"/>
                <w:sz w:val="28"/>
                <w:szCs w:val="28"/>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8C8456E">
            <w:pPr>
              <w:spacing w:line="48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电子邮箱</w:t>
            </w:r>
          </w:p>
        </w:tc>
        <w:tc>
          <w:tcPr>
            <w:tcW w:w="2939" w:type="dxa"/>
            <w:tcBorders>
              <w:top w:val="single" w:color="auto" w:sz="4" w:space="0"/>
              <w:left w:val="single" w:color="auto" w:sz="4" w:space="0"/>
              <w:bottom w:val="single" w:color="auto" w:sz="4" w:space="0"/>
              <w:right w:val="single" w:color="auto" w:sz="4" w:space="0"/>
            </w:tcBorders>
            <w:noWrap w:val="0"/>
            <w:vAlign w:val="center"/>
          </w:tcPr>
          <w:p w14:paraId="2A10CEE2">
            <w:pPr>
              <w:spacing w:line="480" w:lineRule="exact"/>
              <w:jc w:val="center"/>
              <w:rPr>
                <w:rFonts w:hint="eastAsia" w:ascii="宋体" w:hAnsi="宋体" w:eastAsia="宋体" w:cs="宋体"/>
                <w:b w:val="0"/>
                <w:bCs w:val="0"/>
                <w:sz w:val="28"/>
                <w:szCs w:val="28"/>
              </w:rPr>
            </w:pPr>
          </w:p>
        </w:tc>
      </w:tr>
      <w:tr w14:paraId="13AA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863" w:type="dxa"/>
            <w:tcBorders>
              <w:top w:val="single" w:color="auto" w:sz="4" w:space="0"/>
              <w:left w:val="single" w:color="auto" w:sz="4" w:space="0"/>
              <w:bottom w:val="single" w:color="auto" w:sz="4" w:space="0"/>
              <w:right w:val="single" w:color="auto" w:sz="4" w:space="0"/>
            </w:tcBorders>
            <w:noWrap w:val="0"/>
            <w:vAlign w:val="center"/>
          </w:tcPr>
          <w:p w14:paraId="37751C72">
            <w:pPr>
              <w:spacing w:line="48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电话</w:t>
            </w:r>
          </w:p>
        </w:tc>
        <w:tc>
          <w:tcPr>
            <w:tcW w:w="3648" w:type="dxa"/>
            <w:tcBorders>
              <w:top w:val="single" w:color="auto" w:sz="4" w:space="0"/>
              <w:left w:val="single" w:color="auto" w:sz="4" w:space="0"/>
              <w:bottom w:val="single" w:color="auto" w:sz="4" w:space="0"/>
              <w:right w:val="single" w:color="auto" w:sz="4" w:space="0"/>
            </w:tcBorders>
            <w:noWrap w:val="0"/>
            <w:vAlign w:val="center"/>
          </w:tcPr>
          <w:p w14:paraId="33C65560">
            <w:pPr>
              <w:spacing w:line="48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1168FAF1">
            <w:pPr>
              <w:spacing w:line="48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电话</w:t>
            </w:r>
          </w:p>
        </w:tc>
        <w:tc>
          <w:tcPr>
            <w:tcW w:w="2939" w:type="dxa"/>
            <w:tcBorders>
              <w:top w:val="single" w:color="auto" w:sz="4" w:space="0"/>
              <w:left w:val="single" w:color="auto" w:sz="4" w:space="0"/>
              <w:bottom w:val="single" w:color="auto" w:sz="4" w:space="0"/>
              <w:right w:val="single" w:color="auto" w:sz="4" w:space="0"/>
            </w:tcBorders>
            <w:noWrap w:val="0"/>
            <w:vAlign w:val="center"/>
          </w:tcPr>
          <w:p w14:paraId="743B5214">
            <w:pPr>
              <w:spacing w:line="480" w:lineRule="exact"/>
              <w:jc w:val="center"/>
              <w:rPr>
                <w:rFonts w:hint="eastAsia" w:ascii="宋体" w:hAnsi="宋体" w:eastAsia="宋体" w:cs="宋体"/>
                <w:b w:val="0"/>
                <w:bCs w:val="0"/>
                <w:sz w:val="28"/>
                <w:szCs w:val="28"/>
              </w:rPr>
            </w:pPr>
          </w:p>
        </w:tc>
      </w:tr>
      <w:tr w14:paraId="368E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863" w:type="dxa"/>
            <w:tcBorders>
              <w:top w:val="single" w:color="auto" w:sz="4" w:space="0"/>
              <w:left w:val="single" w:color="auto" w:sz="4" w:space="0"/>
              <w:bottom w:val="single" w:color="auto" w:sz="4" w:space="0"/>
              <w:right w:val="single" w:color="auto" w:sz="4" w:space="0"/>
            </w:tcBorders>
            <w:noWrap w:val="0"/>
            <w:vAlign w:val="center"/>
          </w:tcPr>
          <w:p w14:paraId="45EDC1BA">
            <w:pPr>
              <w:spacing w:line="48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税务登记号</w:t>
            </w:r>
          </w:p>
        </w:tc>
        <w:tc>
          <w:tcPr>
            <w:tcW w:w="3648" w:type="dxa"/>
            <w:tcBorders>
              <w:top w:val="single" w:color="auto" w:sz="4" w:space="0"/>
              <w:left w:val="single" w:color="auto" w:sz="4" w:space="0"/>
              <w:bottom w:val="single" w:color="auto" w:sz="4" w:space="0"/>
              <w:right w:val="single" w:color="auto" w:sz="4" w:space="0"/>
            </w:tcBorders>
            <w:noWrap w:val="0"/>
            <w:vAlign w:val="center"/>
          </w:tcPr>
          <w:p w14:paraId="2E225130">
            <w:pPr>
              <w:spacing w:line="480" w:lineRule="exact"/>
              <w:jc w:val="center"/>
              <w:rPr>
                <w:rFonts w:hint="eastAsia" w:ascii="宋体" w:hAnsi="宋体" w:eastAsia="宋体" w:cs="宋体"/>
                <w:b w:val="0"/>
                <w:bCs w:val="0"/>
                <w:sz w:val="28"/>
                <w:szCs w:val="28"/>
              </w:rPr>
            </w:pPr>
            <w:r>
              <w:rPr>
                <w:rFonts w:hint="eastAsia" w:ascii="宋体" w:hAnsi="宋体" w:eastAsia="宋体" w:cs="宋体"/>
                <w:b w:val="0"/>
                <w:bCs/>
                <w:sz w:val="28"/>
                <w:szCs w:val="28"/>
              </w:rPr>
              <w:t>91350901696609884P</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AF6956F">
            <w:pPr>
              <w:spacing w:line="48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税务登记号</w:t>
            </w:r>
          </w:p>
        </w:tc>
        <w:tc>
          <w:tcPr>
            <w:tcW w:w="2939" w:type="dxa"/>
            <w:tcBorders>
              <w:top w:val="single" w:color="auto" w:sz="4" w:space="0"/>
              <w:left w:val="single" w:color="auto" w:sz="4" w:space="0"/>
              <w:bottom w:val="single" w:color="auto" w:sz="4" w:space="0"/>
              <w:right w:val="single" w:color="auto" w:sz="4" w:space="0"/>
            </w:tcBorders>
            <w:noWrap w:val="0"/>
            <w:vAlign w:val="center"/>
          </w:tcPr>
          <w:p w14:paraId="6E0144FC">
            <w:pPr>
              <w:spacing w:line="480" w:lineRule="exact"/>
              <w:jc w:val="center"/>
              <w:rPr>
                <w:rFonts w:hint="eastAsia" w:ascii="宋体" w:hAnsi="宋体" w:eastAsia="宋体" w:cs="宋体"/>
                <w:b w:val="0"/>
                <w:bCs w:val="0"/>
                <w:sz w:val="28"/>
                <w:szCs w:val="28"/>
              </w:rPr>
            </w:pPr>
          </w:p>
        </w:tc>
      </w:tr>
      <w:tr w14:paraId="297C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863" w:type="dxa"/>
            <w:tcBorders>
              <w:top w:val="single" w:color="auto" w:sz="4" w:space="0"/>
              <w:left w:val="single" w:color="auto" w:sz="4" w:space="0"/>
              <w:bottom w:val="single" w:color="auto" w:sz="4" w:space="0"/>
              <w:right w:val="single" w:color="auto" w:sz="4" w:space="0"/>
            </w:tcBorders>
            <w:noWrap w:val="0"/>
            <w:vAlign w:val="center"/>
          </w:tcPr>
          <w:p w14:paraId="7C614363">
            <w:pPr>
              <w:spacing w:line="48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开户银行</w:t>
            </w:r>
          </w:p>
        </w:tc>
        <w:tc>
          <w:tcPr>
            <w:tcW w:w="3648" w:type="dxa"/>
            <w:tcBorders>
              <w:top w:val="single" w:color="auto" w:sz="4" w:space="0"/>
              <w:left w:val="single" w:color="auto" w:sz="4" w:space="0"/>
              <w:bottom w:val="single" w:color="auto" w:sz="4" w:space="0"/>
              <w:right w:val="single" w:color="auto" w:sz="4" w:space="0"/>
            </w:tcBorders>
            <w:noWrap w:val="0"/>
            <w:vAlign w:val="center"/>
          </w:tcPr>
          <w:p w14:paraId="1902EF3A">
            <w:pPr>
              <w:spacing w:line="480" w:lineRule="exact"/>
              <w:jc w:val="center"/>
              <w:rPr>
                <w:rFonts w:hint="eastAsia" w:ascii="宋体" w:hAnsi="宋体" w:eastAsia="宋体" w:cs="宋体"/>
                <w:b w:val="0"/>
                <w:bCs w:val="0"/>
                <w:sz w:val="28"/>
                <w:szCs w:val="28"/>
              </w:rPr>
            </w:pPr>
            <w:r>
              <w:rPr>
                <w:rFonts w:hint="eastAsia" w:ascii="宋体" w:hAnsi="宋体" w:eastAsia="宋体" w:cs="宋体"/>
                <w:b w:val="0"/>
                <w:bCs/>
                <w:sz w:val="28"/>
                <w:szCs w:val="28"/>
                <w:lang w:eastAsia="zh-CN"/>
              </w:rPr>
              <w:t>交通银行股份有限公司宁德分行</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5D9F71B">
            <w:pPr>
              <w:spacing w:line="48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开户银行</w:t>
            </w:r>
          </w:p>
        </w:tc>
        <w:tc>
          <w:tcPr>
            <w:tcW w:w="2939" w:type="dxa"/>
            <w:tcBorders>
              <w:top w:val="single" w:color="auto" w:sz="4" w:space="0"/>
              <w:left w:val="single" w:color="auto" w:sz="4" w:space="0"/>
              <w:bottom w:val="single" w:color="auto" w:sz="4" w:space="0"/>
              <w:right w:val="single" w:color="auto" w:sz="4" w:space="0"/>
            </w:tcBorders>
            <w:noWrap w:val="0"/>
            <w:vAlign w:val="center"/>
          </w:tcPr>
          <w:p w14:paraId="72477DB1">
            <w:pPr>
              <w:spacing w:line="480" w:lineRule="exact"/>
              <w:rPr>
                <w:rFonts w:hint="eastAsia" w:ascii="宋体" w:hAnsi="宋体" w:eastAsia="宋体" w:cs="宋体"/>
                <w:b w:val="0"/>
                <w:bCs w:val="0"/>
                <w:sz w:val="28"/>
                <w:szCs w:val="28"/>
              </w:rPr>
            </w:pPr>
          </w:p>
        </w:tc>
      </w:tr>
      <w:tr w14:paraId="34F6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863" w:type="dxa"/>
            <w:tcBorders>
              <w:top w:val="single" w:color="auto" w:sz="4" w:space="0"/>
              <w:left w:val="single" w:color="auto" w:sz="4" w:space="0"/>
              <w:bottom w:val="single" w:color="auto" w:sz="4" w:space="0"/>
              <w:right w:val="single" w:color="auto" w:sz="4" w:space="0"/>
            </w:tcBorders>
            <w:noWrap w:val="0"/>
            <w:vAlign w:val="center"/>
          </w:tcPr>
          <w:p w14:paraId="5846E3F8">
            <w:pPr>
              <w:spacing w:line="48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t>账号</w:t>
            </w:r>
          </w:p>
        </w:tc>
        <w:tc>
          <w:tcPr>
            <w:tcW w:w="3648" w:type="dxa"/>
            <w:tcBorders>
              <w:top w:val="single" w:color="auto" w:sz="4" w:space="0"/>
              <w:left w:val="single" w:color="auto" w:sz="4" w:space="0"/>
              <w:bottom w:val="single" w:color="auto" w:sz="4" w:space="0"/>
              <w:right w:val="single" w:color="auto" w:sz="4" w:space="0"/>
            </w:tcBorders>
            <w:noWrap w:val="0"/>
            <w:vAlign w:val="center"/>
          </w:tcPr>
          <w:p w14:paraId="26BF0687">
            <w:pPr>
              <w:spacing w:line="480" w:lineRule="exact"/>
              <w:jc w:val="center"/>
              <w:rPr>
                <w:rFonts w:hint="eastAsia" w:ascii="宋体" w:hAnsi="宋体" w:eastAsia="宋体" w:cs="宋体"/>
                <w:b w:val="0"/>
                <w:bCs w:val="0"/>
                <w:sz w:val="28"/>
                <w:szCs w:val="28"/>
              </w:rPr>
            </w:pPr>
            <w:r>
              <w:rPr>
                <w:rFonts w:hint="eastAsia" w:ascii="宋体" w:hAnsi="宋体" w:eastAsia="宋体" w:cs="宋体"/>
                <w:b w:val="0"/>
                <w:bCs/>
                <w:sz w:val="28"/>
                <w:szCs w:val="28"/>
              </w:rPr>
              <w:t>351008220018010056550</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6C7F2DF3">
            <w:pPr>
              <w:spacing w:line="48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t>账号</w:t>
            </w:r>
          </w:p>
        </w:tc>
        <w:tc>
          <w:tcPr>
            <w:tcW w:w="2939" w:type="dxa"/>
            <w:tcBorders>
              <w:top w:val="single" w:color="auto" w:sz="4" w:space="0"/>
              <w:left w:val="single" w:color="auto" w:sz="4" w:space="0"/>
              <w:bottom w:val="single" w:color="auto" w:sz="4" w:space="0"/>
              <w:right w:val="single" w:color="auto" w:sz="4" w:space="0"/>
            </w:tcBorders>
            <w:noWrap w:val="0"/>
            <w:vAlign w:val="center"/>
          </w:tcPr>
          <w:p w14:paraId="22C8D90B">
            <w:pPr>
              <w:spacing w:line="480" w:lineRule="exact"/>
              <w:rPr>
                <w:rFonts w:hint="eastAsia" w:ascii="宋体" w:hAnsi="宋体" w:eastAsia="宋体" w:cs="宋体"/>
                <w:b w:val="0"/>
                <w:bCs w:val="0"/>
                <w:sz w:val="28"/>
                <w:szCs w:val="28"/>
              </w:rPr>
            </w:pPr>
          </w:p>
        </w:tc>
      </w:tr>
      <w:tr w14:paraId="6EAF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863" w:type="dxa"/>
            <w:tcBorders>
              <w:top w:val="single" w:color="auto" w:sz="4" w:space="0"/>
              <w:left w:val="single" w:color="auto" w:sz="4" w:space="0"/>
              <w:bottom w:val="single" w:color="auto" w:sz="4" w:space="0"/>
              <w:right w:val="single" w:color="auto" w:sz="4" w:space="0"/>
            </w:tcBorders>
            <w:noWrap w:val="0"/>
            <w:vAlign w:val="center"/>
          </w:tcPr>
          <w:p w14:paraId="46B1250E">
            <w:pPr>
              <w:spacing w:line="48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邮政编码</w:t>
            </w:r>
          </w:p>
        </w:tc>
        <w:tc>
          <w:tcPr>
            <w:tcW w:w="3648" w:type="dxa"/>
            <w:tcBorders>
              <w:top w:val="single" w:color="auto" w:sz="4" w:space="0"/>
              <w:left w:val="single" w:color="auto" w:sz="4" w:space="0"/>
              <w:bottom w:val="single" w:color="auto" w:sz="4" w:space="0"/>
              <w:right w:val="single" w:color="auto" w:sz="4" w:space="0"/>
            </w:tcBorders>
            <w:noWrap w:val="0"/>
            <w:vAlign w:val="center"/>
          </w:tcPr>
          <w:p w14:paraId="5B8CEC87">
            <w:pPr>
              <w:spacing w:line="48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352100</w:t>
            </w:r>
            <w:r>
              <w:rPr>
                <w:rFonts w:hint="eastAsia" w:ascii="宋体" w:hAnsi="宋体" w:eastAsia="宋体" w:cs="宋体"/>
                <w:b w:val="0"/>
                <w:bCs w:val="0"/>
                <w:sz w:val="28"/>
                <w:szCs w:val="28"/>
              </w:rPr>
              <w:t xml:space="preserve"> </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52D8FA0C">
            <w:pPr>
              <w:spacing w:line="480" w:lineRule="exac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邮政编码</w:t>
            </w:r>
          </w:p>
        </w:tc>
        <w:tc>
          <w:tcPr>
            <w:tcW w:w="2939" w:type="dxa"/>
            <w:tcBorders>
              <w:top w:val="single" w:color="auto" w:sz="4" w:space="0"/>
              <w:left w:val="single" w:color="auto" w:sz="4" w:space="0"/>
              <w:bottom w:val="single" w:color="auto" w:sz="4" w:space="0"/>
              <w:right w:val="single" w:color="auto" w:sz="4" w:space="0"/>
            </w:tcBorders>
            <w:noWrap w:val="0"/>
            <w:vAlign w:val="center"/>
          </w:tcPr>
          <w:p w14:paraId="49B49F6A">
            <w:pPr>
              <w:spacing w:line="480" w:lineRule="exact"/>
              <w:jc w:val="center"/>
              <w:rPr>
                <w:rFonts w:hint="eastAsia" w:ascii="宋体" w:hAnsi="宋体" w:eastAsia="宋体" w:cs="宋体"/>
                <w:b w:val="0"/>
                <w:bCs w:val="0"/>
                <w:sz w:val="28"/>
                <w:szCs w:val="28"/>
              </w:rPr>
            </w:pPr>
          </w:p>
        </w:tc>
      </w:tr>
    </w:tbl>
    <w:p w14:paraId="315F2B8E">
      <w:pPr>
        <w:spacing w:line="480" w:lineRule="exact"/>
        <w:rPr>
          <w:rFonts w:hint="eastAsia" w:ascii="宋体" w:hAnsi="宋体" w:eastAsia="宋体" w:cs="宋体"/>
        </w:rPr>
      </w:pPr>
    </w:p>
    <w:p w14:paraId="2EA35E52">
      <w:pPr>
        <w:rPr>
          <w:rFonts w:hint="eastAsia" w:ascii="宋体" w:hAnsi="宋体" w:eastAsia="宋体" w:cs="宋体"/>
        </w:rPr>
      </w:pPr>
    </w:p>
    <w:p w14:paraId="750D7D47">
      <w:pPr>
        <w:jc w:val="both"/>
        <w:rPr>
          <w:rFonts w:hint="eastAsia" w:ascii="宋体" w:hAnsi="宋体" w:eastAsia="宋体" w:cs="宋体"/>
          <w:b/>
          <w:bCs/>
          <w:sz w:val="32"/>
          <w:szCs w:val="32"/>
        </w:rPr>
      </w:pPr>
    </w:p>
    <w:p w14:paraId="0AEFEB78">
      <w:pPr>
        <w:spacing w:line="520" w:lineRule="exact"/>
        <w:rPr>
          <w:rFonts w:hint="eastAsia" w:ascii="宋体" w:hAnsi="宋体" w:cs="宋体"/>
          <w:sz w:val="24"/>
        </w:rPr>
      </w:pPr>
    </w:p>
    <w:p w14:paraId="145CF9AD">
      <w:pPr>
        <w:rPr>
          <w:rFonts w:hint="eastAsia" w:ascii="宋体" w:hAnsi="宋体" w:cs="宋体"/>
          <w:sz w:val="32"/>
          <w:szCs w:val="32"/>
        </w:rPr>
      </w:pPr>
    </w:p>
    <w:p w14:paraId="3EFC7C6F">
      <w:pPr>
        <w:pStyle w:val="2"/>
        <w:jc w:val="center"/>
        <w:rPr>
          <w:rFonts w:hint="eastAsia" w:ascii="宋体" w:hAnsi="宋体" w:cs="宋体"/>
          <w:sz w:val="32"/>
          <w:szCs w:val="32"/>
        </w:rPr>
      </w:pPr>
      <w:r>
        <w:rPr>
          <w:rFonts w:hint="eastAsia" w:ascii="宋体" w:hAnsi="宋体" w:cs="宋体"/>
          <w:sz w:val="32"/>
          <w:szCs w:val="32"/>
        </w:rPr>
        <w:t>第五部分 采购代理服务费承诺书</w:t>
      </w:r>
      <w:bookmarkEnd w:id="223"/>
      <w:bookmarkEnd w:id="224"/>
      <w:bookmarkEnd w:id="225"/>
    </w:p>
    <w:p w14:paraId="6E9FCC6D">
      <w:pPr>
        <w:spacing w:line="300" w:lineRule="auto"/>
        <w:jc w:val="center"/>
        <w:rPr>
          <w:rFonts w:hint="eastAsia" w:ascii="宋体" w:hAnsi="宋体" w:cs="宋体"/>
          <w:b/>
          <w:sz w:val="28"/>
          <w:szCs w:val="28"/>
        </w:rPr>
      </w:pPr>
      <w:r>
        <w:rPr>
          <w:rFonts w:hint="eastAsia" w:ascii="宋体" w:hAnsi="宋体" w:cs="宋体"/>
          <w:b/>
          <w:sz w:val="28"/>
          <w:szCs w:val="28"/>
        </w:rPr>
        <w:t>采购代理服务费承诺书</w:t>
      </w:r>
    </w:p>
    <w:p w14:paraId="0372557B">
      <w:pPr>
        <w:autoSpaceDE w:val="0"/>
        <w:autoSpaceDN w:val="0"/>
        <w:adjustRightInd w:val="0"/>
        <w:snapToGrid w:val="0"/>
        <w:spacing w:line="400" w:lineRule="exact"/>
        <w:jc w:val="left"/>
        <w:rPr>
          <w:rFonts w:hint="eastAsia" w:ascii="宋体" w:hAnsi="宋体" w:cs="宋体"/>
          <w:b/>
          <w:kern w:val="0"/>
          <w:szCs w:val="21"/>
        </w:rPr>
      </w:pPr>
      <w:r>
        <w:rPr>
          <w:rFonts w:hint="eastAsia" w:ascii="宋体" w:hAnsi="宋体" w:cs="宋体"/>
          <w:b/>
          <w:kern w:val="0"/>
          <w:szCs w:val="21"/>
        </w:rPr>
        <w:t>广东泽福管理咨询有限公司：</w:t>
      </w:r>
    </w:p>
    <w:p w14:paraId="5446081B">
      <w:pPr>
        <w:wordWrap w:val="0"/>
        <w:autoSpaceDE w:val="0"/>
        <w:autoSpaceDN w:val="0"/>
        <w:adjustRightInd w:val="0"/>
        <w:snapToGrid w:val="0"/>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本公司</w:t>
      </w:r>
      <w:r>
        <w:rPr>
          <w:rFonts w:hint="eastAsia" w:ascii="宋体" w:hAnsi="宋体" w:cs="宋体"/>
          <w:kern w:val="0"/>
          <w:szCs w:val="21"/>
          <w:u w:val="single"/>
        </w:rPr>
        <w:t xml:space="preserve">  (供应商名称)  </w:t>
      </w:r>
      <w:r>
        <w:rPr>
          <w:rFonts w:hint="eastAsia" w:ascii="宋体" w:hAnsi="宋体" w:cs="宋体"/>
          <w:kern w:val="0"/>
          <w:szCs w:val="21"/>
        </w:rPr>
        <w:t>在参加贵公司举行的</w:t>
      </w:r>
      <w:r>
        <w:rPr>
          <w:rFonts w:hint="eastAsia" w:ascii="宋体" w:hAnsi="宋体" w:cs="宋体"/>
          <w:kern w:val="0"/>
          <w:szCs w:val="21"/>
          <w:u w:val="single"/>
          <w:lang w:eastAsia="zh-CN"/>
        </w:rPr>
        <w:t>宁德漳湾垃圾焚烧发电有限公司国网电力通信设备及调度设备改造服务项目</w:t>
      </w:r>
      <w:r>
        <w:rPr>
          <w:rFonts w:hint="eastAsia" w:ascii="宋体" w:hAnsi="宋体" w:cs="宋体"/>
          <w:kern w:val="0"/>
          <w:szCs w:val="21"/>
        </w:rPr>
        <w:t>（项目编号：</w:t>
      </w:r>
      <w:r>
        <w:rPr>
          <w:rFonts w:hint="eastAsia" w:ascii="宋体" w:hAnsi="宋体" w:cs="宋体"/>
          <w:szCs w:val="21"/>
          <w:u w:val="single"/>
          <w:lang w:eastAsia="zh-CN"/>
        </w:rPr>
        <w:t>GDZF-QYHJJ-2025-2611630</w:t>
      </w:r>
      <w:r>
        <w:rPr>
          <w:rFonts w:hint="eastAsia" w:ascii="宋体" w:hAnsi="宋体" w:cs="宋体"/>
          <w:szCs w:val="21"/>
          <w:u w:val="single"/>
        </w:rPr>
        <w:t xml:space="preserve"> </w:t>
      </w:r>
      <w:r>
        <w:rPr>
          <w:rFonts w:hint="eastAsia" w:ascii="宋体" w:hAnsi="宋体" w:cs="宋体"/>
          <w:kern w:val="0"/>
          <w:szCs w:val="21"/>
        </w:rPr>
        <w:t>）的竞价项目中如获成交，我公司保证在贵公司发出《成交通知书》后的5个自然日内按照竞价文件的规定缴纳“采购代理服务费”。如采用电汇或银行转账，我公司将同时递交代理服务费缴费凭证复印件并加盖公章。</w:t>
      </w:r>
    </w:p>
    <w:p w14:paraId="1DB1C509">
      <w:pPr>
        <w:autoSpaceDE w:val="0"/>
        <w:autoSpaceDN w:val="0"/>
        <w:adjustRightInd w:val="0"/>
        <w:snapToGrid w:val="0"/>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如我公司违反上述承诺，愿凭贵公司开出的相关通知，同意广东泽福管理咨询有限公司办理支付手续，扣除我公司提交的全部竞价保证金，并愿承担由此引起的一切法律责任。</w:t>
      </w:r>
    </w:p>
    <w:p w14:paraId="47E099D9">
      <w:pPr>
        <w:autoSpaceDE w:val="0"/>
        <w:autoSpaceDN w:val="0"/>
        <w:adjustRightInd w:val="0"/>
        <w:snapToGrid w:val="0"/>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特此承诺!</w:t>
      </w:r>
    </w:p>
    <w:p w14:paraId="0E7B00C9">
      <w:pPr>
        <w:autoSpaceDE w:val="0"/>
        <w:autoSpaceDN w:val="0"/>
        <w:adjustRightInd w:val="0"/>
        <w:spacing w:line="400" w:lineRule="exact"/>
        <w:jc w:val="center"/>
        <w:rPr>
          <w:rFonts w:hint="eastAsia" w:ascii="宋体" w:hAnsi="宋体" w:cs="宋体"/>
          <w:kern w:val="0"/>
          <w:szCs w:val="21"/>
        </w:rPr>
      </w:pPr>
      <w:r>
        <w:rPr>
          <w:rFonts w:hint="eastAsia" w:ascii="宋体" w:hAnsi="宋体" w:cs="宋体"/>
          <w:b/>
          <w:kern w:val="0"/>
          <w:szCs w:val="21"/>
        </w:rPr>
        <w:t>代理服务费的缴费账号</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7719"/>
      </w:tblGrid>
      <w:tr w14:paraId="5E32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395" w:type="dxa"/>
            <w:tcBorders>
              <w:top w:val="single" w:color="auto" w:sz="12" w:space="0"/>
              <w:left w:val="single" w:color="auto" w:sz="12" w:space="0"/>
            </w:tcBorders>
            <w:vAlign w:val="center"/>
          </w:tcPr>
          <w:p w14:paraId="1FD9E887">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缴纳方式</w:t>
            </w:r>
          </w:p>
        </w:tc>
        <w:tc>
          <w:tcPr>
            <w:tcW w:w="7719" w:type="dxa"/>
            <w:tcBorders>
              <w:top w:val="single" w:color="auto" w:sz="12" w:space="0"/>
              <w:right w:val="single" w:color="auto" w:sz="12" w:space="0"/>
            </w:tcBorders>
            <w:vAlign w:val="center"/>
          </w:tcPr>
          <w:p w14:paraId="05BA3DCA">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一次性以支票、汇票、电汇的形式支付</w:t>
            </w:r>
          </w:p>
          <w:p w14:paraId="54E13171">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（注：采用汇款方式付款，汇款单位必须以响应单位的对公账户支付）</w:t>
            </w:r>
          </w:p>
        </w:tc>
      </w:tr>
      <w:tr w14:paraId="2CEF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395" w:type="dxa"/>
            <w:tcBorders>
              <w:left w:val="single" w:color="auto" w:sz="12" w:space="0"/>
            </w:tcBorders>
            <w:vAlign w:val="center"/>
          </w:tcPr>
          <w:p w14:paraId="58F197DD">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收款人名称</w:t>
            </w:r>
          </w:p>
        </w:tc>
        <w:tc>
          <w:tcPr>
            <w:tcW w:w="7719" w:type="dxa"/>
            <w:tcBorders>
              <w:right w:val="single" w:color="auto" w:sz="12" w:space="0"/>
            </w:tcBorders>
            <w:vAlign w:val="center"/>
          </w:tcPr>
          <w:p w14:paraId="475BEF13">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广东泽福管理咨询有限公司</w:t>
            </w:r>
          </w:p>
        </w:tc>
      </w:tr>
      <w:tr w14:paraId="7097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95" w:type="dxa"/>
            <w:tcBorders>
              <w:left w:val="single" w:color="auto" w:sz="12" w:space="0"/>
            </w:tcBorders>
            <w:vAlign w:val="center"/>
          </w:tcPr>
          <w:p w14:paraId="79443A37">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开户银行</w:t>
            </w:r>
          </w:p>
        </w:tc>
        <w:tc>
          <w:tcPr>
            <w:tcW w:w="7719" w:type="dxa"/>
            <w:tcBorders>
              <w:right w:val="single" w:color="auto" w:sz="12" w:space="0"/>
            </w:tcBorders>
            <w:vAlign w:val="center"/>
          </w:tcPr>
          <w:p w14:paraId="497A36DB">
            <w:pPr>
              <w:autoSpaceDE w:val="0"/>
              <w:autoSpaceDN w:val="0"/>
              <w:adjustRightInd w:val="0"/>
              <w:spacing w:line="400" w:lineRule="exact"/>
              <w:jc w:val="center"/>
              <w:rPr>
                <w:rFonts w:hint="eastAsia" w:ascii="宋体" w:hAnsi="宋体" w:cs="宋体"/>
                <w:kern w:val="0"/>
                <w:szCs w:val="21"/>
              </w:rPr>
            </w:pPr>
            <w:r>
              <w:rPr>
                <w:rFonts w:hint="eastAsia" w:ascii="宋体" w:hAnsi="宋体"/>
                <w:szCs w:val="21"/>
              </w:rPr>
              <w:t>兴业银行股份有限公司广州天河北支行</w:t>
            </w:r>
          </w:p>
        </w:tc>
      </w:tr>
      <w:tr w14:paraId="1BC2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95" w:type="dxa"/>
            <w:tcBorders>
              <w:left w:val="single" w:color="auto" w:sz="12" w:space="0"/>
              <w:bottom w:val="single" w:color="auto" w:sz="12" w:space="0"/>
            </w:tcBorders>
            <w:vAlign w:val="center"/>
          </w:tcPr>
          <w:p w14:paraId="792C4599">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账    号</w:t>
            </w:r>
          </w:p>
        </w:tc>
        <w:tc>
          <w:tcPr>
            <w:tcW w:w="7719" w:type="dxa"/>
            <w:tcBorders>
              <w:bottom w:val="single" w:color="auto" w:sz="12" w:space="0"/>
              <w:right w:val="single" w:color="auto" w:sz="12" w:space="0"/>
            </w:tcBorders>
            <w:vAlign w:val="center"/>
          </w:tcPr>
          <w:p w14:paraId="327709E0">
            <w:pPr>
              <w:autoSpaceDE w:val="0"/>
              <w:autoSpaceDN w:val="0"/>
              <w:adjustRightInd w:val="0"/>
              <w:spacing w:line="400" w:lineRule="exact"/>
              <w:jc w:val="center"/>
              <w:rPr>
                <w:rFonts w:hint="eastAsia" w:ascii="宋体" w:hAnsi="宋体" w:cs="宋体"/>
                <w:kern w:val="0"/>
                <w:szCs w:val="21"/>
              </w:rPr>
            </w:pPr>
            <w:r>
              <w:rPr>
                <w:rFonts w:hint="eastAsia" w:ascii="宋体" w:hAnsi="宋体"/>
                <w:szCs w:val="21"/>
              </w:rPr>
              <w:t>391040100100339356</w:t>
            </w:r>
          </w:p>
        </w:tc>
      </w:tr>
    </w:tbl>
    <w:p w14:paraId="074CEB01">
      <w:pPr>
        <w:spacing w:line="360" w:lineRule="auto"/>
        <w:rPr>
          <w:rFonts w:hint="eastAsia" w:ascii="宋体" w:hAnsi="宋体" w:cs="宋体"/>
        </w:rPr>
      </w:pPr>
      <w:r>
        <w:rPr>
          <w:rFonts w:hint="eastAsia"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12065</wp:posOffset>
                </wp:positionH>
                <wp:positionV relativeFrom="paragraph">
                  <wp:posOffset>238760</wp:posOffset>
                </wp:positionV>
                <wp:extent cx="6164580" cy="0"/>
                <wp:effectExtent l="0" t="4445" r="7620" b="5080"/>
                <wp:wrapNone/>
                <wp:docPr id="865221396"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6164580" cy="0"/>
                        </a:xfrm>
                        <a:prstGeom prst="straightConnector1">
                          <a:avLst/>
                        </a:prstGeom>
                        <a:noFill/>
                        <a:ln w="9525">
                          <a:solidFill>
                            <a:srgbClr val="000000"/>
                          </a:solidFill>
                          <a:prstDash val="sysDot"/>
                          <a:round/>
                        </a:ln>
                      </wps:spPr>
                      <wps:bodyPr/>
                    </wps:wsp>
                  </a:graphicData>
                </a:graphic>
              </wp:anchor>
            </w:drawing>
          </mc:Choice>
          <mc:Fallback>
            <w:pict>
              <v:shape id="直接箭头连接符 1" o:spid="_x0000_s1026" o:spt="32" type="#_x0000_t32" style="position:absolute;left:0pt;margin-left:0.95pt;margin-top:18.8pt;height:0pt;width:485.4pt;z-index:251664384;mso-width-relative:page;mso-height-relative:page;" filled="f" stroked="t" coordsize="21600,21600" o:gfxdata="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vI78G0wAAAAcBAAAPAAAAAAAAAAEAIAAAACIAAABkcnMv&#10;ZG93bnJldi54bWxQSwECFAAUAAAACACHTuJAiW1j1wgCAADgAwAADgAAAAAAAAABACAAAAAiAQAA&#10;ZHJzL2Uyb0RvYy54bWxQSwUGAAAAAAYABgBZAQAAnAUAAAAA&#10;">
                <v:fill on="f" focussize="0,0"/>
                <v:stroke color="#000000" joinstyle="round" dashstyle="1 1"/>
                <v:imagedata o:title=""/>
                <o:lock v:ext="edit" aspectratio="f"/>
              </v:shape>
            </w:pict>
          </mc:Fallback>
        </mc:AlternateContent>
      </w:r>
      <w:r>
        <w:rPr>
          <w:rFonts w:hint="eastAsia" w:ascii="宋体" w:hAnsi="宋体" w:cs="宋体"/>
        </w:rPr>
        <w:t xml:space="preserve">  </w:t>
      </w:r>
    </w:p>
    <w:p w14:paraId="150C1562">
      <w:pPr>
        <w:spacing w:line="400" w:lineRule="exact"/>
        <w:rPr>
          <w:rFonts w:hint="eastAsia" w:ascii="宋体" w:hAnsi="宋体" w:cs="宋体"/>
        </w:rPr>
      </w:pPr>
    </w:p>
    <w:p w14:paraId="3E06E33E">
      <w:pPr>
        <w:spacing w:line="360" w:lineRule="auto"/>
        <w:rPr>
          <w:rFonts w:hint="eastAsia" w:ascii="宋体" w:hAnsi="宋体" w:cs="宋体"/>
        </w:rPr>
      </w:pPr>
      <w:r>
        <w:rPr>
          <w:rFonts w:hint="eastAsia" w:ascii="宋体" w:hAnsi="宋体" w:cs="宋体"/>
        </w:rPr>
        <w:t>备注（1）为保证竞价保证金的顺利退还，请准确填写以下信息：</w:t>
      </w:r>
    </w:p>
    <w:tbl>
      <w:tblPr>
        <w:tblStyle w:val="43"/>
        <w:tblW w:w="7097" w:type="dxa"/>
        <w:jc w:val="center"/>
        <w:tblLayout w:type="fixed"/>
        <w:tblCellMar>
          <w:top w:w="0" w:type="dxa"/>
          <w:left w:w="108" w:type="dxa"/>
          <w:bottom w:w="0" w:type="dxa"/>
          <w:right w:w="108" w:type="dxa"/>
        </w:tblCellMar>
      </w:tblPr>
      <w:tblGrid>
        <w:gridCol w:w="2751"/>
        <w:gridCol w:w="4346"/>
      </w:tblGrid>
      <w:tr w14:paraId="549C688A">
        <w:tblPrEx>
          <w:tblCellMar>
            <w:top w:w="0" w:type="dxa"/>
            <w:left w:w="108" w:type="dxa"/>
            <w:bottom w:w="0" w:type="dxa"/>
            <w:right w:w="108" w:type="dxa"/>
          </w:tblCellMar>
        </w:tblPrEx>
        <w:trPr>
          <w:trHeight w:val="50" w:hRule="atLeast"/>
          <w:jc w:val="center"/>
        </w:trPr>
        <w:tc>
          <w:tcPr>
            <w:tcW w:w="2751" w:type="dxa"/>
            <w:tcBorders>
              <w:top w:val="single" w:color="auto" w:sz="4" w:space="0"/>
              <w:left w:val="single" w:color="auto" w:sz="4" w:space="0"/>
              <w:bottom w:val="single" w:color="auto" w:sz="4" w:space="0"/>
              <w:right w:val="single" w:color="auto" w:sz="4" w:space="0"/>
            </w:tcBorders>
            <w:vAlign w:val="center"/>
          </w:tcPr>
          <w:p w14:paraId="2948A8A0">
            <w:pPr>
              <w:spacing w:line="360" w:lineRule="auto"/>
              <w:jc w:val="center"/>
              <w:rPr>
                <w:rFonts w:hint="eastAsia" w:ascii="宋体" w:hAnsi="宋体" w:cs="宋体"/>
              </w:rPr>
            </w:pPr>
            <w:r>
              <w:rPr>
                <w:rFonts w:hint="eastAsia" w:ascii="宋体" w:hAnsi="宋体" w:cs="宋体"/>
              </w:rPr>
              <w:t>银行信息</w:t>
            </w:r>
          </w:p>
        </w:tc>
        <w:tc>
          <w:tcPr>
            <w:tcW w:w="4346" w:type="dxa"/>
            <w:tcBorders>
              <w:top w:val="single" w:color="auto" w:sz="4" w:space="0"/>
              <w:left w:val="single" w:color="auto" w:sz="4" w:space="0"/>
              <w:bottom w:val="single" w:color="auto" w:sz="4" w:space="0"/>
              <w:right w:val="single" w:color="auto" w:sz="4" w:space="0"/>
            </w:tcBorders>
            <w:vAlign w:val="center"/>
          </w:tcPr>
          <w:p w14:paraId="6379D991">
            <w:pPr>
              <w:spacing w:line="360" w:lineRule="auto"/>
              <w:jc w:val="center"/>
              <w:rPr>
                <w:rFonts w:hint="eastAsia" w:ascii="宋体" w:hAnsi="宋体" w:cs="宋体"/>
              </w:rPr>
            </w:pPr>
            <w:r>
              <w:rPr>
                <w:rFonts w:hint="eastAsia" w:ascii="宋体" w:hAnsi="宋体" w:cs="宋体"/>
              </w:rPr>
              <w:t>竞价单位银行信息</w:t>
            </w:r>
          </w:p>
        </w:tc>
      </w:tr>
      <w:tr w14:paraId="2C96588B">
        <w:tblPrEx>
          <w:tblCellMar>
            <w:top w:w="0" w:type="dxa"/>
            <w:left w:w="108" w:type="dxa"/>
            <w:bottom w:w="0" w:type="dxa"/>
            <w:right w:w="108" w:type="dxa"/>
          </w:tblCellMar>
        </w:tblPrEx>
        <w:trPr>
          <w:trHeight w:val="50" w:hRule="atLeast"/>
          <w:jc w:val="center"/>
        </w:trPr>
        <w:tc>
          <w:tcPr>
            <w:tcW w:w="2751" w:type="dxa"/>
            <w:tcBorders>
              <w:top w:val="nil"/>
              <w:left w:val="single" w:color="auto" w:sz="4" w:space="0"/>
              <w:bottom w:val="single" w:color="auto" w:sz="4" w:space="0"/>
              <w:right w:val="single" w:color="auto" w:sz="4" w:space="0"/>
            </w:tcBorders>
            <w:vAlign w:val="center"/>
          </w:tcPr>
          <w:p w14:paraId="0F63604F">
            <w:pPr>
              <w:spacing w:line="360" w:lineRule="auto"/>
              <w:jc w:val="center"/>
              <w:rPr>
                <w:rFonts w:hint="eastAsia" w:ascii="宋体" w:hAnsi="宋体" w:cs="宋体"/>
              </w:rPr>
            </w:pPr>
            <w:r>
              <w:rPr>
                <w:rFonts w:hint="eastAsia" w:ascii="宋体" w:hAnsi="宋体" w:cs="宋体"/>
              </w:rPr>
              <w:t>开 户 名</w:t>
            </w:r>
          </w:p>
        </w:tc>
        <w:tc>
          <w:tcPr>
            <w:tcW w:w="4346" w:type="dxa"/>
            <w:tcBorders>
              <w:top w:val="single" w:color="auto" w:sz="4" w:space="0"/>
              <w:left w:val="single" w:color="auto" w:sz="4" w:space="0"/>
              <w:bottom w:val="single" w:color="auto" w:sz="4" w:space="0"/>
              <w:right w:val="single" w:color="auto" w:sz="4" w:space="0"/>
            </w:tcBorders>
            <w:vAlign w:val="center"/>
          </w:tcPr>
          <w:p w14:paraId="727278EF">
            <w:pPr>
              <w:spacing w:line="360" w:lineRule="auto"/>
              <w:jc w:val="center"/>
              <w:rPr>
                <w:rFonts w:hint="eastAsia" w:ascii="宋体" w:hAnsi="宋体" w:cs="宋体"/>
              </w:rPr>
            </w:pPr>
          </w:p>
        </w:tc>
      </w:tr>
      <w:tr w14:paraId="34A13E05">
        <w:tblPrEx>
          <w:tblCellMar>
            <w:top w:w="0" w:type="dxa"/>
            <w:left w:w="108" w:type="dxa"/>
            <w:bottom w:w="0" w:type="dxa"/>
            <w:right w:w="108" w:type="dxa"/>
          </w:tblCellMar>
        </w:tblPrEx>
        <w:trPr>
          <w:trHeight w:val="50" w:hRule="atLeast"/>
          <w:jc w:val="center"/>
        </w:trPr>
        <w:tc>
          <w:tcPr>
            <w:tcW w:w="2751" w:type="dxa"/>
            <w:tcBorders>
              <w:top w:val="nil"/>
              <w:left w:val="single" w:color="auto" w:sz="4" w:space="0"/>
              <w:bottom w:val="single" w:color="auto" w:sz="4" w:space="0"/>
              <w:right w:val="single" w:color="auto" w:sz="4" w:space="0"/>
            </w:tcBorders>
            <w:vAlign w:val="center"/>
          </w:tcPr>
          <w:p w14:paraId="1ECF9FBE">
            <w:pPr>
              <w:spacing w:line="360" w:lineRule="auto"/>
              <w:jc w:val="center"/>
              <w:rPr>
                <w:rFonts w:hint="eastAsia" w:ascii="宋体" w:hAnsi="宋体" w:cs="宋体"/>
              </w:rPr>
            </w:pPr>
            <w:r>
              <w:rPr>
                <w:rFonts w:hint="eastAsia" w:ascii="宋体" w:hAnsi="宋体" w:cs="宋体"/>
              </w:rPr>
              <w:t>开户银行</w:t>
            </w:r>
          </w:p>
        </w:tc>
        <w:tc>
          <w:tcPr>
            <w:tcW w:w="4346" w:type="dxa"/>
            <w:tcBorders>
              <w:top w:val="single" w:color="auto" w:sz="4" w:space="0"/>
              <w:left w:val="single" w:color="auto" w:sz="4" w:space="0"/>
              <w:bottom w:val="single" w:color="auto" w:sz="4" w:space="0"/>
              <w:right w:val="single" w:color="auto" w:sz="4" w:space="0"/>
            </w:tcBorders>
            <w:vAlign w:val="center"/>
          </w:tcPr>
          <w:p w14:paraId="1E300E4C">
            <w:pPr>
              <w:spacing w:line="360" w:lineRule="auto"/>
              <w:jc w:val="center"/>
              <w:rPr>
                <w:rFonts w:hint="eastAsia" w:ascii="宋体" w:hAnsi="宋体" w:cs="宋体"/>
              </w:rPr>
            </w:pPr>
          </w:p>
        </w:tc>
      </w:tr>
      <w:tr w14:paraId="630D1ADA">
        <w:tblPrEx>
          <w:tblCellMar>
            <w:top w:w="0" w:type="dxa"/>
            <w:left w:w="108" w:type="dxa"/>
            <w:bottom w:w="0" w:type="dxa"/>
            <w:right w:w="108" w:type="dxa"/>
          </w:tblCellMar>
        </w:tblPrEx>
        <w:trPr>
          <w:trHeight w:val="50" w:hRule="atLeast"/>
          <w:jc w:val="center"/>
        </w:trPr>
        <w:tc>
          <w:tcPr>
            <w:tcW w:w="2751" w:type="dxa"/>
            <w:tcBorders>
              <w:top w:val="nil"/>
              <w:left w:val="single" w:color="auto" w:sz="4" w:space="0"/>
              <w:bottom w:val="single" w:color="auto" w:sz="4" w:space="0"/>
              <w:right w:val="single" w:color="auto" w:sz="4" w:space="0"/>
            </w:tcBorders>
            <w:vAlign w:val="center"/>
          </w:tcPr>
          <w:p w14:paraId="28D51970">
            <w:pPr>
              <w:spacing w:line="360" w:lineRule="auto"/>
              <w:jc w:val="center"/>
              <w:rPr>
                <w:rFonts w:hint="eastAsia" w:ascii="宋体" w:hAnsi="宋体" w:cs="宋体"/>
              </w:rPr>
            </w:pPr>
            <w:r>
              <w:rPr>
                <w:rFonts w:hint="eastAsia" w:ascii="宋体" w:hAnsi="宋体" w:cs="宋体"/>
              </w:rPr>
              <w:t>账    号</w:t>
            </w:r>
          </w:p>
        </w:tc>
        <w:tc>
          <w:tcPr>
            <w:tcW w:w="4346" w:type="dxa"/>
            <w:tcBorders>
              <w:top w:val="single" w:color="auto" w:sz="4" w:space="0"/>
              <w:left w:val="single" w:color="auto" w:sz="4" w:space="0"/>
              <w:bottom w:val="single" w:color="auto" w:sz="4" w:space="0"/>
              <w:right w:val="single" w:color="auto" w:sz="4" w:space="0"/>
            </w:tcBorders>
            <w:vAlign w:val="center"/>
          </w:tcPr>
          <w:p w14:paraId="123DAC71">
            <w:pPr>
              <w:spacing w:line="360" w:lineRule="auto"/>
              <w:jc w:val="center"/>
              <w:rPr>
                <w:rFonts w:hint="eastAsia" w:ascii="宋体" w:hAnsi="宋体" w:cs="宋体"/>
              </w:rPr>
            </w:pPr>
          </w:p>
        </w:tc>
      </w:tr>
    </w:tbl>
    <w:p w14:paraId="08CC190E">
      <w:pPr>
        <w:spacing w:line="360" w:lineRule="auto"/>
        <w:rPr>
          <w:rFonts w:hint="eastAsia" w:ascii="宋体" w:hAnsi="宋体" w:cs="宋体"/>
        </w:rPr>
      </w:pPr>
      <w:r>
        <w:rPr>
          <w:rFonts w:hint="eastAsia" w:ascii="宋体" w:hAnsi="宋体" w:cs="宋体"/>
        </w:rPr>
        <w:t>备注（2）如需邮寄采购代理服务费发票，请填写以下信息：</w:t>
      </w:r>
    </w:p>
    <w:p w14:paraId="18E9EB3B">
      <w:pPr>
        <w:rPr>
          <w:rFonts w:hint="eastAsia" w:ascii="宋体" w:hAnsi="宋体" w:cs="宋体"/>
          <w:u w:val="single"/>
        </w:rPr>
      </w:pPr>
      <w:r>
        <w:rPr>
          <w:rFonts w:hint="eastAsia" w:ascii="宋体" w:hAnsi="宋体" w:cs="宋体"/>
        </w:rPr>
        <w:t>收件人姓名及电话：</w:t>
      </w:r>
      <w:r>
        <w:rPr>
          <w:rFonts w:hint="eastAsia" w:ascii="宋体" w:hAnsi="宋体" w:cs="宋体"/>
          <w:u w:val="single"/>
        </w:rPr>
        <w:t xml:space="preserve">                                 </w:t>
      </w:r>
    </w:p>
    <w:p w14:paraId="60F1F24D">
      <w:pPr>
        <w:spacing w:line="360" w:lineRule="auto"/>
        <w:rPr>
          <w:rFonts w:hint="eastAsia" w:ascii="宋体" w:hAnsi="宋体" w:cs="宋体"/>
        </w:rPr>
      </w:pPr>
      <w:r>
        <w:rPr>
          <w:rFonts w:hint="eastAsia" w:ascii="宋体" w:hAnsi="宋体" w:cs="宋体"/>
        </w:rPr>
        <w:t>收  件  地  址  ：</w:t>
      </w:r>
      <w:r>
        <w:rPr>
          <w:rFonts w:hint="eastAsia" w:ascii="宋体" w:hAnsi="宋体" w:cs="宋体"/>
          <w:u w:val="single"/>
        </w:rPr>
        <w:t xml:space="preserve">                                 </w:t>
      </w:r>
    </w:p>
    <w:p w14:paraId="3CE952D5">
      <w:pPr>
        <w:spacing w:line="360" w:lineRule="auto"/>
        <w:rPr>
          <w:rFonts w:hint="eastAsia" w:ascii="宋体" w:hAnsi="宋体" w:cs="宋体"/>
        </w:rPr>
      </w:pPr>
    </w:p>
    <w:p w14:paraId="5E1B8D91">
      <w:pPr>
        <w:spacing w:line="360" w:lineRule="auto"/>
        <w:rPr>
          <w:rFonts w:hint="eastAsia" w:ascii="宋体" w:hAnsi="宋体" w:cs="宋体"/>
          <w:u w:val="single"/>
        </w:rPr>
      </w:pPr>
      <w:r>
        <w:rPr>
          <w:rFonts w:hint="eastAsia" w:ascii="宋体" w:hAnsi="宋体" w:cs="宋体"/>
        </w:rPr>
        <w:t>承诺方</w:t>
      </w:r>
      <w:r>
        <w:rPr>
          <w:rFonts w:hint="eastAsia" w:ascii="宋体" w:hAnsi="宋体" w:cs="宋体"/>
          <w:b/>
        </w:rPr>
        <w:t>（加盖单位公章）</w:t>
      </w:r>
      <w:r>
        <w:rPr>
          <w:rFonts w:hint="eastAsia" w:ascii="宋体" w:hAnsi="宋体" w:cs="宋体"/>
        </w:rPr>
        <w:t>：</w:t>
      </w:r>
      <w:r>
        <w:rPr>
          <w:rFonts w:hint="eastAsia" w:ascii="宋体" w:hAnsi="宋体" w:cs="宋体"/>
          <w:u w:val="single"/>
        </w:rPr>
        <w:t xml:space="preserve">               </w:t>
      </w:r>
    </w:p>
    <w:p w14:paraId="6212EBDC">
      <w:pPr>
        <w:spacing w:line="360" w:lineRule="auto"/>
        <w:rPr>
          <w:rFonts w:hint="eastAsia" w:ascii="宋体" w:hAnsi="宋体" w:cs="宋体"/>
          <w:u w:val="single"/>
        </w:rPr>
      </w:pPr>
      <w:r>
        <w:rPr>
          <w:rFonts w:hint="eastAsia" w:ascii="宋体" w:hAnsi="宋体" w:cs="宋体"/>
        </w:rPr>
        <w:t>承诺日期：</w:t>
      </w:r>
      <w:r>
        <w:rPr>
          <w:rFonts w:hint="eastAsia" w:ascii="宋体" w:hAnsi="宋体" w:cs="宋体"/>
          <w:u w:val="single"/>
        </w:rPr>
        <w:t xml:space="preserve">              </w:t>
      </w:r>
    </w:p>
    <w:p w14:paraId="0AEF3E40">
      <w:pPr>
        <w:rPr>
          <w:rFonts w:hint="eastAsia" w:ascii="宋体" w:hAnsi="宋体" w:cs="宋体"/>
          <w:u w:val="single"/>
        </w:rPr>
      </w:pPr>
      <w:r>
        <w:rPr>
          <w:rFonts w:hint="eastAsia" w:ascii="宋体" w:hAnsi="宋体" w:cs="宋体"/>
          <w:u w:val="single"/>
        </w:rPr>
        <w:t>注：承诺书内容必须填写，否则视为非响应性竞价响应。</w:t>
      </w:r>
    </w:p>
    <w:p w14:paraId="4D604C68">
      <w:pPr>
        <w:rPr>
          <w:rFonts w:hint="eastAsia" w:ascii="宋体" w:hAnsi="宋体" w:cs="宋体"/>
          <w:u w:val="single"/>
        </w:rPr>
      </w:pPr>
    </w:p>
    <w:p w14:paraId="1FE455D9">
      <w:pPr>
        <w:widowControl/>
        <w:jc w:val="left"/>
        <w:rPr>
          <w:rFonts w:hint="eastAsia" w:ascii="宋体" w:hAnsi="宋体" w:cs="宋体"/>
          <w:kern w:val="0"/>
          <w:sz w:val="24"/>
        </w:rPr>
      </w:pPr>
      <w:r>
        <w:rPr>
          <w:rFonts w:hint="eastAsia" w:ascii="宋体" w:hAnsi="宋体" w:cs="宋体"/>
        </w:rPr>
        <w:t>若我司未按前述期限支付代理服务费，贵司有权直接在应付我司任何一笔款项中直接扣除。</w:t>
      </w:r>
    </w:p>
    <w:sectPr>
      <w:headerReference r:id="rId16" w:type="default"/>
      <w:footerReference r:id="rId17" w:type="default"/>
      <w:pgSz w:w="11906" w:h="16838"/>
      <w:pgMar w:top="1134" w:right="1361" w:bottom="1134" w:left="136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swiss"/>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体">
    <w:altName w:val="宋体"/>
    <w:panose1 w:val="00000000000000000000"/>
    <w:charset w:val="86"/>
    <w:family w:val="swiss"/>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
    <w:altName w:val="Times New Roman"/>
    <w:panose1 w:val="00000000000000000000"/>
    <w:charset w:val="00"/>
    <w:family w:val="auto"/>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Helvetica 55">
    <w:altName w:val="Arial"/>
    <w:panose1 w:val="00000000000000000000"/>
    <w:charset w:val="00"/>
    <w:family w:val="swiss"/>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74DD3">
    <w:pPr>
      <w:pStyle w:val="26"/>
      <w:rPr>
        <w:rFonts w:hint="eastAsia"/>
      </w:rPr>
    </w:pPr>
  </w:p>
  <w:p w14:paraId="31275147">
    <w:pPr>
      <w:pStyle w:val="26"/>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0B6A9">
                          <w:pPr>
                            <w:pStyle w:val="26"/>
                            <w:rPr>
                              <w:rFonts w:hint="eastAsia"/>
                            </w:rPr>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FB0B6A9">
                    <w:pPr>
                      <w:pStyle w:val="26"/>
                      <w:rPr>
                        <w:rFonts w:hint="eastAsia"/>
                      </w:rPr>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B08AA">
    <w:pPr>
      <w:pStyle w:val="26"/>
      <w:framePr w:wrap="around" w:vAnchor="text" w:hAnchor="margin" w:xAlign="right" w:y="1"/>
      <w:rPr>
        <w:rStyle w:val="47"/>
        <w:rFonts w:hint="eastAsia"/>
      </w:rPr>
    </w:pPr>
    <w:r>
      <w:fldChar w:fldCharType="begin"/>
    </w:r>
    <w:r>
      <w:rPr>
        <w:rStyle w:val="47"/>
      </w:rPr>
      <w:instrText xml:space="preserve">PAGE  </w:instrText>
    </w:r>
    <w:r>
      <w:fldChar w:fldCharType="end"/>
    </w:r>
  </w:p>
  <w:p w14:paraId="4428336E">
    <w:pPr>
      <w:pStyle w:val="26"/>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CF96D">
    <w:pPr>
      <w:pStyle w:val="26"/>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9D4B1">
                          <w:pPr>
                            <w:pStyle w:val="26"/>
                            <w:rPr>
                              <w:rFonts w:hint="eastAsia"/>
                            </w:rP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2D9D4B1">
                    <w:pPr>
                      <w:pStyle w:val="26"/>
                      <w:rPr>
                        <w:rFonts w:hint="eastAsia"/>
                      </w:rPr>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D202B">
    <w:pPr>
      <w:pStyle w:val="26"/>
      <w:framePr w:wrap="around" w:vAnchor="text" w:hAnchor="margin" w:xAlign="center" w:y="1"/>
      <w:rPr>
        <w:rStyle w:val="47"/>
        <w:rFonts w:hint="eastAsia"/>
      </w:rPr>
    </w:pPr>
    <w:r>
      <w:fldChar w:fldCharType="begin"/>
    </w:r>
    <w:r>
      <w:rPr>
        <w:rStyle w:val="47"/>
      </w:rPr>
      <w:instrText xml:space="preserve">PAGE  </w:instrText>
    </w:r>
    <w:r>
      <w:fldChar w:fldCharType="end"/>
    </w:r>
  </w:p>
  <w:p w14:paraId="7527C52B">
    <w:pPr>
      <w:pStyle w:val="26"/>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1C27B">
    <w:pPr>
      <w:pStyle w:val="26"/>
      <w:jc w:val="center"/>
      <w:rPr>
        <w:rFonts w:hint="eastAsia"/>
      </w:rPr>
    </w:pPr>
    <w:r>
      <w:fldChar w:fldCharType="begin"/>
    </w:r>
    <w:r>
      <w:instrText xml:space="preserve"> PAGE   \* MERGEFORMAT </w:instrText>
    </w:r>
    <w:r>
      <w:fldChar w:fldCharType="separate"/>
    </w:r>
    <w:r>
      <w:rPr>
        <w:lang w:val="zh-CN"/>
      </w:rPr>
      <w:t>48</w:t>
    </w:r>
    <w:r>
      <w:fldChar w:fldCharType="end"/>
    </w:r>
  </w:p>
  <w:p w14:paraId="4C081F92">
    <w:pPr>
      <w:pStyle w:val="26"/>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621F5">
    <w:pPr>
      <w:pStyle w:val="26"/>
      <w:jc w:val="center"/>
      <w:rPr>
        <w:rFonts w:hint="eastAsia" w:ascii="宋体" w:hAnsi="宋体" w:eastAsia="宋体"/>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D9378">
    <w:pPr>
      <w:pStyle w:val="2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C328622">
                          <w:pPr>
                            <w:pStyle w:val="2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1C328622">
                    <w:pPr>
                      <w:pStyle w:val="2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B904E">
    <w:pPr>
      <w:pStyle w:val="26"/>
      <w:spacing w:before="120" w:after="120"/>
      <w:ind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625B8">
    <w:pPr>
      <w:pStyle w:val="28"/>
      <w:pBdr>
        <w:bottom w:val="none" w:color="auto" w:sz="0" w:space="0"/>
      </w:pBdr>
      <w:jc w:val="both"/>
      <w:rPr>
        <w:rFonts w:hint="eastAsia"/>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BD263">
    <w:pPr>
      <w:pStyle w:val="28"/>
      <w:pBdr>
        <w:bottom w:val="none" w:color="auto" w:sz="0" w:space="0"/>
      </w:pBdr>
      <w:jc w:val="left"/>
      <w:rPr>
        <w:rFonts w:hint="eastAsia" w:ascii="宋体" w:hAnsi="宋体"/>
        <w:kern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A1917">
    <w:pPr>
      <w:pStyle w:val="28"/>
      <w:jc w:val="left"/>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44B5">
    <w:pP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C54AB">
    <w:pPr>
      <w:pStyle w:val="28"/>
      <w:jc w:val="both"/>
      <w:rPr>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C0B10">
    <w:pPr>
      <w:pStyle w:val="2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793AA">
    <w:pPr>
      <w:pBdr>
        <w:bottom w:val="single" w:color="auto" w:sz="4" w:space="0"/>
      </w:pBdr>
      <w:tabs>
        <w:tab w:val="center" w:pos="4153"/>
        <w:tab w:val="right" w:pos="8306"/>
      </w:tabs>
      <w:spacing w:before="120" w:after="120"/>
      <w:ind w:firstLine="420"/>
      <w:jc w:val="right"/>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2693"/>
        </w:tabs>
        <w:ind w:left="2693" w:hanging="425"/>
      </w:pPr>
      <w:rPr>
        <w:rFonts w:hint="eastAsia"/>
        <w:b/>
      </w:rPr>
    </w:lvl>
    <w:lvl w:ilvl="1" w:tentative="0">
      <w:start w:val="1"/>
      <w:numFmt w:val="decimal"/>
      <w:lvlText w:val="%1.%2"/>
      <w:lvlJc w:val="left"/>
      <w:pPr>
        <w:tabs>
          <w:tab w:val="left" w:pos="3260"/>
        </w:tabs>
        <w:ind w:left="3260" w:hanging="567"/>
      </w:pPr>
      <w:rPr>
        <w:rFonts w:hint="eastAsia"/>
        <w:b w:val="0"/>
      </w:rPr>
    </w:lvl>
    <w:lvl w:ilvl="2" w:tentative="0">
      <w:start w:val="1"/>
      <w:numFmt w:val="decimal"/>
      <w:lvlText w:val="%1.%2.%3"/>
      <w:lvlJc w:val="left"/>
      <w:pPr>
        <w:tabs>
          <w:tab w:val="left" w:pos="3686"/>
        </w:tabs>
        <w:ind w:left="3686" w:hanging="567"/>
      </w:pPr>
      <w:rPr>
        <w:rFonts w:hint="eastAsia"/>
      </w:rPr>
    </w:lvl>
    <w:lvl w:ilvl="3" w:tentative="0">
      <w:start w:val="1"/>
      <w:numFmt w:val="decimal"/>
      <w:lvlText w:val="%1.%2.%3.%4"/>
      <w:lvlJc w:val="left"/>
      <w:pPr>
        <w:tabs>
          <w:tab w:val="left" w:pos="4624"/>
        </w:tabs>
        <w:ind w:left="4252" w:hanging="708"/>
      </w:pPr>
      <w:rPr>
        <w:rFonts w:hint="eastAsia"/>
      </w:rPr>
    </w:lvl>
    <w:lvl w:ilvl="4" w:tentative="0">
      <w:start w:val="1"/>
      <w:numFmt w:val="decimal"/>
      <w:lvlText w:val="%1.%2.%3.%4.%5"/>
      <w:lvlJc w:val="left"/>
      <w:pPr>
        <w:tabs>
          <w:tab w:val="left" w:pos="5049"/>
        </w:tabs>
        <w:ind w:left="4819" w:hanging="850"/>
      </w:pPr>
      <w:rPr>
        <w:rFonts w:hint="eastAsia"/>
      </w:rPr>
    </w:lvl>
    <w:lvl w:ilvl="5" w:tentative="0">
      <w:start w:val="1"/>
      <w:numFmt w:val="decimal"/>
      <w:lvlText w:val="%1.%2.%3.%4.%5.%6"/>
      <w:lvlJc w:val="left"/>
      <w:pPr>
        <w:tabs>
          <w:tab w:val="left" w:pos="5834"/>
        </w:tabs>
        <w:ind w:left="5528" w:hanging="1134"/>
      </w:pPr>
      <w:rPr>
        <w:rFonts w:hint="eastAsia"/>
      </w:rPr>
    </w:lvl>
    <w:lvl w:ilvl="6" w:tentative="0">
      <w:start w:val="1"/>
      <w:numFmt w:val="decimal"/>
      <w:lvlText w:val="%1.%2.%3.%4.%5.%6.%7"/>
      <w:lvlJc w:val="left"/>
      <w:pPr>
        <w:tabs>
          <w:tab w:val="left" w:pos="6259"/>
        </w:tabs>
        <w:ind w:left="6095" w:hanging="1276"/>
      </w:pPr>
      <w:rPr>
        <w:rFonts w:hint="eastAsia"/>
      </w:rPr>
    </w:lvl>
    <w:lvl w:ilvl="7" w:tentative="0">
      <w:start w:val="1"/>
      <w:numFmt w:val="decimal"/>
      <w:lvlText w:val="%1.%2.%3.%4.%5.%6.%7.%8"/>
      <w:lvlJc w:val="left"/>
      <w:pPr>
        <w:tabs>
          <w:tab w:val="left" w:pos="7044"/>
        </w:tabs>
        <w:ind w:left="6662" w:hanging="1418"/>
      </w:pPr>
      <w:rPr>
        <w:rFonts w:hint="eastAsia"/>
      </w:rPr>
    </w:lvl>
    <w:lvl w:ilvl="8" w:tentative="0">
      <w:start w:val="1"/>
      <w:numFmt w:val="decimal"/>
      <w:lvlText w:val="%1.%2.%3.%4.%5.%6.%7.%8.%9"/>
      <w:lvlJc w:val="left"/>
      <w:pPr>
        <w:tabs>
          <w:tab w:val="left" w:pos="7470"/>
        </w:tabs>
        <w:ind w:left="7370" w:hanging="1700"/>
      </w:pPr>
      <w:rPr>
        <w:rFonts w:hint="eastAsia"/>
      </w:rPr>
    </w:lvl>
  </w:abstractNum>
  <w:abstractNum w:abstractNumId="1">
    <w:nsid w:val="0000000C"/>
    <w:multiLevelType w:val="multilevel"/>
    <w:tmpl w:val="0000000C"/>
    <w:lvl w:ilvl="0" w:tentative="0">
      <w:start w:val="1"/>
      <w:numFmt w:val="japaneseCounting"/>
      <w:lvlText w:val="%1、"/>
      <w:lvlJc w:val="left"/>
      <w:pPr>
        <w:ind w:left="360" w:hanging="360"/>
      </w:pPr>
      <w:rPr>
        <w:rFonts w:hint="default"/>
      </w:rPr>
    </w:lvl>
    <w:lvl w:ilvl="1" w:tentative="0">
      <w:start w:val="1"/>
      <w:numFmt w:val="lowerLetter"/>
      <w:pStyle w:val="143"/>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13"/>
    <w:multiLevelType w:val="multilevel"/>
    <w:tmpl w:val="00000013"/>
    <w:lvl w:ilvl="0" w:tentative="0">
      <w:start w:val="1"/>
      <w:numFmt w:val="chineseCountingThousand"/>
      <w:pStyle w:val="117"/>
      <w:lvlText w:val="%1."/>
      <w:lvlJc w:val="left"/>
      <w:pPr>
        <w:tabs>
          <w:tab w:val="left" w:pos="720"/>
        </w:tabs>
        <w:ind w:left="720" w:hanging="720"/>
      </w:pPr>
      <w:rPr>
        <w:rFonts w:hint="default"/>
      </w:rPr>
    </w:lvl>
    <w:lvl w:ilvl="1" w:tentative="0">
      <w:start w:val="1"/>
      <w:numFmt w:val="decimal"/>
      <w:lvlText w:val="%2."/>
      <w:lvlJc w:val="left"/>
      <w:pPr>
        <w:tabs>
          <w:tab w:val="left" w:pos="360"/>
        </w:tabs>
        <w:ind w:left="360" w:hanging="360"/>
      </w:pPr>
      <w:rPr>
        <w:rFonts w:hint="default" w:cs="Tahoma"/>
      </w:rPr>
    </w:lvl>
    <w:lvl w:ilvl="2" w:tentative="0">
      <w:start w:val="2"/>
      <w:numFmt w:val="decimal"/>
      <w:lvlText w:val="%3、"/>
      <w:lvlJc w:val="left"/>
      <w:pPr>
        <w:tabs>
          <w:tab w:val="left" w:pos="1140"/>
        </w:tabs>
        <w:ind w:left="1140" w:hanging="720"/>
      </w:pPr>
      <w:rPr>
        <w:rFonts w:hint="default" w:ascii="Times New Roman"/>
        <w:b/>
        <w:sz w:val="28"/>
      </w:r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3">
    <w:nsid w:val="00000014"/>
    <w:multiLevelType w:val="multilevel"/>
    <w:tmpl w:val="0000001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16"/>
    <w:multiLevelType w:val="multilevel"/>
    <w:tmpl w:val="00000016"/>
    <w:lvl w:ilvl="0" w:tentative="0">
      <w:start w:val="1"/>
      <w:numFmt w:val="decimal"/>
      <w:lvlText w:val="%1"/>
      <w:lvlJc w:val="left"/>
      <w:pPr>
        <w:tabs>
          <w:tab w:val="left" w:pos="425"/>
        </w:tabs>
        <w:ind w:left="425" w:hanging="425"/>
      </w:pPr>
      <w:rPr>
        <w:b/>
      </w:rPr>
    </w:lvl>
    <w:lvl w:ilvl="1" w:tentative="0">
      <w:start w:val="1"/>
      <w:numFmt w:val="decimal"/>
      <w:lvlText w:val="%1.%2"/>
      <w:lvlJc w:val="left"/>
      <w:pPr>
        <w:tabs>
          <w:tab w:val="left" w:pos="567"/>
        </w:tabs>
        <w:ind w:left="567" w:hanging="567"/>
      </w:pPr>
      <w:rPr>
        <w:rFonts w:ascii="宋体" w:hAnsi="宋体" w:eastAsia="宋体"/>
        <w:b w:val="0"/>
      </w:r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5">
    <w:nsid w:val="0000001C"/>
    <w:multiLevelType w:val="multilevel"/>
    <w:tmpl w:val="0000001C"/>
    <w:lvl w:ilvl="0" w:tentative="0">
      <w:start w:val="1"/>
      <w:numFmt w:val="japaneseCounting"/>
      <w:lvlText w:val="%1、"/>
      <w:lvlJc w:val="left"/>
      <w:pPr>
        <w:tabs>
          <w:tab w:val="left" w:pos="720"/>
        </w:tabs>
        <w:ind w:left="720" w:hanging="720"/>
      </w:pPr>
      <w:rPr>
        <w:rFonts w:hint="eastAsia"/>
        <w:b/>
        <w:sz w:val="21"/>
        <w:szCs w:val="21"/>
        <w:lang w:val="en-US"/>
      </w:rPr>
    </w:lvl>
    <w:lvl w:ilvl="1" w:tentative="0">
      <w:start w:val="1"/>
      <w:numFmt w:val="decim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20"/>
        </w:tabs>
        <w:ind w:left="1620" w:hanging="360"/>
      </w:pPr>
      <w:rPr>
        <w:rFonts w:hint="default"/>
      </w:rPr>
    </w:lvl>
    <w:lvl w:ilvl="4" w:tentative="0">
      <w:start w:val="4"/>
      <w:numFmt w:val="decimal"/>
      <w:lvlText w:val="%5、"/>
      <w:lvlJc w:val="left"/>
      <w:pPr>
        <w:tabs>
          <w:tab w:val="left" w:pos="2040"/>
        </w:tabs>
        <w:ind w:left="2040" w:hanging="360"/>
      </w:pPr>
      <w:rPr>
        <w:rFonts w:hint="eastAsia"/>
      </w:rPr>
    </w:lvl>
    <w:lvl w:ilvl="5" w:tentative="0">
      <w:start w:val="1"/>
      <w:numFmt w:val="japaneseCounting"/>
      <w:lvlText w:val="%6．"/>
      <w:lvlJc w:val="left"/>
      <w:pPr>
        <w:tabs>
          <w:tab w:val="left" w:pos="2580"/>
        </w:tabs>
        <w:ind w:left="2580" w:hanging="48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F"/>
    <w:multiLevelType w:val="multilevel"/>
    <w:tmpl w:val="0000001F"/>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val="0"/>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7">
    <w:nsid w:val="00000026"/>
    <w:multiLevelType w:val="multilevel"/>
    <w:tmpl w:val="00000026"/>
    <w:lvl w:ilvl="0" w:tentative="0">
      <w:start w:val="1"/>
      <w:numFmt w:val="decimal"/>
      <w:lvlText w:val="%1"/>
      <w:lvlJc w:val="left"/>
      <w:pPr>
        <w:tabs>
          <w:tab w:val="left" w:pos="420"/>
        </w:tabs>
        <w:ind w:left="420" w:hanging="420"/>
      </w:pPr>
      <w:rPr>
        <w:rFonts w:hint="eastAsia"/>
        <w:b/>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color w:val="auto"/>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8">
    <w:nsid w:val="00000036"/>
    <w:multiLevelType w:val="multilevel"/>
    <w:tmpl w:val="00000036"/>
    <w:lvl w:ilvl="0" w:tentative="0">
      <w:start w:val="1"/>
      <w:numFmt w:val="decimal"/>
      <w:lvlText w:val="%1"/>
      <w:lvlJc w:val="left"/>
      <w:pPr>
        <w:ind w:left="425" w:hanging="425"/>
      </w:pPr>
      <w:rPr>
        <w:rFonts w:hint="eastAsia"/>
      </w:rPr>
    </w:lvl>
    <w:lvl w:ilvl="1" w:tentative="0">
      <w:start w:val="1"/>
      <w:numFmt w:val="chineseCountingThousand"/>
      <w:lvlText w:val="%2、"/>
      <w:lvlJc w:val="left"/>
      <w:pPr>
        <w:ind w:left="851" w:hanging="567"/>
      </w:pPr>
      <w:rPr>
        <w:rFonts w:hint="eastAsia"/>
        <w:b/>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00000037"/>
    <w:multiLevelType w:val="multilevel"/>
    <w:tmpl w:val="00000037"/>
    <w:lvl w:ilvl="0" w:tentative="0">
      <w:start w:val="1"/>
      <w:numFmt w:val="decimal"/>
      <w:lvlText w:val="%1"/>
      <w:lvlJc w:val="left"/>
      <w:pPr>
        <w:tabs>
          <w:tab w:val="left" w:pos="425"/>
        </w:tabs>
        <w:ind w:left="425" w:hanging="425"/>
      </w:pPr>
      <w:rPr>
        <w:rFonts w:hint="eastAsia"/>
        <w:b/>
      </w:rPr>
    </w:lvl>
    <w:lvl w:ilvl="1" w:tentative="0">
      <w:start w:val="1"/>
      <w:numFmt w:val="decimal"/>
      <w:lvlText w:val="%1.%2"/>
      <w:lvlJc w:val="left"/>
      <w:pPr>
        <w:tabs>
          <w:tab w:val="left" w:pos="992"/>
        </w:tabs>
        <w:ind w:left="992" w:hanging="567"/>
      </w:pPr>
      <w:rPr>
        <w:rFonts w:hint="eastAsia" w:ascii="宋体" w:hAnsi="宋体" w:eastAsia="宋体"/>
        <w:color w:val="auto"/>
      </w:rPr>
    </w:lvl>
    <w:lvl w:ilvl="2" w:tentative="0">
      <w:start w:val="1"/>
      <w:numFmt w:val="decimal"/>
      <w:lvlText w:val="(%3)"/>
      <w:lvlJc w:val="left"/>
      <w:pPr>
        <w:tabs>
          <w:tab w:val="left" w:pos="1271"/>
        </w:tabs>
        <w:ind w:left="1271" w:hanging="42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10">
    <w:nsid w:val="00000038"/>
    <w:multiLevelType w:val="multilevel"/>
    <w:tmpl w:val="00000038"/>
    <w:lvl w:ilvl="0" w:tentative="0">
      <w:start w:val="1"/>
      <w:numFmt w:val="decimal"/>
      <w:lvlText w:val="%1"/>
      <w:lvlJc w:val="left"/>
      <w:pPr>
        <w:tabs>
          <w:tab w:val="left" w:pos="425"/>
        </w:tabs>
        <w:ind w:left="425" w:hanging="425"/>
      </w:pPr>
      <w:rPr>
        <w:rFonts w:hint="eastAsia"/>
        <w:b/>
      </w:rPr>
    </w:lvl>
    <w:lvl w:ilvl="1" w:tentative="0">
      <w:start w:val="1"/>
      <w:numFmt w:val="decimal"/>
      <w:lvlText w:val="%1.%2"/>
      <w:lvlJc w:val="left"/>
      <w:pPr>
        <w:tabs>
          <w:tab w:val="left" w:pos="992"/>
        </w:tabs>
        <w:ind w:left="992" w:hanging="567"/>
      </w:pPr>
      <w:rPr>
        <w:rFonts w:hint="eastAsia" w:ascii="宋体" w:hAnsi="宋体" w:eastAsia="宋体"/>
        <w:color w:val="auto"/>
      </w:rPr>
    </w:lvl>
    <w:lvl w:ilvl="2" w:tentative="0">
      <w:start w:val="1"/>
      <w:numFmt w:val="decimal"/>
      <w:lvlText w:val="(%3)"/>
      <w:lvlJc w:val="left"/>
      <w:pPr>
        <w:tabs>
          <w:tab w:val="left" w:pos="1271"/>
        </w:tabs>
        <w:ind w:left="1271" w:hanging="42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11">
    <w:nsid w:val="00000039"/>
    <w:multiLevelType w:val="multilevel"/>
    <w:tmpl w:val="00000039"/>
    <w:lvl w:ilvl="0" w:tentative="0">
      <w:start w:val="1"/>
      <w:numFmt w:val="decimal"/>
      <w:lvlText w:val="%1"/>
      <w:lvlJc w:val="left"/>
      <w:pPr>
        <w:tabs>
          <w:tab w:val="left" w:pos="425"/>
        </w:tabs>
        <w:ind w:left="425" w:hanging="425"/>
      </w:pPr>
      <w:rPr>
        <w:b/>
      </w:rPr>
    </w:lvl>
    <w:lvl w:ilvl="1" w:tentative="0">
      <w:start w:val="1"/>
      <w:numFmt w:val="decimal"/>
      <w:lvlText w:val="%1.%2"/>
      <w:lvlJc w:val="left"/>
      <w:pPr>
        <w:tabs>
          <w:tab w:val="left" w:pos="992"/>
        </w:tabs>
        <w:ind w:left="992" w:hanging="567"/>
      </w:pPr>
      <w:rPr>
        <w:rFonts w:ascii="宋体" w:hAnsi="宋体" w:eastAsia="宋体"/>
        <w:b w:val="0"/>
      </w:r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12">
    <w:nsid w:val="07492C65"/>
    <w:multiLevelType w:val="multilevel"/>
    <w:tmpl w:val="07492C65"/>
    <w:lvl w:ilvl="0" w:tentative="0">
      <w:start w:val="1"/>
      <w:numFmt w:val="decimal"/>
      <w:lvlText w:val="%1"/>
      <w:lvlJc w:val="left"/>
      <w:pPr>
        <w:tabs>
          <w:tab w:val="left" w:pos="425"/>
        </w:tabs>
        <w:ind w:left="425" w:hanging="425"/>
      </w:pPr>
      <w:rPr>
        <w:rFonts w:hint="eastAsia"/>
        <w:b/>
      </w:rPr>
    </w:lvl>
    <w:lvl w:ilvl="1" w:tentative="0">
      <w:start w:val="1"/>
      <w:numFmt w:val="decimal"/>
      <w:lvlText w:val="%1.%2"/>
      <w:lvlJc w:val="left"/>
      <w:pPr>
        <w:tabs>
          <w:tab w:val="left" w:pos="992"/>
        </w:tabs>
        <w:ind w:left="992" w:hanging="567"/>
      </w:pPr>
      <w:rPr>
        <w:rFonts w:hint="eastAsia" w:ascii="宋体" w:hAnsi="宋体" w:eastAsia="宋体"/>
        <w:color w:val="auto"/>
      </w:rPr>
    </w:lvl>
    <w:lvl w:ilvl="2" w:tentative="0">
      <w:start w:val="1"/>
      <w:numFmt w:val="decimal"/>
      <w:lvlText w:val="(%3)"/>
      <w:lvlJc w:val="left"/>
      <w:pPr>
        <w:tabs>
          <w:tab w:val="left" w:pos="1271"/>
        </w:tabs>
        <w:ind w:left="1271" w:hanging="42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13">
    <w:nsid w:val="0F457735"/>
    <w:multiLevelType w:val="multilevel"/>
    <w:tmpl w:val="0F457735"/>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ascii="宋体" w:hAnsi="宋体" w:eastAsia="宋体"/>
        <w:color w:val="auto"/>
      </w:rPr>
    </w:lvl>
    <w:lvl w:ilvl="2" w:tentative="0">
      <w:start w:val="1"/>
      <w:numFmt w:val="decimal"/>
      <w:lvlText w:val="(%3)"/>
      <w:lvlJc w:val="left"/>
      <w:pPr>
        <w:tabs>
          <w:tab w:val="left" w:pos="1271"/>
        </w:tabs>
        <w:ind w:left="1271" w:hanging="42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14">
    <w:nsid w:val="14675FEF"/>
    <w:multiLevelType w:val="multilevel"/>
    <w:tmpl w:val="14675FEF"/>
    <w:lvl w:ilvl="0" w:tentative="0">
      <w:start w:val="1"/>
      <w:numFmt w:val="decimal"/>
      <w:lvlText w:val="%1"/>
      <w:lvlJc w:val="left"/>
      <w:pPr>
        <w:tabs>
          <w:tab w:val="left" w:pos="425"/>
        </w:tabs>
        <w:ind w:left="425" w:hanging="425"/>
      </w:pPr>
      <w:rPr>
        <w:rFonts w:hint="eastAsia"/>
        <w:b/>
      </w:rPr>
    </w:lvl>
    <w:lvl w:ilvl="1" w:tentative="0">
      <w:start w:val="1"/>
      <w:numFmt w:val="decimal"/>
      <w:lvlText w:val="%1.%2"/>
      <w:lvlJc w:val="left"/>
      <w:pPr>
        <w:tabs>
          <w:tab w:val="left" w:pos="992"/>
        </w:tabs>
        <w:ind w:left="992" w:hanging="567"/>
      </w:pPr>
      <w:rPr>
        <w:rFonts w:hint="eastAsia" w:ascii="宋体" w:hAnsi="宋体" w:eastAsia="宋体"/>
        <w:color w:val="auto"/>
      </w:rPr>
    </w:lvl>
    <w:lvl w:ilvl="2" w:tentative="0">
      <w:start w:val="1"/>
      <w:numFmt w:val="decimal"/>
      <w:lvlText w:val="(%3)"/>
      <w:lvlJc w:val="left"/>
      <w:pPr>
        <w:tabs>
          <w:tab w:val="left" w:pos="1271"/>
        </w:tabs>
        <w:ind w:left="1271" w:hanging="42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15">
    <w:nsid w:val="25A265FE"/>
    <w:multiLevelType w:val="multilevel"/>
    <w:tmpl w:val="25A265FE"/>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6">
    <w:nsid w:val="272F7CB0"/>
    <w:multiLevelType w:val="multilevel"/>
    <w:tmpl w:val="272F7CB0"/>
    <w:lvl w:ilvl="0" w:tentative="0">
      <w:start w:val="1"/>
      <w:numFmt w:val="decimal"/>
      <w:pStyle w:val="215"/>
      <w:suff w:val="space"/>
      <w:lvlText w:val="第%1章"/>
      <w:lvlJc w:val="center"/>
      <w:pPr>
        <w:ind w:left="0" w:firstLine="0"/>
      </w:pPr>
      <w:rPr>
        <w:rFonts w:hint="eastAsia"/>
        <w:b/>
        <w:i w:val="0"/>
        <w:sz w:val="36"/>
        <w:lang w:val="en-US"/>
      </w:rPr>
    </w:lvl>
    <w:lvl w:ilvl="1" w:tentative="0">
      <w:start w:val="1"/>
      <w:numFmt w:val="decimal"/>
      <w:suff w:val="space"/>
      <w:lvlText w:val="%1.%2"/>
      <w:lvlJc w:val="left"/>
      <w:pPr>
        <w:ind w:left="0"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211"/>
      <w:suff w:val="space"/>
      <w:lvlText w:val="%1.%2.%3"/>
      <w:lvlJc w:val="left"/>
      <w:pPr>
        <w:ind w:left="0" w:firstLine="0"/>
      </w:pPr>
      <w:rPr>
        <w:rFonts w:hint="eastAsia" w:ascii="黑体" w:hAnsi="Times New Roman" w:eastAsia="黑体" w:cs="Times New Roman"/>
        <w:b/>
        <w:i w:val="0"/>
        <w:strike w:val="0"/>
        <w:sz w:val="30"/>
      </w:rPr>
    </w:lvl>
    <w:lvl w:ilvl="3" w:tentative="0">
      <w:start w:val="1"/>
      <w:numFmt w:val="decimal"/>
      <w:suff w:val="space"/>
      <w:lvlText w:val="%1.%2.%3.%4"/>
      <w:lvlJc w:val="left"/>
      <w:pPr>
        <w:ind w:left="0" w:firstLine="0"/>
      </w:pPr>
      <w:rPr>
        <w:rFonts w:hint="default" w:ascii="Times New Roman" w:hAnsi="Times New Roman" w:eastAsia="黑体"/>
        <w:b/>
        <w:i w:val="0"/>
        <w:sz w:val="28"/>
      </w:rPr>
    </w:lvl>
    <w:lvl w:ilvl="4" w:tentative="0">
      <w:start w:val="1"/>
      <w:numFmt w:val="decimal"/>
      <w:lvlRestart w:val="0"/>
      <w:pStyle w:val="213"/>
      <w:suff w:val="space"/>
      <w:lvlText w:val="%5）"/>
      <w:lvlJc w:val="left"/>
      <w:pPr>
        <w:ind w:left="567" w:firstLine="0"/>
      </w:pPr>
      <w:rPr>
        <w:rFonts w:hint="eastAsia" w:ascii="宋体" w:hAnsi="Times New Roman" w:eastAsia="宋体" w:cs="Times New Roman"/>
        <w:sz w:val="24"/>
      </w:rPr>
    </w:lvl>
    <w:lvl w:ilvl="5" w:tentative="0">
      <w:start w:val="1"/>
      <w:numFmt w:val="decimal"/>
      <w:lvlRestart w:val="1"/>
      <w:suff w:val="space"/>
      <w:lvlText w:val="表%1-%6"/>
      <w:lvlJc w:val="center"/>
      <w:pPr>
        <w:ind w:left="0" w:firstLine="0"/>
      </w:pPr>
      <w:rPr>
        <w:rFonts w:hint="eastAsia" w:ascii="宋体" w:eastAsia="宋体"/>
        <w:sz w:val="24"/>
      </w:rPr>
    </w:lvl>
    <w:lvl w:ilvl="6" w:tentative="0">
      <w:start w:val="1"/>
      <w:numFmt w:val="decimal"/>
      <w:lvlRestart w:val="1"/>
      <w:suff w:val="space"/>
      <w:lvlText w:val="图%1-%7"/>
      <w:lvlJc w:val="center"/>
      <w:pPr>
        <w:ind w:left="0" w:firstLine="0"/>
      </w:pPr>
      <w:rPr>
        <w:rFonts w:hint="eastAsia"/>
      </w:rPr>
    </w:lvl>
    <w:lvl w:ilvl="7" w:tentative="0">
      <w:start w:val="1"/>
      <w:numFmt w:val="decimal"/>
      <w:lvlText w:val="%1.%2.%3.%4.%5.%6.%7.%8."/>
      <w:lvlJc w:val="left"/>
      <w:pPr>
        <w:tabs>
          <w:tab w:val="left" w:pos="3544"/>
        </w:tabs>
        <w:ind w:left="3544" w:hanging="1418"/>
      </w:pPr>
      <w:rPr>
        <w:rFonts w:hint="eastAsia"/>
      </w:rPr>
    </w:lvl>
    <w:lvl w:ilvl="8" w:tentative="0">
      <w:start w:val="1"/>
      <w:numFmt w:val="decimal"/>
      <w:lvlText w:val="%1.%2.%3.%4.%5.%6.%7.%8.%9."/>
      <w:lvlJc w:val="left"/>
      <w:pPr>
        <w:tabs>
          <w:tab w:val="left" w:pos="3685"/>
        </w:tabs>
        <w:ind w:left="3685" w:hanging="1559"/>
      </w:pPr>
      <w:rPr>
        <w:rFonts w:hint="eastAsia"/>
      </w:rPr>
    </w:lvl>
  </w:abstractNum>
  <w:abstractNum w:abstractNumId="17">
    <w:nsid w:val="350546A3"/>
    <w:multiLevelType w:val="multilevel"/>
    <w:tmpl w:val="350546A3"/>
    <w:lvl w:ilvl="0" w:tentative="0">
      <w:start w:val="1"/>
      <w:numFmt w:val="decimal"/>
      <w:lvlText w:val="%1"/>
      <w:lvlJc w:val="left"/>
      <w:pPr>
        <w:tabs>
          <w:tab w:val="left" w:pos="425"/>
        </w:tabs>
        <w:ind w:left="425" w:hanging="425"/>
      </w:pPr>
      <w:rPr>
        <w:rFonts w:hint="eastAsia"/>
        <w:b/>
      </w:rPr>
    </w:lvl>
    <w:lvl w:ilvl="1" w:tentative="0">
      <w:start w:val="1"/>
      <w:numFmt w:val="decimal"/>
      <w:lvlText w:val="%1.%2"/>
      <w:lvlJc w:val="left"/>
      <w:pPr>
        <w:tabs>
          <w:tab w:val="left" w:pos="992"/>
        </w:tabs>
        <w:ind w:left="992" w:hanging="567"/>
      </w:pPr>
      <w:rPr>
        <w:rFonts w:hint="eastAsia" w:ascii="宋体" w:hAnsi="宋体" w:eastAsia="宋体"/>
        <w:color w:val="auto"/>
      </w:rPr>
    </w:lvl>
    <w:lvl w:ilvl="2" w:tentative="0">
      <w:start w:val="1"/>
      <w:numFmt w:val="decimal"/>
      <w:lvlText w:val="(%3)"/>
      <w:lvlJc w:val="left"/>
      <w:pPr>
        <w:tabs>
          <w:tab w:val="left" w:pos="1271"/>
        </w:tabs>
        <w:ind w:left="1271" w:hanging="42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18">
    <w:nsid w:val="37E80289"/>
    <w:multiLevelType w:val="multilevel"/>
    <w:tmpl w:val="37E80289"/>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9">
    <w:nsid w:val="3A9F2B3A"/>
    <w:multiLevelType w:val="multilevel"/>
    <w:tmpl w:val="3A9F2B3A"/>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0">
    <w:nsid w:val="400D705D"/>
    <w:multiLevelType w:val="multilevel"/>
    <w:tmpl w:val="400D705D"/>
    <w:lvl w:ilvl="0" w:tentative="0">
      <w:start w:val="1"/>
      <w:numFmt w:val="decimal"/>
      <w:lvlText w:val="%1"/>
      <w:lvlJc w:val="left"/>
      <w:pPr>
        <w:tabs>
          <w:tab w:val="left" w:pos="425"/>
        </w:tabs>
        <w:ind w:left="425" w:hanging="425"/>
      </w:pPr>
      <w:rPr>
        <w:rFonts w:hint="eastAsia"/>
        <w:b/>
      </w:rPr>
    </w:lvl>
    <w:lvl w:ilvl="1" w:tentative="0">
      <w:start w:val="1"/>
      <w:numFmt w:val="decimal"/>
      <w:lvlText w:val="%1.%2"/>
      <w:lvlJc w:val="left"/>
      <w:pPr>
        <w:tabs>
          <w:tab w:val="left" w:pos="992"/>
        </w:tabs>
        <w:ind w:left="992" w:hanging="567"/>
      </w:pPr>
      <w:rPr>
        <w:rFonts w:hint="eastAsia" w:ascii="宋体" w:hAnsi="宋体" w:eastAsia="宋体"/>
        <w:color w:val="auto"/>
      </w:rPr>
    </w:lvl>
    <w:lvl w:ilvl="2" w:tentative="0">
      <w:start w:val="1"/>
      <w:numFmt w:val="decimal"/>
      <w:lvlText w:val="(%3)"/>
      <w:lvlJc w:val="left"/>
      <w:pPr>
        <w:tabs>
          <w:tab w:val="left" w:pos="1271"/>
        </w:tabs>
        <w:ind w:left="1271" w:hanging="42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21">
    <w:nsid w:val="41B03F9A"/>
    <w:multiLevelType w:val="multilevel"/>
    <w:tmpl w:val="41B03F9A"/>
    <w:lvl w:ilvl="0" w:tentative="0">
      <w:start w:val="1"/>
      <w:numFmt w:val="decimal"/>
      <w:lvlText w:val="%1."/>
      <w:lvlJc w:val="left"/>
      <w:pPr>
        <w:tabs>
          <w:tab w:val="left" w:pos="420"/>
        </w:tabs>
        <w:ind w:left="420" w:hanging="420"/>
      </w:pPr>
      <w:rPr>
        <w:rFonts w:hint="eastAsia"/>
        <w:color w:val="auto"/>
      </w:rPr>
    </w:lvl>
    <w:lvl w:ilvl="1" w:tentative="0">
      <w:start w:val="1"/>
      <w:numFmt w:val="decimal"/>
      <w:lvlText w:val="%2、"/>
      <w:lvlJc w:val="left"/>
      <w:pPr>
        <w:tabs>
          <w:tab w:val="left" w:pos="510"/>
        </w:tabs>
        <w:ind w:left="510" w:hanging="510"/>
      </w:pPr>
      <w:rPr>
        <w:rFonts w:hint="default"/>
      </w:rPr>
    </w:lvl>
    <w:lvl w:ilvl="2" w:tentative="0">
      <w:start w:val="1"/>
      <w:numFmt w:val="decimal"/>
      <w:lvlText w:val="%3)"/>
      <w:lvlJc w:val="left"/>
      <w:pPr>
        <w:tabs>
          <w:tab w:val="left" w:pos="840"/>
        </w:tabs>
        <w:ind w:left="840" w:hanging="420"/>
      </w:pPr>
      <w:rPr>
        <w:rFonts w:hint="eastAsia"/>
        <w:color w:val="auto"/>
      </w:rPr>
    </w:lvl>
    <w:lvl w:ilvl="3" w:tentative="0">
      <w:start w:val="1"/>
      <w:numFmt w:val="decimal"/>
      <w:lvlText w:val="%4."/>
      <w:lvlJc w:val="left"/>
      <w:pPr>
        <w:tabs>
          <w:tab w:val="left" w:pos="1260"/>
        </w:tabs>
        <w:ind w:left="1260" w:hanging="420"/>
      </w:pPr>
      <w:rPr>
        <w:rFonts w:hint="eastAsia"/>
      </w:rPr>
    </w:lvl>
    <w:lvl w:ilvl="4" w:tentative="0">
      <w:start w:val="1"/>
      <w:numFmt w:val="lowerLetter"/>
      <w:lvlText w:val="%5)"/>
      <w:lvlJc w:val="left"/>
      <w:pPr>
        <w:tabs>
          <w:tab w:val="left" w:pos="1680"/>
        </w:tabs>
        <w:ind w:left="1680" w:hanging="420"/>
      </w:pPr>
      <w:rPr>
        <w:rFonts w:hint="eastAsia"/>
      </w:rPr>
    </w:lvl>
    <w:lvl w:ilvl="5" w:tentative="0">
      <w:start w:val="1"/>
      <w:numFmt w:val="lowerRoman"/>
      <w:lvlText w:val="%6."/>
      <w:lvlJc w:val="right"/>
      <w:pPr>
        <w:tabs>
          <w:tab w:val="left" w:pos="2100"/>
        </w:tabs>
        <w:ind w:left="2100" w:hanging="420"/>
      </w:pPr>
      <w:rPr>
        <w:rFonts w:hint="eastAsia"/>
      </w:rPr>
    </w:lvl>
    <w:lvl w:ilvl="6" w:tentative="0">
      <w:start w:val="1"/>
      <w:numFmt w:val="decimal"/>
      <w:lvlText w:val="%7."/>
      <w:lvlJc w:val="left"/>
      <w:pPr>
        <w:tabs>
          <w:tab w:val="left" w:pos="2520"/>
        </w:tabs>
        <w:ind w:left="2520" w:hanging="420"/>
      </w:pPr>
      <w:rPr>
        <w:rFonts w:hint="eastAsia"/>
      </w:rPr>
    </w:lvl>
    <w:lvl w:ilvl="7" w:tentative="0">
      <w:start w:val="1"/>
      <w:numFmt w:val="lowerLetter"/>
      <w:lvlText w:val="%8)"/>
      <w:lvlJc w:val="left"/>
      <w:pPr>
        <w:tabs>
          <w:tab w:val="left" w:pos="2940"/>
        </w:tabs>
        <w:ind w:left="2940" w:hanging="420"/>
      </w:pPr>
      <w:rPr>
        <w:rFonts w:hint="eastAsia"/>
      </w:rPr>
    </w:lvl>
    <w:lvl w:ilvl="8" w:tentative="0">
      <w:start w:val="1"/>
      <w:numFmt w:val="lowerRoman"/>
      <w:lvlText w:val="%9."/>
      <w:lvlJc w:val="right"/>
      <w:pPr>
        <w:tabs>
          <w:tab w:val="left" w:pos="3360"/>
        </w:tabs>
        <w:ind w:left="3360" w:hanging="420"/>
      </w:pPr>
      <w:rPr>
        <w:rFonts w:hint="eastAsia"/>
      </w:rPr>
    </w:lvl>
  </w:abstractNum>
  <w:abstractNum w:abstractNumId="22">
    <w:nsid w:val="49F21F90"/>
    <w:multiLevelType w:val="multilevel"/>
    <w:tmpl w:val="49F21F90"/>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3">
    <w:nsid w:val="526065B0"/>
    <w:multiLevelType w:val="multilevel"/>
    <w:tmpl w:val="526065B0"/>
    <w:lvl w:ilvl="0" w:tentative="0">
      <w:start w:val="1"/>
      <w:numFmt w:val="decimal"/>
      <w:lvlText w:val="%1"/>
      <w:lvlJc w:val="left"/>
      <w:pPr>
        <w:tabs>
          <w:tab w:val="left" w:pos="420"/>
        </w:tabs>
        <w:ind w:left="420" w:hanging="420"/>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bullet"/>
      <w:lvlText w:val=""/>
      <w:lvlJc w:val="left"/>
      <w:pPr>
        <w:tabs>
          <w:tab w:val="left" w:pos="1271"/>
        </w:tabs>
        <w:ind w:left="1271" w:hanging="420"/>
      </w:pPr>
      <w:rPr>
        <w:rFonts w:hint="default" w:ascii="Wingdings" w:hAnsi="Wingdings"/>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24">
    <w:nsid w:val="53F10C32"/>
    <w:multiLevelType w:val="multilevel"/>
    <w:tmpl w:val="53F10C32"/>
    <w:lvl w:ilvl="0" w:tentative="0">
      <w:start w:val="1"/>
      <w:numFmt w:val="decimal"/>
      <w:suff w:val="space"/>
      <w:lvlText w:val="%1."/>
      <w:lvlJc w:val="left"/>
      <w:pPr>
        <w:ind w:left="432" w:hanging="432"/>
      </w:pPr>
      <w:rPr>
        <w:rFonts w:hint="eastAsia"/>
        <w:b/>
        <w:sz w:val="24"/>
        <w:szCs w:val="24"/>
      </w:rPr>
    </w:lvl>
    <w:lvl w:ilvl="1" w:tentative="0">
      <w:start w:val="1"/>
      <w:numFmt w:val="decimal"/>
      <w:pStyle w:val="3"/>
      <w:suff w:val="space"/>
      <w:lvlText w:val="%1.%2"/>
      <w:lvlJc w:val="left"/>
      <w:pPr>
        <w:ind w:left="576" w:hanging="576"/>
      </w:pPr>
      <w:rPr>
        <w:rFonts w:hint="eastAsia"/>
        <w:sz w:val="24"/>
        <w:szCs w:val="24"/>
        <w:lang w:val="en-US"/>
      </w:rPr>
    </w:lvl>
    <w:lvl w:ilvl="2" w:tentative="0">
      <w:start w:val="1"/>
      <w:numFmt w:val="decimal"/>
      <w:pStyle w:val="4"/>
      <w:suff w:val="space"/>
      <w:lvlText w:val="%1.%2.%3"/>
      <w:lvlJc w:val="left"/>
      <w:pPr>
        <w:ind w:left="720" w:hanging="720"/>
      </w:pPr>
      <w:rPr>
        <w:rFonts w:hint="eastAsia"/>
        <w:b w:val="0"/>
        <w:bCs w:val="0"/>
        <w:i w:val="0"/>
        <w:iCs w:val="0"/>
        <w:caps w:val="0"/>
        <w:smallCaps w:val="0"/>
        <w:strike w:val="0"/>
        <w:dstrike w:val="0"/>
        <w:vanish w:val="0"/>
        <w:color w:val="000000"/>
        <w:spacing w:val="0"/>
        <w:position w:val="0"/>
        <w:sz w:val="24"/>
        <w:szCs w:val="24"/>
        <w:u w:val="none"/>
        <w:vertAlign w:val="baseline"/>
      </w:rPr>
    </w:lvl>
    <w:lvl w:ilvl="3" w:tentative="0">
      <w:start w:val="1"/>
      <w:numFmt w:val="decimal"/>
      <w:pStyle w:val="5"/>
      <w:suff w:val="space"/>
      <w:lvlText w:val="%1.%2.%3.%4"/>
      <w:lvlJc w:val="left"/>
      <w:pPr>
        <w:ind w:left="864" w:hanging="864"/>
      </w:pPr>
      <w:rPr>
        <w:rFonts w:hint="eastAsia"/>
      </w:rPr>
    </w:lvl>
    <w:lvl w:ilvl="4" w:tentative="0">
      <w:start w:val="1"/>
      <w:numFmt w:val="decimal"/>
      <w:pStyle w:val="6"/>
      <w:suff w:val="space"/>
      <w:lvlText w:val="%1.%2.%3.%4.%5"/>
      <w:lvlJc w:val="left"/>
      <w:pPr>
        <w:ind w:left="1008" w:hanging="1008"/>
      </w:pPr>
      <w:rPr>
        <w:rFonts w:hint="eastAsia"/>
        <w:b w:val="0"/>
        <w:bCs w:val="0"/>
        <w:i w:val="0"/>
        <w:iCs w:val="0"/>
        <w:caps w:val="0"/>
        <w:smallCaps w:val="0"/>
        <w:strike w:val="0"/>
        <w:dstrike w:val="0"/>
        <w:vanish w:val="0"/>
        <w:color w:val="000000"/>
        <w:spacing w:val="0"/>
        <w:position w:val="0"/>
        <w:u w:val="none"/>
        <w:vertAlign w:val="baseline"/>
      </w:rPr>
    </w:lvl>
    <w:lvl w:ilvl="5" w:tentative="0">
      <w:start w:val="1"/>
      <w:numFmt w:val="decimal"/>
      <w:pStyle w:val="8"/>
      <w:suff w:val="space"/>
      <w:lvlText w:val="%1.%2.%3.%4.%5.%6"/>
      <w:lvlJc w:val="left"/>
      <w:pPr>
        <w:ind w:left="1152" w:hanging="1152"/>
      </w:pPr>
      <w:rPr>
        <w:rFonts w:hint="eastAsia"/>
        <w:b w:val="0"/>
        <w:bCs w:val="0"/>
        <w:i w:val="0"/>
        <w:iCs w:val="0"/>
        <w:caps w:val="0"/>
        <w:smallCaps w:val="0"/>
        <w:strike w:val="0"/>
        <w:dstrike w:val="0"/>
        <w:vanish w:val="0"/>
        <w:color w:val="000000"/>
        <w:spacing w:val="0"/>
        <w:position w:val="0"/>
        <w:u w:val="none"/>
        <w:vertAlign w:val="baseline"/>
      </w:rPr>
    </w:lvl>
    <w:lvl w:ilvl="6" w:tentative="0">
      <w:start w:val="1"/>
      <w:numFmt w:val="decimal"/>
      <w:pStyle w:val="9"/>
      <w:suff w:val="space"/>
      <w:lvlText w:val="%1.%2.%3.%4.%5.%6.%7"/>
      <w:lvlJc w:val="left"/>
      <w:pPr>
        <w:ind w:left="1296" w:hanging="1296"/>
      </w:pPr>
      <w:rPr>
        <w:rFonts w:hint="eastAsia"/>
      </w:rPr>
    </w:lvl>
    <w:lvl w:ilvl="7" w:tentative="0">
      <w:start w:val="1"/>
      <w:numFmt w:val="decimal"/>
      <w:pStyle w:val="10"/>
      <w:suff w:val="space"/>
      <w:lvlText w:val="%1.%2.%3.%4.%5.%6.%7.%8"/>
      <w:lvlJc w:val="left"/>
      <w:pPr>
        <w:ind w:left="1440" w:hanging="1440"/>
      </w:pPr>
      <w:rPr>
        <w:rFonts w:hint="eastAsia"/>
      </w:rPr>
    </w:lvl>
    <w:lvl w:ilvl="8" w:tentative="0">
      <w:start w:val="1"/>
      <w:numFmt w:val="decimal"/>
      <w:pStyle w:val="11"/>
      <w:suff w:val="space"/>
      <w:lvlText w:val="%1.%2.%3.%4.%5.%6.%7.%8.%9"/>
      <w:lvlJc w:val="left"/>
      <w:pPr>
        <w:ind w:left="1584" w:hanging="1584"/>
      </w:pPr>
      <w:rPr>
        <w:rFonts w:hint="eastAsia"/>
      </w:rPr>
    </w:lvl>
  </w:abstractNum>
  <w:abstractNum w:abstractNumId="25">
    <w:nsid w:val="5BC858D1"/>
    <w:multiLevelType w:val="multilevel"/>
    <w:tmpl w:val="5BC858D1"/>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80132DD"/>
    <w:multiLevelType w:val="multilevel"/>
    <w:tmpl w:val="680132D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A476BC4"/>
    <w:multiLevelType w:val="multilevel"/>
    <w:tmpl w:val="6A476BC4"/>
    <w:lvl w:ilvl="0" w:tentative="0">
      <w:start w:val="1"/>
      <w:numFmt w:val="decimal"/>
      <w:lvlText w:val="%1"/>
      <w:lvlJc w:val="left"/>
      <w:pPr>
        <w:ind w:left="425" w:hanging="425"/>
      </w:pPr>
      <w:rPr>
        <w:rFonts w:hint="eastAsia"/>
        <w:b/>
      </w:rPr>
    </w:lvl>
    <w:lvl w:ilvl="1" w:tentative="0">
      <w:start w:val="1"/>
      <w:numFmt w:val="decimal"/>
      <w:lvlText w:val="%1.%2"/>
      <w:lvlJc w:val="left"/>
      <w:pPr>
        <w:ind w:left="992" w:hanging="567"/>
      </w:pPr>
      <w:rPr>
        <w:rFonts w:hint="eastAsia"/>
        <w:b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8">
    <w:nsid w:val="6DBB6A53"/>
    <w:multiLevelType w:val="multilevel"/>
    <w:tmpl w:val="6DBB6A53"/>
    <w:lvl w:ilvl="0" w:tentative="0">
      <w:start w:val="1"/>
      <w:numFmt w:val="decimal"/>
      <w:lvlText w:val="%1"/>
      <w:lvlJc w:val="left"/>
      <w:pPr>
        <w:tabs>
          <w:tab w:val="left" w:pos="425"/>
        </w:tabs>
        <w:ind w:left="425" w:hanging="425"/>
      </w:pPr>
      <w:rPr>
        <w:rFonts w:hint="eastAsia"/>
        <w:b/>
      </w:rPr>
    </w:lvl>
    <w:lvl w:ilvl="1" w:tentative="0">
      <w:start w:val="1"/>
      <w:numFmt w:val="decimal"/>
      <w:lvlText w:val="%1.%2"/>
      <w:lvlJc w:val="left"/>
      <w:pPr>
        <w:tabs>
          <w:tab w:val="left" w:pos="992"/>
        </w:tabs>
        <w:ind w:left="992" w:hanging="567"/>
      </w:pPr>
      <w:rPr>
        <w:rFonts w:hint="eastAsia"/>
        <w:b w:val="0"/>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29">
    <w:nsid w:val="7024731E"/>
    <w:multiLevelType w:val="multilevel"/>
    <w:tmpl w:val="7024731E"/>
    <w:lvl w:ilvl="0" w:tentative="0">
      <w:start w:val="1"/>
      <w:numFmt w:val="decimal"/>
      <w:suff w:val="nothing"/>
      <w:lvlText w:val="4.%1."/>
      <w:lvlJc w:val="left"/>
      <w:pPr>
        <w:ind w:left="0" w:firstLine="284"/>
      </w:pPr>
      <w:rPr>
        <w:rFonts w:hint="eastAsia"/>
      </w:rPr>
    </w:lvl>
    <w:lvl w:ilvl="1" w:tentative="0">
      <w:start w:val="1"/>
      <w:numFmt w:val="decimal"/>
      <w:lvlText w:val="4.%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50918A2"/>
    <w:multiLevelType w:val="multilevel"/>
    <w:tmpl w:val="750918A2"/>
    <w:lvl w:ilvl="0" w:tentative="0">
      <w:start w:val="1"/>
      <w:numFmt w:val="decimal"/>
      <w:lvlText w:val="4.1.%1."/>
      <w:lvlJc w:val="left"/>
      <w:pPr>
        <w:ind w:left="0" w:firstLine="284"/>
      </w:pPr>
      <w:rPr>
        <w:rFonts w:hint="eastAsia"/>
      </w:rPr>
    </w:lvl>
    <w:lvl w:ilvl="1" w:tentative="0">
      <w:start w:val="1"/>
      <w:numFmt w:val="lowerLetter"/>
      <w:lvlText w:val="%2）"/>
      <w:lvlJc w:val="left"/>
      <w:pPr>
        <w:ind w:left="786" w:hanging="360"/>
      </w:pPr>
      <w:rPr>
        <w:rFonts w:hint="default"/>
      </w:rPr>
    </w:lvl>
    <w:lvl w:ilvl="2" w:tentative="0">
      <w:start w:val="1"/>
      <w:numFmt w:val="decimal"/>
      <w:suff w:val="space"/>
      <w:lvlText w:val="4.3.%3."/>
      <w:lvlJc w:val="left"/>
      <w:pPr>
        <w:ind w:left="0" w:firstLine="284"/>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F3A2768"/>
    <w:multiLevelType w:val="multilevel"/>
    <w:tmpl w:val="7F3A2768"/>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24"/>
  </w:num>
  <w:num w:numId="2">
    <w:abstractNumId w:val="2"/>
  </w:num>
  <w:num w:numId="3">
    <w:abstractNumId w:val="1"/>
  </w:num>
  <w:num w:numId="4">
    <w:abstractNumId w:val="16"/>
  </w:num>
  <w:num w:numId="5">
    <w:abstractNumId w:val="3"/>
  </w:num>
  <w:num w:numId="6">
    <w:abstractNumId w:val="8"/>
  </w:num>
  <w:num w:numId="7">
    <w:abstractNumId w:val="31"/>
  </w:num>
  <w:num w:numId="8">
    <w:abstractNumId w:val="19"/>
  </w:num>
  <w:num w:numId="9">
    <w:abstractNumId w:val="18"/>
  </w:num>
  <w:num w:numId="10">
    <w:abstractNumId w:val="22"/>
  </w:num>
  <w:num w:numId="11">
    <w:abstractNumId w:val="15"/>
  </w:num>
  <w:num w:numId="12">
    <w:abstractNumId w:val="5"/>
  </w:num>
  <w:num w:numId="13">
    <w:abstractNumId w:val="11"/>
  </w:num>
  <w:num w:numId="14">
    <w:abstractNumId w:val="4"/>
  </w:num>
  <w:num w:numId="15">
    <w:abstractNumId w:val="7"/>
  </w:num>
  <w:num w:numId="16">
    <w:abstractNumId w:val="6"/>
  </w:num>
  <w:num w:numId="17">
    <w:abstractNumId w:val="23"/>
  </w:num>
  <w:num w:numId="18">
    <w:abstractNumId w:val="28"/>
  </w:num>
  <w:num w:numId="19">
    <w:abstractNumId w:val="0"/>
  </w:num>
  <w:num w:numId="20">
    <w:abstractNumId w:val="27"/>
  </w:num>
  <w:num w:numId="21">
    <w:abstractNumId w:val="20"/>
  </w:num>
  <w:num w:numId="22">
    <w:abstractNumId w:val="10"/>
  </w:num>
  <w:num w:numId="23">
    <w:abstractNumId w:val="9"/>
  </w:num>
  <w:num w:numId="24">
    <w:abstractNumId w:val="17"/>
  </w:num>
  <w:num w:numId="25">
    <w:abstractNumId w:val="13"/>
  </w:num>
  <w:num w:numId="26">
    <w:abstractNumId w:val="12"/>
  </w:num>
  <w:num w:numId="27">
    <w:abstractNumId w:val="14"/>
  </w:num>
  <w:num w:numId="28">
    <w:abstractNumId w:val="21"/>
  </w:num>
  <w:num w:numId="29">
    <w:abstractNumId w:val="26"/>
  </w:num>
  <w:num w:numId="30">
    <w:abstractNumId w:val="29"/>
  </w:num>
  <w:num w:numId="31">
    <w:abstractNumId w:val="3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mMjcwNjhlOGI2Y2EyYzE1OTUyMjRiNjEzMTU5YTUifQ=="/>
  </w:docVars>
  <w:rsids>
    <w:rsidRoot w:val="00E16DB2"/>
    <w:rsid w:val="000036EE"/>
    <w:rsid w:val="000070C2"/>
    <w:rsid w:val="00011695"/>
    <w:rsid w:val="0001689C"/>
    <w:rsid w:val="000170F4"/>
    <w:rsid w:val="00017B1B"/>
    <w:rsid w:val="000219F2"/>
    <w:rsid w:val="00023F50"/>
    <w:rsid w:val="000277A4"/>
    <w:rsid w:val="00027B69"/>
    <w:rsid w:val="000343E0"/>
    <w:rsid w:val="00034FFC"/>
    <w:rsid w:val="00040765"/>
    <w:rsid w:val="0004242D"/>
    <w:rsid w:val="00042DCD"/>
    <w:rsid w:val="00046EE3"/>
    <w:rsid w:val="00047673"/>
    <w:rsid w:val="0005278E"/>
    <w:rsid w:val="00053294"/>
    <w:rsid w:val="00053414"/>
    <w:rsid w:val="00055921"/>
    <w:rsid w:val="000604B3"/>
    <w:rsid w:val="00060A89"/>
    <w:rsid w:val="000635E2"/>
    <w:rsid w:val="00064504"/>
    <w:rsid w:val="00064E15"/>
    <w:rsid w:val="00064E90"/>
    <w:rsid w:val="00065A54"/>
    <w:rsid w:val="00067A69"/>
    <w:rsid w:val="000719FD"/>
    <w:rsid w:val="0007340B"/>
    <w:rsid w:val="00073596"/>
    <w:rsid w:val="000742FC"/>
    <w:rsid w:val="00076920"/>
    <w:rsid w:val="0008004A"/>
    <w:rsid w:val="00080BB9"/>
    <w:rsid w:val="000844BE"/>
    <w:rsid w:val="00085046"/>
    <w:rsid w:val="00085C1C"/>
    <w:rsid w:val="0008627F"/>
    <w:rsid w:val="000943A9"/>
    <w:rsid w:val="00094817"/>
    <w:rsid w:val="000A0A18"/>
    <w:rsid w:val="000A43C5"/>
    <w:rsid w:val="000A5CF1"/>
    <w:rsid w:val="000B2528"/>
    <w:rsid w:val="000B6C36"/>
    <w:rsid w:val="000B71F7"/>
    <w:rsid w:val="000B768E"/>
    <w:rsid w:val="000C0F5B"/>
    <w:rsid w:val="000C2110"/>
    <w:rsid w:val="000C59B8"/>
    <w:rsid w:val="000C739A"/>
    <w:rsid w:val="000D0268"/>
    <w:rsid w:val="000D4527"/>
    <w:rsid w:val="000D49A9"/>
    <w:rsid w:val="000D73F8"/>
    <w:rsid w:val="000D7B67"/>
    <w:rsid w:val="000E0E99"/>
    <w:rsid w:val="000E255E"/>
    <w:rsid w:val="000F036F"/>
    <w:rsid w:val="000F5683"/>
    <w:rsid w:val="000F74EE"/>
    <w:rsid w:val="00100D6E"/>
    <w:rsid w:val="001019B2"/>
    <w:rsid w:val="0010223A"/>
    <w:rsid w:val="001048C2"/>
    <w:rsid w:val="00106222"/>
    <w:rsid w:val="00112E1B"/>
    <w:rsid w:val="00113D1D"/>
    <w:rsid w:val="00114F82"/>
    <w:rsid w:val="0011688D"/>
    <w:rsid w:val="00120CC2"/>
    <w:rsid w:val="001228A9"/>
    <w:rsid w:val="001238DD"/>
    <w:rsid w:val="00124991"/>
    <w:rsid w:val="0012617B"/>
    <w:rsid w:val="001263C4"/>
    <w:rsid w:val="00132B7A"/>
    <w:rsid w:val="00137E4B"/>
    <w:rsid w:val="00141A76"/>
    <w:rsid w:val="00141F92"/>
    <w:rsid w:val="00143951"/>
    <w:rsid w:val="00143FC0"/>
    <w:rsid w:val="0014471A"/>
    <w:rsid w:val="001458D7"/>
    <w:rsid w:val="001477D0"/>
    <w:rsid w:val="00147B10"/>
    <w:rsid w:val="00150C4A"/>
    <w:rsid w:val="00152865"/>
    <w:rsid w:val="00152AEC"/>
    <w:rsid w:val="00153567"/>
    <w:rsid w:val="00154136"/>
    <w:rsid w:val="001568F8"/>
    <w:rsid w:val="00160798"/>
    <w:rsid w:val="00161B75"/>
    <w:rsid w:val="00165066"/>
    <w:rsid w:val="001658D1"/>
    <w:rsid w:val="00165DF6"/>
    <w:rsid w:val="001661C7"/>
    <w:rsid w:val="0016754C"/>
    <w:rsid w:val="00170A61"/>
    <w:rsid w:val="00171A68"/>
    <w:rsid w:val="00174E26"/>
    <w:rsid w:val="0017652D"/>
    <w:rsid w:val="00177D43"/>
    <w:rsid w:val="00187941"/>
    <w:rsid w:val="00187EEA"/>
    <w:rsid w:val="00187F73"/>
    <w:rsid w:val="001912EA"/>
    <w:rsid w:val="00192223"/>
    <w:rsid w:val="001A1F1F"/>
    <w:rsid w:val="001A537F"/>
    <w:rsid w:val="001A58DC"/>
    <w:rsid w:val="001A7573"/>
    <w:rsid w:val="001B220A"/>
    <w:rsid w:val="001B2355"/>
    <w:rsid w:val="001B246B"/>
    <w:rsid w:val="001B3639"/>
    <w:rsid w:val="001B426F"/>
    <w:rsid w:val="001B70D8"/>
    <w:rsid w:val="001B72D2"/>
    <w:rsid w:val="001B741C"/>
    <w:rsid w:val="001C0FBE"/>
    <w:rsid w:val="001C12DE"/>
    <w:rsid w:val="001D0B46"/>
    <w:rsid w:val="001D1623"/>
    <w:rsid w:val="001D3263"/>
    <w:rsid w:val="001D4F64"/>
    <w:rsid w:val="001E2EB1"/>
    <w:rsid w:val="001E5185"/>
    <w:rsid w:val="001E672E"/>
    <w:rsid w:val="001E73D5"/>
    <w:rsid w:val="001E7E7A"/>
    <w:rsid w:val="001F0864"/>
    <w:rsid w:val="001F0ED8"/>
    <w:rsid w:val="001F1956"/>
    <w:rsid w:val="001F29C0"/>
    <w:rsid w:val="001F4D88"/>
    <w:rsid w:val="001F5E08"/>
    <w:rsid w:val="002034FE"/>
    <w:rsid w:val="00203A1F"/>
    <w:rsid w:val="00203CB9"/>
    <w:rsid w:val="002063E2"/>
    <w:rsid w:val="00212FE5"/>
    <w:rsid w:val="002136E0"/>
    <w:rsid w:val="002137C4"/>
    <w:rsid w:val="002145D9"/>
    <w:rsid w:val="002150C6"/>
    <w:rsid w:val="002233B4"/>
    <w:rsid w:val="00224B73"/>
    <w:rsid w:val="002250F3"/>
    <w:rsid w:val="00225F11"/>
    <w:rsid w:val="00231F28"/>
    <w:rsid w:val="00232602"/>
    <w:rsid w:val="002356EE"/>
    <w:rsid w:val="00236B29"/>
    <w:rsid w:val="00237517"/>
    <w:rsid w:val="002412B2"/>
    <w:rsid w:val="002415E0"/>
    <w:rsid w:val="00241C66"/>
    <w:rsid w:val="00250914"/>
    <w:rsid w:val="00251A59"/>
    <w:rsid w:val="0025260D"/>
    <w:rsid w:val="00254AC4"/>
    <w:rsid w:val="00257673"/>
    <w:rsid w:val="00257E5F"/>
    <w:rsid w:val="00260865"/>
    <w:rsid w:val="00263139"/>
    <w:rsid w:val="00263205"/>
    <w:rsid w:val="002709D5"/>
    <w:rsid w:val="00271A5E"/>
    <w:rsid w:val="0027505C"/>
    <w:rsid w:val="002811A0"/>
    <w:rsid w:val="00281DE0"/>
    <w:rsid w:val="00282157"/>
    <w:rsid w:val="00284216"/>
    <w:rsid w:val="0028722F"/>
    <w:rsid w:val="00290476"/>
    <w:rsid w:val="00290506"/>
    <w:rsid w:val="00290BB4"/>
    <w:rsid w:val="00290C96"/>
    <w:rsid w:val="00290FB0"/>
    <w:rsid w:val="0029186A"/>
    <w:rsid w:val="002938D9"/>
    <w:rsid w:val="00293FA3"/>
    <w:rsid w:val="002940D8"/>
    <w:rsid w:val="00294DEF"/>
    <w:rsid w:val="002962AB"/>
    <w:rsid w:val="002965E6"/>
    <w:rsid w:val="002977E0"/>
    <w:rsid w:val="002A0A8A"/>
    <w:rsid w:val="002A2497"/>
    <w:rsid w:val="002A6585"/>
    <w:rsid w:val="002A7184"/>
    <w:rsid w:val="002B26DF"/>
    <w:rsid w:val="002B3312"/>
    <w:rsid w:val="002B55C1"/>
    <w:rsid w:val="002B75EC"/>
    <w:rsid w:val="002C0708"/>
    <w:rsid w:val="002C093F"/>
    <w:rsid w:val="002C30FB"/>
    <w:rsid w:val="002C51A5"/>
    <w:rsid w:val="002C582B"/>
    <w:rsid w:val="002D5D10"/>
    <w:rsid w:val="002E4ABA"/>
    <w:rsid w:val="002E583B"/>
    <w:rsid w:val="002E60C4"/>
    <w:rsid w:val="002E68DA"/>
    <w:rsid w:val="002E6A80"/>
    <w:rsid w:val="002E6C08"/>
    <w:rsid w:val="002E704C"/>
    <w:rsid w:val="002E7545"/>
    <w:rsid w:val="002E7B7D"/>
    <w:rsid w:val="002E7EC9"/>
    <w:rsid w:val="002F0052"/>
    <w:rsid w:val="002F3C91"/>
    <w:rsid w:val="002F5751"/>
    <w:rsid w:val="002F6650"/>
    <w:rsid w:val="00301699"/>
    <w:rsid w:val="0030638C"/>
    <w:rsid w:val="00307A3F"/>
    <w:rsid w:val="00307C9D"/>
    <w:rsid w:val="00307FBB"/>
    <w:rsid w:val="003177E6"/>
    <w:rsid w:val="00320735"/>
    <w:rsid w:val="003209D0"/>
    <w:rsid w:val="003213C7"/>
    <w:rsid w:val="00322C05"/>
    <w:rsid w:val="0032311D"/>
    <w:rsid w:val="0032442F"/>
    <w:rsid w:val="00325465"/>
    <w:rsid w:val="00325CA5"/>
    <w:rsid w:val="003274FD"/>
    <w:rsid w:val="00333522"/>
    <w:rsid w:val="00340170"/>
    <w:rsid w:val="003401A4"/>
    <w:rsid w:val="00350772"/>
    <w:rsid w:val="0035138F"/>
    <w:rsid w:val="00352092"/>
    <w:rsid w:val="00352813"/>
    <w:rsid w:val="00355363"/>
    <w:rsid w:val="00356A8D"/>
    <w:rsid w:val="00356B6D"/>
    <w:rsid w:val="00357FC8"/>
    <w:rsid w:val="00360D86"/>
    <w:rsid w:val="0036114F"/>
    <w:rsid w:val="00361218"/>
    <w:rsid w:val="0036303D"/>
    <w:rsid w:val="003634A9"/>
    <w:rsid w:val="00363A88"/>
    <w:rsid w:val="00365E43"/>
    <w:rsid w:val="003705A4"/>
    <w:rsid w:val="00371751"/>
    <w:rsid w:val="003717E1"/>
    <w:rsid w:val="00372D94"/>
    <w:rsid w:val="003731F4"/>
    <w:rsid w:val="00373DF8"/>
    <w:rsid w:val="00374B2D"/>
    <w:rsid w:val="00374E73"/>
    <w:rsid w:val="0037517F"/>
    <w:rsid w:val="00375DB4"/>
    <w:rsid w:val="003819A8"/>
    <w:rsid w:val="00382146"/>
    <w:rsid w:val="00383EEA"/>
    <w:rsid w:val="00386175"/>
    <w:rsid w:val="00390E34"/>
    <w:rsid w:val="0039157D"/>
    <w:rsid w:val="003976CC"/>
    <w:rsid w:val="003A1487"/>
    <w:rsid w:val="003A1633"/>
    <w:rsid w:val="003A1EE8"/>
    <w:rsid w:val="003A209B"/>
    <w:rsid w:val="003A7059"/>
    <w:rsid w:val="003A7727"/>
    <w:rsid w:val="003A7D89"/>
    <w:rsid w:val="003A7F65"/>
    <w:rsid w:val="003B21B8"/>
    <w:rsid w:val="003B2C00"/>
    <w:rsid w:val="003B64AB"/>
    <w:rsid w:val="003B6BAA"/>
    <w:rsid w:val="003B73A2"/>
    <w:rsid w:val="003C0DBE"/>
    <w:rsid w:val="003C372E"/>
    <w:rsid w:val="003C4178"/>
    <w:rsid w:val="003C422D"/>
    <w:rsid w:val="003C47CD"/>
    <w:rsid w:val="003C4A78"/>
    <w:rsid w:val="003C6BAE"/>
    <w:rsid w:val="003D3960"/>
    <w:rsid w:val="003D4753"/>
    <w:rsid w:val="003D6C1E"/>
    <w:rsid w:val="003E2438"/>
    <w:rsid w:val="003E2F48"/>
    <w:rsid w:val="003E5D00"/>
    <w:rsid w:val="003F107A"/>
    <w:rsid w:val="003F20B8"/>
    <w:rsid w:val="003F3944"/>
    <w:rsid w:val="003F3D5E"/>
    <w:rsid w:val="003F4340"/>
    <w:rsid w:val="003F57C0"/>
    <w:rsid w:val="003F799F"/>
    <w:rsid w:val="00407795"/>
    <w:rsid w:val="004156F4"/>
    <w:rsid w:val="004209CC"/>
    <w:rsid w:val="00421F94"/>
    <w:rsid w:val="0042304A"/>
    <w:rsid w:val="0042310B"/>
    <w:rsid w:val="00425764"/>
    <w:rsid w:val="00425982"/>
    <w:rsid w:val="00426745"/>
    <w:rsid w:val="004267B6"/>
    <w:rsid w:val="004268A7"/>
    <w:rsid w:val="00431F62"/>
    <w:rsid w:val="00433E56"/>
    <w:rsid w:val="00435590"/>
    <w:rsid w:val="0043570B"/>
    <w:rsid w:val="00435A3F"/>
    <w:rsid w:val="00435E5D"/>
    <w:rsid w:val="00436DA0"/>
    <w:rsid w:val="00437820"/>
    <w:rsid w:val="00440D17"/>
    <w:rsid w:val="00440FD4"/>
    <w:rsid w:val="004444F6"/>
    <w:rsid w:val="0044546A"/>
    <w:rsid w:val="00447238"/>
    <w:rsid w:val="004517CD"/>
    <w:rsid w:val="00451D10"/>
    <w:rsid w:val="0045527F"/>
    <w:rsid w:val="0045771A"/>
    <w:rsid w:val="0046200D"/>
    <w:rsid w:val="004622F2"/>
    <w:rsid w:val="00463DCC"/>
    <w:rsid w:val="00463F64"/>
    <w:rsid w:val="00465787"/>
    <w:rsid w:val="004661B2"/>
    <w:rsid w:val="00466B75"/>
    <w:rsid w:val="00466FB2"/>
    <w:rsid w:val="00470897"/>
    <w:rsid w:val="004752B3"/>
    <w:rsid w:val="00476D1D"/>
    <w:rsid w:val="004775DB"/>
    <w:rsid w:val="004805A0"/>
    <w:rsid w:val="00480D60"/>
    <w:rsid w:val="00481EA9"/>
    <w:rsid w:val="004831F0"/>
    <w:rsid w:val="00484019"/>
    <w:rsid w:val="00484552"/>
    <w:rsid w:val="00485595"/>
    <w:rsid w:val="004913ED"/>
    <w:rsid w:val="0049459D"/>
    <w:rsid w:val="00494FDA"/>
    <w:rsid w:val="004957CC"/>
    <w:rsid w:val="00495BB3"/>
    <w:rsid w:val="00495BF6"/>
    <w:rsid w:val="004973A1"/>
    <w:rsid w:val="004A21F9"/>
    <w:rsid w:val="004A3177"/>
    <w:rsid w:val="004A3859"/>
    <w:rsid w:val="004A633E"/>
    <w:rsid w:val="004A6B1C"/>
    <w:rsid w:val="004A72E7"/>
    <w:rsid w:val="004B09B7"/>
    <w:rsid w:val="004B5F85"/>
    <w:rsid w:val="004C1DF9"/>
    <w:rsid w:val="004C2A1C"/>
    <w:rsid w:val="004C3608"/>
    <w:rsid w:val="004C7337"/>
    <w:rsid w:val="004D15AB"/>
    <w:rsid w:val="004D338C"/>
    <w:rsid w:val="004D4947"/>
    <w:rsid w:val="004D63C2"/>
    <w:rsid w:val="004E2776"/>
    <w:rsid w:val="004E5638"/>
    <w:rsid w:val="004E5C12"/>
    <w:rsid w:val="004E60DE"/>
    <w:rsid w:val="004F12F7"/>
    <w:rsid w:val="004F24EB"/>
    <w:rsid w:val="004F4622"/>
    <w:rsid w:val="004F4ABD"/>
    <w:rsid w:val="004F4C36"/>
    <w:rsid w:val="004F547F"/>
    <w:rsid w:val="00501807"/>
    <w:rsid w:val="005027E2"/>
    <w:rsid w:val="00507A27"/>
    <w:rsid w:val="005149CB"/>
    <w:rsid w:val="00515D15"/>
    <w:rsid w:val="00516AA0"/>
    <w:rsid w:val="0052205C"/>
    <w:rsid w:val="0052265B"/>
    <w:rsid w:val="00522CE4"/>
    <w:rsid w:val="005309E8"/>
    <w:rsid w:val="005310F0"/>
    <w:rsid w:val="005337D4"/>
    <w:rsid w:val="00537322"/>
    <w:rsid w:val="005409F7"/>
    <w:rsid w:val="00541C04"/>
    <w:rsid w:val="00542FBE"/>
    <w:rsid w:val="00543337"/>
    <w:rsid w:val="00544ABF"/>
    <w:rsid w:val="00546F9D"/>
    <w:rsid w:val="005478A8"/>
    <w:rsid w:val="00550B64"/>
    <w:rsid w:val="005512E4"/>
    <w:rsid w:val="005522AD"/>
    <w:rsid w:val="005565FE"/>
    <w:rsid w:val="0056355D"/>
    <w:rsid w:val="00563F18"/>
    <w:rsid w:val="00574BE2"/>
    <w:rsid w:val="00575ADA"/>
    <w:rsid w:val="005801DC"/>
    <w:rsid w:val="00584488"/>
    <w:rsid w:val="0058564B"/>
    <w:rsid w:val="005900A8"/>
    <w:rsid w:val="0059066D"/>
    <w:rsid w:val="005914D0"/>
    <w:rsid w:val="00591569"/>
    <w:rsid w:val="0059174D"/>
    <w:rsid w:val="00593060"/>
    <w:rsid w:val="005A1826"/>
    <w:rsid w:val="005A2281"/>
    <w:rsid w:val="005A506E"/>
    <w:rsid w:val="005A5DA9"/>
    <w:rsid w:val="005B4C62"/>
    <w:rsid w:val="005B744E"/>
    <w:rsid w:val="005B7A9D"/>
    <w:rsid w:val="005C0A96"/>
    <w:rsid w:val="005C10E5"/>
    <w:rsid w:val="005C4E93"/>
    <w:rsid w:val="005C5E5A"/>
    <w:rsid w:val="005C6EE4"/>
    <w:rsid w:val="005C794A"/>
    <w:rsid w:val="005D10BE"/>
    <w:rsid w:val="005D18DE"/>
    <w:rsid w:val="005D237C"/>
    <w:rsid w:val="005D3BFE"/>
    <w:rsid w:val="005D41E5"/>
    <w:rsid w:val="005E0508"/>
    <w:rsid w:val="005E0772"/>
    <w:rsid w:val="005E3552"/>
    <w:rsid w:val="005F1DCA"/>
    <w:rsid w:val="005F1ED8"/>
    <w:rsid w:val="005F2D6D"/>
    <w:rsid w:val="005F35C9"/>
    <w:rsid w:val="005F3D03"/>
    <w:rsid w:val="00600295"/>
    <w:rsid w:val="0060177B"/>
    <w:rsid w:val="006017BB"/>
    <w:rsid w:val="0060196B"/>
    <w:rsid w:val="006019DC"/>
    <w:rsid w:val="006021C7"/>
    <w:rsid w:val="006023E6"/>
    <w:rsid w:val="00602BA3"/>
    <w:rsid w:val="006063B3"/>
    <w:rsid w:val="006070D8"/>
    <w:rsid w:val="00607332"/>
    <w:rsid w:val="00607526"/>
    <w:rsid w:val="00607D9B"/>
    <w:rsid w:val="00610446"/>
    <w:rsid w:val="006120A8"/>
    <w:rsid w:val="00614903"/>
    <w:rsid w:val="0061536A"/>
    <w:rsid w:val="00617890"/>
    <w:rsid w:val="0062108A"/>
    <w:rsid w:val="00621B3C"/>
    <w:rsid w:val="00622F57"/>
    <w:rsid w:val="00624B0C"/>
    <w:rsid w:val="00626578"/>
    <w:rsid w:val="00626EAE"/>
    <w:rsid w:val="00632033"/>
    <w:rsid w:val="006346A5"/>
    <w:rsid w:val="00640CD0"/>
    <w:rsid w:val="00641BDF"/>
    <w:rsid w:val="0064351E"/>
    <w:rsid w:val="00643D99"/>
    <w:rsid w:val="00643FB0"/>
    <w:rsid w:val="00644907"/>
    <w:rsid w:val="00645CAF"/>
    <w:rsid w:val="00645FB3"/>
    <w:rsid w:val="006461D3"/>
    <w:rsid w:val="0065153F"/>
    <w:rsid w:val="00651BED"/>
    <w:rsid w:val="006538B7"/>
    <w:rsid w:val="00653A82"/>
    <w:rsid w:val="00657CE0"/>
    <w:rsid w:val="00661DEF"/>
    <w:rsid w:val="00665A4E"/>
    <w:rsid w:val="006717E3"/>
    <w:rsid w:val="00671EF3"/>
    <w:rsid w:val="00673BAE"/>
    <w:rsid w:val="00675FF7"/>
    <w:rsid w:val="0068558E"/>
    <w:rsid w:val="00685EFA"/>
    <w:rsid w:val="0069295A"/>
    <w:rsid w:val="00693399"/>
    <w:rsid w:val="006950F3"/>
    <w:rsid w:val="006A127A"/>
    <w:rsid w:val="006A4104"/>
    <w:rsid w:val="006A6022"/>
    <w:rsid w:val="006A7496"/>
    <w:rsid w:val="006B4B8A"/>
    <w:rsid w:val="006B567C"/>
    <w:rsid w:val="006C2B71"/>
    <w:rsid w:val="006C4510"/>
    <w:rsid w:val="006C4DED"/>
    <w:rsid w:val="006C5C66"/>
    <w:rsid w:val="006D127A"/>
    <w:rsid w:val="006D1917"/>
    <w:rsid w:val="006D2078"/>
    <w:rsid w:val="006D38FB"/>
    <w:rsid w:val="006D5092"/>
    <w:rsid w:val="006D62FE"/>
    <w:rsid w:val="006D709E"/>
    <w:rsid w:val="006D7FDE"/>
    <w:rsid w:val="006E4590"/>
    <w:rsid w:val="006E492F"/>
    <w:rsid w:val="006E5782"/>
    <w:rsid w:val="006E7269"/>
    <w:rsid w:val="006E75D8"/>
    <w:rsid w:val="006F150F"/>
    <w:rsid w:val="006F1FD3"/>
    <w:rsid w:val="006F3692"/>
    <w:rsid w:val="006F3A42"/>
    <w:rsid w:val="006F7296"/>
    <w:rsid w:val="006F742C"/>
    <w:rsid w:val="00703C25"/>
    <w:rsid w:val="00705496"/>
    <w:rsid w:val="00705F2A"/>
    <w:rsid w:val="00712E08"/>
    <w:rsid w:val="00713DFE"/>
    <w:rsid w:val="00714C76"/>
    <w:rsid w:val="00715D2E"/>
    <w:rsid w:val="0071659C"/>
    <w:rsid w:val="00716BD2"/>
    <w:rsid w:val="00717F8E"/>
    <w:rsid w:val="007226AA"/>
    <w:rsid w:val="007245C1"/>
    <w:rsid w:val="00725AC5"/>
    <w:rsid w:val="00726101"/>
    <w:rsid w:val="007368F7"/>
    <w:rsid w:val="00736F34"/>
    <w:rsid w:val="00737CED"/>
    <w:rsid w:val="00743625"/>
    <w:rsid w:val="007443C2"/>
    <w:rsid w:val="00747A21"/>
    <w:rsid w:val="0075259C"/>
    <w:rsid w:val="007525DD"/>
    <w:rsid w:val="007602EE"/>
    <w:rsid w:val="00760A25"/>
    <w:rsid w:val="00763130"/>
    <w:rsid w:val="007632EF"/>
    <w:rsid w:val="0077354A"/>
    <w:rsid w:val="0077446E"/>
    <w:rsid w:val="007800B0"/>
    <w:rsid w:val="007836A3"/>
    <w:rsid w:val="0078563F"/>
    <w:rsid w:val="00785CCD"/>
    <w:rsid w:val="007958B5"/>
    <w:rsid w:val="0079631F"/>
    <w:rsid w:val="007A1B8C"/>
    <w:rsid w:val="007A3A99"/>
    <w:rsid w:val="007A72DF"/>
    <w:rsid w:val="007A74BC"/>
    <w:rsid w:val="007B069F"/>
    <w:rsid w:val="007B1DBE"/>
    <w:rsid w:val="007B3D88"/>
    <w:rsid w:val="007B492A"/>
    <w:rsid w:val="007B58E8"/>
    <w:rsid w:val="007B66A8"/>
    <w:rsid w:val="007B7764"/>
    <w:rsid w:val="007C087B"/>
    <w:rsid w:val="007C636F"/>
    <w:rsid w:val="007C6CFA"/>
    <w:rsid w:val="007C74D0"/>
    <w:rsid w:val="007D6AFE"/>
    <w:rsid w:val="007D6C5C"/>
    <w:rsid w:val="007D77A4"/>
    <w:rsid w:val="007E01B8"/>
    <w:rsid w:val="007E215D"/>
    <w:rsid w:val="007E2192"/>
    <w:rsid w:val="007E2D3D"/>
    <w:rsid w:val="007E3E6E"/>
    <w:rsid w:val="007E720C"/>
    <w:rsid w:val="00805537"/>
    <w:rsid w:val="00811487"/>
    <w:rsid w:val="00811863"/>
    <w:rsid w:val="0081389F"/>
    <w:rsid w:val="00815E60"/>
    <w:rsid w:val="00816B75"/>
    <w:rsid w:val="00821ED4"/>
    <w:rsid w:val="00822F80"/>
    <w:rsid w:val="0082443F"/>
    <w:rsid w:val="00825B6A"/>
    <w:rsid w:val="00827CB6"/>
    <w:rsid w:val="00834E9B"/>
    <w:rsid w:val="00835B9E"/>
    <w:rsid w:val="00836AB4"/>
    <w:rsid w:val="00836F4E"/>
    <w:rsid w:val="008406E4"/>
    <w:rsid w:val="00846A19"/>
    <w:rsid w:val="00847F28"/>
    <w:rsid w:val="008507E5"/>
    <w:rsid w:val="008508D8"/>
    <w:rsid w:val="00853AD9"/>
    <w:rsid w:val="00853BEB"/>
    <w:rsid w:val="00853E58"/>
    <w:rsid w:val="0086663F"/>
    <w:rsid w:val="008666E8"/>
    <w:rsid w:val="00871F8C"/>
    <w:rsid w:val="008723C4"/>
    <w:rsid w:val="008728AC"/>
    <w:rsid w:val="008768C8"/>
    <w:rsid w:val="008830AC"/>
    <w:rsid w:val="00895DD9"/>
    <w:rsid w:val="00896646"/>
    <w:rsid w:val="008A04EC"/>
    <w:rsid w:val="008A1689"/>
    <w:rsid w:val="008A31EE"/>
    <w:rsid w:val="008A6804"/>
    <w:rsid w:val="008A6F9C"/>
    <w:rsid w:val="008B183F"/>
    <w:rsid w:val="008B5B87"/>
    <w:rsid w:val="008C0C17"/>
    <w:rsid w:val="008C35C4"/>
    <w:rsid w:val="008C3666"/>
    <w:rsid w:val="008C37BA"/>
    <w:rsid w:val="008C735B"/>
    <w:rsid w:val="008C7C8B"/>
    <w:rsid w:val="008D5A02"/>
    <w:rsid w:val="008E0EA8"/>
    <w:rsid w:val="008E4328"/>
    <w:rsid w:val="008E6557"/>
    <w:rsid w:val="008F05AB"/>
    <w:rsid w:val="008F1CD7"/>
    <w:rsid w:val="008F1DE2"/>
    <w:rsid w:val="008F340F"/>
    <w:rsid w:val="008F639B"/>
    <w:rsid w:val="00900A98"/>
    <w:rsid w:val="009017F5"/>
    <w:rsid w:val="00906524"/>
    <w:rsid w:val="00910A37"/>
    <w:rsid w:val="009124C2"/>
    <w:rsid w:val="0091308C"/>
    <w:rsid w:val="00917710"/>
    <w:rsid w:val="00920383"/>
    <w:rsid w:val="00923317"/>
    <w:rsid w:val="00924BB7"/>
    <w:rsid w:val="009333BB"/>
    <w:rsid w:val="00934D1A"/>
    <w:rsid w:val="00935774"/>
    <w:rsid w:val="009363E3"/>
    <w:rsid w:val="00936C19"/>
    <w:rsid w:val="00937CAA"/>
    <w:rsid w:val="00950636"/>
    <w:rsid w:val="00950889"/>
    <w:rsid w:val="00952BDF"/>
    <w:rsid w:val="00954F88"/>
    <w:rsid w:val="00955C9C"/>
    <w:rsid w:val="009571AD"/>
    <w:rsid w:val="00960C45"/>
    <w:rsid w:val="00963581"/>
    <w:rsid w:val="009662B4"/>
    <w:rsid w:val="009701D2"/>
    <w:rsid w:val="0097167A"/>
    <w:rsid w:val="009740F8"/>
    <w:rsid w:val="0097670F"/>
    <w:rsid w:val="00981C67"/>
    <w:rsid w:val="009840E8"/>
    <w:rsid w:val="0098599E"/>
    <w:rsid w:val="00990FBD"/>
    <w:rsid w:val="00991ECC"/>
    <w:rsid w:val="00992DD7"/>
    <w:rsid w:val="00994145"/>
    <w:rsid w:val="00996887"/>
    <w:rsid w:val="009A0DD7"/>
    <w:rsid w:val="009A637B"/>
    <w:rsid w:val="009B1C60"/>
    <w:rsid w:val="009B49C9"/>
    <w:rsid w:val="009B4CEC"/>
    <w:rsid w:val="009B71F6"/>
    <w:rsid w:val="009C0DB3"/>
    <w:rsid w:val="009C3F33"/>
    <w:rsid w:val="009D3ACF"/>
    <w:rsid w:val="009D66AF"/>
    <w:rsid w:val="009E3EF7"/>
    <w:rsid w:val="009E5C8C"/>
    <w:rsid w:val="009F0EC8"/>
    <w:rsid w:val="009F2E6A"/>
    <w:rsid w:val="009F4608"/>
    <w:rsid w:val="009F4751"/>
    <w:rsid w:val="009F641E"/>
    <w:rsid w:val="009F7932"/>
    <w:rsid w:val="00A02DAD"/>
    <w:rsid w:val="00A04445"/>
    <w:rsid w:val="00A04552"/>
    <w:rsid w:val="00A13029"/>
    <w:rsid w:val="00A130A5"/>
    <w:rsid w:val="00A13566"/>
    <w:rsid w:val="00A14E19"/>
    <w:rsid w:val="00A17AFA"/>
    <w:rsid w:val="00A20422"/>
    <w:rsid w:val="00A225BD"/>
    <w:rsid w:val="00A246A7"/>
    <w:rsid w:val="00A24F10"/>
    <w:rsid w:val="00A25C25"/>
    <w:rsid w:val="00A335DB"/>
    <w:rsid w:val="00A33E05"/>
    <w:rsid w:val="00A470F2"/>
    <w:rsid w:val="00A474EC"/>
    <w:rsid w:val="00A51B4E"/>
    <w:rsid w:val="00A57EC2"/>
    <w:rsid w:val="00A61E4D"/>
    <w:rsid w:val="00A641F4"/>
    <w:rsid w:val="00A71377"/>
    <w:rsid w:val="00A730ED"/>
    <w:rsid w:val="00A74967"/>
    <w:rsid w:val="00A760D1"/>
    <w:rsid w:val="00A77132"/>
    <w:rsid w:val="00A81B8E"/>
    <w:rsid w:val="00A81CAD"/>
    <w:rsid w:val="00A82663"/>
    <w:rsid w:val="00A840DD"/>
    <w:rsid w:val="00A855E1"/>
    <w:rsid w:val="00A86727"/>
    <w:rsid w:val="00A8742A"/>
    <w:rsid w:val="00A87D8D"/>
    <w:rsid w:val="00A91121"/>
    <w:rsid w:val="00A91CD0"/>
    <w:rsid w:val="00A9294C"/>
    <w:rsid w:val="00A936B6"/>
    <w:rsid w:val="00A97F0A"/>
    <w:rsid w:val="00AA34AC"/>
    <w:rsid w:val="00AA36F2"/>
    <w:rsid w:val="00AB2009"/>
    <w:rsid w:val="00AB4901"/>
    <w:rsid w:val="00AB6F2C"/>
    <w:rsid w:val="00AC6172"/>
    <w:rsid w:val="00AD1D8A"/>
    <w:rsid w:val="00AD4486"/>
    <w:rsid w:val="00AD5767"/>
    <w:rsid w:val="00AD7125"/>
    <w:rsid w:val="00AD745E"/>
    <w:rsid w:val="00AE263C"/>
    <w:rsid w:val="00AE7F0D"/>
    <w:rsid w:val="00AF1145"/>
    <w:rsid w:val="00AF29FB"/>
    <w:rsid w:val="00AF2D9A"/>
    <w:rsid w:val="00AF31D0"/>
    <w:rsid w:val="00AF35CC"/>
    <w:rsid w:val="00AF3AB2"/>
    <w:rsid w:val="00AF3FC2"/>
    <w:rsid w:val="00B048F9"/>
    <w:rsid w:val="00B05F0B"/>
    <w:rsid w:val="00B120FC"/>
    <w:rsid w:val="00B12E8B"/>
    <w:rsid w:val="00B15209"/>
    <w:rsid w:val="00B16F66"/>
    <w:rsid w:val="00B17744"/>
    <w:rsid w:val="00B17EB2"/>
    <w:rsid w:val="00B206D0"/>
    <w:rsid w:val="00B20FC2"/>
    <w:rsid w:val="00B26319"/>
    <w:rsid w:val="00B26CE7"/>
    <w:rsid w:val="00B30217"/>
    <w:rsid w:val="00B332F7"/>
    <w:rsid w:val="00B33D0D"/>
    <w:rsid w:val="00B3480A"/>
    <w:rsid w:val="00B348E6"/>
    <w:rsid w:val="00B40118"/>
    <w:rsid w:val="00B4038A"/>
    <w:rsid w:val="00B4078B"/>
    <w:rsid w:val="00B41493"/>
    <w:rsid w:val="00B419F2"/>
    <w:rsid w:val="00B425B2"/>
    <w:rsid w:val="00B46571"/>
    <w:rsid w:val="00B46BB1"/>
    <w:rsid w:val="00B50ACE"/>
    <w:rsid w:val="00B51286"/>
    <w:rsid w:val="00B52212"/>
    <w:rsid w:val="00B544A2"/>
    <w:rsid w:val="00B55668"/>
    <w:rsid w:val="00B567EB"/>
    <w:rsid w:val="00B60F51"/>
    <w:rsid w:val="00B617AF"/>
    <w:rsid w:val="00B62272"/>
    <w:rsid w:val="00B62B8C"/>
    <w:rsid w:val="00B63B01"/>
    <w:rsid w:val="00B63B16"/>
    <w:rsid w:val="00B640F5"/>
    <w:rsid w:val="00B64ED6"/>
    <w:rsid w:val="00B65262"/>
    <w:rsid w:val="00B65550"/>
    <w:rsid w:val="00B65CA7"/>
    <w:rsid w:val="00B65D18"/>
    <w:rsid w:val="00B67C95"/>
    <w:rsid w:val="00B7057A"/>
    <w:rsid w:val="00B746EB"/>
    <w:rsid w:val="00B74B5C"/>
    <w:rsid w:val="00B75021"/>
    <w:rsid w:val="00B80E05"/>
    <w:rsid w:val="00B815E4"/>
    <w:rsid w:val="00B8277D"/>
    <w:rsid w:val="00B832DE"/>
    <w:rsid w:val="00B858BF"/>
    <w:rsid w:val="00B87522"/>
    <w:rsid w:val="00B879A5"/>
    <w:rsid w:val="00B92B28"/>
    <w:rsid w:val="00B943EE"/>
    <w:rsid w:val="00B963F8"/>
    <w:rsid w:val="00B9789A"/>
    <w:rsid w:val="00BA43A5"/>
    <w:rsid w:val="00BA6347"/>
    <w:rsid w:val="00BA6391"/>
    <w:rsid w:val="00BB03BE"/>
    <w:rsid w:val="00BC0052"/>
    <w:rsid w:val="00BC03E0"/>
    <w:rsid w:val="00BC293B"/>
    <w:rsid w:val="00BC37D1"/>
    <w:rsid w:val="00BC5EDD"/>
    <w:rsid w:val="00BC75D1"/>
    <w:rsid w:val="00BD3E67"/>
    <w:rsid w:val="00BD7781"/>
    <w:rsid w:val="00BE06AF"/>
    <w:rsid w:val="00BE0E8D"/>
    <w:rsid w:val="00BE0F86"/>
    <w:rsid w:val="00BE58E7"/>
    <w:rsid w:val="00BE597B"/>
    <w:rsid w:val="00BE6913"/>
    <w:rsid w:val="00BE7474"/>
    <w:rsid w:val="00BE7622"/>
    <w:rsid w:val="00BF0213"/>
    <w:rsid w:val="00BF02D6"/>
    <w:rsid w:val="00BF05CD"/>
    <w:rsid w:val="00BF0AE2"/>
    <w:rsid w:val="00BF2C0C"/>
    <w:rsid w:val="00C00D80"/>
    <w:rsid w:val="00C02373"/>
    <w:rsid w:val="00C04E45"/>
    <w:rsid w:val="00C12164"/>
    <w:rsid w:val="00C13375"/>
    <w:rsid w:val="00C133BE"/>
    <w:rsid w:val="00C142E2"/>
    <w:rsid w:val="00C1483A"/>
    <w:rsid w:val="00C16089"/>
    <w:rsid w:val="00C20733"/>
    <w:rsid w:val="00C23EDB"/>
    <w:rsid w:val="00C25842"/>
    <w:rsid w:val="00C277D6"/>
    <w:rsid w:val="00C30C7E"/>
    <w:rsid w:val="00C3194A"/>
    <w:rsid w:val="00C33311"/>
    <w:rsid w:val="00C33F4A"/>
    <w:rsid w:val="00C35DDC"/>
    <w:rsid w:val="00C3644B"/>
    <w:rsid w:val="00C46C02"/>
    <w:rsid w:val="00C46E24"/>
    <w:rsid w:val="00C50B7E"/>
    <w:rsid w:val="00C52073"/>
    <w:rsid w:val="00C52494"/>
    <w:rsid w:val="00C52626"/>
    <w:rsid w:val="00C54C39"/>
    <w:rsid w:val="00C55905"/>
    <w:rsid w:val="00C606A5"/>
    <w:rsid w:val="00C60B98"/>
    <w:rsid w:val="00C61EC1"/>
    <w:rsid w:val="00C629C0"/>
    <w:rsid w:val="00C63414"/>
    <w:rsid w:val="00C64899"/>
    <w:rsid w:val="00C7015C"/>
    <w:rsid w:val="00C7735C"/>
    <w:rsid w:val="00C812DF"/>
    <w:rsid w:val="00C81938"/>
    <w:rsid w:val="00C82ECD"/>
    <w:rsid w:val="00C85063"/>
    <w:rsid w:val="00C85ADF"/>
    <w:rsid w:val="00C95526"/>
    <w:rsid w:val="00C96228"/>
    <w:rsid w:val="00C96C2C"/>
    <w:rsid w:val="00C97282"/>
    <w:rsid w:val="00CA2E4C"/>
    <w:rsid w:val="00CA51DD"/>
    <w:rsid w:val="00CB40DE"/>
    <w:rsid w:val="00CB4778"/>
    <w:rsid w:val="00CB66CC"/>
    <w:rsid w:val="00CB78D9"/>
    <w:rsid w:val="00CC00AE"/>
    <w:rsid w:val="00CC0937"/>
    <w:rsid w:val="00CC0BA1"/>
    <w:rsid w:val="00CC1BAF"/>
    <w:rsid w:val="00CC1BCD"/>
    <w:rsid w:val="00CC256D"/>
    <w:rsid w:val="00CC51E9"/>
    <w:rsid w:val="00CC5F8F"/>
    <w:rsid w:val="00CC6C66"/>
    <w:rsid w:val="00CC726F"/>
    <w:rsid w:val="00CC7FBA"/>
    <w:rsid w:val="00CD6348"/>
    <w:rsid w:val="00CD70C4"/>
    <w:rsid w:val="00CD7C03"/>
    <w:rsid w:val="00CE035A"/>
    <w:rsid w:val="00CE0D64"/>
    <w:rsid w:val="00CE3B01"/>
    <w:rsid w:val="00CE7723"/>
    <w:rsid w:val="00CF427D"/>
    <w:rsid w:val="00CF774E"/>
    <w:rsid w:val="00D012B9"/>
    <w:rsid w:val="00D03351"/>
    <w:rsid w:val="00D03590"/>
    <w:rsid w:val="00D10004"/>
    <w:rsid w:val="00D11561"/>
    <w:rsid w:val="00D11B63"/>
    <w:rsid w:val="00D134D9"/>
    <w:rsid w:val="00D138BF"/>
    <w:rsid w:val="00D13EDF"/>
    <w:rsid w:val="00D14218"/>
    <w:rsid w:val="00D1620E"/>
    <w:rsid w:val="00D17EE9"/>
    <w:rsid w:val="00D23044"/>
    <w:rsid w:val="00D23A64"/>
    <w:rsid w:val="00D24B9E"/>
    <w:rsid w:val="00D2602D"/>
    <w:rsid w:val="00D26E84"/>
    <w:rsid w:val="00D26EDF"/>
    <w:rsid w:val="00D278C6"/>
    <w:rsid w:val="00D30995"/>
    <w:rsid w:val="00D32326"/>
    <w:rsid w:val="00D34C92"/>
    <w:rsid w:val="00D36306"/>
    <w:rsid w:val="00D37084"/>
    <w:rsid w:val="00D37483"/>
    <w:rsid w:val="00D40697"/>
    <w:rsid w:val="00D41B9D"/>
    <w:rsid w:val="00D41E56"/>
    <w:rsid w:val="00D42208"/>
    <w:rsid w:val="00D4345C"/>
    <w:rsid w:val="00D454B8"/>
    <w:rsid w:val="00D47F56"/>
    <w:rsid w:val="00D56554"/>
    <w:rsid w:val="00D577B4"/>
    <w:rsid w:val="00D6006C"/>
    <w:rsid w:val="00D60A8D"/>
    <w:rsid w:val="00D66975"/>
    <w:rsid w:val="00D66B47"/>
    <w:rsid w:val="00D66D79"/>
    <w:rsid w:val="00D672A6"/>
    <w:rsid w:val="00D70AA9"/>
    <w:rsid w:val="00D74962"/>
    <w:rsid w:val="00D74D91"/>
    <w:rsid w:val="00D766E4"/>
    <w:rsid w:val="00D8103E"/>
    <w:rsid w:val="00D817BD"/>
    <w:rsid w:val="00D84C7E"/>
    <w:rsid w:val="00D85390"/>
    <w:rsid w:val="00D85668"/>
    <w:rsid w:val="00D86166"/>
    <w:rsid w:val="00D86EF2"/>
    <w:rsid w:val="00D95F96"/>
    <w:rsid w:val="00D96CC4"/>
    <w:rsid w:val="00D97F70"/>
    <w:rsid w:val="00D97FA7"/>
    <w:rsid w:val="00DA243A"/>
    <w:rsid w:val="00DA3FE1"/>
    <w:rsid w:val="00DA50A8"/>
    <w:rsid w:val="00DB4BFF"/>
    <w:rsid w:val="00DB59FE"/>
    <w:rsid w:val="00DB7FC5"/>
    <w:rsid w:val="00DC062B"/>
    <w:rsid w:val="00DC1AFD"/>
    <w:rsid w:val="00DC4041"/>
    <w:rsid w:val="00DC4B00"/>
    <w:rsid w:val="00DC4D4B"/>
    <w:rsid w:val="00DC7523"/>
    <w:rsid w:val="00DD469F"/>
    <w:rsid w:val="00DD61BB"/>
    <w:rsid w:val="00DE2E3B"/>
    <w:rsid w:val="00DE52B2"/>
    <w:rsid w:val="00DE657F"/>
    <w:rsid w:val="00DF00C9"/>
    <w:rsid w:val="00DF1934"/>
    <w:rsid w:val="00DF36E3"/>
    <w:rsid w:val="00DF397C"/>
    <w:rsid w:val="00E012A4"/>
    <w:rsid w:val="00E02346"/>
    <w:rsid w:val="00E03A01"/>
    <w:rsid w:val="00E04659"/>
    <w:rsid w:val="00E052A4"/>
    <w:rsid w:val="00E132BD"/>
    <w:rsid w:val="00E16DB2"/>
    <w:rsid w:val="00E216F3"/>
    <w:rsid w:val="00E24BC1"/>
    <w:rsid w:val="00E32511"/>
    <w:rsid w:val="00E326D4"/>
    <w:rsid w:val="00E32CF4"/>
    <w:rsid w:val="00E34AF0"/>
    <w:rsid w:val="00E363DC"/>
    <w:rsid w:val="00E37368"/>
    <w:rsid w:val="00E4166C"/>
    <w:rsid w:val="00E41D97"/>
    <w:rsid w:val="00E42688"/>
    <w:rsid w:val="00E42A3F"/>
    <w:rsid w:val="00E437A7"/>
    <w:rsid w:val="00E43CE9"/>
    <w:rsid w:val="00E44007"/>
    <w:rsid w:val="00E4565C"/>
    <w:rsid w:val="00E45837"/>
    <w:rsid w:val="00E47FF3"/>
    <w:rsid w:val="00E514A3"/>
    <w:rsid w:val="00E518BB"/>
    <w:rsid w:val="00E5262C"/>
    <w:rsid w:val="00E56F6D"/>
    <w:rsid w:val="00E57548"/>
    <w:rsid w:val="00E60A30"/>
    <w:rsid w:val="00E61B6B"/>
    <w:rsid w:val="00E62602"/>
    <w:rsid w:val="00E7064B"/>
    <w:rsid w:val="00E7207B"/>
    <w:rsid w:val="00E725FF"/>
    <w:rsid w:val="00E74E67"/>
    <w:rsid w:val="00E84018"/>
    <w:rsid w:val="00E84CF9"/>
    <w:rsid w:val="00E84DBC"/>
    <w:rsid w:val="00E90E33"/>
    <w:rsid w:val="00E94341"/>
    <w:rsid w:val="00E94D18"/>
    <w:rsid w:val="00E9543F"/>
    <w:rsid w:val="00E956D4"/>
    <w:rsid w:val="00E97039"/>
    <w:rsid w:val="00E9715C"/>
    <w:rsid w:val="00E9753B"/>
    <w:rsid w:val="00EA116B"/>
    <w:rsid w:val="00EA1AEB"/>
    <w:rsid w:val="00EA35D2"/>
    <w:rsid w:val="00EA6048"/>
    <w:rsid w:val="00EA708E"/>
    <w:rsid w:val="00EB1D90"/>
    <w:rsid w:val="00EB6BC5"/>
    <w:rsid w:val="00EC0C60"/>
    <w:rsid w:val="00EC1F2F"/>
    <w:rsid w:val="00EC2804"/>
    <w:rsid w:val="00EC4321"/>
    <w:rsid w:val="00EC4376"/>
    <w:rsid w:val="00ED01A5"/>
    <w:rsid w:val="00ED3FF5"/>
    <w:rsid w:val="00ED729F"/>
    <w:rsid w:val="00EE2FD1"/>
    <w:rsid w:val="00EE3235"/>
    <w:rsid w:val="00EE343C"/>
    <w:rsid w:val="00EE55CE"/>
    <w:rsid w:val="00EF3024"/>
    <w:rsid w:val="00EF4D75"/>
    <w:rsid w:val="00EF58DD"/>
    <w:rsid w:val="00EF598F"/>
    <w:rsid w:val="00EF5C32"/>
    <w:rsid w:val="00EF74FA"/>
    <w:rsid w:val="00EF76EC"/>
    <w:rsid w:val="00EF781A"/>
    <w:rsid w:val="00EF7F63"/>
    <w:rsid w:val="00F04DC9"/>
    <w:rsid w:val="00F12EAC"/>
    <w:rsid w:val="00F134CF"/>
    <w:rsid w:val="00F14DC4"/>
    <w:rsid w:val="00F15F32"/>
    <w:rsid w:val="00F15FF4"/>
    <w:rsid w:val="00F16FB5"/>
    <w:rsid w:val="00F22FAE"/>
    <w:rsid w:val="00F23B64"/>
    <w:rsid w:val="00F23EB4"/>
    <w:rsid w:val="00F270C1"/>
    <w:rsid w:val="00F305A1"/>
    <w:rsid w:val="00F33FE0"/>
    <w:rsid w:val="00F364E3"/>
    <w:rsid w:val="00F410BF"/>
    <w:rsid w:val="00F41452"/>
    <w:rsid w:val="00F41468"/>
    <w:rsid w:val="00F43F81"/>
    <w:rsid w:val="00F47C56"/>
    <w:rsid w:val="00F50892"/>
    <w:rsid w:val="00F51804"/>
    <w:rsid w:val="00F52F98"/>
    <w:rsid w:val="00F53032"/>
    <w:rsid w:val="00F55399"/>
    <w:rsid w:val="00F55E79"/>
    <w:rsid w:val="00F57AE9"/>
    <w:rsid w:val="00F61A12"/>
    <w:rsid w:val="00F6309D"/>
    <w:rsid w:val="00F636DA"/>
    <w:rsid w:val="00F6525E"/>
    <w:rsid w:val="00F703AD"/>
    <w:rsid w:val="00F720A7"/>
    <w:rsid w:val="00F72E1D"/>
    <w:rsid w:val="00F74558"/>
    <w:rsid w:val="00F74F01"/>
    <w:rsid w:val="00F77CE3"/>
    <w:rsid w:val="00F816C2"/>
    <w:rsid w:val="00F879F4"/>
    <w:rsid w:val="00F87D3C"/>
    <w:rsid w:val="00F90883"/>
    <w:rsid w:val="00F910F0"/>
    <w:rsid w:val="00F928A9"/>
    <w:rsid w:val="00F93D63"/>
    <w:rsid w:val="00F94F73"/>
    <w:rsid w:val="00F95417"/>
    <w:rsid w:val="00F96252"/>
    <w:rsid w:val="00FA0325"/>
    <w:rsid w:val="00FA1DFA"/>
    <w:rsid w:val="00FA3688"/>
    <w:rsid w:val="00FA4282"/>
    <w:rsid w:val="00FA5DD6"/>
    <w:rsid w:val="00FB14D8"/>
    <w:rsid w:val="00FB2A8B"/>
    <w:rsid w:val="00FB30E5"/>
    <w:rsid w:val="00FB5C1A"/>
    <w:rsid w:val="00FB5CE5"/>
    <w:rsid w:val="00FB6DD2"/>
    <w:rsid w:val="00FC4DF2"/>
    <w:rsid w:val="00FD092D"/>
    <w:rsid w:val="00FD1CFA"/>
    <w:rsid w:val="00FD4D22"/>
    <w:rsid w:val="00FD6768"/>
    <w:rsid w:val="00FD7356"/>
    <w:rsid w:val="00FE0443"/>
    <w:rsid w:val="00FE14BC"/>
    <w:rsid w:val="00FE1F74"/>
    <w:rsid w:val="00FE568B"/>
    <w:rsid w:val="00FE57E0"/>
    <w:rsid w:val="00FF1AD8"/>
    <w:rsid w:val="00FF3322"/>
    <w:rsid w:val="00FF3E4B"/>
    <w:rsid w:val="00FF4140"/>
    <w:rsid w:val="00FF4E03"/>
    <w:rsid w:val="00FF5191"/>
    <w:rsid w:val="00FF595B"/>
    <w:rsid w:val="01583748"/>
    <w:rsid w:val="016B6B2E"/>
    <w:rsid w:val="020B27C4"/>
    <w:rsid w:val="02CB5890"/>
    <w:rsid w:val="02F91041"/>
    <w:rsid w:val="032B015B"/>
    <w:rsid w:val="039E48B2"/>
    <w:rsid w:val="03F05443"/>
    <w:rsid w:val="047308C4"/>
    <w:rsid w:val="056621AB"/>
    <w:rsid w:val="067F4B32"/>
    <w:rsid w:val="078F59E9"/>
    <w:rsid w:val="095454EF"/>
    <w:rsid w:val="09572537"/>
    <w:rsid w:val="09924BDC"/>
    <w:rsid w:val="0A427B7D"/>
    <w:rsid w:val="0B4966C9"/>
    <w:rsid w:val="0C5E1E2E"/>
    <w:rsid w:val="0C831895"/>
    <w:rsid w:val="0C9666D3"/>
    <w:rsid w:val="0D934B30"/>
    <w:rsid w:val="0DFD420D"/>
    <w:rsid w:val="0E8068A7"/>
    <w:rsid w:val="0F9059EF"/>
    <w:rsid w:val="0F9455F4"/>
    <w:rsid w:val="0F9E3AF7"/>
    <w:rsid w:val="10073851"/>
    <w:rsid w:val="10403A90"/>
    <w:rsid w:val="108F2E40"/>
    <w:rsid w:val="11073A56"/>
    <w:rsid w:val="112F7599"/>
    <w:rsid w:val="12886A44"/>
    <w:rsid w:val="12B02ABE"/>
    <w:rsid w:val="12EC4F96"/>
    <w:rsid w:val="138E3344"/>
    <w:rsid w:val="14096B23"/>
    <w:rsid w:val="14C50C9C"/>
    <w:rsid w:val="14C85B8B"/>
    <w:rsid w:val="15646DFE"/>
    <w:rsid w:val="15995FB3"/>
    <w:rsid w:val="15A04030"/>
    <w:rsid w:val="15BB5F6A"/>
    <w:rsid w:val="16924BAE"/>
    <w:rsid w:val="178B2921"/>
    <w:rsid w:val="17A96653"/>
    <w:rsid w:val="18FC6C57"/>
    <w:rsid w:val="19477A26"/>
    <w:rsid w:val="19882298"/>
    <w:rsid w:val="19B70F8E"/>
    <w:rsid w:val="1A195C3D"/>
    <w:rsid w:val="1A265206"/>
    <w:rsid w:val="1A9829AF"/>
    <w:rsid w:val="1AA90FC1"/>
    <w:rsid w:val="1AF85009"/>
    <w:rsid w:val="1B384F44"/>
    <w:rsid w:val="1B91252E"/>
    <w:rsid w:val="1CCA198B"/>
    <w:rsid w:val="1CD21C2C"/>
    <w:rsid w:val="1D6E748A"/>
    <w:rsid w:val="1D7A4A37"/>
    <w:rsid w:val="1D9E652E"/>
    <w:rsid w:val="1E274197"/>
    <w:rsid w:val="1E607C5E"/>
    <w:rsid w:val="1E7F5429"/>
    <w:rsid w:val="1F8E5386"/>
    <w:rsid w:val="1FB41BE2"/>
    <w:rsid w:val="1FBE6A14"/>
    <w:rsid w:val="2015638F"/>
    <w:rsid w:val="20263227"/>
    <w:rsid w:val="20654A9B"/>
    <w:rsid w:val="217539C5"/>
    <w:rsid w:val="22132B6B"/>
    <w:rsid w:val="22715FC0"/>
    <w:rsid w:val="22AE1295"/>
    <w:rsid w:val="22B87B99"/>
    <w:rsid w:val="22FE53FA"/>
    <w:rsid w:val="243907D8"/>
    <w:rsid w:val="24F86025"/>
    <w:rsid w:val="261924B8"/>
    <w:rsid w:val="26846277"/>
    <w:rsid w:val="26BA4914"/>
    <w:rsid w:val="27AA3BA6"/>
    <w:rsid w:val="28961B52"/>
    <w:rsid w:val="291E4808"/>
    <w:rsid w:val="295F1B3E"/>
    <w:rsid w:val="2AA57D34"/>
    <w:rsid w:val="2AC6566D"/>
    <w:rsid w:val="2BBB7240"/>
    <w:rsid w:val="2BDC232F"/>
    <w:rsid w:val="2C3F4E8F"/>
    <w:rsid w:val="2C877B29"/>
    <w:rsid w:val="2D314923"/>
    <w:rsid w:val="2ED04217"/>
    <w:rsid w:val="2F34284F"/>
    <w:rsid w:val="2F402A98"/>
    <w:rsid w:val="2FBD3F1B"/>
    <w:rsid w:val="302267A9"/>
    <w:rsid w:val="3081605B"/>
    <w:rsid w:val="308E63A3"/>
    <w:rsid w:val="30E42053"/>
    <w:rsid w:val="31755BC4"/>
    <w:rsid w:val="3192580F"/>
    <w:rsid w:val="32C43EEA"/>
    <w:rsid w:val="32FF7584"/>
    <w:rsid w:val="331A3675"/>
    <w:rsid w:val="33785F1D"/>
    <w:rsid w:val="33D508EE"/>
    <w:rsid w:val="33E739FA"/>
    <w:rsid w:val="34236925"/>
    <w:rsid w:val="346F0D9C"/>
    <w:rsid w:val="346F3175"/>
    <w:rsid w:val="34FC399A"/>
    <w:rsid w:val="36160F00"/>
    <w:rsid w:val="363B1FEF"/>
    <w:rsid w:val="364F7439"/>
    <w:rsid w:val="36D96DE7"/>
    <w:rsid w:val="378E7F52"/>
    <w:rsid w:val="388E43EB"/>
    <w:rsid w:val="38F80D91"/>
    <w:rsid w:val="39621ECD"/>
    <w:rsid w:val="3A01780A"/>
    <w:rsid w:val="3A914FF9"/>
    <w:rsid w:val="3AA10C26"/>
    <w:rsid w:val="3BE94E22"/>
    <w:rsid w:val="3C0813E6"/>
    <w:rsid w:val="3C1C08F2"/>
    <w:rsid w:val="3C4C4C2D"/>
    <w:rsid w:val="3CBA010B"/>
    <w:rsid w:val="3D841871"/>
    <w:rsid w:val="3DAD69C6"/>
    <w:rsid w:val="3EBC1C08"/>
    <w:rsid w:val="3EDB141C"/>
    <w:rsid w:val="3F0D4E6A"/>
    <w:rsid w:val="3F537388"/>
    <w:rsid w:val="3F6C1B91"/>
    <w:rsid w:val="3F7A3F64"/>
    <w:rsid w:val="3F9B4B14"/>
    <w:rsid w:val="40632126"/>
    <w:rsid w:val="40D95004"/>
    <w:rsid w:val="40E71167"/>
    <w:rsid w:val="41233769"/>
    <w:rsid w:val="41851DC6"/>
    <w:rsid w:val="42303810"/>
    <w:rsid w:val="42550A68"/>
    <w:rsid w:val="42905B96"/>
    <w:rsid w:val="42EB101F"/>
    <w:rsid w:val="43210EE4"/>
    <w:rsid w:val="43777A44"/>
    <w:rsid w:val="43E836A3"/>
    <w:rsid w:val="454B2248"/>
    <w:rsid w:val="462D5D27"/>
    <w:rsid w:val="464750EB"/>
    <w:rsid w:val="46841EB6"/>
    <w:rsid w:val="46844123"/>
    <w:rsid w:val="485D4584"/>
    <w:rsid w:val="48BF160D"/>
    <w:rsid w:val="493B4D1A"/>
    <w:rsid w:val="49B46A12"/>
    <w:rsid w:val="4A190186"/>
    <w:rsid w:val="4A64303B"/>
    <w:rsid w:val="4A7C3505"/>
    <w:rsid w:val="4A8611AD"/>
    <w:rsid w:val="4B1D39E2"/>
    <w:rsid w:val="4B5E525D"/>
    <w:rsid w:val="4B907AD1"/>
    <w:rsid w:val="4CD425BA"/>
    <w:rsid w:val="4E2A6D4B"/>
    <w:rsid w:val="4E3C2AC5"/>
    <w:rsid w:val="4EC07B5F"/>
    <w:rsid w:val="4F0E0219"/>
    <w:rsid w:val="4F42290E"/>
    <w:rsid w:val="4F446A0D"/>
    <w:rsid w:val="506E5B98"/>
    <w:rsid w:val="514D539A"/>
    <w:rsid w:val="51B56FD0"/>
    <w:rsid w:val="52036385"/>
    <w:rsid w:val="5205057C"/>
    <w:rsid w:val="520D2984"/>
    <w:rsid w:val="524E6196"/>
    <w:rsid w:val="52CC65F5"/>
    <w:rsid w:val="53755060"/>
    <w:rsid w:val="53BA6067"/>
    <w:rsid w:val="552178F7"/>
    <w:rsid w:val="5542526F"/>
    <w:rsid w:val="558A2919"/>
    <w:rsid w:val="55CB3A90"/>
    <w:rsid w:val="55FA737A"/>
    <w:rsid w:val="562543F0"/>
    <w:rsid w:val="5668328F"/>
    <w:rsid w:val="56A1621B"/>
    <w:rsid w:val="56B811CC"/>
    <w:rsid w:val="57503DDA"/>
    <w:rsid w:val="58255332"/>
    <w:rsid w:val="582D1BFF"/>
    <w:rsid w:val="589D2963"/>
    <w:rsid w:val="58E11407"/>
    <w:rsid w:val="58FF5DF2"/>
    <w:rsid w:val="594D7669"/>
    <w:rsid w:val="5999312B"/>
    <w:rsid w:val="5AB942FC"/>
    <w:rsid w:val="5AC8031D"/>
    <w:rsid w:val="5C003569"/>
    <w:rsid w:val="5C247295"/>
    <w:rsid w:val="5C9D63C5"/>
    <w:rsid w:val="5D1A35F9"/>
    <w:rsid w:val="5D7A7717"/>
    <w:rsid w:val="5DE24032"/>
    <w:rsid w:val="5E3800EA"/>
    <w:rsid w:val="5F76267F"/>
    <w:rsid w:val="60145C01"/>
    <w:rsid w:val="60377F21"/>
    <w:rsid w:val="60834AA6"/>
    <w:rsid w:val="60EA6BBD"/>
    <w:rsid w:val="612105D5"/>
    <w:rsid w:val="615C785F"/>
    <w:rsid w:val="620A5BE8"/>
    <w:rsid w:val="62267A5F"/>
    <w:rsid w:val="62845DE6"/>
    <w:rsid w:val="62995340"/>
    <w:rsid w:val="629B2820"/>
    <w:rsid w:val="629E7707"/>
    <w:rsid w:val="62F67840"/>
    <w:rsid w:val="638D050F"/>
    <w:rsid w:val="63B523A0"/>
    <w:rsid w:val="64104931"/>
    <w:rsid w:val="65312DB1"/>
    <w:rsid w:val="65B37BF8"/>
    <w:rsid w:val="674219F7"/>
    <w:rsid w:val="681F5143"/>
    <w:rsid w:val="68841653"/>
    <w:rsid w:val="68BA4E6C"/>
    <w:rsid w:val="69BA07F4"/>
    <w:rsid w:val="6A0B2A69"/>
    <w:rsid w:val="6B2355CC"/>
    <w:rsid w:val="6B457289"/>
    <w:rsid w:val="6B9D2F4E"/>
    <w:rsid w:val="6BD54E78"/>
    <w:rsid w:val="6BE57915"/>
    <w:rsid w:val="6C005EAC"/>
    <w:rsid w:val="6C586A14"/>
    <w:rsid w:val="6D155381"/>
    <w:rsid w:val="6E646091"/>
    <w:rsid w:val="6E7F0BDB"/>
    <w:rsid w:val="6EEC357F"/>
    <w:rsid w:val="6F62647B"/>
    <w:rsid w:val="6F94471E"/>
    <w:rsid w:val="6FD172F1"/>
    <w:rsid w:val="709760D6"/>
    <w:rsid w:val="71BC186A"/>
    <w:rsid w:val="71F612F9"/>
    <w:rsid w:val="723D2D95"/>
    <w:rsid w:val="728C6236"/>
    <w:rsid w:val="72E15360"/>
    <w:rsid w:val="740A7E63"/>
    <w:rsid w:val="746448D3"/>
    <w:rsid w:val="747B5A30"/>
    <w:rsid w:val="750A5DF1"/>
    <w:rsid w:val="755E1F6B"/>
    <w:rsid w:val="756F60FB"/>
    <w:rsid w:val="75B90E75"/>
    <w:rsid w:val="75F31F01"/>
    <w:rsid w:val="764C167A"/>
    <w:rsid w:val="77FD27FC"/>
    <w:rsid w:val="796556E5"/>
    <w:rsid w:val="799F4335"/>
    <w:rsid w:val="7D1926DF"/>
    <w:rsid w:val="7D285F5E"/>
    <w:rsid w:val="7D5308C4"/>
    <w:rsid w:val="7D971F95"/>
    <w:rsid w:val="7DB84B6B"/>
    <w:rsid w:val="7E3103C8"/>
    <w:rsid w:val="7E5B52E5"/>
    <w:rsid w:val="7E8231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nhideWhenUsed="0" w:uiPriority="0" w:semiHidden="0" w:name="Date"/>
    <w:lsdException w:qFormat="1" w:uiPriority="99" w:name="Body Text First Indent"/>
    <w:lsdException w:qFormat="1"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5"/>
    <w:qFormat/>
    <w:uiPriority w:val="9"/>
    <w:pPr>
      <w:keepNext/>
      <w:keepLines/>
      <w:numPr>
        <w:ilvl w:val="1"/>
        <w:numId w:val="1"/>
      </w:numPr>
      <w:tabs>
        <w:tab w:val="left" w:pos="180"/>
        <w:tab w:val="left" w:pos="360"/>
      </w:tabs>
      <w:adjustRightInd w:val="0"/>
      <w:spacing w:before="240" w:line="360" w:lineRule="auto"/>
      <w:ind w:right="840" w:rightChars="400"/>
      <w:jc w:val="left"/>
      <w:outlineLvl w:val="1"/>
    </w:pPr>
    <w:rPr>
      <w:rFonts w:ascii="宋体" w:hAnsi="Arial"/>
      <w:b/>
      <w:kern w:val="0"/>
      <w:sz w:val="28"/>
      <w:szCs w:val="20"/>
    </w:rPr>
  </w:style>
  <w:style w:type="paragraph" w:styleId="4">
    <w:name w:val="heading 3"/>
    <w:basedOn w:val="1"/>
    <w:next w:val="1"/>
    <w:link w:val="56"/>
    <w:qFormat/>
    <w:uiPriority w:val="9"/>
    <w:pPr>
      <w:keepNext/>
      <w:keepLines/>
      <w:numPr>
        <w:ilvl w:val="2"/>
        <w:numId w:val="1"/>
      </w:numPr>
      <w:adjustRightInd w:val="0"/>
      <w:spacing w:before="260" w:after="260" w:line="416" w:lineRule="atLeast"/>
      <w:textAlignment w:val="baseline"/>
      <w:outlineLvl w:val="2"/>
    </w:pPr>
    <w:rPr>
      <w:b/>
      <w:kern w:val="0"/>
      <w:sz w:val="32"/>
      <w:szCs w:val="20"/>
    </w:rPr>
  </w:style>
  <w:style w:type="paragraph" w:styleId="5">
    <w:name w:val="heading 4"/>
    <w:basedOn w:val="1"/>
    <w:next w:val="1"/>
    <w:link w:val="57"/>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6">
    <w:name w:val="heading 5"/>
    <w:basedOn w:val="1"/>
    <w:next w:val="7"/>
    <w:link w:val="58"/>
    <w:qFormat/>
    <w:uiPriority w:val="0"/>
    <w:pPr>
      <w:keepNext/>
      <w:keepLines/>
      <w:numPr>
        <w:ilvl w:val="4"/>
        <w:numId w:val="1"/>
      </w:numPr>
      <w:spacing w:before="280" w:after="290" w:line="376" w:lineRule="auto"/>
      <w:outlineLvl w:val="4"/>
    </w:pPr>
    <w:rPr>
      <w:b/>
      <w:sz w:val="28"/>
      <w:szCs w:val="20"/>
    </w:rPr>
  </w:style>
  <w:style w:type="paragraph" w:styleId="8">
    <w:name w:val="heading 6"/>
    <w:basedOn w:val="1"/>
    <w:next w:val="7"/>
    <w:link w:val="59"/>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9">
    <w:name w:val="heading 7"/>
    <w:basedOn w:val="1"/>
    <w:next w:val="7"/>
    <w:link w:val="60"/>
    <w:qFormat/>
    <w:uiPriority w:val="0"/>
    <w:pPr>
      <w:keepNext/>
      <w:keepLines/>
      <w:numPr>
        <w:ilvl w:val="6"/>
        <w:numId w:val="1"/>
      </w:numPr>
      <w:spacing w:before="240" w:after="64" w:line="320" w:lineRule="auto"/>
      <w:outlineLvl w:val="6"/>
    </w:pPr>
    <w:rPr>
      <w:b/>
      <w:sz w:val="24"/>
      <w:lang w:val="zh-CN"/>
    </w:rPr>
  </w:style>
  <w:style w:type="paragraph" w:styleId="10">
    <w:name w:val="heading 8"/>
    <w:basedOn w:val="1"/>
    <w:next w:val="7"/>
    <w:link w:val="61"/>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7"/>
    <w:link w:val="62"/>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5"/>
    <w:qFormat/>
    <w:uiPriority w:val="0"/>
    <w:pPr>
      <w:widowControl/>
      <w:ind w:firstLine="420"/>
      <w:jc w:val="left"/>
    </w:pPr>
    <w:rPr>
      <w:rFonts w:asciiTheme="minorHAnsi" w:hAnsiTheme="minorHAnsi" w:cstheme="minorBidi"/>
      <w:szCs w:val="22"/>
    </w:rPr>
  </w:style>
  <w:style w:type="paragraph" w:styleId="12">
    <w:name w:val="toc 7"/>
    <w:basedOn w:val="1"/>
    <w:next w:val="1"/>
    <w:unhideWhenUsed/>
    <w:qFormat/>
    <w:uiPriority w:val="39"/>
    <w:pPr>
      <w:ind w:left="1050"/>
      <w:jc w:val="left"/>
    </w:pPr>
    <w:rPr>
      <w:rFonts w:ascii="等线" w:eastAsia="等线"/>
      <w:sz w:val="20"/>
      <w:szCs w:val="20"/>
    </w:rPr>
  </w:style>
  <w:style w:type="paragraph" w:styleId="13">
    <w:name w:val="caption"/>
    <w:basedOn w:val="1"/>
    <w:next w:val="1"/>
    <w:qFormat/>
    <w:uiPriority w:val="0"/>
    <w:rPr>
      <w:rFonts w:ascii="Arial" w:hAnsi="Arial" w:eastAsia="黑体" w:cs="Arial"/>
      <w:sz w:val="20"/>
      <w:szCs w:val="20"/>
    </w:rPr>
  </w:style>
  <w:style w:type="paragraph" w:styleId="14">
    <w:name w:val="annotation text"/>
    <w:basedOn w:val="1"/>
    <w:link w:val="86"/>
    <w:qFormat/>
    <w:uiPriority w:val="0"/>
    <w:pPr>
      <w:widowControl/>
      <w:jc w:val="left"/>
    </w:pPr>
    <w:rPr>
      <w:rFonts w:asciiTheme="minorHAnsi" w:hAnsiTheme="minorHAnsi" w:eastAsiaTheme="minorEastAsia" w:cstheme="minorBidi"/>
      <w:szCs w:val="22"/>
    </w:rPr>
  </w:style>
  <w:style w:type="paragraph" w:styleId="15">
    <w:name w:val="Salutation"/>
    <w:basedOn w:val="1"/>
    <w:next w:val="1"/>
    <w:link w:val="150"/>
    <w:qFormat/>
    <w:uiPriority w:val="99"/>
    <w:pPr>
      <w:widowControl/>
      <w:jc w:val="left"/>
    </w:pPr>
    <w:rPr>
      <w:rFonts w:asciiTheme="minorHAnsi" w:hAnsiTheme="minorHAnsi" w:eastAsiaTheme="minorEastAsia" w:cstheme="minorBidi"/>
      <w:kern w:val="0"/>
      <w:sz w:val="24"/>
      <w:lang w:eastAsia="en-US"/>
    </w:rPr>
  </w:style>
  <w:style w:type="paragraph" w:styleId="16">
    <w:name w:val="Body Text 3"/>
    <w:basedOn w:val="1"/>
    <w:link w:val="110"/>
    <w:qFormat/>
    <w:uiPriority w:val="0"/>
    <w:pPr>
      <w:spacing w:after="120"/>
    </w:pPr>
    <w:rPr>
      <w:sz w:val="16"/>
      <w:szCs w:val="16"/>
    </w:rPr>
  </w:style>
  <w:style w:type="paragraph" w:styleId="17">
    <w:name w:val="Body Text"/>
    <w:basedOn w:val="1"/>
    <w:link w:val="98"/>
    <w:qFormat/>
    <w:uiPriority w:val="0"/>
    <w:pPr>
      <w:widowControl/>
      <w:spacing w:after="120"/>
      <w:jc w:val="left"/>
    </w:pPr>
    <w:rPr>
      <w:rFonts w:ascii="ˎ̥" w:hAnsi="ˎ̥"/>
      <w:color w:val="000000"/>
      <w:sz w:val="24"/>
      <w:szCs w:val="20"/>
    </w:rPr>
  </w:style>
  <w:style w:type="paragraph" w:styleId="18">
    <w:name w:val="Body Text Indent"/>
    <w:basedOn w:val="1"/>
    <w:link w:val="97"/>
    <w:qFormat/>
    <w:uiPriority w:val="0"/>
    <w:pPr>
      <w:spacing w:after="120"/>
      <w:ind w:left="420" w:leftChars="200"/>
    </w:pPr>
  </w:style>
  <w:style w:type="paragraph" w:styleId="19">
    <w:name w:val="toc 5"/>
    <w:basedOn w:val="1"/>
    <w:next w:val="1"/>
    <w:unhideWhenUsed/>
    <w:qFormat/>
    <w:uiPriority w:val="39"/>
    <w:pPr>
      <w:ind w:left="630"/>
      <w:jc w:val="left"/>
    </w:pPr>
    <w:rPr>
      <w:rFonts w:ascii="等线" w:eastAsia="等线"/>
      <w:sz w:val="20"/>
      <w:szCs w:val="20"/>
    </w:rPr>
  </w:style>
  <w:style w:type="paragraph" w:styleId="20">
    <w:name w:val="toc 3"/>
    <w:basedOn w:val="1"/>
    <w:next w:val="1"/>
    <w:unhideWhenUsed/>
    <w:qFormat/>
    <w:uiPriority w:val="39"/>
    <w:pPr>
      <w:ind w:left="210"/>
      <w:jc w:val="left"/>
    </w:pPr>
    <w:rPr>
      <w:rFonts w:ascii="等线" w:eastAsia="等线"/>
      <w:sz w:val="20"/>
      <w:szCs w:val="20"/>
    </w:rPr>
  </w:style>
  <w:style w:type="paragraph" w:styleId="21">
    <w:name w:val="Plain Text"/>
    <w:basedOn w:val="1"/>
    <w:link w:val="67"/>
    <w:qFormat/>
    <w:uiPriority w:val="0"/>
    <w:rPr>
      <w:rFonts w:ascii="宋体" w:hAnsi="Courier New" w:cs="Courier New"/>
      <w:szCs w:val="21"/>
    </w:rPr>
  </w:style>
  <w:style w:type="paragraph" w:styleId="22">
    <w:name w:val="toc 8"/>
    <w:basedOn w:val="1"/>
    <w:next w:val="1"/>
    <w:unhideWhenUsed/>
    <w:qFormat/>
    <w:uiPriority w:val="39"/>
    <w:pPr>
      <w:ind w:left="1260"/>
      <w:jc w:val="left"/>
    </w:pPr>
    <w:rPr>
      <w:rFonts w:ascii="等线" w:eastAsia="等线"/>
      <w:sz w:val="20"/>
      <w:szCs w:val="20"/>
    </w:rPr>
  </w:style>
  <w:style w:type="paragraph" w:styleId="23">
    <w:name w:val="Date"/>
    <w:basedOn w:val="1"/>
    <w:next w:val="1"/>
    <w:link w:val="87"/>
    <w:qFormat/>
    <w:uiPriority w:val="0"/>
    <w:rPr>
      <w:rFonts w:ascii="宋体" w:hAnsiTheme="minorHAnsi" w:cstheme="minorBidi"/>
      <w:sz w:val="24"/>
      <w:szCs w:val="22"/>
    </w:rPr>
  </w:style>
  <w:style w:type="paragraph" w:styleId="24">
    <w:name w:val="Body Text Indent 2"/>
    <w:basedOn w:val="1"/>
    <w:link w:val="92"/>
    <w:qFormat/>
    <w:uiPriority w:val="0"/>
    <w:pPr>
      <w:spacing w:after="120" w:line="480" w:lineRule="auto"/>
      <w:ind w:left="420" w:leftChars="200"/>
    </w:pPr>
    <w:rPr>
      <w:rFonts w:asciiTheme="minorHAnsi" w:hAnsiTheme="minorHAnsi" w:cstheme="minorBidi"/>
    </w:rPr>
  </w:style>
  <w:style w:type="paragraph" w:styleId="25">
    <w:name w:val="Balloon Text"/>
    <w:basedOn w:val="1"/>
    <w:link w:val="99"/>
    <w:qFormat/>
    <w:uiPriority w:val="0"/>
    <w:rPr>
      <w:sz w:val="18"/>
      <w:szCs w:val="18"/>
    </w:rPr>
  </w:style>
  <w:style w:type="paragraph" w:styleId="26">
    <w:name w:val="footer"/>
    <w:basedOn w:val="1"/>
    <w:link w:val="64"/>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27">
    <w:name w:val="envelope return"/>
    <w:basedOn w:val="1"/>
    <w:qFormat/>
    <w:uiPriority w:val="0"/>
    <w:pPr>
      <w:snapToGrid w:val="0"/>
    </w:pPr>
    <w:rPr>
      <w:rFonts w:ascii="Arial" w:hAnsi="Arial"/>
    </w:rPr>
  </w:style>
  <w:style w:type="paragraph" w:styleId="28">
    <w:name w:val="header"/>
    <w:basedOn w:val="1"/>
    <w:link w:val="69"/>
    <w:qFormat/>
    <w:uiPriority w:val="0"/>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29">
    <w:name w:val="toc 1"/>
    <w:basedOn w:val="1"/>
    <w:next w:val="1"/>
    <w:qFormat/>
    <w:uiPriority w:val="39"/>
    <w:pPr>
      <w:spacing w:before="360"/>
      <w:jc w:val="left"/>
    </w:pPr>
    <w:rPr>
      <w:rFonts w:ascii="等线 Light" w:eastAsia="等线 Light"/>
      <w:b/>
      <w:bCs/>
      <w:caps/>
      <w:sz w:val="24"/>
    </w:rPr>
  </w:style>
  <w:style w:type="paragraph" w:styleId="30">
    <w:name w:val="toc 4"/>
    <w:basedOn w:val="1"/>
    <w:next w:val="1"/>
    <w:unhideWhenUsed/>
    <w:qFormat/>
    <w:uiPriority w:val="39"/>
    <w:pPr>
      <w:ind w:left="420"/>
      <w:jc w:val="left"/>
    </w:pPr>
    <w:rPr>
      <w:rFonts w:ascii="等线" w:eastAsia="等线"/>
      <w:sz w:val="20"/>
      <w:szCs w:val="20"/>
    </w:rPr>
  </w:style>
  <w:style w:type="paragraph" w:styleId="31">
    <w:name w:val="index heading"/>
    <w:basedOn w:val="1"/>
    <w:next w:val="32"/>
    <w:qFormat/>
    <w:uiPriority w:val="0"/>
    <w:rPr>
      <w:szCs w:val="20"/>
    </w:rPr>
  </w:style>
  <w:style w:type="paragraph" w:styleId="32">
    <w:name w:val="index 1"/>
    <w:basedOn w:val="1"/>
    <w:next w:val="1"/>
    <w:qFormat/>
    <w:uiPriority w:val="0"/>
  </w:style>
  <w:style w:type="paragraph" w:styleId="33">
    <w:name w:val="toc 6"/>
    <w:basedOn w:val="1"/>
    <w:next w:val="1"/>
    <w:unhideWhenUsed/>
    <w:qFormat/>
    <w:uiPriority w:val="39"/>
    <w:pPr>
      <w:ind w:left="840"/>
      <w:jc w:val="left"/>
    </w:pPr>
    <w:rPr>
      <w:rFonts w:ascii="等线" w:eastAsia="等线"/>
      <w:sz w:val="20"/>
      <w:szCs w:val="20"/>
    </w:rPr>
  </w:style>
  <w:style w:type="paragraph" w:styleId="34">
    <w:name w:val="Body Text Indent 3"/>
    <w:basedOn w:val="1"/>
    <w:link w:val="106"/>
    <w:qFormat/>
    <w:uiPriority w:val="0"/>
    <w:pPr>
      <w:spacing w:after="120"/>
      <w:ind w:left="420" w:leftChars="200"/>
    </w:pPr>
    <w:rPr>
      <w:sz w:val="16"/>
      <w:szCs w:val="16"/>
    </w:rPr>
  </w:style>
  <w:style w:type="paragraph" w:styleId="35">
    <w:name w:val="toc 2"/>
    <w:basedOn w:val="1"/>
    <w:next w:val="1"/>
    <w:qFormat/>
    <w:uiPriority w:val="39"/>
    <w:pPr>
      <w:spacing w:before="240"/>
      <w:jc w:val="left"/>
    </w:pPr>
    <w:rPr>
      <w:rFonts w:ascii="等线" w:eastAsia="等线"/>
      <w:b/>
      <w:bCs/>
      <w:sz w:val="20"/>
      <w:szCs w:val="20"/>
    </w:rPr>
  </w:style>
  <w:style w:type="paragraph" w:styleId="36">
    <w:name w:val="toc 9"/>
    <w:basedOn w:val="1"/>
    <w:next w:val="1"/>
    <w:unhideWhenUsed/>
    <w:qFormat/>
    <w:uiPriority w:val="39"/>
    <w:pPr>
      <w:ind w:left="1470"/>
      <w:jc w:val="left"/>
    </w:pPr>
    <w:rPr>
      <w:rFonts w:ascii="等线" w:eastAsia="等线"/>
      <w:sz w:val="20"/>
      <w:szCs w:val="20"/>
    </w:rPr>
  </w:style>
  <w:style w:type="paragraph" w:styleId="37">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color w:val="000000"/>
      <w:szCs w:val="22"/>
    </w:r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88"/>
    <w:qFormat/>
    <w:uiPriority w:val="0"/>
    <w:pPr>
      <w:spacing w:before="240" w:after="60"/>
      <w:jc w:val="center"/>
      <w:outlineLvl w:val="0"/>
    </w:pPr>
    <w:rPr>
      <w:rFonts w:ascii="Cambria" w:hAnsi="Cambria" w:eastAsiaTheme="minorEastAsia" w:cstheme="minorBidi"/>
      <w:b/>
      <w:bCs/>
      <w:sz w:val="32"/>
      <w:szCs w:val="32"/>
    </w:rPr>
  </w:style>
  <w:style w:type="paragraph" w:styleId="40">
    <w:name w:val="annotation subject"/>
    <w:basedOn w:val="14"/>
    <w:next w:val="14"/>
    <w:link w:val="75"/>
    <w:qFormat/>
    <w:uiPriority w:val="0"/>
    <w:pPr>
      <w:widowControl w:val="0"/>
    </w:pPr>
    <w:rPr>
      <w:b/>
      <w:bCs/>
      <w:szCs w:val="24"/>
    </w:rPr>
  </w:style>
  <w:style w:type="paragraph" w:styleId="41">
    <w:name w:val="Body Text First Indent"/>
    <w:basedOn w:val="17"/>
    <w:link w:val="182"/>
    <w:semiHidden/>
    <w:unhideWhenUsed/>
    <w:qFormat/>
    <w:uiPriority w:val="99"/>
    <w:pPr>
      <w:widowControl w:val="0"/>
      <w:ind w:firstLine="420" w:firstLineChars="100"/>
      <w:jc w:val="both"/>
    </w:pPr>
    <w:rPr>
      <w:rFonts w:ascii="Times New Roman" w:hAnsi="Times New Roman"/>
      <w:color w:val="auto"/>
      <w:sz w:val="21"/>
      <w:szCs w:val="24"/>
    </w:rPr>
  </w:style>
  <w:style w:type="paragraph" w:styleId="42">
    <w:name w:val="Body Text First Indent 2"/>
    <w:basedOn w:val="18"/>
    <w:link w:val="186"/>
    <w:semiHidden/>
    <w:unhideWhenUsed/>
    <w:qFormat/>
    <w:uiPriority w:val="99"/>
    <w:pPr>
      <w:ind w:firstLine="420" w:firstLineChars="200"/>
    </w:p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unhideWhenUsed/>
    <w:qFormat/>
    <w:uiPriority w:val="99"/>
    <w:rPr>
      <w:color w:val="954F72"/>
      <w:u w:val="single"/>
    </w:rPr>
  </w:style>
  <w:style w:type="character" w:styleId="49">
    <w:name w:val="Emphasis"/>
    <w:qFormat/>
    <w:uiPriority w:val="20"/>
    <w:rPr>
      <w:i/>
      <w:iCs/>
    </w:rPr>
  </w:style>
  <w:style w:type="character" w:styleId="50">
    <w:name w:val="line number"/>
    <w:basedOn w:val="45"/>
    <w:qFormat/>
    <w:uiPriority w:val="0"/>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footnote reference"/>
    <w:qFormat/>
    <w:uiPriority w:val="0"/>
    <w:rPr>
      <w:vertAlign w:val="superscript"/>
    </w:rPr>
  </w:style>
  <w:style w:type="character" w:customStyle="1" w:styleId="54">
    <w:name w:val="标题 1 字符"/>
    <w:basedOn w:val="45"/>
    <w:qFormat/>
    <w:uiPriority w:val="0"/>
    <w:rPr>
      <w:rFonts w:ascii="Times New Roman" w:hAnsi="Times New Roman" w:eastAsia="宋体" w:cs="Times New Roman"/>
      <w:b/>
      <w:bCs/>
      <w:kern w:val="44"/>
      <w:sz w:val="44"/>
      <w:szCs w:val="44"/>
    </w:rPr>
  </w:style>
  <w:style w:type="character" w:customStyle="1" w:styleId="55">
    <w:name w:val="标题 2 字符"/>
    <w:basedOn w:val="45"/>
    <w:link w:val="3"/>
    <w:qFormat/>
    <w:uiPriority w:val="9"/>
    <w:rPr>
      <w:rFonts w:ascii="宋体" w:hAnsi="Arial" w:eastAsia="宋体" w:cs="Times New Roman"/>
      <w:b/>
      <w:sz w:val="28"/>
    </w:rPr>
  </w:style>
  <w:style w:type="character" w:customStyle="1" w:styleId="56">
    <w:name w:val="标题 3 字符"/>
    <w:basedOn w:val="45"/>
    <w:link w:val="4"/>
    <w:qFormat/>
    <w:uiPriority w:val="9"/>
    <w:rPr>
      <w:rFonts w:ascii="Times New Roman" w:hAnsi="Times New Roman" w:eastAsia="宋体" w:cs="Times New Roman"/>
      <w:b/>
      <w:sz w:val="32"/>
    </w:rPr>
  </w:style>
  <w:style w:type="character" w:customStyle="1" w:styleId="57">
    <w:name w:val="标题 4 字符"/>
    <w:basedOn w:val="45"/>
    <w:link w:val="5"/>
    <w:qFormat/>
    <w:uiPriority w:val="0"/>
    <w:rPr>
      <w:rFonts w:ascii="Arial" w:hAnsi="Arial" w:eastAsia="黑体" w:cs="Times New Roman"/>
      <w:b/>
      <w:kern w:val="2"/>
      <w:sz w:val="28"/>
    </w:rPr>
  </w:style>
  <w:style w:type="character" w:customStyle="1" w:styleId="58">
    <w:name w:val="标题 5 字符"/>
    <w:basedOn w:val="45"/>
    <w:link w:val="6"/>
    <w:qFormat/>
    <w:uiPriority w:val="0"/>
    <w:rPr>
      <w:rFonts w:ascii="Times New Roman" w:hAnsi="Times New Roman" w:eastAsia="宋体" w:cs="Times New Roman"/>
      <w:b/>
      <w:kern w:val="2"/>
      <w:sz w:val="28"/>
    </w:rPr>
  </w:style>
  <w:style w:type="character" w:customStyle="1" w:styleId="59">
    <w:name w:val="标题 6 字符"/>
    <w:basedOn w:val="45"/>
    <w:link w:val="8"/>
    <w:qFormat/>
    <w:uiPriority w:val="0"/>
    <w:rPr>
      <w:rFonts w:ascii="Arial" w:hAnsi="Arial" w:eastAsia="黑体" w:cs="Times New Roman"/>
      <w:b/>
      <w:kern w:val="2"/>
      <w:sz w:val="24"/>
    </w:rPr>
  </w:style>
  <w:style w:type="character" w:customStyle="1" w:styleId="60">
    <w:name w:val="标题 7 字符"/>
    <w:basedOn w:val="45"/>
    <w:link w:val="9"/>
    <w:qFormat/>
    <w:uiPriority w:val="0"/>
    <w:rPr>
      <w:rFonts w:ascii="Times New Roman" w:hAnsi="Times New Roman" w:eastAsia="宋体" w:cs="Times New Roman"/>
      <w:b/>
      <w:kern w:val="2"/>
      <w:sz w:val="24"/>
      <w:szCs w:val="24"/>
      <w:lang w:val="zh-CN"/>
    </w:rPr>
  </w:style>
  <w:style w:type="character" w:customStyle="1" w:styleId="61">
    <w:name w:val="标题 8 字符"/>
    <w:basedOn w:val="45"/>
    <w:link w:val="10"/>
    <w:qFormat/>
    <w:uiPriority w:val="0"/>
    <w:rPr>
      <w:rFonts w:ascii="Arial" w:hAnsi="Arial" w:eastAsia="黑体" w:cs="Times New Roman"/>
      <w:kern w:val="2"/>
      <w:sz w:val="24"/>
    </w:rPr>
  </w:style>
  <w:style w:type="character" w:customStyle="1" w:styleId="62">
    <w:name w:val="标题 9 字符"/>
    <w:basedOn w:val="45"/>
    <w:link w:val="11"/>
    <w:qFormat/>
    <w:uiPriority w:val="0"/>
    <w:rPr>
      <w:rFonts w:ascii="Arial" w:hAnsi="Arial" w:eastAsia="黑体" w:cs="Times New Roman"/>
      <w:kern w:val="2"/>
      <w:sz w:val="21"/>
    </w:rPr>
  </w:style>
  <w:style w:type="character" w:customStyle="1" w:styleId="63">
    <w:name w:val="批注文字 字符"/>
    <w:qFormat/>
    <w:uiPriority w:val="0"/>
    <w:rPr>
      <w:kern w:val="2"/>
      <w:sz w:val="21"/>
      <w:szCs w:val="24"/>
    </w:rPr>
  </w:style>
  <w:style w:type="character" w:customStyle="1" w:styleId="64">
    <w:name w:val="页脚 字符"/>
    <w:link w:val="26"/>
    <w:qFormat/>
    <w:uiPriority w:val="0"/>
    <w:rPr>
      <w:sz w:val="18"/>
      <w:szCs w:val="18"/>
    </w:rPr>
  </w:style>
  <w:style w:type="character" w:customStyle="1" w:styleId="65">
    <w:name w:val="正文缩进 字符"/>
    <w:link w:val="7"/>
    <w:qFormat/>
    <w:uiPriority w:val="0"/>
    <w:rPr>
      <w:rFonts w:eastAsia="宋体"/>
    </w:rPr>
  </w:style>
  <w:style w:type="character" w:customStyle="1" w:styleId="66">
    <w:name w:val="标题 1 字符1"/>
    <w:link w:val="2"/>
    <w:qFormat/>
    <w:uiPriority w:val="0"/>
    <w:rPr>
      <w:rFonts w:ascii="Times New Roman" w:hAnsi="Times New Roman" w:eastAsia="宋体" w:cs="Times New Roman"/>
      <w:b/>
      <w:bCs/>
      <w:kern w:val="44"/>
      <w:sz w:val="44"/>
      <w:szCs w:val="44"/>
    </w:rPr>
  </w:style>
  <w:style w:type="character" w:customStyle="1" w:styleId="67">
    <w:name w:val="纯文本 字符1"/>
    <w:link w:val="21"/>
    <w:qFormat/>
    <w:uiPriority w:val="0"/>
    <w:rPr>
      <w:rFonts w:ascii="宋体" w:hAnsi="Courier New" w:eastAsia="宋体" w:cs="Courier New"/>
      <w:szCs w:val="21"/>
    </w:rPr>
  </w:style>
  <w:style w:type="character" w:customStyle="1" w:styleId="68">
    <w:name w:val="H1 Char"/>
    <w:qFormat/>
    <w:uiPriority w:val="0"/>
    <w:rPr>
      <w:rFonts w:eastAsia="宋体"/>
      <w:b/>
      <w:bCs/>
      <w:kern w:val="44"/>
      <w:sz w:val="44"/>
      <w:szCs w:val="44"/>
      <w:lang w:val="en-US" w:eastAsia="zh-CN" w:bidi="ar-SA"/>
    </w:rPr>
  </w:style>
  <w:style w:type="character" w:customStyle="1" w:styleId="69">
    <w:name w:val="页眉 字符"/>
    <w:link w:val="28"/>
    <w:qFormat/>
    <w:uiPriority w:val="0"/>
    <w:rPr>
      <w:rFonts w:eastAsia="宋体"/>
      <w:sz w:val="18"/>
      <w:szCs w:val="18"/>
    </w:rPr>
  </w:style>
  <w:style w:type="character" w:customStyle="1" w:styleId="70">
    <w:name w:val="15"/>
    <w:qFormat/>
    <w:uiPriority w:val="0"/>
    <w:rPr>
      <w:rFonts w:hint="default" w:ascii="Times New Roman" w:hAnsi="Times New Roman" w:cs="Times New Roman"/>
    </w:rPr>
  </w:style>
  <w:style w:type="character" w:customStyle="1" w:styleId="71">
    <w:name w:val="表格名称 Char Char"/>
    <w:link w:val="72"/>
    <w:qFormat/>
    <w:uiPriority w:val="0"/>
    <w:rPr>
      <w:rFonts w:ascii="宋体" w:hAnsi="宋体" w:eastAsia="宋体"/>
      <w:b/>
      <w:sz w:val="24"/>
      <w:szCs w:val="21"/>
    </w:rPr>
  </w:style>
  <w:style w:type="paragraph" w:customStyle="1" w:styleId="72">
    <w:name w:val="表格名称"/>
    <w:basedOn w:val="1"/>
    <w:link w:val="71"/>
    <w:qFormat/>
    <w:uiPriority w:val="0"/>
    <w:pPr>
      <w:tabs>
        <w:tab w:val="left" w:pos="481"/>
      </w:tabs>
      <w:spacing w:line="360" w:lineRule="auto"/>
      <w:ind w:left="481"/>
      <w:jc w:val="center"/>
    </w:pPr>
    <w:rPr>
      <w:rFonts w:ascii="宋体" w:hAnsi="宋体" w:cstheme="minorBidi"/>
      <w:b/>
      <w:sz w:val="24"/>
      <w:szCs w:val="21"/>
    </w:rPr>
  </w:style>
  <w:style w:type="character" w:customStyle="1" w:styleId="73">
    <w:name w:val="Font Style17"/>
    <w:qFormat/>
    <w:uiPriority w:val="0"/>
    <w:rPr>
      <w:rFonts w:ascii="黑体" w:eastAsia="黑体" w:cs="黑体"/>
      <w:sz w:val="28"/>
      <w:szCs w:val="28"/>
    </w:rPr>
  </w:style>
  <w:style w:type="character" w:customStyle="1" w:styleId="74">
    <w:name w:val="未处理的提及1"/>
    <w:unhideWhenUsed/>
    <w:qFormat/>
    <w:uiPriority w:val="99"/>
    <w:rPr>
      <w:color w:val="808080"/>
      <w:shd w:val="clear" w:color="auto" w:fill="E6E6E6"/>
    </w:rPr>
  </w:style>
  <w:style w:type="character" w:customStyle="1" w:styleId="75">
    <w:name w:val="批注主题 字符"/>
    <w:link w:val="40"/>
    <w:qFormat/>
    <w:uiPriority w:val="0"/>
    <w:rPr>
      <w:b/>
      <w:bCs/>
      <w:szCs w:val="24"/>
    </w:rPr>
  </w:style>
  <w:style w:type="character" w:customStyle="1" w:styleId="76">
    <w:name w:val="文档正文 Char Char"/>
    <w:link w:val="77"/>
    <w:qFormat/>
    <w:uiPriority w:val="0"/>
    <w:rPr>
      <w:rFonts w:ascii="宋体" w:hAnsi="宋体" w:eastAsia="宋体"/>
      <w:spacing w:val="4"/>
      <w:sz w:val="24"/>
    </w:rPr>
  </w:style>
  <w:style w:type="paragraph" w:customStyle="1" w:styleId="77">
    <w:name w:val="文档正文"/>
    <w:basedOn w:val="1"/>
    <w:link w:val="76"/>
    <w:qFormat/>
    <w:uiPriority w:val="0"/>
    <w:pPr>
      <w:adjustRightInd w:val="0"/>
      <w:spacing w:line="440" w:lineRule="atLeast"/>
      <w:ind w:firstLine="567"/>
    </w:pPr>
    <w:rPr>
      <w:rFonts w:ascii="宋体" w:hAnsi="宋体" w:cstheme="minorBidi"/>
      <w:spacing w:val="4"/>
      <w:sz w:val="24"/>
      <w:szCs w:val="22"/>
    </w:rPr>
  </w:style>
  <w:style w:type="character" w:customStyle="1" w:styleId="78">
    <w:name w:val="列出段落 字符1"/>
    <w:link w:val="79"/>
    <w:qFormat/>
    <w:uiPriority w:val="99"/>
    <w:rPr>
      <w:rFonts w:eastAsia="宋体"/>
      <w:sz w:val="24"/>
      <w:szCs w:val="24"/>
    </w:rPr>
  </w:style>
  <w:style w:type="paragraph" w:customStyle="1" w:styleId="79">
    <w:name w:val="列出段落1"/>
    <w:basedOn w:val="1"/>
    <w:link w:val="78"/>
    <w:qFormat/>
    <w:uiPriority w:val="0"/>
    <w:pPr>
      <w:spacing w:line="360" w:lineRule="auto"/>
      <w:ind w:firstLine="420" w:firstLineChars="200"/>
    </w:pPr>
    <w:rPr>
      <w:rFonts w:asciiTheme="minorHAnsi" w:hAnsiTheme="minorHAnsi" w:cstheme="minorBidi"/>
      <w:sz w:val="24"/>
    </w:rPr>
  </w:style>
  <w:style w:type="character" w:customStyle="1" w:styleId="80">
    <w:name w:val="纯文本 字符"/>
    <w:qFormat/>
    <w:uiPriority w:val="0"/>
    <w:rPr>
      <w:rFonts w:ascii="宋体" w:hAnsi="Courier New" w:eastAsia="宋体"/>
      <w:kern w:val="2"/>
      <w:sz w:val="21"/>
      <w:lang w:val="en-US" w:eastAsia="zh-CN" w:bidi="ar-SA"/>
    </w:rPr>
  </w:style>
  <w:style w:type="character" w:customStyle="1" w:styleId="81">
    <w:name w:val="标题 字符1"/>
    <w:qFormat/>
    <w:uiPriority w:val="10"/>
    <w:rPr>
      <w:rFonts w:ascii="等线 Light" w:hAnsi="等线 Light" w:cs="Times New Roman"/>
      <w:b/>
      <w:bCs/>
      <w:kern w:val="2"/>
      <w:sz w:val="32"/>
      <w:szCs w:val="32"/>
    </w:rPr>
  </w:style>
  <w:style w:type="character" w:customStyle="1" w:styleId="82">
    <w:name w:val="页脚 Char Char"/>
    <w:qFormat/>
    <w:uiPriority w:val="0"/>
    <w:rPr>
      <w:rFonts w:eastAsia="宋体"/>
      <w:kern w:val="2"/>
      <w:sz w:val="18"/>
      <w:szCs w:val="18"/>
      <w:lang w:val="en-US" w:eastAsia="zh-CN" w:bidi="ar-SA"/>
    </w:rPr>
  </w:style>
  <w:style w:type="character" w:customStyle="1" w:styleId="83">
    <w:name w:val="List Paragraph Char Char"/>
    <w:link w:val="84"/>
    <w:qFormat/>
    <w:uiPriority w:val="0"/>
    <w:rPr>
      <w:rFonts w:eastAsia="宋体"/>
    </w:rPr>
  </w:style>
  <w:style w:type="paragraph" w:customStyle="1" w:styleId="84">
    <w:name w:val="列表段落1"/>
    <w:basedOn w:val="1"/>
    <w:link w:val="83"/>
    <w:qFormat/>
    <w:uiPriority w:val="0"/>
    <w:pPr>
      <w:widowControl/>
      <w:ind w:firstLine="420" w:firstLineChars="200"/>
      <w:jc w:val="left"/>
    </w:pPr>
    <w:rPr>
      <w:rFonts w:asciiTheme="minorHAnsi" w:hAnsiTheme="minorHAnsi" w:cstheme="minorBidi"/>
      <w:szCs w:val="22"/>
    </w:rPr>
  </w:style>
  <w:style w:type="character" w:customStyle="1" w:styleId="85">
    <w:name w:val="纯文本 Char1"/>
    <w:qFormat/>
    <w:uiPriority w:val="0"/>
    <w:rPr>
      <w:rFonts w:ascii="宋体" w:hAnsi="Courier New" w:eastAsia="宋体" w:cs="Courier New"/>
      <w:kern w:val="2"/>
      <w:sz w:val="21"/>
      <w:szCs w:val="21"/>
      <w:lang w:val="en-US" w:eastAsia="zh-CN" w:bidi="ar-SA"/>
    </w:rPr>
  </w:style>
  <w:style w:type="character" w:customStyle="1" w:styleId="86">
    <w:name w:val="批注文字 字符1"/>
    <w:link w:val="14"/>
    <w:qFormat/>
    <w:uiPriority w:val="0"/>
  </w:style>
  <w:style w:type="character" w:customStyle="1" w:styleId="87">
    <w:name w:val="日期 字符"/>
    <w:link w:val="23"/>
    <w:qFormat/>
    <w:uiPriority w:val="0"/>
    <w:rPr>
      <w:rFonts w:ascii="宋体" w:eastAsia="宋体"/>
      <w:sz w:val="24"/>
    </w:rPr>
  </w:style>
  <w:style w:type="character" w:customStyle="1" w:styleId="88">
    <w:name w:val="标题 字符"/>
    <w:link w:val="39"/>
    <w:qFormat/>
    <w:uiPriority w:val="0"/>
    <w:rPr>
      <w:rFonts w:ascii="Cambria" w:hAnsi="Cambria"/>
      <w:b/>
      <w:bCs/>
      <w:sz w:val="32"/>
      <w:szCs w:val="32"/>
    </w:rPr>
  </w:style>
  <w:style w:type="character" w:customStyle="1" w:styleId="89">
    <w:name w:val="列出段落 字符"/>
    <w:qFormat/>
    <w:uiPriority w:val="0"/>
    <w:rPr>
      <w:rFonts w:ascii="Calibri" w:hAnsi="Calibri"/>
      <w:kern w:val="2"/>
      <w:sz w:val="21"/>
      <w:szCs w:val="22"/>
    </w:rPr>
  </w:style>
  <w:style w:type="character" w:customStyle="1" w:styleId="90">
    <w:name w:val="HTML 预设格式 字符"/>
    <w:link w:val="37"/>
    <w:qFormat/>
    <w:uiPriority w:val="0"/>
    <w:rPr>
      <w:rFonts w:ascii="Arial Unicode MS" w:hAnsi="Arial Unicode MS" w:eastAsia="Arial Unicode MS" w:cs="Arial Unicode MS"/>
      <w:color w:val="000000"/>
    </w:rPr>
  </w:style>
  <w:style w:type="character" w:customStyle="1" w:styleId="91">
    <w:name w:val="10"/>
    <w:qFormat/>
    <w:uiPriority w:val="0"/>
    <w:rPr>
      <w:rFonts w:hint="default" w:ascii="Times New Roman" w:hAnsi="Times New Roman" w:cs="Times New Roman"/>
    </w:rPr>
  </w:style>
  <w:style w:type="character" w:customStyle="1" w:styleId="92">
    <w:name w:val="正文文本缩进 2 字符"/>
    <w:link w:val="24"/>
    <w:qFormat/>
    <w:uiPriority w:val="0"/>
    <w:rPr>
      <w:rFonts w:eastAsia="宋体"/>
      <w:szCs w:val="24"/>
    </w:rPr>
  </w:style>
  <w:style w:type="character" w:customStyle="1" w:styleId="93">
    <w:name w:val="普通文字 Char1"/>
    <w:qFormat/>
    <w:uiPriority w:val="0"/>
    <w:rPr>
      <w:rFonts w:ascii="宋体" w:hAnsi="Courier New" w:eastAsia="宋体"/>
      <w:kern w:val="2"/>
      <w:sz w:val="21"/>
      <w:lang w:val="en-US" w:eastAsia="zh-CN" w:bidi="ar-SA"/>
    </w:rPr>
  </w:style>
  <w:style w:type="character" w:customStyle="1" w:styleId="94">
    <w:name w:val="正文缩进2格 Char Char"/>
    <w:link w:val="95"/>
    <w:qFormat/>
    <w:uiPriority w:val="0"/>
    <w:rPr>
      <w:rFonts w:ascii="仿宋_GB2312" w:hAnsi="宋体" w:eastAsia="仿宋_GB2312"/>
      <w:sz w:val="31"/>
      <w:szCs w:val="28"/>
    </w:rPr>
  </w:style>
  <w:style w:type="paragraph" w:customStyle="1" w:styleId="95">
    <w:name w:val="正文缩进2格"/>
    <w:basedOn w:val="1"/>
    <w:link w:val="94"/>
    <w:qFormat/>
    <w:uiPriority w:val="0"/>
    <w:pPr>
      <w:spacing w:after="120" w:line="600" w:lineRule="exact"/>
      <w:ind w:firstLine="639" w:firstLineChars="206"/>
    </w:pPr>
    <w:rPr>
      <w:rFonts w:ascii="仿宋_GB2312" w:hAnsi="宋体" w:eastAsia="仿宋_GB2312" w:cstheme="minorBidi"/>
      <w:sz w:val="31"/>
      <w:szCs w:val="28"/>
    </w:rPr>
  </w:style>
  <w:style w:type="character" w:customStyle="1" w:styleId="96">
    <w:name w:val="HTML 预设格式 字符1"/>
    <w:semiHidden/>
    <w:qFormat/>
    <w:uiPriority w:val="99"/>
    <w:rPr>
      <w:rFonts w:ascii="Courier New" w:hAnsi="Courier New" w:cs="Courier New"/>
      <w:kern w:val="2"/>
    </w:rPr>
  </w:style>
  <w:style w:type="character" w:customStyle="1" w:styleId="97">
    <w:name w:val="正文文本缩进 字符"/>
    <w:basedOn w:val="45"/>
    <w:link w:val="18"/>
    <w:qFormat/>
    <w:uiPriority w:val="0"/>
    <w:rPr>
      <w:rFonts w:ascii="Times New Roman" w:hAnsi="Times New Roman" w:eastAsia="宋体" w:cs="Times New Roman"/>
      <w:szCs w:val="24"/>
    </w:rPr>
  </w:style>
  <w:style w:type="character" w:customStyle="1" w:styleId="98">
    <w:name w:val="正文文本 字符"/>
    <w:basedOn w:val="45"/>
    <w:link w:val="17"/>
    <w:qFormat/>
    <w:uiPriority w:val="0"/>
    <w:rPr>
      <w:rFonts w:ascii="ˎ̥" w:hAnsi="ˎ̥" w:eastAsia="宋体" w:cs="Times New Roman"/>
      <w:color w:val="000000"/>
      <w:sz w:val="24"/>
      <w:szCs w:val="20"/>
    </w:rPr>
  </w:style>
  <w:style w:type="character" w:customStyle="1" w:styleId="99">
    <w:name w:val="批注框文本 字符"/>
    <w:basedOn w:val="45"/>
    <w:link w:val="25"/>
    <w:qFormat/>
    <w:uiPriority w:val="0"/>
    <w:rPr>
      <w:rFonts w:ascii="Times New Roman" w:hAnsi="Times New Roman" w:eastAsia="宋体" w:cs="Times New Roman"/>
      <w:sz w:val="18"/>
      <w:szCs w:val="18"/>
    </w:rPr>
  </w:style>
  <w:style w:type="character" w:customStyle="1" w:styleId="100">
    <w:name w:val="批注文字 字符2"/>
    <w:basedOn w:val="45"/>
    <w:semiHidden/>
    <w:qFormat/>
    <w:uiPriority w:val="99"/>
    <w:rPr>
      <w:rFonts w:ascii="Times New Roman" w:hAnsi="Times New Roman" w:eastAsia="宋体" w:cs="Times New Roman"/>
      <w:szCs w:val="24"/>
    </w:rPr>
  </w:style>
  <w:style w:type="character" w:customStyle="1" w:styleId="101">
    <w:name w:val="正文文本缩进 2 字符1"/>
    <w:basedOn w:val="45"/>
    <w:semiHidden/>
    <w:qFormat/>
    <w:uiPriority w:val="99"/>
    <w:rPr>
      <w:rFonts w:ascii="Times New Roman" w:hAnsi="Times New Roman" w:eastAsia="宋体" w:cs="Times New Roman"/>
      <w:szCs w:val="24"/>
    </w:rPr>
  </w:style>
  <w:style w:type="character" w:customStyle="1" w:styleId="102">
    <w:name w:val="日期 字符1"/>
    <w:basedOn w:val="45"/>
    <w:semiHidden/>
    <w:qFormat/>
    <w:uiPriority w:val="99"/>
    <w:rPr>
      <w:rFonts w:ascii="Times New Roman" w:hAnsi="Times New Roman" w:eastAsia="宋体" w:cs="Times New Roman"/>
      <w:szCs w:val="24"/>
    </w:rPr>
  </w:style>
  <w:style w:type="character" w:customStyle="1" w:styleId="103">
    <w:name w:val="标题 字符2"/>
    <w:basedOn w:val="45"/>
    <w:qFormat/>
    <w:uiPriority w:val="10"/>
    <w:rPr>
      <w:rFonts w:asciiTheme="majorHAnsi" w:hAnsiTheme="majorHAnsi" w:eastAsiaTheme="majorEastAsia" w:cstheme="majorBidi"/>
      <w:b/>
      <w:bCs/>
      <w:sz w:val="32"/>
      <w:szCs w:val="32"/>
    </w:rPr>
  </w:style>
  <w:style w:type="character" w:customStyle="1" w:styleId="104">
    <w:name w:val="HTML 预设格式 字符2"/>
    <w:basedOn w:val="45"/>
    <w:semiHidden/>
    <w:qFormat/>
    <w:uiPriority w:val="99"/>
    <w:rPr>
      <w:rFonts w:ascii="Courier New" w:hAnsi="Courier New" w:eastAsia="宋体" w:cs="Courier New"/>
      <w:sz w:val="20"/>
      <w:szCs w:val="20"/>
    </w:rPr>
  </w:style>
  <w:style w:type="character" w:customStyle="1" w:styleId="105">
    <w:name w:val="页眉 字符1"/>
    <w:basedOn w:val="45"/>
    <w:qFormat/>
    <w:uiPriority w:val="0"/>
    <w:rPr>
      <w:rFonts w:ascii="Times New Roman" w:hAnsi="Times New Roman" w:eastAsia="宋体" w:cs="Times New Roman"/>
      <w:sz w:val="18"/>
      <w:szCs w:val="18"/>
    </w:rPr>
  </w:style>
  <w:style w:type="character" w:customStyle="1" w:styleId="106">
    <w:name w:val="正文文本缩进 3 字符"/>
    <w:basedOn w:val="45"/>
    <w:link w:val="34"/>
    <w:qFormat/>
    <w:uiPriority w:val="0"/>
    <w:rPr>
      <w:rFonts w:ascii="Times New Roman" w:hAnsi="Times New Roman" w:eastAsia="宋体" w:cs="Times New Roman"/>
      <w:sz w:val="16"/>
      <w:szCs w:val="16"/>
    </w:rPr>
  </w:style>
  <w:style w:type="character" w:customStyle="1" w:styleId="107">
    <w:name w:val="页脚 字符1"/>
    <w:basedOn w:val="45"/>
    <w:semiHidden/>
    <w:qFormat/>
    <w:uiPriority w:val="99"/>
    <w:rPr>
      <w:rFonts w:ascii="Times New Roman" w:hAnsi="Times New Roman" w:eastAsia="宋体" w:cs="Times New Roman"/>
      <w:sz w:val="18"/>
      <w:szCs w:val="18"/>
    </w:rPr>
  </w:style>
  <w:style w:type="character" w:customStyle="1" w:styleId="108">
    <w:name w:val="纯文本 字符2"/>
    <w:basedOn w:val="45"/>
    <w:semiHidden/>
    <w:qFormat/>
    <w:uiPriority w:val="99"/>
    <w:rPr>
      <w:rFonts w:hAnsi="Courier New" w:cs="Courier New" w:asciiTheme="minorEastAsia"/>
      <w:szCs w:val="24"/>
    </w:rPr>
  </w:style>
  <w:style w:type="character" w:customStyle="1" w:styleId="109">
    <w:name w:val="批注主题 字符1"/>
    <w:basedOn w:val="100"/>
    <w:semiHidden/>
    <w:qFormat/>
    <w:uiPriority w:val="99"/>
    <w:rPr>
      <w:rFonts w:ascii="Times New Roman" w:hAnsi="Times New Roman" w:eastAsia="宋体" w:cs="Times New Roman"/>
      <w:b/>
      <w:bCs/>
      <w:szCs w:val="24"/>
    </w:rPr>
  </w:style>
  <w:style w:type="character" w:customStyle="1" w:styleId="110">
    <w:name w:val="正文文本 3 字符"/>
    <w:basedOn w:val="45"/>
    <w:link w:val="16"/>
    <w:qFormat/>
    <w:uiPriority w:val="0"/>
    <w:rPr>
      <w:rFonts w:ascii="Times New Roman" w:hAnsi="Times New Roman" w:eastAsia="宋体" w:cs="Times New Roman"/>
      <w:sz w:val="16"/>
      <w:szCs w:val="16"/>
    </w:rPr>
  </w:style>
  <w:style w:type="paragraph" w:customStyle="1" w:styleId="111">
    <w:name w:val="元正正文标题2"/>
    <w:basedOn w:val="5"/>
    <w:qFormat/>
    <w:uiPriority w:val="0"/>
    <w:pPr>
      <w:keepNext w:val="0"/>
      <w:keepLines w:val="0"/>
      <w:numPr>
        <w:numId w:val="0"/>
      </w:numPr>
      <w:adjustRightInd w:val="0"/>
      <w:snapToGrid w:val="0"/>
      <w:spacing w:before="0" w:after="0" w:line="300" w:lineRule="auto"/>
      <w:jc w:val="center"/>
      <w:outlineLvl w:val="9"/>
    </w:pPr>
    <w:rPr>
      <w:rFonts w:ascii="宋体" w:hAnsi="宋体" w:eastAsia="宋体"/>
      <w:szCs w:val="28"/>
    </w:rPr>
  </w:style>
  <w:style w:type="paragraph" w:customStyle="1" w:styleId="11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纯文本1"/>
    <w:basedOn w:val="1"/>
    <w:qFormat/>
    <w:uiPriority w:val="0"/>
    <w:rPr>
      <w:rFonts w:hint="eastAsia" w:ascii="宋体" w:hAnsi="Courier New"/>
      <w:kern w:val="0"/>
      <w:szCs w:val="20"/>
    </w:rPr>
  </w:style>
  <w:style w:type="paragraph" w:customStyle="1" w:styleId="114">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
    <w:name w:val="题注4"/>
    <w:basedOn w:val="1"/>
    <w:next w:val="13"/>
    <w:qFormat/>
    <w:uiPriority w:val="0"/>
    <w:pPr>
      <w:ind w:left="-132" w:leftChars="-64" w:right="-50" w:rightChars="-50" w:hanging="2"/>
      <w:jc w:val="center"/>
    </w:pPr>
    <w:rPr>
      <w:rFonts w:hint="eastAsia"/>
      <w:b/>
      <w:color w:val="FF0000"/>
      <w:szCs w:val="20"/>
      <w:lang w:val="en-GB"/>
    </w:rPr>
  </w:style>
  <w:style w:type="paragraph" w:customStyle="1" w:styleId="116">
    <w:name w:val="条文1 Char"/>
    <w:basedOn w:val="1"/>
    <w:qFormat/>
    <w:uiPriority w:val="0"/>
    <w:pPr>
      <w:tabs>
        <w:tab w:val="left" w:pos="425"/>
      </w:tabs>
      <w:spacing w:line="360" w:lineRule="auto"/>
      <w:ind w:left="425" w:hanging="425"/>
    </w:pPr>
    <w:rPr>
      <w:rFonts w:hint="eastAsia" w:ascii="MS UI Gothic" w:hAnsi="MS UI Gothic"/>
      <w:bCs/>
      <w:kern w:val="44"/>
      <w:sz w:val="24"/>
      <w:szCs w:val="44"/>
    </w:rPr>
  </w:style>
  <w:style w:type="paragraph" w:customStyle="1" w:styleId="117">
    <w:name w:val="Char Char Char"/>
    <w:basedOn w:val="1"/>
    <w:qFormat/>
    <w:uiPriority w:val="0"/>
    <w:pPr>
      <w:numPr>
        <w:ilvl w:val="0"/>
        <w:numId w:val="2"/>
      </w:numPr>
      <w:tabs>
        <w:tab w:val="left" w:pos="1599"/>
        <w:tab w:val="clear" w:pos="720"/>
      </w:tabs>
    </w:pPr>
  </w:style>
  <w:style w:type="paragraph" w:customStyle="1" w:styleId="118">
    <w:name w:val="图"/>
    <w:basedOn w:val="1"/>
    <w:qFormat/>
    <w:uiPriority w:val="0"/>
    <w:pPr>
      <w:keepNext/>
      <w:spacing w:before="60" w:after="60" w:line="300" w:lineRule="auto"/>
      <w:jc w:val="center"/>
      <w:textAlignment w:val="center"/>
    </w:pPr>
    <w:rPr>
      <w:rFonts w:hint="eastAsia"/>
      <w:spacing w:val="20"/>
      <w:sz w:val="24"/>
      <w:szCs w:val="20"/>
    </w:rPr>
  </w:style>
  <w:style w:type="paragraph" w:customStyle="1" w:styleId="119">
    <w:name w:val="Char Char Char Char Char Char Char Char Char Char Char Char Char Char Char"/>
    <w:basedOn w:val="1"/>
    <w:qFormat/>
    <w:uiPriority w:val="0"/>
    <w:pPr>
      <w:widowControl/>
      <w:spacing w:line="400" w:lineRule="exact"/>
      <w:jc w:val="center"/>
    </w:pPr>
  </w:style>
  <w:style w:type="paragraph" w:customStyle="1" w:styleId="120">
    <w:name w:val="标题 21"/>
    <w:basedOn w:val="1"/>
    <w:next w:val="1"/>
    <w:qFormat/>
    <w:uiPriority w:val="0"/>
    <w:pPr>
      <w:keepNext/>
      <w:keepLines/>
      <w:spacing w:before="260" w:after="260" w:line="413" w:lineRule="auto"/>
      <w:outlineLvl w:val="1"/>
    </w:pPr>
    <w:rPr>
      <w:rFonts w:hint="eastAsia" w:ascii="Arial" w:hAnsi="Arial" w:eastAsia="黑体"/>
      <w:b/>
      <w:sz w:val="32"/>
      <w:szCs w:val="20"/>
    </w:rPr>
  </w:style>
  <w:style w:type="paragraph" w:customStyle="1" w:styleId="121">
    <w:name w:val="xl25"/>
    <w:basedOn w:val="1"/>
    <w:qFormat/>
    <w:uiPriority w:val="0"/>
    <w:pPr>
      <w:widowControl/>
      <w:pBdr>
        <w:bottom w:val="single" w:color="auto" w:sz="4" w:space="0"/>
        <w:right w:val="single" w:color="auto" w:sz="4" w:space="0"/>
      </w:pBdr>
      <w:spacing w:before="100" w:beforeAutospacing="1" w:after="100" w:afterAutospacing="1"/>
      <w:jc w:val="center"/>
    </w:pPr>
    <w:rPr>
      <w:rFonts w:hint="eastAsia" w:ascii="宋体" w:hAnsi="宋体"/>
      <w:szCs w:val="20"/>
    </w:rPr>
  </w:style>
  <w:style w:type="paragraph" w:customStyle="1" w:styleId="122">
    <w:name w:val="正文 New"/>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23">
    <w:name w:val="Char Char2"/>
    <w:basedOn w:val="1"/>
    <w:qFormat/>
    <w:uiPriority w:val="0"/>
  </w:style>
  <w:style w:type="paragraph" w:customStyle="1" w:styleId="124">
    <w:name w:val="题注5"/>
    <w:basedOn w:val="1"/>
    <w:next w:val="13"/>
    <w:qFormat/>
    <w:uiPriority w:val="0"/>
    <w:pPr>
      <w:jc w:val="center"/>
    </w:pPr>
    <w:rPr>
      <w:b/>
      <w:color w:val="000000"/>
      <w:sz w:val="24"/>
      <w:szCs w:val="21"/>
    </w:rPr>
  </w:style>
  <w:style w:type="paragraph" w:customStyle="1" w:styleId="125">
    <w:name w:val="正文＋小四＋缩进2字符"/>
    <w:basedOn w:val="1"/>
    <w:qFormat/>
    <w:uiPriority w:val="0"/>
    <w:pPr>
      <w:spacing w:line="360" w:lineRule="auto"/>
      <w:ind w:firstLine="200" w:firstLineChars="200"/>
    </w:pPr>
    <w:rPr>
      <w:sz w:val="24"/>
    </w:rPr>
  </w:style>
  <w:style w:type="paragraph" w:customStyle="1" w:styleId="126">
    <w:name w:val="正文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9">
    <w:name w:val="p0"/>
    <w:basedOn w:val="1"/>
    <w:qFormat/>
    <w:uiPriority w:val="0"/>
    <w:pPr>
      <w:widowControl/>
    </w:pPr>
    <w:rPr>
      <w:kern w:val="0"/>
      <w:szCs w:val="21"/>
    </w:rPr>
  </w:style>
  <w:style w:type="paragraph" w:customStyle="1" w:styleId="130">
    <w:name w:val="表格文字"/>
    <w:basedOn w:val="1"/>
    <w:qFormat/>
    <w:uiPriority w:val="0"/>
    <w:pPr>
      <w:spacing w:before="25" w:after="25"/>
      <w:jc w:val="left"/>
    </w:pPr>
    <w:rPr>
      <w:rFonts w:hint="eastAsia"/>
      <w:spacing w:val="10"/>
      <w:sz w:val="24"/>
      <w:szCs w:val="20"/>
    </w:rPr>
  </w:style>
  <w:style w:type="paragraph" w:customStyle="1" w:styleId="131">
    <w:name w:val="样式 小四 段前: 5 磅 段后: 5 磅 首行缩进:  2 字符"/>
    <w:basedOn w:val="1"/>
    <w:qFormat/>
    <w:uiPriority w:val="0"/>
    <w:pPr>
      <w:spacing w:line="400" w:lineRule="exact"/>
    </w:pPr>
    <w:rPr>
      <w:rFonts w:ascii="宋体" w:hAnsi="宋体"/>
      <w:sz w:val="24"/>
    </w:rPr>
  </w:style>
  <w:style w:type="paragraph" w:customStyle="1" w:styleId="132">
    <w:name w:val="Char Char2 Char"/>
    <w:basedOn w:val="1"/>
    <w:qFormat/>
    <w:uiPriority w:val="0"/>
    <w:rPr>
      <w:rFonts w:ascii="宋体" w:hAnsi="宋体"/>
      <w:b/>
      <w:sz w:val="28"/>
      <w:szCs w:val="28"/>
    </w:rPr>
  </w:style>
  <w:style w:type="character" w:customStyle="1" w:styleId="133">
    <w:name w:val="标题 1 Char"/>
    <w:qFormat/>
    <w:uiPriority w:val="0"/>
    <w:rPr>
      <w:rFonts w:ascii="Tahoma" w:hAnsi="Tahoma" w:eastAsia="宋体"/>
      <w:kern w:val="44"/>
      <w:sz w:val="44"/>
      <w:szCs w:val="44"/>
      <w:lang w:val="en-US" w:eastAsia="zh-CN" w:bidi="ar-SA"/>
    </w:rPr>
  </w:style>
  <w:style w:type="character" w:customStyle="1" w:styleId="134">
    <w:name w:val="页脚 Char"/>
    <w:qFormat/>
    <w:uiPriority w:val="99"/>
    <w:rPr>
      <w:rFonts w:eastAsia="宋体"/>
      <w:kern w:val="2"/>
      <w:sz w:val="18"/>
      <w:szCs w:val="18"/>
      <w:lang w:val="en-US" w:eastAsia="zh-CN" w:bidi="ar-SA"/>
    </w:rPr>
  </w:style>
  <w:style w:type="character" w:customStyle="1" w:styleId="135">
    <w:name w:val="纯文本 Char"/>
    <w:qFormat/>
    <w:uiPriority w:val="0"/>
    <w:rPr>
      <w:rFonts w:ascii="宋体" w:hAnsi="Courier New" w:eastAsia="宋体"/>
      <w:kern w:val="2"/>
      <w:sz w:val="24"/>
      <w:szCs w:val="21"/>
      <w:lang w:val="en-US" w:eastAsia="zh-CN" w:bidi="ar-SA"/>
    </w:rPr>
  </w:style>
  <w:style w:type="character" w:customStyle="1" w:styleId="136">
    <w:name w:val="批注文字 Char"/>
    <w:qFormat/>
    <w:uiPriority w:val="0"/>
    <w:rPr>
      <w:kern w:val="2"/>
      <w:sz w:val="21"/>
      <w:szCs w:val="24"/>
    </w:rPr>
  </w:style>
  <w:style w:type="paragraph" w:customStyle="1" w:styleId="13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8">
    <w:name w:val="标题 3_0"/>
    <w:basedOn w:val="126"/>
    <w:next w:val="1"/>
    <w:link w:val="139"/>
    <w:qFormat/>
    <w:uiPriority w:val="99"/>
    <w:pPr>
      <w:tabs>
        <w:tab w:val="left" w:pos="851"/>
      </w:tabs>
      <w:autoSpaceDE w:val="0"/>
      <w:autoSpaceDN w:val="0"/>
      <w:adjustRightInd w:val="0"/>
      <w:snapToGrid w:val="0"/>
      <w:spacing w:line="360" w:lineRule="auto"/>
      <w:outlineLvl w:val="2"/>
    </w:pPr>
    <w:rPr>
      <w:rFonts w:ascii="宋体" w:hAnsi="Calibri" w:cs="宋体"/>
      <w:kern w:val="0"/>
      <w:szCs w:val="20"/>
    </w:rPr>
  </w:style>
  <w:style w:type="character" w:customStyle="1" w:styleId="139">
    <w:name w:val="标题 3 Char"/>
    <w:link w:val="138"/>
    <w:qFormat/>
    <w:locked/>
    <w:uiPriority w:val="99"/>
    <w:rPr>
      <w:rFonts w:ascii="宋体" w:hAnsi="Calibri" w:eastAsia="宋体" w:cs="宋体"/>
      <w:kern w:val="0"/>
      <w:szCs w:val="20"/>
    </w:rPr>
  </w:style>
  <w:style w:type="character" w:customStyle="1" w:styleId="140">
    <w:name w:val="页眉 Char"/>
    <w:qFormat/>
    <w:uiPriority w:val="0"/>
    <w:rPr>
      <w:kern w:val="2"/>
      <w:sz w:val="18"/>
      <w:szCs w:val="18"/>
    </w:rPr>
  </w:style>
  <w:style w:type="character" w:customStyle="1" w:styleId="141">
    <w:name w:val="3级标题 Char"/>
    <w:link w:val="142"/>
    <w:qFormat/>
    <w:uiPriority w:val="0"/>
    <w:rPr>
      <w:rFonts w:ascii="Arial Unicode MS" w:hAnsi="Arial Unicode MS" w:eastAsia="仿宋体" w:cs="Arial Narrow"/>
      <w:b/>
      <w:sz w:val="26"/>
      <w:szCs w:val="28"/>
    </w:rPr>
  </w:style>
  <w:style w:type="paragraph" w:customStyle="1" w:styleId="142">
    <w:name w:val="3级标题"/>
    <w:basedOn w:val="1"/>
    <w:link w:val="141"/>
    <w:qFormat/>
    <w:uiPriority w:val="0"/>
    <w:pPr>
      <w:keepNext/>
      <w:keepLines/>
      <w:tabs>
        <w:tab w:val="left" w:pos="1232"/>
      </w:tabs>
      <w:spacing w:before="280" w:after="156" w:line="377" w:lineRule="auto"/>
      <w:jc w:val="left"/>
      <w:outlineLvl w:val="2"/>
    </w:pPr>
    <w:rPr>
      <w:rFonts w:ascii="Arial Unicode MS" w:hAnsi="Arial Unicode MS" w:eastAsia="仿宋体" w:cs="Arial Narrow"/>
      <w:b/>
      <w:sz w:val="26"/>
      <w:szCs w:val="28"/>
    </w:rPr>
  </w:style>
  <w:style w:type="paragraph" w:customStyle="1" w:styleId="143">
    <w:name w:val="亚运1"/>
    <w:basedOn w:val="1"/>
    <w:qFormat/>
    <w:uiPriority w:val="0"/>
    <w:pPr>
      <w:numPr>
        <w:ilvl w:val="1"/>
        <w:numId w:val="3"/>
      </w:numPr>
      <w:tabs>
        <w:tab w:val="left" w:pos="1440"/>
      </w:tabs>
      <w:autoSpaceDE w:val="0"/>
      <w:autoSpaceDN w:val="0"/>
      <w:adjustRightInd w:val="0"/>
      <w:spacing w:line="480" w:lineRule="auto"/>
      <w:jc w:val="left"/>
    </w:pPr>
    <w:rPr>
      <w:rFonts w:ascii="????" w:hAnsi="Arial Narrow" w:eastAsia="????" w:cs="Arial Narrow"/>
      <w:color w:val="000000"/>
      <w:kern w:val="0"/>
      <w:sz w:val="24"/>
      <w:lang w:val="zh-CN"/>
    </w:rPr>
  </w:style>
  <w:style w:type="paragraph" w:customStyle="1" w:styleId="144">
    <w:name w:val="样式 首行缩进:  2 字符 行距: 2 倍行距"/>
    <w:basedOn w:val="1"/>
    <w:qFormat/>
    <w:uiPriority w:val="0"/>
    <w:pPr>
      <w:spacing w:line="360" w:lineRule="auto"/>
      <w:ind w:firstLine="200" w:firstLineChars="200"/>
    </w:pPr>
    <w:rPr>
      <w:rFonts w:cs="宋体"/>
      <w:sz w:val="24"/>
      <w:szCs w:val="20"/>
    </w:rPr>
  </w:style>
  <w:style w:type="paragraph" w:styleId="145">
    <w:name w:val="List Paragraph"/>
    <w:basedOn w:val="1"/>
    <w:qFormat/>
    <w:uiPriority w:val="34"/>
    <w:pPr>
      <w:ind w:firstLine="420" w:firstLineChars="200"/>
    </w:pPr>
    <w:rPr>
      <w:rFonts w:ascii="Calibri" w:hAnsi="Calibri"/>
      <w:szCs w:val="22"/>
    </w:rPr>
  </w:style>
  <w:style w:type="paragraph" w:customStyle="1" w:styleId="146">
    <w:name w:val="正文 A"/>
    <w:qFormat/>
    <w:uiPriority w:val="0"/>
    <w:pPr>
      <w:widowControl w:val="0"/>
      <w:jc w:val="both"/>
    </w:pPr>
    <w:rPr>
      <w:rFonts w:ascii="Tahoma" w:hAnsi="Tahoma" w:eastAsia="Tahoma" w:cs="Tahoma"/>
      <w:color w:val="000000"/>
      <w:kern w:val="2"/>
      <w:sz w:val="24"/>
      <w:szCs w:val="24"/>
      <w:u w:color="000000"/>
      <w:lang w:val="en-US" w:eastAsia="zh-CN" w:bidi="ar-SA"/>
    </w:rPr>
  </w:style>
  <w:style w:type="paragraph" w:customStyle="1" w:styleId="147">
    <w:name w:val="+正文"/>
    <w:basedOn w:val="1"/>
    <w:link w:val="148"/>
    <w:qFormat/>
    <w:uiPriority w:val="0"/>
    <w:pPr>
      <w:adjustRightInd w:val="0"/>
      <w:spacing w:line="360" w:lineRule="auto"/>
      <w:textAlignment w:val="baseline"/>
    </w:pPr>
    <w:rPr>
      <w:sz w:val="24"/>
      <w:szCs w:val="28"/>
    </w:rPr>
  </w:style>
  <w:style w:type="character" w:customStyle="1" w:styleId="148">
    <w:name w:val="+正文 Char4"/>
    <w:link w:val="147"/>
    <w:qFormat/>
    <w:uiPriority w:val="0"/>
    <w:rPr>
      <w:rFonts w:ascii="Times New Roman" w:hAnsi="Times New Roman" w:eastAsia="宋体" w:cs="Times New Roman"/>
      <w:kern w:val="2"/>
      <w:sz w:val="24"/>
      <w:szCs w:val="28"/>
    </w:rPr>
  </w:style>
  <w:style w:type="paragraph" w:customStyle="1" w:styleId="149">
    <w:name w:val="lp1"/>
    <w:basedOn w:val="1"/>
    <w:next w:val="145"/>
    <w:qFormat/>
    <w:uiPriority w:val="99"/>
    <w:pPr>
      <w:ind w:firstLine="420" w:firstLineChars="200"/>
    </w:pPr>
    <w:rPr>
      <w:rFonts w:ascii="Tahoma" w:hAnsi="Tahoma"/>
      <w:sz w:val="24"/>
    </w:rPr>
  </w:style>
  <w:style w:type="character" w:customStyle="1" w:styleId="150">
    <w:name w:val="称呼 字符"/>
    <w:link w:val="15"/>
    <w:qFormat/>
    <w:locked/>
    <w:uiPriority w:val="99"/>
    <w:rPr>
      <w:sz w:val="24"/>
      <w:szCs w:val="24"/>
      <w:lang w:eastAsia="en-US"/>
    </w:rPr>
  </w:style>
  <w:style w:type="character" w:customStyle="1" w:styleId="151">
    <w:name w:val="称呼 Char"/>
    <w:basedOn w:val="45"/>
    <w:semiHidden/>
    <w:qFormat/>
    <w:uiPriority w:val="99"/>
    <w:rPr>
      <w:rFonts w:ascii="Times New Roman" w:hAnsi="Times New Roman" w:eastAsia="宋体" w:cs="Times New Roman"/>
      <w:kern w:val="2"/>
      <w:sz w:val="21"/>
      <w:szCs w:val="24"/>
    </w:rPr>
  </w:style>
  <w:style w:type="paragraph" w:customStyle="1" w:styleId="152">
    <w:name w:val="列出段落11"/>
    <w:basedOn w:val="1"/>
    <w:qFormat/>
    <w:uiPriority w:val="99"/>
    <w:pPr>
      <w:ind w:left="720"/>
      <w:jc w:val="left"/>
    </w:pPr>
    <w:rPr>
      <w:rFonts w:eastAsia="PMingLiU"/>
      <w:sz w:val="24"/>
      <w:lang w:eastAsia="zh-TW"/>
    </w:rPr>
  </w:style>
  <w:style w:type="paragraph" w:customStyle="1" w:styleId="153">
    <w:name w:val="Default Text"/>
    <w:basedOn w:val="1"/>
    <w:qFormat/>
    <w:uiPriority w:val="0"/>
    <w:pPr>
      <w:widowControl/>
      <w:jc w:val="left"/>
    </w:pPr>
    <w:rPr>
      <w:rFonts w:ascii="Helvetica 55" w:hAnsi="Helvetica 55"/>
      <w:kern w:val="0"/>
      <w:sz w:val="24"/>
      <w:szCs w:val="20"/>
      <w:lang w:eastAsia="en-US"/>
    </w:rPr>
  </w:style>
  <w:style w:type="paragraph" w:customStyle="1" w:styleId="154">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55">
    <w:name w:val="我的正文 Char Char Char"/>
    <w:link w:val="156"/>
    <w:qFormat/>
    <w:uiPriority w:val="0"/>
    <w:rPr>
      <w:kern w:val="2"/>
      <w:sz w:val="24"/>
      <w:szCs w:val="24"/>
    </w:rPr>
  </w:style>
  <w:style w:type="paragraph" w:customStyle="1" w:styleId="156">
    <w:name w:val="我的正文 Char Char"/>
    <w:basedOn w:val="1"/>
    <w:next w:val="1"/>
    <w:link w:val="155"/>
    <w:qFormat/>
    <w:uiPriority w:val="0"/>
    <w:pPr>
      <w:spacing w:line="520" w:lineRule="exact"/>
      <w:ind w:firstLine="540" w:firstLineChars="225"/>
    </w:pPr>
    <w:rPr>
      <w:rFonts w:asciiTheme="minorHAnsi" w:hAnsiTheme="minorHAnsi" w:eastAsiaTheme="minorEastAsia" w:cstheme="minorBidi"/>
      <w:sz w:val="24"/>
    </w:rPr>
  </w:style>
  <w:style w:type="paragraph" w:customStyle="1" w:styleId="157">
    <w:name w:val="正文 New New New New New New New New"/>
    <w:qFormat/>
    <w:uiPriority w:val="0"/>
    <w:pPr>
      <w:widowControl w:val="0"/>
      <w:jc w:val="both"/>
    </w:pPr>
    <w:rPr>
      <w:rFonts w:ascii="Calibri" w:hAnsi="Calibri" w:eastAsia="宋体" w:cs="Times New Roman"/>
      <w:kern w:val="2"/>
      <w:sz w:val="28"/>
      <w:szCs w:val="28"/>
      <w:lang w:val="en-US" w:eastAsia="zh-CN" w:bidi="ar-SA"/>
    </w:rPr>
  </w:style>
  <w:style w:type="paragraph" w:customStyle="1" w:styleId="158">
    <w:name w:val="正文 New New New New New New New New New New New New New New New New New New New New New New New New New New New New New"/>
    <w:qFormat/>
    <w:uiPriority w:val="0"/>
    <w:pPr>
      <w:widowControl w:val="0"/>
      <w:adjustRightInd w:val="0"/>
      <w:spacing w:line="360" w:lineRule="atLeast"/>
      <w:textAlignment w:val="baseline"/>
    </w:pPr>
    <w:rPr>
      <w:rFonts w:asciiTheme="minorHAnsi" w:hAnsiTheme="minorHAnsi" w:eastAsiaTheme="minorEastAsia" w:cstheme="minorBidi"/>
      <w:sz w:val="24"/>
      <w:szCs w:val="22"/>
      <w:lang w:val="en-US" w:eastAsia="zh-CN" w:bidi="ar-SA"/>
    </w:rPr>
  </w:style>
  <w:style w:type="paragraph" w:customStyle="1" w:styleId="159">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61">
    <w:name w:val="正文 New New New New New New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62">
    <w:name w:val="正文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3">
    <w:name w:val="正文 New New New New New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64">
    <w:name w:val="正文 New New New New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65">
    <w:name w:val="正文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66">
    <w:name w:val="正文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67">
    <w:name w:val="正文 New New New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68">
    <w:name w:val="正文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69">
    <w:name w:val="正文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70">
    <w:name w:val="日期 New New"/>
    <w:basedOn w:val="168"/>
    <w:next w:val="168"/>
    <w:qFormat/>
    <w:uiPriority w:val="0"/>
    <w:pPr>
      <w:ind w:left="100" w:leftChars="2500"/>
    </w:pPr>
    <w:rPr>
      <w:sz w:val="30"/>
    </w:rPr>
  </w:style>
  <w:style w:type="paragraph" w:customStyle="1" w:styleId="171">
    <w:name w:val="正文 New New New New New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2">
    <w:name w:val="正文 New New New New New New New New New New New New New New New New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3">
    <w:name w:val="正文 New New New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174">
    <w:name w:val="未处理的提及2"/>
    <w:basedOn w:val="45"/>
    <w:semiHidden/>
    <w:unhideWhenUsed/>
    <w:qFormat/>
    <w:uiPriority w:val="99"/>
    <w:rPr>
      <w:color w:val="605E5C"/>
      <w:shd w:val="clear" w:color="auto" w:fill="E1DFDD"/>
    </w:rPr>
  </w:style>
  <w:style w:type="table" w:customStyle="1" w:styleId="175">
    <w:name w:val="TableGrid"/>
    <w:qFormat/>
    <w:uiPriority w:val="0"/>
    <w:rPr>
      <w:kern w:val="2"/>
      <w:sz w:val="21"/>
      <w:szCs w:val="22"/>
    </w:rPr>
    <w:tblPr>
      <w:tblCellMar>
        <w:top w:w="0" w:type="dxa"/>
        <w:left w:w="0" w:type="dxa"/>
        <w:bottom w:w="0" w:type="dxa"/>
        <w:right w:w="0" w:type="dxa"/>
      </w:tblCellMar>
    </w:tblPr>
  </w:style>
  <w:style w:type="paragraph" w:customStyle="1" w:styleId="176">
    <w:name w:val="_Style 43"/>
    <w:basedOn w:val="1"/>
    <w:next w:val="145"/>
    <w:qFormat/>
    <w:uiPriority w:val="34"/>
    <w:pPr>
      <w:ind w:firstLine="420" w:firstLineChars="200"/>
    </w:pPr>
    <w:rPr>
      <w:rFonts w:ascii="Calibri" w:hAnsi="Calibri"/>
      <w:szCs w:val="22"/>
    </w:rPr>
  </w:style>
  <w:style w:type="paragraph" w:customStyle="1" w:styleId="177">
    <w:name w:val="正文_1_1"/>
    <w:qFormat/>
    <w:uiPriority w:val="0"/>
    <w:rPr>
      <w:rFonts w:ascii="Times New Roman" w:hAnsi="Times New Roman" w:eastAsia="宋体" w:cs="Times New Roman"/>
      <w:sz w:val="21"/>
      <w:lang w:val="en-US" w:eastAsia="zh-CN" w:bidi="ar-SA"/>
    </w:rPr>
  </w:style>
  <w:style w:type="paragraph" w:customStyle="1" w:styleId="17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79">
    <w:name w:val="日期1"/>
    <w:basedOn w:val="1"/>
    <w:next w:val="1"/>
    <w:qFormat/>
    <w:uiPriority w:val="0"/>
    <w:rPr>
      <w:rFonts w:ascii="宋体"/>
      <w:sz w:val="24"/>
    </w:rPr>
  </w:style>
  <w:style w:type="paragraph" w:customStyle="1" w:styleId="180">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181">
    <w:name w:val="网格型1"/>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2">
    <w:name w:val="正文文本首行缩进 字符"/>
    <w:basedOn w:val="98"/>
    <w:link w:val="41"/>
    <w:semiHidden/>
    <w:qFormat/>
    <w:uiPriority w:val="99"/>
    <w:rPr>
      <w:rFonts w:ascii="Times New Roman" w:hAnsi="Times New Roman" w:eastAsia="宋体" w:cs="Times New Roman"/>
      <w:color w:val="000000"/>
      <w:kern w:val="2"/>
      <w:sz w:val="21"/>
      <w:szCs w:val="24"/>
    </w:rPr>
  </w:style>
  <w:style w:type="paragraph" w:customStyle="1" w:styleId="183">
    <w:name w:val="修订3"/>
    <w:hidden/>
    <w:semiHidden/>
    <w:qFormat/>
    <w:uiPriority w:val="99"/>
    <w:rPr>
      <w:rFonts w:ascii="Times New Roman" w:hAnsi="Times New Roman" w:eastAsia="宋体" w:cs="Times New Roman"/>
      <w:kern w:val="2"/>
      <w:sz w:val="21"/>
      <w:szCs w:val="24"/>
      <w:lang w:val="en-US" w:eastAsia="zh-CN" w:bidi="ar-SA"/>
    </w:rPr>
  </w:style>
  <w:style w:type="table" w:customStyle="1" w:styleId="184">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85">
    <w:name w:val="Table Paragraph"/>
    <w:basedOn w:val="1"/>
    <w:qFormat/>
    <w:uiPriority w:val="1"/>
    <w:pPr>
      <w:autoSpaceDE w:val="0"/>
      <w:autoSpaceDN w:val="0"/>
      <w:spacing w:before="80"/>
      <w:jc w:val="left"/>
    </w:pPr>
    <w:rPr>
      <w:rFonts w:ascii="宋体" w:hAnsi="宋体" w:cs="宋体"/>
      <w:kern w:val="0"/>
      <w:sz w:val="22"/>
      <w:szCs w:val="22"/>
      <w:lang w:val="zh-CN" w:bidi="zh-CN"/>
    </w:rPr>
  </w:style>
  <w:style w:type="character" w:customStyle="1" w:styleId="186">
    <w:name w:val="正文文本首行缩进 2 字符"/>
    <w:basedOn w:val="97"/>
    <w:link w:val="42"/>
    <w:semiHidden/>
    <w:qFormat/>
    <w:uiPriority w:val="99"/>
    <w:rPr>
      <w:rFonts w:ascii="Times New Roman" w:hAnsi="Times New Roman" w:eastAsia="宋体" w:cs="Times New Roman"/>
      <w:kern w:val="2"/>
      <w:sz w:val="21"/>
      <w:szCs w:val="24"/>
    </w:rPr>
  </w:style>
  <w:style w:type="character" w:customStyle="1" w:styleId="187">
    <w:name w:val="NormalCharacter"/>
    <w:semiHidden/>
    <w:qFormat/>
    <w:uiPriority w:val="0"/>
  </w:style>
  <w:style w:type="table" w:customStyle="1" w:styleId="188">
    <w:name w:val="网格型2"/>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
    <w:name w:val="Table Normal1"/>
    <w:semiHidden/>
    <w:unhideWhenUsed/>
    <w:qFormat/>
    <w:uiPriority w:val="0"/>
    <w:rPr>
      <w:rFonts w:ascii="Arial" w:hAnsi="Arial" w:cs="Arial"/>
    </w:rPr>
    <w:tblPr>
      <w:tblCellMar>
        <w:top w:w="0" w:type="dxa"/>
        <w:left w:w="0" w:type="dxa"/>
        <w:bottom w:w="0" w:type="dxa"/>
        <w:right w:w="0" w:type="dxa"/>
      </w:tblCellMar>
    </w:tblPr>
  </w:style>
  <w:style w:type="paragraph" w:customStyle="1" w:styleId="190">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91">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92">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193">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194">
    <w:name w:val="修订8"/>
    <w:hidden/>
    <w:unhideWhenUsed/>
    <w:qFormat/>
    <w:uiPriority w:val="99"/>
    <w:rPr>
      <w:rFonts w:ascii="Times New Roman" w:hAnsi="Times New Roman" w:eastAsia="宋体" w:cs="Times New Roman"/>
      <w:kern w:val="2"/>
      <w:sz w:val="21"/>
      <w:szCs w:val="24"/>
      <w:lang w:val="en-US" w:eastAsia="zh-CN" w:bidi="ar-SA"/>
    </w:rPr>
  </w:style>
  <w:style w:type="paragraph" w:customStyle="1" w:styleId="195">
    <w:name w:val="修订9"/>
    <w:hidden/>
    <w:unhideWhenUsed/>
    <w:qFormat/>
    <w:uiPriority w:val="99"/>
    <w:rPr>
      <w:rFonts w:ascii="Times New Roman" w:hAnsi="Times New Roman" w:eastAsia="宋体" w:cs="Times New Roman"/>
      <w:kern w:val="2"/>
      <w:sz w:val="21"/>
      <w:szCs w:val="24"/>
      <w:lang w:val="en-US" w:eastAsia="zh-CN" w:bidi="ar-SA"/>
    </w:rPr>
  </w:style>
  <w:style w:type="paragraph" w:customStyle="1" w:styleId="196">
    <w:name w:val="修订10"/>
    <w:hidden/>
    <w:unhideWhenUsed/>
    <w:qFormat/>
    <w:uiPriority w:val="99"/>
    <w:rPr>
      <w:rFonts w:ascii="Times New Roman" w:hAnsi="Times New Roman" w:eastAsia="宋体" w:cs="Times New Roman"/>
      <w:kern w:val="2"/>
      <w:sz w:val="21"/>
      <w:szCs w:val="24"/>
      <w:lang w:val="en-US" w:eastAsia="zh-CN" w:bidi="ar-SA"/>
    </w:rPr>
  </w:style>
  <w:style w:type="paragraph" w:customStyle="1" w:styleId="197">
    <w:name w:val="修订11"/>
    <w:hidden/>
    <w:unhideWhenUsed/>
    <w:qFormat/>
    <w:uiPriority w:val="99"/>
    <w:rPr>
      <w:rFonts w:ascii="Times New Roman" w:hAnsi="Times New Roman" w:eastAsia="宋体" w:cs="Times New Roman"/>
      <w:kern w:val="2"/>
      <w:sz w:val="21"/>
      <w:szCs w:val="24"/>
      <w:lang w:val="en-US" w:eastAsia="zh-CN" w:bidi="ar-SA"/>
    </w:rPr>
  </w:style>
  <w:style w:type="paragraph" w:customStyle="1" w:styleId="198">
    <w:name w:val="正文（标准）"/>
    <w:basedOn w:val="1"/>
    <w:next w:val="1"/>
    <w:semiHidden/>
    <w:qFormat/>
    <w:uiPriority w:val="0"/>
    <w:pPr>
      <w:widowControl/>
      <w:spacing w:line="560" w:lineRule="exact"/>
      <w:ind w:firstLine="525" w:firstLineChars="200"/>
      <w:jc w:val="left"/>
    </w:pPr>
    <w:rPr>
      <w:rFonts w:eastAsia="仿宋_GB2312"/>
      <w:kern w:val="0"/>
      <w:sz w:val="28"/>
      <w:szCs w:val="28"/>
    </w:rPr>
  </w:style>
  <w:style w:type="character" w:customStyle="1" w:styleId="199">
    <w:name w:val="font11"/>
    <w:basedOn w:val="45"/>
    <w:qFormat/>
    <w:uiPriority w:val="0"/>
    <w:rPr>
      <w:rFonts w:hint="eastAsia" w:ascii="宋体" w:hAnsi="宋体" w:eastAsia="宋体" w:cs="宋体"/>
      <w:color w:val="000000"/>
      <w:sz w:val="24"/>
      <w:szCs w:val="24"/>
      <w:u w:val="none"/>
    </w:rPr>
  </w:style>
  <w:style w:type="paragraph" w:customStyle="1" w:styleId="200">
    <w:name w:val="修订12"/>
    <w:hidden/>
    <w:unhideWhenUsed/>
    <w:qFormat/>
    <w:uiPriority w:val="99"/>
    <w:rPr>
      <w:rFonts w:ascii="Times New Roman" w:hAnsi="Times New Roman" w:eastAsia="宋体" w:cs="Times New Roman"/>
      <w:kern w:val="2"/>
      <w:sz w:val="21"/>
      <w:szCs w:val="24"/>
      <w:lang w:val="en-US" w:eastAsia="zh-CN" w:bidi="ar-SA"/>
    </w:rPr>
  </w:style>
  <w:style w:type="paragraph" w:customStyle="1" w:styleId="201">
    <w:name w:val="修订13"/>
    <w:hidden/>
    <w:unhideWhenUsed/>
    <w:qFormat/>
    <w:uiPriority w:val="99"/>
    <w:rPr>
      <w:rFonts w:ascii="Times New Roman" w:hAnsi="Times New Roman" w:eastAsia="宋体" w:cs="Times New Roman"/>
      <w:kern w:val="2"/>
      <w:sz w:val="21"/>
      <w:szCs w:val="24"/>
      <w:lang w:val="en-US" w:eastAsia="zh-CN" w:bidi="ar-SA"/>
    </w:rPr>
  </w:style>
  <w:style w:type="paragraph" w:customStyle="1" w:styleId="202">
    <w:name w:val="修订14"/>
    <w:hidden/>
    <w:unhideWhenUsed/>
    <w:qFormat/>
    <w:uiPriority w:val="99"/>
    <w:rPr>
      <w:rFonts w:ascii="Times New Roman" w:hAnsi="Times New Roman" w:eastAsia="宋体" w:cs="Times New Roman"/>
      <w:kern w:val="2"/>
      <w:sz w:val="21"/>
      <w:szCs w:val="24"/>
      <w:lang w:val="en-US" w:eastAsia="zh-CN" w:bidi="ar-SA"/>
    </w:rPr>
  </w:style>
  <w:style w:type="paragraph" w:customStyle="1" w:styleId="203">
    <w:name w:val="修订15"/>
    <w:hidden/>
    <w:unhideWhenUsed/>
    <w:qFormat/>
    <w:uiPriority w:val="99"/>
    <w:rPr>
      <w:rFonts w:ascii="Times New Roman" w:hAnsi="Times New Roman" w:eastAsia="宋体" w:cs="Times New Roman"/>
      <w:kern w:val="2"/>
      <w:sz w:val="21"/>
      <w:szCs w:val="24"/>
      <w:lang w:val="en-US" w:eastAsia="zh-CN" w:bidi="ar-SA"/>
    </w:rPr>
  </w:style>
  <w:style w:type="paragraph" w:customStyle="1" w:styleId="204">
    <w:name w:val="Table Text"/>
    <w:basedOn w:val="1"/>
    <w:semiHidden/>
    <w:qFormat/>
    <w:uiPriority w:val="0"/>
    <w:rPr>
      <w:rFonts w:ascii="宋体" w:hAnsi="宋体" w:cs="宋体"/>
      <w:sz w:val="18"/>
      <w:szCs w:val="18"/>
      <w:lang w:eastAsia="en-US"/>
    </w:rPr>
  </w:style>
  <w:style w:type="paragraph" w:customStyle="1" w:styleId="205">
    <w:name w:val="修订16"/>
    <w:hidden/>
    <w:unhideWhenUsed/>
    <w:qFormat/>
    <w:uiPriority w:val="99"/>
    <w:rPr>
      <w:rFonts w:ascii="Times New Roman" w:hAnsi="Times New Roman" w:eastAsia="宋体" w:cs="Times New Roman"/>
      <w:kern w:val="2"/>
      <w:sz w:val="21"/>
      <w:szCs w:val="24"/>
      <w:lang w:val="en-US" w:eastAsia="zh-CN" w:bidi="ar-SA"/>
    </w:rPr>
  </w:style>
  <w:style w:type="paragraph" w:customStyle="1" w:styleId="206">
    <w:name w:val="正文 New New"/>
    <w:qFormat/>
    <w:uiPriority w:val="0"/>
    <w:pPr>
      <w:widowControl w:val="0"/>
      <w:jc w:val="both"/>
    </w:pPr>
    <w:rPr>
      <w:rFonts w:ascii="Calibri" w:hAnsi="Calibri" w:eastAsia="宋体" w:cs="Times New Roman"/>
      <w:kern w:val="2"/>
      <w:sz w:val="21"/>
      <w:lang w:val="en-US" w:eastAsia="zh-CN" w:bidi="ar-SA"/>
    </w:rPr>
  </w:style>
  <w:style w:type="paragraph" w:customStyle="1" w:styleId="207">
    <w:name w:val="正文 New New New"/>
    <w:qFormat/>
    <w:uiPriority w:val="0"/>
    <w:pPr>
      <w:widowControl w:val="0"/>
      <w:jc w:val="both"/>
    </w:pPr>
    <w:rPr>
      <w:rFonts w:ascii="Calibri" w:hAnsi="Calibri" w:eastAsia="宋体" w:cs="Times New Roman"/>
      <w:kern w:val="2"/>
      <w:sz w:val="21"/>
      <w:lang w:val="en-US" w:eastAsia="zh-CN" w:bidi="ar-SA"/>
    </w:rPr>
  </w:style>
  <w:style w:type="paragraph" w:customStyle="1" w:styleId="208">
    <w:name w:val="样式 样式3 + 宋体"/>
    <w:basedOn w:val="1"/>
    <w:qFormat/>
    <w:uiPriority w:val="0"/>
    <w:pPr>
      <w:spacing w:line="360" w:lineRule="auto"/>
    </w:pPr>
    <w:rPr>
      <w:rFonts w:ascii="宋体" w:hAnsi="宋体" w:cs="Arial"/>
      <w:b/>
      <w:sz w:val="28"/>
    </w:rPr>
  </w:style>
  <w:style w:type="paragraph" w:customStyle="1" w:styleId="209">
    <w:name w:val="修订17"/>
    <w:hidden/>
    <w:unhideWhenUsed/>
    <w:qFormat/>
    <w:uiPriority w:val="99"/>
    <w:rPr>
      <w:rFonts w:ascii="Times New Roman" w:hAnsi="Times New Roman" w:eastAsia="宋体" w:cs="Times New Roman"/>
      <w:kern w:val="2"/>
      <w:sz w:val="21"/>
      <w:szCs w:val="24"/>
      <w:lang w:val="en-US" w:eastAsia="zh-CN" w:bidi="ar-SA"/>
    </w:rPr>
  </w:style>
  <w:style w:type="character" w:customStyle="1" w:styleId="210">
    <w:name w:val="font31"/>
    <w:basedOn w:val="45"/>
    <w:qFormat/>
    <w:uiPriority w:val="0"/>
    <w:rPr>
      <w:rFonts w:hint="eastAsia" w:ascii="宋体" w:hAnsi="宋体" w:eastAsia="宋体" w:cs="宋体"/>
      <w:color w:val="000000"/>
      <w:sz w:val="24"/>
      <w:szCs w:val="24"/>
      <w:u w:val="none"/>
    </w:rPr>
  </w:style>
  <w:style w:type="paragraph" w:customStyle="1" w:styleId="211">
    <w:name w:val="@标题3级"/>
    <w:basedOn w:val="212"/>
    <w:qFormat/>
    <w:uiPriority w:val="0"/>
    <w:pPr>
      <w:numPr>
        <w:ilvl w:val="2"/>
        <w:numId w:val="4"/>
      </w:numPr>
      <w:spacing w:before="50" w:after="50"/>
    </w:pPr>
    <w:rPr>
      <w:rFonts w:eastAsia="黑体" w:cs="Times New Roman"/>
    </w:rPr>
  </w:style>
  <w:style w:type="paragraph" w:customStyle="1" w:styleId="212">
    <w:name w:val="样式 标题 3 + 黑色"/>
    <w:basedOn w:val="1"/>
    <w:qFormat/>
    <w:uiPriority w:val="0"/>
    <w:pPr>
      <w:keepNext/>
      <w:keepLines/>
      <w:spacing w:beforeLines="50" w:afterLines="50" w:line="480" w:lineRule="auto"/>
      <w:outlineLvl w:val="2"/>
    </w:pPr>
    <w:rPr>
      <w:rFonts w:ascii="宋体" w:hAnsi="宋体" w:cs="宋体"/>
      <w:b/>
      <w:bCs/>
      <w:color w:val="000000"/>
      <w:sz w:val="30"/>
    </w:rPr>
  </w:style>
  <w:style w:type="paragraph" w:customStyle="1" w:styleId="213">
    <w:name w:val="@正文-分段"/>
    <w:basedOn w:val="1"/>
    <w:qFormat/>
    <w:uiPriority w:val="0"/>
    <w:pPr>
      <w:numPr>
        <w:ilvl w:val="4"/>
        <w:numId w:val="4"/>
      </w:numPr>
      <w:jc w:val="left"/>
    </w:pPr>
    <w:rPr>
      <w:rFonts w:ascii="宋体"/>
      <w:kern w:val="0"/>
      <w:szCs w:val="21"/>
    </w:rPr>
  </w:style>
  <w:style w:type="paragraph" w:customStyle="1" w:styleId="214">
    <w:name w:val="@正文 缩进2"/>
    <w:basedOn w:val="1"/>
    <w:qFormat/>
    <w:uiPriority w:val="0"/>
    <w:rPr>
      <w:rFonts w:ascii="宋体"/>
      <w:szCs w:val="32"/>
    </w:rPr>
  </w:style>
  <w:style w:type="paragraph" w:customStyle="1" w:styleId="215">
    <w:name w:val="@标题2级"/>
    <w:basedOn w:val="216"/>
    <w:qFormat/>
    <w:uiPriority w:val="0"/>
    <w:pPr>
      <w:widowControl/>
      <w:numPr>
        <w:ilvl w:val="0"/>
        <w:numId w:val="4"/>
      </w:numPr>
      <w:tabs>
        <w:tab w:val="left" w:pos="180"/>
        <w:tab w:val="left" w:pos="360"/>
        <w:tab w:val="left" w:pos="482"/>
      </w:tabs>
      <w:spacing w:before="100" w:after="50" w:line="480" w:lineRule="auto"/>
      <w:jc w:val="left"/>
    </w:pPr>
    <w:rPr>
      <w:rFonts w:ascii="黑体" w:hAnsi="黑体" w:eastAsia="黑体"/>
      <w:sz w:val="32"/>
      <w:szCs w:val="30"/>
    </w:rPr>
  </w:style>
  <w:style w:type="paragraph" w:customStyle="1" w:styleId="216">
    <w:name w:val="样式 标题 2 + 宋体 小四"/>
    <w:basedOn w:val="3"/>
    <w:qFormat/>
    <w:uiPriority w:val="0"/>
    <w:pPr>
      <w:spacing w:before="360" w:after="360" w:line="240" w:lineRule="auto"/>
      <w:jc w:val="center"/>
    </w:pPr>
    <w:rPr>
      <w:rFonts w:hAnsi="宋体"/>
    </w:rPr>
  </w:style>
  <w:style w:type="paragraph" w:customStyle="1" w:styleId="217">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218">
    <w:name w:val="D2"/>
    <w:basedOn w:val="1"/>
    <w:qFormat/>
    <w:uiPriority w:val="0"/>
    <w:pPr>
      <w:spacing w:line="312" w:lineRule="exact"/>
    </w:pPr>
    <w:rPr>
      <w:rFonts w:ascii="EU-F1" w:eastAsia="黑体" w:hAnsiTheme="minorHAnsi" w:cstheme="minorBidi"/>
      <w:kern w:val="21"/>
      <w:szCs w:val="21"/>
    </w:rPr>
  </w:style>
  <w:style w:type="character" w:customStyle="1" w:styleId="219">
    <w:name w:val="font21"/>
    <w:basedOn w:val="45"/>
    <w:qFormat/>
    <w:uiPriority w:val="0"/>
    <w:rPr>
      <w:rFonts w:hint="eastAsia" w:ascii="宋体" w:hAnsi="宋体" w:eastAsia="宋体" w:cs="宋体"/>
      <w:b/>
      <w:bCs/>
      <w:color w:val="000000"/>
      <w:sz w:val="21"/>
      <w:szCs w:val="21"/>
      <w:u w:val="none"/>
    </w:rPr>
  </w:style>
  <w:style w:type="character" w:customStyle="1" w:styleId="220">
    <w:name w:val="font51"/>
    <w:basedOn w:val="45"/>
    <w:qFormat/>
    <w:uiPriority w:val="0"/>
    <w:rPr>
      <w:rFonts w:hint="eastAsia" w:ascii="宋体" w:hAnsi="宋体" w:eastAsia="宋体" w:cs="宋体"/>
      <w:color w:val="000000"/>
      <w:sz w:val="20"/>
      <w:szCs w:val="20"/>
      <w:u w:val="none"/>
    </w:rPr>
  </w:style>
  <w:style w:type="character" w:customStyle="1" w:styleId="221">
    <w:name w:val="font71"/>
    <w:basedOn w:val="45"/>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39</Pages>
  <Words>3003</Words>
  <Characters>3682</Characters>
  <Lines>708</Lines>
  <Paragraphs>779</Paragraphs>
  <TotalTime>2</TotalTime>
  <ScaleCrop>false</ScaleCrop>
  <LinksUpToDate>false</LinksUpToDate>
  <CharactersWithSpaces>3741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2025-04-08T02:31:00Z</dcterms:created>
  <dc:creator>windows</dc:creator>
  <cp:lastModifiedBy>54915</cp:lastModifiedBy>
  <cp:lastPrinted>2020-11-12T00:03:00Z</cp:lastPrinted>
  <dcterms:modified xsi:type="dcterms:W3CDTF">2025-10-09T02:23:46Z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14ABB49500384898B03C5F99CCDFC1C3_13</vt:lpwstr>
  </property>
  <property fmtid="{D5CDD505-2E9C-101B-9397-08002B2CF9AE}" pid="4" name="KSOTemplateDocerSaveRecord">
    <vt:lpwstr>eyJoZGlkIjoiZDgyNDE1YThmMTZmNDVlMTNkMGE1NDAxZjU2YjYzN2QiLCJ1c2VySWQiOiIzNzk4NDYyMzcifQ==</vt:lpwstr>
  </property>
</Properties>
</file>