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jc w:val="center"/>
        <w:outlineLvl w:val="0"/>
        <w:rPr>
          <w:sz w:val="36"/>
          <w:szCs w:val="36"/>
        </w:rPr>
      </w:pPr>
      <w:r>
        <w:rPr>
          <w:rFonts w:hAnsi="宋体"/>
          <w:b/>
          <w:bCs/>
          <w:sz w:val="36"/>
          <w:szCs w:val="36"/>
        </w:rPr>
        <w:t>竞争性谈判公告</w:t>
      </w:r>
    </w:p>
    <w:p>
      <w:pPr>
        <w:adjustRightInd w:val="0"/>
        <w:snapToGrid w:val="0"/>
        <w:spacing w:line="500" w:lineRule="exact"/>
        <w:rPr>
          <w:b/>
          <w:sz w:val="24"/>
          <w:szCs w:val="24"/>
        </w:rPr>
      </w:pPr>
      <w:bookmarkStart w:id="0" w:name="_Toc490644316"/>
      <w:r>
        <w:rPr>
          <w:b/>
          <w:sz w:val="24"/>
          <w:szCs w:val="24"/>
        </w:rPr>
        <w:t>1</w:t>
      </w:r>
      <w:r>
        <w:rPr>
          <w:rFonts w:hint="eastAsia"/>
          <w:b/>
          <w:sz w:val="24"/>
          <w:szCs w:val="24"/>
        </w:rPr>
        <w:t>.</w:t>
      </w:r>
      <w:r>
        <w:rPr>
          <w:rFonts w:hAnsi="宋体"/>
          <w:b/>
          <w:sz w:val="24"/>
          <w:szCs w:val="24"/>
        </w:rPr>
        <w:t>采购条件</w:t>
      </w:r>
      <w:bookmarkEnd w:id="0"/>
    </w:p>
    <w:p>
      <w:pPr>
        <w:pStyle w:val="6"/>
        <w:spacing w:before="0" w:beforeAutospacing="0" w:after="0" w:afterAutospacing="0" w:line="500" w:lineRule="exact"/>
        <w:jc w:val="both"/>
        <w:rPr>
          <w:rFonts w:ascii="Times New Roman" w:hAnsi="Times New Roman" w:cs="Times New Roman"/>
          <w:kern w:val="2"/>
        </w:rPr>
      </w:pPr>
      <w:r>
        <w:rPr>
          <w:rFonts w:hint="eastAsia" w:ascii="Times New Roman" w:cs="Times New Roman"/>
          <w:kern w:val="2"/>
        </w:rPr>
        <w:t xml:space="preserve">    </w:t>
      </w:r>
      <w:r>
        <w:rPr>
          <w:rFonts w:hint="eastAsia" w:ascii="Times New Roman" w:cs="Times New Roman"/>
          <w:kern w:val="2"/>
          <w:u w:val="single"/>
        </w:rPr>
        <w:t>山东嘉信招标有限责任公司</w:t>
      </w:r>
      <w:r>
        <w:rPr>
          <w:rFonts w:hint="eastAsia" w:ascii="Times New Roman" w:cs="Times New Roman"/>
          <w:kern w:val="2"/>
        </w:rPr>
        <w:t>受</w:t>
      </w:r>
      <w:r>
        <w:rPr>
          <w:rFonts w:hint="eastAsia" w:ascii="Times New Roman" w:cs="Times New Roman"/>
          <w:kern w:val="2"/>
          <w:u w:val="single"/>
        </w:rPr>
        <w:t>聊城华昌实业有限责任公司</w:t>
      </w:r>
      <w:r>
        <w:rPr>
          <w:rFonts w:hint="eastAsia" w:ascii="Times New Roman" w:cs="Times New Roman"/>
          <w:kern w:val="2"/>
        </w:rPr>
        <w:t>的委托</w:t>
      </w:r>
      <w:r>
        <w:rPr>
          <w:rFonts w:ascii="Times New Roman" w:cs="Times New Roman"/>
          <w:kern w:val="2"/>
        </w:rPr>
        <w:t>，对</w:t>
      </w:r>
      <w:r>
        <w:rPr>
          <w:rFonts w:hint="eastAsia" w:eastAsia="宋体" w:cs="宋体"/>
          <w:kern w:val="2"/>
          <w:sz w:val="24"/>
          <w:szCs w:val="24"/>
          <w:u w:val="single"/>
          <w:lang w:eastAsia="zh-CN"/>
        </w:rPr>
        <w:t>聊城华昌实业有限责任公司2023年十一月第三次光明东阿分公司实训装置公开竞谈采购项目</w:t>
      </w:r>
      <w:r>
        <w:rPr>
          <w:rFonts w:ascii="Times New Roman" w:cs="Times New Roman"/>
          <w:kern w:val="2"/>
        </w:rPr>
        <w:t>及相关服务进行</w:t>
      </w:r>
      <w:r>
        <w:rPr>
          <w:rFonts w:hint="eastAsia" w:ascii="Times New Roman" w:cs="Times New Roman"/>
          <w:kern w:val="2"/>
        </w:rPr>
        <w:t>公开竞争性谈判采购</w:t>
      </w:r>
      <w:r>
        <w:rPr>
          <w:rFonts w:ascii="Times New Roman" w:cs="Times New Roman"/>
          <w:kern w:val="2"/>
        </w:rPr>
        <w:t>。</w:t>
      </w:r>
    </w:p>
    <w:p>
      <w:pPr>
        <w:numPr>
          <w:ilvl w:val="0"/>
          <w:numId w:val="0"/>
        </w:numPr>
        <w:adjustRightInd w:val="0"/>
        <w:snapToGrid w:val="0"/>
        <w:spacing w:line="500" w:lineRule="exact"/>
        <w:jc w:val="left"/>
        <w:rPr>
          <w:rFonts w:hint="eastAsia" w:hAnsi="宋体" w:eastAsia="宋体"/>
          <w:b/>
          <w:sz w:val="24"/>
          <w:szCs w:val="24"/>
          <w:lang w:eastAsia="zh-CN"/>
        </w:rPr>
      </w:pPr>
      <w:bookmarkStart w:id="1" w:name="_Toc490644317"/>
      <w:r>
        <w:rPr>
          <w:rFonts w:hint="eastAsia"/>
          <w:b/>
          <w:sz w:val="24"/>
          <w:szCs w:val="24"/>
          <w:lang w:val="en-US" w:eastAsia="zh-CN"/>
        </w:rPr>
        <w:t>2.</w:t>
      </w:r>
      <w:r>
        <w:rPr>
          <w:rFonts w:hint="eastAsia"/>
          <w:b/>
          <w:sz w:val="24"/>
          <w:szCs w:val="24"/>
        </w:rPr>
        <w:t>采购项目名称、项目编号及</w:t>
      </w:r>
      <w:r>
        <w:rPr>
          <w:rFonts w:hAnsi="宋体"/>
          <w:b/>
          <w:sz w:val="24"/>
          <w:szCs w:val="24"/>
        </w:rPr>
        <w:t>采购范围</w:t>
      </w:r>
      <w:bookmarkEnd w:id="1"/>
    </w:p>
    <w:p>
      <w:pPr>
        <w:numPr>
          <w:ilvl w:val="0"/>
          <w:numId w:val="0"/>
        </w:numPr>
        <w:adjustRightInd w:val="0"/>
        <w:snapToGrid w:val="0"/>
        <w:spacing w:line="500" w:lineRule="exact"/>
        <w:jc w:val="left"/>
        <w:rPr>
          <w:rFonts w:hint="eastAsia" w:hAnsi="宋体" w:eastAsia="宋体"/>
          <w:sz w:val="24"/>
          <w:szCs w:val="24"/>
          <w:lang w:eastAsia="zh-CN"/>
        </w:rPr>
      </w:pPr>
      <w:r>
        <w:rPr>
          <w:rFonts w:hint="eastAsia" w:hAnsi="宋体"/>
          <w:sz w:val="24"/>
          <w:szCs w:val="24"/>
        </w:rPr>
        <w:t xml:space="preserve">    2.1采购项目名称：</w:t>
      </w:r>
      <w:r>
        <w:rPr>
          <w:rFonts w:hint="eastAsia" w:hAnsi="宋体"/>
          <w:sz w:val="24"/>
          <w:szCs w:val="24"/>
          <w:lang w:eastAsia="zh-CN"/>
        </w:rPr>
        <w:t>聊城华昌实业有限责任公司2023年十一月第三次光明东阿分公司实训装置公开竞谈采购项目</w:t>
      </w:r>
    </w:p>
    <w:p>
      <w:pPr>
        <w:numPr>
          <w:ilvl w:val="0"/>
          <w:numId w:val="0"/>
        </w:numPr>
        <w:adjustRightInd w:val="0"/>
        <w:snapToGrid w:val="0"/>
        <w:spacing w:line="500" w:lineRule="exact"/>
        <w:jc w:val="left"/>
        <w:rPr>
          <w:rFonts w:hint="eastAsia" w:hAnsi="宋体"/>
          <w:sz w:val="24"/>
          <w:szCs w:val="24"/>
        </w:rPr>
      </w:pPr>
      <w:r>
        <w:rPr>
          <w:rFonts w:hint="eastAsia" w:hAnsi="宋体"/>
          <w:sz w:val="24"/>
          <w:szCs w:val="24"/>
        </w:rPr>
        <w:t xml:space="preserve">    2.2采购项目编号：</w:t>
      </w:r>
      <w:r>
        <w:rPr>
          <w:rFonts w:hint="eastAsia" w:ascii="宋体" w:hAnsi="宋体" w:cs="宋体"/>
          <w:sz w:val="24"/>
          <w:szCs w:val="24"/>
          <w:lang w:eastAsia="zh-CN"/>
        </w:rPr>
        <w:t>HCWZPCTP-JX-2023113-02</w:t>
      </w:r>
    </w:p>
    <w:p>
      <w:pPr>
        <w:numPr>
          <w:ilvl w:val="0"/>
          <w:numId w:val="0"/>
        </w:numPr>
        <w:adjustRightInd w:val="0"/>
        <w:snapToGrid w:val="0"/>
        <w:spacing w:line="500" w:lineRule="exact"/>
        <w:ind w:firstLine="480" w:firstLineChars="200"/>
        <w:jc w:val="left"/>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2.3采购范围：</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699"/>
        <w:gridCol w:w="1789"/>
        <w:gridCol w:w="1069"/>
        <w:gridCol w:w="1080"/>
        <w:gridCol w:w="1119"/>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5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序号</w:t>
            </w:r>
          </w:p>
        </w:tc>
        <w:tc>
          <w:tcPr>
            <w:tcW w:w="269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物料名称</w:t>
            </w:r>
          </w:p>
        </w:tc>
        <w:tc>
          <w:tcPr>
            <w:tcW w:w="178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规格型号</w:t>
            </w:r>
          </w:p>
        </w:tc>
        <w:tc>
          <w:tcPr>
            <w:tcW w:w="10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计量单位</w:t>
            </w:r>
          </w:p>
        </w:tc>
        <w:tc>
          <w:tcPr>
            <w:tcW w:w="10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需求数量</w:t>
            </w:r>
          </w:p>
        </w:tc>
        <w:tc>
          <w:tcPr>
            <w:tcW w:w="111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最高限价</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（万元）</w:t>
            </w:r>
          </w:p>
        </w:tc>
        <w:tc>
          <w:tcPr>
            <w:tcW w:w="99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5"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699"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低压故障排除实训装置</w:t>
            </w:r>
          </w:p>
        </w:tc>
        <w:tc>
          <w:tcPr>
            <w:tcW w:w="1789"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详见技术规范书</w:t>
            </w:r>
          </w:p>
        </w:tc>
        <w:tc>
          <w:tcPr>
            <w:tcW w:w="1069"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119"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990"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default"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5"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699"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三相电能表接线仿真系统</w:t>
            </w:r>
          </w:p>
        </w:tc>
        <w:tc>
          <w:tcPr>
            <w:tcW w:w="1789"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详见技术规范书</w:t>
            </w:r>
          </w:p>
        </w:tc>
        <w:tc>
          <w:tcPr>
            <w:tcW w:w="1069"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119"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990" w:type="dxa"/>
            <w:noWrap w:val="0"/>
            <w:vAlign w:val="center"/>
          </w:tcPr>
          <w:p>
            <w:pPr>
              <w:keepNext w:val="0"/>
              <w:keepLines w:val="0"/>
              <w:pageBreakBefore w:val="0"/>
              <w:widowControl/>
              <w:suppressLineNumbers w:val="0"/>
              <w:kinsoku/>
              <w:wordWrap/>
              <w:overflowPunct/>
              <w:topLinePunct w:val="0"/>
              <w:autoSpaceDE/>
              <w:autoSpaceDN/>
              <w:bidi w:val="0"/>
              <w:spacing w:line="360" w:lineRule="exact"/>
              <w:jc w:val="center"/>
              <w:textAlignment w:val="center"/>
              <w:rPr>
                <w:rFonts w:hint="default" w:ascii="宋体" w:hAnsi="宋体" w:eastAsia="宋体" w:cs="宋体"/>
                <w:i w:val="0"/>
                <w:iCs w:val="0"/>
                <w:color w:val="000000"/>
                <w:kern w:val="0"/>
                <w:sz w:val="21"/>
                <w:szCs w:val="21"/>
                <w:u w:val="none"/>
                <w:lang w:val="en-US" w:eastAsia="zh-CN" w:bidi="ar"/>
              </w:rPr>
            </w:pPr>
          </w:p>
        </w:tc>
      </w:tr>
    </w:tbl>
    <w:p>
      <w:pPr>
        <w:widowControl/>
        <w:spacing w:line="500" w:lineRule="exact"/>
        <w:textAlignment w:val="center"/>
        <w:rPr>
          <w:b/>
          <w:sz w:val="24"/>
          <w:szCs w:val="24"/>
        </w:rPr>
      </w:pPr>
      <w:r>
        <w:rPr>
          <w:rFonts w:hint="eastAsia"/>
          <w:b/>
          <w:sz w:val="24"/>
          <w:szCs w:val="24"/>
        </w:rPr>
        <w:t>3.应答人</w:t>
      </w:r>
      <w:r>
        <w:rPr>
          <w:b/>
          <w:sz w:val="24"/>
          <w:szCs w:val="24"/>
        </w:rPr>
        <w:t>须满足如下资格要求：</w:t>
      </w:r>
    </w:p>
    <w:p>
      <w:pPr>
        <w:adjustRightInd w:val="0"/>
        <w:snapToGrid w:val="0"/>
        <w:spacing w:line="500" w:lineRule="exact"/>
        <w:ind w:firstLine="482" w:firstLineChars="200"/>
        <w:rPr>
          <w:rFonts w:hint="eastAsia"/>
          <w:b/>
          <w:sz w:val="24"/>
          <w:szCs w:val="24"/>
        </w:rPr>
      </w:pPr>
      <w:r>
        <w:rPr>
          <w:rFonts w:hint="eastAsia"/>
          <w:b/>
          <w:sz w:val="24"/>
          <w:szCs w:val="24"/>
        </w:rPr>
        <w:t>3.1应答人须满足如下通用资格要求：</w:t>
      </w:r>
    </w:p>
    <w:p>
      <w:pPr>
        <w:adjustRightInd w:val="0"/>
        <w:snapToGrid w:val="0"/>
        <w:spacing w:line="500" w:lineRule="exact"/>
        <w:ind w:firstLine="480" w:firstLineChars="200"/>
        <w:rPr>
          <w:rFonts w:hAnsi="宋体"/>
          <w:sz w:val="24"/>
          <w:szCs w:val="24"/>
        </w:rPr>
      </w:pPr>
      <w:r>
        <w:rPr>
          <w:rFonts w:hint="eastAsia" w:hAnsi="宋体"/>
          <w:sz w:val="24"/>
          <w:szCs w:val="24"/>
        </w:rPr>
        <w:t>（1）应答人</w:t>
      </w:r>
      <w:r>
        <w:rPr>
          <w:rFonts w:hAnsi="宋体"/>
          <w:sz w:val="24"/>
          <w:szCs w:val="24"/>
        </w:rPr>
        <w:t>须为中华人民共和国境内依法注册的法人</w:t>
      </w:r>
      <w:r>
        <w:rPr>
          <w:rFonts w:hint="eastAsia" w:hAnsi="宋体"/>
          <w:sz w:val="24"/>
          <w:szCs w:val="24"/>
        </w:rPr>
        <w:t>或其他组织</w:t>
      </w:r>
      <w:r>
        <w:rPr>
          <w:rFonts w:hAnsi="宋体"/>
          <w:sz w:val="24"/>
          <w:szCs w:val="24"/>
        </w:rPr>
        <w:t>。</w:t>
      </w:r>
    </w:p>
    <w:p>
      <w:pPr>
        <w:adjustRightInd w:val="0"/>
        <w:snapToGrid w:val="0"/>
        <w:spacing w:line="500" w:lineRule="exact"/>
        <w:ind w:firstLine="480" w:firstLineChars="200"/>
        <w:rPr>
          <w:sz w:val="24"/>
          <w:szCs w:val="24"/>
        </w:rPr>
      </w:pPr>
      <w:r>
        <w:rPr>
          <w:rFonts w:hAnsi="宋体"/>
          <w:sz w:val="24"/>
          <w:szCs w:val="24"/>
        </w:rPr>
        <w:t>（</w:t>
      </w:r>
      <w:r>
        <w:rPr>
          <w:rFonts w:hint="eastAsia" w:hAnsi="宋体"/>
          <w:sz w:val="24"/>
          <w:szCs w:val="24"/>
        </w:rPr>
        <w:t>2</w:t>
      </w:r>
      <w:r>
        <w:rPr>
          <w:rFonts w:hAnsi="宋体"/>
          <w:sz w:val="24"/>
          <w:szCs w:val="24"/>
        </w:rPr>
        <w:t>）</w:t>
      </w:r>
      <w:r>
        <w:rPr>
          <w:rFonts w:hint="eastAsia" w:hAnsi="宋体"/>
          <w:sz w:val="24"/>
          <w:szCs w:val="24"/>
        </w:rPr>
        <w:t>应答人</w:t>
      </w:r>
      <w:r>
        <w:rPr>
          <w:rFonts w:hAnsi="宋体"/>
          <w:sz w:val="24"/>
          <w:szCs w:val="24"/>
        </w:rPr>
        <w:t>在人员、设备、资金等方面具有保障如期交货等承担采购项目的能力。</w:t>
      </w:r>
    </w:p>
    <w:p>
      <w:pPr>
        <w:adjustRightInd w:val="0"/>
        <w:snapToGrid w:val="0"/>
        <w:spacing w:line="500" w:lineRule="exact"/>
        <w:ind w:firstLine="480" w:firstLineChars="200"/>
        <w:rPr>
          <w:sz w:val="24"/>
          <w:szCs w:val="24"/>
        </w:rPr>
      </w:pPr>
      <w:r>
        <w:rPr>
          <w:rFonts w:hAnsi="宋体"/>
          <w:sz w:val="24"/>
          <w:szCs w:val="24"/>
        </w:rPr>
        <w:t>（</w:t>
      </w:r>
      <w:r>
        <w:rPr>
          <w:rFonts w:hint="eastAsia"/>
          <w:sz w:val="24"/>
          <w:szCs w:val="24"/>
        </w:rPr>
        <w:t>3</w:t>
      </w:r>
      <w:r>
        <w:rPr>
          <w:rFonts w:hAnsi="宋体"/>
          <w:sz w:val="24"/>
          <w:szCs w:val="24"/>
        </w:rPr>
        <w:t>）法定代表人或单位负责人为同一人或者存在控股、管理关系的不同单位，不得参加同一标包</w:t>
      </w:r>
      <w:r>
        <w:rPr>
          <w:rFonts w:hint="eastAsia" w:hAnsi="宋体"/>
          <w:sz w:val="24"/>
          <w:szCs w:val="24"/>
        </w:rPr>
        <w:t>响应</w:t>
      </w:r>
      <w:r>
        <w:rPr>
          <w:rFonts w:hAnsi="宋体"/>
          <w:sz w:val="24"/>
          <w:szCs w:val="24"/>
        </w:rPr>
        <w:t>或者未划分标包的同一采购项目</w:t>
      </w:r>
      <w:r>
        <w:rPr>
          <w:rFonts w:hint="eastAsia" w:hAnsi="宋体"/>
          <w:sz w:val="24"/>
          <w:szCs w:val="24"/>
        </w:rPr>
        <w:t>响应</w:t>
      </w:r>
      <w:r>
        <w:rPr>
          <w:rFonts w:hAnsi="宋体"/>
          <w:sz w:val="24"/>
          <w:szCs w:val="24"/>
        </w:rPr>
        <w:t>。</w:t>
      </w:r>
    </w:p>
    <w:p>
      <w:pPr>
        <w:adjustRightInd w:val="0"/>
        <w:snapToGrid w:val="0"/>
        <w:spacing w:line="500" w:lineRule="exact"/>
        <w:ind w:firstLine="480" w:firstLineChars="200"/>
        <w:rPr>
          <w:sz w:val="24"/>
          <w:szCs w:val="24"/>
        </w:rPr>
      </w:pPr>
      <w:r>
        <w:rPr>
          <w:rFonts w:hAnsi="宋体"/>
          <w:sz w:val="24"/>
          <w:szCs w:val="24"/>
        </w:rPr>
        <w:t>（</w:t>
      </w:r>
      <w:r>
        <w:rPr>
          <w:rFonts w:hint="eastAsia"/>
          <w:sz w:val="24"/>
          <w:szCs w:val="24"/>
        </w:rPr>
        <w:t>4</w:t>
      </w:r>
      <w:r>
        <w:rPr>
          <w:rFonts w:hAnsi="宋体"/>
          <w:sz w:val="24"/>
          <w:szCs w:val="24"/>
        </w:rPr>
        <w:t>）应有良好的财务状况和商业信用。</w:t>
      </w:r>
    </w:p>
    <w:p>
      <w:pPr>
        <w:adjustRightInd w:val="0"/>
        <w:snapToGrid w:val="0"/>
        <w:spacing w:line="500" w:lineRule="exact"/>
        <w:ind w:firstLine="480" w:firstLineChars="200"/>
        <w:rPr>
          <w:sz w:val="24"/>
          <w:szCs w:val="24"/>
        </w:rPr>
      </w:pPr>
      <w:r>
        <w:rPr>
          <w:rFonts w:hAnsi="宋体"/>
          <w:sz w:val="24"/>
          <w:szCs w:val="24"/>
        </w:rPr>
        <w:t>（</w:t>
      </w:r>
      <w:r>
        <w:rPr>
          <w:rFonts w:hint="eastAsia"/>
          <w:sz w:val="24"/>
          <w:szCs w:val="24"/>
        </w:rPr>
        <w:t>5</w:t>
      </w:r>
      <w:r>
        <w:rPr>
          <w:rFonts w:hAnsi="宋体"/>
          <w:sz w:val="24"/>
          <w:szCs w:val="24"/>
        </w:rPr>
        <w:t>）本采购活动不接受贴牌代工的</w:t>
      </w:r>
      <w:r>
        <w:rPr>
          <w:rFonts w:hint="eastAsia" w:hAnsi="宋体"/>
          <w:sz w:val="24"/>
          <w:szCs w:val="24"/>
        </w:rPr>
        <w:t>报价</w:t>
      </w:r>
      <w:r>
        <w:rPr>
          <w:rFonts w:hAnsi="宋体"/>
          <w:sz w:val="24"/>
          <w:szCs w:val="24"/>
        </w:rPr>
        <w:t>以及其他任何分包行为的</w:t>
      </w:r>
      <w:r>
        <w:rPr>
          <w:rFonts w:hint="eastAsia" w:hAnsi="宋体"/>
          <w:sz w:val="24"/>
          <w:szCs w:val="24"/>
        </w:rPr>
        <w:t>响应</w:t>
      </w:r>
      <w:r>
        <w:rPr>
          <w:rFonts w:hAnsi="宋体"/>
          <w:sz w:val="24"/>
          <w:szCs w:val="24"/>
        </w:rPr>
        <w:t>。</w:t>
      </w:r>
    </w:p>
    <w:p>
      <w:pPr>
        <w:adjustRightInd w:val="0"/>
        <w:snapToGrid w:val="0"/>
        <w:spacing w:line="500" w:lineRule="exact"/>
        <w:ind w:firstLine="480" w:firstLineChars="200"/>
        <w:rPr>
          <w:sz w:val="24"/>
          <w:szCs w:val="24"/>
        </w:rPr>
      </w:pPr>
      <w:r>
        <w:rPr>
          <w:rFonts w:hAnsi="宋体"/>
          <w:sz w:val="24"/>
          <w:szCs w:val="24"/>
        </w:rPr>
        <w:t>（</w:t>
      </w:r>
      <w:r>
        <w:rPr>
          <w:rFonts w:hint="eastAsia"/>
          <w:sz w:val="24"/>
          <w:szCs w:val="24"/>
        </w:rPr>
        <w:t>6</w:t>
      </w:r>
      <w:r>
        <w:rPr>
          <w:rFonts w:hAnsi="宋体"/>
          <w:sz w:val="24"/>
          <w:szCs w:val="24"/>
        </w:rPr>
        <w:t>）</w:t>
      </w:r>
      <w:r>
        <w:rPr>
          <w:rFonts w:hint="eastAsia" w:hAnsi="宋体"/>
          <w:sz w:val="24"/>
          <w:szCs w:val="24"/>
        </w:rPr>
        <w:t>应答人</w:t>
      </w:r>
      <w:r>
        <w:rPr>
          <w:rFonts w:hAnsi="宋体"/>
          <w:sz w:val="24"/>
          <w:szCs w:val="24"/>
        </w:rPr>
        <w:t>不得为国家电网公司《关于</w:t>
      </w:r>
      <w:r>
        <w:rPr>
          <w:rFonts w:hint="eastAsia" w:hAnsi="宋体"/>
          <w:sz w:val="24"/>
          <w:szCs w:val="24"/>
        </w:rPr>
        <w:t>应答人</w:t>
      </w:r>
      <w:r>
        <w:rPr>
          <w:rFonts w:hAnsi="宋体"/>
          <w:sz w:val="24"/>
          <w:szCs w:val="24"/>
        </w:rPr>
        <w:t>不良行为处理情况的通报》</w:t>
      </w:r>
      <w:r>
        <w:rPr>
          <w:rFonts w:hint="eastAsia" w:hAnsi="宋体"/>
          <w:sz w:val="24"/>
          <w:szCs w:val="24"/>
        </w:rPr>
        <w:t>或</w:t>
      </w:r>
      <w:r>
        <w:rPr>
          <w:rFonts w:hAnsi="宋体"/>
          <w:sz w:val="24"/>
          <w:szCs w:val="24"/>
        </w:rPr>
        <w:t>山东省电力公司《关于</w:t>
      </w:r>
      <w:r>
        <w:rPr>
          <w:rFonts w:hint="eastAsia" w:hAnsi="宋体"/>
          <w:sz w:val="24"/>
          <w:szCs w:val="24"/>
        </w:rPr>
        <w:t>应答人</w:t>
      </w:r>
      <w:r>
        <w:rPr>
          <w:rFonts w:hAnsi="宋体"/>
          <w:sz w:val="24"/>
          <w:szCs w:val="24"/>
        </w:rPr>
        <w:t>不良行为处理情况的通报》中正在接受暂停中标</w:t>
      </w:r>
      <w:r>
        <w:rPr>
          <w:rFonts w:hint="eastAsia" w:hAnsi="宋体"/>
          <w:sz w:val="24"/>
          <w:szCs w:val="24"/>
        </w:rPr>
        <w:t>/成交</w:t>
      </w:r>
      <w:r>
        <w:rPr>
          <w:rFonts w:hAnsi="宋体"/>
          <w:sz w:val="24"/>
          <w:szCs w:val="24"/>
        </w:rPr>
        <w:t>资格、取消中标</w:t>
      </w:r>
      <w:r>
        <w:rPr>
          <w:rFonts w:hint="eastAsia" w:hAnsi="宋体"/>
          <w:sz w:val="24"/>
          <w:szCs w:val="24"/>
        </w:rPr>
        <w:t>/成交</w:t>
      </w:r>
      <w:r>
        <w:rPr>
          <w:rFonts w:hAnsi="宋体"/>
          <w:sz w:val="24"/>
          <w:szCs w:val="24"/>
        </w:rPr>
        <w:t>资格的</w:t>
      </w:r>
      <w:r>
        <w:rPr>
          <w:rFonts w:hint="eastAsia" w:hAnsi="宋体"/>
          <w:sz w:val="24"/>
          <w:szCs w:val="24"/>
        </w:rPr>
        <w:t>供应商</w:t>
      </w:r>
      <w:r>
        <w:rPr>
          <w:rFonts w:hAnsi="宋体"/>
          <w:sz w:val="24"/>
          <w:szCs w:val="24"/>
        </w:rPr>
        <w:t>。</w:t>
      </w:r>
    </w:p>
    <w:p>
      <w:pPr>
        <w:spacing w:line="500" w:lineRule="exact"/>
        <w:ind w:firstLine="480" w:firstLineChars="200"/>
        <w:rPr>
          <w:rFonts w:hAnsi="宋体"/>
          <w:sz w:val="24"/>
          <w:szCs w:val="24"/>
        </w:rPr>
      </w:pPr>
      <w:r>
        <w:rPr>
          <w:rFonts w:hAnsi="宋体"/>
          <w:sz w:val="24"/>
          <w:szCs w:val="24"/>
        </w:rPr>
        <w:t>（</w:t>
      </w:r>
      <w:r>
        <w:rPr>
          <w:rFonts w:hint="eastAsia"/>
          <w:sz w:val="24"/>
          <w:szCs w:val="24"/>
        </w:rPr>
        <w:t>7</w:t>
      </w:r>
      <w:r>
        <w:rPr>
          <w:rFonts w:hAnsi="宋体"/>
          <w:sz w:val="24"/>
          <w:szCs w:val="24"/>
        </w:rPr>
        <w:t>）本次</w:t>
      </w:r>
      <w:r>
        <w:rPr>
          <w:rFonts w:hint="eastAsia" w:hAnsi="宋体"/>
          <w:sz w:val="24"/>
          <w:szCs w:val="24"/>
        </w:rPr>
        <w:t>项目</w:t>
      </w:r>
      <w:r>
        <w:rPr>
          <w:rFonts w:hAnsi="宋体"/>
          <w:sz w:val="24"/>
          <w:szCs w:val="24"/>
        </w:rPr>
        <w:t>不接受联合体</w:t>
      </w:r>
      <w:r>
        <w:rPr>
          <w:rFonts w:hint="eastAsia" w:hAnsi="宋体"/>
          <w:sz w:val="24"/>
          <w:szCs w:val="24"/>
        </w:rPr>
        <w:t>参与</w:t>
      </w:r>
      <w:r>
        <w:rPr>
          <w:rFonts w:hAnsi="宋体"/>
          <w:sz w:val="24"/>
          <w:szCs w:val="24"/>
        </w:rPr>
        <w:t>。</w:t>
      </w:r>
    </w:p>
    <w:p>
      <w:pPr>
        <w:pStyle w:val="3"/>
        <w:spacing w:line="500" w:lineRule="exact"/>
        <w:ind w:firstLine="482" w:firstLineChars="200"/>
        <w:rPr>
          <w:rFonts w:hint="eastAsia"/>
          <w:b/>
          <w:szCs w:val="24"/>
        </w:rPr>
      </w:pPr>
      <w:r>
        <w:rPr>
          <w:rFonts w:hint="eastAsia"/>
          <w:b/>
          <w:szCs w:val="24"/>
        </w:rPr>
        <w:t>3.2应答人须满足如下专用资格要求：</w:t>
      </w:r>
      <w:bookmarkStart w:id="2" w:name="_Toc490644319"/>
    </w:p>
    <w:p>
      <w:pPr>
        <w:pStyle w:val="3"/>
        <w:numPr>
          <w:ilvl w:val="0"/>
          <w:numId w:val="0"/>
        </w:numPr>
        <w:spacing w:line="500" w:lineRule="exact"/>
        <w:ind w:firstLine="480" w:firstLineChars="200"/>
        <w:rPr>
          <w:rFonts w:hint="eastAsia" w:hAnsi="宋体"/>
          <w:sz w:val="24"/>
          <w:szCs w:val="24"/>
          <w:highlight w:val="none"/>
        </w:rPr>
      </w:pPr>
      <w:r>
        <w:rPr>
          <w:rFonts w:hint="eastAsia" w:ascii="宋体" w:hAnsi="宋体" w:eastAsia="宋体" w:cs="宋体"/>
          <w:sz w:val="24"/>
          <w:szCs w:val="24"/>
          <w:highlight w:val="none"/>
          <w:lang w:val="en-US" w:eastAsia="zh-CN"/>
        </w:rPr>
        <w:t>（1）应答</w:t>
      </w:r>
      <w:r>
        <w:rPr>
          <w:rFonts w:hint="eastAsia" w:hAnsi="宋体"/>
          <w:sz w:val="24"/>
          <w:szCs w:val="24"/>
          <w:highlight w:val="none"/>
        </w:rPr>
        <w:t>人须为制造商</w:t>
      </w:r>
      <w:r>
        <w:rPr>
          <w:rFonts w:hint="eastAsia" w:hAnsi="宋体"/>
          <w:sz w:val="24"/>
          <w:szCs w:val="24"/>
          <w:highlight w:val="none"/>
          <w:lang w:val="en-US" w:eastAsia="zh-CN"/>
        </w:rPr>
        <w:t>或代理商，如为代理商，须提供制造商针对本项目的授权书</w:t>
      </w:r>
      <w:r>
        <w:rPr>
          <w:rFonts w:hint="eastAsia" w:hAnsi="宋体"/>
          <w:sz w:val="24"/>
          <w:szCs w:val="24"/>
          <w:highlight w:val="none"/>
        </w:rPr>
        <w:t>；</w:t>
      </w:r>
    </w:p>
    <w:bookmarkEnd w:id="2"/>
    <w:p>
      <w:pPr>
        <w:numPr>
          <w:ilvl w:val="0"/>
          <w:numId w:val="0"/>
        </w:num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应答人须提供近三年（20</w:t>
      </w:r>
      <w:r>
        <w:rPr>
          <w:rFonts w:hint="eastAsia" w:ascii="宋体" w:hAnsi="宋体" w:cs="宋体"/>
          <w:sz w:val="24"/>
          <w:szCs w:val="24"/>
          <w:highlight w:val="none"/>
          <w:lang w:val="en-US" w:eastAsia="zh-CN"/>
        </w:rPr>
        <w:t>20</w:t>
      </w:r>
      <w:r>
        <w:rPr>
          <w:rFonts w:hint="eastAsia" w:ascii="宋体" w:hAnsi="宋体" w:cs="宋体"/>
          <w:sz w:val="24"/>
          <w:szCs w:val="24"/>
          <w:highlight w:val="none"/>
        </w:rPr>
        <w:t>年</w:t>
      </w:r>
      <w:r>
        <w:rPr>
          <w:rFonts w:hint="eastAsia" w:ascii="宋体" w:hAnsi="宋体" w:cs="宋体"/>
          <w:sz w:val="24"/>
          <w:szCs w:val="24"/>
          <w:highlight w:val="none"/>
          <w:lang w:val="en-US" w:eastAsia="zh-CN"/>
        </w:rPr>
        <w:t>11月</w:t>
      </w:r>
      <w:r>
        <w:rPr>
          <w:rFonts w:hint="eastAsia" w:ascii="宋体" w:hAnsi="宋体" w:cs="宋体"/>
          <w:sz w:val="24"/>
          <w:szCs w:val="24"/>
          <w:highlight w:val="none"/>
        </w:rPr>
        <w:t>01日至今）同类培训或实训系统产品实施案例业绩</w:t>
      </w:r>
      <w:r>
        <w:rPr>
          <w:rFonts w:hint="eastAsia" w:ascii="宋体" w:hAnsi="宋体" w:cs="宋体"/>
          <w:sz w:val="24"/>
          <w:szCs w:val="24"/>
          <w:highlight w:val="none"/>
          <w:lang w:val="en-US" w:eastAsia="zh-CN"/>
        </w:rPr>
        <w:t>2</w:t>
      </w:r>
      <w:r>
        <w:rPr>
          <w:rFonts w:hint="eastAsia" w:ascii="宋体" w:hAnsi="宋体" w:cs="宋体"/>
          <w:sz w:val="24"/>
          <w:szCs w:val="24"/>
          <w:highlight w:val="none"/>
        </w:rPr>
        <w:t>份（须同时提供合同、发票复印件并加盖单位公章）。</w:t>
      </w:r>
    </w:p>
    <w:p>
      <w:pPr>
        <w:adjustRightInd w:val="0"/>
        <w:snapToGrid w:val="0"/>
        <w:spacing w:line="500" w:lineRule="exact"/>
        <w:rPr>
          <w:b/>
          <w:sz w:val="24"/>
          <w:szCs w:val="24"/>
          <w:highlight w:val="none"/>
        </w:rPr>
      </w:pPr>
      <w:r>
        <w:rPr>
          <w:b/>
          <w:sz w:val="24"/>
          <w:szCs w:val="24"/>
          <w:highlight w:val="none"/>
        </w:rPr>
        <w:t>4</w:t>
      </w:r>
      <w:r>
        <w:rPr>
          <w:rFonts w:hint="eastAsia"/>
          <w:b/>
          <w:sz w:val="24"/>
          <w:szCs w:val="24"/>
          <w:highlight w:val="none"/>
        </w:rPr>
        <w:t>.采购</w:t>
      </w:r>
      <w:r>
        <w:rPr>
          <w:rFonts w:hAnsi="宋体"/>
          <w:b/>
          <w:sz w:val="24"/>
          <w:szCs w:val="24"/>
          <w:highlight w:val="none"/>
        </w:rPr>
        <w:t>文件的获取</w:t>
      </w:r>
    </w:p>
    <w:p>
      <w:pPr>
        <w:adjustRightInd w:val="0"/>
        <w:snapToGrid w:val="0"/>
        <w:spacing w:line="500" w:lineRule="exact"/>
        <w:ind w:firstLine="420"/>
        <w:rPr>
          <w:rFonts w:hint="eastAsia"/>
          <w:color w:val="FF0000"/>
          <w:sz w:val="24"/>
          <w:szCs w:val="24"/>
          <w:highlight w:val="none"/>
        </w:rPr>
      </w:pPr>
      <w:r>
        <w:rPr>
          <w:rFonts w:hint="eastAsia"/>
          <w:color w:val="FF0000"/>
          <w:sz w:val="24"/>
          <w:szCs w:val="24"/>
          <w:highlight w:val="none"/>
        </w:rPr>
        <w:t>4.1本次采购项目实行在电子商务平台(ECP)-电工交易专区发放电子版竞争性谈判采购文件，不再发放纸质竞争性谈判采购文件，潜在应答人以电子商务平台系统内下载的电子版竞争性谈判采购文件为准。</w:t>
      </w:r>
    </w:p>
    <w:p>
      <w:pPr>
        <w:adjustRightInd w:val="0"/>
        <w:snapToGrid w:val="0"/>
        <w:spacing w:line="500" w:lineRule="exact"/>
        <w:ind w:firstLine="420"/>
        <w:rPr>
          <w:rFonts w:hint="eastAsia"/>
          <w:color w:val="FF0000"/>
          <w:sz w:val="24"/>
          <w:szCs w:val="24"/>
        </w:rPr>
      </w:pPr>
      <w:r>
        <w:rPr>
          <w:rFonts w:hint="eastAsia"/>
          <w:color w:val="FF0000"/>
          <w:sz w:val="24"/>
          <w:szCs w:val="24"/>
          <w:highlight w:val="none"/>
        </w:rPr>
        <w:t>4.2凡有意参加竞争性谈判者，请于</w:t>
      </w:r>
      <w:r>
        <w:rPr>
          <w:rFonts w:hint="eastAsia"/>
          <w:b/>
          <w:bCs/>
          <w:color w:val="FF0000"/>
          <w:sz w:val="24"/>
          <w:szCs w:val="24"/>
          <w:highlight w:val="none"/>
        </w:rPr>
        <w:t>202</w:t>
      </w:r>
      <w:r>
        <w:rPr>
          <w:rFonts w:hint="eastAsia"/>
          <w:b/>
          <w:bCs/>
          <w:color w:val="FF0000"/>
          <w:sz w:val="24"/>
          <w:szCs w:val="24"/>
          <w:highlight w:val="none"/>
          <w:lang w:val="en-US" w:eastAsia="zh-CN"/>
        </w:rPr>
        <w:t>3</w:t>
      </w:r>
      <w:r>
        <w:rPr>
          <w:rFonts w:hint="eastAsia"/>
          <w:b/>
          <w:bCs/>
          <w:color w:val="FF0000"/>
          <w:sz w:val="24"/>
          <w:szCs w:val="24"/>
          <w:highlight w:val="none"/>
        </w:rPr>
        <w:t>年</w:t>
      </w:r>
      <w:r>
        <w:rPr>
          <w:rFonts w:hint="eastAsia"/>
          <w:b/>
          <w:bCs/>
          <w:color w:val="FF0000"/>
          <w:sz w:val="24"/>
          <w:szCs w:val="24"/>
          <w:highlight w:val="none"/>
          <w:lang w:val="en-US" w:eastAsia="zh-CN"/>
        </w:rPr>
        <w:t>11</w:t>
      </w:r>
      <w:r>
        <w:rPr>
          <w:rFonts w:hint="eastAsia"/>
          <w:b/>
          <w:bCs/>
          <w:color w:val="FF0000"/>
          <w:sz w:val="24"/>
          <w:szCs w:val="24"/>
          <w:highlight w:val="none"/>
        </w:rPr>
        <w:t>月</w:t>
      </w:r>
      <w:r>
        <w:rPr>
          <w:rFonts w:hint="eastAsia"/>
          <w:b/>
          <w:bCs/>
          <w:color w:val="FF0000"/>
          <w:sz w:val="24"/>
          <w:szCs w:val="24"/>
          <w:highlight w:val="none"/>
          <w:lang w:val="en-US" w:eastAsia="zh-CN"/>
        </w:rPr>
        <w:t>21</w:t>
      </w:r>
      <w:r>
        <w:rPr>
          <w:rFonts w:hint="eastAsia"/>
          <w:b/>
          <w:bCs/>
          <w:color w:val="FF0000"/>
          <w:sz w:val="24"/>
          <w:szCs w:val="24"/>
          <w:highlight w:val="none"/>
        </w:rPr>
        <w:t>日</w:t>
      </w:r>
      <w:r>
        <w:rPr>
          <w:rFonts w:hint="eastAsia"/>
          <w:b/>
          <w:bCs/>
          <w:color w:val="FF0000"/>
          <w:sz w:val="24"/>
          <w:szCs w:val="24"/>
          <w:highlight w:val="none"/>
          <w:lang w:val="en-US" w:eastAsia="zh-CN"/>
        </w:rPr>
        <w:t>08</w:t>
      </w:r>
      <w:r>
        <w:rPr>
          <w:rFonts w:hint="eastAsia"/>
          <w:b/>
          <w:bCs/>
          <w:color w:val="FF0000"/>
          <w:sz w:val="24"/>
          <w:szCs w:val="24"/>
          <w:highlight w:val="none"/>
        </w:rPr>
        <w:t>时</w:t>
      </w:r>
      <w:r>
        <w:rPr>
          <w:rFonts w:hint="eastAsia"/>
          <w:b/>
          <w:bCs/>
          <w:color w:val="FF0000"/>
          <w:sz w:val="24"/>
          <w:szCs w:val="24"/>
          <w:highlight w:val="none"/>
          <w:lang w:val="en-US" w:eastAsia="zh-CN"/>
        </w:rPr>
        <w:t>30</w:t>
      </w:r>
      <w:r>
        <w:rPr>
          <w:rFonts w:hint="eastAsia"/>
          <w:b/>
          <w:bCs/>
          <w:color w:val="FF0000"/>
          <w:sz w:val="24"/>
          <w:szCs w:val="24"/>
          <w:highlight w:val="none"/>
        </w:rPr>
        <w:t>分至20</w:t>
      </w:r>
      <w:r>
        <w:rPr>
          <w:rFonts w:hint="eastAsia"/>
          <w:b/>
          <w:bCs/>
          <w:color w:val="FF0000"/>
          <w:sz w:val="24"/>
          <w:szCs w:val="24"/>
          <w:highlight w:val="none"/>
          <w:lang w:val="en-US" w:eastAsia="zh-CN"/>
        </w:rPr>
        <w:t>23</w:t>
      </w:r>
      <w:r>
        <w:rPr>
          <w:rFonts w:hint="eastAsia"/>
          <w:b/>
          <w:bCs/>
          <w:color w:val="FF0000"/>
          <w:sz w:val="24"/>
          <w:szCs w:val="24"/>
          <w:highlight w:val="none"/>
        </w:rPr>
        <w:t>年</w:t>
      </w:r>
      <w:r>
        <w:rPr>
          <w:rFonts w:hint="eastAsia"/>
          <w:b/>
          <w:bCs/>
          <w:color w:val="FF0000"/>
          <w:sz w:val="24"/>
          <w:szCs w:val="24"/>
          <w:highlight w:val="none"/>
          <w:lang w:val="en-US" w:eastAsia="zh-CN"/>
        </w:rPr>
        <w:t>11月24</w:t>
      </w:r>
      <w:r>
        <w:rPr>
          <w:rFonts w:hint="eastAsia"/>
          <w:b/>
          <w:bCs/>
          <w:color w:val="FF0000"/>
          <w:sz w:val="24"/>
          <w:szCs w:val="24"/>
          <w:highlight w:val="none"/>
        </w:rPr>
        <w:t>日</w:t>
      </w:r>
      <w:r>
        <w:rPr>
          <w:rFonts w:hint="eastAsia"/>
          <w:b/>
          <w:bCs/>
          <w:color w:val="FF0000"/>
          <w:sz w:val="24"/>
          <w:szCs w:val="24"/>
          <w:highlight w:val="none"/>
          <w:lang w:val="en-US" w:eastAsia="zh-CN"/>
        </w:rPr>
        <w:t>17</w:t>
      </w:r>
      <w:r>
        <w:rPr>
          <w:rFonts w:hint="eastAsia"/>
          <w:b/>
          <w:bCs/>
          <w:color w:val="FF0000"/>
          <w:sz w:val="24"/>
          <w:szCs w:val="24"/>
          <w:highlight w:val="none"/>
        </w:rPr>
        <w:t>时</w:t>
      </w:r>
      <w:r>
        <w:rPr>
          <w:rFonts w:hint="eastAsia"/>
          <w:b/>
          <w:bCs/>
          <w:color w:val="FF0000"/>
          <w:sz w:val="24"/>
          <w:szCs w:val="24"/>
          <w:highlight w:val="none"/>
          <w:lang w:val="en-US" w:eastAsia="zh-CN"/>
        </w:rPr>
        <w:t>00</w:t>
      </w:r>
      <w:r>
        <w:rPr>
          <w:rFonts w:hint="eastAsia"/>
          <w:b/>
          <w:bCs/>
          <w:color w:val="FF0000"/>
          <w:sz w:val="24"/>
          <w:szCs w:val="24"/>
          <w:highlight w:val="none"/>
        </w:rPr>
        <w:t>分</w:t>
      </w:r>
      <w:r>
        <w:rPr>
          <w:rFonts w:hint="eastAsia"/>
          <w:color w:val="FF0000"/>
          <w:sz w:val="24"/>
          <w:szCs w:val="24"/>
          <w:highlight w:val="none"/>
        </w:rPr>
        <w:t>（北京时间，下同），登录国家电网有限公司电子商务平台(ECP)-电工交易专区（https：//sgccetp.com.cn/portal/#/，以下简称：电子商务平台）获取采购文件，并按《电子招标投标办法》等国家法律法规</w:t>
      </w:r>
      <w:r>
        <w:rPr>
          <w:rFonts w:hint="eastAsia"/>
          <w:color w:val="FF0000"/>
          <w:sz w:val="24"/>
          <w:szCs w:val="24"/>
        </w:rPr>
        <w:t>要求，注册并办理CA证书电子钥匙方可下载采购文件，电子钥匙的办理流程请登录电子商务平台(ECP)-电工交易专区网站“平台注册”——“电脑配置及电子钥匙”下载所有文件仔细阅读。电子钥匙的办理需要一定的时间（一周左右），请潜在应答人高度重视。潜在应答人因自身原因未完成注册而造成应答失败的，责任由应答人自行承担。应答人应妥善保管电子商务平台账号和密码，以及CA证书电子钥匙，因上述账号、数字证书或密码保管不当造成的损失，由应答人自行承担。</w:t>
      </w:r>
    </w:p>
    <w:p>
      <w:pPr>
        <w:adjustRightInd w:val="0"/>
        <w:snapToGrid w:val="0"/>
        <w:spacing w:line="500" w:lineRule="exact"/>
        <w:ind w:firstLine="420"/>
        <w:rPr>
          <w:rFonts w:hint="eastAsia"/>
          <w:color w:val="FF0000"/>
          <w:sz w:val="24"/>
          <w:szCs w:val="24"/>
        </w:rPr>
      </w:pPr>
      <w:r>
        <w:rPr>
          <w:rFonts w:hint="eastAsia"/>
          <w:color w:val="FF0000"/>
          <w:sz w:val="24"/>
          <w:szCs w:val="24"/>
        </w:rPr>
        <w:t>（注：电子商务平台电子钥匙安装控件已于近期升级，请潜在应答人及时下载最新版电子钥匙驱动安装包）</w:t>
      </w:r>
    </w:p>
    <w:p>
      <w:pPr>
        <w:adjustRightInd w:val="0"/>
        <w:snapToGrid w:val="0"/>
        <w:spacing w:line="500" w:lineRule="exact"/>
        <w:ind w:firstLine="420"/>
        <w:rPr>
          <w:rFonts w:hint="eastAsia"/>
          <w:color w:val="FF0000"/>
          <w:sz w:val="24"/>
          <w:szCs w:val="24"/>
        </w:rPr>
      </w:pPr>
      <w:r>
        <w:rPr>
          <w:rFonts w:hint="eastAsia"/>
          <w:color w:val="FF0000"/>
          <w:sz w:val="24"/>
          <w:szCs w:val="24"/>
        </w:rPr>
        <w:t>4.3 CA证书电子钥匙在ECP1.0、ECP2.0两个平台通用，如为ECP1.0平台老用户且具有有效的CA证书电子钥匙，仅需注册并下载安装新版电子钥匙安装包，即可获取采购文件。</w:t>
      </w:r>
    </w:p>
    <w:p>
      <w:pPr>
        <w:adjustRightInd w:val="0"/>
        <w:snapToGrid w:val="0"/>
        <w:spacing w:line="500" w:lineRule="exact"/>
        <w:ind w:firstLine="420"/>
        <w:rPr>
          <w:rFonts w:hint="eastAsia"/>
          <w:color w:val="FF0000"/>
          <w:sz w:val="24"/>
          <w:szCs w:val="24"/>
        </w:rPr>
      </w:pPr>
      <w:r>
        <w:rPr>
          <w:rFonts w:hint="eastAsia"/>
          <w:color w:val="FF0000"/>
          <w:sz w:val="24"/>
          <w:szCs w:val="24"/>
        </w:rPr>
        <w:t>4.4采购文件（电子文件）免费获取。应答人在国家电网有限公司电子商务平台(ECP)-电工交易专区点击下载文件并支付费用，下载采购文件压缩包的同时下载SGCC包。在电子商务平台报名后1个工作日内未收到确认下载权限的，可联系代理机构核实报名情况。</w:t>
      </w:r>
    </w:p>
    <w:p>
      <w:pPr>
        <w:adjustRightInd w:val="0"/>
        <w:snapToGrid w:val="0"/>
        <w:spacing w:line="500" w:lineRule="exact"/>
        <w:ind w:firstLine="420"/>
        <w:rPr>
          <w:rFonts w:hint="eastAsia"/>
          <w:color w:val="FF0000"/>
          <w:sz w:val="24"/>
          <w:szCs w:val="24"/>
        </w:rPr>
      </w:pPr>
      <w:r>
        <w:rPr>
          <w:rFonts w:hint="eastAsia"/>
          <w:color w:val="FF0000"/>
          <w:sz w:val="24"/>
          <w:szCs w:val="24"/>
        </w:rPr>
        <w:t>4.5供应商投标工具下载方式：请各应答人在国家电网有限公司电子商务平台(ECP)-电工交易专区首页“参与投标→投标工具安装”目录下载“供应商投标工具”。投标工具操作问题联系电话：010-63411000。</w:t>
      </w:r>
    </w:p>
    <w:p>
      <w:pPr>
        <w:adjustRightInd w:val="0"/>
        <w:snapToGrid w:val="0"/>
        <w:spacing w:line="500" w:lineRule="exact"/>
        <w:ind w:firstLine="420"/>
        <w:rPr>
          <w:rFonts w:hint="eastAsia"/>
          <w:color w:val="FF0000"/>
          <w:sz w:val="24"/>
          <w:szCs w:val="24"/>
        </w:rPr>
      </w:pPr>
      <w:r>
        <w:rPr>
          <w:rFonts w:hint="eastAsia"/>
          <w:color w:val="FF0000"/>
          <w:sz w:val="24"/>
          <w:szCs w:val="24"/>
        </w:rPr>
        <w:t>4.6操作手册下载：请各应答人在电子商务平台(ECP)-电工交易专区首页“参与投标→操作手册”目录下下载“ECP2.0（电工交易专区）供应商投标操作手册”。</w:t>
      </w:r>
    </w:p>
    <w:p>
      <w:pPr>
        <w:pStyle w:val="3"/>
        <w:spacing w:line="500" w:lineRule="exact"/>
        <w:rPr>
          <w:rFonts w:hint="eastAsia"/>
          <w:b/>
          <w:bCs/>
          <w:color w:val="FF0000"/>
        </w:rPr>
      </w:pPr>
      <w:r>
        <w:rPr>
          <w:rFonts w:hint="eastAsia"/>
          <w:b/>
          <w:bCs/>
          <w:color w:val="FF0000"/>
          <w:szCs w:val="24"/>
        </w:rPr>
        <w:t>4.7本项目为非招标采购方式，供应商系统内的所有操作均需在“非招标采购”模块下进行。</w:t>
      </w:r>
    </w:p>
    <w:p>
      <w:pPr>
        <w:adjustRightInd w:val="0"/>
        <w:snapToGrid w:val="0"/>
        <w:spacing w:line="500" w:lineRule="exact"/>
        <w:rPr>
          <w:rFonts w:hint="eastAsia"/>
          <w:color w:val="FF0000"/>
          <w:szCs w:val="24"/>
        </w:rPr>
      </w:pPr>
      <w:r>
        <w:rPr>
          <w:b/>
          <w:sz w:val="24"/>
          <w:szCs w:val="24"/>
        </w:rPr>
        <w:t>5</w:t>
      </w:r>
      <w:r>
        <w:rPr>
          <w:rFonts w:hint="eastAsia"/>
          <w:b/>
          <w:sz w:val="24"/>
          <w:szCs w:val="24"/>
        </w:rPr>
        <w:t>.</w:t>
      </w:r>
      <w:r>
        <w:rPr>
          <w:rFonts w:hint="eastAsia" w:hAnsi="宋体"/>
          <w:b/>
          <w:sz w:val="24"/>
          <w:szCs w:val="24"/>
        </w:rPr>
        <w:t>应答文件</w:t>
      </w:r>
      <w:r>
        <w:rPr>
          <w:rFonts w:hAnsi="宋体"/>
          <w:b/>
          <w:sz w:val="24"/>
          <w:szCs w:val="24"/>
        </w:rPr>
        <w:t>的递交</w:t>
      </w:r>
    </w:p>
    <w:p>
      <w:pPr>
        <w:pStyle w:val="3"/>
        <w:spacing w:line="500" w:lineRule="exact"/>
        <w:rPr>
          <w:rFonts w:hint="eastAsia"/>
          <w:color w:val="FF0000"/>
          <w:szCs w:val="24"/>
        </w:rPr>
      </w:pPr>
      <w:r>
        <w:rPr>
          <w:rFonts w:hint="eastAsia"/>
          <w:color w:val="FF0000"/>
          <w:szCs w:val="24"/>
        </w:rPr>
        <w:t>5.1本次采购项目接受电子应答文件、纸质应答文件、电子版应答文件。</w:t>
      </w:r>
    </w:p>
    <w:p>
      <w:pPr>
        <w:pStyle w:val="3"/>
        <w:spacing w:line="500" w:lineRule="exact"/>
        <w:rPr>
          <w:rFonts w:hint="eastAsia"/>
          <w:color w:val="FF0000"/>
          <w:szCs w:val="24"/>
          <w:highlight w:val="none"/>
        </w:rPr>
      </w:pPr>
      <w:r>
        <w:rPr>
          <w:rFonts w:hint="eastAsia"/>
          <w:color w:val="FF0000"/>
          <w:szCs w:val="24"/>
        </w:rPr>
        <w:t>（1）电子应答文件：指应答人上传至采购人招投标信息系统（即国家电网有限公司电子商务平台(ECP)-电工交易专区，下同）的应答文件。具体操作步骤详见供应商操作手册。</w:t>
      </w:r>
    </w:p>
    <w:p>
      <w:pPr>
        <w:pStyle w:val="3"/>
        <w:spacing w:line="500" w:lineRule="exact"/>
        <w:rPr>
          <w:rFonts w:hint="eastAsia"/>
          <w:color w:val="FF0000"/>
          <w:szCs w:val="24"/>
          <w:highlight w:val="none"/>
        </w:rPr>
      </w:pPr>
      <w:r>
        <w:rPr>
          <w:rFonts w:hint="eastAsia"/>
          <w:color w:val="FF0000"/>
          <w:szCs w:val="24"/>
          <w:highlight w:val="none"/>
        </w:rPr>
        <w:t>（2）纸质应答文件：请各应答人于</w:t>
      </w:r>
      <w:r>
        <w:rPr>
          <w:rFonts w:hint="eastAsia"/>
          <w:b/>
          <w:bCs/>
          <w:color w:val="FF0000"/>
          <w:szCs w:val="24"/>
          <w:highlight w:val="none"/>
          <w:lang w:eastAsia="zh-CN"/>
        </w:rPr>
        <w:t>2023年</w:t>
      </w:r>
      <w:r>
        <w:rPr>
          <w:rFonts w:hint="eastAsia"/>
          <w:b/>
          <w:bCs/>
          <w:color w:val="FF0000"/>
          <w:szCs w:val="24"/>
          <w:highlight w:val="none"/>
          <w:lang w:val="en-US" w:eastAsia="zh-CN"/>
        </w:rPr>
        <w:t>11</w:t>
      </w:r>
      <w:r>
        <w:rPr>
          <w:rFonts w:hint="eastAsia" w:ascii="Times New Roman" w:hAnsi="Times New Roman" w:eastAsia="宋体" w:cs="Times New Roman"/>
          <w:b/>
          <w:bCs/>
          <w:color w:val="FF0000"/>
          <w:szCs w:val="24"/>
          <w:highlight w:val="none"/>
          <w:lang w:val="en-US" w:eastAsia="zh-CN"/>
        </w:rPr>
        <w:t>月</w:t>
      </w:r>
      <w:r>
        <w:rPr>
          <w:rFonts w:hint="eastAsia"/>
          <w:b/>
          <w:bCs/>
          <w:color w:val="FF0000"/>
          <w:sz w:val="24"/>
          <w:szCs w:val="24"/>
          <w:highlight w:val="none"/>
          <w:lang w:val="en-US" w:eastAsia="zh-CN"/>
        </w:rPr>
        <w:t>27</w:t>
      </w:r>
      <w:r>
        <w:rPr>
          <w:rFonts w:hint="eastAsia" w:ascii="Times New Roman" w:hAnsi="Times New Roman" w:eastAsia="宋体" w:cs="Times New Roman"/>
          <w:b/>
          <w:bCs/>
          <w:color w:val="FF0000"/>
          <w:szCs w:val="24"/>
          <w:highlight w:val="none"/>
          <w:lang w:eastAsia="zh-CN"/>
        </w:rPr>
        <w:t>日17</w:t>
      </w:r>
      <w:r>
        <w:rPr>
          <w:rFonts w:hint="eastAsia"/>
          <w:b/>
          <w:bCs/>
          <w:color w:val="FF0000"/>
          <w:szCs w:val="24"/>
          <w:highlight w:val="none"/>
        </w:rPr>
        <w:t>时00分</w:t>
      </w:r>
      <w:r>
        <w:rPr>
          <w:rFonts w:hint="eastAsia"/>
          <w:color w:val="FF0000"/>
          <w:szCs w:val="24"/>
          <w:highlight w:val="none"/>
        </w:rPr>
        <w:t>前将纸质版应答文件邮寄或送达至聊城市湖南路19号西安交大科技园7号楼山东嘉信招标公司五楼会议室。（收件人：</w:t>
      </w:r>
      <w:r>
        <w:rPr>
          <w:rFonts w:hint="eastAsia"/>
          <w:color w:val="FF0000"/>
          <w:szCs w:val="24"/>
          <w:highlight w:val="none"/>
          <w:lang w:eastAsia="zh-CN"/>
        </w:rPr>
        <w:t>崔工</w:t>
      </w:r>
      <w:r>
        <w:rPr>
          <w:rFonts w:hint="eastAsia"/>
          <w:color w:val="FF0000"/>
          <w:szCs w:val="24"/>
          <w:highlight w:val="none"/>
        </w:rPr>
        <w:t>，联系方式：18863583798）</w:t>
      </w:r>
    </w:p>
    <w:p>
      <w:pPr>
        <w:pStyle w:val="3"/>
        <w:spacing w:line="500" w:lineRule="exact"/>
        <w:rPr>
          <w:rFonts w:hint="eastAsia"/>
          <w:color w:val="FF0000"/>
          <w:szCs w:val="24"/>
        </w:rPr>
      </w:pPr>
      <w:r>
        <w:rPr>
          <w:rFonts w:hint="eastAsia"/>
          <w:color w:val="FF0000"/>
          <w:szCs w:val="24"/>
        </w:rPr>
        <w:t>（3）电子版应答文件：为纸质版应答文件的电子版原稿（存储介质为U盘），同纸质版应答文件一同递交。</w:t>
      </w:r>
    </w:p>
    <w:p>
      <w:pPr>
        <w:pStyle w:val="3"/>
        <w:spacing w:line="500" w:lineRule="exact"/>
        <w:rPr>
          <w:rFonts w:hint="eastAsia"/>
          <w:color w:val="FF0000"/>
          <w:szCs w:val="24"/>
        </w:rPr>
      </w:pPr>
      <w:r>
        <w:rPr>
          <w:rFonts w:hint="eastAsia"/>
          <w:color w:val="FF0000"/>
          <w:szCs w:val="24"/>
        </w:rPr>
        <w:t>5.2为了避免各应答人的应答文件因网络拥堵等原因造成递交失败，请在上述规定时间内尽量提前、错时提交您的应答文件。应答截止时间之后提交或者未成功提交或者未按照要求提交的电子应答文件、电子版应答文件、纸质版应答文件，采购人不予受理。评审以递交截止时间前提交的应答文件为准，应答人不得在递交截止时间后主动提交任何补充文件。</w:t>
      </w:r>
    </w:p>
    <w:p>
      <w:pPr>
        <w:pStyle w:val="3"/>
        <w:spacing w:line="500" w:lineRule="exact"/>
        <w:rPr>
          <w:rFonts w:hint="eastAsia"/>
          <w:b/>
          <w:bCs/>
          <w:color w:val="FF0000"/>
          <w:szCs w:val="24"/>
        </w:rPr>
      </w:pPr>
      <w:r>
        <w:rPr>
          <w:rFonts w:hint="eastAsia"/>
          <w:b/>
          <w:bCs/>
          <w:color w:val="FF0000"/>
          <w:szCs w:val="24"/>
        </w:rPr>
        <w:t>注：1.应答人未在国家电网有限公司电子商务平台(ECP)-电工交易专区上传电子版报价文件视为未按时递交应答文件，线下递交纸质版应答文件无效。</w:t>
      </w:r>
    </w:p>
    <w:p>
      <w:pPr>
        <w:adjustRightInd w:val="0"/>
        <w:snapToGrid w:val="0"/>
        <w:spacing w:line="500" w:lineRule="exact"/>
        <w:ind w:firstLine="435"/>
        <w:rPr>
          <w:sz w:val="24"/>
          <w:szCs w:val="24"/>
        </w:rPr>
      </w:pPr>
      <w:r>
        <w:rPr>
          <w:rFonts w:hint="eastAsia"/>
          <w:b/>
          <w:bCs/>
          <w:color w:val="FF0000"/>
          <w:sz w:val="24"/>
          <w:szCs w:val="24"/>
        </w:rPr>
        <w:t>2.若应答人递交的纸质版应答文件与在国家电网有限公司电子商务平台(ECP)-电工交易专区上传的电子应答文件不一致，则报价文件以电子商务平台(ECP)-电工交易专区上传的电子版为准，应答商务、技术文件以线下递交的纸质版为准。请各应答人务必重视。</w:t>
      </w:r>
    </w:p>
    <w:p>
      <w:pPr>
        <w:adjustRightInd w:val="0"/>
        <w:snapToGrid w:val="0"/>
        <w:spacing w:line="500" w:lineRule="exact"/>
        <w:rPr>
          <w:rFonts w:hint="eastAsia"/>
          <w:b/>
          <w:sz w:val="24"/>
          <w:szCs w:val="24"/>
          <w:highlight w:val="none"/>
        </w:rPr>
      </w:pPr>
      <w:bookmarkStart w:id="3" w:name="_Toc490644322"/>
      <w:r>
        <w:rPr>
          <w:b/>
          <w:sz w:val="24"/>
          <w:szCs w:val="24"/>
        </w:rPr>
        <w:t>6</w:t>
      </w:r>
      <w:r>
        <w:rPr>
          <w:rFonts w:hint="eastAsia"/>
          <w:b/>
          <w:sz w:val="24"/>
          <w:szCs w:val="24"/>
        </w:rPr>
        <w:t>.</w:t>
      </w:r>
      <w:r>
        <w:rPr>
          <w:rFonts w:hint="eastAsia" w:hAnsi="宋体"/>
          <w:b/>
          <w:sz w:val="24"/>
          <w:szCs w:val="24"/>
        </w:rPr>
        <w:t>谈判</w:t>
      </w:r>
      <w:r>
        <w:rPr>
          <w:rFonts w:hAnsi="宋体"/>
          <w:b/>
          <w:sz w:val="24"/>
          <w:szCs w:val="24"/>
        </w:rPr>
        <w:t>时间和地</w:t>
      </w:r>
      <w:r>
        <w:rPr>
          <w:rFonts w:hAnsi="宋体"/>
          <w:b/>
          <w:sz w:val="24"/>
          <w:szCs w:val="24"/>
          <w:highlight w:val="none"/>
        </w:rPr>
        <w:t>点</w:t>
      </w:r>
      <w:bookmarkEnd w:id="3"/>
      <w:r>
        <w:rPr>
          <w:rFonts w:hint="eastAsia" w:hAnsi="宋体"/>
          <w:b/>
          <w:sz w:val="24"/>
          <w:szCs w:val="24"/>
          <w:highlight w:val="none"/>
        </w:rPr>
        <w:tab/>
      </w:r>
    </w:p>
    <w:p>
      <w:pPr>
        <w:adjustRightInd w:val="0"/>
        <w:snapToGrid w:val="0"/>
        <w:spacing w:line="500" w:lineRule="exact"/>
        <w:ind w:firstLine="480" w:firstLineChars="200"/>
        <w:rPr>
          <w:rFonts w:hint="eastAsia" w:eastAsia="宋体"/>
          <w:b/>
          <w:bCs/>
          <w:color w:val="FF0000"/>
          <w:sz w:val="24"/>
          <w:szCs w:val="24"/>
          <w:highlight w:val="none"/>
          <w:lang w:eastAsia="zh-CN"/>
        </w:rPr>
      </w:pPr>
      <w:bookmarkStart w:id="4" w:name="_Toc490644323"/>
      <w:r>
        <w:rPr>
          <w:rFonts w:hint="eastAsia" w:hAnsi="宋体"/>
          <w:sz w:val="24"/>
          <w:szCs w:val="24"/>
          <w:highlight w:val="none"/>
        </w:rPr>
        <w:t>6.1谈判时间</w:t>
      </w:r>
      <w:bookmarkEnd w:id="4"/>
      <w:r>
        <w:rPr>
          <w:rFonts w:hint="eastAsia" w:hAnsi="宋体"/>
          <w:sz w:val="24"/>
          <w:szCs w:val="24"/>
          <w:highlight w:val="none"/>
        </w:rPr>
        <w:t>：</w:t>
      </w:r>
      <w:r>
        <w:rPr>
          <w:rFonts w:hint="eastAsia"/>
          <w:b/>
          <w:bCs/>
          <w:color w:val="FF0000"/>
          <w:sz w:val="24"/>
          <w:szCs w:val="24"/>
          <w:highlight w:val="none"/>
          <w:lang w:eastAsia="zh-CN"/>
        </w:rPr>
        <w:t>2023年</w:t>
      </w:r>
      <w:r>
        <w:rPr>
          <w:rFonts w:hint="eastAsia"/>
          <w:b/>
          <w:bCs/>
          <w:color w:val="FF0000"/>
          <w:sz w:val="24"/>
          <w:szCs w:val="24"/>
          <w:highlight w:val="none"/>
          <w:lang w:val="en-US" w:eastAsia="zh-CN"/>
        </w:rPr>
        <w:t>11月28日</w:t>
      </w:r>
      <w:r>
        <w:rPr>
          <w:rFonts w:hint="eastAsia" w:ascii="Times New Roman" w:hAnsi="Times New Roman" w:eastAsia="宋体" w:cs="Times New Roman"/>
          <w:b/>
          <w:bCs/>
          <w:color w:val="FF0000"/>
          <w:sz w:val="24"/>
          <w:szCs w:val="24"/>
          <w:highlight w:val="none"/>
          <w:lang w:val="en-US" w:eastAsia="zh-CN"/>
        </w:rPr>
        <w:t>上午09</w:t>
      </w:r>
      <w:r>
        <w:rPr>
          <w:rFonts w:hint="eastAsia"/>
          <w:b/>
          <w:bCs/>
          <w:color w:val="FF0000"/>
          <w:sz w:val="24"/>
          <w:szCs w:val="24"/>
          <w:highlight w:val="none"/>
        </w:rPr>
        <w:t>时</w:t>
      </w:r>
      <w:r>
        <w:rPr>
          <w:rFonts w:hint="eastAsia"/>
          <w:b/>
          <w:bCs/>
          <w:color w:val="FF0000"/>
          <w:sz w:val="24"/>
          <w:szCs w:val="24"/>
          <w:highlight w:val="none"/>
          <w:lang w:val="en-US" w:eastAsia="zh-CN"/>
        </w:rPr>
        <w:t>00</w:t>
      </w:r>
      <w:r>
        <w:rPr>
          <w:rFonts w:hint="eastAsia"/>
          <w:b/>
          <w:bCs/>
          <w:color w:val="FF0000"/>
          <w:sz w:val="24"/>
          <w:szCs w:val="24"/>
          <w:highlight w:val="none"/>
        </w:rPr>
        <w:t>分</w:t>
      </w:r>
    </w:p>
    <w:p>
      <w:pPr>
        <w:adjustRightInd w:val="0"/>
        <w:snapToGrid w:val="0"/>
        <w:spacing w:line="500" w:lineRule="exact"/>
        <w:ind w:firstLine="480" w:firstLineChars="200"/>
        <w:rPr>
          <w:rFonts w:hint="eastAsia" w:eastAsia="宋体"/>
          <w:sz w:val="24"/>
          <w:szCs w:val="24"/>
          <w:highlight w:val="none"/>
          <w:lang w:eastAsia="zh-CN"/>
        </w:rPr>
      </w:pPr>
      <w:bookmarkStart w:id="5" w:name="_Toc490644324"/>
      <w:r>
        <w:rPr>
          <w:rFonts w:hint="eastAsia" w:hAnsi="宋体"/>
          <w:sz w:val="24"/>
          <w:szCs w:val="24"/>
          <w:highlight w:val="none"/>
        </w:rPr>
        <w:t>6.2谈判</w:t>
      </w:r>
      <w:r>
        <w:rPr>
          <w:rFonts w:hAnsi="宋体"/>
          <w:sz w:val="24"/>
          <w:szCs w:val="24"/>
          <w:highlight w:val="none"/>
        </w:rPr>
        <w:t>地点</w:t>
      </w:r>
      <w:bookmarkEnd w:id="5"/>
      <w:r>
        <w:rPr>
          <w:rFonts w:hint="eastAsia" w:hAnsi="宋体"/>
          <w:sz w:val="24"/>
          <w:szCs w:val="24"/>
          <w:highlight w:val="none"/>
        </w:rPr>
        <w:t>：</w:t>
      </w:r>
      <w:r>
        <w:rPr>
          <w:rFonts w:hint="eastAsia" w:ascii="Times New Roman" w:hAnsi="Times New Roman" w:eastAsia="宋体" w:cs="Times New Roman"/>
          <w:b/>
          <w:bCs/>
          <w:color w:val="FF0000"/>
          <w:sz w:val="24"/>
          <w:szCs w:val="24"/>
          <w:highlight w:val="none"/>
          <w:lang w:val="en-US" w:eastAsia="zh-CN"/>
        </w:rPr>
        <w:t>聊城市湖南路19号西安交大科技园7号楼山东嘉信招标有限责任公司</w:t>
      </w:r>
      <w:r>
        <w:rPr>
          <w:rFonts w:hint="eastAsia" w:hAnsi="宋体"/>
          <w:b/>
          <w:bCs/>
          <w:color w:val="FF0000"/>
          <w:sz w:val="24"/>
          <w:szCs w:val="24"/>
          <w:highlight w:val="none"/>
          <w:lang w:val="en-US" w:eastAsia="zh-CN"/>
        </w:rPr>
        <w:t>。</w:t>
      </w:r>
    </w:p>
    <w:p>
      <w:pPr>
        <w:adjustRightInd w:val="0"/>
        <w:snapToGrid w:val="0"/>
        <w:spacing w:line="500" w:lineRule="exact"/>
        <w:rPr>
          <w:rFonts w:hint="eastAsia"/>
          <w:b/>
          <w:sz w:val="24"/>
          <w:szCs w:val="24"/>
          <w:highlight w:val="none"/>
        </w:rPr>
      </w:pPr>
      <w:bookmarkStart w:id="6" w:name="_Toc490644325"/>
      <w:r>
        <w:rPr>
          <w:b/>
          <w:sz w:val="24"/>
          <w:szCs w:val="24"/>
          <w:highlight w:val="none"/>
        </w:rPr>
        <w:t>7</w:t>
      </w:r>
      <w:bookmarkEnd w:id="6"/>
      <w:r>
        <w:rPr>
          <w:rFonts w:hint="eastAsia"/>
          <w:b/>
          <w:sz w:val="24"/>
          <w:szCs w:val="24"/>
          <w:highlight w:val="none"/>
        </w:rPr>
        <w:t>.</w:t>
      </w:r>
      <w:r>
        <w:rPr>
          <w:rFonts w:hint="eastAsia" w:hAnsi="宋体"/>
          <w:b/>
          <w:sz w:val="24"/>
          <w:szCs w:val="24"/>
          <w:highlight w:val="none"/>
        </w:rPr>
        <w:t>应答保证金</w:t>
      </w:r>
    </w:p>
    <w:p>
      <w:pPr>
        <w:adjustRightInd w:val="0"/>
        <w:snapToGrid w:val="0"/>
        <w:spacing w:line="500" w:lineRule="exact"/>
        <w:ind w:firstLine="420"/>
        <w:rPr>
          <w:rFonts w:hint="eastAsia"/>
          <w:b/>
          <w:sz w:val="24"/>
          <w:szCs w:val="24"/>
          <w:highlight w:val="none"/>
        </w:rPr>
      </w:pPr>
      <w:r>
        <w:rPr>
          <w:rFonts w:hint="eastAsia"/>
          <w:b/>
          <w:sz w:val="24"/>
          <w:szCs w:val="24"/>
          <w:highlight w:val="none"/>
        </w:rPr>
        <w:t>应答人</w:t>
      </w:r>
      <w:r>
        <w:rPr>
          <w:b/>
          <w:sz w:val="24"/>
          <w:szCs w:val="24"/>
          <w:highlight w:val="none"/>
        </w:rPr>
        <w:t>应向代理机构提交</w:t>
      </w:r>
      <w:r>
        <w:rPr>
          <w:rFonts w:hint="eastAsia"/>
          <w:b/>
          <w:sz w:val="24"/>
          <w:szCs w:val="24"/>
          <w:highlight w:val="none"/>
        </w:rPr>
        <w:t>应答保证金</w:t>
      </w:r>
      <w:r>
        <w:rPr>
          <w:b/>
          <w:sz w:val="24"/>
          <w:szCs w:val="24"/>
          <w:highlight w:val="none"/>
        </w:rPr>
        <w:t>：</w:t>
      </w:r>
      <w:r>
        <w:rPr>
          <w:rFonts w:hint="eastAsia"/>
          <w:b/>
          <w:sz w:val="24"/>
          <w:szCs w:val="24"/>
          <w:highlight w:val="none"/>
          <w:lang w:val="en-US" w:eastAsia="zh-CN"/>
        </w:rPr>
        <w:t>4000元整</w:t>
      </w:r>
      <w:r>
        <w:rPr>
          <w:rFonts w:hint="eastAsia"/>
          <w:b/>
          <w:sz w:val="24"/>
          <w:szCs w:val="24"/>
          <w:highlight w:val="none"/>
        </w:rPr>
        <w:t>。</w:t>
      </w:r>
    </w:p>
    <w:p>
      <w:pPr>
        <w:adjustRightInd w:val="0"/>
        <w:snapToGrid w:val="0"/>
        <w:spacing w:line="500" w:lineRule="exact"/>
        <w:ind w:firstLine="420"/>
        <w:outlineLvl w:val="9"/>
        <w:rPr>
          <w:rFonts w:hint="eastAsia"/>
          <w:b/>
          <w:sz w:val="24"/>
          <w:szCs w:val="24"/>
          <w:highlight w:val="none"/>
        </w:rPr>
      </w:pPr>
      <w:r>
        <w:rPr>
          <w:rFonts w:hint="eastAsia"/>
          <w:b/>
          <w:sz w:val="24"/>
          <w:szCs w:val="24"/>
          <w:highlight w:val="none"/>
        </w:rPr>
        <w:t>应答保证金的形式：电汇转账或银行保函或保险保函任意一种形式；</w:t>
      </w:r>
    </w:p>
    <w:p>
      <w:pPr>
        <w:adjustRightInd w:val="0"/>
        <w:snapToGrid w:val="0"/>
        <w:spacing w:line="500" w:lineRule="exact"/>
        <w:ind w:firstLine="420"/>
        <w:outlineLvl w:val="9"/>
        <w:rPr>
          <w:sz w:val="24"/>
          <w:szCs w:val="24"/>
          <w:highlight w:val="none"/>
        </w:rPr>
      </w:pPr>
      <w:r>
        <w:rPr>
          <w:rFonts w:hint="eastAsia"/>
          <w:sz w:val="24"/>
          <w:szCs w:val="24"/>
          <w:highlight w:val="none"/>
        </w:rPr>
        <w:t>注：采用电汇转账方式缴纳应答保证金的，</w:t>
      </w:r>
      <w:r>
        <w:rPr>
          <w:sz w:val="24"/>
          <w:szCs w:val="24"/>
          <w:highlight w:val="none"/>
        </w:rPr>
        <w:t>请于</w:t>
      </w:r>
      <w:r>
        <w:rPr>
          <w:rFonts w:hint="eastAsia"/>
          <w:b/>
          <w:bCs/>
          <w:color w:val="FF0000"/>
          <w:sz w:val="24"/>
          <w:szCs w:val="24"/>
          <w:highlight w:val="none"/>
        </w:rPr>
        <w:t>202</w:t>
      </w:r>
      <w:r>
        <w:rPr>
          <w:rFonts w:hint="eastAsia"/>
          <w:b/>
          <w:bCs/>
          <w:color w:val="FF0000"/>
          <w:sz w:val="24"/>
          <w:szCs w:val="24"/>
          <w:highlight w:val="none"/>
          <w:lang w:val="en-US" w:eastAsia="zh-CN"/>
        </w:rPr>
        <w:t>3</w:t>
      </w:r>
      <w:r>
        <w:rPr>
          <w:rFonts w:hint="eastAsia"/>
          <w:b/>
          <w:bCs/>
          <w:color w:val="FF0000"/>
          <w:sz w:val="24"/>
          <w:szCs w:val="24"/>
          <w:highlight w:val="none"/>
        </w:rPr>
        <w:t>年</w:t>
      </w:r>
      <w:r>
        <w:rPr>
          <w:rFonts w:hint="eastAsia"/>
          <w:b/>
          <w:bCs/>
          <w:color w:val="FF0000"/>
          <w:sz w:val="24"/>
          <w:szCs w:val="24"/>
          <w:highlight w:val="none"/>
          <w:lang w:val="en-US" w:eastAsia="zh-CN"/>
        </w:rPr>
        <w:t>11月27日</w:t>
      </w:r>
      <w:r>
        <w:rPr>
          <w:rFonts w:hint="eastAsia" w:ascii="Times New Roman" w:hAnsi="Times New Roman" w:eastAsia="宋体" w:cs="Times New Roman"/>
          <w:b/>
          <w:bCs/>
          <w:color w:val="FF0000"/>
          <w:sz w:val="24"/>
          <w:szCs w:val="24"/>
          <w:highlight w:val="none"/>
        </w:rPr>
        <w:t>17时00</w:t>
      </w:r>
      <w:r>
        <w:rPr>
          <w:rFonts w:hint="eastAsia"/>
          <w:b/>
          <w:bCs/>
          <w:color w:val="FF0000"/>
          <w:sz w:val="24"/>
          <w:szCs w:val="24"/>
          <w:highlight w:val="none"/>
        </w:rPr>
        <w:t>分</w:t>
      </w:r>
      <w:r>
        <w:rPr>
          <w:sz w:val="24"/>
          <w:szCs w:val="24"/>
          <w:highlight w:val="none"/>
        </w:rPr>
        <w:t>前交至代理公司账户，</w:t>
      </w:r>
      <w:r>
        <w:rPr>
          <w:rFonts w:hint="eastAsia"/>
          <w:sz w:val="24"/>
          <w:szCs w:val="24"/>
          <w:highlight w:val="none"/>
        </w:rPr>
        <w:t>应答保证金</w:t>
      </w:r>
      <w:r>
        <w:rPr>
          <w:sz w:val="24"/>
          <w:szCs w:val="24"/>
          <w:highlight w:val="none"/>
        </w:rPr>
        <w:t>从</w:t>
      </w:r>
      <w:r>
        <w:rPr>
          <w:rFonts w:hint="eastAsia"/>
          <w:sz w:val="24"/>
          <w:szCs w:val="24"/>
          <w:highlight w:val="none"/>
        </w:rPr>
        <w:t>应答人</w:t>
      </w:r>
      <w:r>
        <w:rPr>
          <w:sz w:val="24"/>
          <w:szCs w:val="24"/>
          <w:highlight w:val="none"/>
        </w:rPr>
        <w:t>的基本账户电汇（如为同行可采用转账方式）至</w:t>
      </w:r>
      <w:r>
        <w:rPr>
          <w:rFonts w:hint="eastAsia"/>
          <w:b w:val="0"/>
          <w:bCs/>
          <w:sz w:val="24"/>
          <w:szCs w:val="24"/>
          <w:highlight w:val="none"/>
          <w:u w:val="single"/>
        </w:rPr>
        <w:t>聊城嘉信项目管理有限责任公司</w:t>
      </w:r>
      <w:r>
        <w:rPr>
          <w:sz w:val="24"/>
          <w:szCs w:val="24"/>
          <w:highlight w:val="none"/>
        </w:rPr>
        <w:t>账户（以实际到账时间为准），并在备注栏注明</w:t>
      </w:r>
      <w:r>
        <w:rPr>
          <w:rFonts w:hint="eastAsia"/>
          <w:sz w:val="24"/>
          <w:szCs w:val="24"/>
          <w:highlight w:val="none"/>
        </w:rPr>
        <w:t>：</w:t>
      </w:r>
      <w:r>
        <w:rPr>
          <w:b/>
          <w:bCs/>
          <w:color w:val="FF0000"/>
          <w:sz w:val="24"/>
          <w:szCs w:val="24"/>
          <w:highlight w:val="none"/>
        </w:rPr>
        <w:t>【</w:t>
      </w:r>
      <w:r>
        <w:rPr>
          <w:rFonts w:hint="eastAsia"/>
          <w:b/>
          <w:bCs/>
          <w:color w:val="FF0000"/>
          <w:sz w:val="24"/>
          <w:szCs w:val="24"/>
          <w:highlight w:val="none"/>
          <w:lang w:val="en-US" w:eastAsia="zh-CN"/>
        </w:rPr>
        <w:t>华昌2023年实训装置</w:t>
      </w:r>
      <w:r>
        <w:rPr>
          <w:b/>
          <w:bCs/>
          <w:color w:val="FF0000"/>
          <w:sz w:val="24"/>
          <w:szCs w:val="24"/>
          <w:highlight w:val="none"/>
        </w:rPr>
        <w:t>】</w:t>
      </w:r>
      <w:r>
        <w:rPr>
          <w:sz w:val="24"/>
          <w:szCs w:val="24"/>
          <w:highlight w:val="none"/>
        </w:rPr>
        <w:t>。</w:t>
      </w:r>
    </w:p>
    <w:p>
      <w:pPr>
        <w:adjustRightInd w:val="0"/>
        <w:snapToGrid w:val="0"/>
        <w:spacing w:line="500" w:lineRule="exact"/>
        <w:ind w:firstLine="420"/>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采用保险保函的，保险保费应从应答人基本账户转出，提交的保险保单上应体现保费是否由应答人基本账户支付的相关信息；对于保单上未标注保费是否从基本账户支付或标注保费未从基本账户支付的，其应答将被否决。</w:t>
      </w:r>
    </w:p>
    <w:p>
      <w:pPr>
        <w:adjustRightInd w:val="0"/>
        <w:snapToGrid w:val="0"/>
        <w:spacing w:line="500" w:lineRule="exact"/>
        <w:ind w:firstLine="420"/>
        <w:rPr>
          <w:rFonts w:hint="eastAsia"/>
          <w:b/>
          <w:sz w:val="24"/>
          <w:szCs w:val="24"/>
        </w:rPr>
      </w:pPr>
      <w:r>
        <w:rPr>
          <w:rFonts w:hint="eastAsia"/>
          <w:b/>
          <w:sz w:val="24"/>
          <w:szCs w:val="24"/>
        </w:rPr>
        <w:t>开户名称：聊城嘉信项目管理有限责任公司</w:t>
      </w:r>
    </w:p>
    <w:p>
      <w:pPr>
        <w:adjustRightInd w:val="0"/>
        <w:snapToGrid w:val="0"/>
        <w:spacing w:line="500" w:lineRule="exact"/>
        <w:ind w:firstLine="420"/>
        <w:rPr>
          <w:rFonts w:hint="eastAsia"/>
          <w:b/>
          <w:sz w:val="24"/>
          <w:szCs w:val="24"/>
        </w:rPr>
      </w:pPr>
      <w:r>
        <w:rPr>
          <w:rFonts w:hint="eastAsia"/>
          <w:b/>
          <w:sz w:val="24"/>
          <w:szCs w:val="24"/>
        </w:rPr>
        <w:t>开户银行：兴业银行聊城分行</w:t>
      </w:r>
    </w:p>
    <w:p>
      <w:pPr>
        <w:adjustRightInd w:val="0"/>
        <w:snapToGrid w:val="0"/>
        <w:spacing w:line="500" w:lineRule="exact"/>
        <w:ind w:firstLine="420"/>
        <w:rPr>
          <w:sz w:val="24"/>
          <w:szCs w:val="24"/>
        </w:rPr>
      </w:pPr>
      <w:r>
        <w:rPr>
          <w:rFonts w:hint="eastAsia"/>
          <w:b/>
          <w:sz w:val="24"/>
          <w:szCs w:val="24"/>
        </w:rPr>
        <w:t>帐    号：377610100100391779</w:t>
      </w:r>
      <w:r>
        <w:rPr>
          <w:rFonts w:hint="eastAsia"/>
          <w:sz w:val="24"/>
          <w:szCs w:val="24"/>
        </w:rPr>
        <w:t xml:space="preserve"> </w:t>
      </w:r>
    </w:p>
    <w:p>
      <w:pPr>
        <w:adjustRightInd w:val="0"/>
        <w:snapToGrid w:val="0"/>
        <w:spacing w:line="500" w:lineRule="exact"/>
        <w:ind w:firstLine="420"/>
        <w:rPr>
          <w:sz w:val="24"/>
          <w:szCs w:val="24"/>
        </w:rPr>
      </w:pPr>
      <w:r>
        <w:rPr>
          <w:sz w:val="24"/>
          <w:szCs w:val="24"/>
        </w:rPr>
        <w:t>备注：</w:t>
      </w:r>
      <w:r>
        <w:rPr>
          <w:rFonts w:hint="eastAsia" w:ascii="宋体" w:hAnsi="宋体" w:cs="宋体"/>
          <w:sz w:val="24"/>
          <w:szCs w:val="24"/>
        </w:rPr>
        <w:t>①</w:t>
      </w:r>
      <w:r>
        <w:rPr>
          <w:sz w:val="24"/>
          <w:szCs w:val="24"/>
        </w:rPr>
        <w:t>银行法定节假日不办理公对公业务；</w:t>
      </w:r>
      <w:r>
        <w:rPr>
          <w:rFonts w:hint="eastAsia"/>
          <w:sz w:val="24"/>
          <w:szCs w:val="24"/>
        </w:rPr>
        <w:t>应答保证金</w:t>
      </w:r>
      <w:r>
        <w:rPr>
          <w:sz w:val="24"/>
          <w:szCs w:val="24"/>
        </w:rPr>
        <w:t>不接受现金缴款单。</w:t>
      </w:r>
    </w:p>
    <w:p>
      <w:pPr>
        <w:adjustRightInd w:val="0"/>
        <w:snapToGrid w:val="0"/>
        <w:spacing w:line="500" w:lineRule="exact"/>
        <w:ind w:firstLine="420"/>
        <w:rPr>
          <w:sz w:val="24"/>
          <w:szCs w:val="24"/>
        </w:rPr>
      </w:pPr>
      <w:r>
        <w:rPr>
          <w:rFonts w:hint="eastAsia" w:ascii="宋体" w:hAnsi="宋体" w:cs="宋体"/>
          <w:sz w:val="24"/>
          <w:szCs w:val="24"/>
        </w:rPr>
        <w:t>②</w:t>
      </w:r>
      <w:r>
        <w:rPr>
          <w:sz w:val="24"/>
          <w:szCs w:val="24"/>
        </w:rPr>
        <w:t>未按规定【金额不足、时间、方式】提交</w:t>
      </w:r>
      <w:r>
        <w:rPr>
          <w:rFonts w:hint="eastAsia"/>
          <w:sz w:val="24"/>
          <w:szCs w:val="24"/>
        </w:rPr>
        <w:t>应答保证金</w:t>
      </w:r>
      <w:r>
        <w:rPr>
          <w:sz w:val="24"/>
          <w:szCs w:val="24"/>
        </w:rPr>
        <w:t>及证明材料的，将被视为</w:t>
      </w:r>
      <w:r>
        <w:rPr>
          <w:rFonts w:hint="eastAsia"/>
          <w:sz w:val="24"/>
          <w:szCs w:val="24"/>
          <w:lang w:eastAsia="zh-CN"/>
        </w:rPr>
        <w:t>无效应答</w:t>
      </w:r>
      <w:r>
        <w:rPr>
          <w:sz w:val="24"/>
          <w:szCs w:val="24"/>
        </w:rPr>
        <w:t>。</w:t>
      </w:r>
    </w:p>
    <w:p>
      <w:pPr>
        <w:adjustRightInd w:val="0"/>
        <w:snapToGrid w:val="0"/>
        <w:spacing w:line="500" w:lineRule="exact"/>
        <w:ind w:firstLine="480" w:firstLineChars="200"/>
        <w:rPr>
          <w:sz w:val="24"/>
          <w:szCs w:val="24"/>
        </w:rPr>
      </w:pPr>
      <w:r>
        <w:rPr>
          <w:sz w:val="24"/>
          <w:szCs w:val="24"/>
          <w:highlight w:val="none"/>
        </w:rPr>
        <w:t>保证金退还</w:t>
      </w:r>
      <w:r>
        <w:rPr>
          <w:rFonts w:hint="eastAsia"/>
          <w:sz w:val="24"/>
          <w:szCs w:val="24"/>
          <w:highlight w:val="none"/>
        </w:rPr>
        <w:t>：</w:t>
      </w:r>
      <w:r>
        <w:rPr>
          <w:rFonts w:hint="eastAsia" w:ascii="宋体" w:hAnsi="宋体" w:eastAsia="宋体" w:cs="宋体"/>
          <w:color w:val="auto"/>
          <w:sz w:val="24"/>
          <w:szCs w:val="24"/>
          <w:highlight w:val="none"/>
          <w:lang w:eastAsia="zh-CN"/>
        </w:rPr>
        <w:t>采购代理机构在</w:t>
      </w:r>
      <w:r>
        <w:rPr>
          <w:rFonts w:hint="eastAsia" w:ascii="宋体" w:hAnsi="宋体" w:eastAsia="宋体" w:cs="宋体"/>
          <w:color w:val="auto"/>
          <w:sz w:val="24"/>
          <w:szCs w:val="24"/>
          <w:highlight w:val="none"/>
          <w:lang w:val="en-US" w:eastAsia="zh-CN"/>
        </w:rPr>
        <w:t>成交通知书发出后</w:t>
      </w:r>
      <w:r>
        <w:rPr>
          <w:rFonts w:hint="eastAsia" w:ascii="宋体" w:hAnsi="宋体" w:eastAsia="宋体" w:cs="宋体"/>
          <w:color w:val="auto"/>
          <w:sz w:val="24"/>
          <w:szCs w:val="24"/>
          <w:highlight w:val="none"/>
          <w:lang w:eastAsia="zh-CN"/>
        </w:rPr>
        <w:t>5日内向</w:t>
      </w:r>
      <w:r>
        <w:rPr>
          <w:rFonts w:hint="eastAsia" w:ascii="宋体" w:hAnsi="宋体" w:eastAsia="宋体" w:cs="宋体"/>
          <w:color w:val="auto"/>
          <w:sz w:val="24"/>
          <w:szCs w:val="24"/>
          <w:highlight w:val="none"/>
          <w:lang w:val="en-US" w:eastAsia="zh-CN"/>
        </w:rPr>
        <w:t>应答</w:t>
      </w:r>
      <w:r>
        <w:rPr>
          <w:rFonts w:hint="eastAsia" w:ascii="宋体" w:hAnsi="宋体" w:eastAsia="宋体" w:cs="宋体"/>
          <w:color w:val="auto"/>
          <w:sz w:val="24"/>
          <w:szCs w:val="24"/>
          <w:highlight w:val="none"/>
          <w:lang w:eastAsia="zh-CN"/>
        </w:rPr>
        <w:t>人退还</w:t>
      </w:r>
      <w:r>
        <w:rPr>
          <w:rFonts w:hint="eastAsia" w:ascii="宋体" w:hAnsi="宋体" w:eastAsia="宋体" w:cs="宋体"/>
          <w:color w:val="auto"/>
          <w:sz w:val="24"/>
          <w:szCs w:val="24"/>
          <w:highlight w:val="none"/>
          <w:lang w:val="en-US" w:eastAsia="zh-CN"/>
        </w:rPr>
        <w:t>应答</w:t>
      </w:r>
      <w:r>
        <w:rPr>
          <w:rFonts w:hint="eastAsia" w:ascii="宋体" w:hAnsi="宋体" w:eastAsia="宋体" w:cs="宋体"/>
          <w:color w:val="auto"/>
          <w:sz w:val="24"/>
          <w:szCs w:val="24"/>
          <w:highlight w:val="none"/>
          <w:lang w:eastAsia="zh-CN"/>
        </w:rPr>
        <w:t>保证金及银行同期存款活期利息（计息期间为</w:t>
      </w:r>
      <w:r>
        <w:rPr>
          <w:rFonts w:hint="eastAsia" w:ascii="宋体" w:hAnsi="宋体" w:eastAsia="宋体" w:cs="宋体"/>
          <w:color w:val="auto"/>
          <w:sz w:val="24"/>
          <w:szCs w:val="24"/>
          <w:highlight w:val="none"/>
          <w:lang w:val="en-US" w:eastAsia="zh-CN"/>
        </w:rPr>
        <w:t>应答</w:t>
      </w:r>
      <w:r>
        <w:rPr>
          <w:rFonts w:hint="eastAsia" w:ascii="宋体" w:hAnsi="宋体" w:eastAsia="宋体" w:cs="宋体"/>
          <w:color w:val="auto"/>
          <w:sz w:val="24"/>
          <w:szCs w:val="24"/>
          <w:highlight w:val="none"/>
          <w:lang w:eastAsia="zh-CN"/>
        </w:rPr>
        <w:t>截止日至保证金退还日）。</w:t>
      </w:r>
    </w:p>
    <w:p>
      <w:pPr>
        <w:adjustRightInd w:val="0"/>
        <w:snapToGrid w:val="0"/>
        <w:spacing w:line="500" w:lineRule="exact"/>
        <w:rPr>
          <w:rFonts w:hint="eastAsia"/>
          <w:b/>
          <w:sz w:val="24"/>
          <w:szCs w:val="24"/>
        </w:rPr>
      </w:pPr>
      <w:bookmarkStart w:id="7" w:name="_Toc490644335"/>
      <w:r>
        <w:rPr>
          <w:rFonts w:hint="eastAsia"/>
          <w:b/>
          <w:sz w:val="24"/>
          <w:szCs w:val="24"/>
        </w:rPr>
        <w:t>8.发布公告的媒介</w:t>
      </w:r>
    </w:p>
    <w:p>
      <w:pPr>
        <w:adjustRightInd w:val="0"/>
        <w:snapToGrid w:val="0"/>
        <w:spacing w:line="500" w:lineRule="exact"/>
        <w:ind w:firstLine="480" w:firstLineChars="200"/>
        <w:rPr>
          <w:rFonts w:hint="eastAsia" w:ascii="宋体" w:hAnsi="宋体" w:cs="宋体"/>
          <w:sz w:val="24"/>
          <w:szCs w:val="24"/>
        </w:rPr>
      </w:pPr>
      <w:r>
        <w:rPr>
          <w:rFonts w:hint="eastAsia" w:ascii="宋体" w:hAnsi="宋体" w:cs="宋体"/>
          <w:sz w:val="24"/>
          <w:szCs w:val="24"/>
        </w:rPr>
        <w:t>本次采购采取公开竞争性谈判方式，采购代理机构同时在“中国招标投标公共服务平台”（http：//www.cebpubservice.com/）、“国家电网有限公司电子商务平台”（https：//ecp.sgcc.com.cn）电工交易专区上发布采购公告，采购公告中明确对应答人的资格要求、发售采购文件的日期和地点、应答、报价等事宜，其他媒体转载无效。</w:t>
      </w:r>
    </w:p>
    <w:bookmarkEnd w:id="7"/>
    <w:p>
      <w:pPr>
        <w:adjustRightInd w:val="0"/>
        <w:snapToGrid w:val="0"/>
        <w:spacing w:line="500" w:lineRule="exact"/>
        <w:rPr>
          <w:b/>
          <w:sz w:val="24"/>
          <w:szCs w:val="24"/>
          <w:highlight w:val="none"/>
        </w:rPr>
      </w:pPr>
      <w:r>
        <w:rPr>
          <w:rFonts w:hint="eastAsia" w:hAnsi="宋体"/>
          <w:b/>
          <w:sz w:val="28"/>
          <w:szCs w:val="28"/>
          <w:highlight w:val="none"/>
          <w:lang w:val="en-US" w:eastAsia="zh-CN"/>
        </w:rPr>
        <w:t>9.</w:t>
      </w:r>
      <w:r>
        <w:rPr>
          <w:rFonts w:hint="eastAsia" w:hAnsi="宋体"/>
          <w:b/>
          <w:sz w:val="24"/>
          <w:szCs w:val="24"/>
          <w:highlight w:val="none"/>
        </w:rPr>
        <w:t>采购</w:t>
      </w:r>
      <w:r>
        <w:rPr>
          <w:rFonts w:hAnsi="宋体"/>
          <w:b/>
          <w:sz w:val="24"/>
          <w:szCs w:val="24"/>
          <w:highlight w:val="none"/>
        </w:rPr>
        <w:t>文件</w:t>
      </w:r>
      <w:r>
        <w:rPr>
          <w:rFonts w:hint="eastAsia" w:hAnsi="宋体"/>
          <w:b/>
          <w:sz w:val="24"/>
          <w:szCs w:val="24"/>
          <w:highlight w:val="none"/>
        </w:rPr>
        <w:t>获取</w:t>
      </w:r>
      <w:r>
        <w:rPr>
          <w:rFonts w:hAnsi="宋体"/>
          <w:b/>
          <w:sz w:val="24"/>
          <w:szCs w:val="24"/>
          <w:highlight w:val="none"/>
        </w:rPr>
        <w:t>及</w:t>
      </w:r>
      <w:r>
        <w:rPr>
          <w:rFonts w:hint="eastAsia" w:hAnsi="宋体"/>
          <w:b/>
          <w:sz w:val="24"/>
          <w:szCs w:val="24"/>
          <w:highlight w:val="none"/>
        </w:rPr>
        <w:t>采购</w:t>
      </w:r>
      <w:r>
        <w:rPr>
          <w:rFonts w:hAnsi="宋体"/>
          <w:b/>
          <w:sz w:val="24"/>
          <w:szCs w:val="24"/>
          <w:highlight w:val="none"/>
        </w:rPr>
        <w:t>活动异议联系方式</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采购代理机构：山东嘉信招标有限责任公司</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地址：聊城市东昌府区湖南路19号西安交大科技园7号楼</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邮编：252000</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宋体" w:eastAsia="宋体" w:cs="Times New Roman"/>
          <w:sz w:val="24"/>
          <w:szCs w:val="24"/>
          <w:highlight w:val="none"/>
          <w:lang w:eastAsia="zh-CN"/>
        </w:rPr>
      </w:pPr>
      <w:r>
        <w:rPr>
          <w:rFonts w:hint="eastAsia" w:ascii="Times New Roman" w:hAnsi="宋体" w:eastAsia="宋体" w:cs="Times New Roman"/>
          <w:sz w:val="24"/>
          <w:szCs w:val="24"/>
          <w:highlight w:val="none"/>
          <w:lang w:eastAsia="zh-CN"/>
        </w:rPr>
        <w:t>联 系 人：崔工</w:t>
      </w:r>
      <w:r>
        <w:rPr>
          <w:rFonts w:hint="eastAsia" w:ascii="Times New Roman" w:hAnsi="宋体" w:eastAsia="宋体" w:cs="Times New Roman"/>
          <w:sz w:val="24"/>
          <w:szCs w:val="24"/>
          <w:highlight w:val="none"/>
          <w:lang w:val="en-US" w:eastAsia="zh-CN"/>
        </w:rPr>
        <w:t>，孙工，王工</w:t>
      </w:r>
      <w:r>
        <w:rPr>
          <w:rFonts w:hint="eastAsia" w:ascii="Times New Roman" w:hAnsi="宋体" w:eastAsia="宋体" w:cs="Times New Roman"/>
          <w:sz w:val="24"/>
          <w:szCs w:val="24"/>
          <w:highlight w:val="none"/>
          <w:lang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Times New Roman" w:hAnsi="宋体" w:eastAsia="宋体" w:cs="Times New Roman"/>
          <w:sz w:val="24"/>
          <w:szCs w:val="24"/>
          <w:highlight w:val="none"/>
          <w:lang w:val="en-US" w:eastAsia="zh-CN"/>
        </w:rPr>
      </w:pPr>
      <w:r>
        <w:rPr>
          <w:rFonts w:hint="eastAsia" w:ascii="Times New Roman" w:hAnsi="宋体" w:eastAsia="宋体" w:cs="Times New Roman"/>
          <w:sz w:val="24"/>
          <w:szCs w:val="24"/>
          <w:highlight w:val="none"/>
          <w:lang w:eastAsia="zh-CN"/>
        </w:rPr>
        <w:t>联系方式：18863583798，</w:t>
      </w:r>
      <w:r>
        <w:rPr>
          <w:rFonts w:hint="eastAsia" w:ascii="Times New Roman" w:hAnsi="宋体" w:eastAsia="宋体" w:cs="Times New Roman"/>
          <w:sz w:val="24"/>
          <w:szCs w:val="24"/>
          <w:highlight w:val="none"/>
          <w:lang w:val="en-US" w:eastAsia="zh-CN"/>
        </w:rPr>
        <w:t>17763577987，17563509250</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宋体" w:eastAsia="宋体" w:cs="Times New Roman"/>
          <w:sz w:val="24"/>
          <w:szCs w:val="24"/>
          <w:highlight w:val="none"/>
          <w:lang w:eastAsia="zh-CN"/>
        </w:rPr>
      </w:pPr>
      <w:r>
        <w:rPr>
          <w:rFonts w:hint="eastAsia" w:ascii="Times New Roman" w:hAnsi="宋体" w:eastAsia="宋体" w:cs="Times New Roman"/>
          <w:sz w:val="24"/>
          <w:szCs w:val="24"/>
          <w:highlight w:val="none"/>
          <w:lang w:eastAsia="zh-CN"/>
        </w:rPr>
        <w:t>电子邮箱：</w:t>
      </w:r>
      <w:r>
        <w:rPr>
          <w:rFonts w:hint="eastAsia" w:ascii="Times New Roman" w:hAnsi="宋体" w:eastAsia="宋体" w:cs="Times New Roman"/>
          <w:sz w:val="24"/>
          <w:szCs w:val="24"/>
          <w:highlight w:val="none"/>
          <w:lang w:eastAsia="zh-CN"/>
        </w:rPr>
        <w:fldChar w:fldCharType="begin"/>
      </w:r>
      <w:r>
        <w:rPr>
          <w:rFonts w:hint="eastAsia" w:ascii="Times New Roman" w:hAnsi="宋体" w:eastAsia="宋体" w:cs="Times New Roman"/>
          <w:sz w:val="24"/>
          <w:szCs w:val="24"/>
          <w:highlight w:val="none"/>
          <w:lang w:eastAsia="zh-CN"/>
        </w:rPr>
        <w:instrText xml:space="preserve"> HYPERLINK "mailto:sdjxlcyang@126.com" </w:instrText>
      </w:r>
      <w:r>
        <w:rPr>
          <w:rFonts w:hint="eastAsia" w:ascii="Times New Roman" w:hAnsi="宋体" w:eastAsia="宋体" w:cs="Times New Roman"/>
          <w:sz w:val="24"/>
          <w:szCs w:val="24"/>
          <w:highlight w:val="none"/>
          <w:lang w:eastAsia="zh-CN"/>
        </w:rPr>
        <w:fldChar w:fldCharType="separate"/>
      </w:r>
      <w:r>
        <w:rPr>
          <w:rFonts w:hint="eastAsia" w:ascii="Times New Roman" w:hAnsi="宋体" w:eastAsia="宋体" w:cs="Times New Roman"/>
          <w:sz w:val="24"/>
          <w:szCs w:val="24"/>
          <w:highlight w:val="none"/>
          <w:lang w:eastAsia="zh-CN"/>
        </w:rPr>
        <w:t>sdjxlcsun@126.com</w:t>
      </w:r>
      <w:r>
        <w:rPr>
          <w:rFonts w:hint="eastAsia" w:ascii="Times New Roman" w:hAnsi="宋体" w:eastAsia="宋体" w:cs="Times New Roman"/>
          <w:sz w:val="24"/>
          <w:szCs w:val="24"/>
          <w:highlight w:val="none"/>
          <w:lang w:eastAsia="zh-CN"/>
        </w:rPr>
        <w:fldChar w:fldCharType="end"/>
      </w:r>
    </w:p>
    <w:p>
      <w:pPr>
        <w:adjustRightInd w:val="0"/>
        <w:snapToGrid w:val="0"/>
        <w:spacing w:line="500" w:lineRule="exact"/>
        <w:rPr>
          <w:rFonts w:hint="eastAsia" w:ascii="宋体" w:hAnsi="宋体" w:cs="宋体"/>
          <w:b/>
          <w:bCs/>
          <w:sz w:val="24"/>
          <w:szCs w:val="24"/>
        </w:rPr>
      </w:pPr>
      <w:r>
        <w:rPr>
          <w:rFonts w:hint="eastAsia"/>
          <w:b/>
          <w:sz w:val="24"/>
          <w:szCs w:val="24"/>
          <w:lang w:val="en-US" w:eastAsia="zh-CN"/>
        </w:rPr>
        <w:t>10</w:t>
      </w:r>
      <w:r>
        <w:rPr>
          <w:rFonts w:hint="eastAsia"/>
          <w:b/>
          <w:sz w:val="24"/>
          <w:szCs w:val="24"/>
        </w:rPr>
        <w:t>.</w:t>
      </w:r>
      <w:r>
        <w:rPr>
          <w:rFonts w:hAnsi="宋体"/>
          <w:b/>
          <w:sz w:val="24"/>
          <w:szCs w:val="24"/>
        </w:rPr>
        <w:t>其他事项</w:t>
      </w:r>
    </w:p>
    <w:p>
      <w:pPr>
        <w:adjustRightInd w:val="0"/>
        <w:snapToGrid w:val="0"/>
        <w:spacing w:line="500" w:lineRule="exact"/>
        <w:ind w:firstLine="470" w:firstLineChars="196"/>
        <w:rPr>
          <w:rFonts w:hint="eastAsia" w:ascii="宋体" w:hAnsi="宋体" w:cs="宋体"/>
          <w:sz w:val="24"/>
          <w:szCs w:val="24"/>
        </w:rPr>
      </w:pPr>
      <w:r>
        <w:rPr>
          <w:rFonts w:hint="eastAsia" w:ascii="宋体" w:hAnsi="宋体" w:cs="宋体"/>
          <w:sz w:val="24"/>
          <w:szCs w:val="24"/>
        </w:rPr>
        <w:t>成交人按发改价格[2011]534号文件规定（物资类）标准的94%向代理机构交纳代理费。</w:t>
      </w:r>
    </w:p>
    <w:p>
      <w:pPr>
        <w:adjustRightInd w:val="0"/>
        <w:snapToGrid w:val="0"/>
        <w:spacing w:line="500" w:lineRule="exact"/>
        <w:ind w:firstLine="470" w:firstLineChars="196"/>
        <w:rPr>
          <w:rFonts w:hint="eastAsia" w:hAnsi="宋体"/>
          <w:sz w:val="24"/>
          <w:szCs w:val="24"/>
        </w:rPr>
      </w:pPr>
      <w:r>
        <w:rPr>
          <w:rFonts w:hint="eastAsia" w:hAnsi="宋体"/>
          <w:sz w:val="24"/>
          <w:szCs w:val="24"/>
        </w:rPr>
        <w:t>因未交纳代理费而导致的一切后果由</w:t>
      </w:r>
      <w:r>
        <w:rPr>
          <w:rFonts w:hint="eastAsia" w:hAnsi="宋体"/>
          <w:sz w:val="24"/>
          <w:szCs w:val="24"/>
          <w:lang w:eastAsia="zh-CN"/>
        </w:rPr>
        <w:t>成交人</w:t>
      </w:r>
      <w:r>
        <w:rPr>
          <w:rFonts w:hint="eastAsia" w:hAnsi="宋体"/>
          <w:sz w:val="24"/>
          <w:szCs w:val="24"/>
        </w:rPr>
        <w:t>自行承担。</w:t>
      </w:r>
    </w:p>
    <w:p>
      <w:r>
        <w:rPr>
          <w:rFonts w:hint="eastAsia" w:hAnsi="宋体"/>
          <w:sz w:val="24"/>
          <w:szCs w:val="24"/>
        </w:rPr>
        <w:t>开户名称、开户行、账号同第7条要求。</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5NWExYWIzY2U1Zjg1ZWI2ZTZhY2RlYzA3NjhlOGEifQ=="/>
  </w:docVars>
  <w:rsids>
    <w:rsidRoot w:val="450B385B"/>
    <w:rsid w:val="450B3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570"/>
    </w:pPr>
    <w:rPr>
      <w:sz w:val="24"/>
    </w:rPr>
  </w:style>
  <w:style w:type="paragraph" w:styleId="3">
    <w:name w:val="Body Text First Indent 2"/>
    <w:basedOn w:val="2"/>
    <w:qFormat/>
    <w:uiPriority w:val="0"/>
    <w:pPr>
      <w:ind w:left="0" w:leftChars="0" w:firstLine="420"/>
    </w:pPr>
  </w:style>
  <w:style w:type="paragraph" w:customStyle="1" w:styleId="6">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2023-11-20T00:18:00Z</dcterms:created>
  <dc:creator>︿人︿</dc:creator>
  <cp:lastModifiedBy>︿人︿</cp:lastModifiedBy>
  <dcterms:modified xsi:type="dcterms:W3CDTF">2023-11-20T00:18:51Z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6BB17E0182F34FBD9CAE20F53F6F6605_11</vt:lpwstr>
  </property>
</Properties>
</file>