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本钢北营炼钢二区转炉煤气回收提效改造项目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竣工环境保护验收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采购方案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一、项目基本情况介绍</w:t>
      </w:r>
    </w:p>
    <w:p>
      <w:pPr>
        <w:pStyle w:val="9"/>
        <w:spacing w:line="33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（一）项目名称：本钢北营炼钢二区转炉煤气回收提效改造项目竣工环境保护验收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资金来源：企业自筹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服务的业务范围、地点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计划时间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>
      <w:pPr>
        <w:pStyle w:val="9"/>
        <w:spacing w:line="33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本钢北营炼钢二区转炉煤气回收提效改造项目竣工环境保护验收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工作，地点在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本溪市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平山区北台镇北营能源总厂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9"/>
        <w:spacing w:line="330" w:lineRule="atLeast"/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计划开、竣工时间：2026年3月10日-2026年7月30日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二、采购方式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公开询比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资格后审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如投标方只有2家，转为单轮谈判采购，按原评审方式评审。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该项目报价为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含税报价，主要包括：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竣工环境保护验收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报告编制及编制过程中可能发生的资料收集、环境调查、现状监测、现势地形图、卫星图片及解译，技术评估会议组织及会务、专家评审咨询等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由于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过程中提出的各项补充、修改、增加的相关工作，费用均不再增加。开具正规增值税专用发票。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招标采购要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商务要求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1.投标人工商注册年限要求；以投标截止之日为限，须工商注册成立一年以上。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2.不接受联合体投标。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3.中标方严禁转包，一经发现，甲方将终止合同，由此产生的一切损失由中标方负责。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4.禁止鞍钢集团公司及本项目采购组织的限期整改、灰名单、黑名单企业参与本次投标。   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单位负责人为同一人、存在控股关系、管理关系的不同投标人参与投标，资格预审项目，由采购方在预审结果确认环节选择其中1个符合资格条件的单位参加投标，其他涉及投标人取消投标资格。资格后审项目，取消全部涉及投标人投标资格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6.投标人未按要求提供相关注册资金、资质、业绩等证明，或提供的相关注册资金、资质、业绩等证明不清晰无法证明有效性的，投标文件无效。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7.投标人必须确保提供的所有证明（包括但不限于注册资金、资质、业绩等）合法、真实、有效，否则承担由此产生的法律责任。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8.评标方法：经评审的最低投标价法。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资质及业绩要求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提供企业执照（扫描件或照片）。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2.提供：投标方至少提供1份2020年1月1日至投标截止日的竣工环境保护验收业绩（投标时上传业绩项目合同证明扫描件或照片，以合同签订时间为准）。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3.投标方需具有环境影响评价信用平台备案（提供查询截图），且注册环评师人数不少于2人（投标时上传资格证书扫描件或照片）。</w:t>
      </w:r>
    </w:p>
    <w:p>
      <w:pPr>
        <w:pStyle w:val="9"/>
        <w:spacing w:line="330" w:lineRule="atLeast"/>
        <w:ind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4.提供：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本钢北营炼钢二区转炉煤气回收提效改造项目竣工环境保护验收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主要编制人员2名身份证扫描件，社保缴费证明（2025年9月至11月）。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（三）注册资金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投标人注册资金不低于100 万元。</w:t>
      </w:r>
    </w:p>
    <w:p>
      <w:pPr>
        <w:pStyle w:val="2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（四）付款方式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合同签订后，完成环境保护验收报告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编制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获得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网上公示，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将验收报告的完整电子版及正式版提交到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本溪北营钢铁（集团）股份有限公司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能源总厂，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现行付款形式为票据，挂账月起第二个月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一次性支付合同总额的100%。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技术要求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以甲方提供的技术资料为基础，充分利用现有资料和数据，在规定期限内完成项目全部竣工环境保护验收工作，直至完成填报“全国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建设项目环境竣工验收管理平台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”中项目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竣工环境保护验收相关内容，并取得“验收合格”结论。包括但不限于：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投标方应通过与甲方的技术交流，说明本项目竣工环境保护验收可能存在的制约性难点问题，如：政策法规、监测工况、监测点位布设、环评批复阶段建设内容与实际建设内容一致性、项目变动情况、环境敏感目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编制完成竣工环境保护验收报告；编制过程中可能发生的资料收集（含购买相关资料）、环境调查、现状监测、现势地形图、卫星图片及解译、专项实验，技术评估会议组织及会务、专家评审咨询等工作。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保证项目竣工环境保护验收报告的完整性、准确性、实时性，应符合相关政策法规、规范标准、技术规范等要求，能够通过竣工环境保护验收专家组的技术评估，及时补充修改项目竣工环境保护验收报告；能够深入现场调查研究，为甲方解决竣工环境保护验收工作遇到的实际问题，提供技术支持；竣工环境保护验收报告应能够结合现有政策法规、规范标准、技术规范、排污许可、总量指标等管理要求，最大程度保护甲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中标方应配合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甲方组织的环境保护验收报告内部审核；配合甲方完成竣工环境保护验收专家技术评估；配合甲方完成填报“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全国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建设项目环境竣工验收管理平台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”中项目竣工环境保护验收相关内容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进行公示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；向甲方提交竣工环境保护验收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报告、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具有CMA资格印章的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监测报告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及验收意见等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完整电子版及通过专家评估规范的正式版8本。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五、最高投标限价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项目设置最高投标限价，总价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含税）。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六、评标方法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选用经评审的最低投标价法。</w:t>
      </w:r>
      <w:r>
        <w:rPr>
          <w:rFonts w:hint="eastAsia" w:ascii="仿宋" w:hAnsi="仿宋" w:eastAsia="仿宋" w:cs="仿宋"/>
          <w:sz w:val="32"/>
          <w:szCs w:val="32"/>
        </w:rPr>
        <w:t>最低评审价格相同，按投标时间顺序先后进行排名。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如投标方只有2家，转为单轮谈判采购，按原评审方式评审。</w:t>
      </w:r>
    </w:p>
    <w:p>
      <w:pPr>
        <w:spacing w:line="360" w:lineRule="auto"/>
        <w:ind w:firstLine="630" w:firstLineChars="196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七、中标/成交原则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选用总价最低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、单价合理方式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360" w:lineRule="auto"/>
        <w:ind w:firstLine="630" w:firstLineChars="196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本溪北营钢铁（集团）股份有限公司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能源总厂</w:t>
      </w:r>
    </w:p>
    <w:p>
      <w:pPr>
        <w:spacing w:line="360" w:lineRule="auto"/>
        <w:ind w:firstLine="4800" w:firstLineChars="15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55613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-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>
    <w:pPr>
      <w:pStyle w:val="2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YzAwMjYyNjhiNjJiYWNkYWIyM2M5MWEyNDU1MTUifQ=="/>
  </w:docVars>
  <w:rsids>
    <w:rsidRoot w:val="005F7C69"/>
    <w:rsid w:val="000421A6"/>
    <w:rsid w:val="00157C15"/>
    <w:rsid w:val="0017178B"/>
    <w:rsid w:val="001903A0"/>
    <w:rsid w:val="001F5ABC"/>
    <w:rsid w:val="00203AB1"/>
    <w:rsid w:val="00243C8B"/>
    <w:rsid w:val="003A47C7"/>
    <w:rsid w:val="003C2480"/>
    <w:rsid w:val="003E48D6"/>
    <w:rsid w:val="004A5176"/>
    <w:rsid w:val="005E53D1"/>
    <w:rsid w:val="005E698E"/>
    <w:rsid w:val="005F7C69"/>
    <w:rsid w:val="0065152F"/>
    <w:rsid w:val="006F2F96"/>
    <w:rsid w:val="007A0038"/>
    <w:rsid w:val="007E2DCF"/>
    <w:rsid w:val="007E5C69"/>
    <w:rsid w:val="00843922"/>
    <w:rsid w:val="00853D28"/>
    <w:rsid w:val="00861996"/>
    <w:rsid w:val="00984BC1"/>
    <w:rsid w:val="00A51931"/>
    <w:rsid w:val="00AA3013"/>
    <w:rsid w:val="00D37C72"/>
    <w:rsid w:val="00D90FBD"/>
    <w:rsid w:val="00DC6A48"/>
    <w:rsid w:val="00DD7FE9"/>
    <w:rsid w:val="00E11C94"/>
    <w:rsid w:val="00E56F3C"/>
    <w:rsid w:val="00FD3853"/>
    <w:rsid w:val="010B5E2C"/>
    <w:rsid w:val="0138764A"/>
    <w:rsid w:val="015D704A"/>
    <w:rsid w:val="01B76777"/>
    <w:rsid w:val="01BA0781"/>
    <w:rsid w:val="01BB483A"/>
    <w:rsid w:val="01BB54B7"/>
    <w:rsid w:val="01FA14E4"/>
    <w:rsid w:val="02747AB1"/>
    <w:rsid w:val="02C80CBA"/>
    <w:rsid w:val="035B108E"/>
    <w:rsid w:val="03725601"/>
    <w:rsid w:val="039E496B"/>
    <w:rsid w:val="0432145B"/>
    <w:rsid w:val="045B78B0"/>
    <w:rsid w:val="04925343"/>
    <w:rsid w:val="04EE0933"/>
    <w:rsid w:val="05430D05"/>
    <w:rsid w:val="05475C49"/>
    <w:rsid w:val="05925AFA"/>
    <w:rsid w:val="05BB3BA3"/>
    <w:rsid w:val="05BE071A"/>
    <w:rsid w:val="05FB65DF"/>
    <w:rsid w:val="05FE6CE9"/>
    <w:rsid w:val="064B228B"/>
    <w:rsid w:val="06F750FD"/>
    <w:rsid w:val="071041A5"/>
    <w:rsid w:val="07937179"/>
    <w:rsid w:val="07D64587"/>
    <w:rsid w:val="07E51E14"/>
    <w:rsid w:val="08C52FB5"/>
    <w:rsid w:val="0922296F"/>
    <w:rsid w:val="097C4A26"/>
    <w:rsid w:val="09F277C5"/>
    <w:rsid w:val="09F35B0A"/>
    <w:rsid w:val="0A002E1B"/>
    <w:rsid w:val="0A0E05C3"/>
    <w:rsid w:val="0A4C5174"/>
    <w:rsid w:val="0A730B03"/>
    <w:rsid w:val="0A736631"/>
    <w:rsid w:val="0A842AE9"/>
    <w:rsid w:val="0ADD186B"/>
    <w:rsid w:val="0B3034B0"/>
    <w:rsid w:val="0B8B5487"/>
    <w:rsid w:val="0B8D6DAE"/>
    <w:rsid w:val="0B953964"/>
    <w:rsid w:val="0BA95B02"/>
    <w:rsid w:val="0BBF4547"/>
    <w:rsid w:val="0BD57E59"/>
    <w:rsid w:val="0C286848"/>
    <w:rsid w:val="0C9771B4"/>
    <w:rsid w:val="0CC066AB"/>
    <w:rsid w:val="0CD25E17"/>
    <w:rsid w:val="0CD53CA6"/>
    <w:rsid w:val="0D313C33"/>
    <w:rsid w:val="0D7F2AD9"/>
    <w:rsid w:val="0DAB11FA"/>
    <w:rsid w:val="0DF66E74"/>
    <w:rsid w:val="0E3F2BEF"/>
    <w:rsid w:val="0E527FD0"/>
    <w:rsid w:val="0E902867"/>
    <w:rsid w:val="0F326576"/>
    <w:rsid w:val="0F8C6AD8"/>
    <w:rsid w:val="102665D2"/>
    <w:rsid w:val="105D4324"/>
    <w:rsid w:val="108878CD"/>
    <w:rsid w:val="11B66057"/>
    <w:rsid w:val="11FC4B10"/>
    <w:rsid w:val="11FD3541"/>
    <w:rsid w:val="12502247"/>
    <w:rsid w:val="12612E9F"/>
    <w:rsid w:val="127C45F4"/>
    <w:rsid w:val="12FA4E6D"/>
    <w:rsid w:val="13111635"/>
    <w:rsid w:val="134200DE"/>
    <w:rsid w:val="13442532"/>
    <w:rsid w:val="135B3F8A"/>
    <w:rsid w:val="140A462C"/>
    <w:rsid w:val="14577F4F"/>
    <w:rsid w:val="147E2C41"/>
    <w:rsid w:val="149C1F7A"/>
    <w:rsid w:val="14A10B0A"/>
    <w:rsid w:val="14B151D2"/>
    <w:rsid w:val="14D042ED"/>
    <w:rsid w:val="14FC2AE7"/>
    <w:rsid w:val="16116B15"/>
    <w:rsid w:val="161459C1"/>
    <w:rsid w:val="166436FD"/>
    <w:rsid w:val="1676202E"/>
    <w:rsid w:val="17126350"/>
    <w:rsid w:val="174B7C47"/>
    <w:rsid w:val="17D42BD5"/>
    <w:rsid w:val="186011EB"/>
    <w:rsid w:val="190223AE"/>
    <w:rsid w:val="195D615F"/>
    <w:rsid w:val="19A939B8"/>
    <w:rsid w:val="1A1E2989"/>
    <w:rsid w:val="1B1E0D42"/>
    <w:rsid w:val="1B702E93"/>
    <w:rsid w:val="1C1A0A75"/>
    <w:rsid w:val="1D1C19B7"/>
    <w:rsid w:val="1D657B82"/>
    <w:rsid w:val="1DBD3C87"/>
    <w:rsid w:val="1E1C30B6"/>
    <w:rsid w:val="1E682997"/>
    <w:rsid w:val="1EAE563F"/>
    <w:rsid w:val="1EE24E5E"/>
    <w:rsid w:val="1F01428E"/>
    <w:rsid w:val="1F6A6E9D"/>
    <w:rsid w:val="1F904F6D"/>
    <w:rsid w:val="1FCC6B3C"/>
    <w:rsid w:val="1FD842A9"/>
    <w:rsid w:val="209317E7"/>
    <w:rsid w:val="21167E07"/>
    <w:rsid w:val="214F3557"/>
    <w:rsid w:val="2224150F"/>
    <w:rsid w:val="228A2CD2"/>
    <w:rsid w:val="22A3628F"/>
    <w:rsid w:val="2358472D"/>
    <w:rsid w:val="23601C3C"/>
    <w:rsid w:val="23872EF3"/>
    <w:rsid w:val="242624CB"/>
    <w:rsid w:val="245070EE"/>
    <w:rsid w:val="246502B2"/>
    <w:rsid w:val="246F4ED6"/>
    <w:rsid w:val="24D2110E"/>
    <w:rsid w:val="25B92D10"/>
    <w:rsid w:val="26176588"/>
    <w:rsid w:val="266E4628"/>
    <w:rsid w:val="269C29D2"/>
    <w:rsid w:val="26ED6D7D"/>
    <w:rsid w:val="27017484"/>
    <w:rsid w:val="27864F60"/>
    <w:rsid w:val="27B71866"/>
    <w:rsid w:val="27E04077"/>
    <w:rsid w:val="28741970"/>
    <w:rsid w:val="28CE0201"/>
    <w:rsid w:val="28EE46D3"/>
    <w:rsid w:val="29020C97"/>
    <w:rsid w:val="291C2165"/>
    <w:rsid w:val="2979421C"/>
    <w:rsid w:val="298D2347"/>
    <w:rsid w:val="29F52DF7"/>
    <w:rsid w:val="2A3B1CD8"/>
    <w:rsid w:val="2A454574"/>
    <w:rsid w:val="2AEB2EBA"/>
    <w:rsid w:val="2B1065C1"/>
    <w:rsid w:val="2B114340"/>
    <w:rsid w:val="2B2F1E51"/>
    <w:rsid w:val="2BE40F14"/>
    <w:rsid w:val="2C85204E"/>
    <w:rsid w:val="2C8D7808"/>
    <w:rsid w:val="2CB04CAA"/>
    <w:rsid w:val="2CB22713"/>
    <w:rsid w:val="2CB65242"/>
    <w:rsid w:val="2D555CDD"/>
    <w:rsid w:val="2D5F35EC"/>
    <w:rsid w:val="2D787846"/>
    <w:rsid w:val="2DB86D0E"/>
    <w:rsid w:val="2DC608CC"/>
    <w:rsid w:val="2DF92ABE"/>
    <w:rsid w:val="2F4B63FF"/>
    <w:rsid w:val="2FAD2589"/>
    <w:rsid w:val="2FD06DB7"/>
    <w:rsid w:val="30DE49BA"/>
    <w:rsid w:val="31061A02"/>
    <w:rsid w:val="3116382D"/>
    <w:rsid w:val="31BA05AE"/>
    <w:rsid w:val="31D25BD4"/>
    <w:rsid w:val="321B631F"/>
    <w:rsid w:val="327A2143"/>
    <w:rsid w:val="32D93D55"/>
    <w:rsid w:val="334B2AD0"/>
    <w:rsid w:val="33B36F56"/>
    <w:rsid w:val="33C0162E"/>
    <w:rsid w:val="33C86FA4"/>
    <w:rsid w:val="344949D6"/>
    <w:rsid w:val="34581A21"/>
    <w:rsid w:val="345E2D53"/>
    <w:rsid w:val="347B2C69"/>
    <w:rsid w:val="34B13C94"/>
    <w:rsid w:val="34C164E7"/>
    <w:rsid w:val="35014EB9"/>
    <w:rsid w:val="350E06BD"/>
    <w:rsid w:val="354F34BC"/>
    <w:rsid w:val="35604306"/>
    <w:rsid w:val="3575284B"/>
    <w:rsid w:val="37416C37"/>
    <w:rsid w:val="37617167"/>
    <w:rsid w:val="378F5527"/>
    <w:rsid w:val="37EA5E4D"/>
    <w:rsid w:val="385F4A90"/>
    <w:rsid w:val="392F2B25"/>
    <w:rsid w:val="393401D2"/>
    <w:rsid w:val="396C4845"/>
    <w:rsid w:val="39700944"/>
    <w:rsid w:val="39790A47"/>
    <w:rsid w:val="39A32AE8"/>
    <w:rsid w:val="39C357D3"/>
    <w:rsid w:val="39EC5884"/>
    <w:rsid w:val="3A0F7751"/>
    <w:rsid w:val="3A4811BC"/>
    <w:rsid w:val="3A494D85"/>
    <w:rsid w:val="3A5126A5"/>
    <w:rsid w:val="3A88069D"/>
    <w:rsid w:val="3B414366"/>
    <w:rsid w:val="3B9C5DEF"/>
    <w:rsid w:val="3BAD1EA0"/>
    <w:rsid w:val="3BAD4103"/>
    <w:rsid w:val="3CFB263C"/>
    <w:rsid w:val="3D8B4D90"/>
    <w:rsid w:val="3E3B759F"/>
    <w:rsid w:val="3E671842"/>
    <w:rsid w:val="3E7F5FCE"/>
    <w:rsid w:val="3E9026FF"/>
    <w:rsid w:val="3EA02CE9"/>
    <w:rsid w:val="3EAC57F8"/>
    <w:rsid w:val="3EC13E67"/>
    <w:rsid w:val="3ECE4916"/>
    <w:rsid w:val="3EDC3418"/>
    <w:rsid w:val="3F0B5A2D"/>
    <w:rsid w:val="3F784529"/>
    <w:rsid w:val="3FAE3BAD"/>
    <w:rsid w:val="3FC40FD7"/>
    <w:rsid w:val="403E6911"/>
    <w:rsid w:val="40892AF3"/>
    <w:rsid w:val="409636BB"/>
    <w:rsid w:val="40C9100B"/>
    <w:rsid w:val="40E46633"/>
    <w:rsid w:val="414F4721"/>
    <w:rsid w:val="41AB7ED5"/>
    <w:rsid w:val="41F60FA9"/>
    <w:rsid w:val="42232E71"/>
    <w:rsid w:val="42664003"/>
    <w:rsid w:val="428377AF"/>
    <w:rsid w:val="43383F55"/>
    <w:rsid w:val="436A29EC"/>
    <w:rsid w:val="43D147F8"/>
    <w:rsid w:val="440D43CE"/>
    <w:rsid w:val="44454024"/>
    <w:rsid w:val="44496BC7"/>
    <w:rsid w:val="45426D90"/>
    <w:rsid w:val="45823E4C"/>
    <w:rsid w:val="463E49B9"/>
    <w:rsid w:val="468C133E"/>
    <w:rsid w:val="46A94F11"/>
    <w:rsid w:val="46B24F92"/>
    <w:rsid w:val="47010919"/>
    <w:rsid w:val="47FD752B"/>
    <w:rsid w:val="48921581"/>
    <w:rsid w:val="492C2327"/>
    <w:rsid w:val="493F39D8"/>
    <w:rsid w:val="49520FBA"/>
    <w:rsid w:val="49D22B5C"/>
    <w:rsid w:val="4A427A74"/>
    <w:rsid w:val="4A7D08F6"/>
    <w:rsid w:val="4ABE6CB5"/>
    <w:rsid w:val="4B0152E9"/>
    <w:rsid w:val="4B3278F5"/>
    <w:rsid w:val="4B655E2A"/>
    <w:rsid w:val="4BEA786D"/>
    <w:rsid w:val="4CC905E2"/>
    <w:rsid w:val="4D6218E1"/>
    <w:rsid w:val="4D707E78"/>
    <w:rsid w:val="4E191281"/>
    <w:rsid w:val="4E53761F"/>
    <w:rsid w:val="4F2A75EB"/>
    <w:rsid w:val="4F436EEA"/>
    <w:rsid w:val="4F4E1436"/>
    <w:rsid w:val="4F5A0C78"/>
    <w:rsid w:val="4F5C76C2"/>
    <w:rsid w:val="4F691C56"/>
    <w:rsid w:val="4FD0114D"/>
    <w:rsid w:val="4FE94594"/>
    <w:rsid w:val="50863327"/>
    <w:rsid w:val="508669C6"/>
    <w:rsid w:val="50B15D3B"/>
    <w:rsid w:val="512D2AF7"/>
    <w:rsid w:val="517332D9"/>
    <w:rsid w:val="520A34F4"/>
    <w:rsid w:val="521C09BD"/>
    <w:rsid w:val="527F49A2"/>
    <w:rsid w:val="52930941"/>
    <w:rsid w:val="52E72E92"/>
    <w:rsid w:val="52EA587C"/>
    <w:rsid w:val="532A5DE7"/>
    <w:rsid w:val="53F8554E"/>
    <w:rsid w:val="54116413"/>
    <w:rsid w:val="541E365A"/>
    <w:rsid w:val="543F3750"/>
    <w:rsid w:val="547E2D70"/>
    <w:rsid w:val="55CA3541"/>
    <w:rsid w:val="560E1EBB"/>
    <w:rsid w:val="560F7C3B"/>
    <w:rsid w:val="56122997"/>
    <w:rsid w:val="564F1D26"/>
    <w:rsid w:val="57322A07"/>
    <w:rsid w:val="57374E31"/>
    <w:rsid w:val="58804174"/>
    <w:rsid w:val="58D3192D"/>
    <w:rsid w:val="58FC6F11"/>
    <w:rsid w:val="59146975"/>
    <w:rsid w:val="59327D23"/>
    <w:rsid w:val="5A0F15A4"/>
    <w:rsid w:val="5A5A0F86"/>
    <w:rsid w:val="5A8135F0"/>
    <w:rsid w:val="5BC23034"/>
    <w:rsid w:val="5BC93EA4"/>
    <w:rsid w:val="5BCB411E"/>
    <w:rsid w:val="5BE61673"/>
    <w:rsid w:val="5C047A1F"/>
    <w:rsid w:val="5CC92BD0"/>
    <w:rsid w:val="5D0E657A"/>
    <w:rsid w:val="5D1E0FC3"/>
    <w:rsid w:val="5D8E6959"/>
    <w:rsid w:val="5DB96EA3"/>
    <w:rsid w:val="5E222783"/>
    <w:rsid w:val="5E2E7B6D"/>
    <w:rsid w:val="5E3124BB"/>
    <w:rsid w:val="5E57690C"/>
    <w:rsid w:val="5ED5247C"/>
    <w:rsid w:val="5F2D061A"/>
    <w:rsid w:val="5F4776F9"/>
    <w:rsid w:val="602A29D0"/>
    <w:rsid w:val="608C6935"/>
    <w:rsid w:val="60D23E0E"/>
    <w:rsid w:val="61DD1754"/>
    <w:rsid w:val="627574C1"/>
    <w:rsid w:val="629E658A"/>
    <w:rsid w:val="63701124"/>
    <w:rsid w:val="63913D4C"/>
    <w:rsid w:val="64F21D8B"/>
    <w:rsid w:val="64F3736F"/>
    <w:rsid w:val="65755C04"/>
    <w:rsid w:val="6577230C"/>
    <w:rsid w:val="65B74F85"/>
    <w:rsid w:val="6612516E"/>
    <w:rsid w:val="66876A77"/>
    <w:rsid w:val="66AB5AB8"/>
    <w:rsid w:val="67755CCF"/>
    <w:rsid w:val="67AF03FA"/>
    <w:rsid w:val="67F07215"/>
    <w:rsid w:val="6A6F578A"/>
    <w:rsid w:val="6AB2229E"/>
    <w:rsid w:val="6AFA1C75"/>
    <w:rsid w:val="6BAD5951"/>
    <w:rsid w:val="6BCF7DC9"/>
    <w:rsid w:val="6C3E43AF"/>
    <w:rsid w:val="6C4E0305"/>
    <w:rsid w:val="6C4E6F33"/>
    <w:rsid w:val="6CD04811"/>
    <w:rsid w:val="6CF92EB8"/>
    <w:rsid w:val="6CFB3342"/>
    <w:rsid w:val="6D11524B"/>
    <w:rsid w:val="6DE7564E"/>
    <w:rsid w:val="6E594AC2"/>
    <w:rsid w:val="6E6910B0"/>
    <w:rsid w:val="6E842F5E"/>
    <w:rsid w:val="6F940F75"/>
    <w:rsid w:val="6FDA6242"/>
    <w:rsid w:val="70572E60"/>
    <w:rsid w:val="70941B49"/>
    <w:rsid w:val="709B712D"/>
    <w:rsid w:val="70A31529"/>
    <w:rsid w:val="70FC0D3A"/>
    <w:rsid w:val="71C823F8"/>
    <w:rsid w:val="71C82A9C"/>
    <w:rsid w:val="720929F4"/>
    <w:rsid w:val="726F196F"/>
    <w:rsid w:val="72877709"/>
    <w:rsid w:val="732B4F01"/>
    <w:rsid w:val="73474DC9"/>
    <w:rsid w:val="734D5E67"/>
    <w:rsid w:val="73AF5F4D"/>
    <w:rsid w:val="73D0573D"/>
    <w:rsid w:val="73DF5021"/>
    <w:rsid w:val="73E27E10"/>
    <w:rsid w:val="74EC248A"/>
    <w:rsid w:val="75FE7963"/>
    <w:rsid w:val="76205BA9"/>
    <w:rsid w:val="762420C5"/>
    <w:rsid w:val="76452C9D"/>
    <w:rsid w:val="76B72228"/>
    <w:rsid w:val="772139CD"/>
    <w:rsid w:val="77277A77"/>
    <w:rsid w:val="77B03AE4"/>
    <w:rsid w:val="78EE3D06"/>
    <w:rsid w:val="79664D3B"/>
    <w:rsid w:val="79A9406D"/>
    <w:rsid w:val="79F511CE"/>
    <w:rsid w:val="79F75312"/>
    <w:rsid w:val="7A626A93"/>
    <w:rsid w:val="7A9066AF"/>
    <w:rsid w:val="7AAD3093"/>
    <w:rsid w:val="7AD100CC"/>
    <w:rsid w:val="7B11655C"/>
    <w:rsid w:val="7B441301"/>
    <w:rsid w:val="7B4B37A3"/>
    <w:rsid w:val="7BAB70AB"/>
    <w:rsid w:val="7CAA3813"/>
    <w:rsid w:val="7D2B234F"/>
    <w:rsid w:val="7E891B7F"/>
    <w:rsid w:val="7EB8297E"/>
    <w:rsid w:val="7F427B7E"/>
    <w:rsid w:val="7F8930F8"/>
    <w:rsid w:val="7FB034D6"/>
    <w:rsid w:val="7FE71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List Number"/>
    <w:basedOn w:val="1"/>
    <w:unhideWhenUsed/>
    <w:qFormat/>
    <w:uiPriority w:val="99"/>
    <w:pPr>
      <w:numPr>
        <w:ilvl w:val="0"/>
        <w:numId w:val="1"/>
      </w:numPr>
      <w:contextualSpacing/>
    </w:pPr>
    <w:rPr>
      <w:rFonts w:ascii="Calibri" w:hAnsi="Calibri"/>
      <w:szCs w:val="21"/>
    </w:r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Plain Text"/>
    <w:basedOn w:val="1"/>
    <w:link w:val="19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paragraph" w:customStyle="1" w:styleId="13">
    <w:name w:val="BodyText"/>
    <w:basedOn w:val="1"/>
    <w:qFormat/>
    <w:uiPriority w:val="0"/>
    <w:pPr>
      <w:spacing w:after="120"/>
    </w:pPr>
    <w:rPr>
      <w:rFonts w:ascii="Calibri" w:hAnsi="Calibri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2"/>
    <w:qFormat/>
    <w:uiPriority w:val="99"/>
    <w:rPr>
      <w:sz w:val="18"/>
      <w:szCs w:val="18"/>
    </w:rPr>
  </w:style>
  <w:style w:type="character" w:customStyle="1" w:styleId="16">
    <w:name w:val="HTML 预设格式 Char"/>
    <w:basedOn w:val="12"/>
    <w:link w:val="9"/>
    <w:qFormat/>
    <w:uiPriority w:val="0"/>
    <w:rPr>
      <w:rFonts w:ascii="宋体" w:hAnsi="宋体" w:eastAsia="宋体" w:cs="宋体"/>
      <w:color w:val="000000"/>
      <w:kern w:val="0"/>
      <w:szCs w:val="21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【报告正文】"/>
    <w:basedOn w:val="2"/>
    <w:next w:val="7"/>
    <w:qFormat/>
    <w:uiPriority w:val="0"/>
    <w:pPr>
      <w:tabs>
        <w:tab w:val="clear" w:pos="4153"/>
        <w:tab w:val="clear" w:pos="8306"/>
      </w:tabs>
      <w:snapToGrid/>
      <w:spacing w:line="498" w:lineRule="exact"/>
      <w:ind w:firstLine="200" w:firstLineChars="200"/>
    </w:pPr>
    <w:rPr>
      <w:rFonts w:ascii="仿宋_GB2312" w:hAnsi="Courier New" w:eastAsia="仿宋_GB2312" w:cs="Courier New"/>
      <w:sz w:val="28"/>
      <w:szCs w:val="21"/>
    </w:rPr>
  </w:style>
  <w:style w:type="character" w:customStyle="1" w:styleId="19">
    <w:name w:val="纯文本 Char"/>
    <w:basedOn w:val="12"/>
    <w:link w:val="5"/>
    <w:semiHidden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1588</Characters>
  <Lines>13</Lines>
  <Paragraphs>3</Paragraphs>
  <TotalTime>0</TotalTime>
  <ScaleCrop>false</ScaleCrop>
  <LinksUpToDate>false</LinksUpToDate>
  <CharactersWithSpaces>1588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2021-12-10T07:35:00Z</dcterms:created>
  <dc:creator>L.xt</dc:creator>
  <cp:lastModifiedBy>王永君</cp:lastModifiedBy>
  <cp:lastPrinted>2022-07-11T07:53:00Z</cp:lastPrinted>
  <dcterms:modified xsi:type="dcterms:W3CDTF">2026-01-22T07:40:06Z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B2A9C1A002FB47889E99576499A02746</vt:lpwstr>
  </property>
</Properties>
</file>