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工程技术公司2025-2026年亚氨基二琥珀酸四钠采购专有协议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9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>工程技术公司2025-2026年亚氨基二琥珀酸四钠采购专有协议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pStyle w:val="5"/>
        <w:ind w:firstLine="640"/>
        <w:rPr>
          <w:highlight w:val="none"/>
        </w:rPr>
      </w:pPr>
    </w:p>
    <w:p>
      <w:pPr>
        <w:rPr>
          <w:highlight w:val="none"/>
        </w:rPr>
      </w:pPr>
    </w:p>
    <w:p>
      <w:pPr>
        <w:pStyle w:val="5"/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09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</w:p>
    <w:bookmarkEnd w:id="0"/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" w:name="_Toc13248928"/>
      <w:bookmarkStart w:id="2" w:name="_Toc13249325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一、需求一览表</w:t>
      </w:r>
      <w:bookmarkEnd w:id="1"/>
      <w:bookmarkEnd w:id="2"/>
    </w:p>
    <w:p>
      <w:pPr>
        <w:pStyle w:val="4"/>
        <w:spacing w:line="257" w:lineRule="auto"/>
        <w:ind w:left="220" w:right="122" w:firstLine="420"/>
        <w:jc w:val="center"/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表1 需求一览表</w:t>
      </w:r>
    </w:p>
    <w:tbl>
      <w:tblPr>
        <w:tblStyle w:val="8"/>
        <w:tblW w:w="10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25"/>
        <w:gridCol w:w="1547"/>
        <w:gridCol w:w="2735"/>
        <w:gridCol w:w="1180"/>
        <w:gridCol w:w="1305"/>
        <w:gridCol w:w="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bidi="ar"/>
              </w:rPr>
              <w:t>服务名称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物资编码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bidi="ar"/>
              </w:rPr>
              <w:t>规格及型号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数量及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交货地点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亚氨基二琥珀酸四钠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highlight w:val="none"/>
                <w:lang w:eastAsia="zh-CN"/>
              </w:rPr>
              <w:t>84216881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pl-PL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pl-PL" w:eastAsia="zh-CN"/>
              </w:rPr>
              <w:t>工业级合格品，≥92%，粉末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100000KG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天津市滨海新区工程技术公司增产库房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"/>
              </w:rPr>
              <w:t>单次最小送货量5吨</w:t>
            </w:r>
          </w:p>
        </w:tc>
      </w:tr>
    </w:tbl>
    <w:p>
      <w:pPr>
        <w:pStyle w:val="4"/>
        <w:numPr>
          <w:ilvl w:val="0"/>
          <w:numId w:val="1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1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★技术指标</w:t>
      </w:r>
    </w:p>
    <w:tbl>
      <w:tblPr>
        <w:tblStyle w:val="8"/>
        <w:tblW w:w="53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3300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00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pl-PL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182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pl-PL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1169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0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外观</w:t>
            </w:r>
          </w:p>
        </w:tc>
        <w:tc>
          <w:tcPr>
            <w:tcW w:w="182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白色粉末</w:t>
            </w:r>
          </w:p>
        </w:tc>
        <w:tc>
          <w:tcPr>
            <w:tcW w:w="1169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0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固含量%</w:t>
            </w:r>
          </w:p>
        </w:tc>
        <w:tc>
          <w:tcPr>
            <w:tcW w:w="182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≥92</w:t>
            </w:r>
          </w:p>
        </w:tc>
        <w:tc>
          <w:tcPr>
            <w:tcW w:w="1169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00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亚氨基二琥珀酸四钠含量%</w:t>
            </w:r>
          </w:p>
        </w:tc>
        <w:tc>
          <w:tcPr>
            <w:tcW w:w="182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≥75</w:t>
            </w:r>
          </w:p>
        </w:tc>
        <w:tc>
          <w:tcPr>
            <w:tcW w:w="1169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PH（1%溶液）</w:t>
            </w:r>
          </w:p>
        </w:tc>
        <w:tc>
          <w:tcPr>
            <w:tcW w:w="182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10.5-11.5</w:t>
            </w:r>
          </w:p>
        </w:tc>
        <w:tc>
          <w:tcPr>
            <w:tcW w:w="1169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HG-T 5749-2020</w:t>
            </w:r>
          </w:p>
        </w:tc>
      </w:tr>
    </w:tbl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2.执行标准/规范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sz w:val="28"/>
          <w:szCs w:val="28"/>
          <w:lang w:val="en-US" w:eastAsia="zh-CN"/>
        </w:rPr>
        <w:t xml:space="preserve">本技术要求采购产品性能指标及检测方法参考或按以下标准执行：HG/T 5749-2020  亚氨基二琥珀酸四钠                    </w:t>
      </w: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3.产品包装</w:t>
      </w: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产品包装：内包装为三合一防水包装袋（25KG/袋），外包装为经CCS认证吨袋（CCS认证有效期不低于3个月）。</w:t>
      </w:r>
    </w:p>
    <w:p>
      <w:pPr>
        <w:pStyle w:val="11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项目联系人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请感兴趣的供应商于2025年10月13日17:00前，与我方联系人接洽。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bookmarkStart w:id="3" w:name="_GoBack"/>
      <w:bookmarkEnd w:id="3"/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8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3.申请人须具有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一项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海油外部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化学产品的销售业绩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Style w:val="7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50C9A"/>
    <w:multiLevelType w:val="singleLevel"/>
    <w:tmpl w:val="1EB50C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798A7"/>
    <w:rsid w:val="3BEF633E"/>
    <w:rsid w:val="46BB5C51"/>
    <w:rsid w:val="4A1947CF"/>
    <w:rsid w:val="4F6E853F"/>
    <w:rsid w:val="6FF7C6E3"/>
    <w:rsid w:val="76ECFE8D"/>
    <w:rsid w:val="7B096C74"/>
    <w:rsid w:val="7EF363FF"/>
    <w:rsid w:val="A6F4E9A6"/>
    <w:rsid w:val="AF7BAA25"/>
    <w:rsid w:val="BFBB32D6"/>
    <w:rsid w:val="CFFF7BBB"/>
    <w:rsid w:val="D1DCE082"/>
    <w:rsid w:val="DFF9C582"/>
    <w:rsid w:val="ECFC8467"/>
    <w:rsid w:val="EEB8FCDA"/>
    <w:rsid w:val="EEED05F1"/>
    <w:rsid w:val="FB6F86BF"/>
    <w:rsid w:val="FEB31551"/>
    <w:rsid w:val="FEFE5ED4"/>
    <w:rsid w:val="FF2F2082"/>
    <w:rsid w:val="FF63CF15"/>
    <w:rsid w:val="FF7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5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567"/>
    </w:pPr>
  </w:style>
  <w:style w:type="table" w:styleId="9">
    <w:name w:val="Table Grid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3">
    <w:name w:val="网格型3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wudi13</cp:lastModifiedBy>
  <dcterms:modified xsi:type="dcterms:W3CDTF">2025-09-30T16:07:24Z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F8230E7D290F4682BFFDFCE545D79E16</vt:lpwstr>
  </property>
</Properties>
</file>