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0279C">
      <w:pPr>
        <w:jc w:val="center"/>
        <w:rPr>
          <w:rFonts w:hint="eastAsia" w:ascii="仿宋" w:hAnsi="仿宋" w:eastAsia="仿宋" w:cs="仿宋"/>
          <w:b/>
          <w:bCs/>
          <w:color w:val="auto"/>
          <w:sz w:val="44"/>
          <w:szCs w:val="44"/>
          <w:highlight w:val="none"/>
          <w:lang w:eastAsia="zh-CN"/>
        </w:rPr>
      </w:pPr>
      <w:r>
        <w:rPr>
          <w:rFonts w:hint="eastAsia" w:ascii="仿宋" w:hAnsi="仿宋" w:eastAsia="仿宋" w:cs="仿宋"/>
          <w:b/>
          <w:bCs/>
          <w:color w:val="auto"/>
          <w:sz w:val="44"/>
          <w:szCs w:val="44"/>
          <w:highlight w:val="none"/>
          <w:lang w:eastAsia="zh-CN"/>
        </w:rPr>
        <w:t>中铁五局集团有限公司雪马山4A景区基础设施建设项目部绿化材料物资采购招标</w:t>
      </w:r>
    </w:p>
    <w:p w14:paraId="576752EE">
      <w:pPr>
        <w:pStyle w:val="4"/>
        <w:spacing w:line="520" w:lineRule="exact"/>
        <w:outlineLvl w:val="1"/>
        <w:rPr>
          <w:color w:val="auto"/>
          <w:highlight w:val="none"/>
        </w:rPr>
      </w:pPr>
      <w:bookmarkStart w:id="0" w:name="_Toc3064"/>
      <w:bookmarkStart w:id="1" w:name="_Toc13115"/>
      <w:r>
        <w:rPr>
          <w:rFonts w:hint="eastAsia"/>
          <w:color w:val="auto"/>
          <w:highlight w:val="none"/>
        </w:rPr>
        <w:t>招标公告</w:t>
      </w:r>
      <w:bookmarkEnd w:id="0"/>
      <w:bookmarkEnd w:id="1"/>
    </w:p>
    <w:p w14:paraId="520D2E06">
      <w:pPr>
        <w:snapToGrid w:val="0"/>
        <w:spacing w:line="520" w:lineRule="exact"/>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（物资类别：</w:t>
      </w:r>
      <w:r>
        <w:rPr>
          <w:rFonts w:hint="eastAsia" w:ascii="仿宋_GB2312" w:hAnsi="宋体" w:eastAsia="仿宋_GB2312"/>
          <w:color w:val="auto"/>
          <w:sz w:val="28"/>
          <w:szCs w:val="28"/>
          <w:highlight w:val="none"/>
          <w:u w:val="single"/>
          <w:lang w:val="en-US" w:eastAsia="zh-CN"/>
        </w:rPr>
        <w:t>绿化材料</w:t>
      </w:r>
      <w:r>
        <w:rPr>
          <w:rFonts w:hint="eastAsia" w:ascii="仿宋_GB2312" w:hAnsi="宋体" w:eastAsia="仿宋_GB2312"/>
          <w:color w:val="auto"/>
          <w:sz w:val="28"/>
          <w:szCs w:val="28"/>
          <w:highlight w:val="none"/>
        </w:rPr>
        <w:t>）</w:t>
      </w:r>
    </w:p>
    <w:p w14:paraId="7E8FC03A">
      <w:pPr>
        <w:snapToGrid w:val="0"/>
        <w:spacing w:line="520" w:lineRule="exact"/>
        <w:jc w:val="center"/>
        <w:rPr>
          <w:rFonts w:hint="eastAsia" w:ascii="仿宋_GB2312" w:hAnsi="宋体" w:eastAsia="仿宋_GB2312"/>
          <w:color w:val="auto"/>
          <w:sz w:val="28"/>
          <w:szCs w:val="28"/>
          <w:highlight w:val="none"/>
          <w:u w:val="single"/>
        </w:rPr>
      </w:pPr>
      <w:r>
        <w:rPr>
          <w:rFonts w:hint="eastAsia" w:ascii="仿宋_GB2312" w:hAnsi="宋体" w:eastAsia="仿宋_GB2312"/>
          <w:color w:val="auto"/>
          <w:sz w:val="28"/>
          <w:szCs w:val="28"/>
          <w:highlight w:val="none"/>
        </w:rPr>
        <w:t>招标编号:</w:t>
      </w:r>
      <w:bookmarkStart w:id="2" w:name="_Toc376982914"/>
      <w:r>
        <w:rPr>
          <w:rFonts w:hint="eastAsia" w:ascii="仿宋_GB2312" w:hAnsi="宋体" w:eastAsia="仿宋_GB2312"/>
          <w:color w:val="auto"/>
          <w:sz w:val="28"/>
          <w:szCs w:val="28"/>
          <w:highlight w:val="none"/>
          <w:lang w:eastAsia="zh-CN"/>
        </w:rPr>
        <w:t>ZTWJWZZB-2024-471</w:t>
      </w:r>
    </w:p>
    <w:p w14:paraId="75FCB02C">
      <w:pPr>
        <w:adjustRightInd w:val="0"/>
        <w:snapToGrid w:val="0"/>
        <w:spacing w:line="520" w:lineRule="exact"/>
        <w:ind w:firstLine="562" w:firstLineChars="200"/>
        <w:jc w:val="left"/>
        <w:outlineLvl w:val="1"/>
        <w:rPr>
          <w:rFonts w:hint="eastAsia" w:ascii="仿宋_GB2312" w:hAnsi="宋体" w:eastAsia="仿宋_GB2312"/>
          <w:b/>
          <w:color w:val="auto"/>
          <w:sz w:val="28"/>
          <w:szCs w:val="28"/>
          <w:highlight w:val="none"/>
        </w:rPr>
      </w:pPr>
      <w:bookmarkStart w:id="3" w:name="_Toc448150231"/>
      <w:bookmarkStart w:id="4" w:name="_Toc452738704"/>
      <w:bookmarkStart w:id="5" w:name="_Toc452739169"/>
      <w:bookmarkStart w:id="6" w:name="_Toc477773490"/>
      <w:bookmarkStart w:id="7" w:name="_Toc381350425"/>
      <w:bookmarkStart w:id="8" w:name="_Toc406"/>
      <w:bookmarkStart w:id="9" w:name="_Toc496856615"/>
      <w:bookmarkStart w:id="10" w:name="_Toc496258914"/>
      <w:bookmarkStart w:id="11" w:name="_Toc496173337"/>
      <w:bookmarkStart w:id="12" w:name="_Toc496259134"/>
      <w:r>
        <w:rPr>
          <w:rFonts w:hint="eastAsia" w:ascii="仿宋_GB2312" w:hAnsi="宋体" w:eastAsia="仿宋_GB2312"/>
          <w:b/>
          <w:color w:val="auto"/>
          <w:sz w:val="28"/>
          <w:szCs w:val="28"/>
          <w:highlight w:val="none"/>
        </w:rPr>
        <w:t>1．</w:t>
      </w:r>
      <w:bookmarkEnd w:id="2"/>
      <w:bookmarkEnd w:id="3"/>
      <w:bookmarkEnd w:id="4"/>
      <w:bookmarkEnd w:id="5"/>
      <w:bookmarkEnd w:id="6"/>
      <w:bookmarkEnd w:id="7"/>
      <w:bookmarkStart w:id="13" w:name="_Toc452739170"/>
      <w:bookmarkStart w:id="14" w:name="_Toc477773491"/>
      <w:bookmarkStart w:id="15" w:name="_Toc376982915"/>
      <w:bookmarkStart w:id="16" w:name="_Toc258487778"/>
      <w:bookmarkStart w:id="17" w:name="_Toc452738705"/>
      <w:bookmarkStart w:id="18" w:name="_Toc381350426"/>
      <w:bookmarkStart w:id="19" w:name="_Toc448150232"/>
      <w:r>
        <w:rPr>
          <w:rFonts w:hint="eastAsia" w:ascii="仿宋_GB2312" w:hAnsi="宋体" w:eastAsia="仿宋_GB2312"/>
          <w:b/>
          <w:color w:val="auto"/>
          <w:sz w:val="28"/>
          <w:szCs w:val="28"/>
          <w:highlight w:val="none"/>
        </w:rPr>
        <w:t>招标项目概况</w:t>
      </w:r>
      <w:bookmarkEnd w:id="8"/>
      <w:bookmarkEnd w:id="9"/>
      <w:bookmarkEnd w:id="10"/>
      <w:bookmarkEnd w:id="11"/>
      <w:bookmarkEnd w:id="12"/>
      <w:bookmarkEnd w:id="13"/>
      <w:bookmarkEnd w:id="14"/>
      <w:bookmarkEnd w:id="15"/>
      <w:bookmarkEnd w:id="16"/>
      <w:bookmarkEnd w:id="17"/>
      <w:bookmarkEnd w:id="18"/>
      <w:bookmarkEnd w:id="19"/>
    </w:p>
    <w:p w14:paraId="30EB3F40">
      <w:pPr>
        <w:spacing w:line="520" w:lineRule="exact"/>
        <w:ind w:firstLine="554" w:firstLineChars="198"/>
        <w:rPr>
          <w:rFonts w:hint="eastAsia" w:ascii="仿宋_GB2312" w:hAnsi="宋体" w:eastAsia="仿宋_GB2312"/>
          <w:bCs/>
          <w:color w:val="auto"/>
          <w:sz w:val="28"/>
          <w:szCs w:val="28"/>
          <w:highlight w:val="none"/>
          <w:u w:val="single"/>
        </w:rPr>
      </w:pPr>
      <w:r>
        <w:rPr>
          <w:rFonts w:hint="eastAsia" w:ascii="仿宋_GB2312" w:hAnsi="宋体" w:eastAsia="仿宋_GB2312"/>
          <w:bCs/>
          <w:color w:val="auto"/>
          <w:sz w:val="28"/>
          <w:szCs w:val="28"/>
          <w:highlight w:val="none"/>
        </w:rPr>
        <w:t>本次招标物资品种有</w:t>
      </w:r>
      <w:r>
        <w:rPr>
          <w:rFonts w:hint="eastAsia" w:ascii="仿宋_GB2312" w:hAnsi="宋体" w:eastAsia="仿宋_GB2312"/>
          <w:color w:val="auto"/>
          <w:sz w:val="28"/>
          <w:szCs w:val="28"/>
          <w:highlight w:val="none"/>
          <w:u w:val="single"/>
          <w:lang w:val="en-US" w:eastAsia="zh-CN"/>
        </w:rPr>
        <w:t>绿化材料</w:t>
      </w:r>
      <w:r>
        <w:rPr>
          <w:rFonts w:hint="eastAsia" w:ascii="仿宋_GB2312" w:hAnsi="宋体" w:eastAsia="仿宋_GB2312"/>
          <w:bCs/>
          <w:color w:val="auto"/>
          <w:sz w:val="28"/>
          <w:szCs w:val="28"/>
          <w:highlight w:val="none"/>
        </w:rPr>
        <w:t>，招标物资用于</w:t>
      </w:r>
      <w:r>
        <w:rPr>
          <w:rFonts w:hint="eastAsia" w:ascii="仿宋_GB2312" w:hAnsi="宋体" w:eastAsia="仿宋_GB2312"/>
          <w:bCs/>
          <w:color w:val="auto"/>
          <w:sz w:val="28"/>
          <w:szCs w:val="28"/>
          <w:highlight w:val="none"/>
          <w:u w:val="single"/>
          <w:lang w:eastAsia="zh-CN"/>
        </w:rPr>
        <w:t>中铁五局集团有限公司</w:t>
      </w:r>
      <w:r>
        <w:rPr>
          <w:rFonts w:hint="eastAsia" w:ascii="仿宋_GB2312" w:hAnsi="宋体" w:eastAsia="仿宋_GB2312"/>
          <w:bCs/>
          <w:color w:val="auto"/>
          <w:sz w:val="28"/>
          <w:szCs w:val="28"/>
          <w:highlight w:val="none"/>
          <w:u w:val="single"/>
          <w:lang w:val="en-US" w:eastAsia="zh-CN"/>
        </w:rPr>
        <w:t>雪马山4A景区基础设施建设</w:t>
      </w:r>
      <w:r>
        <w:rPr>
          <w:rFonts w:hint="eastAsia" w:ascii="仿宋_GB2312" w:hAnsi="宋体" w:eastAsia="仿宋_GB2312"/>
          <w:bCs/>
          <w:color w:val="auto"/>
          <w:sz w:val="28"/>
          <w:szCs w:val="28"/>
          <w:highlight w:val="none"/>
          <w:u w:val="single"/>
          <w:lang w:eastAsia="zh-CN"/>
        </w:rPr>
        <w:t>项目部</w:t>
      </w:r>
      <w:r>
        <w:rPr>
          <w:rFonts w:hint="eastAsia" w:ascii="仿宋_GB2312" w:hAnsi="宋体" w:eastAsia="仿宋_GB2312"/>
          <w:bCs/>
          <w:color w:val="auto"/>
          <w:sz w:val="28"/>
          <w:szCs w:val="28"/>
          <w:highlight w:val="none"/>
        </w:rPr>
        <w:t>项目工程建设，项目地点位于</w:t>
      </w:r>
      <w:r>
        <w:rPr>
          <w:rFonts w:hint="eastAsia" w:ascii="仿宋_GB2312" w:hAnsi="宋体" w:eastAsia="仿宋_GB2312"/>
          <w:bCs/>
          <w:color w:val="auto"/>
          <w:sz w:val="28"/>
          <w:szCs w:val="28"/>
          <w:highlight w:val="none"/>
          <w:u w:val="single"/>
          <w:lang w:val="en-US" w:eastAsia="zh-CN"/>
        </w:rPr>
        <w:t>四川省马尔康市</w:t>
      </w:r>
      <w:r>
        <w:rPr>
          <w:rFonts w:hint="eastAsia" w:ascii="仿宋_GB2312" w:hAnsi="宋体" w:eastAsia="仿宋_GB2312"/>
          <w:bCs/>
          <w:color w:val="auto"/>
          <w:sz w:val="28"/>
          <w:szCs w:val="28"/>
          <w:highlight w:val="none"/>
        </w:rPr>
        <w:t>，采购资金来源于项目建设资金,物资招标条件已具备。</w:t>
      </w:r>
    </w:p>
    <w:p w14:paraId="2BCD58BE">
      <w:pPr>
        <w:adjustRightInd w:val="0"/>
        <w:snapToGrid w:val="0"/>
        <w:spacing w:line="520" w:lineRule="exact"/>
        <w:ind w:firstLine="562" w:firstLineChars="200"/>
        <w:jc w:val="left"/>
        <w:outlineLvl w:val="1"/>
        <w:rPr>
          <w:rFonts w:hint="eastAsia" w:ascii="仿宋_GB2312" w:hAnsi="宋体" w:eastAsia="仿宋_GB2312"/>
          <w:color w:val="auto"/>
          <w:sz w:val="28"/>
          <w:szCs w:val="28"/>
          <w:highlight w:val="none"/>
        </w:rPr>
      </w:pPr>
      <w:bookmarkStart w:id="20" w:name="_Toc496258915"/>
      <w:bookmarkStart w:id="21" w:name="_Toc496259135"/>
      <w:bookmarkStart w:id="22" w:name="_Toc29950"/>
      <w:bookmarkStart w:id="23" w:name="_Toc496856616"/>
      <w:bookmarkStart w:id="24" w:name="_Toc496173338"/>
      <w:r>
        <w:rPr>
          <w:rFonts w:hint="eastAsia" w:ascii="仿宋_GB2312" w:hAnsi="宋体" w:eastAsia="仿宋_GB2312"/>
          <w:b/>
          <w:color w:val="auto"/>
          <w:sz w:val="28"/>
          <w:szCs w:val="28"/>
          <w:highlight w:val="none"/>
        </w:rPr>
        <w:t>2.招标物资包件划分</w:t>
      </w:r>
      <w:bookmarkEnd w:id="20"/>
      <w:bookmarkEnd w:id="21"/>
      <w:bookmarkEnd w:id="22"/>
      <w:bookmarkEnd w:id="23"/>
      <w:bookmarkEnd w:id="24"/>
    </w:p>
    <w:p w14:paraId="3EC30005">
      <w:pPr>
        <w:pStyle w:val="9"/>
        <w:spacing w:line="520" w:lineRule="exact"/>
        <w:ind w:firstLine="566"/>
        <w:jc w:val="both"/>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见本公告附件《招标物资包件清单》。</w:t>
      </w:r>
      <w:bookmarkStart w:id="25" w:name="_Toc376982916"/>
      <w:bookmarkStart w:id="26" w:name="_Toc152042290"/>
      <w:bookmarkStart w:id="27" w:name="_Toc258487779"/>
      <w:bookmarkStart w:id="28" w:name="_Toc144974482"/>
      <w:bookmarkStart w:id="29" w:name="_Toc152045514"/>
      <w:bookmarkStart w:id="30" w:name="_Toc238552179"/>
      <w:bookmarkStart w:id="31" w:name="_Toc238797534"/>
    </w:p>
    <w:p w14:paraId="7F4BA8D5">
      <w:pPr>
        <w:adjustRightInd w:val="0"/>
        <w:snapToGrid w:val="0"/>
        <w:spacing w:line="520" w:lineRule="exact"/>
        <w:ind w:firstLine="562" w:firstLineChars="200"/>
        <w:jc w:val="left"/>
        <w:outlineLvl w:val="1"/>
        <w:rPr>
          <w:rFonts w:hint="eastAsia" w:ascii="仿宋_GB2312" w:hAnsi="宋体" w:eastAsia="仿宋_GB2312"/>
          <w:b/>
          <w:color w:val="auto"/>
          <w:sz w:val="28"/>
          <w:szCs w:val="28"/>
          <w:highlight w:val="none"/>
        </w:rPr>
      </w:pPr>
      <w:bookmarkStart w:id="32" w:name="_Toc448150233"/>
      <w:bookmarkStart w:id="33" w:name="_Toc496856617"/>
      <w:bookmarkStart w:id="34" w:name="_Toc7027"/>
      <w:bookmarkStart w:id="35" w:name="_Toc496258916"/>
      <w:bookmarkStart w:id="36" w:name="_Toc496173339"/>
      <w:bookmarkStart w:id="37" w:name="_Toc452738706"/>
      <w:bookmarkStart w:id="38" w:name="_Toc452739171"/>
      <w:bookmarkStart w:id="39" w:name="_Toc477773492"/>
      <w:bookmarkStart w:id="40" w:name="_Toc496259136"/>
      <w:bookmarkStart w:id="41" w:name="_Toc381350427"/>
      <w:r>
        <w:rPr>
          <w:rFonts w:hint="eastAsia" w:ascii="仿宋_GB2312" w:hAnsi="宋体" w:eastAsia="仿宋_GB2312"/>
          <w:b/>
          <w:color w:val="auto"/>
          <w:sz w:val="28"/>
          <w:szCs w:val="28"/>
          <w:highlight w:val="none"/>
        </w:rPr>
        <w:t>3．投标人资格条件要求</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47E5AB95">
      <w:pPr>
        <w:adjustRightInd w:val="0"/>
        <w:snapToGrid w:val="0"/>
        <w:spacing w:line="520" w:lineRule="exact"/>
        <w:ind w:firstLine="560" w:firstLineChars="200"/>
        <w:jc w:val="left"/>
        <w:rPr>
          <w:rFonts w:ascii="仿宋_GB2312" w:hAnsi="宋体" w:eastAsia="仿宋_GB2312"/>
          <w:b/>
          <w:color w:val="auto"/>
          <w:sz w:val="28"/>
          <w:szCs w:val="28"/>
          <w:highlight w:val="none"/>
        </w:rPr>
      </w:pPr>
      <w:r>
        <w:rPr>
          <w:rFonts w:hint="eastAsia" w:ascii="仿宋_GB2312" w:hAnsi="宋体" w:eastAsia="仿宋_GB2312"/>
          <w:bCs/>
          <w:color w:val="auto"/>
          <w:sz w:val="28"/>
          <w:szCs w:val="28"/>
          <w:highlight w:val="none"/>
        </w:rPr>
        <w:t>见本公告附件《招标物资包件清单》。</w:t>
      </w:r>
    </w:p>
    <w:p w14:paraId="012C0ABC">
      <w:pPr>
        <w:adjustRightInd w:val="0"/>
        <w:snapToGrid w:val="0"/>
        <w:spacing w:line="520" w:lineRule="exact"/>
        <w:ind w:firstLine="562" w:firstLineChars="200"/>
        <w:jc w:val="left"/>
        <w:outlineLvl w:val="1"/>
        <w:rPr>
          <w:rFonts w:hint="eastAsia" w:ascii="仿宋_GB2312" w:hAnsi="宋体" w:eastAsia="仿宋_GB2312"/>
          <w:b/>
          <w:color w:val="auto"/>
          <w:sz w:val="28"/>
          <w:szCs w:val="28"/>
          <w:highlight w:val="none"/>
        </w:rPr>
      </w:pPr>
      <w:bookmarkStart w:id="42" w:name="_Toc152045515"/>
      <w:bookmarkStart w:id="43" w:name="_Toc258487780"/>
      <w:bookmarkStart w:id="44" w:name="_Toc452739173"/>
      <w:bookmarkStart w:id="45" w:name="_Toc152042291"/>
      <w:bookmarkStart w:id="46" w:name="_Toc448150235"/>
      <w:bookmarkStart w:id="47" w:name="_Toc144974483"/>
      <w:bookmarkStart w:id="48" w:name="_Toc381350431"/>
      <w:bookmarkStart w:id="49" w:name="_Toc238797535"/>
      <w:bookmarkStart w:id="50" w:name="_Toc376982918"/>
      <w:bookmarkStart w:id="51" w:name="_Toc496856618"/>
      <w:bookmarkStart w:id="52" w:name="_Toc477773493"/>
      <w:bookmarkStart w:id="53" w:name="_Toc496258917"/>
      <w:bookmarkStart w:id="54" w:name="_Toc238552180"/>
      <w:bookmarkStart w:id="55" w:name="_Toc496259137"/>
      <w:bookmarkStart w:id="56" w:name="_Toc496173340"/>
      <w:bookmarkStart w:id="57" w:name="_Toc28087"/>
      <w:bookmarkStart w:id="58" w:name="_Toc452738708"/>
      <w:r>
        <w:rPr>
          <w:rFonts w:hint="eastAsia" w:ascii="仿宋_GB2312" w:hAnsi="宋体" w:eastAsia="仿宋_GB2312"/>
          <w:b/>
          <w:color w:val="auto"/>
          <w:sz w:val="28"/>
          <w:szCs w:val="28"/>
          <w:highlight w:val="none"/>
        </w:rPr>
        <w:t>4．招标文件的获取</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2943C6D6">
      <w:pPr>
        <w:pStyle w:val="9"/>
        <w:spacing w:line="520" w:lineRule="exact"/>
        <w:ind w:firstLine="566"/>
        <w:jc w:val="both"/>
        <w:rPr>
          <w:rFonts w:ascii="仿宋_GB2312" w:hAnsi="宋体" w:eastAsia="仿宋_GB2312"/>
          <w:color w:val="auto"/>
          <w:sz w:val="28"/>
          <w:szCs w:val="28"/>
          <w:highlight w:val="none"/>
        </w:rPr>
      </w:pPr>
      <w:bookmarkStart w:id="59" w:name="_Toc376982920"/>
      <w:bookmarkStart w:id="60" w:name="_Toc258487782"/>
      <w:bookmarkStart w:id="61" w:name="_Toc152045517"/>
      <w:bookmarkStart w:id="62" w:name="_Toc144974485"/>
      <w:bookmarkStart w:id="63" w:name="_Toc258487784"/>
      <w:bookmarkStart w:id="64" w:name="_Toc238552183"/>
      <w:bookmarkStart w:id="65" w:name="_Toc152042293"/>
      <w:bookmarkStart w:id="66" w:name="_Toc376982922"/>
      <w:bookmarkStart w:id="67" w:name="_Toc238797538"/>
      <w:r>
        <w:rPr>
          <w:rFonts w:hint="eastAsia" w:ascii="仿宋_GB2312" w:hAnsi="宋体" w:eastAsia="仿宋_GB2312"/>
          <w:color w:val="auto"/>
          <w:sz w:val="28"/>
          <w:szCs w:val="28"/>
          <w:highlight w:val="none"/>
        </w:rPr>
        <w:t>4.1注册会员</w:t>
      </w:r>
    </w:p>
    <w:p w14:paraId="0D857A7F">
      <w:pPr>
        <w:pStyle w:val="9"/>
        <w:spacing w:line="520" w:lineRule="exact"/>
        <w:ind w:firstLine="566"/>
        <w:jc w:val="both"/>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投标人须在</w:t>
      </w:r>
      <w:r>
        <w:rPr>
          <w:rFonts w:hint="eastAsia" w:ascii="仿宋_GB2312" w:hAnsi="宋体" w:eastAsia="仿宋_GB2312"/>
          <w:b/>
          <w:bCs/>
          <w:color w:val="auto"/>
          <w:sz w:val="28"/>
          <w:szCs w:val="28"/>
          <w:highlight w:val="none"/>
        </w:rPr>
        <w:t>中国中铁采购电子商务平台</w:t>
      </w:r>
      <w:r>
        <w:rPr>
          <w:rFonts w:hint="eastAsia" w:ascii="仿宋_GB2312" w:hAnsi="宋体" w:eastAsia="仿宋_GB2312"/>
          <w:color w:val="auto"/>
          <w:sz w:val="28"/>
          <w:szCs w:val="28"/>
          <w:highlight w:val="none"/>
        </w:rPr>
        <w:t>（以下</w:t>
      </w:r>
      <w:r>
        <w:rPr>
          <w:rFonts w:hint="eastAsia" w:ascii="仿宋_GB2312" w:hAnsi="宋体" w:eastAsia="仿宋_GB2312"/>
          <w:bCs/>
          <w:color w:val="auto"/>
          <w:sz w:val="28"/>
          <w:szCs w:val="28"/>
          <w:highlight w:val="none"/>
        </w:rPr>
        <w:t>简称</w:t>
      </w:r>
      <w:r>
        <w:rPr>
          <w:rFonts w:hint="eastAsia" w:ascii="仿宋_GB2312" w:hAnsi="宋体" w:eastAsia="仿宋_GB2312"/>
          <w:b/>
          <w:color w:val="auto"/>
          <w:sz w:val="28"/>
          <w:szCs w:val="28"/>
          <w:highlight w:val="none"/>
        </w:rPr>
        <w:t>“鲁班平台”</w:t>
      </w:r>
      <w:r>
        <w:rPr>
          <w:rFonts w:hint="eastAsia" w:ascii="仿宋_GB2312" w:hAnsi="宋体" w:eastAsia="仿宋_GB2312"/>
          <w:color w:val="auto"/>
          <w:sz w:val="28"/>
          <w:szCs w:val="28"/>
          <w:highlight w:val="none"/>
        </w:rPr>
        <w:t>http://www.crecgec.com）进行供应商</w:t>
      </w:r>
      <w:r>
        <w:rPr>
          <w:rFonts w:hint="eastAsia" w:ascii="仿宋_GB2312" w:hAnsi="宋体" w:eastAsia="仿宋_GB2312"/>
          <w:b/>
          <w:bCs/>
          <w:color w:val="auto"/>
          <w:sz w:val="28"/>
          <w:szCs w:val="28"/>
          <w:highlight w:val="none"/>
        </w:rPr>
        <w:t>注册</w:t>
      </w:r>
      <w:r>
        <w:rPr>
          <w:rFonts w:hint="eastAsia" w:ascii="仿宋_GB2312" w:hAnsi="宋体" w:eastAsia="仿宋_GB2312"/>
          <w:color w:val="auto"/>
          <w:sz w:val="28"/>
          <w:szCs w:val="28"/>
          <w:highlight w:val="none"/>
        </w:rPr>
        <w:t>并缴费成为</w:t>
      </w:r>
      <w:r>
        <w:rPr>
          <w:rFonts w:hint="eastAsia" w:ascii="仿宋_GB2312" w:hAnsi="宋体" w:eastAsia="仿宋_GB2312"/>
          <w:b/>
          <w:bCs/>
          <w:color w:val="auto"/>
          <w:sz w:val="28"/>
          <w:szCs w:val="28"/>
          <w:highlight w:val="none"/>
        </w:rPr>
        <w:t>会员，</w:t>
      </w:r>
      <w:r>
        <w:rPr>
          <w:rFonts w:hint="eastAsia" w:ascii="仿宋_GB2312" w:hAnsi="宋体" w:eastAsia="仿宋_GB2312"/>
          <w:color w:val="auto"/>
          <w:sz w:val="28"/>
          <w:szCs w:val="28"/>
          <w:highlight w:val="none"/>
        </w:rPr>
        <w:t>鲁班平台对会员实行分级管理，不同的会员级别对应不同的物资类别交易范围，投标人可根据实际需求向鲁班平台申请会员级别并缴纳相应费用（注册与会员定级事宜请联系鲁班平台客服热线400-601-0100）。</w:t>
      </w:r>
    </w:p>
    <w:p w14:paraId="6F04E85E">
      <w:pPr>
        <w:pStyle w:val="9"/>
        <w:spacing w:line="520" w:lineRule="exact"/>
        <w:ind w:firstLine="566"/>
        <w:jc w:val="both"/>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4.2招标响应</w:t>
      </w:r>
    </w:p>
    <w:p w14:paraId="61C1B2FA">
      <w:pPr>
        <w:pStyle w:val="9"/>
        <w:spacing w:line="520" w:lineRule="exact"/>
        <w:ind w:firstLine="566"/>
        <w:jc w:val="both"/>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凡有意参加投标者：请于</w:t>
      </w:r>
      <w:r>
        <w:rPr>
          <w:rFonts w:hint="eastAsia" w:ascii="仿宋_GB2312" w:hAnsi="宋体" w:eastAsia="仿宋_GB2312"/>
          <w:color w:val="auto"/>
          <w:sz w:val="28"/>
          <w:szCs w:val="28"/>
          <w:highlight w:val="none"/>
          <w:u w:val="single"/>
        </w:rPr>
        <w:t>2024</w:t>
      </w:r>
      <w:r>
        <w:rPr>
          <w:rFonts w:hint="eastAsia" w:ascii="仿宋_GB2312" w:hAnsi="宋体" w:eastAsia="仿宋_GB2312"/>
          <w:color w:val="auto"/>
          <w:sz w:val="28"/>
          <w:szCs w:val="28"/>
          <w:highlight w:val="none"/>
        </w:rPr>
        <w:t>年</w:t>
      </w:r>
      <w:r>
        <w:rPr>
          <w:rFonts w:hint="eastAsia" w:ascii="仿宋_GB2312" w:hAnsi="宋体" w:eastAsia="仿宋_GB2312"/>
          <w:color w:val="auto"/>
          <w:sz w:val="28"/>
          <w:szCs w:val="28"/>
          <w:highlight w:val="none"/>
          <w:u w:val="single"/>
          <w:lang w:val="en-US" w:eastAsia="zh-CN"/>
        </w:rPr>
        <w:t xml:space="preserve"> 8 </w:t>
      </w:r>
      <w:r>
        <w:rPr>
          <w:rFonts w:hint="eastAsia" w:ascii="仿宋_GB2312" w:hAnsi="宋体" w:eastAsia="仿宋_GB2312"/>
          <w:color w:val="auto"/>
          <w:sz w:val="28"/>
          <w:szCs w:val="28"/>
          <w:highlight w:val="none"/>
        </w:rPr>
        <w:t>月</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lang w:val="en-US" w:eastAsia="zh-CN"/>
        </w:rPr>
        <w:t>28</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rPr>
        <w:t>日至</w:t>
      </w:r>
      <w:r>
        <w:rPr>
          <w:rFonts w:hint="eastAsia" w:ascii="仿宋_GB2312" w:hAnsi="宋体" w:eastAsia="仿宋_GB2312"/>
          <w:color w:val="auto"/>
          <w:sz w:val="28"/>
          <w:szCs w:val="28"/>
          <w:highlight w:val="none"/>
          <w:u w:val="single"/>
        </w:rPr>
        <w:t xml:space="preserve"> 2024 </w:t>
      </w:r>
      <w:r>
        <w:rPr>
          <w:rFonts w:hint="eastAsia" w:ascii="仿宋_GB2312" w:hAnsi="宋体" w:eastAsia="仿宋_GB2312"/>
          <w:color w:val="auto"/>
          <w:sz w:val="28"/>
          <w:szCs w:val="28"/>
          <w:highlight w:val="none"/>
        </w:rPr>
        <w:t>年</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lang w:val="en-US" w:eastAsia="zh-CN"/>
        </w:rPr>
        <w:t xml:space="preserve">9 </w:t>
      </w:r>
      <w:r>
        <w:rPr>
          <w:rFonts w:hint="eastAsia" w:ascii="仿宋_GB2312" w:hAnsi="宋体" w:eastAsia="仿宋_GB2312"/>
          <w:color w:val="auto"/>
          <w:sz w:val="28"/>
          <w:szCs w:val="28"/>
          <w:highlight w:val="none"/>
        </w:rPr>
        <w:t>月</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lang w:val="en-US" w:eastAsia="zh-CN"/>
        </w:rPr>
        <w:t>3</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rPr>
        <w:t>日</w:t>
      </w:r>
      <w:r>
        <w:rPr>
          <w:rFonts w:hint="eastAsia" w:ascii="仿宋_GB2312" w:hAnsi="宋体" w:eastAsia="仿宋_GB2312"/>
          <w:color w:val="auto"/>
          <w:sz w:val="28"/>
          <w:szCs w:val="28"/>
          <w:highlight w:val="none"/>
          <w:u w:val="single"/>
        </w:rPr>
        <w:t>17:00</w:t>
      </w:r>
      <w:r>
        <w:rPr>
          <w:rFonts w:hint="eastAsia" w:ascii="仿宋_GB2312" w:hAnsi="宋体" w:eastAsia="仿宋_GB2312"/>
          <w:color w:val="auto"/>
          <w:sz w:val="28"/>
          <w:szCs w:val="28"/>
          <w:highlight w:val="none"/>
        </w:rPr>
        <w:t>前（北京时间，下同），</w:t>
      </w:r>
      <w:r>
        <w:rPr>
          <w:rFonts w:hint="eastAsia" w:ascii="仿宋" w:hAnsi="仿宋" w:eastAsia="仿宋" w:cs="仿宋"/>
          <w:color w:val="auto"/>
          <w:sz w:val="28"/>
          <w:szCs w:val="28"/>
          <w:highlight w:val="none"/>
        </w:rPr>
        <w:t>在</w:t>
      </w:r>
      <w:r>
        <w:rPr>
          <w:rFonts w:hint="eastAsia" w:ascii="仿宋" w:hAnsi="仿宋" w:eastAsia="仿宋" w:cs="仿宋"/>
          <w:b/>
          <w:bCs/>
          <w:color w:val="auto"/>
          <w:sz w:val="28"/>
          <w:szCs w:val="28"/>
          <w:highlight w:val="none"/>
        </w:rPr>
        <w:t>鲁班平台</w:t>
      </w:r>
      <w:r>
        <w:rPr>
          <w:rFonts w:hint="eastAsia" w:ascii="仿宋" w:hAnsi="仿宋" w:eastAsia="仿宋" w:cs="仿宋"/>
          <w:color w:val="auto"/>
          <w:sz w:val="28"/>
          <w:szCs w:val="28"/>
          <w:highlight w:val="none"/>
        </w:rPr>
        <w:t>登录“供方交易系统二期”（采购信息栏）对本次招标进行</w:t>
      </w:r>
      <w:r>
        <w:rPr>
          <w:rFonts w:hint="eastAsia" w:ascii="仿宋" w:hAnsi="仿宋" w:eastAsia="仿宋" w:cs="仿宋"/>
          <w:b/>
          <w:bCs/>
          <w:color w:val="auto"/>
          <w:sz w:val="28"/>
          <w:szCs w:val="28"/>
          <w:highlight w:val="none"/>
        </w:rPr>
        <w:t>响应</w:t>
      </w:r>
      <w:r>
        <w:rPr>
          <w:rFonts w:hint="eastAsia" w:ascii="仿宋" w:hAnsi="仿宋" w:eastAsia="仿宋" w:cs="仿宋"/>
          <w:color w:val="auto"/>
          <w:sz w:val="28"/>
          <w:szCs w:val="28"/>
          <w:highlight w:val="none"/>
        </w:rPr>
        <w:t>（具体操作详见鲁班平台首页→右下角“客服”→“操作手册”）。</w:t>
      </w:r>
    </w:p>
    <w:p w14:paraId="3F27301E">
      <w:pPr>
        <w:pStyle w:val="9"/>
        <w:spacing w:line="520" w:lineRule="exact"/>
        <w:ind w:firstLine="566"/>
        <w:jc w:val="both"/>
        <w:rPr>
          <w:rFonts w:hint="eastAsia" w:ascii="仿宋" w:hAnsi="仿宋" w:eastAsia="仿宋" w:cs="仿宋"/>
          <w:color w:val="auto"/>
          <w:sz w:val="28"/>
          <w:szCs w:val="28"/>
          <w:highlight w:val="none"/>
        </w:rPr>
      </w:pPr>
      <w:r>
        <w:rPr>
          <w:rFonts w:hint="eastAsia" w:ascii="仿宋_GB2312" w:hAnsi="宋体" w:eastAsia="仿宋_GB2312"/>
          <w:color w:val="auto"/>
          <w:sz w:val="28"/>
          <w:szCs w:val="28"/>
          <w:highlight w:val="none"/>
        </w:rPr>
        <w:t>4.3招标文件下</w:t>
      </w:r>
      <w:r>
        <w:rPr>
          <w:rFonts w:hint="eastAsia" w:ascii="仿宋" w:hAnsi="仿宋" w:eastAsia="仿宋" w:cs="仿宋"/>
          <w:color w:val="auto"/>
          <w:sz w:val="28"/>
          <w:szCs w:val="28"/>
          <w:highlight w:val="none"/>
        </w:rPr>
        <w:t>载</w:t>
      </w:r>
    </w:p>
    <w:p w14:paraId="20928278">
      <w:pPr>
        <w:pStyle w:val="9"/>
        <w:spacing w:line="520" w:lineRule="exact"/>
        <w:ind w:firstLine="566"/>
        <w:jc w:val="both"/>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投标人完成投标响应后即可在投标响应界面自行下载电子版招标文件。</w:t>
      </w:r>
    </w:p>
    <w:p w14:paraId="30366047">
      <w:pPr>
        <w:adjustRightInd w:val="0"/>
        <w:snapToGrid w:val="0"/>
        <w:spacing w:line="520" w:lineRule="exact"/>
        <w:ind w:firstLine="562" w:firstLineChars="200"/>
        <w:jc w:val="left"/>
        <w:outlineLvl w:val="1"/>
        <w:rPr>
          <w:rFonts w:hint="eastAsia" w:ascii="仿宋_GB2312" w:hAnsi="宋体" w:eastAsia="仿宋_GB2312"/>
          <w:b/>
          <w:color w:val="auto"/>
          <w:sz w:val="28"/>
          <w:szCs w:val="28"/>
          <w:highlight w:val="none"/>
        </w:rPr>
      </w:pPr>
      <w:bookmarkStart w:id="68" w:name="_Toc496258918"/>
      <w:bookmarkStart w:id="69" w:name="_Toc496856619"/>
      <w:bookmarkStart w:id="70" w:name="_Toc452739174"/>
      <w:bookmarkStart w:id="71" w:name="_Toc496173341"/>
      <w:bookmarkStart w:id="72" w:name="_Toc3819"/>
      <w:bookmarkStart w:id="73" w:name="_Toc452738709"/>
      <w:bookmarkStart w:id="74" w:name="_Toc441849585"/>
      <w:bookmarkStart w:id="75" w:name="_Toc477773494"/>
      <w:bookmarkStart w:id="76" w:name="_Toc448150236"/>
      <w:bookmarkStart w:id="77" w:name="_Toc496259138"/>
      <w:bookmarkStart w:id="78" w:name="_Toc440615460"/>
      <w:r>
        <w:rPr>
          <w:rFonts w:hint="eastAsia" w:ascii="仿宋_GB2312" w:hAnsi="宋体" w:eastAsia="仿宋_GB2312"/>
          <w:b/>
          <w:color w:val="auto"/>
          <w:sz w:val="28"/>
          <w:szCs w:val="28"/>
          <w:highlight w:val="none"/>
        </w:rPr>
        <w:t>5．投标文件的递交</w:t>
      </w:r>
      <w:bookmarkEnd w:id="68"/>
      <w:bookmarkEnd w:id="69"/>
      <w:bookmarkEnd w:id="70"/>
      <w:bookmarkEnd w:id="71"/>
      <w:bookmarkEnd w:id="72"/>
      <w:bookmarkEnd w:id="73"/>
      <w:bookmarkEnd w:id="74"/>
      <w:bookmarkEnd w:id="75"/>
      <w:bookmarkEnd w:id="76"/>
      <w:bookmarkEnd w:id="77"/>
      <w:bookmarkEnd w:id="78"/>
    </w:p>
    <w:p w14:paraId="579CDF10">
      <w:pPr>
        <w:pStyle w:val="9"/>
        <w:spacing w:line="520" w:lineRule="exact"/>
        <w:ind w:firstLine="566"/>
        <w:jc w:val="both"/>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5.1</w:t>
      </w:r>
      <w:r>
        <w:rPr>
          <w:rFonts w:hint="eastAsia" w:ascii="仿宋_GB2312" w:hAnsi="宋体" w:eastAsia="仿宋_GB2312"/>
          <w:b/>
          <w:color w:val="auto"/>
          <w:sz w:val="28"/>
          <w:szCs w:val="28"/>
          <w:highlight w:val="none"/>
        </w:rPr>
        <w:t>投标人上传电子版投标文件</w:t>
      </w:r>
    </w:p>
    <w:p w14:paraId="3B2C850C">
      <w:pPr>
        <w:pStyle w:val="9"/>
        <w:spacing w:line="520" w:lineRule="exact"/>
        <w:ind w:firstLine="566"/>
        <w:jc w:val="both"/>
        <w:rPr>
          <w:rFonts w:hint="eastAsia" w:ascii="仿宋_GB2312" w:hAnsi="宋体" w:eastAsia="仿宋_GB2312"/>
          <w:color w:val="auto"/>
          <w:sz w:val="28"/>
          <w:szCs w:val="28"/>
          <w:highlight w:val="none"/>
        </w:rPr>
      </w:pPr>
      <w:r>
        <w:rPr>
          <w:rFonts w:hint="eastAsia" w:ascii="仿宋" w:hAnsi="仿宋" w:eastAsia="仿宋" w:cs="仿宋"/>
          <w:color w:val="auto"/>
          <w:sz w:val="28"/>
          <w:szCs w:val="28"/>
          <w:highlight w:val="none"/>
        </w:rPr>
        <w:t>本次招标通过鲁班平台接收投标文件；投标人须在规定时间前在鲁班平台</w:t>
      </w:r>
      <w:r>
        <w:rPr>
          <w:rFonts w:hint="eastAsia" w:ascii="仿宋" w:hAnsi="仿宋" w:eastAsia="仿宋" w:cs="仿宋"/>
          <w:b/>
          <w:bCs/>
          <w:color w:val="auto"/>
          <w:sz w:val="28"/>
          <w:szCs w:val="28"/>
          <w:highlight w:val="none"/>
        </w:rPr>
        <w:t>上传</w:t>
      </w:r>
      <w:r>
        <w:rPr>
          <w:rFonts w:hint="eastAsia" w:ascii="仿宋_GB2312" w:hAnsi="宋体" w:eastAsia="仿宋_GB2312"/>
          <w:b/>
          <w:color w:val="auto"/>
          <w:sz w:val="28"/>
          <w:szCs w:val="28"/>
          <w:highlight w:val="none"/>
        </w:rPr>
        <w:t>PDF</w:t>
      </w:r>
      <w:r>
        <w:rPr>
          <w:rFonts w:hint="eastAsia" w:ascii="仿宋" w:hAnsi="仿宋" w:eastAsia="仿宋" w:cs="仿宋"/>
          <w:color w:val="auto"/>
          <w:sz w:val="28"/>
          <w:szCs w:val="28"/>
          <w:highlight w:val="none"/>
        </w:rPr>
        <w:t>电子版投标文件，并在该平台填写</w:t>
      </w:r>
      <w:r>
        <w:rPr>
          <w:rFonts w:hint="eastAsia" w:ascii="仿宋" w:hAnsi="仿宋" w:eastAsia="仿宋" w:cs="仿宋"/>
          <w:b/>
          <w:bCs/>
          <w:color w:val="auto"/>
          <w:sz w:val="28"/>
          <w:szCs w:val="28"/>
          <w:highlight w:val="none"/>
        </w:rPr>
        <w:t>报价</w:t>
      </w:r>
      <w:r>
        <w:rPr>
          <w:rFonts w:hint="eastAsia" w:ascii="仿宋" w:hAnsi="仿宋" w:eastAsia="仿宋" w:cs="仿宋"/>
          <w:color w:val="auto"/>
          <w:sz w:val="28"/>
          <w:szCs w:val="28"/>
          <w:highlight w:val="none"/>
        </w:rPr>
        <w:t>。（投标人在鲁班平台的报价均为含税价；鲁班平台对所有上传该平台的投标文件和投标报价信息具有自动锁闭功能，任何人在开标前均无法查看和下载）</w:t>
      </w:r>
      <w:r>
        <w:rPr>
          <w:rFonts w:hint="eastAsia" w:ascii="仿宋" w:hAnsi="仿宋" w:eastAsia="仿宋" w:cs="仿宋"/>
          <w:b/>
          <w:bCs/>
          <w:color w:val="auto"/>
          <w:sz w:val="28"/>
          <w:szCs w:val="28"/>
          <w:highlight w:val="none"/>
        </w:rPr>
        <w:t>（特别提醒：</w:t>
      </w:r>
      <w:r>
        <w:rPr>
          <w:rFonts w:hint="eastAsia" w:ascii="仿宋" w:hAnsi="仿宋" w:eastAsia="仿宋" w:cs="仿宋"/>
          <w:color w:val="auto"/>
          <w:sz w:val="28"/>
          <w:szCs w:val="28"/>
          <w:highlight w:val="none"/>
        </w:rPr>
        <w:t>投标人宜提前上传投标文件，避免因网络拥堵未能按时完成文件上传，导致投标失效。</w:t>
      </w:r>
      <w:r>
        <w:rPr>
          <w:rFonts w:hint="eastAsia" w:ascii="仿宋" w:hAnsi="仿宋" w:eastAsia="仿宋" w:cs="仿宋"/>
          <w:b/>
          <w:bCs/>
          <w:color w:val="auto"/>
          <w:sz w:val="28"/>
          <w:szCs w:val="28"/>
          <w:highlight w:val="none"/>
        </w:rPr>
        <w:t>）</w:t>
      </w:r>
    </w:p>
    <w:p w14:paraId="57473590">
      <w:pPr>
        <w:widowControl/>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上传投标文件的截止时间（即投标截止时间）为：</w:t>
      </w:r>
      <w:r>
        <w:rPr>
          <w:rFonts w:hint="eastAsia" w:ascii="仿宋_GB2312" w:hAnsi="宋体" w:eastAsia="仿宋_GB2312"/>
          <w:color w:val="auto"/>
          <w:sz w:val="28"/>
          <w:szCs w:val="28"/>
          <w:highlight w:val="none"/>
          <w:u w:val="single"/>
        </w:rPr>
        <w:t>2024</w:t>
      </w:r>
      <w:r>
        <w:rPr>
          <w:rFonts w:hint="eastAsia" w:ascii="仿宋_GB2312" w:hAnsi="宋体" w:eastAsia="仿宋_GB2312"/>
          <w:color w:val="auto"/>
          <w:sz w:val="28"/>
          <w:szCs w:val="28"/>
          <w:highlight w:val="none"/>
        </w:rPr>
        <w:t>年</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lang w:val="en-US" w:eastAsia="zh-CN"/>
        </w:rPr>
        <w:t>9</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rPr>
        <w:t>月</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lang w:val="en-US" w:eastAsia="zh-CN"/>
        </w:rPr>
        <w:t>9</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rPr>
        <w:t>日</w:t>
      </w:r>
      <w:r>
        <w:rPr>
          <w:rFonts w:hint="eastAsia" w:ascii="仿宋_GB2312" w:hAnsi="宋体" w:eastAsia="仿宋_GB2312"/>
          <w:color w:val="auto"/>
          <w:sz w:val="28"/>
          <w:szCs w:val="28"/>
          <w:highlight w:val="none"/>
          <w:u w:val="single"/>
        </w:rPr>
        <w:t>1</w:t>
      </w:r>
      <w:r>
        <w:rPr>
          <w:rFonts w:hint="eastAsia" w:ascii="仿宋_GB2312" w:hAnsi="宋体" w:eastAsia="仿宋_GB2312"/>
          <w:color w:val="auto"/>
          <w:sz w:val="28"/>
          <w:szCs w:val="28"/>
          <w:highlight w:val="none"/>
          <w:u w:val="single"/>
          <w:lang w:val="en-US" w:eastAsia="zh-CN"/>
        </w:rPr>
        <w:t>4</w:t>
      </w:r>
      <w:r>
        <w:rPr>
          <w:rFonts w:hint="eastAsia" w:ascii="仿宋_GB2312" w:hAnsi="宋体" w:eastAsia="仿宋_GB2312"/>
          <w:color w:val="auto"/>
          <w:sz w:val="28"/>
          <w:szCs w:val="28"/>
          <w:highlight w:val="none"/>
        </w:rPr>
        <w:t>时</w:t>
      </w:r>
      <w:r>
        <w:rPr>
          <w:rFonts w:hint="eastAsia" w:ascii="仿宋_GB2312" w:hAnsi="宋体" w:eastAsia="仿宋_GB2312"/>
          <w:color w:val="auto"/>
          <w:sz w:val="28"/>
          <w:szCs w:val="28"/>
          <w:highlight w:val="none"/>
          <w:u w:val="single"/>
        </w:rPr>
        <w:t>00</w:t>
      </w:r>
      <w:r>
        <w:rPr>
          <w:rFonts w:hint="eastAsia" w:ascii="仿宋_GB2312" w:hAnsi="宋体" w:eastAsia="仿宋_GB2312"/>
          <w:color w:val="auto"/>
          <w:sz w:val="28"/>
          <w:szCs w:val="28"/>
          <w:highlight w:val="none"/>
        </w:rPr>
        <w:t>分。</w:t>
      </w:r>
    </w:p>
    <w:p w14:paraId="6C0F6BD3">
      <w:pPr>
        <w:widowControl/>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逾期上传投标文件或仅上传投标文件但不在鲁班平台报价，或仅在鲁班平台报价但不上传投标文件的，鲁班平台将自动判定为无效投标。</w:t>
      </w:r>
    </w:p>
    <w:p w14:paraId="72DDC7A4">
      <w:pPr>
        <w:widowControl/>
        <w:adjustRightInd w:val="0"/>
        <w:snapToGrid w:val="0"/>
        <w:spacing w:line="520" w:lineRule="exact"/>
        <w:ind w:firstLine="562" w:firstLineChars="200"/>
        <w:rPr>
          <w:rFonts w:hint="eastAsia" w:ascii="仿宋_GB2312" w:hAnsi="宋体" w:eastAsia="仿宋_GB2312"/>
          <w:b/>
          <w:color w:val="auto"/>
          <w:sz w:val="28"/>
          <w:szCs w:val="28"/>
          <w:highlight w:val="none"/>
        </w:rPr>
      </w:pPr>
      <w:bookmarkStart w:id="79" w:name="_Toc452738710"/>
      <w:r>
        <w:rPr>
          <w:rFonts w:hint="eastAsia" w:ascii="仿宋_GB2312" w:hAnsi="宋体" w:eastAsia="仿宋_GB2312"/>
          <w:b/>
          <w:color w:val="auto"/>
          <w:sz w:val="28"/>
          <w:szCs w:val="28"/>
          <w:highlight w:val="none"/>
        </w:rPr>
        <w:t>5.2中标候选人邮寄纸质版投标文件</w:t>
      </w:r>
    </w:p>
    <w:p w14:paraId="3F84B1B0">
      <w:pPr>
        <w:widowControl/>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各中标候选人须在评标结果公示结束之日起3日内将纸质版投标文件（正本1份、副本1份）以快递方式寄出给招标人，各包件投标文件正本、副本可合并打包邮寄，邮寄费用由寄件方承担，招标人拒绝接收以</w:t>
      </w:r>
      <w:r>
        <w:rPr>
          <w:rFonts w:hint="eastAsia" w:ascii="仿宋_GB2312" w:hAnsi="宋体" w:eastAsia="仿宋_GB2312"/>
          <w:b/>
          <w:bCs/>
          <w:color w:val="auto"/>
          <w:sz w:val="28"/>
          <w:szCs w:val="28"/>
          <w:highlight w:val="none"/>
        </w:rPr>
        <w:t>到付方式</w:t>
      </w:r>
      <w:r>
        <w:rPr>
          <w:rFonts w:hint="eastAsia" w:ascii="仿宋_GB2312" w:hAnsi="宋体" w:eastAsia="仿宋_GB2312"/>
          <w:color w:val="auto"/>
          <w:sz w:val="28"/>
          <w:szCs w:val="28"/>
          <w:highlight w:val="none"/>
        </w:rPr>
        <w:t>邮寄的投标文件，收件地址和收件人信息详见本公告8.1。</w:t>
      </w:r>
    </w:p>
    <w:p w14:paraId="030FA562">
      <w:pPr>
        <w:widowControl/>
        <w:adjustRightInd w:val="0"/>
        <w:snapToGrid w:val="0"/>
        <w:spacing w:line="520" w:lineRule="exact"/>
        <w:ind w:firstLine="560" w:firstLineChars="200"/>
        <w:rPr>
          <w:rFonts w:hint="eastAsia" w:ascii="仿宋_GB2312" w:hAnsi="宋体" w:eastAsia="仿宋_GB2312"/>
          <w:b/>
          <w:color w:val="auto"/>
          <w:sz w:val="28"/>
          <w:szCs w:val="28"/>
          <w:highlight w:val="none"/>
        </w:rPr>
      </w:pPr>
      <w:r>
        <w:rPr>
          <w:rFonts w:hint="eastAsia" w:ascii="仿宋_GB2312" w:hAnsi="宋体" w:eastAsia="仿宋_GB2312"/>
          <w:color w:val="auto"/>
          <w:sz w:val="28"/>
          <w:szCs w:val="28"/>
          <w:highlight w:val="none"/>
        </w:rPr>
        <w:t>中标候选人邮寄的纸质版投标文件的内容和格式须与其上传鲁班平台的PDF版投标文件一致；未按要求寄送纸质投标文件的投标人，</w:t>
      </w:r>
      <w:r>
        <w:rPr>
          <w:rFonts w:hint="eastAsia" w:ascii="仿宋_GB2312" w:hAnsi="宋体" w:eastAsia="仿宋_GB2312"/>
          <w:b/>
          <w:color w:val="auto"/>
          <w:sz w:val="28"/>
          <w:szCs w:val="28"/>
          <w:highlight w:val="none"/>
        </w:rPr>
        <w:t>视为无效投标</w:t>
      </w:r>
      <w:r>
        <w:rPr>
          <w:rFonts w:hint="eastAsia" w:ascii="仿宋_GB2312" w:hAnsi="宋体" w:eastAsia="仿宋_GB2312"/>
          <w:color w:val="auto"/>
          <w:sz w:val="28"/>
          <w:szCs w:val="28"/>
          <w:highlight w:val="none"/>
        </w:rPr>
        <w:t>，</w:t>
      </w:r>
      <w:r>
        <w:rPr>
          <w:rFonts w:hint="eastAsia" w:ascii="仿宋_GB2312" w:hAnsi="宋体" w:eastAsia="仿宋_GB2312"/>
          <w:b/>
          <w:color w:val="auto"/>
          <w:sz w:val="28"/>
          <w:szCs w:val="28"/>
          <w:highlight w:val="none"/>
        </w:rPr>
        <w:t>招标人对其投标予以否决。</w:t>
      </w:r>
      <w:bookmarkEnd w:id="79"/>
    </w:p>
    <w:p w14:paraId="51F644E2">
      <w:pPr>
        <w:adjustRightInd w:val="0"/>
        <w:snapToGrid w:val="0"/>
        <w:spacing w:line="520" w:lineRule="exact"/>
        <w:ind w:firstLine="551" w:firstLineChars="196"/>
        <w:jc w:val="left"/>
        <w:outlineLvl w:val="1"/>
        <w:rPr>
          <w:rFonts w:hint="eastAsia" w:ascii="仿宋_GB2312" w:hAnsi="宋体" w:eastAsia="仿宋_GB2312"/>
          <w:b/>
          <w:color w:val="auto"/>
          <w:sz w:val="28"/>
          <w:szCs w:val="28"/>
          <w:highlight w:val="none"/>
        </w:rPr>
      </w:pPr>
      <w:bookmarkStart w:id="80" w:name="_Toc496259139"/>
      <w:bookmarkStart w:id="81" w:name="_Toc477773495"/>
      <w:bookmarkStart w:id="82" w:name="_Toc26754"/>
      <w:bookmarkStart w:id="83" w:name="_Toc496258919"/>
      <w:bookmarkStart w:id="84" w:name="_Toc452739175"/>
      <w:bookmarkStart w:id="85" w:name="_Toc441849586"/>
      <w:bookmarkStart w:id="86" w:name="_Toc496856620"/>
      <w:bookmarkStart w:id="87" w:name="_Toc496173342"/>
      <w:bookmarkStart w:id="88" w:name="_Toc448150237"/>
      <w:bookmarkStart w:id="89" w:name="_Toc452738711"/>
      <w:bookmarkStart w:id="90" w:name="_Toc440615461"/>
      <w:r>
        <w:rPr>
          <w:rFonts w:hint="eastAsia" w:ascii="仿宋_GB2312" w:hAnsi="宋体" w:eastAsia="仿宋_GB2312"/>
          <w:b/>
          <w:color w:val="auto"/>
          <w:sz w:val="28"/>
          <w:szCs w:val="28"/>
          <w:highlight w:val="none"/>
        </w:rPr>
        <w:t>6．开标</w:t>
      </w:r>
      <w:bookmarkEnd w:id="80"/>
      <w:bookmarkEnd w:id="81"/>
      <w:bookmarkEnd w:id="82"/>
      <w:bookmarkEnd w:id="83"/>
      <w:bookmarkEnd w:id="84"/>
      <w:bookmarkEnd w:id="85"/>
      <w:bookmarkEnd w:id="86"/>
      <w:bookmarkEnd w:id="87"/>
      <w:bookmarkEnd w:id="88"/>
      <w:bookmarkEnd w:id="89"/>
      <w:bookmarkEnd w:id="90"/>
    </w:p>
    <w:p w14:paraId="7CE14486">
      <w:pPr>
        <w:widowControl/>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6.1开标时间：</w:t>
      </w:r>
      <w:r>
        <w:rPr>
          <w:rFonts w:hint="eastAsia" w:ascii="仿宋_GB2312" w:hAnsi="宋体" w:eastAsia="仿宋_GB2312"/>
          <w:color w:val="auto"/>
          <w:sz w:val="28"/>
          <w:szCs w:val="28"/>
          <w:highlight w:val="none"/>
          <w:u w:val="single"/>
        </w:rPr>
        <w:t xml:space="preserve"> 2024 </w:t>
      </w:r>
      <w:r>
        <w:rPr>
          <w:rFonts w:hint="eastAsia" w:ascii="仿宋_GB2312" w:hAnsi="宋体" w:eastAsia="仿宋_GB2312"/>
          <w:color w:val="auto"/>
          <w:sz w:val="28"/>
          <w:szCs w:val="28"/>
          <w:highlight w:val="none"/>
        </w:rPr>
        <w:t>年</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lang w:val="en-US" w:eastAsia="zh-CN"/>
        </w:rPr>
        <w:t>9</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rPr>
        <w:t>月</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lang w:val="en-US" w:eastAsia="zh-CN"/>
        </w:rPr>
        <w:t>9</w:t>
      </w:r>
      <w:r>
        <w:rPr>
          <w:rFonts w:hint="eastAsia" w:ascii="仿宋_GB2312" w:hAnsi="宋体" w:eastAsia="仿宋_GB2312"/>
          <w:color w:val="auto"/>
          <w:sz w:val="28"/>
          <w:szCs w:val="28"/>
          <w:highlight w:val="none"/>
        </w:rPr>
        <w:t>日</w:t>
      </w:r>
      <w:r>
        <w:rPr>
          <w:rFonts w:hint="eastAsia" w:ascii="仿宋_GB2312" w:hAnsi="宋体" w:eastAsia="仿宋_GB2312"/>
          <w:color w:val="auto"/>
          <w:sz w:val="28"/>
          <w:szCs w:val="28"/>
          <w:highlight w:val="none"/>
          <w:u w:val="single"/>
        </w:rPr>
        <w:t>1</w:t>
      </w:r>
      <w:r>
        <w:rPr>
          <w:rFonts w:hint="eastAsia" w:ascii="仿宋_GB2312" w:hAnsi="宋体" w:eastAsia="仿宋_GB2312"/>
          <w:color w:val="auto"/>
          <w:sz w:val="28"/>
          <w:szCs w:val="28"/>
          <w:highlight w:val="none"/>
          <w:u w:val="single"/>
          <w:lang w:val="en-US" w:eastAsia="zh-CN"/>
        </w:rPr>
        <w:t>4</w:t>
      </w:r>
      <w:r>
        <w:rPr>
          <w:rFonts w:hint="eastAsia" w:ascii="仿宋_GB2312" w:hAnsi="宋体" w:eastAsia="仿宋_GB2312"/>
          <w:color w:val="auto"/>
          <w:sz w:val="28"/>
          <w:szCs w:val="28"/>
          <w:highlight w:val="none"/>
        </w:rPr>
        <w:t>时</w:t>
      </w:r>
      <w:r>
        <w:rPr>
          <w:rFonts w:hint="eastAsia" w:ascii="仿宋_GB2312" w:hAnsi="宋体" w:eastAsia="仿宋_GB2312"/>
          <w:color w:val="auto"/>
          <w:sz w:val="28"/>
          <w:szCs w:val="28"/>
          <w:highlight w:val="none"/>
          <w:u w:val="single"/>
        </w:rPr>
        <w:t>00</w:t>
      </w:r>
      <w:r>
        <w:rPr>
          <w:rFonts w:hint="eastAsia" w:ascii="仿宋_GB2312" w:hAnsi="宋体" w:eastAsia="仿宋_GB2312"/>
          <w:color w:val="auto"/>
          <w:sz w:val="28"/>
          <w:szCs w:val="28"/>
          <w:highlight w:val="none"/>
        </w:rPr>
        <w:t>分（投标截止时间）。</w:t>
      </w:r>
    </w:p>
    <w:p w14:paraId="70C52BD2">
      <w:pPr>
        <w:widowControl/>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6.2本次招标在鲁班平台实行</w:t>
      </w:r>
      <w:r>
        <w:rPr>
          <w:rFonts w:hint="eastAsia" w:ascii="仿宋_GB2312" w:hAnsi="宋体" w:eastAsia="仿宋_GB2312"/>
          <w:b/>
          <w:bCs/>
          <w:color w:val="auto"/>
          <w:sz w:val="28"/>
          <w:szCs w:val="28"/>
          <w:highlight w:val="none"/>
        </w:rPr>
        <w:t>网络在线开标</w:t>
      </w:r>
      <w:r>
        <w:rPr>
          <w:rFonts w:hint="eastAsia" w:ascii="仿宋_GB2312" w:hAnsi="宋体" w:eastAsia="仿宋_GB2312"/>
          <w:color w:val="auto"/>
          <w:sz w:val="28"/>
          <w:szCs w:val="28"/>
          <w:highlight w:val="none"/>
        </w:rPr>
        <w:t>。</w:t>
      </w:r>
    </w:p>
    <w:p w14:paraId="694B0124">
      <w:pPr>
        <w:widowControl/>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投标人法定代表人或其委托代理人登录鲁班平台进入线上开标大厅参加开标；开标工作人员执行“开标”操作后，各家投标报价自动解锁，投标人即可以在线查看包件报价列表。</w:t>
      </w:r>
    </w:p>
    <w:p w14:paraId="766E2543">
      <w:pPr>
        <w:widowControl/>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上述安排如有变化，招标人将通过发布公告的媒介发布通知。</w:t>
      </w:r>
    </w:p>
    <w:bookmarkEnd w:id="59"/>
    <w:bookmarkEnd w:id="60"/>
    <w:p w14:paraId="4AC7043C">
      <w:pPr>
        <w:adjustRightInd w:val="0"/>
        <w:snapToGrid w:val="0"/>
        <w:spacing w:line="520" w:lineRule="exact"/>
        <w:ind w:firstLine="562" w:firstLineChars="200"/>
        <w:jc w:val="left"/>
        <w:outlineLvl w:val="1"/>
        <w:rPr>
          <w:rFonts w:hint="eastAsia" w:ascii="仿宋_GB2312" w:hAnsi="宋体" w:eastAsia="仿宋_GB2312"/>
          <w:b/>
          <w:color w:val="auto"/>
          <w:sz w:val="28"/>
          <w:szCs w:val="28"/>
          <w:highlight w:val="none"/>
        </w:rPr>
      </w:pPr>
      <w:bookmarkStart w:id="91" w:name="_Toc496259140"/>
      <w:bookmarkStart w:id="92" w:name="_Toc496258920"/>
      <w:bookmarkStart w:id="93" w:name="_Toc452738712"/>
      <w:bookmarkStart w:id="94" w:name="_Toc258487783"/>
      <w:bookmarkStart w:id="95" w:name="_Toc21657"/>
      <w:bookmarkStart w:id="96" w:name="_Toc477773496"/>
      <w:bookmarkStart w:id="97" w:name="_Toc238797537"/>
      <w:bookmarkStart w:id="98" w:name="_Toc448150238"/>
      <w:bookmarkStart w:id="99" w:name="_Toc238552182"/>
      <w:bookmarkStart w:id="100" w:name="_Toc496856621"/>
      <w:bookmarkStart w:id="101" w:name="_Toc452739176"/>
      <w:bookmarkStart w:id="102" w:name="_Toc376982921"/>
      <w:bookmarkStart w:id="103" w:name="_Toc157499355"/>
      <w:bookmarkStart w:id="104" w:name="_Toc381350435"/>
      <w:bookmarkStart w:id="105" w:name="_Toc496173343"/>
      <w:r>
        <w:rPr>
          <w:rFonts w:hint="eastAsia" w:ascii="仿宋_GB2312" w:hAnsi="宋体" w:eastAsia="仿宋_GB2312"/>
          <w:b/>
          <w:color w:val="auto"/>
          <w:sz w:val="28"/>
          <w:szCs w:val="28"/>
          <w:highlight w:val="none"/>
        </w:rPr>
        <w:t>7．发布公告的媒介</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4A005B0">
      <w:pPr>
        <w:widowControl/>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本次招标公告在鲁班平台（http://www.crecgec.com）、中国招标投标公共服务平台（http://www.cebpubservice.com）网站上发布。</w:t>
      </w:r>
    </w:p>
    <w:bookmarkEnd w:id="61"/>
    <w:bookmarkEnd w:id="62"/>
    <w:bookmarkEnd w:id="63"/>
    <w:bookmarkEnd w:id="64"/>
    <w:bookmarkEnd w:id="65"/>
    <w:bookmarkEnd w:id="66"/>
    <w:bookmarkEnd w:id="67"/>
    <w:p w14:paraId="4F2BF67E">
      <w:pPr>
        <w:numPr>
          <w:ilvl w:val="0"/>
          <w:numId w:val="1"/>
        </w:numPr>
        <w:adjustRightInd w:val="0"/>
        <w:snapToGrid w:val="0"/>
        <w:spacing w:line="520" w:lineRule="exact"/>
        <w:ind w:firstLine="562" w:firstLineChars="200"/>
        <w:jc w:val="left"/>
        <w:outlineLvl w:val="1"/>
        <w:rPr>
          <w:rFonts w:hint="eastAsia" w:ascii="仿宋_GB2312" w:hAnsi="宋体" w:eastAsia="仿宋_GB2312"/>
          <w:b/>
          <w:color w:val="auto"/>
          <w:sz w:val="28"/>
          <w:szCs w:val="28"/>
          <w:highlight w:val="none"/>
        </w:rPr>
      </w:pPr>
      <w:bookmarkStart w:id="106" w:name="_Toc21615"/>
      <w:r>
        <w:rPr>
          <w:rFonts w:hint="eastAsia" w:ascii="仿宋_GB2312" w:hAnsi="宋体" w:eastAsia="仿宋_GB2312"/>
          <w:b/>
          <w:color w:val="auto"/>
          <w:sz w:val="28"/>
          <w:szCs w:val="28"/>
          <w:highlight w:val="none"/>
        </w:rPr>
        <w:t>招标人信息</w:t>
      </w:r>
    </w:p>
    <w:bookmarkEnd w:id="106"/>
    <w:p w14:paraId="586601F1">
      <w:pPr>
        <w:adjustRightInd w:val="0"/>
        <w:snapToGrid w:val="0"/>
        <w:spacing w:line="520" w:lineRule="exact"/>
        <w:ind w:left="1" w:firstLine="562" w:firstLineChars="200"/>
        <w:rPr>
          <w:rFonts w:hint="eastAsia" w:ascii="仿宋_GB2312" w:hAnsi="宋体" w:eastAsia="仿宋_GB2312"/>
          <w:b/>
          <w:bCs/>
          <w:color w:val="auto"/>
          <w:sz w:val="28"/>
          <w:szCs w:val="28"/>
          <w:highlight w:val="none"/>
        </w:rPr>
      </w:pPr>
      <w:r>
        <w:rPr>
          <w:rFonts w:hint="eastAsia" w:ascii="仿宋_GB2312" w:hAnsi="宋体" w:eastAsia="仿宋_GB2312"/>
          <w:b/>
          <w:bCs/>
          <w:color w:val="auto"/>
          <w:sz w:val="28"/>
          <w:szCs w:val="28"/>
          <w:highlight w:val="none"/>
        </w:rPr>
        <w:t>8.1招标人信息</w:t>
      </w:r>
    </w:p>
    <w:p w14:paraId="2C07BC92">
      <w:pPr>
        <w:adjustRightInd w:val="0"/>
        <w:snapToGrid w:val="0"/>
        <w:spacing w:line="520" w:lineRule="exact"/>
        <w:ind w:firstLine="560" w:firstLineChars="200"/>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招标人：</w:t>
      </w:r>
      <w:r>
        <w:rPr>
          <w:rFonts w:hint="eastAsia" w:ascii="仿宋_GB2312" w:hAnsi="宋体" w:eastAsia="仿宋_GB2312"/>
          <w:color w:val="auto"/>
          <w:sz w:val="28"/>
          <w:szCs w:val="28"/>
          <w:highlight w:val="none"/>
          <w:u w:val="single"/>
          <w:lang w:eastAsia="zh-CN"/>
        </w:rPr>
        <w:t>中铁五局集团有限公司</w:t>
      </w:r>
      <w:r>
        <w:rPr>
          <w:rFonts w:hint="eastAsia" w:ascii="仿宋_GB2312" w:hAnsi="宋体" w:eastAsia="仿宋_GB2312"/>
          <w:color w:val="auto"/>
          <w:sz w:val="28"/>
          <w:szCs w:val="28"/>
          <w:highlight w:val="none"/>
          <w:u w:val="single"/>
          <w:lang w:val="en-US" w:eastAsia="zh-CN"/>
        </w:rPr>
        <w:t>雪马山4A景区基础设施建设</w:t>
      </w:r>
      <w:r>
        <w:rPr>
          <w:rFonts w:hint="eastAsia" w:ascii="仿宋_GB2312" w:hAnsi="宋体" w:eastAsia="仿宋_GB2312"/>
          <w:color w:val="auto"/>
          <w:sz w:val="28"/>
          <w:szCs w:val="28"/>
          <w:highlight w:val="none"/>
          <w:u w:val="single"/>
          <w:lang w:eastAsia="zh-CN"/>
        </w:rPr>
        <w:t>项目部</w:t>
      </w:r>
    </w:p>
    <w:p w14:paraId="0F61732A">
      <w:pPr>
        <w:adjustRightInd w:val="0"/>
        <w:snapToGrid w:val="0"/>
        <w:spacing w:line="520" w:lineRule="exact"/>
        <w:ind w:firstLine="560" w:firstLineChars="200"/>
        <w:rPr>
          <w:rFonts w:hint="default" w:ascii="仿宋_GB2312" w:hAnsi="宋体" w:eastAsia="仿宋_GB2312"/>
          <w:color w:val="auto"/>
          <w:sz w:val="28"/>
          <w:szCs w:val="28"/>
          <w:highlight w:val="none"/>
          <w:lang w:val="en-US" w:eastAsia="zh-CN"/>
        </w:rPr>
      </w:pPr>
      <w:r>
        <w:rPr>
          <w:rFonts w:hint="eastAsia" w:ascii="仿宋_GB2312" w:hAnsi="宋体" w:eastAsia="仿宋_GB2312"/>
          <w:color w:val="auto"/>
          <w:sz w:val="28"/>
          <w:szCs w:val="28"/>
          <w:highlight w:val="none"/>
        </w:rPr>
        <w:t>地  址：</w:t>
      </w:r>
      <w:r>
        <w:rPr>
          <w:rFonts w:hint="eastAsia" w:ascii="仿宋_GB2312" w:hAnsi="宋体" w:eastAsia="仿宋_GB2312"/>
          <w:color w:val="auto"/>
          <w:sz w:val="28"/>
          <w:szCs w:val="28"/>
          <w:highlight w:val="none"/>
          <w:u w:val="single"/>
          <w:lang w:val="en-US" w:eastAsia="zh-CN"/>
        </w:rPr>
        <w:t>四川马尔康市</w:t>
      </w:r>
    </w:p>
    <w:p w14:paraId="23C36176">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联系人：</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lang w:eastAsia="zh-CN"/>
        </w:rPr>
        <w:t>石培焕</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rPr>
        <w:t xml:space="preserve"> 电话：</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lang w:eastAsia="zh-CN"/>
        </w:rPr>
        <w:t>18184156847</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rPr>
        <w:t xml:space="preserve">  邮箱：</w:t>
      </w:r>
      <w:r>
        <w:rPr>
          <w:rFonts w:hint="eastAsia"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lang w:eastAsia="zh-CN"/>
        </w:rPr>
        <w:t>549634601@qq.com</w:t>
      </w:r>
      <w:r>
        <w:rPr>
          <w:rFonts w:hint="eastAsia" w:ascii="仿宋_GB2312" w:hAnsi="宋体" w:eastAsia="仿宋_GB2312"/>
          <w:color w:val="auto"/>
          <w:sz w:val="28"/>
          <w:szCs w:val="28"/>
          <w:highlight w:val="none"/>
          <w:u w:val="single"/>
        </w:rPr>
        <w:t xml:space="preserve"> </w:t>
      </w:r>
    </w:p>
    <w:p w14:paraId="19AAEA91">
      <w:pPr>
        <w:adjustRightInd w:val="0"/>
        <w:snapToGrid w:val="0"/>
        <w:spacing w:line="520" w:lineRule="exact"/>
        <w:ind w:firstLine="562" w:firstLineChars="200"/>
        <w:rPr>
          <w:rFonts w:hint="eastAsia" w:ascii="仿宋_GB2312" w:hAnsi="宋体" w:eastAsia="仿宋_GB2312"/>
          <w:b/>
          <w:bCs/>
          <w:color w:val="auto"/>
          <w:sz w:val="28"/>
          <w:szCs w:val="28"/>
          <w:highlight w:val="none"/>
        </w:rPr>
      </w:pPr>
      <w:r>
        <w:rPr>
          <w:rFonts w:hint="eastAsia" w:ascii="仿宋_GB2312" w:hAnsi="宋体" w:eastAsia="仿宋_GB2312"/>
          <w:b/>
          <w:bCs/>
          <w:color w:val="auto"/>
          <w:sz w:val="28"/>
          <w:szCs w:val="28"/>
          <w:highlight w:val="none"/>
        </w:rPr>
        <w:t>8.2招标组织人信息</w:t>
      </w:r>
    </w:p>
    <w:p w14:paraId="4A82065A">
      <w:pPr>
        <w:adjustRightInd w:val="0"/>
        <w:snapToGrid w:val="0"/>
        <w:spacing w:line="520" w:lineRule="exact"/>
        <w:ind w:firstLine="560" w:firstLineChars="200"/>
        <w:rPr>
          <w:rFonts w:hint="eastAsia" w:ascii="仿宋_GB2312" w:hAnsi="宋体" w:eastAsia="仿宋_GB2312"/>
          <w:color w:val="auto"/>
          <w:sz w:val="28"/>
          <w:szCs w:val="28"/>
          <w:highlight w:val="none"/>
          <w:u w:val="single"/>
        </w:rPr>
      </w:pPr>
      <w:r>
        <w:rPr>
          <w:rFonts w:hint="eastAsia" w:ascii="仿宋_GB2312" w:hAnsi="宋体" w:eastAsia="仿宋_GB2312"/>
          <w:color w:val="auto"/>
          <w:sz w:val="28"/>
          <w:szCs w:val="28"/>
          <w:highlight w:val="none"/>
        </w:rPr>
        <w:t>招标组织人：</w:t>
      </w:r>
      <w:r>
        <w:rPr>
          <w:rFonts w:hint="eastAsia" w:ascii="仿宋" w:hAnsi="仿宋" w:eastAsia="仿宋" w:cs="仿宋"/>
          <w:color w:val="auto"/>
          <w:sz w:val="28"/>
          <w:szCs w:val="28"/>
          <w:highlight w:val="none"/>
          <w:u w:val="single"/>
        </w:rPr>
        <w:t>中铁五局集团有限公司物资招标交易中心</w:t>
      </w:r>
    </w:p>
    <w:p w14:paraId="533D3C56">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（1）招标文件的下载、投标保证金的递交</w:t>
      </w:r>
    </w:p>
    <w:p w14:paraId="1ABAF3CD">
      <w:pPr>
        <w:adjustRightInd w:val="0"/>
        <w:snapToGrid w:val="0"/>
        <w:spacing w:line="520" w:lineRule="exact"/>
        <w:ind w:firstLine="560" w:firstLineChars="200"/>
        <w:rPr>
          <w:rFonts w:hint="eastAsia" w:ascii="仿宋" w:hAnsi="仿宋" w:eastAsia="仿宋" w:cs="仿宋"/>
          <w:color w:val="auto"/>
          <w:sz w:val="28"/>
          <w:szCs w:val="28"/>
          <w:highlight w:val="none"/>
          <w:u w:val="single"/>
        </w:rPr>
      </w:pPr>
      <w:bookmarkStart w:id="107" w:name="_Toc452738714"/>
      <w:bookmarkStart w:id="108" w:name="_Toc448150240"/>
      <w:bookmarkStart w:id="109" w:name="_Toc452739178"/>
      <w:r>
        <w:rPr>
          <w:rFonts w:hint="eastAsia" w:ascii="仿宋_GB2312" w:hAnsi="宋体" w:eastAsia="仿宋_GB2312"/>
          <w:color w:val="auto"/>
          <w:sz w:val="28"/>
          <w:szCs w:val="28"/>
          <w:highlight w:val="none"/>
        </w:rPr>
        <w:t>联系人：</w:t>
      </w:r>
      <w:r>
        <w:rPr>
          <w:rFonts w:hint="eastAsia" w:ascii="仿宋_GB2312" w:hAnsi="宋体" w:eastAsia="仿宋_GB2312"/>
          <w:color w:val="auto"/>
          <w:sz w:val="28"/>
          <w:szCs w:val="28"/>
          <w:highlight w:val="none"/>
          <w:u w:val="single"/>
        </w:rPr>
        <w:t>中铁五局</w:t>
      </w:r>
      <w:r>
        <w:rPr>
          <w:rFonts w:hint="eastAsia" w:ascii="仿宋" w:hAnsi="仿宋" w:eastAsia="仿宋" w:cs="仿宋"/>
          <w:color w:val="auto"/>
          <w:sz w:val="28"/>
          <w:szCs w:val="28"/>
          <w:highlight w:val="none"/>
          <w:u w:val="single"/>
        </w:rPr>
        <w:t>招标中心</w:t>
      </w:r>
    </w:p>
    <w:p w14:paraId="3E700A59">
      <w:pPr>
        <w:adjustRightInd w:val="0"/>
        <w:snapToGrid w:val="0"/>
        <w:spacing w:line="520" w:lineRule="exact"/>
        <w:ind w:firstLine="560" w:firstLineChars="200"/>
        <w:rPr>
          <w:rFonts w:hint="eastAsia" w:ascii="仿宋" w:hAnsi="仿宋" w:eastAsia="仿宋" w:cs="仿宋"/>
          <w:color w:val="auto"/>
          <w:sz w:val="28"/>
          <w:szCs w:val="28"/>
          <w:highlight w:val="none"/>
        </w:rPr>
      </w:pPr>
      <w:r>
        <w:rPr>
          <w:rFonts w:hint="eastAsia" w:ascii="仿宋_GB2312" w:hAnsi="宋体" w:eastAsia="仿宋_GB2312"/>
          <w:color w:val="auto"/>
          <w:sz w:val="28"/>
          <w:szCs w:val="28"/>
          <w:highlight w:val="none"/>
        </w:rPr>
        <w:t>电话：</w:t>
      </w:r>
      <w:r>
        <w:rPr>
          <w:rFonts w:hint="eastAsia" w:ascii="仿宋" w:hAnsi="仿宋" w:eastAsia="仿宋" w:cs="仿宋"/>
          <w:color w:val="auto"/>
          <w:sz w:val="28"/>
          <w:szCs w:val="28"/>
          <w:highlight w:val="none"/>
          <w:u w:val="single"/>
        </w:rPr>
        <w:t>0731-85921633/85921632</w:t>
      </w:r>
      <w:r>
        <w:rPr>
          <w:rFonts w:hint="eastAsia" w:ascii="仿宋" w:hAnsi="仿宋" w:eastAsia="仿宋" w:cs="仿宋"/>
          <w:b/>
          <w:bCs/>
          <w:color w:val="auto"/>
          <w:sz w:val="28"/>
          <w:szCs w:val="28"/>
          <w:highlight w:val="none"/>
        </w:rPr>
        <w:t>（工作时间：周一至周五）</w:t>
      </w:r>
    </w:p>
    <w:p w14:paraId="42F3CB7E">
      <w:pPr>
        <w:adjustRightInd w:val="0"/>
        <w:snapToGrid w:val="0"/>
        <w:spacing w:line="520" w:lineRule="exact"/>
        <w:ind w:firstLine="560" w:firstLineChars="200"/>
        <w:rPr>
          <w:rFonts w:hint="eastAsia" w:ascii="仿宋" w:hAnsi="仿宋" w:eastAsia="仿宋" w:cs="仿宋"/>
          <w:b/>
          <w:bCs/>
          <w:color w:val="auto"/>
          <w:sz w:val="28"/>
          <w:szCs w:val="28"/>
          <w:highlight w:val="none"/>
        </w:rPr>
      </w:pPr>
      <w:r>
        <w:rPr>
          <w:rFonts w:hint="eastAsia" w:ascii="仿宋_GB2312" w:hAnsi="宋体" w:eastAsia="仿宋_GB2312"/>
          <w:color w:val="auto"/>
          <w:sz w:val="28"/>
          <w:szCs w:val="28"/>
          <w:highlight w:val="none"/>
        </w:rPr>
        <w:t>邮箱：</w:t>
      </w:r>
      <w:r>
        <w:rPr>
          <w:rFonts w:hint="eastAsia" w:ascii="仿宋" w:hAnsi="仿宋" w:eastAsia="仿宋" w:cs="仿宋"/>
          <w:color w:val="auto"/>
          <w:sz w:val="28"/>
          <w:szCs w:val="28"/>
          <w:highlight w:val="none"/>
          <w:u w:val="single"/>
        </w:rPr>
        <w:fldChar w:fldCharType="begin"/>
      </w:r>
      <w:r>
        <w:rPr>
          <w:rFonts w:hint="eastAsia" w:ascii="仿宋" w:hAnsi="仿宋" w:eastAsia="仿宋" w:cs="仿宋"/>
          <w:color w:val="auto"/>
          <w:sz w:val="28"/>
          <w:szCs w:val="28"/>
          <w:highlight w:val="none"/>
          <w:u w:val="single"/>
        </w:rPr>
        <w:instrText xml:space="preserve"> HYPERLINK "mailto:ztwjwzzbjyzx@126.com" </w:instrText>
      </w:r>
      <w:r>
        <w:rPr>
          <w:rFonts w:hint="eastAsia" w:ascii="仿宋" w:hAnsi="仿宋" w:eastAsia="仿宋" w:cs="仿宋"/>
          <w:color w:val="auto"/>
          <w:sz w:val="28"/>
          <w:szCs w:val="28"/>
          <w:highlight w:val="none"/>
          <w:u w:val="single"/>
        </w:rPr>
        <w:fldChar w:fldCharType="separate"/>
      </w:r>
      <w:r>
        <w:rPr>
          <w:rStyle w:val="8"/>
          <w:rFonts w:hint="eastAsia" w:ascii="仿宋" w:hAnsi="仿宋" w:eastAsia="仿宋" w:cs="仿宋"/>
          <w:color w:val="auto"/>
          <w:sz w:val="28"/>
          <w:szCs w:val="28"/>
          <w:highlight w:val="none"/>
        </w:rPr>
        <w:t>ztwjwzzbjyzx@126.com</w:t>
      </w:r>
      <w:r>
        <w:rPr>
          <w:rFonts w:hint="eastAsia" w:ascii="仿宋" w:hAnsi="仿宋" w:eastAsia="仿宋" w:cs="仿宋"/>
          <w:color w:val="auto"/>
          <w:sz w:val="28"/>
          <w:szCs w:val="28"/>
          <w:highlight w:val="none"/>
          <w:u w:val="single"/>
        </w:rPr>
        <w:fldChar w:fldCharType="end"/>
      </w:r>
      <w:r>
        <w:rPr>
          <w:rFonts w:hint="eastAsia" w:ascii="仿宋" w:hAnsi="仿宋" w:eastAsia="仿宋" w:cs="仿宋"/>
          <w:b/>
          <w:bCs/>
          <w:color w:val="auto"/>
          <w:sz w:val="28"/>
          <w:szCs w:val="28"/>
          <w:highlight w:val="none"/>
        </w:rPr>
        <w:t>（无需发送付款凭证）</w:t>
      </w:r>
    </w:p>
    <w:p w14:paraId="1160BE83">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（2）招标文件澄清、答疑等业务</w:t>
      </w:r>
    </w:p>
    <w:p w14:paraId="73320B68">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联系人：朱龙    电话：13883434449   邮箱：1070951344@qq.com</w:t>
      </w:r>
    </w:p>
    <w:p w14:paraId="256DD79F">
      <w:pPr>
        <w:adjustRightInd w:val="0"/>
        <w:snapToGrid w:val="0"/>
        <w:spacing w:line="520" w:lineRule="exact"/>
        <w:ind w:firstLine="1680" w:firstLineChars="600"/>
        <w:rPr>
          <w:rFonts w:hint="default" w:ascii="仿宋_GB2312" w:hAnsi="宋体" w:eastAsia="仿宋_GB2312"/>
          <w:color w:val="auto"/>
          <w:sz w:val="28"/>
          <w:szCs w:val="28"/>
          <w:highlight w:val="none"/>
          <w:lang w:val="en-US" w:eastAsia="zh-CN"/>
        </w:rPr>
      </w:pPr>
      <w:r>
        <w:rPr>
          <w:rFonts w:hint="eastAsia" w:ascii="仿宋_GB2312" w:hAnsi="宋体" w:eastAsia="仿宋_GB2312"/>
          <w:color w:val="auto"/>
          <w:sz w:val="28"/>
          <w:szCs w:val="28"/>
          <w:highlight w:val="none"/>
          <w:lang w:val="en-US" w:eastAsia="zh-CN"/>
        </w:rPr>
        <w:t>胡启元</w:t>
      </w:r>
      <w:r>
        <w:rPr>
          <w:rFonts w:hint="eastAsia" w:ascii="仿宋_GB2312" w:hAnsi="宋体" w:eastAsia="仿宋_GB2312"/>
          <w:color w:val="auto"/>
          <w:sz w:val="28"/>
          <w:szCs w:val="28"/>
          <w:highlight w:val="none"/>
        </w:rPr>
        <w:t xml:space="preserve">    电话：</w:t>
      </w:r>
      <w:r>
        <w:rPr>
          <w:rFonts w:hint="eastAsia" w:ascii="仿宋_GB2312" w:hAnsi="宋体" w:eastAsia="仿宋_GB2312"/>
          <w:color w:val="auto"/>
          <w:sz w:val="28"/>
          <w:szCs w:val="28"/>
          <w:highlight w:val="none"/>
          <w:lang w:val="en-US" w:eastAsia="zh-CN"/>
        </w:rPr>
        <w:t>15583393787</w:t>
      </w:r>
    </w:p>
    <w:p w14:paraId="02239B75">
      <w:pPr>
        <w:adjustRightInd w:val="0"/>
        <w:snapToGrid w:val="0"/>
        <w:spacing w:line="520" w:lineRule="exact"/>
        <w:ind w:firstLine="560" w:firstLineChars="200"/>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 xml:space="preserve">项目联系人： </w:t>
      </w:r>
      <w:r>
        <w:rPr>
          <w:rFonts w:hint="eastAsia" w:ascii="仿宋_GB2312" w:hAnsi="宋体" w:eastAsia="仿宋_GB2312"/>
          <w:color w:val="auto"/>
          <w:sz w:val="28"/>
          <w:szCs w:val="28"/>
          <w:highlight w:val="none"/>
          <w:lang w:eastAsia="zh-CN"/>
        </w:rPr>
        <w:t>石培焕</w:t>
      </w:r>
      <w:r>
        <w:rPr>
          <w:rFonts w:hint="eastAsia" w:ascii="仿宋_GB2312" w:hAnsi="宋体" w:eastAsia="仿宋_GB2312"/>
          <w:color w:val="auto"/>
          <w:sz w:val="28"/>
          <w:szCs w:val="28"/>
          <w:highlight w:val="none"/>
        </w:rPr>
        <w:t xml:space="preserve">  电话： </w:t>
      </w:r>
      <w:r>
        <w:rPr>
          <w:rFonts w:hint="eastAsia" w:ascii="仿宋_GB2312" w:hAnsi="宋体" w:eastAsia="仿宋_GB2312"/>
          <w:color w:val="auto"/>
          <w:sz w:val="28"/>
          <w:szCs w:val="28"/>
          <w:highlight w:val="none"/>
          <w:lang w:eastAsia="zh-CN"/>
        </w:rPr>
        <w:t>18184156847</w:t>
      </w:r>
    </w:p>
    <w:p w14:paraId="612BBF1C">
      <w:pPr>
        <w:adjustRightInd w:val="0"/>
        <w:snapToGrid w:val="0"/>
        <w:spacing w:line="520" w:lineRule="exact"/>
        <w:ind w:firstLine="562" w:firstLineChars="200"/>
        <w:outlineLvl w:val="1"/>
        <w:rPr>
          <w:rFonts w:hint="eastAsia" w:ascii="仿宋_GB2312" w:hAnsi="宋体" w:eastAsia="仿宋_GB2312"/>
          <w:b/>
          <w:bCs/>
          <w:color w:val="auto"/>
          <w:sz w:val="28"/>
          <w:szCs w:val="28"/>
          <w:highlight w:val="none"/>
        </w:rPr>
      </w:pPr>
      <w:r>
        <w:rPr>
          <w:rFonts w:hint="eastAsia" w:ascii="仿宋_GB2312" w:hAnsi="宋体" w:eastAsia="仿宋_GB2312"/>
          <w:b/>
          <w:bCs/>
          <w:color w:val="auto"/>
          <w:sz w:val="28"/>
          <w:szCs w:val="28"/>
          <w:highlight w:val="none"/>
        </w:rPr>
        <w:t>9.投标保证金</w:t>
      </w:r>
    </w:p>
    <w:p w14:paraId="2379ABC9">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9.1投标保证金金额：见“招标公告”附件《招标物资包件清单》要求。</w:t>
      </w:r>
    </w:p>
    <w:p w14:paraId="7BBECD54">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9.2投标保证金收取方式：现金或银行保函。</w:t>
      </w:r>
    </w:p>
    <w:p w14:paraId="3DE4F100">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9.3投标保证金以现金方式交纳的，须从投标人的银行基本账户转账汇出，并在开标当日</w:t>
      </w:r>
      <w:r>
        <w:rPr>
          <w:rFonts w:hint="eastAsia" w:ascii="仿宋_GB2312" w:hAnsi="宋体" w:eastAsia="仿宋_GB2312"/>
          <w:color w:val="auto"/>
          <w:sz w:val="28"/>
          <w:szCs w:val="28"/>
          <w:highlight w:val="none"/>
          <w:u w:val="single"/>
        </w:rPr>
        <w:t xml:space="preserve">  10：00 </w:t>
      </w:r>
      <w:r>
        <w:rPr>
          <w:rFonts w:hint="eastAsia" w:ascii="仿宋_GB2312" w:hAnsi="宋体" w:eastAsia="仿宋_GB2312"/>
          <w:color w:val="auto"/>
          <w:sz w:val="28"/>
          <w:szCs w:val="28"/>
          <w:highlight w:val="none"/>
        </w:rPr>
        <w:t>前到达指定账户；投标保证金以银行保函方式递交的，投标人须委派专人前往中铁五局集团有限公司物资招标交易中心向其递交，递交时间为开标当日</w:t>
      </w:r>
      <w:r>
        <w:rPr>
          <w:rFonts w:hint="eastAsia" w:ascii="仿宋_GB2312" w:hAnsi="宋体" w:eastAsia="仿宋_GB2312"/>
          <w:color w:val="auto"/>
          <w:sz w:val="28"/>
          <w:szCs w:val="28"/>
          <w:highlight w:val="none"/>
          <w:u w:val="single"/>
        </w:rPr>
        <w:t xml:space="preserve">  10：00 </w:t>
      </w:r>
      <w:r>
        <w:rPr>
          <w:rFonts w:hint="eastAsia" w:ascii="仿宋_GB2312" w:hAnsi="宋体" w:eastAsia="仿宋_GB2312"/>
          <w:color w:val="auto"/>
          <w:sz w:val="28"/>
          <w:szCs w:val="28"/>
          <w:highlight w:val="none"/>
        </w:rPr>
        <w:t>前</w:t>
      </w:r>
      <w:r>
        <w:rPr>
          <w:rFonts w:hint="eastAsia" w:ascii="仿宋_GB2312" w:hAnsi="宋体" w:eastAsia="仿宋_GB2312"/>
          <w:b/>
          <w:bCs/>
          <w:color w:val="auto"/>
          <w:sz w:val="28"/>
          <w:szCs w:val="28"/>
          <w:highlight w:val="none"/>
        </w:rPr>
        <w:t>；招标中心拒绝接收以邮寄方式递交的银行保函</w:t>
      </w:r>
      <w:r>
        <w:rPr>
          <w:rFonts w:hint="eastAsia" w:ascii="仿宋_GB2312" w:hAnsi="宋体" w:eastAsia="仿宋_GB2312"/>
          <w:color w:val="auto"/>
          <w:sz w:val="28"/>
          <w:szCs w:val="28"/>
          <w:highlight w:val="none"/>
        </w:rPr>
        <w:t>。</w:t>
      </w:r>
    </w:p>
    <w:p w14:paraId="547F49B1">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9.4投标保证金以银行保函方式递交的，银行保函所担保的事项至少应包含以下内容：</w:t>
      </w:r>
    </w:p>
    <w:p w14:paraId="5E73D9B1">
      <w:pPr>
        <w:adjustRightInd w:val="0"/>
        <w:snapToGrid w:val="0"/>
        <w:spacing w:line="520" w:lineRule="exact"/>
        <w:ind w:firstLine="560"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（1）投标人在投标有效期内不得撤销其投标文件；</w:t>
      </w:r>
    </w:p>
    <w:p w14:paraId="714ECD92">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（2）中标后按招标规定与招标人签订中标合同，签订合同内容不得改变招标文件规定与投标响应文件所承诺的实质性内容，签订合同时不得向招标人提出附加条件；</w:t>
      </w:r>
    </w:p>
    <w:p w14:paraId="123A3B01">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（3）中标后按招标规定交纳成交服务费，签订合同前按招标规定提交履约担保；</w:t>
      </w:r>
    </w:p>
    <w:p w14:paraId="5FEF7D98">
      <w:pPr>
        <w:adjustRightInd w:val="0"/>
        <w:snapToGrid w:val="0"/>
        <w:spacing w:line="520" w:lineRule="exact"/>
        <w:ind w:firstLine="560"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（4）投标人不得发生招标文件规定不予退还投标保证金的其他情形。</w:t>
      </w:r>
    </w:p>
    <w:p w14:paraId="0966674A">
      <w:pPr>
        <w:adjustRightInd w:val="0"/>
        <w:snapToGrid w:val="0"/>
        <w:spacing w:line="520" w:lineRule="exact"/>
        <w:ind w:left="420" w:leftChars="200"/>
        <w:outlineLvl w:val="1"/>
        <w:rPr>
          <w:rFonts w:hint="eastAsia" w:ascii="仿宋" w:hAnsi="仿宋" w:eastAsia="仿宋" w:cs="仿宋"/>
          <w:b/>
          <w:bCs/>
          <w:color w:val="auto"/>
          <w:sz w:val="28"/>
          <w:szCs w:val="28"/>
          <w:highlight w:val="none"/>
        </w:rPr>
      </w:pPr>
      <w:r>
        <w:rPr>
          <w:rFonts w:hint="eastAsia" w:ascii="仿宋_GB2312" w:hAnsi="宋体" w:eastAsia="仿宋_GB2312"/>
          <w:b/>
          <w:bCs/>
          <w:color w:val="auto"/>
          <w:sz w:val="28"/>
          <w:szCs w:val="28"/>
          <w:highlight w:val="none"/>
        </w:rPr>
        <w:t>10.成交服</w:t>
      </w:r>
      <w:r>
        <w:rPr>
          <w:rFonts w:hint="eastAsia" w:ascii="仿宋" w:hAnsi="仿宋" w:eastAsia="仿宋" w:cs="仿宋"/>
          <w:b/>
          <w:bCs/>
          <w:color w:val="auto"/>
          <w:sz w:val="28"/>
          <w:szCs w:val="28"/>
          <w:highlight w:val="none"/>
        </w:rPr>
        <w:t>务费</w:t>
      </w:r>
    </w:p>
    <w:p w14:paraId="58EDAFC2">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10.1成交服务费收取标准：以中标金额为收费基数，按超额累进制计算，以计算值的百元位四舍五入取整收取，具体费率标准如下：</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36"/>
        <w:gridCol w:w="2314"/>
        <w:gridCol w:w="2441"/>
      </w:tblGrid>
      <w:tr w14:paraId="3A645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4236" w:type="dxa"/>
            <w:noWrap w:val="0"/>
            <w:vAlign w:val="center"/>
          </w:tcPr>
          <w:p w14:paraId="387E1304">
            <w:pPr>
              <w:adjustRightInd w:val="0"/>
              <w:snapToGrid w:val="0"/>
              <w:spacing w:line="520" w:lineRule="exact"/>
              <w:ind w:firstLine="840" w:firstLineChars="300"/>
              <w:jc w:val="center"/>
              <w:rPr>
                <w:rFonts w:hint="eastAsia" w:ascii="仿宋_GB2312" w:hAnsi="宋体" w:eastAsia="仿宋_GB2312"/>
                <w:color w:val="auto"/>
                <w:sz w:val="28"/>
                <w:szCs w:val="28"/>
                <w:highlight w:val="none"/>
              </w:rPr>
            </w:pPr>
            <w:r>
              <w:rPr>
                <w:rFonts w:hint="eastAsia" w:ascii="仿宋" w:hAnsi="仿宋" w:eastAsia="仿宋" w:cs="仿宋"/>
                <w:color w:val="auto"/>
                <w:sz w:val="28"/>
                <w:szCs w:val="28"/>
                <w:highlight w:val="none"/>
              </w:rPr>
              <w:t>中标</w:t>
            </w:r>
            <w:r>
              <w:rPr>
                <w:rFonts w:hint="eastAsia" w:ascii="仿宋_GB2312" w:hAnsi="宋体" w:eastAsia="仿宋_GB2312"/>
                <w:color w:val="auto"/>
                <w:sz w:val="28"/>
                <w:szCs w:val="28"/>
                <w:highlight w:val="none"/>
              </w:rPr>
              <w:t>金额（X）</w:t>
            </w:r>
          </w:p>
        </w:tc>
        <w:tc>
          <w:tcPr>
            <w:tcW w:w="2314" w:type="dxa"/>
            <w:noWrap w:val="0"/>
            <w:vAlign w:val="center"/>
          </w:tcPr>
          <w:p w14:paraId="1AE86345">
            <w:pPr>
              <w:adjustRightInd w:val="0"/>
              <w:snapToGrid w:val="0"/>
              <w:spacing w:line="520" w:lineRule="exact"/>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物资采购</w:t>
            </w:r>
          </w:p>
        </w:tc>
        <w:tc>
          <w:tcPr>
            <w:tcW w:w="2441" w:type="dxa"/>
            <w:tcBorders>
              <w:right w:val="single" w:color="auto" w:sz="4" w:space="0"/>
            </w:tcBorders>
            <w:noWrap w:val="0"/>
            <w:vAlign w:val="center"/>
          </w:tcPr>
          <w:p w14:paraId="02B4F371">
            <w:pPr>
              <w:adjustRightInd w:val="0"/>
              <w:snapToGrid w:val="0"/>
              <w:spacing w:line="520" w:lineRule="exact"/>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设备采购</w:t>
            </w:r>
          </w:p>
        </w:tc>
      </w:tr>
      <w:tr w14:paraId="0E14A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36" w:type="dxa"/>
            <w:noWrap w:val="0"/>
            <w:vAlign w:val="center"/>
          </w:tcPr>
          <w:p w14:paraId="377B3755">
            <w:pPr>
              <w:adjustRightInd w:val="0"/>
              <w:snapToGrid w:val="0"/>
              <w:spacing w:line="520" w:lineRule="exact"/>
              <w:ind w:firstLine="840" w:firstLineChars="300"/>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X≤200万元</w:t>
            </w:r>
          </w:p>
        </w:tc>
        <w:tc>
          <w:tcPr>
            <w:tcW w:w="2314" w:type="dxa"/>
            <w:noWrap w:val="0"/>
            <w:vAlign w:val="center"/>
          </w:tcPr>
          <w:p w14:paraId="14CFEC56">
            <w:pPr>
              <w:adjustRightInd w:val="0"/>
              <w:snapToGrid w:val="0"/>
              <w:spacing w:line="520" w:lineRule="exact"/>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0.1%</w:t>
            </w:r>
          </w:p>
        </w:tc>
        <w:tc>
          <w:tcPr>
            <w:tcW w:w="2441" w:type="dxa"/>
            <w:vMerge w:val="restart"/>
            <w:tcBorders>
              <w:right w:val="single" w:color="auto" w:sz="4" w:space="0"/>
            </w:tcBorders>
            <w:noWrap w:val="0"/>
            <w:vAlign w:val="center"/>
          </w:tcPr>
          <w:p w14:paraId="23CBB3EF">
            <w:pPr>
              <w:adjustRightInd w:val="0"/>
              <w:snapToGrid w:val="0"/>
              <w:spacing w:line="520" w:lineRule="exact"/>
              <w:ind w:firstLine="840" w:firstLineChars="3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0.3%</w:t>
            </w:r>
          </w:p>
        </w:tc>
      </w:tr>
      <w:tr w14:paraId="526FC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36" w:type="dxa"/>
            <w:noWrap w:val="0"/>
            <w:vAlign w:val="center"/>
          </w:tcPr>
          <w:p w14:paraId="2571FF6B">
            <w:pPr>
              <w:adjustRightInd w:val="0"/>
              <w:snapToGrid w:val="0"/>
              <w:spacing w:line="520" w:lineRule="exact"/>
              <w:ind w:firstLine="840" w:firstLineChars="3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200万元&lt;X≤500万元</w:t>
            </w:r>
          </w:p>
        </w:tc>
        <w:tc>
          <w:tcPr>
            <w:tcW w:w="2314" w:type="dxa"/>
            <w:noWrap w:val="0"/>
            <w:vAlign w:val="center"/>
          </w:tcPr>
          <w:p w14:paraId="3BD0F501">
            <w:pPr>
              <w:adjustRightInd w:val="0"/>
              <w:snapToGrid w:val="0"/>
              <w:spacing w:line="520" w:lineRule="exact"/>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0.08%</w:t>
            </w:r>
          </w:p>
        </w:tc>
        <w:tc>
          <w:tcPr>
            <w:tcW w:w="2441" w:type="dxa"/>
            <w:vMerge w:val="continue"/>
            <w:tcBorders>
              <w:right w:val="single" w:color="auto" w:sz="4" w:space="0"/>
            </w:tcBorders>
            <w:noWrap w:val="0"/>
            <w:vAlign w:val="center"/>
          </w:tcPr>
          <w:p w14:paraId="5FF4E89A">
            <w:pPr>
              <w:adjustRightInd w:val="0"/>
              <w:snapToGrid w:val="0"/>
              <w:spacing w:line="520" w:lineRule="exact"/>
              <w:ind w:firstLine="840" w:firstLineChars="300"/>
              <w:rPr>
                <w:rFonts w:hint="eastAsia" w:ascii="仿宋_GB2312" w:hAnsi="宋体" w:eastAsia="仿宋_GB2312"/>
                <w:color w:val="auto"/>
                <w:sz w:val="28"/>
                <w:szCs w:val="28"/>
                <w:highlight w:val="none"/>
              </w:rPr>
            </w:pPr>
          </w:p>
        </w:tc>
      </w:tr>
      <w:tr w14:paraId="7AD88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36" w:type="dxa"/>
            <w:noWrap w:val="0"/>
            <w:vAlign w:val="center"/>
          </w:tcPr>
          <w:p w14:paraId="63F227CC">
            <w:pPr>
              <w:adjustRightInd w:val="0"/>
              <w:snapToGrid w:val="0"/>
              <w:spacing w:line="520" w:lineRule="exact"/>
              <w:ind w:firstLine="840" w:firstLineChars="3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500万元&lt;X≤1000万元</w:t>
            </w:r>
          </w:p>
        </w:tc>
        <w:tc>
          <w:tcPr>
            <w:tcW w:w="2314" w:type="dxa"/>
            <w:noWrap w:val="0"/>
            <w:vAlign w:val="center"/>
          </w:tcPr>
          <w:p w14:paraId="6DCC5E6E">
            <w:pPr>
              <w:adjustRightInd w:val="0"/>
              <w:snapToGrid w:val="0"/>
              <w:spacing w:line="520" w:lineRule="exact"/>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0.05%</w:t>
            </w:r>
          </w:p>
        </w:tc>
        <w:tc>
          <w:tcPr>
            <w:tcW w:w="2441" w:type="dxa"/>
            <w:vMerge w:val="continue"/>
            <w:tcBorders>
              <w:right w:val="single" w:color="auto" w:sz="4" w:space="0"/>
            </w:tcBorders>
            <w:noWrap w:val="0"/>
            <w:vAlign w:val="center"/>
          </w:tcPr>
          <w:p w14:paraId="0D9E0676">
            <w:pPr>
              <w:adjustRightInd w:val="0"/>
              <w:snapToGrid w:val="0"/>
              <w:spacing w:line="520" w:lineRule="exact"/>
              <w:ind w:firstLine="840" w:firstLineChars="300"/>
              <w:rPr>
                <w:rFonts w:hint="eastAsia" w:ascii="仿宋_GB2312" w:hAnsi="宋体" w:eastAsia="仿宋_GB2312"/>
                <w:color w:val="auto"/>
                <w:sz w:val="28"/>
                <w:szCs w:val="28"/>
                <w:highlight w:val="none"/>
              </w:rPr>
            </w:pPr>
          </w:p>
        </w:tc>
      </w:tr>
      <w:tr w14:paraId="47541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236" w:type="dxa"/>
            <w:noWrap w:val="0"/>
            <w:vAlign w:val="center"/>
          </w:tcPr>
          <w:p w14:paraId="0A60ECA6">
            <w:pPr>
              <w:adjustRightInd w:val="0"/>
              <w:snapToGrid w:val="0"/>
              <w:spacing w:line="520" w:lineRule="exact"/>
              <w:ind w:firstLine="840" w:firstLineChars="3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1000万元&lt;X≤5000万元</w:t>
            </w:r>
          </w:p>
        </w:tc>
        <w:tc>
          <w:tcPr>
            <w:tcW w:w="2314" w:type="dxa"/>
            <w:noWrap w:val="0"/>
            <w:vAlign w:val="center"/>
          </w:tcPr>
          <w:p w14:paraId="71AB7E7E">
            <w:pPr>
              <w:adjustRightInd w:val="0"/>
              <w:snapToGrid w:val="0"/>
              <w:spacing w:line="520" w:lineRule="exact"/>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0.03%</w:t>
            </w:r>
          </w:p>
        </w:tc>
        <w:tc>
          <w:tcPr>
            <w:tcW w:w="2441" w:type="dxa"/>
            <w:vMerge w:val="continue"/>
            <w:tcBorders>
              <w:right w:val="single" w:color="auto" w:sz="4" w:space="0"/>
            </w:tcBorders>
            <w:noWrap w:val="0"/>
            <w:vAlign w:val="center"/>
          </w:tcPr>
          <w:p w14:paraId="29AB9730">
            <w:pPr>
              <w:adjustRightInd w:val="0"/>
              <w:snapToGrid w:val="0"/>
              <w:spacing w:line="520" w:lineRule="exact"/>
              <w:ind w:firstLine="840" w:firstLineChars="300"/>
              <w:rPr>
                <w:rFonts w:hint="eastAsia" w:ascii="仿宋_GB2312" w:hAnsi="宋体" w:eastAsia="仿宋_GB2312"/>
                <w:color w:val="auto"/>
                <w:sz w:val="28"/>
                <w:szCs w:val="28"/>
                <w:highlight w:val="none"/>
              </w:rPr>
            </w:pPr>
          </w:p>
        </w:tc>
      </w:tr>
      <w:tr w14:paraId="1E699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 w:hRule="atLeast"/>
          <w:jc w:val="center"/>
        </w:trPr>
        <w:tc>
          <w:tcPr>
            <w:tcW w:w="4236" w:type="dxa"/>
            <w:noWrap w:val="0"/>
            <w:vAlign w:val="center"/>
          </w:tcPr>
          <w:p w14:paraId="33C5CE0D">
            <w:pPr>
              <w:adjustRightInd w:val="0"/>
              <w:snapToGrid w:val="0"/>
              <w:spacing w:line="520" w:lineRule="exact"/>
              <w:ind w:firstLine="840" w:firstLineChars="3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X&gt;5000万元</w:t>
            </w:r>
          </w:p>
        </w:tc>
        <w:tc>
          <w:tcPr>
            <w:tcW w:w="2314" w:type="dxa"/>
            <w:noWrap w:val="0"/>
            <w:vAlign w:val="center"/>
          </w:tcPr>
          <w:p w14:paraId="5F91AAD1">
            <w:pPr>
              <w:adjustRightInd w:val="0"/>
              <w:snapToGrid w:val="0"/>
              <w:spacing w:line="520" w:lineRule="exact"/>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0.01%</w:t>
            </w:r>
          </w:p>
        </w:tc>
        <w:tc>
          <w:tcPr>
            <w:tcW w:w="2441" w:type="dxa"/>
            <w:vMerge w:val="continue"/>
            <w:tcBorders>
              <w:right w:val="single" w:color="auto" w:sz="4" w:space="0"/>
            </w:tcBorders>
            <w:noWrap w:val="0"/>
            <w:vAlign w:val="center"/>
          </w:tcPr>
          <w:p w14:paraId="2C1FF8E8">
            <w:pPr>
              <w:adjustRightInd w:val="0"/>
              <w:snapToGrid w:val="0"/>
              <w:spacing w:line="520" w:lineRule="exact"/>
              <w:ind w:firstLine="840" w:firstLineChars="300"/>
              <w:rPr>
                <w:rFonts w:hint="eastAsia" w:ascii="仿宋_GB2312" w:hAnsi="宋体" w:eastAsia="仿宋_GB2312"/>
                <w:color w:val="auto"/>
                <w:sz w:val="28"/>
                <w:szCs w:val="28"/>
                <w:highlight w:val="none"/>
              </w:rPr>
            </w:pPr>
          </w:p>
        </w:tc>
      </w:tr>
      <w:tr w14:paraId="20A12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7" w:hRule="atLeast"/>
          <w:jc w:val="center"/>
        </w:trPr>
        <w:tc>
          <w:tcPr>
            <w:tcW w:w="8991" w:type="dxa"/>
            <w:gridSpan w:val="3"/>
            <w:noWrap w:val="0"/>
            <w:vAlign w:val="top"/>
          </w:tcPr>
          <w:p w14:paraId="0BCCD1A8">
            <w:pPr>
              <w:spacing w:line="32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示例：</w:t>
            </w:r>
          </w:p>
          <w:p w14:paraId="2EBD9AFC">
            <w:pPr>
              <w:spacing w:line="320" w:lineRule="exact"/>
              <w:jc w:val="left"/>
              <w:rPr>
                <w:rFonts w:ascii="仿宋" w:hAnsi="仿宋" w:eastAsia="仿宋" w:cs="仿宋"/>
                <w:color w:val="auto"/>
                <w:sz w:val="24"/>
                <w:highlight w:val="none"/>
              </w:rPr>
            </w:pPr>
            <w:r>
              <w:rPr>
                <w:rFonts w:ascii="仿宋" w:hAnsi="仿宋" w:eastAsia="仿宋" w:cs="仿宋"/>
                <w:color w:val="auto"/>
                <w:sz w:val="24"/>
                <w:highlight w:val="none"/>
              </w:rPr>
              <w:t>1</w:t>
            </w:r>
            <w:r>
              <w:rPr>
                <w:rFonts w:hint="eastAsia" w:ascii="仿宋" w:hAnsi="仿宋" w:eastAsia="仿宋" w:cs="仿宋"/>
                <w:color w:val="auto"/>
                <w:sz w:val="24"/>
                <w:highlight w:val="none"/>
              </w:rPr>
              <w:t>.中标金额为</w:t>
            </w:r>
            <w:r>
              <w:rPr>
                <w:rFonts w:ascii="仿宋" w:hAnsi="仿宋" w:eastAsia="仿宋" w:cs="仿宋"/>
                <w:color w:val="auto"/>
                <w:sz w:val="24"/>
                <w:highlight w:val="none"/>
              </w:rPr>
              <w:t>150</w:t>
            </w:r>
            <w:r>
              <w:rPr>
                <w:rFonts w:hint="eastAsia" w:ascii="仿宋" w:hAnsi="仿宋" w:eastAsia="仿宋" w:cs="仿宋"/>
                <w:color w:val="auto"/>
                <w:sz w:val="24"/>
                <w:highlight w:val="none"/>
              </w:rPr>
              <w:t>万元，则服务费计算为：</w:t>
            </w:r>
          </w:p>
          <w:p w14:paraId="091866C8">
            <w:pPr>
              <w:spacing w:line="320" w:lineRule="exact"/>
              <w:jc w:val="left"/>
              <w:rPr>
                <w:rFonts w:ascii="仿宋" w:hAnsi="仿宋" w:eastAsia="仿宋" w:cs="仿宋"/>
                <w:color w:val="auto"/>
                <w:sz w:val="24"/>
                <w:highlight w:val="none"/>
              </w:rPr>
            </w:pPr>
            <w:r>
              <w:rPr>
                <w:color w:val="auto"/>
                <w:highlight w:val="none"/>
              </w:rPr>
              <w:t>150*0.1%=</w:t>
            </w:r>
            <w:r>
              <w:rPr>
                <w:rFonts w:ascii="仿宋" w:hAnsi="仿宋" w:eastAsia="仿宋" w:cs="仿宋"/>
                <w:color w:val="auto"/>
                <w:sz w:val="24"/>
                <w:highlight w:val="none"/>
              </w:rPr>
              <w:t>0.15</w:t>
            </w:r>
            <w:r>
              <w:rPr>
                <w:rFonts w:hint="eastAsia" w:ascii="仿宋" w:hAnsi="仿宋" w:eastAsia="仿宋" w:cs="仿宋"/>
                <w:color w:val="auto"/>
                <w:sz w:val="24"/>
                <w:highlight w:val="none"/>
              </w:rPr>
              <w:t>万元</w:t>
            </w:r>
          </w:p>
          <w:p w14:paraId="58FA2D02">
            <w:pPr>
              <w:spacing w:line="320" w:lineRule="exact"/>
              <w:jc w:val="left"/>
              <w:rPr>
                <w:rFonts w:ascii="仿宋" w:hAnsi="仿宋" w:eastAsia="仿宋" w:cs="仿宋"/>
                <w:color w:val="auto"/>
                <w:sz w:val="24"/>
                <w:highlight w:val="none"/>
              </w:rPr>
            </w:pPr>
            <w:r>
              <w:rPr>
                <w:rFonts w:ascii="仿宋" w:hAnsi="仿宋" w:eastAsia="仿宋" w:cs="仿宋"/>
                <w:color w:val="auto"/>
                <w:sz w:val="24"/>
                <w:highlight w:val="none"/>
              </w:rPr>
              <w:t>2.</w:t>
            </w:r>
            <w:r>
              <w:rPr>
                <w:rFonts w:hint="eastAsia" w:ascii="仿宋" w:hAnsi="仿宋" w:eastAsia="仿宋" w:cs="仿宋"/>
                <w:color w:val="auto"/>
                <w:sz w:val="24"/>
                <w:highlight w:val="none"/>
              </w:rPr>
              <w:t>中标金额为</w:t>
            </w:r>
            <w:r>
              <w:rPr>
                <w:rFonts w:ascii="仿宋" w:hAnsi="仿宋" w:eastAsia="仿宋" w:cs="仿宋"/>
                <w:color w:val="auto"/>
                <w:sz w:val="24"/>
                <w:highlight w:val="none"/>
              </w:rPr>
              <w:t>350</w:t>
            </w:r>
            <w:r>
              <w:rPr>
                <w:rFonts w:hint="eastAsia" w:ascii="仿宋" w:hAnsi="仿宋" w:eastAsia="仿宋" w:cs="仿宋"/>
                <w:color w:val="auto"/>
                <w:sz w:val="24"/>
                <w:highlight w:val="none"/>
              </w:rPr>
              <w:t>万元，则服务费计算为：</w:t>
            </w:r>
          </w:p>
          <w:p w14:paraId="5E25D109">
            <w:pPr>
              <w:spacing w:line="320" w:lineRule="exact"/>
              <w:jc w:val="left"/>
              <w:rPr>
                <w:color w:val="auto"/>
                <w:highlight w:val="none"/>
              </w:rPr>
            </w:pPr>
            <w:r>
              <w:rPr>
                <w:rFonts w:hint="eastAsia"/>
                <w:color w:val="auto"/>
                <w:highlight w:val="none"/>
              </w:rPr>
              <w:t>(3</w:t>
            </w:r>
            <w:r>
              <w:rPr>
                <w:color w:val="auto"/>
                <w:highlight w:val="none"/>
              </w:rPr>
              <w:t>50-200</w:t>
            </w:r>
            <w:r>
              <w:rPr>
                <w:rFonts w:hint="eastAsia"/>
                <w:color w:val="auto"/>
                <w:highlight w:val="none"/>
              </w:rPr>
              <w:t>)*</w:t>
            </w:r>
            <w:r>
              <w:rPr>
                <w:color w:val="auto"/>
                <w:highlight w:val="none"/>
              </w:rPr>
              <w:t>0.08%+200*0.1%=0.32</w:t>
            </w:r>
            <w:r>
              <w:rPr>
                <w:rFonts w:hint="eastAsia"/>
                <w:color w:val="auto"/>
                <w:highlight w:val="none"/>
              </w:rPr>
              <w:t>万元</w:t>
            </w:r>
          </w:p>
          <w:p w14:paraId="736E1916">
            <w:pPr>
              <w:spacing w:line="320" w:lineRule="exact"/>
              <w:jc w:val="left"/>
              <w:rPr>
                <w:rFonts w:ascii="仿宋" w:hAnsi="仿宋" w:eastAsia="仿宋" w:cs="仿宋"/>
                <w:color w:val="auto"/>
                <w:sz w:val="24"/>
                <w:highlight w:val="none"/>
              </w:rPr>
            </w:pPr>
            <w:r>
              <w:rPr>
                <w:rFonts w:ascii="仿宋" w:hAnsi="仿宋" w:eastAsia="仿宋" w:cs="仿宋"/>
                <w:color w:val="auto"/>
                <w:sz w:val="24"/>
                <w:highlight w:val="none"/>
              </w:rPr>
              <w:t>3</w:t>
            </w:r>
            <w:r>
              <w:rPr>
                <w:rFonts w:hint="eastAsia" w:ascii="仿宋" w:hAnsi="仿宋" w:eastAsia="仿宋" w:cs="仿宋"/>
                <w:color w:val="auto"/>
                <w:sz w:val="24"/>
                <w:highlight w:val="none"/>
              </w:rPr>
              <w:t>.中标金额为</w:t>
            </w:r>
            <w:r>
              <w:rPr>
                <w:rFonts w:ascii="仿宋" w:hAnsi="仿宋" w:eastAsia="仿宋" w:cs="仿宋"/>
                <w:color w:val="auto"/>
                <w:sz w:val="24"/>
                <w:highlight w:val="none"/>
              </w:rPr>
              <w:t>550</w:t>
            </w:r>
            <w:r>
              <w:rPr>
                <w:rFonts w:hint="eastAsia" w:ascii="仿宋" w:hAnsi="仿宋" w:eastAsia="仿宋" w:cs="仿宋"/>
                <w:color w:val="auto"/>
                <w:sz w:val="24"/>
                <w:highlight w:val="none"/>
              </w:rPr>
              <w:t>万元，则服务费计算为：</w:t>
            </w:r>
          </w:p>
          <w:p w14:paraId="56F99050">
            <w:pPr>
              <w:spacing w:line="320" w:lineRule="exact"/>
              <w:jc w:val="left"/>
              <w:rPr>
                <w:color w:val="auto"/>
                <w:highlight w:val="none"/>
              </w:rPr>
            </w:pPr>
            <w:r>
              <w:rPr>
                <w:rFonts w:hint="eastAsia"/>
                <w:color w:val="auto"/>
                <w:highlight w:val="none"/>
              </w:rPr>
              <w:t>(</w:t>
            </w:r>
            <w:r>
              <w:rPr>
                <w:color w:val="auto"/>
                <w:highlight w:val="none"/>
              </w:rPr>
              <w:t>550-500</w:t>
            </w:r>
            <w:r>
              <w:rPr>
                <w:rFonts w:hint="eastAsia"/>
                <w:color w:val="auto"/>
                <w:highlight w:val="none"/>
              </w:rPr>
              <w:t>)*</w:t>
            </w:r>
            <w:r>
              <w:rPr>
                <w:color w:val="auto"/>
                <w:highlight w:val="none"/>
              </w:rPr>
              <w:t>0.05%+300*0.08%+200*0.1%=0.465</w:t>
            </w:r>
            <w:r>
              <w:rPr>
                <w:rFonts w:hint="eastAsia"/>
                <w:color w:val="auto"/>
                <w:highlight w:val="none"/>
              </w:rPr>
              <w:t>万元</w:t>
            </w:r>
            <w:r>
              <w:rPr>
                <w:rFonts w:hint="eastAsia" w:ascii="仿宋" w:hAnsi="仿宋" w:eastAsia="仿宋" w:cs="仿宋"/>
                <w:color w:val="auto"/>
                <w:sz w:val="24"/>
                <w:highlight w:val="none"/>
              </w:rPr>
              <w:t>，按百元位四舍五入取整收取0</w:t>
            </w:r>
            <w:r>
              <w:rPr>
                <w:rFonts w:ascii="仿宋" w:hAnsi="仿宋" w:eastAsia="仿宋" w:cs="仿宋"/>
                <w:color w:val="auto"/>
                <w:sz w:val="24"/>
                <w:highlight w:val="none"/>
              </w:rPr>
              <w:t>.47</w:t>
            </w:r>
            <w:r>
              <w:rPr>
                <w:rFonts w:hint="eastAsia" w:ascii="仿宋" w:hAnsi="仿宋" w:eastAsia="仿宋" w:cs="仿宋"/>
                <w:color w:val="auto"/>
                <w:sz w:val="24"/>
                <w:highlight w:val="none"/>
              </w:rPr>
              <w:t>万元。</w:t>
            </w:r>
          </w:p>
          <w:p w14:paraId="028B7329">
            <w:pPr>
              <w:spacing w:line="320" w:lineRule="exact"/>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rPr>
              <w:t>.中标金额为</w:t>
            </w:r>
            <w:r>
              <w:rPr>
                <w:rFonts w:ascii="仿宋" w:hAnsi="仿宋" w:eastAsia="仿宋" w:cs="仿宋"/>
                <w:color w:val="auto"/>
                <w:sz w:val="24"/>
                <w:highlight w:val="none"/>
              </w:rPr>
              <w:t>1050</w:t>
            </w:r>
            <w:r>
              <w:rPr>
                <w:rFonts w:hint="eastAsia" w:ascii="仿宋" w:hAnsi="仿宋" w:eastAsia="仿宋" w:cs="仿宋"/>
                <w:color w:val="auto"/>
                <w:sz w:val="24"/>
                <w:highlight w:val="none"/>
              </w:rPr>
              <w:t>万元，则服务费计算为：</w:t>
            </w:r>
          </w:p>
          <w:p w14:paraId="4BA9FAC6">
            <w:pPr>
              <w:spacing w:line="320" w:lineRule="exact"/>
              <w:jc w:val="left"/>
              <w:rPr>
                <w:color w:val="auto"/>
                <w:highlight w:val="none"/>
              </w:rPr>
            </w:pPr>
            <w:r>
              <w:rPr>
                <w:rFonts w:hint="eastAsia"/>
                <w:color w:val="auto"/>
                <w:highlight w:val="none"/>
              </w:rPr>
              <w:t>(</w:t>
            </w:r>
            <w:r>
              <w:rPr>
                <w:color w:val="auto"/>
                <w:highlight w:val="none"/>
              </w:rPr>
              <w:t>1050-1000</w:t>
            </w:r>
            <w:r>
              <w:rPr>
                <w:rFonts w:hint="eastAsia"/>
                <w:color w:val="auto"/>
                <w:highlight w:val="none"/>
              </w:rPr>
              <w:t>)*</w:t>
            </w:r>
            <w:r>
              <w:rPr>
                <w:color w:val="auto"/>
                <w:highlight w:val="none"/>
              </w:rPr>
              <w:t>0.03%+500*0.05%+300*0.08%+200*0.1%=0.705</w:t>
            </w:r>
            <w:r>
              <w:rPr>
                <w:rFonts w:hint="eastAsia"/>
                <w:color w:val="auto"/>
                <w:highlight w:val="none"/>
              </w:rPr>
              <w:t>万元</w:t>
            </w:r>
            <w:r>
              <w:rPr>
                <w:rFonts w:hint="eastAsia" w:ascii="仿宋" w:hAnsi="仿宋" w:eastAsia="仿宋" w:cs="仿宋"/>
                <w:color w:val="auto"/>
                <w:sz w:val="24"/>
                <w:highlight w:val="none"/>
              </w:rPr>
              <w:t>，按百元位四舍五入取整收取0</w:t>
            </w:r>
            <w:r>
              <w:rPr>
                <w:rFonts w:ascii="仿宋" w:hAnsi="仿宋" w:eastAsia="仿宋" w:cs="仿宋"/>
                <w:color w:val="auto"/>
                <w:sz w:val="24"/>
                <w:highlight w:val="none"/>
              </w:rPr>
              <w:t>.71</w:t>
            </w:r>
            <w:r>
              <w:rPr>
                <w:rFonts w:hint="eastAsia" w:ascii="仿宋" w:hAnsi="仿宋" w:eastAsia="仿宋" w:cs="仿宋"/>
                <w:color w:val="auto"/>
                <w:sz w:val="24"/>
                <w:highlight w:val="none"/>
              </w:rPr>
              <w:t>万元。</w:t>
            </w:r>
          </w:p>
          <w:p w14:paraId="6A773739">
            <w:pPr>
              <w:spacing w:line="320" w:lineRule="exact"/>
              <w:jc w:val="left"/>
              <w:rPr>
                <w:rFonts w:ascii="仿宋" w:hAnsi="仿宋" w:eastAsia="仿宋" w:cs="仿宋"/>
                <w:color w:val="auto"/>
                <w:sz w:val="24"/>
                <w:highlight w:val="none"/>
              </w:rPr>
            </w:pPr>
            <w:r>
              <w:rPr>
                <w:rFonts w:ascii="仿宋" w:hAnsi="仿宋" w:eastAsia="仿宋" w:cs="仿宋"/>
                <w:color w:val="auto"/>
                <w:sz w:val="24"/>
                <w:highlight w:val="none"/>
              </w:rPr>
              <w:t>5</w:t>
            </w:r>
            <w:r>
              <w:rPr>
                <w:rFonts w:hint="eastAsia" w:ascii="仿宋" w:hAnsi="仿宋" w:eastAsia="仿宋" w:cs="仿宋"/>
                <w:color w:val="auto"/>
                <w:sz w:val="24"/>
                <w:highlight w:val="none"/>
              </w:rPr>
              <w:t>.中标金额为1</w:t>
            </w:r>
            <w:r>
              <w:rPr>
                <w:rFonts w:ascii="仿宋" w:hAnsi="仿宋" w:eastAsia="仿宋" w:cs="仿宋"/>
                <w:color w:val="auto"/>
                <w:sz w:val="24"/>
                <w:highlight w:val="none"/>
              </w:rPr>
              <w:t>0500</w:t>
            </w:r>
            <w:r>
              <w:rPr>
                <w:rFonts w:hint="eastAsia" w:ascii="仿宋" w:hAnsi="仿宋" w:eastAsia="仿宋" w:cs="仿宋"/>
                <w:color w:val="auto"/>
                <w:sz w:val="24"/>
                <w:highlight w:val="none"/>
              </w:rPr>
              <w:t>万元，则服务费计算为：</w:t>
            </w:r>
          </w:p>
          <w:p w14:paraId="2469F7F2">
            <w:pPr>
              <w:adjustRightInd w:val="0"/>
              <w:snapToGrid w:val="0"/>
              <w:spacing w:line="32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0500-5000</w:t>
            </w:r>
            <w:r>
              <w:rPr>
                <w:rFonts w:hint="eastAsia" w:ascii="仿宋" w:hAnsi="仿宋" w:eastAsia="仿宋" w:cs="仿宋"/>
                <w:color w:val="auto"/>
                <w:sz w:val="24"/>
                <w:highlight w:val="none"/>
              </w:rPr>
              <w:t>)*</w:t>
            </w:r>
            <w:r>
              <w:rPr>
                <w:rFonts w:ascii="仿宋" w:hAnsi="仿宋" w:eastAsia="仿宋" w:cs="仿宋"/>
                <w:color w:val="auto"/>
                <w:sz w:val="24"/>
                <w:highlight w:val="none"/>
              </w:rPr>
              <w:t>0.01%+4000*0.03%+500*0.05%+300*0.08%+200*0.1%=2.44</w:t>
            </w:r>
            <w:r>
              <w:rPr>
                <w:rFonts w:hint="eastAsia" w:ascii="仿宋" w:hAnsi="仿宋" w:eastAsia="仿宋" w:cs="仿宋"/>
                <w:color w:val="auto"/>
                <w:sz w:val="24"/>
                <w:highlight w:val="none"/>
              </w:rPr>
              <w:t>万元。</w:t>
            </w:r>
          </w:p>
          <w:p w14:paraId="64AE1B7C">
            <w:pPr>
              <w:adjustRightInd w:val="0"/>
              <w:snapToGrid w:val="0"/>
              <w:spacing w:line="320" w:lineRule="exact"/>
              <w:rPr>
                <w:rFonts w:hint="eastAsia" w:ascii="仿宋_GB2312" w:hAnsi="宋体" w:eastAsia="仿宋_GB2312"/>
                <w:color w:val="auto"/>
                <w:sz w:val="28"/>
                <w:szCs w:val="28"/>
                <w:highlight w:val="none"/>
              </w:rPr>
            </w:pPr>
            <w:r>
              <w:rPr>
                <w:rFonts w:hint="eastAsia" w:ascii="仿宋_GB2312" w:hAnsi="宋体" w:eastAsia="仿宋_GB2312"/>
                <w:color w:val="auto"/>
                <w:sz w:val="24"/>
                <w:highlight w:val="none"/>
              </w:rPr>
              <w:t>说明：框架协议采购成交服务费由包件所有成交人均衡分摊。</w:t>
            </w:r>
          </w:p>
        </w:tc>
      </w:tr>
    </w:tbl>
    <w:p w14:paraId="55EE0B0B">
      <w:pPr>
        <w:adjustRightInd w:val="0"/>
        <w:snapToGrid w:val="0"/>
        <w:spacing w:line="520" w:lineRule="exact"/>
        <w:ind w:firstLine="560"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10.2成交服务费交纳时间：中标通知书发放之日起至投标保证金退还截止之日前。中标人如在投标保证金退还截止之日仍未交纳成交服务费的，投标保证金不予退还；中标人未按规定交纳成交服务费并以银行保函方式提供投标担保的，由收款单位通知其担保银行代为交纳。</w:t>
      </w:r>
    </w:p>
    <w:p w14:paraId="50C5DADE">
      <w:pPr>
        <w:adjustRightInd w:val="0"/>
        <w:snapToGrid w:val="0"/>
        <w:spacing w:line="520" w:lineRule="exact"/>
        <w:ind w:firstLine="560"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10.3成交服务费交纳方式:</w:t>
      </w:r>
      <w:bookmarkStart w:id="110" w:name="_Hlk166591730"/>
      <w:r>
        <w:rPr>
          <w:rFonts w:hint="eastAsia" w:ascii="仿宋_GB2312" w:hAnsi="宋体" w:eastAsia="仿宋_GB2312"/>
          <w:color w:val="auto"/>
          <w:sz w:val="28"/>
          <w:szCs w:val="28"/>
          <w:highlight w:val="none"/>
        </w:rPr>
        <w:t>从中标人的银行账户转账汇出，汇款时须备注中标物资的</w:t>
      </w:r>
      <w:r>
        <w:rPr>
          <w:rFonts w:hint="eastAsia" w:ascii="仿宋_GB2312" w:hAnsi="宋体" w:eastAsia="仿宋_GB2312"/>
          <w:b/>
          <w:bCs/>
          <w:color w:val="auto"/>
          <w:sz w:val="28"/>
          <w:szCs w:val="28"/>
          <w:highlight w:val="none"/>
        </w:rPr>
        <w:t>招标编号</w:t>
      </w:r>
      <w:r>
        <w:rPr>
          <w:rFonts w:hint="eastAsia" w:ascii="仿宋_GB2312" w:hAnsi="宋体" w:eastAsia="仿宋_GB2312"/>
          <w:color w:val="auto"/>
          <w:sz w:val="28"/>
          <w:szCs w:val="28"/>
          <w:highlight w:val="none"/>
        </w:rPr>
        <w:t>与</w:t>
      </w:r>
      <w:r>
        <w:rPr>
          <w:rFonts w:hint="eastAsia" w:ascii="仿宋_GB2312" w:hAnsi="宋体" w:eastAsia="仿宋_GB2312"/>
          <w:b/>
          <w:bCs/>
          <w:color w:val="auto"/>
          <w:sz w:val="28"/>
          <w:szCs w:val="28"/>
          <w:highlight w:val="none"/>
        </w:rPr>
        <w:t>包件号</w:t>
      </w:r>
      <w:r>
        <w:rPr>
          <w:rFonts w:hint="eastAsia" w:ascii="仿宋_GB2312" w:hAnsi="宋体" w:eastAsia="仿宋_GB2312"/>
          <w:color w:val="auto"/>
          <w:sz w:val="28"/>
          <w:szCs w:val="28"/>
          <w:highlight w:val="none"/>
        </w:rPr>
        <w:t>。中标人应在成交服务费</w:t>
      </w:r>
      <w:r>
        <w:rPr>
          <w:rFonts w:hint="eastAsia" w:ascii="仿宋_GB2312" w:hAnsi="宋体" w:eastAsia="仿宋_GB2312"/>
          <w:b/>
          <w:bCs/>
          <w:color w:val="auto"/>
          <w:sz w:val="28"/>
          <w:szCs w:val="28"/>
          <w:highlight w:val="none"/>
        </w:rPr>
        <w:t>转汇当日</w:t>
      </w:r>
      <w:r>
        <w:rPr>
          <w:rFonts w:hint="eastAsia" w:ascii="仿宋_GB2312" w:hAnsi="宋体" w:eastAsia="仿宋_GB2312"/>
          <w:color w:val="auto"/>
          <w:sz w:val="28"/>
          <w:szCs w:val="28"/>
          <w:highlight w:val="none"/>
        </w:rPr>
        <w:t>将服务费开票信息发送至招标中心邮箱（开票信息模板见附件）。招标中心收到成交服务费后根据开票信息向中标人开具增值税</w:t>
      </w:r>
      <w:r>
        <w:rPr>
          <w:rFonts w:hint="eastAsia" w:ascii="仿宋_GB2312" w:hAnsi="宋体" w:eastAsia="仿宋_GB2312"/>
          <w:b/>
          <w:bCs/>
          <w:color w:val="auto"/>
          <w:sz w:val="28"/>
          <w:szCs w:val="28"/>
          <w:highlight w:val="none"/>
        </w:rPr>
        <w:t>普通发票</w:t>
      </w:r>
      <w:r>
        <w:rPr>
          <w:rFonts w:hint="eastAsia" w:ascii="仿宋_GB2312" w:hAnsi="宋体" w:eastAsia="仿宋_GB2312"/>
          <w:color w:val="auto"/>
          <w:sz w:val="28"/>
          <w:szCs w:val="28"/>
          <w:highlight w:val="none"/>
        </w:rPr>
        <w:t>；中标人如需开具增值税</w:t>
      </w:r>
      <w:r>
        <w:rPr>
          <w:rFonts w:hint="eastAsia" w:ascii="仿宋_GB2312" w:hAnsi="宋体" w:eastAsia="仿宋_GB2312"/>
          <w:b/>
          <w:bCs/>
          <w:color w:val="auto"/>
          <w:sz w:val="28"/>
          <w:szCs w:val="28"/>
          <w:highlight w:val="none"/>
        </w:rPr>
        <w:t>专用发票</w:t>
      </w:r>
      <w:r>
        <w:rPr>
          <w:rFonts w:hint="eastAsia" w:ascii="仿宋_GB2312" w:hAnsi="宋体" w:eastAsia="仿宋_GB2312"/>
          <w:color w:val="auto"/>
          <w:sz w:val="28"/>
          <w:szCs w:val="28"/>
          <w:highlight w:val="none"/>
        </w:rPr>
        <w:t>，须在</w:t>
      </w:r>
      <w:r>
        <w:rPr>
          <w:rFonts w:hint="eastAsia" w:ascii="仿宋_GB2312" w:hAnsi="宋体" w:eastAsia="仿宋_GB2312"/>
          <w:b/>
          <w:bCs/>
          <w:color w:val="auto"/>
          <w:sz w:val="28"/>
          <w:szCs w:val="28"/>
          <w:highlight w:val="none"/>
        </w:rPr>
        <w:t>开票信息</w:t>
      </w:r>
      <w:r>
        <w:rPr>
          <w:rFonts w:hint="eastAsia" w:ascii="仿宋_GB2312" w:hAnsi="宋体" w:eastAsia="仿宋_GB2312"/>
          <w:color w:val="auto"/>
          <w:sz w:val="28"/>
          <w:szCs w:val="28"/>
          <w:highlight w:val="none"/>
        </w:rPr>
        <w:t>中作</w:t>
      </w:r>
      <w:r>
        <w:rPr>
          <w:rFonts w:hint="eastAsia" w:ascii="仿宋_GB2312" w:hAnsi="宋体" w:eastAsia="仿宋_GB2312"/>
          <w:b/>
          <w:bCs/>
          <w:color w:val="auto"/>
          <w:sz w:val="28"/>
          <w:szCs w:val="28"/>
          <w:highlight w:val="none"/>
        </w:rPr>
        <w:t>特别说明</w:t>
      </w:r>
      <w:r>
        <w:rPr>
          <w:rFonts w:hint="eastAsia" w:ascii="仿宋_GB2312" w:hAnsi="宋体" w:eastAsia="仿宋_GB2312"/>
          <w:color w:val="auto"/>
          <w:sz w:val="28"/>
          <w:szCs w:val="28"/>
          <w:highlight w:val="none"/>
        </w:rPr>
        <w:t>（未在开票信息说明需开具增值税专票的，一律视为只需开具增值税普通发票），成交服务费发票一经开具</w:t>
      </w:r>
      <w:r>
        <w:rPr>
          <w:rFonts w:hint="eastAsia" w:ascii="仿宋_GB2312" w:hAnsi="宋体" w:eastAsia="仿宋_GB2312"/>
          <w:b/>
          <w:bCs/>
          <w:color w:val="auto"/>
          <w:sz w:val="28"/>
          <w:szCs w:val="28"/>
          <w:highlight w:val="none"/>
        </w:rPr>
        <w:t>概不退换</w:t>
      </w:r>
      <w:r>
        <w:rPr>
          <w:rFonts w:hint="eastAsia" w:ascii="仿宋" w:hAnsi="仿宋" w:eastAsia="仿宋" w:cs="仿宋"/>
          <w:color w:val="auto"/>
          <w:sz w:val="28"/>
          <w:szCs w:val="28"/>
          <w:highlight w:val="none"/>
        </w:rPr>
        <w:t>。</w:t>
      </w:r>
      <w:bookmarkEnd w:id="110"/>
    </w:p>
    <w:p w14:paraId="4CB24458">
      <w:pPr>
        <w:adjustRightInd w:val="0"/>
        <w:snapToGrid w:val="0"/>
        <w:spacing w:line="520" w:lineRule="exact"/>
        <w:ind w:firstLine="562" w:firstLineChars="200"/>
        <w:outlineLvl w:val="1"/>
        <w:rPr>
          <w:rFonts w:hint="eastAsia" w:ascii="仿宋_GB2312" w:hAnsi="宋体" w:eastAsia="仿宋_GB2312"/>
          <w:color w:val="auto"/>
          <w:sz w:val="28"/>
          <w:szCs w:val="28"/>
          <w:highlight w:val="none"/>
        </w:rPr>
      </w:pPr>
      <w:r>
        <w:rPr>
          <w:rFonts w:hint="eastAsia" w:ascii="仿宋_GB2312" w:hAnsi="宋体" w:eastAsia="仿宋_GB2312"/>
          <w:b/>
          <w:bCs/>
          <w:color w:val="auto"/>
          <w:sz w:val="28"/>
          <w:szCs w:val="28"/>
          <w:highlight w:val="none"/>
        </w:rPr>
        <w:t>11.</w:t>
      </w:r>
      <w:r>
        <w:rPr>
          <w:rFonts w:hint="eastAsia" w:ascii="仿宋_GB2312" w:hAnsi="宋体" w:eastAsia="仿宋_GB2312"/>
          <w:color w:val="auto"/>
          <w:sz w:val="28"/>
          <w:szCs w:val="28"/>
          <w:highlight w:val="none"/>
        </w:rPr>
        <w:t>（投标保证金及成交服务费）</w:t>
      </w:r>
      <w:r>
        <w:rPr>
          <w:rFonts w:hint="eastAsia" w:ascii="仿宋_GB2312" w:hAnsi="宋体" w:eastAsia="仿宋_GB2312"/>
          <w:b/>
          <w:bCs/>
          <w:color w:val="auto"/>
          <w:sz w:val="28"/>
          <w:szCs w:val="28"/>
          <w:highlight w:val="none"/>
        </w:rPr>
        <w:t>收款账户信息</w:t>
      </w:r>
    </w:p>
    <w:p w14:paraId="1D09B425">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bookmarkStart w:id="111" w:name="_Toc496258922"/>
      <w:bookmarkStart w:id="112" w:name="_Toc496173345"/>
      <w:bookmarkStart w:id="113" w:name="_Toc496259142"/>
      <w:bookmarkStart w:id="114" w:name="_Toc477773498"/>
      <w:bookmarkStart w:id="115" w:name="_Toc496856623"/>
      <w:r>
        <w:rPr>
          <w:rFonts w:hint="eastAsia" w:ascii="仿宋" w:hAnsi="仿宋" w:eastAsia="仿宋" w:cs="仿宋"/>
          <w:color w:val="auto"/>
          <w:sz w:val="28"/>
          <w:szCs w:val="28"/>
          <w:highlight w:val="none"/>
        </w:rPr>
        <w:t>收款账户名称：中铁五局集团有限公司物资招标交易中心</w:t>
      </w:r>
    </w:p>
    <w:p w14:paraId="600A52FB">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开户银行：中国农业银行股份有限公司总行营业部（非转汇行）</w:t>
      </w:r>
    </w:p>
    <w:p w14:paraId="2361B7D0">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银行账号：2011010192500032001</w:t>
      </w:r>
    </w:p>
    <w:p w14:paraId="0C80289D">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联行号：103100000018</w:t>
      </w:r>
    </w:p>
    <w:p w14:paraId="7032CDD5">
      <w:pPr>
        <w:adjustRightInd w:val="0"/>
        <w:snapToGrid w:val="0"/>
        <w:spacing w:line="520" w:lineRule="exact"/>
        <w:ind w:firstLine="562" w:firstLineChars="200"/>
        <w:jc w:val="left"/>
        <w:outlineLvl w:val="1"/>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12.费用转账汇款操作说明</w:t>
      </w:r>
    </w:p>
    <w:p w14:paraId="62634143">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12.1费用转账汇款操作要点：</w:t>
      </w:r>
    </w:p>
    <w:p w14:paraId="5573453D">
      <w:pPr>
        <w:adjustRightInd w:val="0"/>
        <w:snapToGrid w:val="0"/>
        <w:spacing w:line="520" w:lineRule="exact"/>
        <w:ind w:firstLine="560" w:firstLineChars="2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①投标人汇款账户为</w:t>
      </w:r>
      <w:r>
        <w:rPr>
          <w:rFonts w:hint="eastAsia" w:ascii="仿宋" w:hAnsi="仿宋" w:eastAsia="仿宋" w:cs="仿宋"/>
          <w:b/>
          <w:bCs/>
          <w:color w:val="auto"/>
          <w:sz w:val="28"/>
          <w:szCs w:val="28"/>
          <w:highlight w:val="none"/>
        </w:rPr>
        <w:t>非农业银行</w:t>
      </w:r>
      <w:r>
        <w:rPr>
          <w:rFonts w:hint="eastAsia" w:ascii="仿宋" w:hAnsi="仿宋" w:eastAsia="仿宋" w:cs="仿宋"/>
          <w:color w:val="auto"/>
          <w:sz w:val="28"/>
          <w:szCs w:val="28"/>
          <w:highlight w:val="none"/>
        </w:rPr>
        <w:t>转账汇款时：</w:t>
      </w:r>
    </w:p>
    <w:p w14:paraId="74059BF5">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收款方开户银行名称“中国农业银行股份有限公司总行营业部</w:t>
      </w:r>
      <w:r>
        <w:rPr>
          <w:rFonts w:hint="eastAsia" w:ascii="仿宋" w:hAnsi="仿宋" w:eastAsia="仿宋" w:cs="仿宋"/>
          <w:b/>
          <w:bCs/>
          <w:color w:val="auto"/>
          <w:sz w:val="28"/>
          <w:szCs w:val="28"/>
          <w:highlight w:val="none"/>
        </w:rPr>
        <w:t>（非转汇行）</w:t>
      </w:r>
      <w:r>
        <w:rPr>
          <w:rFonts w:hint="eastAsia" w:ascii="仿宋" w:hAnsi="仿宋" w:eastAsia="仿宋" w:cs="仿宋"/>
          <w:color w:val="auto"/>
          <w:sz w:val="28"/>
          <w:szCs w:val="28"/>
          <w:highlight w:val="none"/>
        </w:rPr>
        <w:t>”必须填写完整，开户银行中“</w:t>
      </w:r>
      <w:r>
        <w:rPr>
          <w:rFonts w:hint="eastAsia" w:ascii="仿宋" w:hAnsi="仿宋" w:eastAsia="仿宋" w:cs="仿宋"/>
          <w:b/>
          <w:bCs/>
          <w:color w:val="auto"/>
          <w:sz w:val="28"/>
          <w:szCs w:val="28"/>
          <w:highlight w:val="none"/>
        </w:rPr>
        <w:t>（非转汇行）</w:t>
      </w:r>
      <w:r>
        <w:rPr>
          <w:rFonts w:hint="eastAsia" w:ascii="仿宋" w:hAnsi="仿宋" w:eastAsia="仿宋" w:cs="仿宋"/>
          <w:color w:val="auto"/>
          <w:sz w:val="28"/>
          <w:szCs w:val="28"/>
          <w:highlight w:val="none"/>
        </w:rPr>
        <w:t>”的</w:t>
      </w:r>
      <w:r>
        <w:rPr>
          <w:rFonts w:hint="eastAsia" w:ascii="仿宋" w:hAnsi="仿宋" w:eastAsia="仿宋" w:cs="仿宋"/>
          <w:b/>
          <w:bCs/>
          <w:color w:val="auto"/>
          <w:sz w:val="28"/>
          <w:szCs w:val="28"/>
          <w:highlight w:val="none"/>
        </w:rPr>
        <w:t>括弧字符</w:t>
      </w:r>
      <w:r>
        <w:rPr>
          <w:rFonts w:hint="eastAsia" w:ascii="仿宋" w:hAnsi="仿宋" w:eastAsia="仿宋" w:cs="仿宋"/>
          <w:color w:val="auto"/>
          <w:sz w:val="28"/>
          <w:szCs w:val="28"/>
          <w:highlight w:val="none"/>
        </w:rPr>
        <w:t>必须使用</w:t>
      </w:r>
      <w:r>
        <w:rPr>
          <w:rFonts w:hint="eastAsia" w:ascii="仿宋" w:hAnsi="仿宋" w:eastAsia="仿宋" w:cs="仿宋"/>
          <w:b/>
          <w:bCs/>
          <w:color w:val="auto"/>
          <w:sz w:val="28"/>
          <w:szCs w:val="28"/>
          <w:highlight w:val="none"/>
        </w:rPr>
        <w:t>全角字符</w:t>
      </w:r>
      <w:r>
        <w:rPr>
          <w:rFonts w:hint="eastAsia" w:ascii="仿宋" w:hAnsi="仿宋" w:eastAsia="仿宋" w:cs="仿宋"/>
          <w:color w:val="auto"/>
          <w:sz w:val="28"/>
          <w:szCs w:val="28"/>
          <w:highlight w:val="none"/>
        </w:rPr>
        <w:t>；收款方开户银行归属地为“北京”。</w:t>
      </w:r>
    </w:p>
    <w:p w14:paraId="58826D58">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②投标人汇款账户为</w:t>
      </w:r>
      <w:r>
        <w:rPr>
          <w:rFonts w:hint="eastAsia" w:ascii="仿宋" w:hAnsi="仿宋" w:eastAsia="仿宋" w:cs="仿宋"/>
          <w:b/>
          <w:bCs/>
          <w:color w:val="auto"/>
          <w:sz w:val="28"/>
          <w:szCs w:val="28"/>
          <w:highlight w:val="none"/>
        </w:rPr>
        <w:t>农业银行</w:t>
      </w:r>
      <w:r>
        <w:rPr>
          <w:rFonts w:hint="eastAsia" w:ascii="仿宋" w:hAnsi="仿宋" w:eastAsia="仿宋" w:cs="仿宋"/>
          <w:color w:val="auto"/>
          <w:sz w:val="28"/>
          <w:szCs w:val="28"/>
          <w:highlight w:val="none"/>
        </w:rPr>
        <w:t>转账汇款时：</w:t>
      </w:r>
    </w:p>
    <w:p w14:paraId="2E0ABBBA">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请参照下图提示进行操作。</w:t>
      </w:r>
    </w:p>
    <w:p w14:paraId="4599B182">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p>
    <w:p w14:paraId="2A5ABF55">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p>
    <w:p w14:paraId="04D76A66">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p>
    <w:p w14:paraId="7A96E9B4">
      <w:pPr>
        <w:adjustRightInd w:val="0"/>
        <w:snapToGrid w:val="0"/>
        <w:spacing w:line="520" w:lineRule="exact"/>
        <w:ind w:firstLine="420" w:firstLineChars="200"/>
        <w:jc w:val="left"/>
        <w:rPr>
          <w:rFonts w:hint="eastAsia" w:ascii="仿宋" w:hAnsi="仿宋" w:eastAsia="仿宋" w:cs="仿宋"/>
          <w:color w:val="auto"/>
          <w:sz w:val="28"/>
          <w:szCs w:val="28"/>
          <w:highlight w:val="none"/>
        </w:rPr>
      </w:pPr>
      <w:r>
        <w:rPr>
          <w:color w:val="auto"/>
          <w:highlight w:val="none"/>
        </w:rPr>
        <w:drawing>
          <wp:anchor distT="0" distB="0" distL="114300" distR="114300" simplePos="0" relativeHeight="251659264" behindDoc="0" locked="0" layoutInCell="1" allowOverlap="1">
            <wp:simplePos x="0" y="0"/>
            <wp:positionH relativeFrom="column">
              <wp:posOffset>92710</wp:posOffset>
            </wp:positionH>
            <wp:positionV relativeFrom="paragraph">
              <wp:posOffset>-695325</wp:posOffset>
            </wp:positionV>
            <wp:extent cx="5581650" cy="3641090"/>
            <wp:effectExtent l="0" t="0" r="0" b="16510"/>
            <wp:wrapNone/>
            <wp:docPr id="3" name="图片 2" descr="农行转款操作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农行转款操作流程"/>
                    <pic:cNvPicPr>
                      <a:picLocks noChangeAspect="1"/>
                    </pic:cNvPicPr>
                  </pic:nvPicPr>
                  <pic:blipFill>
                    <a:blip r:embed="rId5"/>
                    <a:stretch>
                      <a:fillRect/>
                    </a:stretch>
                  </pic:blipFill>
                  <pic:spPr>
                    <a:xfrm>
                      <a:off x="0" y="0"/>
                      <a:ext cx="5581650" cy="3641090"/>
                    </a:xfrm>
                    <a:prstGeom prst="rect">
                      <a:avLst/>
                    </a:prstGeom>
                    <a:noFill/>
                    <a:ln>
                      <a:noFill/>
                    </a:ln>
                  </pic:spPr>
                </pic:pic>
              </a:graphicData>
            </a:graphic>
          </wp:anchor>
        </w:drawing>
      </w:r>
    </w:p>
    <w:p w14:paraId="133EB2FC">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p>
    <w:p w14:paraId="55C53EB1">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p>
    <w:p w14:paraId="5BA3EE47">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p>
    <w:p w14:paraId="3C1FE962">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p>
    <w:p w14:paraId="3CE57A94">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p>
    <w:p w14:paraId="3F628065">
      <w:pPr>
        <w:adjustRightInd w:val="0"/>
        <w:snapToGrid w:val="0"/>
        <w:spacing w:line="520" w:lineRule="exact"/>
        <w:ind w:firstLine="560" w:firstLineChars="200"/>
        <w:jc w:val="left"/>
        <w:rPr>
          <w:rFonts w:hint="eastAsia" w:ascii="仿宋" w:hAnsi="仿宋" w:eastAsia="仿宋" w:cs="仿宋"/>
          <w:color w:val="auto"/>
          <w:sz w:val="28"/>
          <w:szCs w:val="28"/>
          <w:highlight w:val="none"/>
        </w:rPr>
      </w:pPr>
    </w:p>
    <w:p w14:paraId="56F3B4BB">
      <w:pPr>
        <w:spacing w:line="520" w:lineRule="exact"/>
        <w:ind w:firstLine="562" w:firstLineChars="200"/>
        <w:jc w:val="left"/>
        <w:rPr>
          <w:rFonts w:hint="eastAsia" w:ascii="仿宋" w:hAnsi="仿宋" w:eastAsia="仿宋" w:cs="仿宋"/>
          <w:b/>
          <w:bCs/>
          <w:color w:val="auto"/>
          <w:sz w:val="28"/>
          <w:szCs w:val="28"/>
          <w:highlight w:val="none"/>
        </w:rPr>
      </w:pPr>
    </w:p>
    <w:p w14:paraId="19DFBAED">
      <w:pPr>
        <w:spacing w:line="520" w:lineRule="exact"/>
        <w:ind w:firstLine="562" w:firstLineChars="200"/>
        <w:jc w:val="left"/>
        <w:rPr>
          <w:rFonts w:hint="eastAsia" w:ascii="仿宋" w:hAnsi="仿宋" w:eastAsia="仿宋" w:cs="仿宋"/>
          <w:b/>
          <w:bCs/>
          <w:color w:val="auto"/>
          <w:sz w:val="28"/>
          <w:szCs w:val="28"/>
          <w:highlight w:val="none"/>
        </w:rPr>
      </w:pPr>
    </w:p>
    <w:p w14:paraId="369CAAEA">
      <w:pPr>
        <w:spacing w:line="520" w:lineRule="exact"/>
        <w:ind w:firstLine="562" w:firstLineChars="20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12.2费用转账汇款注意事项：</w:t>
      </w:r>
    </w:p>
    <w:p w14:paraId="19D9126A">
      <w:pPr>
        <w:pStyle w:val="9"/>
        <w:spacing w:line="520" w:lineRule="exact"/>
        <w:ind w:firstLine="566"/>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（1）汇款账号所对应的单位名称与投标人名称必须</w:t>
      </w:r>
      <w:r>
        <w:rPr>
          <w:rFonts w:hint="eastAsia" w:ascii="仿宋" w:hAnsi="仿宋" w:eastAsia="仿宋" w:cs="仿宋"/>
          <w:b/>
          <w:bCs/>
          <w:color w:val="auto"/>
          <w:sz w:val="28"/>
          <w:szCs w:val="28"/>
          <w:highlight w:val="none"/>
        </w:rPr>
        <w:t>完全一致（</w:t>
      </w:r>
      <w:r>
        <w:rPr>
          <w:rFonts w:hint="eastAsia" w:ascii="仿宋" w:hAnsi="仿宋" w:eastAsia="仿宋" w:cs="仿宋"/>
          <w:color w:val="auto"/>
          <w:sz w:val="28"/>
          <w:szCs w:val="28"/>
          <w:highlight w:val="none"/>
        </w:rPr>
        <w:t>招标人</w:t>
      </w:r>
      <w:r>
        <w:rPr>
          <w:rFonts w:hint="eastAsia" w:ascii="仿宋" w:hAnsi="仿宋" w:eastAsia="仿宋" w:cs="仿宋"/>
          <w:b/>
          <w:bCs/>
          <w:color w:val="auto"/>
          <w:sz w:val="28"/>
          <w:szCs w:val="28"/>
          <w:highlight w:val="none"/>
        </w:rPr>
        <w:t>不接受个人账户</w:t>
      </w:r>
      <w:r>
        <w:rPr>
          <w:rFonts w:hint="eastAsia" w:ascii="仿宋" w:hAnsi="仿宋" w:eastAsia="仿宋" w:cs="仿宋"/>
          <w:color w:val="auto"/>
          <w:sz w:val="28"/>
          <w:szCs w:val="28"/>
          <w:highlight w:val="none"/>
        </w:rPr>
        <w:t>汇款</w:t>
      </w:r>
      <w:r>
        <w:rPr>
          <w:rFonts w:hint="eastAsia" w:ascii="仿宋" w:hAnsi="仿宋" w:eastAsia="仿宋" w:cs="仿宋"/>
          <w:b/>
          <w:bCs/>
          <w:color w:val="auto"/>
          <w:sz w:val="28"/>
          <w:szCs w:val="28"/>
          <w:highlight w:val="none"/>
        </w:rPr>
        <w:t>）</w:t>
      </w:r>
      <w:r>
        <w:rPr>
          <w:rFonts w:hint="eastAsia" w:ascii="仿宋" w:hAnsi="仿宋" w:eastAsia="仿宋" w:cs="仿宋"/>
          <w:color w:val="auto"/>
          <w:sz w:val="28"/>
          <w:szCs w:val="28"/>
          <w:highlight w:val="none"/>
        </w:rPr>
        <w:t>。</w:t>
      </w:r>
    </w:p>
    <w:p w14:paraId="11CE6D49">
      <w:pPr>
        <w:pStyle w:val="9"/>
        <w:spacing w:line="520" w:lineRule="exact"/>
        <w:ind w:firstLine="566"/>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（2）同一投标人响应同一项目</w:t>
      </w:r>
      <w:r>
        <w:rPr>
          <w:rFonts w:hint="eastAsia" w:ascii="仿宋" w:hAnsi="仿宋" w:eastAsia="仿宋" w:cs="仿宋"/>
          <w:b/>
          <w:bCs/>
          <w:color w:val="auto"/>
          <w:sz w:val="28"/>
          <w:szCs w:val="28"/>
          <w:highlight w:val="none"/>
        </w:rPr>
        <w:t>多个包件</w:t>
      </w:r>
      <w:r>
        <w:rPr>
          <w:rFonts w:hint="eastAsia" w:ascii="仿宋" w:hAnsi="仿宋" w:eastAsia="仿宋" w:cs="仿宋"/>
          <w:color w:val="auto"/>
          <w:sz w:val="28"/>
          <w:szCs w:val="28"/>
          <w:highlight w:val="none"/>
        </w:rPr>
        <w:t>投标时，不同包件的投标保证金可合并汇出，</w:t>
      </w:r>
      <w:r>
        <w:rPr>
          <w:rFonts w:hint="eastAsia" w:ascii="仿宋" w:hAnsi="仿宋" w:eastAsia="仿宋" w:cs="仿宋"/>
          <w:color w:val="auto"/>
          <w:sz w:val="28"/>
          <w:szCs w:val="28"/>
          <w:highlight w:val="none"/>
          <w:u w:val="single"/>
        </w:rPr>
        <w:t>汇款时须备注其投标响应的</w:t>
      </w:r>
      <w:r>
        <w:rPr>
          <w:rFonts w:hint="eastAsia" w:ascii="仿宋" w:hAnsi="仿宋" w:eastAsia="仿宋" w:cs="仿宋"/>
          <w:b/>
          <w:bCs/>
          <w:color w:val="auto"/>
          <w:sz w:val="28"/>
          <w:szCs w:val="28"/>
          <w:highlight w:val="none"/>
          <w:u w:val="single"/>
        </w:rPr>
        <w:t>招标编号</w:t>
      </w:r>
      <w:r>
        <w:rPr>
          <w:rFonts w:hint="eastAsia" w:ascii="仿宋" w:hAnsi="仿宋" w:eastAsia="仿宋" w:cs="仿宋"/>
          <w:color w:val="auto"/>
          <w:sz w:val="28"/>
          <w:szCs w:val="28"/>
          <w:highlight w:val="none"/>
          <w:u w:val="single"/>
        </w:rPr>
        <w:t>与</w:t>
      </w:r>
      <w:r>
        <w:rPr>
          <w:rFonts w:hint="eastAsia" w:ascii="仿宋" w:hAnsi="仿宋" w:eastAsia="仿宋" w:cs="仿宋"/>
          <w:b/>
          <w:bCs/>
          <w:color w:val="auto"/>
          <w:sz w:val="28"/>
          <w:szCs w:val="28"/>
          <w:highlight w:val="none"/>
          <w:u w:val="single"/>
        </w:rPr>
        <w:t>包件号</w:t>
      </w:r>
      <w:r>
        <w:rPr>
          <w:rFonts w:hint="eastAsia" w:ascii="仿宋" w:hAnsi="仿宋" w:eastAsia="仿宋" w:cs="仿宋"/>
          <w:color w:val="auto"/>
          <w:sz w:val="28"/>
          <w:szCs w:val="28"/>
          <w:highlight w:val="none"/>
          <w:u w:val="single"/>
        </w:rPr>
        <w:t>（例如：投标人响应某项目招标编号为“ZTWJWZZB-2022-66</w:t>
      </w:r>
      <w:r>
        <w:rPr>
          <w:rFonts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rPr>
        <w:t>、包件号为“SSL-01、TGB-02”的砂石料和土工布招标时，汇款备注信息应简要地表述为“2022-66，SSL-01、TGB-02</w:t>
      </w:r>
      <w:r>
        <w:rPr>
          <w:rFonts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rPr>
        <w:t>，投标人因投标信息备注不清或遗漏导致其无法有效参与投标的，后果自负。</w:t>
      </w:r>
    </w:p>
    <w:p w14:paraId="23BCF4AF">
      <w:pPr>
        <w:adjustRightInd w:val="0"/>
        <w:snapToGrid w:val="0"/>
        <w:spacing w:line="520" w:lineRule="exact"/>
        <w:ind w:firstLine="562" w:firstLineChars="200"/>
        <w:jc w:val="left"/>
        <w:rPr>
          <w:rFonts w:hint="eastAsia" w:ascii="仿宋" w:hAnsi="仿宋" w:eastAsia="仿宋" w:cs="仿宋"/>
          <w:color w:val="auto"/>
          <w:sz w:val="28"/>
          <w:szCs w:val="28"/>
          <w:highlight w:val="none"/>
        </w:rPr>
      </w:pPr>
      <w:bookmarkStart w:id="116" w:name="_Toc15497"/>
      <w:r>
        <w:rPr>
          <w:rFonts w:hint="eastAsia" w:ascii="仿宋" w:hAnsi="仿宋" w:eastAsia="仿宋" w:cs="仿宋"/>
          <w:b/>
          <w:bCs/>
          <w:color w:val="auto"/>
          <w:sz w:val="28"/>
          <w:szCs w:val="28"/>
          <w:highlight w:val="none"/>
        </w:rPr>
        <w:t>12.3</w:t>
      </w:r>
      <w:r>
        <w:rPr>
          <w:rFonts w:hint="eastAsia" w:ascii="仿宋" w:hAnsi="仿宋" w:eastAsia="仿宋" w:cs="仿宋"/>
          <w:color w:val="auto"/>
          <w:sz w:val="28"/>
          <w:szCs w:val="28"/>
          <w:highlight w:val="none"/>
        </w:rPr>
        <w:t>投标保证金的</w:t>
      </w:r>
      <w:r>
        <w:rPr>
          <w:rFonts w:hint="eastAsia" w:ascii="仿宋" w:hAnsi="仿宋" w:eastAsia="仿宋" w:cs="仿宋"/>
          <w:b/>
          <w:bCs/>
          <w:color w:val="auto"/>
          <w:sz w:val="28"/>
          <w:szCs w:val="28"/>
          <w:highlight w:val="none"/>
        </w:rPr>
        <w:t>转账到达时间</w:t>
      </w:r>
      <w:r>
        <w:rPr>
          <w:rFonts w:hint="eastAsia" w:ascii="仿宋" w:hAnsi="仿宋" w:eastAsia="仿宋" w:cs="仿宋"/>
          <w:color w:val="auto"/>
          <w:sz w:val="28"/>
          <w:szCs w:val="28"/>
          <w:highlight w:val="none"/>
        </w:rPr>
        <w:t>为交纳款项到达指定账户的</w:t>
      </w:r>
      <w:r>
        <w:rPr>
          <w:rFonts w:hint="eastAsia" w:ascii="仿宋" w:hAnsi="仿宋" w:eastAsia="仿宋" w:cs="仿宋"/>
          <w:b/>
          <w:bCs/>
          <w:color w:val="auto"/>
          <w:sz w:val="28"/>
          <w:szCs w:val="28"/>
          <w:highlight w:val="none"/>
        </w:rPr>
        <w:t>银行记账时间</w:t>
      </w:r>
      <w:r>
        <w:rPr>
          <w:rFonts w:hint="eastAsia" w:ascii="仿宋" w:hAnsi="仿宋" w:eastAsia="仿宋" w:cs="仿宋"/>
          <w:color w:val="auto"/>
          <w:sz w:val="28"/>
          <w:szCs w:val="28"/>
          <w:highlight w:val="none"/>
        </w:rPr>
        <w:t>；投标保证金采用“</w:t>
      </w:r>
      <w:r>
        <w:rPr>
          <w:rFonts w:hint="eastAsia" w:ascii="仿宋" w:hAnsi="仿宋" w:eastAsia="仿宋" w:cs="仿宋"/>
          <w:b/>
          <w:bCs/>
          <w:color w:val="auto"/>
          <w:sz w:val="28"/>
          <w:szCs w:val="28"/>
          <w:highlight w:val="none"/>
        </w:rPr>
        <w:t>银行保函</w:t>
      </w:r>
      <w:r>
        <w:rPr>
          <w:rFonts w:hint="eastAsia" w:ascii="仿宋" w:hAnsi="仿宋" w:eastAsia="仿宋" w:cs="仿宋"/>
          <w:color w:val="auto"/>
          <w:sz w:val="28"/>
          <w:szCs w:val="28"/>
          <w:highlight w:val="none"/>
        </w:rPr>
        <w:t>”递交的达到时间为投标人委派人员到达指定递交地点的</w:t>
      </w:r>
      <w:r>
        <w:rPr>
          <w:rFonts w:hint="eastAsia" w:ascii="仿宋" w:hAnsi="仿宋" w:eastAsia="仿宋" w:cs="仿宋"/>
          <w:b/>
          <w:bCs/>
          <w:color w:val="auto"/>
          <w:sz w:val="28"/>
          <w:szCs w:val="28"/>
          <w:highlight w:val="none"/>
        </w:rPr>
        <w:t>实际递交时间</w:t>
      </w:r>
      <w:r>
        <w:rPr>
          <w:rFonts w:hint="eastAsia" w:ascii="仿宋" w:hAnsi="仿宋" w:eastAsia="仿宋" w:cs="仿宋"/>
          <w:color w:val="auto"/>
          <w:sz w:val="28"/>
          <w:szCs w:val="28"/>
          <w:highlight w:val="none"/>
        </w:rPr>
        <w:t>。</w:t>
      </w:r>
    </w:p>
    <w:p w14:paraId="000354C4">
      <w:pPr>
        <w:adjustRightInd w:val="0"/>
        <w:snapToGrid w:val="0"/>
        <w:spacing w:line="520" w:lineRule="exact"/>
        <w:ind w:firstLine="562" w:firstLineChars="200"/>
        <w:jc w:val="left"/>
        <w:outlineLvl w:val="1"/>
        <w:rPr>
          <w:rFonts w:hint="eastAsia" w:ascii="仿宋_GB2312" w:hAnsi="宋体" w:eastAsia="仿宋_GB2312"/>
          <w:b/>
          <w:color w:val="auto"/>
          <w:sz w:val="28"/>
          <w:szCs w:val="28"/>
          <w:highlight w:val="none"/>
        </w:rPr>
      </w:pPr>
      <w:r>
        <w:rPr>
          <w:rFonts w:hint="eastAsia" w:ascii="仿宋_GB2312" w:hAnsi="宋体" w:eastAsia="仿宋_GB2312"/>
          <w:b/>
          <w:color w:val="auto"/>
          <w:sz w:val="28"/>
          <w:szCs w:val="28"/>
          <w:highlight w:val="none"/>
        </w:rPr>
        <w:t>13．附件</w:t>
      </w:r>
      <w:bookmarkEnd w:id="107"/>
      <w:bookmarkEnd w:id="108"/>
      <w:bookmarkEnd w:id="109"/>
      <w:bookmarkEnd w:id="111"/>
      <w:bookmarkEnd w:id="112"/>
      <w:bookmarkEnd w:id="113"/>
      <w:bookmarkEnd w:id="114"/>
      <w:bookmarkEnd w:id="115"/>
      <w:bookmarkEnd w:id="116"/>
    </w:p>
    <w:p w14:paraId="20CD28BC">
      <w:pPr>
        <w:adjustRightInd w:val="0"/>
        <w:snapToGrid w:val="0"/>
        <w:spacing w:line="520" w:lineRule="exact"/>
        <w:ind w:firstLine="560" w:firstLineChars="2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附件：招标物资包件清单</w:t>
      </w:r>
    </w:p>
    <w:p w14:paraId="375416A8">
      <w:pPr>
        <w:adjustRightInd w:val="0"/>
        <w:snapToGrid w:val="0"/>
        <w:spacing w:line="520" w:lineRule="exact"/>
        <w:ind w:firstLine="1400" w:firstLineChars="50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成交服务费开票信息登记表</w:t>
      </w:r>
    </w:p>
    <w:p w14:paraId="4240FC31">
      <w:pPr>
        <w:adjustRightInd w:val="0"/>
        <w:snapToGrid w:val="0"/>
        <w:spacing w:line="520" w:lineRule="exact"/>
        <w:ind w:firstLine="640" w:firstLineChars="200"/>
        <w:rPr>
          <w:rFonts w:hint="eastAsia" w:ascii="仿宋_GB2312" w:hAnsi="宋体" w:eastAsia="仿宋_GB2312"/>
          <w:color w:val="auto"/>
          <w:sz w:val="32"/>
          <w:szCs w:val="32"/>
          <w:highlight w:val="none"/>
        </w:rPr>
        <w:sectPr>
          <w:footerReference r:id="rId3" w:type="default"/>
          <w:pgSz w:w="11906" w:h="16838"/>
          <w:pgMar w:top="1361" w:right="1361" w:bottom="1361" w:left="1474" w:header="851" w:footer="992" w:gutter="0"/>
          <w:pgBorders>
            <w:top w:val="none" w:sz="0" w:space="0"/>
            <w:left w:val="none" w:sz="0" w:space="0"/>
            <w:bottom w:val="none" w:sz="0" w:space="0"/>
            <w:right w:val="none" w:sz="0" w:space="0"/>
          </w:pgBorders>
          <w:cols w:space="720" w:num="1"/>
          <w:docGrid w:linePitch="312" w:charSpace="0"/>
        </w:sectPr>
      </w:pPr>
    </w:p>
    <w:p w14:paraId="23DDC840">
      <w:pPr>
        <w:adjustRightInd w:val="0"/>
        <w:snapToGrid w:val="0"/>
        <w:spacing w:line="560" w:lineRule="exact"/>
        <w:jc w:val="center"/>
        <w:rPr>
          <w:rFonts w:hint="eastAsia" w:ascii="仿宋_GB2312" w:hAnsi="宋体" w:eastAsia="仿宋_GB2312"/>
          <w:b/>
          <w:bCs/>
          <w:color w:val="auto"/>
          <w:sz w:val="32"/>
          <w:szCs w:val="32"/>
          <w:highlight w:val="none"/>
        </w:rPr>
      </w:pPr>
      <w:r>
        <w:rPr>
          <w:color w:val="auto"/>
          <w:sz w:val="32"/>
          <w:highlight w:val="none"/>
        </w:rPr>
        <mc:AlternateContent>
          <mc:Choice Requires="wps">
            <w:drawing>
              <wp:anchor distT="0" distB="0" distL="114300" distR="114300" simplePos="0" relativeHeight="251660288" behindDoc="0" locked="0" layoutInCell="1" allowOverlap="1">
                <wp:simplePos x="0" y="0"/>
                <wp:positionH relativeFrom="column">
                  <wp:posOffset>154305</wp:posOffset>
                </wp:positionH>
                <wp:positionV relativeFrom="paragraph">
                  <wp:posOffset>-4445</wp:posOffset>
                </wp:positionV>
                <wp:extent cx="520065" cy="318135"/>
                <wp:effectExtent l="4445" t="5080" r="8890" b="19685"/>
                <wp:wrapNone/>
                <wp:docPr id="1" name="文本框 1"/>
                <wp:cNvGraphicFramePr/>
                <a:graphic xmlns:a="http://schemas.openxmlformats.org/drawingml/2006/main">
                  <a:graphicData uri="http://schemas.microsoft.com/office/word/2010/wordprocessingShape">
                    <wps:wsp>
                      <wps:cNvSpPr txBox="1"/>
                      <wps:spPr>
                        <a:xfrm>
                          <a:off x="0" y="0"/>
                          <a:ext cx="520065" cy="31813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ABCEEDE">
                            <w:pPr>
                              <w:jc w:val="center"/>
                            </w:pPr>
                            <w:r>
                              <w:rPr>
                                <w:rFonts w:hint="eastAsia"/>
                                <w:b/>
                                <w:bCs/>
                              </w:rPr>
                              <w:t>附件</w:t>
                            </w:r>
                          </w:p>
                        </w:txbxContent>
                      </wps:txbx>
                      <wps:bodyPr upright="1"/>
                    </wps:wsp>
                  </a:graphicData>
                </a:graphic>
              </wp:anchor>
            </w:drawing>
          </mc:Choice>
          <mc:Fallback>
            <w:pict>
              <v:shape id="_x0000_s1026" o:spid="_x0000_s1026" o:spt="202" type="#_x0000_t202" style="position:absolute;left:0pt;margin-left:12.15pt;margin-top:-0.35pt;height:25.05pt;width:40.95pt;z-index:251660288;mso-width-relative:page;mso-height-relative:page;" fillcolor="#FFFFFF" filled="t" stroked="t" coordsize="21600,21600" o:gfxdata="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mkCmjVAAAABwEAAA8AAAAAAAAAAQAgAAAAIgAAAGRycy9kb3du&#10;cmV2LnhtbFBLAQIUABQAAAAIAIdO4kCYKCNwAgIAADUEAAAOAAAAAAAAAAEAIAAAACQBAABkcnMv&#10;ZTJvRG9jLnhtbFBLBQYAAAAABgAGAFkBAACYBQAAAAA=&#10;">
                <v:path/>
                <v:fill on="t" focussize="0,0"/>
                <v:stroke color="#FFFFFF"/>
                <v:imagedata o:title=""/>
                <o:lock v:ext="edit" aspectratio="f"/>
                <v:textbox>
                  <w:txbxContent>
                    <w:p w14:paraId="0ABCEEDE">
                      <w:pPr>
                        <w:jc w:val="center"/>
                      </w:pPr>
                      <w:r>
                        <w:rPr>
                          <w:rFonts w:hint="eastAsia"/>
                          <w:b/>
                          <w:bCs/>
                        </w:rPr>
                        <w:t>附件</w:t>
                      </w:r>
                    </w:p>
                  </w:txbxContent>
                </v:textbox>
              </v:shape>
            </w:pict>
          </mc:Fallback>
        </mc:AlternateContent>
      </w:r>
      <w:r>
        <w:rPr>
          <w:rFonts w:hint="eastAsia" w:ascii="仿宋_GB2312" w:hAnsi="宋体" w:eastAsia="仿宋_GB2312"/>
          <w:b/>
          <w:bCs/>
          <w:color w:val="auto"/>
          <w:sz w:val="32"/>
          <w:szCs w:val="32"/>
          <w:highlight w:val="none"/>
        </w:rPr>
        <w:t>招标物资包件清单</w:t>
      </w:r>
    </w:p>
    <w:p w14:paraId="57B88747">
      <w:pPr>
        <w:spacing w:line="560" w:lineRule="exact"/>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（包件</w:t>
      </w:r>
      <w:r>
        <w:rPr>
          <w:rFonts w:hint="eastAsia" w:ascii="仿宋_GB2312" w:eastAsia="仿宋_GB2312"/>
          <w:color w:val="auto"/>
          <w:sz w:val="28"/>
          <w:szCs w:val="28"/>
          <w:highlight w:val="none"/>
        </w:rPr>
        <w:t>数量为概算数量，仅作为初步依据</w:t>
      </w:r>
      <w:r>
        <w:rPr>
          <w:rFonts w:hint="eastAsia" w:ascii="仿宋_GB2312" w:hAnsi="宋体" w:eastAsia="仿宋_GB2312"/>
          <w:color w:val="auto"/>
          <w:sz w:val="28"/>
          <w:szCs w:val="28"/>
          <w:highlight w:val="none"/>
        </w:rPr>
        <w:t>）</w:t>
      </w:r>
    </w:p>
    <w:tbl>
      <w:tblPr>
        <w:tblStyle w:val="5"/>
        <w:tblpPr w:leftFromText="180" w:rightFromText="180" w:vertAnchor="text" w:horzAnchor="page" w:tblpXSpec="center" w:tblpY="354"/>
        <w:tblOverlap w:val="never"/>
        <w:tblW w:w="14785" w:type="dxa"/>
        <w:jc w:val="center"/>
        <w:tblLayout w:type="fixed"/>
        <w:tblCellMar>
          <w:top w:w="0" w:type="dxa"/>
          <w:left w:w="108" w:type="dxa"/>
          <w:bottom w:w="0" w:type="dxa"/>
          <w:right w:w="108" w:type="dxa"/>
        </w:tblCellMar>
      </w:tblPr>
      <w:tblGrid>
        <w:gridCol w:w="837"/>
        <w:gridCol w:w="612"/>
        <w:gridCol w:w="1706"/>
        <w:gridCol w:w="2089"/>
        <w:gridCol w:w="675"/>
        <w:gridCol w:w="1052"/>
        <w:gridCol w:w="1241"/>
        <w:gridCol w:w="6573"/>
      </w:tblGrid>
      <w:tr w14:paraId="226FEF6B">
        <w:tblPrEx>
          <w:tblCellMar>
            <w:top w:w="0" w:type="dxa"/>
            <w:left w:w="108" w:type="dxa"/>
            <w:bottom w:w="0" w:type="dxa"/>
            <w:right w:w="108" w:type="dxa"/>
          </w:tblCellMar>
        </w:tblPrEx>
        <w:trPr>
          <w:trHeight w:val="409" w:hRule="atLeast"/>
          <w:jc w:val="center"/>
        </w:trPr>
        <w:tc>
          <w:tcPr>
            <w:tcW w:w="837" w:type="dxa"/>
            <w:tcBorders>
              <w:top w:val="single" w:color="000000" w:sz="4" w:space="0"/>
              <w:left w:val="single" w:color="000000" w:sz="4" w:space="0"/>
              <w:bottom w:val="single" w:color="auto" w:sz="4" w:space="0"/>
              <w:right w:val="single" w:color="000000" w:sz="4" w:space="0"/>
            </w:tcBorders>
            <w:noWrap w:val="0"/>
            <w:vAlign w:val="center"/>
          </w:tcPr>
          <w:p w14:paraId="4FC6FBA4">
            <w:pPr>
              <w:widowControl/>
              <w:jc w:val="center"/>
              <w:textAlignment w:val="center"/>
              <w:rPr>
                <w:rFonts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包件号</w:t>
            </w:r>
          </w:p>
        </w:tc>
        <w:tc>
          <w:tcPr>
            <w:tcW w:w="612" w:type="dxa"/>
            <w:tcBorders>
              <w:top w:val="single" w:color="000000" w:sz="4" w:space="0"/>
              <w:left w:val="single" w:color="000000" w:sz="4" w:space="0"/>
              <w:bottom w:val="single" w:color="auto" w:sz="4" w:space="0"/>
              <w:right w:val="single" w:color="000000" w:sz="4" w:space="0"/>
            </w:tcBorders>
            <w:noWrap w:val="0"/>
            <w:vAlign w:val="center"/>
          </w:tcPr>
          <w:p w14:paraId="2D1C2D8B">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序号</w:t>
            </w:r>
          </w:p>
        </w:tc>
        <w:tc>
          <w:tcPr>
            <w:tcW w:w="1706" w:type="dxa"/>
            <w:tcBorders>
              <w:top w:val="single" w:color="000000" w:sz="4" w:space="0"/>
              <w:left w:val="single" w:color="000000" w:sz="4" w:space="0"/>
              <w:bottom w:val="single" w:color="auto" w:sz="4" w:space="0"/>
              <w:right w:val="single" w:color="000000" w:sz="4" w:space="0"/>
            </w:tcBorders>
            <w:noWrap w:val="0"/>
            <w:vAlign w:val="center"/>
          </w:tcPr>
          <w:p w14:paraId="314D6ADF">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物资名称</w:t>
            </w:r>
          </w:p>
        </w:tc>
        <w:tc>
          <w:tcPr>
            <w:tcW w:w="2089" w:type="dxa"/>
            <w:tcBorders>
              <w:top w:val="single" w:color="000000" w:sz="4" w:space="0"/>
              <w:left w:val="single" w:color="000000" w:sz="4" w:space="0"/>
              <w:bottom w:val="single" w:color="auto" w:sz="4" w:space="0"/>
              <w:right w:val="single" w:color="000000" w:sz="4" w:space="0"/>
            </w:tcBorders>
            <w:noWrap w:val="0"/>
            <w:vAlign w:val="center"/>
          </w:tcPr>
          <w:p w14:paraId="27947359">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规格型号</w:t>
            </w:r>
          </w:p>
        </w:tc>
        <w:tc>
          <w:tcPr>
            <w:tcW w:w="675" w:type="dxa"/>
            <w:tcBorders>
              <w:top w:val="single" w:color="000000" w:sz="4" w:space="0"/>
              <w:left w:val="single" w:color="000000" w:sz="4" w:space="0"/>
              <w:bottom w:val="single" w:color="auto" w:sz="4" w:space="0"/>
              <w:right w:val="single" w:color="000000" w:sz="4" w:space="0"/>
            </w:tcBorders>
            <w:noWrap w:val="0"/>
            <w:vAlign w:val="center"/>
          </w:tcPr>
          <w:p w14:paraId="2A6B9232">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单位</w:t>
            </w:r>
          </w:p>
        </w:tc>
        <w:tc>
          <w:tcPr>
            <w:tcW w:w="1052" w:type="dxa"/>
            <w:tcBorders>
              <w:top w:val="single" w:color="000000" w:sz="4" w:space="0"/>
              <w:left w:val="single" w:color="000000" w:sz="4" w:space="0"/>
              <w:bottom w:val="single" w:color="auto" w:sz="4" w:space="0"/>
              <w:right w:val="single" w:color="000000" w:sz="4" w:space="0"/>
            </w:tcBorders>
            <w:noWrap w:val="0"/>
            <w:vAlign w:val="center"/>
          </w:tcPr>
          <w:p w14:paraId="3BE34624">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数量</w:t>
            </w:r>
          </w:p>
        </w:tc>
        <w:tc>
          <w:tcPr>
            <w:tcW w:w="1241" w:type="dxa"/>
            <w:tcBorders>
              <w:top w:val="single" w:color="000000" w:sz="4" w:space="0"/>
              <w:left w:val="single" w:color="000000" w:sz="4" w:space="0"/>
              <w:bottom w:val="single" w:color="auto" w:sz="4" w:space="0"/>
              <w:right w:val="single" w:color="000000" w:sz="4" w:space="0"/>
            </w:tcBorders>
            <w:noWrap w:val="0"/>
            <w:vAlign w:val="center"/>
          </w:tcPr>
          <w:p w14:paraId="40D96D01">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投标保证金（万元）</w:t>
            </w:r>
          </w:p>
        </w:tc>
        <w:tc>
          <w:tcPr>
            <w:tcW w:w="6573" w:type="dxa"/>
            <w:tcBorders>
              <w:top w:val="single" w:color="000000" w:sz="4" w:space="0"/>
              <w:left w:val="single" w:color="000000" w:sz="4" w:space="0"/>
              <w:bottom w:val="single" w:color="auto" w:sz="4" w:space="0"/>
              <w:right w:val="single" w:color="000000" w:sz="4" w:space="0"/>
            </w:tcBorders>
            <w:noWrap w:val="0"/>
            <w:vAlign w:val="center"/>
          </w:tcPr>
          <w:p w14:paraId="10FF1ADE">
            <w:pPr>
              <w:widowControl/>
              <w:jc w:val="center"/>
              <w:textAlignment w:val="center"/>
              <w:rPr>
                <w:rFonts w:hint="eastAsia" w:ascii="仿宋" w:hAnsi="仿宋" w:eastAsia="仿宋" w:cs="仿宋"/>
                <w:b/>
                <w:bCs/>
                <w:color w:val="auto"/>
                <w:szCs w:val="21"/>
                <w:highlight w:val="none"/>
              </w:rPr>
            </w:pPr>
            <w:r>
              <w:rPr>
                <w:rFonts w:hint="eastAsia" w:ascii="仿宋" w:hAnsi="仿宋" w:eastAsia="仿宋" w:cs="仿宋"/>
                <w:b/>
                <w:bCs/>
                <w:color w:val="auto"/>
                <w:kern w:val="0"/>
                <w:szCs w:val="21"/>
                <w:highlight w:val="none"/>
                <w:lang w:bidi="ar"/>
              </w:rPr>
              <w:t>投标人资格条件要求</w:t>
            </w:r>
          </w:p>
        </w:tc>
      </w:tr>
      <w:tr w14:paraId="0159C8C3">
        <w:tblPrEx>
          <w:tblCellMar>
            <w:top w:w="0" w:type="dxa"/>
            <w:left w:w="108" w:type="dxa"/>
            <w:bottom w:w="0" w:type="dxa"/>
            <w:right w:w="108" w:type="dxa"/>
          </w:tblCellMar>
        </w:tblPrEx>
        <w:trPr>
          <w:trHeight w:val="1043" w:hRule="atLeast"/>
          <w:jc w:val="center"/>
        </w:trPr>
        <w:tc>
          <w:tcPr>
            <w:tcW w:w="837" w:type="dxa"/>
            <w:vMerge w:val="restart"/>
            <w:tcBorders>
              <w:top w:val="single" w:color="auto" w:sz="4" w:space="0"/>
              <w:left w:val="single" w:color="auto" w:sz="4" w:space="0"/>
              <w:right w:val="single" w:color="auto" w:sz="4" w:space="0"/>
            </w:tcBorders>
            <w:noWrap w:val="0"/>
            <w:vAlign w:val="center"/>
          </w:tcPr>
          <w:p w14:paraId="5E05314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LH-01</w:t>
            </w:r>
          </w:p>
        </w:tc>
        <w:tc>
          <w:tcPr>
            <w:tcW w:w="612" w:type="dxa"/>
            <w:tcBorders>
              <w:top w:val="single" w:color="auto" w:sz="4" w:space="0"/>
              <w:left w:val="single" w:color="auto" w:sz="4" w:space="0"/>
              <w:bottom w:val="single" w:color="auto" w:sz="4" w:space="0"/>
              <w:right w:val="single" w:color="auto" w:sz="4" w:space="0"/>
            </w:tcBorders>
            <w:noWrap w:val="0"/>
            <w:vAlign w:val="center"/>
          </w:tcPr>
          <w:p w14:paraId="71CE4333">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1706" w:type="dxa"/>
            <w:tcBorders>
              <w:top w:val="single" w:color="auto" w:sz="4" w:space="0"/>
              <w:left w:val="single" w:color="auto" w:sz="4" w:space="0"/>
              <w:bottom w:val="single" w:color="auto" w:sz="4" w:space="0"/>
              <w:right w:val="single" w:color="auto" w:sz="4" w:space="0"/>
            </w:tcBorders>
            <w:noWrap w:val="0"/>
            <w:vAlign w:val="center"/>
          </w:tcPr>
          <w:p w14:paraId="638B773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高原云杉</w:t>
            </w:r>
          </w:p>
        </w:tc>
        <w:tc>
          <w:tcPr>
            <w:tcW w:w="2089" w:type="dxa"/>
            <w:tcBorders>
              <w:top w:val="single" w:color="auto" w:sz="4" w:space="0"/>
              <w:left w:val="single" w:color="auto" w:sz="4" w:space="0"/>
              <w:bottom w:val="single" w:color="auto" w:sz="4" w:space="0"/>
              <w:right w:val="single" w:color="auto" w:sz="4" w:space="0"/>
            </w:tcBorders>
            <w:noWrap w:val="0"/>
            <w:vAlign w:val="center"/>
          </w:tcPr>
          <w:p w14:paraId="46CA3E7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地径3-5cm,高度120--150cm，冠幅80-100cm土球直径30-40cm</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2AE5FD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株</w:t>
            </w:r>
          </w:p>
        </w:tc>
        <w:tc>
          <w:tcPr>
            <w:tcW w:w="1052" w:type="dxa"/>
            <w:tcBorders>
              <w:top w:val="single" w:color="auto" w:sz="4" w:space="0"/>
              <w:left w:val="single" w:color="auto" w:sz="4" w:space="0"/>
              <w:bottom w:val="single" w:color="auto" w:sz="4" w:space="0"/>
              <w:right w:val="single" w:color="auto" w:sz="4" w:space="0"/>
            </w:tcBorders>
            <w:noWrap w:val="0"/>
            <w:vAlign w:val="center"/>
          </w:tcPr>
          <w:p w14:paraId="24B742A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20000</w:t>
            </w:r>
          </w:p>
        </w:tc>
        <w:tc>
          <w:tcPr>
            <w:tcW w:w="1241" w:type="dxa"/>
            <w:vMerge w:val="restart"/>
            <w:tcBorders>
              <w:top w:val="single" w:color="auto" w:sz="4" w:space="0"/>
              <w:left w:val="single" w:color="auto" w:sz="4" w:space="0"/>
              <w:right w:val="single" w:color="auto" w:sz="4" w:space="0"/>
            </w:tcBorders>
            <w:noWrap w:val="0"/>
            <w:vAlign w:val="center"/>
          </w:tcPr>
          <w:p w14:paraId="6085D96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6573" w:type="dxa"/>
            <w:vMerge w:val="restart"/>
            <w:tcBorders>
              <w:top w:val="single" w:color="auto" w:sz="4" w:space="0"/>
              <w:left w:val="single" w:color="auto" w:sz="4" w:space="0"/>
              <w:bottom w:val="single" w:color="auto" w:sz="4" w:space="0"/>
              <w:right w:val="single" w:color="auto" w:sz="4" w:space="0"/>
            </w:tcBorders>
            <w:noWrap w:val="0"/>
            <w:vAlign w:val="center"/>
          </w:tcPr>
          <w:p w14:paraId="2930198F">
            <w:pPr>
              <w:widowControl/>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1.营业范围要求：</w:t>
            </w:r>
          </w:p>
          <w:p w14:paraId="54372863">
            <w:pPr>
              <w:widowControl/>
              <w:jc w:val="left"/>
              <w:textAlignment w:val="center"/>
              <w:rPr>
                <w:rFonts w:hint="eastAsia" w:ascii="仿宋" w:hAnsi="仿宋" w:eastAsia="仿宋" w:cs="仿宋"/>
                <w:color w:val="auto"/>
                <w:szCs w:val="21"/>
                <w:highlight w:val="none"/>
              </w:rPr>
            </w:pPr>
            <w:r>
              <w:rPr>
                <w:rFonts w:ascii="仿宋" w:hAnsi="仿宋" w:eastAsia="仿宋" w:cs="仿宋"/>
                <w:color w:val="auto"/>
                <w:szCs w:val="21"/>
                <w:highlight w:val="none"/>
              </w:rPr>
              <w:t>1.1</w:t>
            </w:r>
            <w:r>
              <w:rPr>
                <w:rFonts w:hint="eastAsia" w:ascii="仿宋" w:hAnsi="仿宋" w:eastAsia="仿宋" w:cs="仿宋"/>
                <w:color w:val="auto"/>
                <w:szCs w:val="21"/>
                <w:highlight w:val="none"/>
              </w:rPr>
              <w:t>投标人应属于投标物资：</w:t>
            </w:r>
            <w:r>
              <w:rPr>
                <w:rFonts w:ascii="Segoe UI Symbol" w:hAnsi="Segoe UI Symbol" w:eastAsia="仿宋" w:cs="Segoe UI Symbol"/>
                <w:color w:val="auto"/>
                <w:szCs w:val="21"/>
                <w:highlight w:val="none"/>
              </w:rPr>
              <w:t>☑</w:t>
            </w:r>
            <w:r>
              <w:rPr>
                <w:rFonts w:hint="eastAsia" w:ascii="仿宋" w:hAnsi="仿宋" w:eastAsia="仿宋" w:cs="仿宋"/>
                <w:color w:val="auto"/>
                <w:szCs w:val="21"/>
                <w:highlight w:val="none"/>
              </w:rPr>
              <w:t>制造商、</w:t>
            </w:r>
            <w:r>
              <w:rPr>
                <w:rFonts w:ascii="Segoe UI Symbol" w:hAnsi="Segoe UI Symbol" w:eastAsia="仿宋" w:cs="Segoe UI Symbol"/>
                <w:color w:val="auto"/>
                <w:szCs w:val="21"/>
                <w:highlight w:val="none"/>
              </w:rPr>
              <w:t>☑</w:t>
            </w:r>
            <w:r>
              <w:rPr>
                <w:rFonts w:hint="eastAsia" w:ascii="仿宋" w:hAnsi="仿宋" w:eastAsia="仿宋" w:cs="仿宋"/>
                <w:color w:val="auto"/>
                <w:szCs w:val="21"/>
                <w:highlight w:val="none"/>
              </w:rPr>
              <w:t>经销商、</w:t>
            </w:r>
            <w:r>
              <w:rPr>
                <w:rFonts w:hint="eastAsia" w:ascii="Segoe UI Symbol" w:hAnsi="Segoe UI Symbol" w:eastAsia="仿宋" w:cs="Segoe UI Symbol"/>
                <w:color w:val="auto"/>
                <w:szCs w:val="21"/>
                <w:highlight w:val="none"/>
              </w:rPr>
              <w:t>□</w:t>
            </w:r>
            <w:r>
              <w:rPr>
                <w:rFonts w:hint="eastAsia" w:ascii="仿宋" w:hAnsi="仿宋" w:eastAsia="仿宋" w:cs="仿宋"/>
                <w:color w:val="auto"/>
                <w:szCs w:val="21"/>
                <w:highlight w:val="none"/>
              </w:rPr>
              <w:t>代理商；经销商、代理商□是</w:t>
            </w:r>
            <w:r>
              <w:rPr>
                <w:rFonts w:ascii="Segoe UI Symbol" w:hAnsi="Segoe UI Symbol" w:eastAsia="仿宋" w:cs="Segoe UI Symbol"/>
                <w:color w:val="auto"/>
                <w:szCs w:val="21"/>
                <w:highlight w:val="none"/>
              </w:rPr>
              <w:t>☑</w:t>
            </w:r>
            <w:r>
              <w:rPr>
                <w:rFonts w:hint="eastAsia" w:ascii="仿宋" w:hAnsi="仿宋" w:eastAsia="仿宋" w:cs="仿宋"/>
                <w:color w:val="auto"/>
                <w:szCs w:val="21"/>
                <w:highlight w:val="none"/>
              </w:rPr>
              <w:t>否要取得制造商的授权。要求能开具增值税</w:t>
            </w:r>
            <w:r>
              <w:rPr>
                <w:rFonts w:hint="eastAsia" w:ascii="仿宋" w:hAnsi="仿宋" w:eastAsia="仿宋" w:cs="仿宋"/>
                <w:color w:val="auto"/>
                <w:szCs w:val="21"/>
                <w:highlight w:val="none"/>
                <w:lang w:eastAsia="zh-CN"/>
              </w:rPr>
              <w:t>专用发票</w:t>
            </w:r>
            <w:r>
              <w:rPr>
                <w:rFonts w:hint="eastAsia" w:ascii="仿宋" w:hAnsi="仿宋" w:eastAsia="仿宋" w:cs="仿宋"/>
                <w:color w:val="auto"/>
                <w:szCs w:val="21"/>
                <w:highlight w:val="none"/>
              </w:rPr>
              <w:t>。</w:t>
            </w:r>
          </w:p>
          <w:p w14:paraId="7979275A">
            <w:pPr>
              <w:widowControl/>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1.2投标人须提供营业执照扫描件，营业范围必须包含投标人本次所投标物资的生产或销售，法人授权委托代理的，其代理人必须为投标单位人员，并提供相关社保参保证明资料。</w:t>
            </w:r>
          </w:p>
          <w:p w14:paraId="181A1AE0">
            <w:pPr>
              <w:widowControl/>
              <w:numPr>
                <w:ilvl w:val="0"/>
                <w:numId w:val="2"/>
              </w:numPr>
              <w:jc w:val="left"/>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生产能力要求:满足项目施工需求，提供有效的保供说明。</w:t>
            </w:r>
          </w:p>
          <w:p w14:paraId="7DCB286E">
            <w:pPr>
              <w:widowControl/>
              <w:numPr>
                <w:ilvl w:val="0"/>
                <w:numId w:val="2"/>
              </w:numPr>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财务能力要求：供应商具有良好的资金财务状况，供应商注册资本金不低于100万元人民币。</w:t>
            </w:r>
          </w:p>
          <w:p w14:paraId="34D615DA">
            <w:pPr>
              <w:widowControl/>
              <w:jc w:val="left"/>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4.质量保证能力要求：投标产品具有20</w:t>
            </w:r>
            <w:r>
              <w:rPr>
                <w:rFonts w:hint="eastAsia" w:ascii="仿宋" w:hAnsi="仿宋" w:eastAsia="仿宋" w:cs="仿宋"/>
                <w:color w:val="auto"/>
                <w:szCs w:val="21"/>
                <w:highlight w:val="none"/>
                <w:lang w:val="en-US" w:eastAsia="zh-CN"/>
              </w:rPr>
              <w:t>21</w:t>
            </w:r>
            <w:r>
              <w:rPr>
                <w:rFonts w:hint="eastAsia" w:ascii="仿宋" w:hAnsi="仿宋" w:eastAsia="仿宋" w:cs="仿宋"/>
                <w:color w:val="auto"/>
                <w:szCs w:val="21"/>
                <w:highlight w:val="none"/>
              </w:rPr>
              <w:t>至202</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年任意一年由国家认可的专业检测机构出具的投标物资检验合格的质量检测报告一份。</w:t>
            </w:r>
          </w:p>
          <w:p w14:paraId="55AE5693">
            <w:pPr>
              <w:widowControl/>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5.供货业绩和供应保障能力要求:供应商具有同类产品近三年内（202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年至202</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年）的供货业绩，并提供供货合同扫描件1份。</w:t>
            </w:r>
          </w:p>
          <w:p w14:paraId="34FC80BF">
            <w:pPr>
              <w:widowControl/>
              <w:jc w:val="left"/>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6.履约信用要求:投标人存在下列情形之一的，其投标将被否决：</w:t>
            </w:r>
          </w:p>
          <w:p w14:paraId="59258FCA">
            <w:pPr>
              <w:widowControl/>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（1）被责令停业的；</w:t>
            </w:r>
          </w:p>
          <w:p w14:paraId="5D16A0FC">
            <w:pPr>
              <w:widowControl/>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（2）被行政监督部门暂停或取消投标资格的；</w:t>
            </w:r>
          </w:p>
          <w:p w14:paraId="1B5C72A7">
            <w:pPr>
              <w:widowControl/>
              <w:jc w:val="left"/>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（3）财产被接管、冻结，或企业处于停产、停业、歇业或破产状态的;</w:t>
            </w:r>
          </w:p>
          <w:p w14:paraId="13C94FEF">
            <w:pPr>
              <w:widowControl/>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（4）两个及以上投标人在同一包件存在：法定代表人为同一人，或母公司、全资子公司及控股公司关系。</w:t>
            </w:r>
          </w:p>
          <w:p w14:paraId="11CBE381">
            <w:pPr>
              <w:widowControl/>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（5）被工商行政管理机关在全国企业信用信息公示系统中列入严重违法失信企业名单；</w:t>
            </w:r>
          </w:p>
          <w:p w14:paraId="041438A7">
            <w:pPr>
              <w:widowControl/>
              <w:jc w:val="left"/>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（6）被最高人民法院在“信用中国”网站（www.creditchina.gov.cn）或各级信用信息共享平台中列入失信被执行人名单；</w:t>
            </w:r>
          </w:p>
          <w:p w14:paraId="51741EB1">
            <w:pPr>
              <w:widowControl/>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（7）中国中铁股份有限公司或中铁五局限制交易供应商、且在限制交易期内的。</w:t>
            </w:r>
          </w:p>
          <w:p w14:paraId="52418B67">
            <w:pPr>
              <w:widowControl/>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（8）被中铁五局列为风险预警供应商且风险预警未解除的。</w:t>
            </w:r>
          </w:p>
          <w:p w14:paraId="0292B4C8">
            <w:pPr>
              <w:widowControl/>
              <w:jc w:val="left"/>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 xml:space="preserve"> 投标人需提供的资质与证明资料的扫描件。</w:t>
            </w:r>
          </w:p>
          <w:p w14:paraId="2949C127">
            <w:pPr>
              <w:widowControl/>
              <w:jc w:val="left"/>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7.其他要求:投标人如是经销商，应注明来源生产厂家详细名称及地址，生产厂与其授权的经销商不得参与同一包件的投标；不接受联合体投标。</w:t>
            </w:r>
          </w:p>
        </w:tc>
      </w:tr>
      <w:tr w14:paraId="5C63B1D7">
        <w:tblPrEx>
          <w:tblCellMar>
            <w:top w:w="0" w:type="dxa"/>
            <w:left w:w="108" w:type="dxa"/>
            <w:bottom w:w="0" w:type="dxa"/>
            <w:right w:w="108" w:type="dxa"/>
          </w:tblCellMar>
        </w:tblPrEx>
        <w:trPr>
          <w:trHeight w:val="1043" w:hRule="atLeast"/>
          <w:jc w:val="center"/>
        </w:trPr>
        <w:tc>
          <w:tcPr>
            <w:tcW w:w="837" w:type="dxa"/>
            <w:vMerge w:val="continue"/>
            <w:tcBorders>
              <w:left w:val="single" w:color="auto" w:sz="4" w:space="0"/>
              <w:right w:val="single" w:color="auto" w:sz="4" w:space="0"/>
            </w:tcBorders>
            <w:noWrap w:val="0"/>
            <w:vAlign w:val="center"/>
          </w:tcPr>
          <w:p w14:paraId="4ED0B6D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12" w:type="dxa"/>
            <w:tcBorders>
              <w:top w:val="single" w:color="auto" w:sz="4" w:space="0"/>
              <w:left w:val="single" w:color="auto" w:sz="4" w:space="0"/>
              <w:bottom w:val="single" w:color="auto" w:sz="4" w:space="0"/>
              <w:right w:val="single" w:color="auto" w:sz="4" w:space="0"/>
            </w:tcBorders>
            <w:noWrap w:val="0"/>
            <w:vAlign w:val="center"/>
          </w:tcPr>
          <w:p w14:paraId="157AA4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1706" w:type="dxa"/>
            <w:tcBorders>
              <w:top w:val="single" w:color="auto" w:sz="4" w:space="0"/>
              <w:left w:val="single" w:color="auto" w:sz="4" w:space="0"/>
              <w:bottom w:val="single" w:color="auto" w:sz="4" w:space="0"/>
              <w:right w:val="single" w:color="auto" w:sz="4" w:space="0"/>
            </w:tcBorders>
            <w:noWrap w:val="0"/>
            <w:vAlign w:val="center"/>
          </w:tcPr>
          <w:p w14:paraId="5109D3C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祁山圆柏</w:t>
            </w:r>
          </w:p>
        </w:tc>
        <w:tc>
          <w:tcPr>
            <w:tcW w:w="2089" w:type="dxa"/>
            <w:tcBorders>
              <w:top w:val="single" w:color="auto" w:sz="4" w:space="0"/>
              <w:left w:val="single" w:color="auto" w:sz="4" w:space="0"/>
              <w:bottom w:val="single" w:color="auto" w:sz="4" w:space="0"/>
              <w:right w:val="single" w:color="auto" w:sz="4" w:space="0"/>
            </w:tcBorders>
            <w:noWrap w:val="0"/>
            <w:vAlign w:val="center"/>
          </w:tcPr>
          <w:p w14:paraId="113403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地径3-5cm高度100-120cm，冠幅40-50cm,土球直径30-40cm</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79A30F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株</w:t>
            </w:r>
          </w:p>
        </w:tc>
        <w:tc>
          <w:tcPr>
            <w:tcW w:w="1052" w:type="dxa"/>
            <w:tcBorders>
              <w:top w:val="single" w:color="auto" w:sz="4" w:space="0"/>
              <w:left w:val="single" w:color="auto" w:sz="4" w:space="0"/>
              <w:bottom w:val="single" w:color="auto" w:sz="4" w:space="0"/>
              <w:right w:val="single" w:color="auto" w:sz="4" w:space="0"/>
            </w:tcBorders>
            <w:noWrap w:val="0"/>
            <w:vAlign w:val="center"/>
          </w:tcPr>
          <w:p w14:paraId="771ECFB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20000</w:t>
            </w:r>
          </w:p>
        </w:tc>
        <w:tc>
          <w:tcPr>
            <w:tcW w:w="1241" w:type="dxa"/>
            <w:vMerge w:val="continue"/>
            <w:tcBorders>
              <w:left w:val="single" w:color="auto" w:sz="4" w:space="0"/>
              <w:right w:val="single" w:color="auto" w:sz="4" w:space="0"/>
            </w:tcBorders>
            <w:noWrap w:val="0"/>
            <w:vAlign w:val="center"/>
          </w:tcPr>
          <w:p w14:paraId="78B70EE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573" w:type="dxa"/>
            <w:vMerge w:val="continue"/>
            <w:tcBorders>
              <w:top w:val="single" w:color="auto" w:sz="4" w:space="0"/>
              <w:left w:val="single" w:color="auto" w:sz="4" w:space="0"/>
              <w:bottom w:val="single" w:color="auto" w:sz="4" w:space="0"/>
              <w:right w:val="single" w:color="auto" w:sz="4" w:space="0"/>
            </w:tcBorders>
            <w:noWrap w:val="0"/>
            <w:vAlign w:val="center"/>
          </w:tcPr>
          <w:p w14:paraId="117D142E">
            <w:pPr>
              <w:widowControl/>
              <w:jc w:val="left"/>
              <w:textAlignment w:val="center"/>
              <w:rPr>
                <w:rFonts w:hint="eastAsia" w:ascii="仿宋" w:hAnsi="仿宋" w:eastAsia="仿宋" w:cs="仿宋"/>
                <w:color w:val="auto"/>
                <w:szCs w:val="21"/>
                <w:highlight w:val="none"/>
              </w:rPr>
            </w:pPr>
          </w:p>
        </w:tc>
      </w:tr>
      <w:tr w14:paraId="380DDF97">
        <w:tblPrEx>
          <w:tblCellMar>
            <w:top w:w="0" w:type="dxa"/>
            <w:left w:w="108" w:type="dxa"/>
            <w:bottom w:w="0" w:type="dxa"/>
            <w:right w:w="108" w:type="dxa"/>
          </w:tblCellMar>
        </w:tblPrEx>
        <w:trPr>
          <w:trHeight w:val="1043" w:hRule="atLeast"/>
          <w:jc w:val="center"/>
        </w:trPr>
        <w:tc>
          <w:tcPr>
            <w:tcW w:w="837" w:type="dxa"/>
            <w:vMerge w:val="continue"/>
            <w:tcBorders>
              <w:left w:val="single" w:color="auto" w:sz="4" w:space="0"/>
              <w:right w:val="single" w:color="auto" w:sz="4" w:space="0"/>
            </w:tcBorders>
            <w:noWrap w:val="0"/>
            <w:vAlign w:val="center"/>
          </w:tcPr>
          <w:p w14:paraId="5EE62AE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12" w:type="dxa"/>
            <w:tcBorders>
              <w:top w:val="single" w:color="auto" w:sz="4" w:space="0"/>
              <w:left w:val="single" w:color="auto" w:sz="4" w:space="0"/>
              <w:bottom w:val="single" w:color="auto" w:sz="4" w:space="0"/>
              <w:right w:val="single" w:color="auto" w:sz="4" w:space="0"/>
            </w:tcBorders>
            <w:noWrap w:val="0"/>
            <w:vAlign w:val="center"/>
          </w:tcPr>
          <w:p w14:paraId="1C94C25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w:t>
            </w:r>
          </w:p>
        </w:tc>
        <w:tc>
          <w:tcPr>
            <w:tcW w:w="1706" w:type="dxa"/>
            <w:tcBorders>
              <w:top w:val="single" w:color="auto" w:sz="4" w:space="0"/>
              <w:left w:val="single" w:color="auto" w:sz="4" w:space="0"/>
              <w:bottom w:val="single" w:color="auto" w:sz="4" w:space="0"/>
              <w:right w:val="single" w:color="auto" w:sz="4" w:space="0"/>
            </w:tcBorders>
            <w:noWrap w:val="0"/>
            <w:vAlign w:val="center"/>
          </w:tcPr>
          <w:p w14:paraId="550EADB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樱花</w:t>
            </w:r>
          </w:p>
        </w:tc>
        <w:tc>
          <w:tcPr>
            <w:tcW w:w="2089" w:type="dxa"/>
            <w:tcBorders>
              <w:top w:val="single" w:color="auto" w:sz="4" w:space="0"/>
              <w:left w:val="single" w:color="auto" w:sz="4" w:space="0"/>
              <w:bottom w:val="single" w:color="auto" w:sz="4" w:space="0"/>
              <w:right w:val="single" w:color="auto" w:sz="4" w:space="0"/>
            </w:tcBorders>
            <w:noWrap w:val="0"/>
            <w:vAlign w:val="center"/>
          </w:tcPr>
          <w:p w14:paraId="29D7C1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 胸径10-12cm，高度200-250cm，冠幅150-200cm，土球直径50-60cm</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5B079EF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株</w:t>
            </w:r>
          </w:p>
        </w:tc>
        <w:tc>
          <w:tcPr>
            <w:tcW w:w="1052" w:type="dxa"/>
            <w:tcBorders>
              <w:top w:val="single" w:color="auto" w:sz="4" w:space="0"/>
              <w:left w:val="single" w:color="auto" w:sz="4" w:space="0"/>
              <w:bottom w:val="single" w:color="auto" w:sz="4" w:space="0"/>
              <w:right w:val="single" w:color="auto" w:sz="4" w:space="0"/>
            </w:tcBorders>
            <w:noWrap w:val="0"/>
            <w:vAlign w:val="center"/>
          </w:tcPr>
          <w:p w14:paraId="7DC04B3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1000</w:t>
            </w:r>
          </w:p>
        </w:tc>
        <w:tc>
          <w:tcPr>
            <w:tcW w:w="1241" w:type="dxa"/>
            <w:vMerge w:val="continue"/>
            <w:tcBorders>
              <w:left w:val="single" w:color="auto" w:sz="4" w:space="0"/>
              <w:right w:val="single" w:color="auto" w:sz="4" w:space="0"/>
            </w:tcBorders>
            <w:noWrap w:val="0"/>
            <w:vAlign w:val="center"/>
          </w:tcPr>
          <w:p w14:paraId="7B0C98B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573" w:type="dxa"/>
            <w:vMerge w:val="continue"/>
            <w:tcBorders>
              <w:top w:val="single" w:color="auto" w:sz="4" w:space="0"/>
              <w:left w:val="single" w:color="auto" w:sz="4" w:space="0"/>
              <w:bottom w:val="single" w:color="auto" w:sz="4" w:space="0"/>
              <w:right w:val="single" w:color="auto" w:sz="4" w:space="0"/>
            </w:tcBorders>
            <w:noWrap w:val="0"/>
            <w:vAlign w:val="center"/>
          </w:tcPr>
          <w:p w14:paraId="4E205459">
            <w:pPr>
              <w:widowControl/>
              <w:jc w:val="left"/>
              <w:textAlignment w:val="center"/>
              <w:rPr>
                <w:rFonts w:hint="eastAsia" w:ascii="仿宋" w:hAnsi="仿宋" w:eastAsia="仿宋" w:cs="仿宋"/>
                <w:color w:val="auto"/>
                <w:szCs w:val="21"/>
                <w:highlight w:val="none"/>
              </w:rPr>
            </w:pPr>
          </w:p>
        </w:tc>
      </w:tr>
      <w:tr w14:paraId="439A8DB8">
        <w:tblPrEx>
          <w:tblCellMar>
            <w:top w:w="0" w:type="dxa"/>
            <w:left w:w="108" w:type="dxa"/>
            <w:bottom w:w="0" w:type="dxa"/>
            <w:right w:w="108" w:type="dxa"/>
          </w:tblCellMar>
        </w:tblPrEx>
        <w:trPr>
          <w:trHeight w:val="1043" w:hRule="atLeast"/>
          <w:jc w:val="center"/>
        </w:trPr>
        <w:tc>
          <w:tcPr>
            <w:tcW w:w="837" w:type="dxa"/>
            <w:vMerge w:val="continue"/>
            <w:tcBorders>
              <w:left w:val="single" w:color="auto" w:sz="4" w:space="0"/>
              <w:right w:val="single" w:color="auto" w:sz="4" w:space="0"/>
            </w:tcBorders>
            <w:noWrap w:val="0"/>
            <w:vAlign w:val="center"/>
          </w:tcPr>
          <w:p w14:paraId="6531EAD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12" w:type="dxa"/>
            <w:tcBorders>
              <w:top w:val="single" w:color="auto" w:sz="4" w:space="0"/>
              <w:left w:val="single" w:color="auto" w:sz="4" w:space="0"/>
              <w:bottom w:val="single" w:color="auto" w:sz="4" w:space="0"/>
              <w:right w:val="single" w:color="auto" w:sz="4" w:space="0"/>
            </w:tcBorders>
            <w:noWrap w:val="0"/>
            <w:vAlign w:val="center"/>
          </w:tcPr>
          <w:p w14:paraId="0BAD4F0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w:t>
            </w:r>
          </w:p>
        </w:tc>
        <w:tc>
          <w:tcPr>
            <w:tcW w:w="1706" w:type="dxa"/>
            <w:tcBorders>
              <w:top w:val="single" w:color="auto" w:sz="4" w:space="0"/>
              <w:left w:val="single" w:color="auto" w:sz="4" w:space="0"/>
              <w:bottom w:val="single" w:color="auto" w:sz="4" w:space="0"/>
              <w:right w:val="single" w:color="auto" w:sz="4" w:space="0"/>
            </w:tcBorders>
            <w:noWrap w:val="0"/>
            <w:vAlign w:val="center"/>
          </w:tcPr>
          <w:p w14:paraId="23D915C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旱柳</w:t>
            </w:r>
          </w:p>
        </w:tc>
        <w:tc>
          <w:tcPr>
            <w:tcW w:w="2089" w:type="dxa"/>
            <w:tcBorders>
              <w:top w:val="single" w:color="auto" w:sz="4" w:space="0"/>
              <w:left w:val="single" w:color="auto" w:sz="4" w:space="0"/>
              <w:bottom w:val="single" w:color="auto" w:sz="4" w:space="0"/>
              <w:right w:val="single" w:color="auto" w:sz="4" w:space="0"/>
            </w:tcBorders>
            <w:noWrap w:val="0"/>
            <w:vAlign w:val="center"/>
          </w:tcPr>
          <w:p w14:paraId="02E11E4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 胸径6-8cm，高度300-350cm，冠幅200cm，土球直径50-70cm </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7F4167F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株</w:t>
            </w:r>
          </w:p>
        </w:tc>
        <w:tc>
          <w:tcPr>
            <w:tcW w:w="1052" w:type="dxa"/>
            <w:tcBorders>
              <w:top w:val="single" w:color="auto" w:sz="4" w:space="0"/>
              <w:left w:val="single" w:color="auto" w:sz="4" w:space="0"/>
              <w:bottom w:val="single" w:color="auto" w:sz="4" w:space="0"/>
              <w:right w:val="single" w:color="auto" w:sz="4" w:space="0"/>
            </w:tcBorders>
            <w:noWrap w:val="0"/>
            <w:vAlign w:val="center"/>
          </w:tcPr>
          <w:p w14:paraId="722A352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1000</w:t>
            </w:r>
          </w:p>
        </w:tc>
        <w:tc>
          <w:tcPr>
            <w:tcW w:w="1241" w:type="dxa"/>
            <w:vMerge w:val="continue"/>
            <w:tcBorders>
              <w:left w:val="single" w:color="auto" w:sz="4" w:space="0"/>
              <w:right w:val="single" w:color="auto" w:sz="4" w:space="0"/>
            </w:tcBorders>
            <w:noWrap w:val="0"/>
            <w:vAlign w:val="center"/>
          </w:tcPr>
          <w:p w14:paraId="6FCA670F">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573" w:type="dxa"/>
            <w:vMerge w:val="continue"/>
            <w:tcBorders>
              <w:top w:val="single" w:color="auto" w:sz="4" w:space="0"/>
              <w:left w:val="single" w:color="auto" w:sz="4" w:space="0"/>
              <w:bottom w:val="single" w:color="auto" w:sz="4" w:space="0"/>
              <w:right w:val="single" w:color="auto" w:sz="4" w:space="0"/>
            </w:tcBorders>
            <w:noWrap w:val="0"/>
            <w:vAlign w:val="center"/>
          </w:tcPr>
          <w:p w14:paraId="669823C1">
            <w:pPr>
              <w:widowControl/>
              <w:jc w:val="left"/>
              <w:textAlignment w:val="center"/>
              <w:rPr>
                <w:rFonts w:hint="eastAsia" w:ascii="仿宋" w:hAnsi="仿宋" w:eastAsia="仿宋" w:cs="仿宋"/>
                <w:color w:val="auto"/>
                <w:szCs w:val="21"/>
                <w:highlight w:val="none"/>
              </w:rPr>
            </w:pPr>
          </w:p>
        </w:tc>
      </w:tr>
      <w:tr w14:paraId="65AECB51">
        <w:tblPrEx>
          <w:tblCellMar>
            <w:top w:w="0" w:type="dxa"/>
            <w:left w:w="108" w:type="dxa"/>
            <w:bottom w:w="0" w:type="dxa"/>
            <w:right w:w="108" w:type="dxa"/>
          </w:tblCellMar>
        </w:tblPrEx>
        <w:trPr>
          <w:trHeight w:val="1043" w:hRule="atLeast"/>
          <w:jc w:val="center"/>
        </w:trPr>
        <w:tc>
          <w:tcPr>
            <w:tcW w:w="837" w:type="dxa"/>
            <w:vMerge w:val="continue"/>
            <w:tcBorders>
              <w:left w:val="single" w:color="auto" w:sz="4" w:space="0"/>
              <w:right w:val="single" w:color="auto" w:sz="4" w:space="0"/>
            </w:tcBorders>
            <w:noWrap w:val="0"/>
            <w:vAlign w:val="center"/>
          </w:tcPr>
          <w:p w14:paraId="0139FCB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12" w:type="dxa"/>
            <w:tcBorders>
              <w:top w:val="single" w:color="auto" w:sz="4" w:space="0"/>
              <w:left w:val="single" w:color="auto" w:sz="4" w:space="0"/>
              <w:bottom w:val="single" w:color="auto" w:sz="4" w:space="0"/>
              <w:right w:val="single" w:color="auto" w:sz="4" w:space="0"/>
            </w:tcBorders>
            <w:noWrap w:val="0"/>
            <w:vAlign w:val="center"/>
          </w:tcPr>
          <w:p w14:paraId="63CA542C">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w:t>
            </w:r>
          </w:p>
        </w:tc>
        <w:tc>
          <w:tcPr>
            <w:tcW w:w="1706" w:type="dxa"/>
            <w:tcBorders>
              <w:top w:val="single" w:color="auto" w:sz="4" w:space="0"/>
              <w:left w:val="single" w:color="auto" w:sz="4" w:space="0"/>
              <w:bottom w:val="single" w:color="auto" w:sz="4" w:space="0"/>
              <w:right w:val="single" w:color="auto" w:sz="4" w:space="0"/>
            </w:tcBorders>
            <w:noWrap w:val="0"/>
            <w:vAlign w:val="center"/>
          </w:tcPr>
          <w:p w14:paraId="63944D2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沙棘</w:t>
            </w:r>
          </w:p>
        </w:tc>
        <w:tc>
          <w:tcPr>
            <w:tcW w:w="2089" w:type="dxa"/>
            <w:tcBorders>
              <w:top w:val="single" w:color="auto" w:sz="4" w:space="0"/>
              <w:left w:val="single" w:color="auto" w:sz="4" w:space="0"/>
              <w:bottom w:val="single" w:color="auto" w:sz="4" w:space="0"/>
              <w:right w:val="single" w:color="auto" w:sz="4" w:space="0"/>
            </w:tcBorders>
            <w:noWrap w:val="0"/>
            <w:vAlign w:val="center"/>
          </w:tcPr>
          <w:p w14:paraId="737D427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 高度50-70cm冠幅10-15cm10株/丛 ,土球直径100-1200cm</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5F44CC8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株</w:t>
            </w:r>
          </w:p>
        </w:tc>
        <w:tc>
          <w:tcPr>
            <w:tcW w:w="1052" w:type="dxa"/>
            <w:tcBorders>
              <w:top w:val="single" w:color="auto" w:sz="4" w:space="0"/>
              <w:left w:val="single" w:color="auto" w:sz="4" w:space="0"/>
              <w:bottom w:val="single" w:color="auto" w:sz="4" w:space="0"/>
              <w:right w:val="single" w:color="auto" w:sz="4" w:space="0"/>
            </w:tcBorders>
            <w:noWrap w:val="0"/>
            <w:vAlign w:val="center"/>
          </w:tcPr>
          <w:p w14:paraId="78D03786">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40000</w:t>
            </w:r>
          </w:p>
        </w:tc>
        <w:tc>
          <w:tcPr>
            <w:tcW w:w="1241" w:type="dxa"/>
            <w:vMerge w:val="continue"/>
            <w:tcBorders>
              <w:left w:val="single" w:color="auto" w:sz="4" w:space="0"/>
              <w:right w:val="single" w:color="auto" w:sz="4" w:space="0"/>
            </w:tcBorders>
            <w:noWrap w:val="0"/>
            <w:vAlign w:val="center"/>
          </w:tcPr>
          <w:p w14:paraId="6D1895F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573" w:type="dxa"/>
            <w:vMerge w:val="continue"/>
            <w:tcBorders>
              <w:top w:val="single" w:color="auto" w:sz="4" w:space="0"/>
              <w:left w:val="single" w:color="auto" w:sz="4" w:space="0"/>
              <w:bottom w:val="single" w:color="auto" w:sz="4" w:space="0"/>
              <w:right w:val="single" w:color="auto" w:sz="4" w:space="0"/>
            </w:tcBorders>
            <w:noWrap w:val="0"/>
            <w:vAlign w:val="center"/>
          </w:tcPr>
          <w:p w14:paraId="3189A906">
            <w:pPr>
              <w:widowControl/>
              <w:jc w:val="left"/>
              <w:textAlignment w:val="center"/>
              <w:rPr>
                <w:rFonts w:hint="eastAsia" w:ascii="仿宋" w:hAnsi="仿宋" w:eastAsia="仿宋" w:cs="仿宋"/>
                <w:color w:val="auto"/>
                <w:szCs w:val="21"/>
                <w:highlight w:val="none"/>
              </w:rPr>
            </w:pPr>
          </w:p>
        </w:tc>
      </w:tr>
      <w:tr w14:paraId="3EA5EFB1">
        <w:tblPrEx>
          <w:tblCellMar>
            <w:top w:w="0" w:type="dxa"/>
            <w:left w:w="108" w:type="dxa"/>
            <w:bottom w:w="0" w:type="dxa"/>
            <w:right w:w="108" w:type="dxa"/>
          </w:tblCellMar>
        </w:tblPrEx>
        <w:trPr>
          <w:trHeight w:val="1043" w:hRule="atLeast"/>
          <w:jc w:val="center"/>
        </w:trPr>
        <w:tc>
          <w:tcPr>
            <w:tcW w:w="837" w:type="dxa"/>
            <w:vMerge w:val="continue"/>
            <w:tcBorders>
              <w:left w:val="single" w:color="auto" w:sz="4" w:space="0"/>
              <w:right w:val="single" w:color="auto" w:sz="4" w:space="0"/>
            </w:tcBorders>
            <w:noWrap w:val="0"/>
            <w:vAlign w:val="center"/>
          </w:tcPr>
          <w:p w14:paraId="21A900B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12" w:type="dxa"/>
            <w:tcBorders>
              <w:top w:val="single" w:color="auto" w:sz="4" w:space="0"/>
              <w:left w:val="single" w:color="auto" w:sz="4" w:space="0"/>
              <w:bottom w:val="single" w:color="auto" w:sz="4" w:space="0"/>
              <w:right w:val="single" w:color="auto" w:sz="4" w:space="0"/>
            </w:tcBorders>
            <w:noWrap w:val="0"/>
            <w:vAlign w:val="center"/>
          </w:tcPr>
          <w:p w14:paraId="646F30DB">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w:t>
            </w:r>
          </w:p>
        </w:tc>
        <w:tc>
          <w:tcPr>
            <w:tcW w:w="1706" w:type="dxa"/>
            <w:tcBorders>
              <w:top w:val="single" w:color="auto" w:sz="4" w:space="0"/>
              <w:left w:val="single" w:color="auto" w:sz="4" w:space="0"/>
              <w:bottom w:val="single" w:color="auto" w:sz="4" w:space="0"/>
              <w:right w:val="single" w:color="auto" w:sz="4" w:space="0"/>
            </w:tcBorders>
            <w:noWrap w:val="0"/>
            <w:vAlign w:val="center"/>
          </w:tcPr>
          <w:p w14:paraId="7A9C607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无纺布</w:t>
            </w:r>
          </w:p>
        </w:tc>
        <w:tc>
          <w:tcPr>
            <w:tcW w:w="2089" w:type="dxa"/>
            <w:tcBorders>
              <w:top w:val="single" w:color="auto" w:sz="4" w:space="0"/>
              <w:left w:val="single" w:color="auto" w:sz="4" w:space="0"/>
              <w:bottom w:val="single" w:color="auto" w:sz="4" w:space="0"/>
              <w:right w:val="single" w:color="auto" w:sz="4" w:space="0"/>
            </w:tcBorders>
            <w:noWrap w:val="0"/>
            <w:vAlign w:val="center"/>
          </w:tcPr>
          <w:p w14:paraId="7243CC93">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各型</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07A5957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m2</w:t>
            </w:r>
          </w:p>
        </w:tc>
        <w:tc>
          <w:tcPr>
            <w:tcW w:w="1052" w:type="dxa"/>
            <w:tcBorders>
              <w:top w:val="single" w:color="auto" w:sz="4" w:space="0"/>
              <w:left w:val="single" w:color="auto" w:sz="4" w:space="0"/>
              <w:bottom w:val="single" w:color="auto" w:sz="4" w:space="0"/>
              <w:right w:val="single" w:color="auto" w:sz="4" w:space="0"/>
            </w:tcBorders>
            <w:noWrap w:val="0"/>
            <w:vAlign w:val="center"/>
          </w:tcPr>
          <w:p w14:paraId="0DB4993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300774</w:t>
            </w:r>
          </w:p>
        </w:tc>
        <w:tc>
          <w:tcPr>
            <w:tcW w:w="1241" w:type="dxa"/>
            <w:vMerge w:val="continue"/>
            <w:tcBorders>
              <w:left w:val="single" w:color="auto" w:sz="4" w:space="0"/>
              <w:right w:val="single" w:color="auto" w:sz="4" w:space="0"/>
            </w:tcBorders>
            <w:noWrap w:val="0"/>
            <w:vAlign w:val="center"/>
          </w:tcPr>
          <w:p w14:paraId="2AA9337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573" w:type="dxa"/>
            <w:vMerge w:val="continue"/>
            <w:tcBorders>
              <w:top w:val="single" w:color="auto" w:sz="4" w:space="0"/>
              <w:left w:val="single" w:color="auto" w:sz="4" w:space="0"/>
              <w:bottom w:val="single" w:color="auto" w:sz="4" w:space="0"/>
              <w:right w:val="single" w:color="auto" w:sz="4" w:space="0"/>
            </w:tcBorders>
            <w:noWrap w:val="0"/>
            <w:vAlign w:val="center"/>
          </w:tcPr>
          <w:p w14:paraId="72DABA7C">
            <w:pPr>
              <w:widowControl/>
              <w:jc w:val="left"/>
              <w:textAlignment w:val="center"/>
              <w:rPr>
                <w:rFonts w:hint="eastAsia" w:ascii="仿宋" w:hAnsi="仿宋" w:eastAsia="仿宋" w:cs="仿宋"/>
                <w:color w:val="auto"/>
                <w:szCs w:val="21"/>
                <w:highlight w:val="none"/>
              </w:rPr>
            </w:pPr>
          </w:p>
        </w:tc>
      </w:tr>
      <w:tr w14:paraId="24BD87E4">
        <w:tblPrEx>
          <w:tblCellMar>
            <w:top w:w="0" w:type="dxa"/>
            <w:left w:w="108" w:type="dxa"/>
            <w:bottom w:w="0" w:type="dxa"/>
            <w:right w:w="108" w:type="dxa"/>
          </w:tblCellMar>
        </w:tblPrEx>
        <w:trPr>
          <w:trHeight w:val="1043" w:hRule="atLeast"/>
          <w:jc w:val="center"/>
        </w:trPr>
        <w:tc>
          <w:tcPr>
            <w:tcW w:w="837" w:type="dxa"/>
            <w:vMerge w:val="continue"/>
            <w:tcBorders>
              <w:left w:val="single" w:color="auto" w:sz="4" w:space="0"/>
              <w:right w:val="single" w:color="auto" w:sz="4" w:space="0"/>
            </w:tcBorders>
            <w:noWrap w:val="0"/>
            <w:vAlign w:val="center"/>
          </w:tcPr>
          <w:p w14:paraId="0BB49744">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12" w:type="dxa"/>
            <w:tcBorders>
              <w:top w:val="single" w:color="auto" w:sz="4" w:space="0"/>
              <w:left w:val="single" w:color="auto" w:sz="4" w:space="0"/>
              <w:bottom w:val="single" w:color="auto" w:sz="4" w:space="0"/>
              <w:right w:val="single" w:color="auto" w:sz="4" w:space="0"/>
            </w:tcBorders>
            <w:noWrap w:val="0"/>
            <w:vAlign w:val="center"/>
          </w:tcPr>
          <w:p w14:paraId="534501BA">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w:t>
            </w:r>
          </w:p>
        </w:tc>
        <w:tc>
          <w:tcPr>
            <w:tcW w:w="1706" w:type="dxa"/>
            <w:tcBorders>
              <w:top w:val="single" w:color="auto" w:sz="4" w:space="0"/>
              <w:left w:val="single" w:color="auto" w:sz="4" w:space="0"/>
              <w:bottom w:val="single" w:color="auto" w:sz="4" w:space="0"/>
              <w:right w:val="single" w:color="auto" w:sz="4" w:space="0"/>
            </w:tcBorders>
            <w:noWrap w:val="0"/>
            <w:vAlign w:val="center"/>
          </w:tcPr>
          <w:p w14:paraId="40849FC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肥料</w:t>
            </w:r>
          </w:p>
        </w:tc>
        <w:tc>
          <w:tcPr>
            <w:tcW w:w="2089" w:type="dxa"/>
            <w:tcBorders>
              <w:top w:val="single" w:color="auto" w:sz="4" w:space="0"/>
              <w:left w:val="single" w:color="auto" w:sz="4" w:space="0"/>
              <w:bottom w:val="single" w:color="auto" w:sz="4" w:space="0"/>
              <w:right w:val="single" w:color="auto" w:sz="4" w:space="0"/>
            </w:tcBorders>
            <w:noWrap w:val="0"/>
            <w:vAlign w:val="center"/>
          </w:tcPr>
          <w:p w14:paraId="5561FBAD">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复合肥+生长液+杀虫剂</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3BE47051">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kg</w:t>
            </w:r>
          </w:p>
        </w:tc>
        <w:tc>
          <w:tcPr>
            <w:tcW w:w="1052" w:type="dxa"/>
            <w:tcBorders>
              <w:top w:val="single" w:color="auto" w:sz="4" w:space="0"/>
              <w:left w:val="single" w:color="auto" w:sz="4" w:space="0"/>
              <w:bottom w:val="single" w:color="auto" w:sz="4" w:space="0"/>
              <w:right w:val="single" w:color="auto" w:sz="4" w:space="0"/>
            </w:tcBorders>
            <w:noWrap w:val="0"/>
            <w:vAlign w:val="center"/>
          </w:tcPr>
          <w:p w14:paraId="6BB6B469">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8531</w:t>
            </w:r>
          </w:p>
        </w:tc>
        <w:tc>
          <w:tcPr>
            <w:tcW w:w="1241" w:type="dxa"/>
            <w:vMerge w:val="continue"/>
            <w:tcBorders>
              <w:left w:val="single" w:color="auto" w:sz="4" w:space="0"/>
              <w:right w:val="single" w:color="auto" w:sz="4" w:space="0"/>
            </w:tcBorders>
            <w:noWrap w:val="0"/>
            <w:vAlign w:val="center"/>
          </w:tcPr>
          <w:p w14:paraId="6502AA1A">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573" w:type="dxa"/>
            <w:vMerge w:val="continue"/>
            <w:tcBorders>
              <w:top w:val="single" w:color="auto" w:sz="4" w:space="0"/>
              <w:left w:val="single" w:color="auto" w:sz="4" w:space="0"/>
              <w:bottom w:val="single" w:color="auto" w:sz="4" w:space="0"/>
              <w:right w:val="single" w:color="auto" w:sz="4" w:space="0"/>
            </w:tcBorders>
            <w:noWrap w:val="0"/>
            <w:vAlign w:val="center"/>
          </w:tcPr>
          <w:p w14:paraId="5D8E59A3">
            <w:pPr>
              <w:widowControl/>
              <w:jc w:val="left"/>
              <w:textAlignment w:val="center"/>
              <w:rPr>
                <w:rFonts w:hint="eastAsia" w:ascii="仿宋" w:hAnsi="仿宋" w:eastAsia="仿宋" w:cs="仿宋"/>
                <w:color w:val="auto"/>
                <w:szCs w:val="21"/>
                <w:highlight w:val="none"/>
              </w:rPr>
            </w:pPr>
          </w:p>
        </w:tc>
      </w:tr>
      <w:tr w14:paraId="7BFEC639">
        <w:tblPrEx>
          <w:tblCellMar>
            <w:top w:w="0" w:type="dxa"/>
            <w:left w:w="108" w:type="dxa"/>
            <w:bottom w:w="0" w:type="dxa"/>
            <w:right w:w="108" w:type="dxa"/>
          </w:tblCellMar>
        </w:tblPrEx>
        <w:trPr>
          <w:trHeight w:val="1043" w:hRule="atLeast"/>
          <w:jc w:val="center"/>
        </w:trPr>
        <w:tc>
          <w:tcPr>
            <w:tcW w:w="837" w:type="dxa"/>
            <w:vMerge w:val="continue"/>
            <w:tcBorders>
              <w:left w:val="single" w:color="auto" w:sz="4" w:space="0"/>
              <w:bottom w:val="single" w:color="auto" w:sz="4" w:space="0"/>
              <w:right w:val="single" w:color="auto" w:sz="4" w:space="0"/>
            </w:tcBorders>
            <w:noWrap w:val="0"/>
            <w:vAlign w:val="center"/>
          </w:tcPr>
          <w:p w14:paraId="00909A3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12" w:type="dxa"/>
            <w:tcBorders>
              <w:top w:val="single" w:color="auto" w:sz="4" w:space="0"/>
              <w:left w:val="single" w:color="auto" w:sz="4" w:space="0"/>
              <w:bottom w:val="single" w:color="auto" w:sz="4" w:space="0"/>
              <w:right w:val="single" w:color="auto" w:sz="4" w:space="0"/>
            </w:tcBorders>
            <w:noWrap w:val="0"/>
            <w:vAlign w:val="center"/>
          </w:tcPr>
          <w:p w14:paraId="725E3CF9">
            <w:pPr>
              <w:keepNext w:val="0"/>
              <w:keepLines w:val="0"/>
              <w:widowControl/>
              <w:suppressLineNumbers w:val="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w:t>
            </w:r>
          </w:p>
        </w:tc>
        <w:tc>
          <w:tcPr>
            <w:tcW w:w="1706" w:type="dxa"/>
            <w:tcBorders>
              <w:top w:val="single" w:color="auto" w:sz="4" w:space="0"/>
              <w:left w:val="single" w:color="auto" w:sz="4" w:space="0"/>
              <w:bottom w:val="single" w:color="auto" w:sz="4" w:space="0"/>
              <w:right w:val="single" w:color="auto" w:sz="4" w:space="0"/>
            </w:tcBorders>
            <w:noWrap w:val="0"/>
            <w:vAlign w:val="center"/>
          </w:tcPr>
          <w:p w14:paraId="1446AB90">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种植土</w:t>
            </w:r>
          </w:p>
        </w:tc>
        <w:tc>
          <w:tcPr>
            <w:tcW w:w="2089" w:type="dxa"/>
            <w:tcBorders>
              <w:top w:val="single" w:color="auto" w:sz="4" w:space="0"/>
              <w:left w:val="single" w:color="auto" w:sz="4" w:space="0"/>
              <w:bottom w:val="single" w:color="auto" w:sz="4" w:space="0"/>
              <w:right w:val="single" w:color="auto" w:sz="4" w:space="0"/>
            </w:tcBorders>
            <w:noWrap w:val="0"/>
            <w:vAlign w:val="center"/>
          </w:tcPr>
          <w:p w14:paraId="19AA849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各型</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2CFB9BC8">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m3</w:t>
            </w:r>
          </w:p>
        </w:tc>
        <w:tc>
          <w:tcPr>
            <w:tcW w:w="1052" w:type="dxa"/>
            <w:tcBorders>
              <w:top w:val="single" w:color="auto" w:sz="4" w:space="0"/>
              <w:left w:val="single" w:color="auto" w:sz="4" w:space="0"/>
              <w:bottom w:val="single" w:color="auto" w:sz="4" w:space="0"/>
              <w:right w:val="single" w:color="auto" w:sz="4" w:space="0"/>
            </w:tcBorders>
            <w:noWrap w:val="0"/>
            <w:vAlign w:val="center"/>
          </w:tcPr>
          <w:p w14:paraId="4CDB2285">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20"/>
                <w:szCs w:val="20"/>
                <w:u w:val="none"/>
                <w:lang w:val="en-US" w:eastAsia="zh-CN" w:bidi="ar"/>
              </w:rPr>
              <w:t>35110</w:t>
            </w:r>
          </w:p>
        </w:tc>
        <w:tc>
          <w:tcPr>
            <w:tcW w:w="1241" w:type="dxa"/>
            <w:vMerge w:val="continue"/>
            <w:tcBorders>
              <w:left w:val="single" w:color="auto" w:sz="4" w:space="0"/>
              <w:bottom w:val="single" w:color="auto" w:sz="4" w:space="0"/>
              <w:right w:val="single" w:color="auto" w:sz="4" w:space="0"/>
            </w:tcBorders>
            <w:noWrap w:val="0"/>
            <w:vAlign w:val="center"/>
          </w:tcPr>
          <w:p w14:paraId="3827036E">
            <w:pPr>
              <w:keepNext w:val="0"/>
              <w:keepLines w:val="0"/>
              <w:widowControl/>
              <w:suppressLineNumbers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573" w:type="dxa"/>
            <w:vMerge w:val="continue"/>
            <w:tcBorders>
              <w:top w:val="single" w:color="auto" w:sz="4" w:space="0"/>
              <w:left w:val="single" w:color="auto" w:sz="4" w:space="0"/>
              <w:bottom w:val="single" w:color="auto" w:sz="4" w:space="0"/>
              <w:right w:val="single" w:color="auto" w:sz="4" w:space="0"/>
            </w:tcBorders>
            <w:noWrap w:val="0"/>
            <w:vAlign w:val="center"/>
          </w:tcPr>
          <w:p w14:paraId="32BCC120">
            <w:pPr>
              <w:widowControl/>
              <w:jc w:val="left"/>
              <w:textAlignment w:val="center"/>
              <w:rPr>
                <w:rFonts w:hint="eastAsia" w:ascii="仿宋" w:hAnsi="仿宋" w:eastAsia="仿宋" w:cs="仿宋"/>
                <w:color w:val="auto"/>
                <w:szCs w:val="21"/>
                <w:highlight w:val="none"/>
              </w:rPr>
            </w:pPr>
          </w:p>
        </w:tc>
      </w:tr>
    </w:tbl>
    <w:p w14:paraId="79DAF368">
      <w:pPr>
        <w:spacing w:line="560" w:lineRule="exact"/>
        <w:rPr>
          <w:rFonts w:hint="eastAsia" w:ascii="仿宋_GB2312" w:eastAsia="仿宋_GB2312"/>
          <w:color w:val="auto"/>
          <w:sz w:val="32"/>
          <w:szCs w:val="32"/>
          <w:highlight w:val="none"/>
        </w:rPr>
        <w:sectPr>
          <w:pgSz w:w="16838" w:h="11906" w:orient="landscape"/>
          <w:pgMar w:top="1587" w:right="1361" w:bottom="1474" w:left="1361" w:header="851" w:footer="992" w:gutter="0"/>
          <w:pgBorders>
            <w:top w:val="none" w:sz="0" w:space="0"/>
            <w:left w:val="none" w:sz="0" w:space="0"/>
            <w:bottom w:val="none" w:sz="0" w:space="0"/>
            <w:right w:val="none" w:sz="0" w:space="0"/>
          </w:pgBorders>
          <w:cols w:space="720" w:num="1"/>
          <w:docGrid w:linePitch="312" w:charSpace="0"/>
        </w:sectPr>
      </w:pPr>
    </w:p>
    <w:p w14:paraId="72CF7AF3">
      <w:pPr>
        <w:spacing w:line="560" w:lineRule="exact"/>
        <w:rPr>
          <w:rFonts w:hint="eastAsia" w:ascii="华文中宋" w:hAnsi="华文中宋" w:eastAsia="华文中宋" w:cs="华文中宋"/>
          <w:b/>
          <w:bCs/>
          <w:color w:val="auto"/>
          <w:sz w:val="36"/>
          <w:szCs w:val="44"/>
          <w:highlight w:val="none"/>
        </w:rPr>
      </w:pPr>
    </w:p>
    <w:p w14:paraId="115DA4F9">
      <w:pPr>
        <w:jc w:val="center"/>
        <w:rPr>
          <w:rFonts w:hint="eastAsia" w:ascii="华文中宋" w:hAnsi="华文中宋" w:eastAsia="华文中宋" w:cs="华文中宋"/>
          <w:b/>
          <w:bCs/>
          <w:color w:val="auto"/>
          <w:sz w:val="32"/>
          <w:szCs w:val="40"/>
          <w:highlight w:val="none"/>
        </w:rPr>
      </w:pPr>
      <w:r>
        <w:rPr>
          <w:color w:val="auto"/>
          <w:sz w:val="36"/>
          <w:highlight w:val="none"/>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-183515</wp:posOffset>
                </wp:positionV>
                <wp:extent cx="565150" cy="311150"/>
                <wp:effectExtent l="0" t="0" r="6350" b="12700"/>
                <wp:wrapNone/>
                <wp:docPr id="2" name="文本框 2"/>
                <wp:cNvGraphicFramePr/>
                <a:graphic xmlns:a="http://schemas.openxmlformats.org/drawingml/2006/main">
                  <a:graphicData uri="http://schemas.microsoft.com/office/word/2010/wordprocessingShape">
                    <wps:wsp>
                      <wps:cNvSpPr txBox="1"/>
                      <wps:spPr>
                        <a:xfrm>
                          <a:off x="1235075" y="730885"/>
                          <a:ext cx="565150" cy="311150"/>
                        </a:xfrm>
                        <a:prstGeom prst="rect">
                          <a:avLst/>
                        </a:prstGeom>
                        <a:solidFill>
                          <a:srgbClr val="FFFFFF"/>
                        </a:solidFill>
                        <a:ln w="6350">
                          <a:noFill/>
                        </a:ln>
                        <a:effectLst/>
                      </wps:spPr>
                      <wps:txbx>
                        <w:txbxContent>
                          <w:p w14:paraId="38436B47">
                            <w:pPr>
                              <w:rPr>
                                <w:rFonts w:hint="eastAsia"/>
                              </w:rPr>
                            </w:pPr>
                            <w:r>
                              <w:rPr>
                                <w:rFonts w:hint="eastAsia" w:ascii="黑体" w:hAnsi="黑体" w:eastAsia="黑体" w:cs="黑体"/>
                                <w:b/>
                                <w:bCs/>
                              </w:rPr>
                              <w:t>附件：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5pt;margin-top:-14.45pt;height:24.5pt;width:44.5pt;z-index:251661312;mso-width-relative:page;mso-height-relative:page;" fillcolor="#FFFFFF" filled="t" stroked="f" coordsize="21600,21600" o:gfxdata="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9eauQ&#10;1AAAAAgBAAAPAAAAAAAAAAEAIAAAACIAAABkcnMvZG93bnJldi54bWxQSwECFAAUAAAACACHTuJA&#10;NTQqgF4CAACnBAAADgAAAAAAAAABACAAAAAjAQAAZHJzL2Uyb0RvYy54bWxQSwUGAAAAAAYABgBZ&#10;AQAA8wUAAAAA&#10;">
                <v:path/>
                <v:fill on="t" focussize="0,0"/>
                <v:stroke on="f" weight="0.5pt"/>
                <v:imagedata o:title=""/>
                <o:lock v:ext="edit" aspectratio="f"/>
                <v:textbox>
                  <w:txbxContent>
                    <w:p w14:paraId="38436B47">
                      <w:pPr>
                        <w:rPr>
                          <w:rFonts w:hint="eastAsia"/>
                        </w:rPr>
                      </w:pPr>
                      <w:r>
                        <w:rPr>
                          <w:rFonts w:hint="eastAsia" w:ascii="黑体" w:hAnsi="黑体" w:eastAsia="黑体" w:cs="黑体"/>
                          <w:b/>
                          <w:bCs/>
                        </w:rPr>
                        <w:t>附件：</w:t>
                      </w:r>
                    </w:p>
                  </w:txbxContent>
                </v:textbox>
              </v:shape>
            </w:pict>
          </mc:Fallback>
        </mc:AlternateContent>
      </w:r>
      <w:r>
        <w:rPr>
          <w:rFonts w:hint="eastAsia" w:ascii="华文中宋" w:hAnsi="华文中宋" w:eastAsia="华文中宋" w:cs="华文中宋"/>
          <w:b/>
          <w:bCs/>
          <w:color w:val="auto"/>
          <w:sz w:val="36"/>
          <w:szCs w:val="44"/>
          <w:highlight w:val="none"/>
        </w:rPr>
        <w:t>成交服务费开票信息登记表</w:t>
      </w:r>
    </w:p>
    <w:p w14:paraId="0D363276">
      <w:pPr>
        <w:jc w:val="center"/>
        <w:rPr>
          <w:rFonts w:hint="eastAsia" w:ascii="华文中宋" w:hAnsi="华文中宋" w:eastAsia="华文中宋" w:cs="华文中宋"/>
          <w:b/>
          <w:bCs/>
          <w:color w:val="auto"/>
          <w:sz w:val="20"/>
          <w:szCs w:val="22"/>
          <w:highlight w:val="none"/>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2034"/>
        <w:gridCol w:w="5550"/>
      </w:tblGrid>
      <w:tr w14:paraId="3CA5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741" w:type="dxa"/>
            <w:noWrap w:val="0"/>
            <w:vAlign w:val="center"/>
          </w:tcPr>
          <w:p w14:paraId="2B797346">
            <w:pPr>
              <w:jc w:val="center"/>
              <w:rPr>
                <w:rFonts w:hint="eastAsia" w:ascii="仿宋" w:hAnsi="仿宋" w:eastAsia="仿宋" w:cs="仿宋"/>
                <w:b/>
                <w:bCs/>
                <w:color w:val="auto"/>
                <w:sz w:val="22"/>
                <w:szCs w:val="28"/>
                <w:highlight w:val="none"/>
              </w:rPr>
            </w:pPr>
            <w:r>
              <w:rPr>
                <w:rFonts w:hint="eastAsia" w:ascii="仿宋" w:hAnsi="仿宋" w:eastAsia="仿宋" w:cs="仿宋"/>
                <w:b/>
                <w:bCs/>
                <w:color w:val="auto"/>
                <w:sz w:val="22"/>
                <w:szCs w:val="28"/>
                <w:highlight w:val="none"/>
              </w:rPr>
              <w:t>序号</w:t>
            </w:r>
          </w:p>
        </w:tc>
        <w:tc>
          <w:tcPr>
            <w:tcW w:w="2034" w:type="dxa"/>
            <w:noWrap w:val="0"/>
            <w:vAlign w:val="center"/>
          </w:tcPr>
          <w:p w14:paraId="15F92180">
            <w:pPr>
              <w:jc w:val="center"/>
              <w:rPr>
                <w:rFonts w:hint="eastAsia" w:ascii="仿宋" w:hAnsi="仿宋" w:eastAsia="仿宋" w:cs="仿宋"/>
                <w:b/>
                <w:bCs/>
                <w:color w:val="auto"/>
                <w:sz w:val="22"/>
                <w:szCs w:val="28"/>
                <w:highlight w:val="none"/>
              </w:rPr>
            </w:pPr>
            <w:r>
              <w:rPr>
                <w:rFonts w:hint="eastAsia" w:ascii="仿宋" w:hAnsi="仿宋" w:eastAsia="仿宋" w:cs="仿宋"/>
                <w:b/>
                <w:bCs/>
                <w:color w:val="auto"/>
                <w:sz w:val="22"/>
                <w:szCs w:val="28"/>
                <w:highlight w:val="none"/>
              </w:rPr>
              <w:t>登记事项</w:t>
            </w:r>
          </w:p>
        </w:tc>
        <w:tc>
          <w:tcPr>
            <w:tcW w:w="5550" w:type="dxa"/>
            <w:noWrap w:val="0"/>
            <w:vAlign w:val="center"/>
          </w:tcPr>
          <w:p w14:paraId="21FC1C21">
            <w:pPr>
              <w:jc w:val="center"/>
              <w:rPr>
                <w:rFonts w:hint="eastAsia" w:ascii="仿宋" w:hAnsi="仿宋" w:eastAsia="仿宋" w:cs="仿宋"/>
                <w:b/>
                <w:bCs/>
                <w:color w:val="auto"/>
                <w:sz w:val="22"/>
                <w:szCs w:val="28"/>
                <w:highlight w:val="none"/>
              </w:rPr>
            </w:pPr>
            <w:r>
              <w:rPr>
                <w:rFonts w:hint="eastAsia" w:ascii="仿宋" w:hAnsi="仿宋" w:eastAsia="仿宋" w:cs="仿宋"/>
                <w:b/>
                <w:bCs/>
                <w:color w:val="auto"/>
                <w:sz w:val="22"/>
                <w:szCs w:val="28"/>
                <w:highlight w:val="none"/>
              </w:rPr>
              <w:t>信息内容</w:t>
            </w:r>
          </w:p>
        </w:tc>
      </w:tr>
      <w:tr w14:paraId="2040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287A3408">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1</w:t>
            </w:r>
          </w:p>
        </w:tc>
        <w:tc>
          <w:tcPr>
            <w:tcW w:w="2034" w:type="dxa"/>
            <w:noWrap w:val="0"/>
            <w:vAlign w:val="center"/>
          </w:tcPr>
          <w:p w14:paraId="7EE7D532">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发票抬头名称</w:t>
            </w:r>
          </w:p>
        </w:tc>
        <w:tc>
          <w:tcPr>
            <w:tcW w:w="5550" w:type="dxa"/>
            <w:noWrap w:val="0"/>
            <w:vAlign w:val="center"/>
          </w:tcPr>
          <w:p w14:paraId="7E399353">
            <w:pPr>
              <w:spacing w:line="240" w:lineRule="exact"/>
              <w:jc w:val="center"/>
              <w:rPr>
                <w:rFonts w:hint="eastAsia" w:ascii="仿宋" w:hAnsi="仿宋" w:eastAsia="仿宋" w:cs="仿宋"/>
                <w:color w:val="auto"/>
                <w:highlight w:val="none"/>
              </w:rPr>
            </w:pPr>
          </w:p>
        </w:tc>
      </w:tr>
      <w:tr w14:paraId="40B7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741" w:type="dxa"/>
            <w:noWrap w:val="0"/>
            <w:vAlign w:val="center"/>
          </w:tcPr>
          <w:p w14:paraId="421A6F43">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2</w:t>
            </w:r>
          </w:p>
        </w:tc>
        <w:tc>
          <w:tcPr>
            <w:tcW w:w="2034" w:type="dxa"/>
            <w:noWrap w:val="0"/>
            <w:vAlign w:val="center"/>
          </w:tcPr>
          <w:p w14:paraId="323C4844">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纳税人识别号</w:t>
            </w:r>
          </w:p>
        </w:tc>
        <w:tc>
          <w:tcPr>
            <w:tcW w:w="5550" w:type="dxa"/>
            <w:noWrap w:val="0"/>
            <w:vAlign w:val="center"/>
          </w:tcPr>
          <w:p w14:paraId="6BC56F59">
            <w:pPr>
              <w:spacing w:line="240" w:lineRule="exact"/>
              <w:jc w:val="center"/>
              <w:rPr>
                <w:rFonts w:hint="eastAsia" w:ascii="仿宋" w:hAnsi="仿宋" w:eastAsia="仿宋" w:cs="仿宋"/>
                <w:color w:val="auto"/>
                <w:highlight w:val="none"/>
              </w:rPr>
            </w:pPr>
          </w:p>
        </w:tc>
      </w:tr>
      <w:tr w14:paraId="1473C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F0DD44B">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3</w:t>
            </w:r>
          </w:p>
        </w:tc>
        <w:tc>
          <w:tcPr>
            <w:tcW w:w="2034" w:type="dxa"/>
            <w:noWrap w:val="0"/>
            <w:vAlign w:val="center"/>
          </w:tcPr>
          <w:p w14:paraId="067C08F5">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开户银行</w:t>
            </w:r>
          </w:p>
        </w:tc>
        <w:tc>
          <w:tcPr>
            <w:tcW w:w="5550" w:type="dxa"/>
            <w:noWrap w:val="0"/>
            <w:vAlign w:val="center"/>
          </w:tcPr>
          <w:p w14:paraId="1409B842">
            <w:pPr>
              <w:spacing w:line="240" w:lineRule="exact"/>
              <w:jc w:val="center"/>
              <w:rPr>
                <w:rFonts w:hint="eastAsia" w:ascii="仿宋" w:hAnsi="仿宋" w:eastAsia="仿宋" w:cs="仿宋"/>
                <w:color w:val="auto"/>
                <w:highlight w:val="none"/>
              </w:rPr>
            </w:pPr>
          </w:p>
        </w:tc>
      </w:tr>
      <w:tr w14:paraId="2D58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2FF0B1EC">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4</w:t>
            </w:r>
          </w:p>
        </w:tc>
        <w:tc>
          <w:tcPr>
            <w:tcW w:w="2034" w:type="dxa"/>
            <w:noWrap w:val="0"/>
            <w:vAlign w:val="center"/>
          </w:tcPr>
          <w:p w14:paraId="4597407A">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银行账号</w:t>
            </w:r>
          </w:p>
        </w:tc>
        <w:tc>
          <w:tcPr>
            <w:tcW w:w="5550" w:type="dxa"/>
            <w:noWrap w:val="0"/>
            <w:vAlign w:val="center"/>
          </w:tcPr>
          <w:p w14:paraId="45E787F7">
            <w:pPr>
              <w:spacing w:line="240" w:lineRule="exact"/>
              <w:jc w:val="center"/>
              <w:rPr>
                <w:rFonts w:hint="eastAsia" w:ascii="仿宋" w:hAnsi="仿宋" w:eastAsia="仿宋" w:cs="仿宋"/>
                <w:color w:val="auto"/>
                <w:highlight w:val="none"/>
              </w:rPr>
            </w:pPr>
          </w:p>
        </w:tc>
      </w:tr>
      <w:tr w14:paraId="5588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5D54ABB4">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5</w:t>
            </w:r>
          </w:p>
        </w:tc>
        <w:tc>
          <w:tcPr>
            <w:tcW w:w="2034" w:type="dxa"/>
            <w:noWrap w:val="0"/>
            <w:vAlign w:val="center"/>
          </w:tcPr>
          <w:p w14:paraId="03E114C3">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地址（开票用）</w:t>
            </w:r>
          </w:p>
        </w:tc>
        <w:tc>
          <w:tcPr>
            <w:tcW w:w="5550" w:type="dxa"/>
            <w:noWrap w:val="0"/>
            <w:vAlign w:val="center"/>
          </w:tcPr>
          <w:p w14:paraId="409FEF0C">
            <w:pPr>
              <w:spacing w:line="240" w:lineRule="exact"/>
              <w:jc w:val="center"/>
              <w:rPr>
                <w:rFonts w:hint="eastAsia" w:ascii="仿宋" w:hAnsi="仿宋" w:eastAsia="仿宋" w:cs="仿宋"/>
                <w:color w:val="auto"/>
                <w:highlight w:val="none"/>
              </w:rPr>
            </w:pPr>
          </w:p>
        </w:tc>
      </w:tr>
      <w:tr w14:paraId="6E1B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E29ECBC">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6</w:t>
            </w:r>
          </w:p>
        </w:tc>
        <w:tc>
          <w:tcPr>
            <w:tcW w:w="2034" w:type="dxa"/>
            <w:noWrap w:val="0"/>
            <w:vAlign w:val="center"/>
          </w:tcPr>
          <w:p w14:paraId="4A80FE24">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电话（开票用）</w:t>
            </w:r>
          </w:p>
        </w:tc>
        <w:tc>
          <w:tcPr>
            <w:tcW w:w="5550" w:type="dxa"/>
            <w:noWrap w:val="0"/>
            <w:vAlign w:val="center"/>
          </w:tcPr>
          <w:p w14:paraId="3FDC9B3B">
            <w:pPr>
              <w:spacing w:line="240" w:lineRule="exact"/>
              <w:jc w:val="center"/>
              <w:rPr>
                <w:rFonts w:hint="eastAsia" w:ascii="仿宋" w:hAnsi="仿宋" w:eastAsia="仿宋" w:cs="仿宋"/>
                <w:color w:val="auto"/>
                <w:highlight w:val="none"/>
              </w:rPr>
            </w:pPr>
          </w:p>
        </w:tc>
      </w:tr>
      <w:tr w14:paraId="5A39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693B9F30">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7</w:t>
            </w:r>
          </w:p>
        </w:tc>
        <w:tc>
          <w:tcPr>
            <w:tcW w:w="2034" w:type="dxa"/>
            <w:noWrap w:val="0"/>
            <w:vAlign w:val="center"/>
          </w:tcPr>
          <w:p w14:paraId="64A2220B">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接收发票的</w:t>
            </w:r>
          </w:p>
          <w:p w14:paraId="1E098C2C">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电子邮箱地址</w:t>
            </w:r>
          </w:p>
        </w:tc>
        <w:tc>
          <w:tcPr>
            <w:tcW w:w="5550" w:type="dxa"/>
            <w:noWrap w:val="0"/>
            <w:vAlign w:val="center"/>
          </w:tcPr>
          <w:p w14:paraId="48ACC77D">
            <w:pPr>
              <w:spacing w:line="240" w:lineRule="exact"/>
              <w:jc w:val="center"/>
              <w:rPr>
                <w:rFonts w:hint="eastAsia" w:ascii="仿宋" w:hAnsi="仿宋" w:eastAsia="仿宋" w:cs="仿宋"/>
                <w:color w:val="auto"/>
                <w:highlight w:val="none"/>
              </w:rPr>
            </w:pPr>
          </w:p>
        </w:tc>
      </w:tr>
      <w:tr w14:paraId="2527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3FF18D03">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8</w:t>
            </w:r>
          </w:p>
        </w:tc>
        <w:tc>
          <w:tcPr>
            <w:tcW w:w="2034" w:type="dxa"/>
            <w:noWrap w:val="0"/>
            <w:vAlign w:val="center"/>
          </w:tcPr>
          <w:p w14:paraId="09AEAEE5">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开票金额</w:t>
            </w:r>
          </w:p>
          <w:p w14:paraId="05210702">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（实际交费金额）</w:t>
            </w:r>
          </w:p>
        </w:tc>
        <w:tc>
          <w:tcPr>
            <w:tcW w:w="5550" w:type="dxa"/>
            <w:noWrap w:val="0"/>
            <w:vAlign w:val="center"/>
          </w:tcPr>
          <w:p w14:paraId="12A27CAE">
            <w:pPr>
              <w:spacing w:line="240" w:lineRule="exact"/>
              <w:jc w:val="center"/>
              <w:rPr>
                <w:rFonts w:hint="eastAsia" w:ascii="仿宋" w:hAnsi="仿宋" w:eastAsia="仿宋" w:cs="仿宋"/>
                <w:color w:val="auto"/>
                <w:highlight w:val="none"/>
              </w:rPr>
            </w:pPr>
          </w:p>
        </w:tc>
      </w:tr>
      <w:tr w14:paraId="70A2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7E7CD94B">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9</w:t>
            </w:r>
          </w:p>
        </w:tc>
        <w:tc>
          <w:tcPr>
            <w:tcW w:w="2034" w:type="dxa"/>
            <w:noWrap w:val="0"/>
            <w:vAlign w:val="center"/>
          </w:tcPr>
          <w:p w14:paraId="34F7B56A">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中标(成交)日期</w:t>
            </w:r>
          </w:p>
        </w:tc>
        <w:tc>
          <w:tcPr>
            <w:tcW w:w="5550" w:type="dxa"/>
            <w:noWrap w:val="0"/>
            <w:vAlign w:val="center"/>
          </w:tcPr>
          <w:p w14:paraId="031E6237">
            <w:pPr>
              <w:spacing w:line="240" w:lineRule="exact"/>
              <w:jc w:val="center"/>
              <w:rPr>
                <w:rFonts w:hint="eastAsia" w:ascii="仿宋" w:hAnsi="仿宋" w:eastAsia="仿宋" w:cs="仿宋"/>
                <w:color w:val="auto"/>
                <w:highlight w:val="none"/>
              </w:rPr>
            </w:pPr>
          </w:p>
        </w:tc>
      </w:tr>
      <w:tr w14:paraId="6A47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633EFC59">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10</w:t>
            </w:r>
          </w:p>
        </w:tc>
        <w:tc>
          <w:tcPr>
            <w:tcW w:w="2034" w:type="dxa"/>
            <w:noWrap w:val="0"/>
            <w:vAlign w:val="center"/>
          </w:tcPr>
          <w:p w14:paraId="11A512A1">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交费转账日期</w:t>
            </w:r>
          </w:p>
        </w:tc>
        <w:tc>
          <w:tcPr>
            <w:tcW w:w="5550" w:type="dxa"/>
            <w:noWrap w:val="0"/>
            <w:vAlign w:val="center"/>
          </w:tcPr>
          <w:p w14:paraId="07C467D5">
            <w:pPr>
              <w:spacing w:line="240" w:lineRule="exact"/>
              <w:jc w:val="center"/>
              <w:rPr>
                <w:rFonts w:hint="eastAsia" w:ascii="仿宋" w:hAnsi="仿宋" w:eastAsia="仿宋" w:cs="仿宋"/>
                <w:color w:val="auto"/>
                <w:highlight w:val="none"/>
              </w:rPr>
            </w:pPr>
          </w:p>
        </w:tc>
      </w:tr>
      <w:tr w14:paraId="6F7F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66F551CA">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11</w:t>
            </w:r>
          </w:p>
        </w:tc>
        <w:tc>
          <w:tcPr>
            <w:tcW w:w="2034" w:type="dxa"/>
            <w:noWrap w:val="0"/>
            <w:vAlign w:val="center"/>
          </w:tcPr>
          <w:p w14:paraId="02345BC9">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招标采购编号</w:t>
            </w:r>
          </w:p>
        </w:tc>
        <w:tc>
          <w:tcPr>
            <w:tcW w:w="5550" w:type="dxa"/>
            <w:noWrap w:val="0"/>
            <w:vAlign w:val="center"/>
          </w:tcPr>
          <w:p w14:paraId="5385230F">
            <w:pPr>
              <w:spacing w:line="240" w:lineRule="exact"/>
              <w:jc w:val="center"/>
              <w:rPr>
                <w:rFonts w:hint="eastAsia" w:ascii="仿宋" w:hAnsi="仿宋" w:eastAsia="仿宋" w:cs="仿宋"/>
                <w:color w:val="auto"/>
                <w:highlight w:val="none"/>
              </w:rPr>
            </w:pPr>
          </w:p>
        </w:tc>
      </w:tr>
      <w:tr w14:paraId="1747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488E60E2">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12</w:t>
            </w:r>
          </w:p>
        </w:tc>
        <w:tc>
          <w:tcPr>
            <w:tcW w:w="2034" w:type="dxa"/>
            <w:noWrap w:val="0"/>
            <w:vAlign w:val="center"/>
          </w:tcPr>
          <w:p w14:paraId="6C4C83F5">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中标(成交)物资</w:t>
            </w:r>
          </w:p>
        </w:tc>
        <w:tc>
          <w:tcPr>
            <w:tcW w:w="5550" w:type="dxa"/>
            <w:noWrap w:val="0"/>
            <w:vAlign w:val="center"/>
          </w:tcPr>
          <w:p w14:paraId="54A43E9E">
            <w:pPr>
              <w:spacing w:line="240" w:lineRule="exact"/>
              <w:jc w:val="center"/>
              <w:rPr>
                <w:rFonts w:hint="eastAsia" w:ascii="仿宋" w:hAnsi="仿宋" w:eastAsia="仿宋" w:cs="仿宋"/>
                <w:color w:val="auto"/>
                <w:highlight w:val="none"/>
              </w:rPr>
            </w:pPr>
          </w:p>
        </w:tc>
      </w:tr>
      <w:tr w14:paraId="2587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746B7B58">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13</w:t>
            </w:r>
          </w:p>
        </w:tc>
        <w:tc>
          <w:tcPr>
            <w:tcW w:w="2034" w:type="dxa"/>
            <w:noWrap w:val="0"/>
            <w:vAlign w:val="center"/>
          </w:tcPr>
          <w:p w14:paraId="5D23F1F5">
            <w:pPr>
              <w:spacing w:line="24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中标(成交)包件号</w:t>
            </w:r>
          </w:p>
        </w:tc>
        <w:tc>
          <w:tcPr>
            <w:tcW w:w="5550" w:type="dxa"/>
            <w:noWrap w:val="0"/>
            <w:vAlign w:val="center"/>
          </w:tcPr>
          <w:p w14:paraId="5A96B72C">
            <w:pPr>
              <w:spacing w:line="240" w:lineRule="exact"/>
              <w:jc w:val="center"/>
              <w:rPr>
                <w:rFonts w:hint="eastAsia" w:ascii="仿宋" w:hAnsi="仿宋" w:eastAsia="仿宋" w:cs="仿宋"/>
                <w:color w:val="auto"/>
                <w:highlight w:val="none"/>
              </w:rPr>
            </w:pPr>
          </w:p>
        </w:tc>
      </w:tr>
      <w:tr w14:paraId="7DA4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1" w:type="dxa"/>
            <w:noWrap w:val="0"/>
            <w:vAlign w:val="center"/>
          </w:tcPr>
          <w:p w14:paraId="5C8D6058">
            <w:pPr>
              <w:spacing w:line="240" w:lineRule="exact"/>
              <w:jc w:val="center"/>
              <w:rPr>
                <w:rFonts w:hint="eastAsia" w:ascii="仿宋" w:hAnsi="仿宋" w:eastAsia="仿宋" w:cs="仿宋"/>
                <w:color w:val="auto"/>
                <w:highlight w:val="none"/>
              </w:rPr>
            </w:pPr>
          </w:p>
        </w:tc>
        <w:tc>
          <w:tcPr>
            <w:tcW w:w="2034" w:type="dxa"/>
            <w:noWrap w:val="0"/>
            <w:vAlign w:val="center"/>
          </w:tcPr>
          <w:p w14:paraId="2009D86A">
            <w:pPr>
              <w:spacing w:line="240" w:lineRule="exact"/>
              <w:jc w:val="center"/>
              <w:rPr>
                <w:rFonts w:hint="eastAsia" w:ascii="仿宋" w:hAnsi="仿宋" w:eastAsia="仿宋" w:cs="仿宋"/>
                <w:color w:val="auto"/>
                <w:highlight w:val="none"/>
              </w:rPr>
            </w:pPr>
          </w:p>
        </w:tc>
        <w:tc>
          <w:tcPr>
            <w:tcW w:w="5550" w:type="dxa"/>
            <w:noWrap w:val="0"/>
            <w:vAlign w:val="center"/>
          </w:tcPr>
          <w:p w14:paraId="70B28DBC">
            <w:pPr>
              <w:spacing w:line="240" w:lineRule="exact"/>
              <w:jc w:val="center"/>
              <w:rPr>
                <w:rFonts w:hint="eastAsia" w:ascii="仿宋" w:hAnsi="仿宋" w:eastAsia="仿宋" w:cs="仿宋"/>
                <w:color w:val="auto"/>
                <w:highlight w:val="none"/>
              </w:rPr>
            </w:pPr>
          </w:p>
        </w:tc>
      </w:tr>
    </w:tbl>
    <w:p w14:paraId="7B614DF9">
      <w:pPr>
        <w:jc w:val="center"/>
        <w:rPr>
          <w:rFonts w:hint="eastAsia" w:ascii="仿宋" w:hAnsi="仿宋" w:eastAsia="仿宋" w:cs="仿宋"/>
          <w:b/>
          <w:bCs/>
          <w:color w:val="auto"/>
          <w:sz w:val="44"/>
          <w:szCs w:val="44"/>
          <w:highlight w:val="none"/>
          <w:lang w:eastAsia="zh-CN"/>
        </w:rPr>
      </w:pPr>
      <w:bookmarkStart w:id="117" w:name="_GoBack"/>
      <w:bookmarkEnd w:id="11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3B1C2">
    <w:pPr>
      <w:pStyle w:val="3"/>
      <w:ind w:right="360"/>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posOffset>2715895</wp:posOffset>
              </wp:positionH>
              <wp:positionV relativeFrom="paragraph">
                <wp:posOffset>0</wp:posOffset>
              </wp:positionV>
              <wp:extent cx="120650" cy="17907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20650" cy="179070"/>
                      </a:xfrm>
                      <a:prstGeom prst="rect">
                        <a:avLst/>
                      </a:prstGeom>
                      <a:noFill/>
                      <a:ln>
                        <a:noFill/>
                      </a:ln>
                    </wps:spPr>
                    <wps:txbx>
                      <w:txbxContent>
                        <w:p w14:paraId="7BECAA1E">
                          <w:pPr>
                            <w:pStyle w:val="3"/>
                            <w:rPr>
                              <w:rStyle w:val="7"/>
                              <w:sz w:val="21"/>
                              <w:szCs w:val="21"/>
                            </w:rPr>
                          </w:pPr>
                          <w:r>
                            <w:rPr>
                              <w:sz w:val="21"/>
                              <w:szCs w:val="21"/>
                            </w:rPr>
                            <w:fldChar w:fldCharType="begin"/>
                          </w:r>
                          <w:r>
                            <w:rPr>
                              <w:rStyle w:val="7"/>
                              <w:sz w:val="21"/>
                              <w:szCs w:val="21"/>
                            </w:rPr>
                            <w:instrText xml:space="preserve">PAGE  </w:instrText>
                          </w:r>
                          <w:r>
                            <w:rPr>
                              <w:sz w:val="21"/>
                              <w:szCs w:val="21"/>
                            </w:rPr>
                            <w:fldChar w:fldCharType="separate"/>
                          </w:r>
                          <w:r>
                            <w:rPr>
                              <w:rStyle w:val="7"/>
                              <w:sz w:val="21"/>
                              <w:szCs w:val="21"/>
                            </w:rPr>
                            <w:t>11</w:t>
                          </w:r>
                          <w:r>
                            <w:rPr>
                              <w:sz w:val="21"/>
                              <w:szCs w:val="21"/>
                            </w:rPr>
                            <w:fldChar w:fldCharType="end"/>
                          </w:r>
                        </w:p>
                      </w:txbxContent>
                    </wps:txbx>
                    <wps:bodyPr lIns="0" tIns="0" rIns="0" bIns="0" upright="0"/>
                  </wps:wsp>
                </a:graphicData>
              </a:graphic>
            </wp:anchor>
          </w:drawing>
        </mc:Choice>
        <mc:Fallback>
          <w:pict>
            <v:shape id="_x0000_s1026" o:spid="_x0000_s1026" o:spt="202" type="#_x0000_t202" style="position:absolute;left:0pt;margin-left:213.85pt;margin-top:0pt;height:14.1pt;width:9.5pt;mso-position-horizontal-relative:margin;z-index:251659264;mso-width-relative:page;mso-height-relative:page;" filled="f" stroked="f" coordsize="21600,21600" o:gfxdata="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Y5Ecu1gAAAAcBAAAPAAAAAAAAAAEAIAAAACIAAABkcnMvZG93bnJldi54bWxQSwECFAAU&#10;AAAACACHTuJAXSJ3LroBAABxAwAADgAAAAAAAAABACAAAAAlAQAAZHJzL2Uyb0RvYy54bWxQSwUG&#10;AAAAAAYABgBZAQAAUQUAAAAA&#10;">
              <v:path/>
              <v:fill on="f" focussize="0,0"/>
              <v:stroke on="f"/>
              <v:imagedata o:title=""/>
              <o:lock v:ext="edit" aspectratio="f"/>
              <v:textbox inset="0mm,0mm,0mm,0mm">
                <w:txbxContent>
                  <w:p w14:paraId="7BECAA1E">
                    <w:pPr>
                      <w:pStyle w:val="3"/>
                      <w:rPr>
                        <w:rStyle w:val="7"/>
                        <w:sz w:val="21"/>
                        <w:szCs w:val="21"/>
                      </w:rPr>
                    </w:pPr>
                    <w:r>
                      <w:rPr>
                        <w:sz w:val="21"/>
                        <w:szCs w:val="21"/>
                      </w:rPr>
                      <w:fldChar w:fldCharType="begin"/>
                    </w:r>
                    <w:r>
                      <w:rPr>
                        <w:rStyle w:val="7"/>
                        <w:sz w:val="21"/>
                        <w:szCs w:val="21"/>
                      </w:rPr>
                      <w:instrText xml:space="preserve">PAGE  </w:instrText>
                    </w:r>
                    <w:r>
                      <w:rPr>
                        <w:sz w:val="21"/>
                        <w:szCs w:val="21"/>
                      </w:rPr>
                      <w:fldChar w:fldCharType="separate"/>
                    </w:r>
                    <w:r>
                      <w:rPr>
                        <w:rStyle w:val="7"/>
                        <w:sz w:val="21"/>
                        <w:szCs w:val="21"/>
                      </w:rPr>
                      <w:t>11</w:t>
                    </w:r>
                    <w:r>
                      <w:rPr>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85F1D3"/>
    <w:multiLevelType w:val="singleLevel"/>
    <w:tmpl w:val="1C85F1D3"/>
    <w:lvl w:ilvl="0" w:tentative="0">
      <w:start w:val="2"/>
      <w:numFmt w:val="decimal"/>
      <w:lvlText w:val="%1."/>
      <w:lvlJc w:val="left"/>
      <w:pPr>
        <w:tabs>
          <w:tab w:val="left" w:pos="312"/>
        </w:tabs>
      </w:pPr>
    </w:lvl>
  </w:abstractNum>
  <w:abstractNum w:abstractNumId="1">
    <w:nsid w:val="45A35FB0"/>
    <w:multiLevelType w:val="singleLevel"/>
    <w:tmpl w:val="45A35FB0"/>
    <w:lvl w:ilvl="0" w:tentative="0">
      <w:start w:val="8"/>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2ZWUwMDYyZTJjMzJjZTg1ZWJlNTY4ZThkNmE4YWEifQ=="/>
  </w:docVars>
  <w:rsids>
    <w:rsidRoot w:val="1EFD1F7E"/>
    <w:rsid w:val="1EFD1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kern w:val="0"/>
      <w:sz w:val="18"/>
      <w:szCs w:val="18"/>
    </w:rPr>
  </w:style>
  <w:style w:type="paragraph" w:styleId="4">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character" w:styleId="7">
    <w:name w:val="page number"/>
    <w:qFormat/>
    <w:uiPriority w:val="0"/>
  </w:style>
  <w:style w:type="character" w:styleId="8">
    <w:name w:val="Hyperlink"/>
    <w:basedOn w:val="6"/>
    <w:qFormat/>
    <w:uiPriority w:val="99"/>
    <w:rPr>
      <w:color w:val="0000FF"/>
      <w:u w:val="single"/>
    </w:rPr>
  </w:style>
  <w:style w:type="paragraph" w:customStyle="1" w:styleId="9">
    <w:name w:val="正文 含缩进"/>
    <w:basedOn w:val="1"/>
    <w:qFormat/>
    <w:uiPriority w:val="0"/>
    <w:pPr>
      <w:spacing w:line="360" w:lineRule="auto"/>
      <w:ind w:firstLine="424" w:firstLineChars="202"/>
      <w:jc w:val="left"/>
    </w:pPr>
    <w:rPr>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2024-08-28T08:33:00Z</dcterms:created>
  <dc:creator>琴菜</dc:creator>
  <cp:lastModifiedBy>琴菜</cp:lastModifiedBy>
  <dcterms:modified xsi:type="dcterms:W3CDTF">2024-08-28T08:35:55Z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489CF6B8B4EC44E38AB8A2C05F05F7A3_11</vt:lpwstr>
  </property>
</Properties>
</file>