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20" w:after="120" w:line="240" w:lineRule="auto"/>
        <w:jc w:val="center"/>
        <w:rPr>
          <w:rFonts w:hint="eastAsia" w:ascii="宋体"/>
        </w:rPr>
      </w:pPr>
      <w:bookmarkStart w:id="0" w:name="_Hlk75167428"/>
      <w:bookmarkStart w:id="1" w:name="_Hlk59699256"/>
      <w:r>
        <w:rPr>
          <w:rFonts w:hint="eastAsia" w:ascii="宋体"/>
          <w:sz w:val="30"/>
          <w:szCs w:val="30"/>
        </w:rPr>
        <w:t>投标人要求</w:t>
      </w:r>
    </w:p>
    <w:bookmarkEnd w:id="0"/>
    <w:bookmarkEnd w:id="1"/>
    <w:p>
      <w:pPr>
        <w:pStyle w:val="6"/>
        <w:spacing w:line="360" w:lineRule="auto"/>
        <w:jc w:val="left"/>
        <w:rPr>
          <w:rFonts w:ascii="宋体"/>
          <w:b/>
          <w:color w:val="auto"/>
          <w:sz w:val="28"/>
          <w:szCs w:val="28"/>
        </w:rPr>
      </w:pPr>
      <w:r>
        <w:rPr>
          <w:rFonts w:hint="eastAsia" w:ascii="宋体" w:hAnsi="宋体"/>
          <w:b/>
          <w:color w:val="auto"/>
          <w:sz w:val="28"/>
          <w:szCs w:val="28"/>
        </w:rPr>
        <w:t>一、学校概况及供电设施</w:t>
      </w:r>
    </w:p>
    <w:p>
      <w:pPr>
        <w:pStyle w:val="6"/>
        <w:spacing w:line="360" w:lineRule="auto"/>
        <w:ind w:firstLine="480" w:firstLineChars="200"/>
        <w:rPr>
          <w:rFonts w:ascii="宋体"/>
          <w:color w:val="auto"/>
          <w:sz w:val="24"/>
          <w:szCs w:val="24"/>
        </w:rPr>
      </w:pPr>
      <w:r>
        <w:rPr>
          <w:rFonts w:hint="eastAsia" w:ascii="宋体" w:hAnsi="宋体"/>
          <w:color w:val="auto"/>
          <w:sz w:val="24"/>
          <w:szCs w:val="24"/>
        </w:rPr>
        <w:t>安徽师范大学是一所以师范为主的高等院校，校园占地总面积202.43万平方米，建筑面积107.37万平方米，各类在籍学生</w:t>
      </w:r>
      <w:r>
        <w:rPr>
          <w:rFonts w:hint="eastAsia" w:ascii="宋体" w:hAnsi="宋体"/>
          <w:color w:val="auto"/>
          <w:sz w:val="24"/>
          <w:szCs w:val="24"/>
          <w:lang w:val="en-US" w:eastAsia="zh-CN"/>
        </w:rPr>
        <w:t>58</w:t>
      </w:r>
      <w:r>
        <w:rPr>
          <w:rFonts w:ascii="宋体" w:hAnsi="宋体"/>
          <w:color w:val="auto"/>
          <w:sz w:val="24"/>
          <w:szCs w:val="24"/>
        </w:rPr>
        <w:t>000</w:t>
      </w:r>
      <w:r>
        <w:rPr>
          <w:rFonts w:hint="eastAsia" w:ascii="宋体" w:hAnsi="宋体"/>
          <w:color w:val="auto"/>
          <w:sz w:val="24"/>
          <w:szCs w:val="24"/>
        </w:rPr>
        <w:t>余人，教职工</w:t>
      </w:r>
      <w:r>
        <w:rPr>
          <w:rFonts w:ascii="宋体" w:hAnsi="宋体"/>
          <w:color w:val="auto"/>
          <w:sz w:val="24"/>
          <w:szCs w:val="24"/>
        </w:rPr>
        <w:t>2</w:t>
      </w:r>
      <w:r>
        <w:rPr>
          <w:rFonts w:hint="eastAsia" w:ascii="宋体" w:hAnsi="宋体"/>
          <w:color w:val="auto"/>
          <w:sz w:val="24"/>
          <w:szCs w:val="24"/>
        </w:rPr>
        <w:t>7</w:t>
      </w:r>
      <w:r>
        <w:rPr>
          <w:rFonts w:ascii="宋体"/>
          <w:color w:val="auto"/>
          <w:sz w:val="24"/>
          <w:szCs w:val="24"/>
        </w:rPr>
        <w:t>00</w:t>
      </w:r>
      <w:r>
        <w:rPr>
          <w:rFonts w:hint="eastAsia" w:ascii="宋体"/>
          <w:color w:val="auto"/>
          <w:sz w:val="24"/>
          <w:szCs w:val="24"/>
        </w:rPr>
        <w:t>余</w:t>
      </w:r>
      <w:r>
        <w:rPr>
          <w:rFonts w:hint="eastAsia" w:ascii="宋体" w:hAnsi="宋体"/>
          <w:color w:val="auto"/>
          <w:sz w:val="24"/>
          <w:szCs w:val="24"/>
        </w:rPr>
        <w:t>人。</w:t>
      </w:r>
    </w:p>
    <w:p>
      <w:pPr>
        <w:pStyle w:val="6"/>
        <w:spacing w:line="360" w:lineRule="auto"/>
        <w:ind w:firstLine="480" w:firstLineChars="200"/>
        <w:rPr>
          <w:rFonts w:ascii="宋体"/>
          <w:color w:val="auto"/>
          <w:sz w:val="24"/>
          <w:szCs w:val="24"/>
        </w:rPr>
      </w:pPr>
      <w:r>
        <w:rPr>
          <w:rFonts w:hint="eastAsia" w:ascii="宋体" w:hAnsi="宋体"/>
          <w:color w:val="auto"/>
          <w:sz w:val="24"/>
          <w:szCs w:val="24"/>
        </w:rPr>
        <w:t>目前，学校两校区供电开闭所</w:t>
      </w:r>
      <w:r>
        <w:rPr>
          <w:rFonts w:hint="eastAsia" w:ascii="宋体" w:hAnsi="宋体"/>
          <w:color w:val="auto"/>
          <w:sz w:val="24"/>
          <w:szCs w:val="24"/>
          <w:lang w:val="en-US" w:eastAsia="zh-CN"/>
        </w:rPr>
        <w:t>3</w:t>
      </w:r>
      <w:r>
        <w:rPr>
          <w:rFonts w:hint="eastAsia" w:ascii="宋体" w:hAnsi="宋体"/>
          <w:color w:val="auto"/>
          <w:sz w:val="24"/>
          <w:szCs w:val="24"/>
        </w:rPr>
        <w:t>个，环网柜</w:t>
      </w:r>
      <w:r>
        <w:rPr>
          <w:rFonts w:ascii="宋体" w:hAnsi="宋体"/>
          <w:color w:val="auto"/>
          <w:sz w:val="24"/>
          <w:szCs w:val="24"/>
        </w:rPr>
        <w:t>1</w:t>
      </w:r>
      <w:r>
        <w:rPr>
          <w:rFonts w:hint="eastAsia" w:ascii="宋体" w:hAnsi="宋体"/>
          <w:color w:val="auto"/>
          <w:sz w:val="24"/>
          <w:szCs w:val="24"/>
        </w:rPr>
        <w:t>9个，变压器</w:t>
      </w:r>
      <w:r>
        <w:rPr>
          <w:rFonts w:ascii="宋体" w:hAnsi="宋体"/>
          <w:color w:val="auto"/>
          <w:sz w:val="24"/>
          <w:szCs w:val="24"/>
        </w:rPr>
        <w:t>7</w:t>
      </w:r>
      <w:r>
        <w:rPr>
          <w:rFonts w:hint="eastAsia" w:ascii="宋体" w:hAnsi="宋体"/>
          <w:color w:val="auto"/>
          <w:sz w:val="24"/>
          <w:szCs w:val="24"/>
          <w:lang w:val="en-US" w:eastAsia="zh-CN"/>
        </w:rPr>
        <w:t>4</w:t>
      </w:r>
      <w:r>
        <w:rPr>
          <w:rFonts w:hint="eastAsia" w:ascii="宋体" w:hAnsi="宋体"/>
          <w:color w:val="auto"/>
          <w:sz w:val="24"/>
          <w:szCs w:val="24"/>
        </w:rPr>
        <w:t>台，楼栋配电间（约</w:t>
      </w:r>
      <w:r>
        <w:rPr>
          <w:rFonts w:ascii="宋体" w:hAnsi="宋体"/>
          <w:color w:val="auto"/>
          <w:sz w:val="24"/>
          <w:szCs w:val="24"/>
        </w:rPr>
        <w:t>120</w:t>
      </w:r>
      <w:r>
        <w:rPr>
          <w:rFonts w:hint="eastAsia" w:ascii="宋体" w:hAnsi="宋体"/>
          <w:color w:val="auto"/>
          <w:sz w:val="24"/>
          <w:szCs w:val="24"/>
        </w:rPr>
        <w:t>间），各楼层配电箱。</w:t>
      </w:r>
    </w:p>
    <w:p>
      <w:pPr>
        <w:pStyle w:val="6"/>
        <w:numPr>
          <w:ilvl w:val="0"/>
          <w:numId w:val="1"/>
        </w:numPr>
        <w:spacing w:line="360" w:lineRule="auto"/>
        <w:ind w:firstLine="480" w:firstLineChars="200"/>
        <w:rPr>
          <w:rFonts w:ascii="宋体"/>
          <w:color w:val="auto"/>
          <w:sz w:val="24"/>
          <w:szCs w:val="24"/>
        </w:rPr>
      </w:pPr>
      <w:r>
        <w:rPr>
          <w:rFonts w:hint="eastAsia" w:ascii="宋体" w:hAnsi="宋体"/>
          <w:color w:val="auto"/>
          <w:sz w:val="24"/>
          <w:szCs w:val="24"/>
        </w:rPr>
        <w:t>开闭所：花津校区第</w:t>
      </w:r>
      <w:r>
        <w:rPr>
          <w:rFonts w:ascii="宋体" w:hAnsi="宋体"/>
          <w:color w:val="auto"/>
          <w:sz w:val="24"/>
          <w:szCs w:val="24"/>
        </w:rPr>
        <w:t>1</w:t>
      </w:r>
      <w:r>
        <w:rPr>
          <w:rFonts w:hint="eastAsia" w:ascii="宋体" w:hAnsi="宋体"/>
          <w:color w:val="auto"/>
          <w:sz w:val="24"/>
          <w:szCs w:val="24"/>
        </w:rPr>
        <w:t>开闭所，第</w:t>
      </w:r>
      <w:r>
        <w:rPr>
          <w:rFonts w:ascii="宋体" w:hAnsi="宋体"/>
          <w:color w:val="auto"/>
          <w:sz w:val="24"/>
          <w:szCs w:val="24"/>
        </w:rPr>
        <w:t>2</w:t>
      </w:r>
      <w:r>
        <w:rPr>
          <w:rFonts w:hint="eastAsia" w:ascii="宋体" w:hAnsi="宋体"/>
          <w:color w:val="auto"/>
          <w:sz w:val="24"/>
          <w:szCs w:val="24"/>
        </w:rPr>
        <w:t>开闭所，赭山校区高压电房；</w:t>
      </w:r>
    </w:p>
    <w:p>
      <w:pPr>
        <w:pStyle w:val="6"/>
        <w:numPr>
          <w:ilvl w:val="0"/>
          <w:numId w:val="1"/>
        </w:numPr>
        <w:spacing w:line="360" w:lineRule="auto"/>
        <w:ind w:firstLine="480" w:firstLineChars="200"/>
        <w:rPr>
          <w:rFonts w:ascii="宋体"/>
          <w:color w:val="auto"/>
          <w:sz w:val="24"/>
          <w:szCs w:val="24"/>
        </w:rPr>
      </w:pPr>
      <w:r>
        <w:rPr>
          <w:rFonts w:hint="eastAsia" w:ascii="宋体" w:hAnsi="宋体"/>
          <w:color w:val="auto"/>
          <w:sz w:val="24"/>
          <w:szCs w:val="24"/>
        </w:rPr>
        <w:t>环网柜：赭山校区</w:t>
      </w:r>
      <w:r>
        <w:rPr>
          <w:rFonts w:ascii="宋体" w:hAnsi="宋体"/>
          <w:color w:val="auto"/>
          <w:sz w:val="24"/>
          <w:szCs w:val="24"/>
        </w:rPr>
        <w:t>1</w:t>
      </w:r>
      <w:r>
        <w:rPr>
          <w:rFonts w:hint="eastAsia" w:ascii="宋体" w:hAnsi="宋体"/>
          <w:color w:val="auto"/>
          <w:sz w:val="24"/>
          <w:szCs w:val="24"/>
        </w:rPr>
        <w:t>、</w:t>
      </w:r>
      <w:r>
        <w:rPr>
          <w:rFonts w:ascii="宋体" w:hAnsi="宋体"/>
          <w:color w:val="auto"/>
          <w:sz w:val="24"/>
          <w:szCs w:val="24"/>
        </w:rPr>
        <w:t>2</w:t>
      </w:r>
      <w:r>
        <w:rPr>
          <w:rFonts w:hint="eastAsia" w:ascii="宋体" w:hAnsi="宋体"/>
          <w:color w:val="auto"/>
          <w:sz w:val="24"/>
          <w:szCs w:val="24"/>
        </w:rPr>
        <w:t>、</w:t>
      </w:r>
      <w:r>
        <w:rPr>
          <w:rFonts w:ascii="宋体" w:hAnsi="宋体"/>
          <w:color w:val="auto"/>
          <w:sz w:val="24"/>
          <w:szCs w:val="24"/>
        </w:rPr>
        <w:t>3#</w:t>
      </w:r>
      <w:r>
        <w:rPr>
          <w:rFonts w:hint="eastAsia" w:ascii="宋体" w:hAnsi="宋体"/>
          <w:color w:val="auto"/>
          <w:sz w:val="24"/>
          <w:szCs w:val="24"/>
        </w:rPr>
        <w:t>环网柜，花津校区新</w:t>
      </w:r>
      <w:r>
        <w:rPr>
          <w:rFonts w:ascii="宋体" w:hAnsi="宋体"/>
          <w:color w:val="auto"/>
          <w:sz w:val="24"/>
          <w:szCs w:val="24"/>
        </w:rPr>
        <w:t>1</w:t>
      </w:r>
      <w:r>
        <w:rPr>
          <w:rFonts w:hint="eastAsia" w:ascii="宋体" w:hAnsi="宋体"/>
          <w:color w:val="auto"/>
          <w:sz w:val="24"/>
          <w:szCs w:val="24"/>
        </w:rPr>
        <w:t>、</w:t>
      </w:r>
      <w:r>
        <w:rPr>
          <w:rFonts w:ascii="宋体" w:hAnsi="宋体"/>
          <w:color w:val="auto"/>
          <w:sz w:val="24"/>
          <w:szCs w:val="24"/>
        </w:rPr>
        <w:t>2</w:t>
      </w:r>
      <w:r>
        <w:rPr>
          <w:rFonts w:hint="eastAsia" w:ascii="宋体" w:hAnsi="宋体"/>
          <w:color w:val="auto"/>
          <w:sz w:val="24"/>
          <w:szCs w:val="24"/>
        </w:rPr>
        <w:t>、</w:t>
      </w:r>
      <w:r>
        <w:rPr>
          <w:rFonts w:ascii="宋体" w:hAnsi="宋体"/>
          <w:color w:val="auto"/>
          <w:sz w:val="24"/>
          <w:szCs w:val="24"/>
        </w:rPr>
        <w:t>3</w:t>
      </w:r>
      <w:r>
        <w:rPr>
          <w:rFonts w:hint="eastAsia" w:ascii="宋体" w:hAnsi="宋体"/>
          <w:color w:val="auto"/>
          <w:sz w:val="24"/>
          <w:szCs w:val="24"/>
        </w:rPr>
        <w:t>、</w:t>
      </w:r>
      <w:r>
        <w:rPr>
          <w:rFonts w:ascii="宋体" w:hAnsi="宋体"/>
          <w:color w:val="auto"/>
          <w:sz w:val="24"/>
          <w:szCs w:val="24"/>
        </w:rPr>
        <w:t>4</w:t>
      </w:r>
      <w:r>
        <w:rPr>
          <w:rFonts w:hint="eastAsia" w:ascii="宋体" w:hAnsi="宋体"/>
          <w:color w:val="auto"/>
          <w:sz w:val="24"/>
          <w:szCs w:val="24"/>
        </w:rPr>
        <w:t>、</w:t>
      </w:r>
      <w:r>
        <w:rPr>
          <w:rFonts w:ascii="宋体" w:hAnsi="宋体"/>
          <w:color w:val="auto"/>
          <w:sz w:val="24"/>
          <w:szCs w:val="24"/>
        </w:rPr>
        <w:t>5#</w:t>
      </w:r>
      <w:r>
        <w:rPr>
          <w:rFonts w:hint="eastAsia" w:ascii="宋体" w:hAnsi="宋体"/>
          <w:color w:val="auto"/>
          <w:sz w:val="24"/>
          <w:szCs w:val="24"/>
        </w:rPr>
        <w:t>环网柜等；</w:t>
      </w:r>
    </w:p>
    <w:p>
      <w:pPr>
        <w:pStyle w:val="6"/>
        <w:spacing w:line="360" w:lineRule="auto"/>
        <w:rPr>
          <w:rFonts w:ascii="宋体"/>
          <w:color w:val="auto"/>
          <w:sz w:val="24"/>
          <w:szCs w:val="24"/>
        </w:rPr>
      </w:pPr>
      <w:r>
        <w:rPr>
          <w:rFonts w:ascii="宋体" w:hAnsi="宋体"/>
          <w:color w:val="auto"/>
          <w:sz w:val="24"/>
          <w:szCs w:val="24"/>
        </w:rPr>
        <w:t xml:space="preserve">    3</w:t>
      </w:r>
      <w:r>
        <w:rPr>
          <w:rFonts w:hint="eastAsia" w:ascii="宋体" w:hAnsi="宋体"/>
          <w:color w:val="auto"/>
          <w:sz w:val="24"/>
          <w:szCs w:val="24"/>
        </w:rPr>
        <w:t>、箱变：赭山校区科技楼箱变，空调进高校箱变</w:t>
      </w:r>
      <w:r>
        <w:rPr>
          <w:rFonts w:ascii="宋体" w:hAnsi="宋体"/>
          <w:color w:val="auto"/>
          <w:sz w:val="24"/>
          <w:szCs w:val="24"/>
        </w:rPr>
        <w:t>1</w:t>
      </w:r>
      <w:r>
        <w:rPr>
          <w:rFonts w:hint="eastAsia" w:ascii="宋体" w:hAnsi="宋体"/>
          <w:color w:val="auto"/>
          <w:sz w:val="24"/>
          <w:szCs w:val="24"/>
        </w:rPr>
        <w:t>、</w:t>
      </w:r>
      <w:r>
        <w:rPr>
          <w:rFonts w:ascii="宋体" w:hAnsi="宋体"/>
          <w:color w:val="auto"/>
          <w:sz w:val="24"/>
          <w:szCs w:val="24"/>
        </w:rPr>
        <w:t>2</w:t>
      </w:r>
      <w:r>
        <w:rPr>
          <w:rFonts w:hint="eastAsia" w:ascii="宋体" w:hAnsi="宋体"/>
          <w:color w:val="auto"/>
          <w:sz w:val="24"/>
          <w:szCs w:val="24"/>
        </w:rPr>
        <w:t>、</w:t>
      </w:r>
      <w:r>
        <w:rPr>
          <w:rFonts w:ascii="宋体" w:hAnsi="宋体"/>
          <w:color w:val="auto"/>
          <w:sz w:val="24"/>
          <w:szCs w:val="24"/>
        </w:rPr>
        <w:t>3</w:t>
      </w:r>
      <w:r>
        <w:rPr>
          <w:rFonts w:hint="eastAsia" w:ascii="宋体" w:hAnsi="宋体"/>
          <w:color w:val="auto"/>
          <w:sz w:val="24"/>
          <w:szCs w:val="24"/>
        </w:rPr>
        <w:t>、</w:t>
      </w:r>
      <w:r>
        <w:rPr>
          <w:rFonts w:ascii="宋体" w:hAnsi="宋体"/>
          <w:color w:val="auto"/>
          <w:sz w:val="24"/>
          <w:szCs w:val="24"/>
        </w:rPr>
        <w:t>4#</w:t>
      </w:r>
      <w:r>
        <w:rPr>
          <w:rFonts w:hint="eastAsia" w:ascii="宋体" w:hAnsi="宋体"/>
          <w:color w:val="auto"/>
          <w:sz w:val="24"/>
          <w:szCs w:val="24"/>
        </w:rPr>
        <w:t>，花津校区新建</w:t>
      </w:r>
      <w:r>
        <w:rPr>
          <w:rFonts w:ascii="宋体" w:hAnsi="宋体"/>
          <w:color w:val="auto"/>
          <w:sz w:val="24"/>
          <w:szCs w:val="24"/>
        </w:rPr>
        <w:t>1</w:t>
      </w:r>
      <w:r>
        <w:rPr>
          <w:rFonts w:hint="eastAsia" w:ascii="宋体" w:hAnsi="宋体"/>
          <w:color w:val="auto"/>
          <w:sz w:val="24"/>
          <w:szCs w:val="24"/>
        </w:rPr>
        <w:t>、</w:t>
      </w:r>
      <w:r>
        <w:rPr>
          <w:rFonts w:ascii="宋体" w:hAnsi="宋体"/>
          <w:color w:val="auto"/>
          <w:sz w:val="24"/>
          <w:szCs w:val="24"/>
        </w:rPr>
        <w:t>2</w:t>
      </w:r>
      <w:r>
        <w:rPr>
          <w:rFonts w:hint="eastAsia" w:ascii="宋体" w:hAnsi="宋体"/>
          <w:color w:val="auto"/>
          <w:sz w:val="24"/>
          <w:szCs w:val="24"/>
        </w:rPr>
        <w:t>、</w:t>
      </w:r>
      <w:r>
        <w:rPr>
          <w:rFonts w:ascii="宋体" w:hAnsi="宋体"/>
          <w:color w:val="auto"/>
          <w:sz w:val="24"/>
          <w:szCs w:val="24"/>
        </w:rPr>
        <w:t>3</w:t>
      </w:r>
      <w:r>
        <w:rPr>
          <w:rFonts w:hint="eastAsia" w:ascii="宋体" w:hAnsi="宋体"/>
          <w:color w:val="auto"/>
          <w:sz w:val="24"/>
          <w:szCs w:val="24"/>
        </w:rPr>
        <w:t>、</w:t>
      </w:r>
      <w:r>
        <w:rPr>
          <w:rFonts w:ascii="宋体" w:hAnsi="宋体"/>
          <w:color w:val="auto"/>
          <w:sz w:val="24"/>
          <w:szCs w:val="24"/>
        </w:rPr>
        <w:t>4</w:t>
      </w:r>
      <w:r>
        <w:rPr>
          <w:rFonts w:hint="eastAsia" w:ascii="宋体" w:hAnsi="宋体"/>
          <w:color w:val="auto"/>
          <w:sz w:val="24"/>
          <w:szCs w:val="24"/>
        </w:rPr>
        <w:t>、</w:t>
      </w:r>
      <w:r>
        <w:rPr>
          <w:rFonts w:ascii="宋体" w:hAnsi="宋体"/>
          <w:color w:val="auto"/>
          <w:sz w:val="24"/>
          <w:szCs w:val="24"/>
        </w:rPr>
        <w:t>5</w:t>
      </w:r>
      <w:r>
        <w:rPr>
          <w:rFonts w:hint="eastAsia" w:ascii="宋体" w:hAnsi="宋体"/>
          <w:color w:val="auto"/>
          <w:sz w:val="24"/>
          <w:szCs w:val="24"/>
        </w:rPr>
        <w:t>、</w:t>
      </w:r>
      <w:r>
        <w:rPr>
          <w:rFonts w:ascii="宋体" w:hAnsi="宋体"/>
          <w:color w:val="auto"/>
          <w:sz w:val="24"/>
          <w:szCs w:val="24"/>
        </w:rPr>
        <w:t>6</w:t>
      </w:r>
      <w:r>
        <w:rPr>
          <w:rFonts w:hint="eastAsia" w:ascii="宋体" w:hAnsi="宋体"/>
          <w:color w:val="auto"/>
          <w:sz w:val="24"/>
          <w:szCs w:val="24"/>
        </w:rPr>
        <w:t>、</w:t>
      </w:r>
      <w:r>
        <w:rPr>
          <w:rFonts w:ascii="宋体" w:hAnsi="宋体"/>
          <w:color w:val="auto"/>
          <w:sz w:val="24"/>
          <w:szCs w:val="24"/>
        </w:rPr>
        <w:t>7</w:t>
      </w:r>
      <w:r>
        <w:rPr>
          <w:rFonts w:hint="eastAsia" w:ascii="宋体" w:hAnsi="宋体"/>
          <w:color w:val="auto"/>
          <w:sz w:val="24"/>
          <w:szCs w:val="24"/>
        </w:rPr>
        <w:t>、</w:t>
      </w:r>
      <w:r>
        <w:rPr>
          <w:rFonts w:ascii="宋体" w:hAnsi="宋体"/>
          <w:color w:val="auto"/>
          <w:sz w:val="24"/>
          <w:szCs w:val="24"/>
        </w:rPr>
        <w:t>8</w:t>
      </w:r>
      <w:r>
        <w:rPr>
          <w:rFonts w:hint="eastAsia" w:ascii="宋体" w:hAnsi="宋体"/>
          <w:color w:val="auto"/>
          <w:sz w:val="24"/>
          <w:szCs w:val="24"/>
        </w:rPr>
        <w:t>、</w:t>
      </w:r>
      <w:r>
        <w:rPr>
          <w:rFonts w:ascii="宋体" w:hAnsi="宋体"/>
          <w:color w:val="auto"/>
          <w:sz w:val="24"/>
          <w:szCs w:val="24"/>
        </w:rPr>
        <w:t>9</w:t>
      </w:r>
      <w:r>
        <w:rPr>
          <w:rFonts w:hint="eastAsia" w:ascii="宋体" w:hAnsi="宋体"/>
          <w:color w:val="auto"/>
          <w:sz w:val="24"/>
          <w:szCs w:val="24"/>
        </w:rPr>
        <w:t>、</w:t>
      </w:r>
      <w:r>
        <w:rPr>
          <w:rFonts w:ascii="宋体" w:hAnsi="宋体"/>
          <w:color w:val="auto"/>
          <w:sz w:val="24"/>
          <w:szCs w:val="24"/>
        </w:rPr>
        <w:t>10</w:t>
      </w:r>
      <w:r>
        <w:rPr>
          <w:rFonts w:hint="eastAsia" w:ascii="宋体" w:hAnsi="宋体"/>
          <w:color w:val="auto"/>
          <w:sz w:val="24"/>
          <w:szCs w:val="24"/>
        </w:rPr>
        <w:t>、</w:t>
      </w:r>
      <w:r>
        <w:rPr>
          <w:rFonts w:ascii="宋体" w:hAnsi="宋体"/>
          <w:color w:val="auto"/>
          <w:sz w:val="24"/>
          <w:szCs w:val="24"/>
        </w:rPr>
        <w:t>11</w:t>
      </w:r>
      <w:r>
        <w:rPr>
          <w:rFonts w:hint="eastAsia" w:ascii="宋体" w:hAnsi="宋体"/>
          <w:color w:val="auto"/>
          <w:sz w:val="24"/>
          <w:szCs w:val="24"/>
        </w:rPr>
        <w:t>、</w:t>
      </w:r>
      <w:r>
        <w:rPr>
          <w:rFonts w:ascii="宋体" w:hAnsi="宋体"/>
          <w:color w:val="auto"/>
          <w:sz w:val="24"/>
          <w:szCs w:val="24"/>
        </w:rPr>
        <w:t>12</w:t>
      </w:r>
      <w:r>
        <w:rPr>
          <w:rFonts w:hint="eastAsia" w:ascii="宋体" w:hAnsi="宋体"/>
          <w:color w:val="auto"/>
          <w:sz w:val="24"/>
          <w:szCs w:val="24"/>
        </w:rPr>
        <w:t>、</w:t>
      </w:r>
      <w:r>
        <w:rPr>
          <w:rFonts w:ascii="宋体" w:hAnsi="宋体"/>
          <w:color w:val="auto"/>
          <w:sz w:val="24"/>
          <w:szCs w:val="24"/>
        </w:rPr>
        <w:t>13#</w:t>
      </w:r>
      <w:r>
        <w:rPr>
          <w:rFonts w:hint="eastAsia" w:ascii="宋体" w:hAnsi="宋体"/>
          <w:color w:val="auto"/>
          <w:sz w:val="24"/>
          <w:szCs w:val="24"/>
        </w:rPr>
        <w:t>箱变等；</w:t>
      </w:r>
      <w:r>
        <w:rPr>
          <w:rFonts w:ascii="宋体" w:hAnsi="宋体"/>
          <w:color w:val="auto"/>
          <w:sz w:val="24"/>
          <w:szCs w:val="24"/>
        </w:rPr>
        <w:t xml:space="preserve">                                                                                                                                                            </w:t>
      </w:r>
    </w:p>
    <w:p>
      <w:pPr>
        <w:pStyle w:val="6"/>
        <w:numPr>
          <w:ilvl w:val="0"/>
          <w:numId w:val="2"/>
        </w:numPr>
        <w:spacing w:line="360" w:lineRule="auto"/>
        <w:ind w:firstLine="480" w:firstLineChars="200"/>
        <w:rPr>
          <w:rFonts w:ascii="宋体"/>
          <w:color w:val="auto"/>
          <w:sz w:val="24"/>
          <w:szCs w:val="24"/>
        </w:rPr>
      </w:pPr>
      <w:r>
        <w:rPr>
          <w:rFonts w:hint="eastAsia" w:ascii="宋体" w:hAnsi="宋体"/>
          <w:color w:val="auto"/>
          <w:sz w:val="24"/>
          <w:szCs w:val="24"/>
        </w:rPr>
        <w:t>楼栋变配电房：赭山校区田楼电房，花津校区图书馆电房，学苑</w:t>
      </w:r>
      <w:r>
        <w:rPr>
          <w:rFonts w:ascii="宋体" w:hAnsi="宋体"/>
          <w:color w:val="auto"/>
          <w:sz w:val="24"/>
          <w:szCs w:val="24"/>
        </w:rPr>
        <w:t>3</w:t>
      </w:r>
      <w:r>
        <w:rPr>
          <w:rFonts w:hint="eastAsia" w:ascii="宋体" w:hAnsi="宋体"/>
          <w:color w:val="auto"/>
          <w:sz w:val="24"/>
          <w:szCs w:val="24"/>
        </w:rPr>
        <w:t>、</w:t>
      </w:r>
      <w:r>
        <w:rPr>
          <w:rFonts w:ascii="宋体" w:hAnsi="宋体"/>
          <w:color w:val="auto"/>
          <w:sz w:val="24"/>
          <w:szCs w:val="24"/>
        </w:rPr>
        <w:t>5</w:t>
      </w:r>
      <w:r>
        <w:rPr>
          <w:rFonts w:hint="eastAsia" w:ascii="宋体" w:hAnsi="宋体"/>
          <w:color w:val="auto"/>
          <w:sz w:val="24"/>
          <w:szCs w:val="24"/>
        </w:rPr>
        <w:t>、</w:t>
      </w:r>
      <w:r>
        <w:rPr>
          <w:rFonts w:ascii="宋体" w:hAnsi="宋体"/>
          <w:color w:val="auto"/>
          <w:sz w:val="24"/>
          <w:szCs w:val="24"/>
        </w:rPr>
        <w:t>8#</w:t>
      </w:r>
      <w:r>
        <w:rPr>
          <w:rFonts w:hint="eastAsia" w:ascii="宋体" w:hAnsi="宋体"/>
          <w:color w:val="auto"/>
          <w:sz w:val="24"/>
          <w:szCs w:val="24"/>
        </w:rPr>
        <w:t>楼电房，第一、二开闭所低压配电房等；</w:t>
      </w:r>
    </w:p>
    <w:p>
      <w:pPr>
        <w:pStyle w:val="6"/>
        <w:numPr>
          <w:ilvl w:val="0"/>
          <w:numId w:val="2"/>
        </w:numPr>
        <w:spacing w:line="360" w:lineRule="auto"/>
        <w:ind w:firstLine="480" w:firstLineChars="200"/>
        <w:rPr>
          <w:rFonts w:ascii="宋体"/>
          <w:color w:val="auto"/>
          <w:sz w:val="24"/>
          <w:szCs w:val="24"/>
        </w:rPr>
      </w:pPr>
      <w:r>
        <w:rPr>
          <w:rFonts w:hint="eastAsia" w:ascii="宋体" w:hAnsi="宋体"/>
          <w:color w:val="auto"/>
          <w:sz w:val="24"/>
          <w:szCs w:val="24"/>
        </w:rPr>
        <w:t>楼栋配电间：约</w:t>
      </w:r>
      <w:r>
        <w:rPr>
          <w:rFonts w:hint="eastAsia" w:ascii="宋体" w:hAnsi="宋体"/>
          <w:color w:val="auto"/>
          <w:sz w:val="24"/>
          <w:szCs w:val="24"/>
          <w:lang w:val="en-US" w:eastAsia="zh-CN"/>
        </w:rPr>
        <w:t>20</w:t>
      </w:r>
      <w:r>
        <w:rPr>
          <w:rFonts w:ascii="宋体" w:hAnsi="宋体"/>
          <w:color w:val="auto"/>
          <w:sz w:val="24"/>
          <w:szCs w:val="24"/>
        </w:rPr>
        <w:t>0</w:t>
      </w:r>
      <w:r>
        <w:rPr>
          <w:rFonts w:hint="eastAsia" w:ascii="宋体" w:hAnsi="宋体"/>
          <w:color w:val="auto"/>
          <w:sz w:val="24"/>
          <w:szCs w:val="24"/>
          <w:lang w:val="en-US" w:eastAsia="zh-CN"/>
        </w:rPr>
        <w:t>间</w:t>
      </w:r>
      <w:r>
        <w:rPr>
          <w:rFonts w:hint="eastAsia" w:ascii="宋体" w:hAnsi="宋体"/>
          <w:color w:val="auto"/>
          <w:sz w:val="24"/>
          <w:szCs w:val="24"/>
        </w:rPr>
        <w:t>；</w:t>
      </w:r>
    </w:p>
    <w:p>
      <w:pPr>
        <w:pStyle w:val="6"/>
        <w:numPr>
          <w:ilvl w:val="0"/>
          <w:numId w:val="2"/>
        </w:numPr>
        <w:spacing w:line="360" w:lineRule="auto"/>
        <w:ind w:firstLine="480" w:firstLineChars="200"/>
        <w:rPr>
          <w:rFonts w:ascii="宋体"/>
          <w:color w:val="auto"/>
          <w:sz w:val="24"/>
          <w:szCs w:val="24"/>
        </w:rPr>
      </w:pPr>
      <w:r>
        <w:rPr>
          <w:rFonts w:hint="eastAsia" w:ascii="宋体" w:hAnsi="宋体"/>
          <w:color w:val="auto"/>
          <w:sz w:val="24"/>
          <w:szCs w:val="24"/>
        </w:rPr>
        <w:t>各楼层配电箱；</w:t>
      </w:r>
    </w:p>
    <w:p>
      <w:pPr>
        <w:pStyle w:val="6"/>
        <w:spacing w:line="360" w:lineRule="auto"/>
        <w:ind w:firstLine="480" w:firstLineChars="200"/>
        <w:rPr>
          <w:rFonts w:ascii="宋体"/>
          <w:color w:val="auto"/>
          <w:sz w:val="24"/>
          <w:szCs w:val="24"/>
        </w:rPr>
      </w:pPr>
      <w:r>
        <w:rPr>
          <w:rFonts w:ascii="宋体" w:hAnsi="宋体"/>
          <w:color w:val="auto"/>
          <w:sz w:val="24"/>
          <w:szCs w:val="24"/>
        </w:rPr>
        <w:t>7</w:t>
      </w:r>
      <w:r>
        <w:rPr>
          <w:rFonts w:hint="eastAsia" w:ascii="宋体" w:hAnsi="宋体"/>
          <w:color w:val="auto"/>
          <w:sz w:val="24"/>
          <w:szCs w:val="24"/>
        </w:rPr>
        <w:t>、所有室外分支箱、接线柜；</w:t>
      </w:r>
    </w:p>
    <w:p>
      <w:pPr>
        <w:pStyle w:val="6"/>
        <w:spacing w:line="360" w:lineRule="auto"/>
        <w:ind w:firstLine="480" w:firstLineChars="200"/>
        <w:rPr>
          <w:rFonts w:ascii="宋体" w:hAnsi="宋体"/>
          <w:color w:val="auto"/>
          <w:sz w:val="24"/>
          <w:szCs w:val="24"/>
        </w:rPr>
      </w:pPr>
      <w:r>
        <w:rPr>
          <w:rFonts w:ascii="宋体" w:hAnsi="宋体"/>
          <w:color w:val="auto"/>
          <w:sz w:val="24"/>
          <w:szCs w:val="24"/>
        </w:rPr>
        <w:t>8</w:t>
      </w:r>
      <w:r>
        <w:rPr>
          <w:rFonts w:hint="eastAsia" w:ascii="宋体" w:hAnsi="宋体"/>
          <w:color w:val="auto"/>
          <w:sz w:val="24"/>
          <w:szCs w:val="24"/>
        </w:rPr>
        <w:t>、校园高低压供电线路；</w:t>
      </w:r>
    </w:p>
    <w:p>
      <w:pPr>
        <w:pStyle w:val="6"/>
        <w:spacing w:line="360" w:lineRule="auto"/>
        <w:ind w:firstLine="480" w:firstLineChars="200"/>
        <w:rPr>
          <w:rFonts w:ascii="宋体" w:hAnsi="宋体"/>
          <w:color w:val="auto"/>
          <w:sz w:val="24"/>
          <w:szCs w:val="24"/>
        </w:rPr>
      </w:pPr>
      <w:r>
        <w:rPr>
          <w:rFonts w:hint="eastAsia" w:ascii="宋体" w:hAnsi="宋体"/>
          <w:color w:val="auto"/>
          <w:sz w:val="24"/>
          <w:szCs w:val="24"/>
        </w:rPr>
        <w:t>9、校园电力走向及分布如下：</w:t>
      </w:r>
    </w:p>
    <w:p>
      <w:pPr>
        <w:pStyle w:val="6"/>
        <w:spacing w:line="360" w:lineRule="auto"/>
        <w:jc w:val="center"/>
        <w:rPr>
          <w:rFonts w:ascii="宋体"/>
          <w:color w:val="auto"/>
          <w:sz w:val="24"/>
          <w:szCs w:val="24"/>
        </w:rPr>
      </w:pPr>
      <w:r>
        <w:rPr>
          <w:rFonts w:hint="eastAsia" w:ascii="宋体" w:hAnsi="宋体"/>
          <w:color w:val="auto"/>
          <w:sz w:val="24"/>
          <w:szCs w:val="24"/>
        </w:rPr>
        <w:t>表</w:t>
      </w:r>
      <w:r>
        <w:rPr>
          <w:rFonts w:ascii="宋体" w:hAnsi="宋体"/>
          <w:color w:val="auto"/>
          <w:sz w:val="24"/>
          <w:szCs w:val="24"/>
        </w:rPr>
        <w:t xml:space="preserve">1 </w:t>
      </w:r>
      <w:r>
        <w:rPr>
          <w:rFonts w:hint="eastAsia" w:ascii="宋体" w:hAnsi="宋体"/>
          <w:color w:val="auto"/>
          <w:sz w:val="24"/>
          <w:szCs w:val="24"/>
        </w:rPr>
        <w:t>双电源赭山校区山上电房供电范围</w:t>
      </w:r>
    </w:p>
    <w:tbl>
      <w:tblPr>
        <w:tblStyle w:val="4"/>
        <w:tblW w:w="8630"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2444"/>
        <w:gridCol w:w="3833"/>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07"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序号</w:t>
            </w:r>
          </w:p>
        </w:tc>
        <w:tc>
          <w:tcPr>
            <w:tcW w:w="2444"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配电房（箱变）</w:t>
            </w:r>
          </w:p>
        </w:tc>
        <w:tc>
          <w:tcPr>
            <w:tcW w:w="3833"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供电区域</w:t>
            </w:r>
          </w:p>
        </w:tc>
        <w:tc>
          <w:tcPr>
            <w:tcW w:w="1546"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电房位置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07" w:type="dxa"/>
            <w:noWrap w:val="0"/>
            <w:vAlign w:val="top"/>
          </w:tcPr>
          <w:p>
            <w:pPr>
              <w:pStyle w:val="6"/>
              <w:spacing w:line="360" w:lineRule="auto"/>
              <w:rPr>
                <w:rFonts w:ascii="宋体" w:hAnsi="宋体"/>
                <w:color w:val="auto"/>
                <w:sz w:val="24"/>
                <w:szCs w:val="24"/>
              </w:rPr>
            </w:pPr>
            <w:r>
              <w:rPr>
                <w:rFonts w:ascii="宋体" w:hAnsi="宋体"/>
                <w:color w:val="auto"/>
                <w:sz w:val="24"/>
                <w:szCs w:val="24"/>
              </w:rPr>
              <w:t>1</w:t>
            </w:r>
          </w:p>
        </w:tc>
        <w:tc>
          <w:tcPr>
            <w:tcW w:w="2444" w:type="dxa"/>
            <w:noWrap w:val="0"/>
            <w:vAlign w:val="top"/>
          </w:tcPr>
          <w:p>
            <w:pPr>
              <w:pStyle w:val="6"/>
              <w:rPr>
                <w:rFonts w:ascii="宋体"/>
                <w:color w:val="auto"/>
                <w:sz w:val="24"/>
                <w:szCs w:val="24"/>
              </w:rPr>
            </w:pPr>
            <w:r>
              <w:rPr>
                <w:rFonts w:hint="eastAsia" w:ascii="宋体" w:hAnsi="宋体"/>
                <w:color w:val="auto"/>
                <w:sz w:val="24"/>
                <w:szCs w:val="24"/>
              </w:rPr>
              <w:t>赭山校区山上电房</w:t>
            </w:r>
          </w:p>
        </w:tc>
        <w:tc>
          <w:tcPr>
            <w:tcW w:w="3833" w:type="dxa"/>
            <w:noWrap w:val="0"/>
            <w:vAlign w:val="top"/>
          </w:tcPr>
          <w:p>
            <w:pPr>
              <w:pStyle w:val="6"/>
              <w:rPr>
                <w:rFonts w:ascii="宋体"/>
                <w:color w:val="auto"/>
                <w:sz w:val="24"/>
                <w:szCs w:val="24"/>
              </w:rPr>
            </w:pPr>
            <w:r>
              <w:rPr>
                <w:rFonts w:hint="eastAsia" w:ascii="宋体" w:hAnsi="宋体"/>
                <w:color w:val="auto"/>
                <w:sz w:val="24"/>
                <w:szCs w:val="24"/>
              </w:rPr>
              <w:t>赭山校区校园内所有电力</w:t>
            </w:r>
          </w:p>
        </w:tc>
        <w:tc>
          <w:tcPr>
            <w:tcW w:w="1546" w:type="dxa"/>
            <w:noWrap w:val="0"/>
            <w:vAlign w:val="top"/>
          </w:tcPr>
          <w:p>
            <w:pPr>
              <w:pStyle w:val="6"/>
              <w:rPr>
                <w:rFonts w:ascii="宋体"/>
                <w:color w:val="auto"/>
                <w:sz w:val="24"/>
                <w:szCs w:val="24"/>
              </w:rPr>
            </w:pPr>
            <w:r>
              <w:rPr>
                <w:rFonts w:hint="eastAsia" w:ascii="宋体" w:hAnsi="宋体"/>
                <w:color w:val="auto"/>
                <w:sz w:val="24"/>
                <w:szCs w:val="24"/>
              </w:rPr>
              <w:t>赭山校区教育基金会旁</w:t>
            </w:r>
          </w:p>
        </w:tc>
      </w:tr>
    </w:tbl>
    <w:p>
      <w:pPr>
        <w:pStyle w:val="6"/>
        <w:spacing w:line="360" w:lineRule="auto"/>
        <w:jc w:val="center"/>
        <w:rPr>
          <w:rFonts w:ascii="宋体"/>
          <w:color w:val="auto"/>
          <w:sz w:val="24"/>
          <w:szCs w:val="24"/>
        </w:rPr>
      </w:pPr>
      <w:r>
        <w:rPr>
          <w:rFonts w:hint="eastAsia" w:ascii="宋体" w:hAnsi="宋体"/>
          <w:color w:val="auto"/>
          <w:sz w:val="24"/>
          <w:szCs w:val="24"/>
        </w:rPr>
        <w:t>表</w:t>
      </w:r>
      <w:r>
        <w:rPr>
          <w:rFonts w:ascii="宋体" w:hAnsi="宋体"/>
          <w:color w:val="auto"/>
          <w:sz w:val="24"/>
          <w:szCs w:val="24"/>
        </w:rPr>
        <w:t xml:space="preserve">2 </w:t>
      </w:r>
      <w:r>
        <w:rPr>
          <w:rFonts w:hint="eastAsia" w:ascii="宋体" w:hAnsi="宋体"/>
          <w:color w:val="auto"/>
          <w:sz w:val="24"/>
          <w:szCs w:val="24"/>
        </w:rPr>
        <w:t>双电源花津校区第</w:t>
      </w:r>
      <w:r>
        <w:rPr>
          <w:rFonts w:ascii="宋体" w:hAnsi="宋体"/>
          <w:color w:val="auto"/>
          <w:sz w:val="24"/>
          <w:szCs w:val="24"/>
        </w:rPr>
        <w:t>1</w:t>
      </w:r>
      <w:r>
        <w:rPr>
          <w:rFonts w:hint="eastAsia" w:ascii="宋体" w:hAnsi="宋体"/>
          <w:color w:val="auto"/>
          <w:sz w:val="24"/>
          <w:szCs w:val="24"/>
        </w:rPr>
        <w:t>开闭所供电范围</w:t>
      </w:r>
    </w:p>
    <w:tbl>
      <w:tblPr>
        <w:tblStyle w:val="4"/>
        <w:tblW w:w="8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438"/>
        <w:gridCol w:w="3812"/>
        <w:gridCol w:w="1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序号</w:t>
            </w:r>
          </w:p>
        </w:tc>
        <w:tc>
          <w:tcPr>
            <w:tcW w:w="2438"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配电房（箱变）</w:t>
            </w:r>
          </w:p>
        </w:tc>
        <w:tc>
          <w:tcPr>
            <w:tcW w:w="3812"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供电区域</w:t>
            </w:r>
          </w:p>
        </w:tc>
        <w:tc>
          <w:tcPr>
            <w:tcW w:w="1550"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电房位置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trPr>
        <w:tc>
          <w:tcPr>
            <w:tcW w:w="825" w:type="dxa"/>
            <w:noWrap w:val="0"/>
            <w:vAlign w:val="top"/>
          </w:tcPr>
          <w:p>
            <w:pPr>
              <w:pStyle w:val="6"/>
              <w:spacing w:line="360" w:lineRule="auto"/>
              <w:jc w:val="center"/>
              <w:rPr>
                <w:rFonts w:ascii="宋体"/>
                <w:color w:val="auto"/>
                <w:sz w:val="24"/>
                <w:szCs w:val="24"/>
              </w:rPr>
            </w:pPr>
            <w:r>
              <w:rPr>
                <w:rFonts w:ascii="宋体" w:hAnsi="宋体"/>
                <w:color w:val="auto"/>
                <w:sz w:val="24"/>
                <w:szCs w:val="24"/>
              </w:rPr>
              <w:t>1</w:t>
            </w:r>
          </w:p>
        </w:tc>
        <w:tc>
          <w:tcPr>
            <w:tcW w:w="2438" w:type="dxa"/>
            <w:noWrap w:val="0"/>
            <w:vAlign w:val="top"/>
          </w:tcPr>
          <w:p>
            <w:pPr>
              <w:pStyle w:val="6"/>
              <w:spacing w:line="360" w:lineRule="auto"/>
              <w:rPr>
                <w:rFonts w:ascii="宋体"/>
                <w:color w:val="auto"/>
                <w:sz w:val="24"/>
                <w:szCs w:val="24"/>
              </w:rPr>
            </w:pPr>
            <w:r>
              <w:rPr>
                <w:rFonts w:hint="eastAsia" w:ascii="宋体" w:hAnsi="宋体"/>
                <w:color w:val="auto"/>
                <w:sz w:val="24"/>
                <w:szCs w:val="24"/>
              </w:rPr>
              <w:t>花津校区第</w:t>
            </w:r>
            <w:r>
              <w:rPr>
                <w:rFonts w:ascii="宋体" w:hAnsi="宋体"/>
                <w:color w:val="auto"/>
                <w:sz w:val="24"/>
                <w:szCs w:val="24"/>
              </w:rPr>
              <w:t>1</w:t>
            </w:r>
            <w:r>
              <w:rPr>
                <w:rFonts w:hint="eastAsia" w:ascii="宋体" w:hAnsi="宋体"/>
                <w:color w:val="auto"/>
                <w:sz w:val="24"/>
                <w:szCs w:val="24"/>
              </w:rPr>
              <w:t>开闭所</w:t>
            </w:r>
          </w:p>
        </w:tc>
        <w:tc>
          <w:tcPr>
            <w:tcW w:w="3812" w:type="dxa"/>
            <w:noWrap w:val="0"/>
            <w:vAlign w:val="top"/>
          </w:tcPr>
          <w:p>
            <w:pPr>
              <w:pStyle w:val="6"/>
              <w:rPr>
                <w:rFonts w:ascii="宋体"/>
                <w:color w:val="auto"/>
                <w:sz w:val="24"/>
                <w:szCs w:val="24"/>
              </w:rPr>
            </w:pPr>
            <w:r>
              <w:rPr>
                <w:rFonts w:hint="eastAsia" w:ascii="宋体" w:hAnsi="宋体"/>
                <w:color w:val="auto"/>
                <w:sz w:val="24"/>
                <w:szCs w:val="24"/>
              </w:rPr>
              <w:t>花津校区学生公寓春华园、夏沁园、秋实园</w:t>
            </w:r>
            <w:r>
              <w:rPr>
                <w:rFonts w:ascii="宋体" w:hAnsi="宋体"/>
                <w:color w:val="auto"/>
                <w:sz w:val="24"/>
                <w:szCs w:val="24"/>
              </w:rPr>
              <w:t>29-</w:t>
            </w:r>
            <w:r>
              <w:rPr>
                <w:rFonts w:hint="eastAsia" w:ascii="宋体" w:hAnsi="宋体"/>
                <w:color w:val="auto"/>
                <w:sz w:val="24"/>
                <w:szCs w:val="24"/>
              </w:rPr>
              <w:t>41/43/44号楼、学生一食堂、一洗浴中心、大礼堂、大学生活动中心、学生二食堂、二洗浴中心、校医院、南体、行知楼、学院南楼、美术学院楼。</w:t>
            </w:r>
          </w:p>
        </w:tc>
        <w:tc>
          <w:tcPr>
            <w:tcW w:w="1550" w:type="dxa"/>
            <w:noWrap w:val="0"/>
            <w:vAlign w:val="top"/>
          </w:tcPr>
          <w:p>
            <w:pPr>
              <w:pStyle w:val="6"/>
              <w:spacing w:line="360" w:lineRule="auto"/>
              <w:rPr>
                <w:rFonts w:ascii="宋体"/>
                <w:color w:val="auto"/>
                <w:sz w:val="24"/>
                <w:szCs w:val="24"/>
              </w:rPr>
            </w:pPr>
            <w:r>
              <w:rPr>
                <w:rFonts w:hint="eastAsia" w:ascii="宋体" w:hAnsi="宋体"/>
                <w:color w:val="auto"/>
                <w:sz w:val="24"/>
                <w:szCs w:val="24"/>
              </w:rPr>
              <w:t>校医院对面</w:t>
            </w:r>
          </w:p>
        </w:tc>
      </w:tr>
    </w:tbl>
    <w:p>
      <w:pPr>
        <w:pStyle w:val="6"/>
        <w:spacing w:line="360" w:lineRule="auto"/>
        <w:jc w:val="center"/>
        <w:rPr>
          <w:rFonts w:ascii="宋体"/>
          <w:color w:val="auto"/>
          <w:sz w:val="24"/>
          <w:szCs w:val="24"/>
        </w:rPr>
      </w:pPr>
      <w:r>
        <w:rPr>
          <w:rFonts w:hint="eastAsia" w:ascii="宋体" w:hAnsi="宋体"/>
          <w:color w:val="auto"/>
          <w:sz w:val="24"/>
          <w:szCs w:val="24"/>
        </w:rPr>
        <w:t>表</w:t>
      </w:r>
      <w:r>
        <w:rPr>
          <w:rFonts w:ascii="宋体" w:hAnsi="宋体"/>
          <w:color w:val="auto"/>
          <w:sz w:val="24"/>
          <w:szCs w:val="24"/>
        </w:rPr>
        <w:t>3</w:t>
      </w:r>
      <w:r>
        <w:rPr>
          <w:rFonts w:hint="eastAsia" w:ascii="宋体" w:hAnsi="宋体"/>
          <w:color w:val="auto"/>
          <w:sz w:val="24"/>
          <w:szCs w:val="24"/>
        </w:rPr>
        <w:t>　双电源花津校区第</w:t>
      </w:r>
      <w:r>
        <w:rPr>
          <w:rFonts w:ascii="宋体" w:hAnsi="宋体"/>
          <w:color w:val="auto"/>
          <w:sz w:val="24"/>
          <w:szCs w:val="24"/>
        </w:rPr>
        <w:t>2</w:t>
      </w:r>
      <w:r>
        <w:rPr>
          <w:rFonts w:hint="eastAsia" w:ascii="宋体" w:hAnsi="宋体"/>
          <w:color w:val="auto"/>
          <w:sz w:val="24"/>
          <w:szCs w:val="24"/>
        </w:rPr>
        <w:t>开闭所供电范围</w:t>
      </w:r>
    </w:p>
    <w:tbl>
      <w:tblPr>
        <w:tblStyle w:val="4"/>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415"/>
        <w:gridCol w:w="3844"/>
        <w:gridCol w:w="1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序号</w:t>
            </w:r>
          </w:p>
        </w:tc>
        <w:tc>
          <w:tcPr>
            <w:tcW w:w="2415"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配电房（箱变）</w:t>
            </w:r>
          </w:p>
        </w:tc>
        <w:tc>
          <w:tcPr>
            <w:tcW w:w="3844"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供电区域</w:t>
            </w:r>
          </w:p>
        </w:tc>
        <w:tc>
          <w:tcPr>
            <w:tcW w:w="1537" w:type="dxa"/>
            <w:noWrap w:val="0"/>
            <w:vAlign w:val="top"/>
          </w:tcPr>
          <w:p>
            <w:pPr>
              <w:pStyle w:val="6"/>
              <w:spacing w:line="360" w:lineRule="auto"/>
              <w:jc w:val="center"/>
              <w:rPr>
                <w:rFonts w:ascii="宋体"/>
                <w:color w:val="auto"/>
                <w:sz w:val="24"/>
                <w:szCs w:val="24"/>
              </w:rPr>
            </w:pPr>
            <w:r>
              <w:rPr>
                <w:rFonts w:hint="eastAsia" w:ascii="宋体" w:hAnsi="宋体"/>
                <w:color w:val="auto"/>
                <w:sz w:val="24"/>
                <w:szCs w:val="24"/>
              </w:rPr>
              <w:t>电房位置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38" w:type="dxa"/>
            <w:noWrap w:val="0"/>
            <w:vAlign w:val="top"/>
          </w:tcPr>
          <w:p>
            <w:pPr>
              <w:pStyle w:val="6"/>
              <w:jc w:val="center"/>
              <w:rPr>
                <w:rFonts w:ascii="宋体"/>
                <w:color w:val="auto"/>
                <w:sz w:val="24"/>
                <w:szCs w:val="24"/>
              </w:rPr>
            </w:pPr>
            <w:r>
              <w:rPr>
                <w:rFonts w:ascii="宋体" w:hAnsi="宋体"/>
                <w:color w:val="auto"/>
                <w:sz w:val="24"/>
                <w:szCs w:val="24"/>
              </w:rPr>
              <w:t>1</w:t>
            </w:r>
          </w:p>
        </w:tc>
        <w:tc>
          <w:tcPr>
            <w:tcW w:w="2415" w:type="dxa"/>
            <w:noWrap w:val="0"/>
            <w:vAlign w:val="top"/>
          </w:tcPr>
          <w:p>
            <w:pPr>
              <w:pStyle w:val="6"/>
              <w:rPr>
                <w:rFonts w:ascii="宋体"/>
                <w:color w:val="auto"/>
                <w:sz w:val="24"/>
                <w:szCs w:val="24"/>
              </w:rPr>
            </w:pPr>
            <w:r>
              <w:rPr>
                <w:rFonts w:hint="eastAsia" w:ascii="宋体" w:hAnsi="宋体"/>
                <w:color w:val="auto"/>
                <w:sz w:val="24"/>
                <w:szCs w:val="24"/>
              </w:rPr>
              <w:t>花津校区第</w:t>
            </w:r>
            <w:r>
              <w:rPr>
                <w:rFonts w:ascii="宋体" w:hAnsi="宋体"/>
                <w:color w:val="auto"/>
                <w:sz w:val="24"/>
                <w:szCs w:val="24"/>
              </w:rPr>
              <w:t>2</w:t>
            </w:r>
            <w:r>
              <w:rPr>
                <w:rFonts w:hint="eastAsia" w:ascii="宋体" w:hAnsi="宋体"/>
                <w:color w:val="auto"/>
                <w:sz w:val="24"/>
                <w:szCs w:val="24"/>
              </w:rPr>
              <w:t>开闭所</w:t>
            </w:r>
          </w:p>
        </w:tc>
        <w:tc>
          <w:tcPr>
            <w:tcW w:w="3844" w:type="dxa"/>
            <w:noWrap w:val="0"/>
            <w:vAlign w:val="top"/>
          </w:tcPr>
          <w:p>
            <w:pPr>
              <w:pStyle w:val="6"/>
              <w:rPr>
                <w:rFonts w:ascii="宋体"/>
                <w:color w:val="auto"/>
                <w:sz w:val="24"/>
                <w:szCs w:val="24"/>
              </w:rPr>
            </w:pPr>
            <w:r>
              <w:rPr>
                <w:rFonts w:hint="eastAsia" w:ascii="宋体" w:hAnsi="宋体"/>
                <w:color w:val="auto"/>
                <w:sz w:val="24"/>
                <w:szCs w:val="24"/>
              </w:rPr>
              <w:t>花津校区学生公寓秋实园42、</w:t>
            </w:r>
            <w:r>
              <w:rPr>
                <w:rFonts w:ascii="宋体" w:hAnsi="宋体"/>
                <w:color w:val="auto"/>
                <w:sz w:val="24"/>
                <w:szCs w:val="24"/>
              </w:rPr>
              <w:t>45</w:t>
            </w:r>
            <w:r>
              <w:rPr>
                <w:rFonts w:hint="eastAsia" w:ascii="宋体" w:hAnsi="宋体"/>
                <w:color w:val="auto"/>
                <w:sz w:val="24"/>
                <w:szCs w:val="24"/>
              </w:rPr>
              <w:t>、</w:t>
            </w:r>
            <w:r>
              <w:rPr>
                <w:rFonts w:ascii="宋体" w:hAnsi="宋体"/>
                <w:color w:val="auto"/>
                <w:sz w:val="24"/>
                <w:szCs w:val="24"/>
              </w:rPr>
              <w:t>46</w:t>
            </w:r>
            <w:r>
              <w:rPr>
                <w:rFonts w:hint="eastAsia" w:ascii="宋体" w:hAnsi="宋体"/>
                <w:color w:val="auto"/>
                <w:sz w:val="24"/>
                <w:szCs w:val="24"/>
              </w:rPr>
              <w:t>、</w:t>
            </w:r>
            <w:r>
              <w:rPr>
                <w:rFonts w:ascii="宋体" w:hAnsi="宋体"/>
                <w:color w:val="auto"/>
                <w:sz w:val="24"/>
                <w:szCs w:val="24"/>
              </w:rPr>
              <w:t>47</w:t>
            </w:r>
            <w:r>
              <w:rPr>
                <w:rFonts w:hint="eastAsia" w:ascii="宋体" w:hAnsi="宋体"/>
                <w:color w:val="auto"/>
                <w:sz w:val="24"/>
                <w:szCs w:val="24"/>
              </w:rPr>
              <w:t>号楼、9栋小高层、图书馆、学苑北楼、地旅学院楼、环科学院楼、北体、人防、理科大楼、文科大楼（待供电）、教师实习实训中心（待供电）、冬和园（待供电）。</w:t>
            </w:r>
          </w:p>
        </w:tc>
        <w:tc>
          <w:tcPr>
            <w:tcW w:w="1537" w:type="dxa"/>
            <w:noWrap w:val="0"/>
            <w:vAlign w:val="top"/>
          </w:tcPr>
          <w:p>
            <w:pPr>
              <w:pStyle w:val="6"/>
              <w:spacing w:line="360" w:lineRule="auto"/>
              <w:rPr>
                <w:rFonts w:ascii="宋体"/>
                <w:color w:val="auto"/>
                <w:sz w:val="24"/>
                <w:szCs w:val="24"/>
              </w:rPr>
            </w:pPr>
            <w:r>
              <w:rPr>
                <w:rFonts w:hint="eastAsia" w:ascii="宋体" w:hAnsi="宋体"/>
                <w:color w:val="auto"/>
                <w:sz w:val="24"/>
                <w:szCs w:val="24"/>
              </w:rPr>
              <w:t>文科大楼东</w:t>
            </w:r>
          </w:p>
        </w:tc>
      </w:tr>
    </w:tbl>
    <w:p>
      <w:pPr>
        <w:pStyle w:val="6"/>
        <w:spacing w:line="360" w:lineRule="auto"/>
        <w:jc w:val="left"/>
        <w:rPr>
          <w:rFonts w:ascii="宋体" w:hAnsi="宋体"/>
          <w:b/>
          <w:color w:val="auto"/>
          <w:sz w:val="28"/>
          <w:szCs w:val="28"/>
        </w:rPr>
      </w:pPr>
      <w:r>
        <w:rPr>
          <w:rFonts w:hint="eastAsia" w:ascii="宋体" w:hAnsi="宋体"/>
          <w:b/>
          <w:color w:val="auto"/>
          <w:sz w:val="28"/>
          <w:szCs w:val="28"/>
        </w:rPr>
        <w:t>二、招标内容</w:t>
      </w:r>
    </w:p>
    <w:p>
      <w:pPr>
        <w:pStyle w:val="6"/>
        <w:spacing w:line="360" w:lineRule="auto"/>
        <w:rPr>
          <w:rFonts w:ascii="宋体"/>
          <w:b/>
          <w:bCs/>
          <w:color w:val="auto"/>
          <w:sz w:val="24"/>
          <w:szCs w:val="24"/>
        </w:rPr>
      </w:pPr>
      <w:r>
        <w:rPr>
          <w:rFonts w:hint="eastAsia" w:ascii="宋体" w:hAnsi="宋体"/>
          <w:b/>
          <w:bCs/>
          <w:color w:val="auto"/>
          <w:sz w:val="28"/>
          <w:szCs w:val="28"/>
        </w:rPr>
        <w:t>　</w:t>
      </w:r>
      <w:r>
        <w:rPr>
          <w:rFonts w:hint="eastAsia" w:ascii="宋体" w:hAnsi="宋体"/>
          <w:b/>
          <w:bCs/>
          <w:color w:val="auto"/>
          <w:sz w:val="24"/>
          <w:szCs w:val="24"/>
        </w:rPr>
        <w:t>　（一）维保范围：</w:t>
      </w:r>
    </w:p>
    <w:p>
      <w:pPr>
        <w:pStyle w:val="6"/>
        <w:spacing w:line="360" w:lineRule="auto"/>
        <w:ind w:firstLine="470" w:firstLineChars="196"/>
        <w:rPr>
          <w:rFonts w:ascii="宋体" w:hAnsi="宋体"/>
          <w:color w:val="auto"/>
          <w:sz w:val="24"/>
          <w:szCs w:val="24"/>
        </w:rPr>
      </w:pPr>
      <w:r>
        <w:rPr>
          <w:rFonts w:hint="eastAsia" w:ascii="宋体" w:hAnsi="宋体"/>
          <w:color w:val="auto"/>
          <w:sz w:val="24"/>
          <w:szCs w:val="24"/>
        </w:rPr>
        <w:t>我校与供电局资产分界点至学校各楼栋楼层配电箱</w:t>
      </w:r>
      <w:r>
        <w:rPr>
          <w:rFonts w:ascii="宋体" w:hAnsi="宋体"/>
          <w:color w:val="auto"/>
          <w:sz w:val="24"/>
          <w:szCs w:val="24"/>
        </w:rPr>
        <w:t>(</w:t>
      </w:r>
      <w:r>
        <w:rPr>
          <w:rFonts w:hint="eastAsia" w:ascii="宋体" w:hAnsi="宋体"/>
          <w:color w:val="auto"/>
          <w:sz w:val="24"/>
          <w:szCs w:val="24"/>
        </w:rPr>
        <w:t>含配电箱</w:t>
      </w:r>
      <w:r>
        <w:rPr>
          <w:rFonts w:ascii="宋体" w:hAnsi="宋体"/>
          <w:color w:val="auto"/>
          <w:sz w:val="24"/>
          <w:szCs w:val="24"/>
        </w:rPr>
        <w:t>)</w:t>
      </w:r>
      <w:r>
        <w:rPr>
          <w:rFonts w:hint="eastAsia" w:ascii="宋体" w:hAnsi="宋体"/>
          <w:color w:val="auto"/>
          <w:sz w:val="24"/>
          <w:szCs w:val="24"/>
        </w:rPr>
        <w:t>内所有供配电系统和设备。</w:t>
      </w:r>
    </w:p>
    <w:p>
      <w:pPr>
        <w:pStyle w:val="6"/>
        <w:spacing w:line="360" w:lineRule="auto"/>
        <w:ind w:firstLine="472" w:firstLineChars="196"/>
        <w:rPr>
          <w:rFonts w:ascii="宋体"/>
          <w:color w:val="auto"/>
          <w:sz w:val="24"/>
          <w:szCs w:val="24"/>
        </w:rPr>
      </w:pPr>
      <w:r>
        <w:rPr>
          <w:rFonts w:hint="eastAsia" w:ascii="宋体" w:hAnsi="宋体"/>
          <w:b/>
          <w:bCs/>
          <w:color w:val="auto"/>
          <w:sz w:val="24"/>
          <w:szCs w:val="24"/>
        </w:rPr>
        <w:t>（二）</w:t>
      </w:r>
      <w:r>
        <w:rPr>
          <w:rFonts w:hint="eastAsia" w:ascii="宋体" w:hAnsi="宋体"/>
          <w:b/>
          <w:color w:val="auto"/>
          <w:kern w:val="0"/>
          <w:sz w:val="24"/>
          <w:szCs w:val="24"/>
        </w:rPr>
        <w:t>项目部专职管理人员不少于1人，</w:t>
      </w:r>
      <w:r>
        <w:rPr>
          <w:rFonts w:hint="eastAsia" w:ascii="宋体" w:hAnsi="宋体"/>
          <w:color w:val="auto"/>
          <w:sz w:val="24"/>
          <w:szCs w:val="24"/>
        </w:rPr>
        <w:t>负责安全管理、维修管理、员工管理、质量监管、服务沟通等，常驻学校。</w:t>
      </w:r>
    </w:p>
    <w:p>
      <w:pPr>
        <w:pStyle w:val="6"/>
        <w:spacing w:line="360" w:lineRule="auto"/>
        <w:rPr>
          <w:rFonts w:ascii="宋体"/>
          <w:b/>
          <w:bCs/>
          <w:color w:val="auto"/>
          <w:sz w:val="24"/>
          <w:szCs w:val="24"/>
        </w:rPr>
      </w:pPr>
      <w:r>
        <w:rPr>
          <w:rFonts w:ascii="宋体" w:hAnsi="宋体"/>
          <w:b/>
          <w:bCs/>
          <w:color w:val="auto"/>
          <w:sz w:val="24"/>
          <w:szCs w:val="24"/>
        </w:rPr>
        <w:t xml:space="preserve">   </w:t>
      </w:r>
      <w:r>
        <w:rPr>
          <w:rFonts w:hint="eastAsia" w:ascii="宋体" w:hAnsi="宋体"/>
          <w:b/>
          <w:bCs/>
          <w:color w:val="auto"/>
          <w:sz w:val="24"/>
          <w:szCs w:val="24"/>
        </w:rPr>
        <w:t>（三）维保内容：</w:t>
      </w:r>
    </w:p>
    <w:p>
      <w:pPr>
        <w:pStyle w:val="6"/>
        <w:tabs>
          <w:tab w:val="left" w:pos="1440"/>
        </w:tabs>
        <w:spacing w:line="360" w:lineRule="auto"/>
        <w:ind w:firstLine="570"/>
        <w:rPr>
          <w:rFonts w:ascii="宋体" w:hAnsi="宋体"/>
          <w:b/>
          <w:color w:val="auto"/>
          <w:sz w:val="24"/>
          <w:szCs w:val="24"/>
        </w:rPr>
      </w:pPr>
      <w:r>
        <w:rPr>
          <w:rFonts w:ascii="宋体" w:hAnsi="宋体"/>
          <w:b/>
          <w:color w:val="auto"/>
          <w:sz w:val="24"/>
          <w:szCs w:val="24"/>
        </w:rPr>
        <w:t>1</w:t>
      </w:r>
      <w:r>
        <w:rPr>
          <w:rFonts w:hint="eastAsia" w:ascii="宋体" w:hAnsi="宋体"/>
          <w:b/>
          <w:color w:val="auto"/>
          <w:sz w:val="24"/>
          <w:szCs w:val="24"/>
        </w:rPr>
        <w:t>、检测</w:t>
      </w:r>
      <w:r>
        <w:rPr>
          <w:rFonts w:hint="eastAsia" w:ascii="宋体" w:hAnsi="宋体"/>
          <w:color w:val="auto"/>
          <w:sz w:val="24"/>
          <w:szCs w:val="24"/>
        </w:rPr>
        <w:t>。每年暑假期间完成对学校</w:t>
      </w:r>
      <w:r>
        <w:rPr>
          <w:rFonts w:hint="eastAsia" w:ascii="宋体" w:hAnsi="宋体"/>
          <w:color w:val="auto"/>
          <w:sz w:val="24"/>
          <w:szCs w:val="24"/>
          <w:u w:val="single"/>
        </w:rPr>
        <w:t>开闭所（</w:t>
      </w:r>
      <w:r>
        <w:rPr>
          <w:rFonts w:hint="eastAsia" w:ascii="宋体" w:hAnsi="宋体"/>
          <w:color w:val="auto"/>
          <w:sz w:val="24"/>
          <w:szCs w:val="24"/>
          <w:u w:val="single"/>
          <w:lang w:val="en-US" w:eastAsia="zh-CN"/>
        </w:rPr>
        <w:t>3</w:t>
      </w:r>
      <w:r>
        <w:rPr>
          <w:rFonts w:hint="eastAsia" w:ascii="宋体" w:hAnsi="宋体"/>
          <w:color w:val="auto"/>
          <w:sz w:val="24"/>
          <w:szCs w:val="24"/>
          <w:u w:val="single"/>
        </w:rPr>
        <w:t>座）、环网柜（</w:t>
      </w:r>
      <w:r>
        <w:rPr>
          <w:rFonts w:ascii="宋体" w:hAnsi="宋体"/>
          <w:color w:val="auto"/>
          <w:sz w:val="24"/>
          <w:szCs w:val="24"/>
          <w:u w:val="single"/>
        </w:rPr>
        <w:t>1</w:t>
      </w:r>
      <w:r>
        <w:rPr>
          <w:rFonts w:hint="eastAsia" w:ascii="宋体" w:hAnsi="宋体"/>
          <w:color w:val="auto"/>
          <w:sz w:val="24"/>
          <w:szCs w:val="24"/>
          <w:u w:val="single"/>
        </w:rPr>
        <w:t>9个）、变压器</w:t>
      </w:r>
      <w:r>
        <w:rPr>
          <w:rFonts w:hint="eastAsia" w:ascii="宋体" w:hAnsi="宋体"/>
          <w:color w:val="auto"/>
          <w:sz w:val="24"/>
          <w:szCs w:val="24"/>
          <w:u w:val="single"/>
          <w:lang w:val="en-US" w:eastAsia="zh-CN"/>
        </w:rPr>
        <w:t>74</w:t>
      </w:r>
      <w:r>
        <w:rPr>
          <w:rFonts w:hint="eastAsia" w:ascii="宋体" w:hAnsi="宋体"/>
          <w:color w:val="auto"/>
          <w:sz w:val="24"/>
          <w:szCs w:val="24"/>
          <w:u w:val="single"/>
        </w:rPr>
        <w:t>台、楼栋配电间（约</w:t>
      </w:r>
      <w:r>
        <w:rPr>
          <w:rFonts w:hint="eastAsia" w:ascii="宋体" w:hAnsi="宋体"/>
          <w:color w:val="auto"/>
          <w:sz w:val="24"/>
          <w:szCs w:val="24"/>
          <w:u w:val="single"/>
          <w:lang w:val="en-US" w:eastAsia="zh-CN"/>
        </w:rPr>
        <w:t>20</w:t>
      </w:r>
      <w:r>
        <w:rPr>
          <w:rFonts w:ascii="宋体" w:hAnsi="宋体"/>
          <w:color w:val="auto"/>
          <w:sz w:val="24"/>
          <w:szCs w:val="24"/>
          <w:u w:val="single"/>
        </w:rPr>
        <w:t>0</w:t>
      </w:r>
      <w:r>
        <w:rPr>
          <w:rFonts w:hint="eastAsia" w:ascii="宋体" w:hAnsi="宋体"/>
          <w:color w:val="auto"/>
          <w:sz w:val="24"/>
          <w:szCs w:val="24"/>
          <w:u w:val="single"/>
        </w:rPr>
        <w:t>间）、各楼层配电箱、中间接头箱等电气设施设备及全部高低压电缆（线）</w:t>
      </w:r>
      <w:r>
        <w:rPr>
          <w:rFonts w:hint="eastAsia" w:ascii="宋体" w:hAnsi="宋体"/>
          <w:color w:val="auto"/>
          <w:sz w:val="24"/>
          <w:szCs w:val="24"/>
        </w:rPr>
        <w:t>进行一次安全检测，出具检测报告，对存在的隐患，提出维修方案，出具市供电局认可的完整检测报告，一份交市供电局，一份交学校。</w:t>
      </w:r>
    </w:p>
    <w:p>
      <w:pPr>
        <w:pStyle w:val="6"/>
        <w:tabs>
          <w:tab w:val="left" w:pos="1440"/>
        </w:tabs>
        <w:spacing w:line="360" w:lineRule="auto"/>
        <w:ind w:firstLine="482" w:firstLineChars="200"/>
        <w:rPr>
          <w:rFonts w:ascii="宋体" w:hAnsi="宋体"/>
          <w:color w:val="auto"/>
          <w:sz w:val="24"/>
          <w:szCs w:val="24"/>
        </w:rPr>
      </w:pPr>
      <w:r>
        <w:rPr>
          <w:rFonts w:ascii="宋体" w:hAnsi="宋体"/>
          <w:b/>
          <w:color w:val="auto"/>
          <w:sz w:val="24"/>
          <w:szCs w:val="24"/>
        </w:rPr>
        <w:t>2</w:t>
      </w:r>
      <w:r>
        <w:rPr>
          <w:rFonts w:hint="eastAsia" w:ascii="宋体" w:hAnsi="宋体"/>
          <w:b/>
          <w:color w:val="auto"/>
          <w:sz w:val="24"/>
          <w:szCs w:val="24"/>
        </w:rPr>
        <w:t>、巡查检修保养</w:t>
      </w:r>
      <w:r>
        <w:rPr>
          <w:rFonts w:hint="eastAsia" w:ascii="宋体" w:hAnsi="宋体"/>
          <w:color w:val="auto"/>
          <w:sz w:val="24"/>
          <w:szCs w:val="24"/>
        </w:rPr>
        <w:t>。每校区不少于</w:t>
      </w:r>
      <w:r>
        <w:rPr>
          <w:rFonts w:hint="eastAsia" w:ascii="宋体" w:hAnsi="宋体"/>
          <w:color w:val="auto"/>
          <w:sz w:val="24"/>
          <w:szCs w:val="24"/>
          <w:lang w:val="en-US" w:eastAsia="zh-CN"/>
        </w:rPr>
        <w:t>1</w:t>
      </w:r>
      <w:r>
        <w:rPr>
          <w:rFonts w:hint="eastAsia" w:ascii="宋体" w:hAnsi="宋体"/>
          <w:color w:val="auto"/>
          <w:sz w:val="24"/>
          <w:szCs w:val="24"/>
        </w:rPr>
        <w:t>人，巡查人员年龄不超过55周岁，须有高压电工操作证，有2年及以上高压设备维保经验，能熟练操作供配电设备，有处理应急故障的能力和经验，工作时间按校方要求。按国家电力规范，每月对我校与供电局资产分界点至楼层配电箱</w:t>
      </w:r>
      <w:r>
        <w:rPr>
          <w:rFonts w:ascii="宋体" w:hAnsi="宋体"/>
          <w:color w:val="auto"/>
          <w:sz w:val="24"/>
          <w:szCs w:val="24"/>
        </w:rPr>
        <w:t>(</w:t>
      </w:r>
      <w:r>
        <w:rPr>
          <w:rFonts w:hint="eastAsia" w:ascii="宋体" w:hAnsi="宋体"/>
          <w:color w:val="auto"/>
          <w:sz w:val="24"/>
          <w:szCs w:val="24"/>
        </w:rPr>
        <w:t>含配电箱</w:t>
      </w:r>
      <w:r>
        <w:rPr>
          <w:rFonts w:ascii="宋体" w:hAnsi="宋体"/>
          <w:color w:val="auto"/>
          <w:sz w:val="24"/>
          <w:szCs w:val="24"/>
        </w:rPr>
        <w:t>)</w:t>
      </w:r>
      <w:r>
        <w:rPr>
          <w:rFonts w:hint="eastAsia" w:ascii="宋体" w:hAnsi="宋体"/>
          <w:color w:val="auto"/>
          <w:sz w:val="24"/>
          <w:szCs w:val="24"/>
        </w:rPr>
        <w:t>范围内的所有供配电系统和设备开展巡查、检修、保养，每月一个全程，中标单位中标后要依据我校的设施设备及线路情况拟定巡查检修保养方案，报学校审核通过后，按方案进行巡查检修保养，每周报学校巡查检修保养记录（按业主样式），每月出具巡查检修保养报告，全年不少于</w:t>
      </w:r>
      <w:r>
        <w:rPr>
          <w:rFonts w:ascii="宋体" w:hAnsi="宋体"/>
          <w:color w:val="auto"/>
          <w:sz w:val="24"/>
          <w:szCs w:val="24"/>
        </w:rPr>
        <w:t>12</w:t>
      </w:r>
      <w:r>
        <w:rPr>
          <w:rFonts w:hint="eastAsia" w:ascii="宋体" w:hAnsi="宋体"/>
          <w:color w:val="auto"/>
          <w:sz w:val="24"/>
          <w:szCs w:val="24"/>
        </w:rPr>
        <w:t>次；根据我校开闭所安装综合保护系统后台数据对我校电气设备每季度出一次分析报告（涉及运行状态、存在问题、拟解决办法、用电情况、高峰低谷情况、能耗情况等），对保护系统每次异常情况出一次分析报告，并及时处置，保证学校电力正常运行。解决维保范围内出现的故障，负责设备所在空间的安全、卫生等管理工作，每月对开闭所进行卫生清扫。每周对校内所有路灯巡查，处理应急故障（不含更换供电电缆、需吊车故障）。</w:t>
      </w:r>
    </w:p>
    <w:p>
      <w:pPr>
        <w:pStyle w:val="6"/>
        <w:tabs>
          <w:tab w:val="left" w:pos="1440"/>
        </w:tabs>
        <w:spacing w:line="360" w:lineRule="auto"/>
        <w:ind w:firstLine="482" w:firstLineChars="200"/>
        <w:rPr>
          <w:rFonts w:ascii="宋体" w:hAnsi="宋体"/>
          <w:b/>
          <w:color w:val="auto"/>
          <w:sz w:val="24"/>
          <w:szCs w:val="24"/>
        </w:rPr>
      </w:pPr>
      <w:r>
        <w:rPr>
          <w:rFonts w:hint="eastAsia" w:ascii="宋体" w:hAnsi="宋体"/>
          <w:b/>
          <w:color w:val="auto"/>
          <w:sz w:val="24"/>
          <w:szCs w:val="24"/>
        </w:rPr>
        <w:t>3、完善电柜图纸，理清线路走向。</w:t>
      </w:r>
    </w:p>
    <w:p>
      <w:pPr>
        <w:pStyle w:val="6"/>
        <w:tabs>
          <w:tab w:val="left" w:pos="1440"/>
        </w:tabs>
        <w:spacing w:line="360" w:lineRule="auto"/>
        <w:ind w:firstLine="482" w:firstLineChars="200"/>
        <w:rPr>
          <w:rFonts w:ascii="宋体"/>
          <w:b/>
          <w:color w:val="auto"/>
          <w:sz w:val="24"/>
          <w:szCs w:val="24"/>
        </w:rPr>
      </w:pPr>
      <w:r>
        <w:rPr>
          <w:rFonts w:hint="eastAsia" w:ascii="宋体" w:hAnsi="宋体"/>
          <w:b/>
          <w:color w:val="auto"/>
          <w:sz w:val="24"/>
          <w:szCs w:val="24"/>
        </w:rPr>
        <w:t>4、电力值班。</w:t>
      </w:r>
    </w:p>
    <w:p>
      <w:pPr>
        <w:pStyle w:val="6"/>
        <w:tabs>
          <w:tab w:val="left" w:pos="1440"/>
        </w:tabs>
        <w:spacing w:line="300" w:lineRule="auto"/>
        <w:ind w:firstLine="480" w:firstLineChars="200"/>
        <w:rPr>
          <w:rFonts w:ascii="宋体"/>
          <w:color w:val="auto"/>
          <w:sz w:val="24"/>
          <w:szCs w:val="24"/>
        </w:rPr>
      </w:pPr>
      <w:r>
        <w:rPr>
          <w:rFonts w:hint="eastAsia" w:ascii="宋体" w:hAnsi="宋体"/>
          <w:color w:val="auto"/>
          <w:sz w:val="24"/>
          <w:szCs w:val="24"/>
        </w:rPr>
        <w:t>（</w:t>
      </w:r>
      <w:r>
        <w:rPr>
          <w:rFonts w:ascii="宋体" w:hAnsi="宋体"/>
          <w:color w:val="auto"/>
          <w:sz w:val="24"/>
          <w:szCs w:val="24"/>
        </w:rPr>
        <w:t>1</w:t>
      </w:r>
      <w:r>
        <w:rPr>
          <w:rFonts w:hint="eastAsia" w:ascii="宋体" w:hAnsi="宋体"/>
          <w:color w:val="auto"/>
          <w:sz w:val="24"/>
          <w:szCs w:val="24"/>
        </w:rPr>
        <w:t>）</w:t>
      </w:r>
      <w:r>
        <w:rPr>
          <w:rFonts w:hint="eastAsia" w:ascii="宋体" w:hAnsi="宋体"/>
          <w:color w:val="auto"/>
          <w:sz w:val="24"/>
          <w:szCs w:val="24"/>
          <w:lang w:val="en-US" w:eastAsia="zh-CN"/>
        </w:rPr>
        <w:t>三</w:t>
      </w:r>
      <w:r>
        <w:rPr>
          <w:rFonts w:hint="eastAsia" w:ascii="宋体" w:hAnsi="宋体"/>
          <w:color w:val="auto"/>
          <w:sz w:val="24"/>
          <w:szCs w:val="24"/>
        </w:rPr>
        <w:t>个开闭所：全年每天</w:t>
      </w:r>
      <w:r>
        <w:rPr>
          <w:rFonts w:ascii="宋体" w:hAnsi="宋体"/>
          <w:color w:val="auto"/>
          <w:sz w:val="24"/>
          <w:szCs w:val="24"/>
        </w:rPr>
        <w:t>24</w:t>
      </w:r>
      <w:r>
        <w:rPr>
          <w:rFonts w:hint="eastAsia" w:ascii="宋体" w:hAnsi="宋体"/>
          <w:color w:val="auto"/>
          <w:sz w:val="24"/>
          <w:szCs w:val="24"/>
        </w:rPr>
        <w:t>小时至少有</w:t>
      </w:r>
      <w:r>
        <w:rPr>
          <w:rFonts w:ascii="宋体" w:hAnsi="宋体"/>
          <w:color w:val="auto"/>
          <w:sz w:val="24"/>
          <w:szCs w:val="24"/>
        </w:rPr>
        <w:t>1</w:t>
      </w:r>
      <w:r>
        <w:rPr>
          <w:rFonts w:hint="eastAsia" w:ascii="宋体" w:hAnsi="宋体"/>
          <w:color w:val="auto"/>
          <w:sz w:val="24"/>
          <w:szCs w:val="24"/>
        </w:rPr>
        <w:t>人在岗值班。值班人员年龄不超过</w:t>
      </w:r>
      <w:r>
        <w:rPr>
          <w:rFonts w:ascii="宋体" w:hAnsi="宋体"/>
          <w:color w:val="auto"/>
          <w:sz w:val="24"/>
          <w:szCs w:val="24"/>
        </w:rPr>
        <w:t>5</w:t>
      </w:r>
      <w:r>
        <w:rPr>
          <w:rFonts w:hint="eastAsia" w:ascii="宋体" w:hAnsi="宋体"/>
          <w:color w:val="auto"/>
          <w:sz w:val="24"/>
          <w:szCs w:val="24"/>
        </w:rPr>
        <w:t>5周岁，须有高压电工操作证，有</w:t>
      </w:r>
      <w:r>
        <w:rPr>
          <w:rFonts w:ascii="宋体" w:hAnsi="宋体"/>
          <w:color w:val="auto"/>
          <w:sz w:val="24"/>
          <w:szCs w:val="24"/>
        </w:rPr>
        <w:t>2</w:t>
      </w:r>
      <w:r>
        <w:rPr>
          <w:rFonts w:hint="eastAsia" w:ascii="宋体" w:hAnsi="宋体"/>
          <w:color w:val="auto"/>
          <w:sz w:val="24"/>
          <w:szCs w:val="24"/>
        </w:rPr>
        <w:t>年及以上高压设备维保经验，能熟练操作开闭所设备，有处理应急故障的能力和经验，至少有一人具有双电源操作证。</w:t>
      </w:r>
    </w:p>
    <w:p>
      <w:pPr>
        <w:pStyle w:val="6"/>
        <w:tabs>
          <w:tab w:val="left" w:pos="1440"/>
        </w:tabs>
        <w:spacing w:line="360" w:lineRule="auto"/>
        <w:ind w:firstLine="480" w:firstLineChars="200"/>
        <w:rPr>
          <w:rFonts w:ascii="宋体" w:hAnsi="宋体"/>
          <w:b/>
          <w:bCs/>
          <w:color w:val="auto"/>
          <w:sz w:val="24"/>
          <w:szCs w:val="24"/>
        </w:rPr>
      </w:pPr>
      <w:r>
        <w:rPr>
          <w:rFonts w:hint="eastAsia" w:ascii="宋体" w:hAnsi="宋体"/>
          <w:color w:val="auto"/>
          <w:sz w:val="24"/>
          <w:szCs w:val="24"/>
        </w:rPr>
        <w:t>（</w:t>
      </w:r>
      <w:r>
        <w:rPr>
          <w:rFonts w:ascii="宋体" w:hAnsi="宋体"/>
          <w:color w:val="auto"/>
          <w:sz w:val="24"/>
          <w:szCs w:val="24"/>
        </w:rPr>
        <w:t>2</w:t>
      </w:r>
      <w:r>
        <w:rPr>
          <w:rFonts w:hint="eastAsia" w:ascii="宋体" w:hAnsi="宋体"/>
          <w:color w:val="auto"/>
          <w:sz w:val="24"/>
          <w:szCs w:val="24"/>
        </w:rPr>
        <w:t>）对我校与供电局资产分界点至楼层配电箱</w:t>
      </w:r>
      <w:r>
        <w:rPr>
          <w:rFonts w:ascii="宋体" w:hAnsi="宋体"/>
          <w:color w:val="auto"/>
          <w:sz w:val="24"/>
          <w:szCs w:val="24"/>
        </w:rPr>
        <w:t>(</w:t>
      </w:r>
      <w:r>
        <w:rPr>
          <w:rFonts w:hint="eastAsia" w:ascii="宋体" w:hAnsi="宋体"/>
          <w:color w:val="auto"/>
          <w:sz w:val="24"/>
          <w:szCs w:val="24"/>
        </w:rPr>
        <w:t>含配电箱</w:t>
      </w:r>
      <w:r>
        <w:rPr>
          <w:rFonts w:ascii="宋体" w:hAnsi="宋体"/>
          <w:color w:val="auto"/>
          <w:sz w:val="24"/>
          <w:szCs w:val="24"/>
        </w:rPr>
        <w:t>)</w:t>
      </w:r>
      <w:r>
        <w:rPr>
          <w:rFonts w:hint="eastAsia" w:ascii="宋体" w:hAnsi="宋体"/>
          <w:color w:val="auto"/>
          <w:sz w:val="24"/>
          <w:szCs w:val="24"/>
        </w:rPr>
        <w:t>范围内的所有供配电系统和设备进行巡查、检修、保养。维保人员受学校管理，配合学校用电进行相关工作，完成学校大型活动、会议各类国考的供电值班保障。</w:t>
      </w:r>
      <w:r>
        <w:rPr>
          <w:rFonts w:hint="eastAsia" w:ascii="宋体" w:hAnsi="宋体"/>
          <w:b/>
          <w:bCs/>
          <w:color w:val="auto"/>
          <w:sz w:val="24"/>
          <w:szCs w:val="24"/>
        </w:rPr>
        <w:t>（特殊供电保障需中标维保单位按甲方要求抽调多人保障）</w:t>
      </w:r>
    </w:p>
    <w:p>
      <w:pPr>
        <w:pStyle w:val="7"/>
        <w:spacing w:line="360" w:lineRule="auto"/>
        <w:ind w:firstLine="562"/>
        <w:rPr>
          <w:rFonts w:ascii="宋体" w:hAnsi="宋体" w:eastAsia="宋体"/>
          <w:b/>
          <w:color w:val="auto"/>
          <w:sz w:val="24"/>
          <w:szCs w:val="24"/>
        </w:rPr>
      </w:pPr>
      <w:r>
        <w:rPr>
          <w:rFonts w:hint="eastAsia" w:ascii="宋体" w:hAnsi="宋体" w:eastAsia="宋体"/>
          <w:b/>
          <w:color w:val="auto"/>
          <w:sz w:val="24"/>
          <w:szCs w:val="24"/>
        </w:rPr>
        <w:t>5、故障抢修：对校园内的所有用电故障（预算</w:t>
      </w:r>
      <w:r>
        <w:rPr>
          <w:rFonts w:ascii="宋体" w:hAnsi="宋体" w:eastAsia="宋体"/>
          <w:b/>
          <w:color w:val="auto"/>
          <w:sz w:val="24"/>
          <w:szCs w:val="24"/>
        </w:rPr>
        <w:t>5</w:t>
      </w:r>
      <w:r>
        <w:rPr>
          <w:rFonts w:hint="eastAsia" w:ascii="宋体" w:hAnsi="宋体" w:eastAsia="宋体"/>
          <w:b/>
          <w:color w:val="auto"/>
          <w:sz w:val="24"/>
          <w:szCs w:val="24"/>
        </w:rPr>
        <w:t>万元内由能源中心直接派工，5万以上的应急抢修由能源中心派工的同时履行学校相关审批程序）进行应急抢修。</w:t>
      </w:r>
    </w:p>
    <w:p>
      <w:pPr>
        <w:pStyle w:val="7"/>
        <w:spacing w:line="360" w:lineRule="auto"/>
        <w:rPr>
          <w:rFonts w:ascii="宋体" w:hAnsi="宋体" w:eastAsia="宋体"/>
          <w:b/>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1</w:t>
      </w:r>
      <w:r>
        <w:rPr>
          <w:rFonts w:hint="eastAsia" w:ascii="宋体" w:hAnsi="宋体" w:eastAsia="宋体"/>
          <w:color w:val="auto"/>
          <w:sz w:val="24"/>
          <w:szCs w:val="24"/>
        </w:rPr>
        <w:t>）建立健全值班机制，根据线路的运行特点研究制定不同方式的值班制度，对于巡视中遇到线路有施工开挖和其它影响线路运行安全的现场，需派人进行</w:t>
      </w:r>
      <w:r>
        <w:rPr>
          <w:rFonts w:ascii="宋体" w:hAnsi="宋体" w:eastAsia="宋体"/>
          <w:color w:val="auto"/>
          <w:sz w:val="24"/>
          <w:szCs w:val="24"/>
        </w:rPr>
        <w:t>24</w:t>
      </w:r>
      <w:r>
        <w:rPr>
          <w:rFonts w:hint="eastAsia" w:ascii="宋体" w:hAnsi="宋体" w:eastAsia="宋体"/>
          <w:color w:val="auto"/>
          <w:sz w:val="24"/>
          <w:szCs w:val="24"/>
        </w:rPr>
        <w:t>小时值班。</w:t>
      </w:r>
    </w:p>
    <w:p>
      <w:pPr>
        <w:pStyle w:val="7"/>
        <w:spacing w:line="276" w:lineRule="auto"/>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2</w:t>
      </w:r>
      <w:r>
        <w:rPr>
          <w:rFonts w:hint="eastAsia" w:ascii="宋体" w:hAnsi="宋体" w:eastAsia="宋体"/>
          <w:color w:val="auto"/>
          <w:sz w:val="24"/>
          <w:szCs w:val="24"/>
        </w:rPr>
        <w:t>）建立健全抢修机制，根据线路的运行特点研究制定不同方式的抢修预案，抢修预案要经过专业工程师审核并经总工程师的审定批准，同时要报审核备案。</w:t>
      </w:r>
    </w:p>
    <w:p>
      <w:pPr>
        <w:pStyle w:val="7"/>
        <w:spacing w:line="276" w:lineRule="auto"/>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3</w:t>
      </w:r>
      <w:r>
        <w:rPr>
          <w:rFonts w:hint="eastAsia" w:ascii="宋体" w:hAnsi="宋体" w:eastAsia="宋体"/>
          <w:color w:val="auto"/>
          <w:sz w:val="24"/>
          <w:szCs w:val="24"/>
        </w:rPr>
        <w:t>）将抢修预案及时贯彻到抢修队各工作组，使抢修队每人都清楚预案中的每一项工作环节，以备抢修时灵活应用。</w:t>
      </w:r>
    </w:p>
    <w:p>
      <w:pPr>
        <w:pStyle w:val="7"/>
        <w:spacing w:line="360" w:lineRule="auto"/>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4</w:t>
      </w:r>
      <w:r>
        <w:rPr>
          <w:rFonts w:hint="eastAsia" w:ascii="宋体" w:hAnsi="宋体" w:eastAsia="宋体"/>
          <w:color w:val="auto"/>
          <w:sz w:val="24"/>
          <w:szCs w:val="24"/>
        </w:rPr>
        <w:t>）抢修应满足应急保障时限的要求。在抢修时（除了处理故障外），对故障关联各部件进行检查测试，处理结果应在现场记录并保存相关记录。发生电力故障，白天应在接到通知</w:t>
      </w:r>
      <w:r>
        <w:rPr>
          <w:rFonts w:ascii="宋体" w:hAnsi="宋体" w:eastAsia="宋体"/>
          <w:color w:val="auto"/>
          <w:sz w:val="24"/>
          <w:szCs w:val="24"/>
        </w:rPr>
        <w:t>10</w:t>
      </w:r>
      <w:r>
        <w:rPr>
          <w:rFonts w:hint="eastAsia" w:ascii="宋体" w:hAnsi="宋体" w:eastAsia="宋体"/>
          <w:color w:val="auto"/>
          <w:sz w:val="24"/>
          <w:szCs w:val="24"/>
        </w:rPr>
        <w:t>分钟内赶到现场处理；夜间值班人员应在</w:t>
      </w:r>
      <w:r>
        <w:rPr>
          <w:rFonts w:ascii="宋体" w:hAnsi="宋体" w:eastAsia="宋体"/>
          <w:color w:val="auto"/>
          <w:sz w:val="24"/>
          <w:szCs w:val="24"/>
        </w:rPr>
        <w:t>20</w:t>
      </w:r>
      <w:r>
        <w:rPr>
          <w:rFonts w:hint="eastAsia" w:ascii="宋体" w:hAnsi="宋体" w:eastAsia="宋体"/>
          <w:color w:val="auto"/>
          <w:sz w:val="24"/>
          <w:szCs w:val="24"/>
        </w:rPr>
        <w:t>分钟内赶到现场处理。抢修时间视现场由甲方确定。</w:t>
      </w:r>
    </w:p>
    <w:p>
      <w:pPr>
        <w:pStyle w:val="7"/>
        <w:spacing w:line="360" w:lineRule="auto"/>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5</w:t>
      </w:r>
      <w:r>
        <w:rPr>
          <w:rFonts w:hint="eastAsia" w:ascii="宋体" w:hAnsi="宋体" w:eastAsia="宋体"/>
          <w:color w:val="auto"/>
          <w:sz w:val="24"/>
          <w:szCs w:val="24"/>
        </w:rPr>
        <w:t>）配备充足的抢修工具、照明设备及必要的通信工具，不许挪作他用。抢修后，应及时清点补充。</w:t>
      </w:r>
    </w:p>
    <w:p>
      <w:pPr>
        <w:pStyle w:val="7"/>
        <w:spacing w:line="276" w:lineRule="auto"/>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6</w:t>
      </w:r>
      <w:r>
        <w:rPr>
          <w:rFonts w:hint="eastAsia" w:ascii="宋体" w:hAnsi="宋体" w:eastAsia="宋体"/>
          <w:color w:val="auto"/>
          <w:sz w:val="24"/>
          <w:szCs w:val="24"/>
        </w:rPr>
        <w:t>）抢修工作应遵守有关抢修工艺要求及质量标准。更换部件维修（如更换杆塔、横担、导线、地线、绝缘子等）时，要求更换后新部件的强度和参数不低于原设计要求。</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rPr>
        <w:t>（7）高压设备和电路应急抢修内容结算：①工程结算按照工程发生时间段的最新安徽省定额和主管部门下发的各类调整文件执行。</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rPr>
        <w:t>②主要材料价格依据芜湖市建设工程造价管理站同期造价信息或同期市场价为准。</w:t>
      </w:r>
    </w:p>
    <w:p>
      <w:pPr>
        <w:pStyle w:val="6"/>
        <w:tabs>
          <w:tab w:val="left" w:pos="1440"/>
        </w:tabs>
        <w:spacing w:line="360" w:lineRule="auto"/>
        <w:ind w:firstLine="480" w:firstLineChars="200"/>
        <w:rPr>
          <w:rFonts w:ascii="宋体"/>
          <w:color w:val="auto"/>
          <w:sz w:val="28"/>
          <w:szCs w:val="28"/>
        </w:rPr>
      </w:pPr>
      <w:r>
        <w:rPr>
          <w:rFonts w:hint="eastAsia" w:ascii="宋体" w:hAnsi="宋体"/>
          <w:color w:val="auto"/>
          <w:sz w:val="24"/>
          <w:szCs w:val="24"/>
        </w:rPr>
        <w:t>③所有施工项目均需审计。按项目汇总决算送审（或根据维修造价大小适当调整送审次数），审计成立后付款。</w:t>
      </w:r>
    </w:p>
    <w:p>
      <w:pPr>
        <w:pStyle w:val="6"/>
        <w:numPr>
          <w:ilvl w:val="0"/>
          <w:numId w:val="3"/>
        </w:numPr>
        <w:tabs>
          <w:tab w:val="left" w:pos="1440"/>
        </w:tabs>
        <w:spacing w:line="360" w:lineRule="auto"/>
        <w:rPr>
          <w:rFonts w:ascii="宋体" w:hAnsi="宋体" w:cs="宋体"/>
          <w:b/>
          <w:bCs/>
          <w:color w:val="auto"/>
          <w:kern w:val="0"/>
          <w:sz w:val="28"/>
          <w:szCs w:val="28"/>
        </w:rPr>
      </w:pPr>
      <w:r>
        <w:rPr>
          <w:rFonts w:hint="eastAsia" w:ascii="宋体" w:hAnsi="宋体" w:cs="宋体"/>
          <w:b/>
          <w:bCs/>
          <w:color w:val="auto"/>
          <w:kern w:val="0"/>
          <w:sz w:val="28"/>
          <w:szCs w:val="28"/>
        </w:rPr>
        <w:t>检测、维护内容</w:t>
      </w:r>
    </w:p>
    <w:p>
      <w:pPr>
        <w:pStyle w:val="6"/>
        <w:tabs>
          <w:tab w:val="left" w:pos="1440"/>
        </w:tabs>
        <w:spacing w:line="360" w:lineRule="auto"/>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1、高压柜年度检测、维护内容</w:t>
      </w:r>
    </w:p>
    <w:tbl>
      <w:tblPr>
        <w:tblStyle w:val="4"/>
        <w:tblW w:w="9094"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5"/>
        <w:gridCol w:w="5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5" w:type="dxa"/>
            <w:noWrap w:val="0"/>
            <w:vAlign w:val="center"/>
          </w:tcPr>
          <w:p>
            <w:pPr>
              <w:pStyle w:val="6"/>
              <w:widowControl/>
              <w:spacing w:line="360" w:lineRule="auto"/>
              <w:ind w:firstLine="44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维护项目</w:t>
            </w:r>
          </w:p>
        </w:tc>
        <w:tc>
          <w:tcPr>
            <w:tcW w:w="5619" w:type="dxa"/>
            <w:noWrap w:val="0"/>
            <w:vAlign w:val="center"/>
          </w:tcPr>
          <w:p>
            <w:pPr>
              <w:pStyle w:val="6"/>
              <w:widowControl/>
              <w:spacing w:line="360" w:lineRule="auto"/>
              <w:ind w:firstLine="44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检测和维护内容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5"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高压柜耐压绝缘试验</w:t>
            </w:r>
          </w:p>
        </w:tc>
        <w:tc>
          <w:tcPr>
            <w:tcW w:w="5619"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对设备的绝缘进行评估检查，及时发现问题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5"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高压避雷器绝缘电阻试验</w:t>
            </w:r>
          </w:p>
        </w:tc>
        <w:tc>
          <w:tcPr>
            <w:tcW w:w="5619"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高压避雷器易损坏，要定时检查。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5"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避雷器泄露电流测试</w:t>
            </w:r>
          </w:p>
        </w:tc>
        <w:tc>
          <w:tcPr>
            <w:tcW w:w="5619"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检查避雷器的泄露电流，判断是否老化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5"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高压继电保护试验</w:t>
            </w:r>
          </w:p>
        </w:tc>
        <w:tc>
          <w:tcPr>
            <w:tcW w:w="5619"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检测继电保护的可靠性、准确性、保证开关可靠跳闸。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5"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开关仪表检查</w:t>
            </w:r>
          </w:p>
        </w:tc>
        <w:tc>
          <w:tcPr>
            <w:tcW w:w="5619"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检查控制显示仪表是否正常，检查多功能表计的电度是否正确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5"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开关及五防机械机构检查和维护</w:t>
            </w:r>
          </w:p>
        </w:tc>
        <w:tc>
          <w:tcPr>
            <w:tcW w:w="5619"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对高压开关动静触头检查和机械机构机械微调和保养使开关保持在最佳状态，减少故障率，开关的进出摇进机构，多次发现不灵活，造成无法合闸，必须检查修复。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5"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设备清尘</w:t>
            </w:r>
          </w:p>
        </w:tc>
        <w:tc>
          <w:tcPr>
            <w:tcW w:w="5619"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清除设备积尘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5"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设备螺丝紧固</w:t>
            </w:r>
          </w:p>
        </w:tc>
        <w:tc>
          <w:tcPr>
            <w:tcW w:w="5619"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对设备的紧固件进行复紧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5" w:type="dxa"/>
            <w:noWrap w:val="0"/>
            <w:vAlign w:val="center"/>
          </w:tcPr>
          <w:p>
            <w:pPr>
              <w:pStyle w:val="8"/>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母排检查</w:t>
            </w:r>
          </w:p>
        </w:tc>
        <w:tc>
          <w:tcPr>
            <w:tcW w:w="5619" w:type="dxa"/>
            <w:noWrap w:val="0"/>
            <w:vAlign w:val="center"/>
          </w:tcPr>
          <w:p>
            <w:pPr>
              <w:pStyle w:val="8"/>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除尘、螺栓紧固等</w:t>
            </w:r>
          </w:p>
        </w:tc>
      </w:tr>
    </w:tbl>
    <w:p>
      <w:pPr>
        <w:pStyle w:val="6"/>
        <w:tabs>
          <w:tab w:val="left" w:pos="1440"/>
        </w:tabs>
        <w:spacing w:line="360" w:lineRule="auto"/>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2、低压柜、箱变、环网柜、分支箱、楼栋配电间、楼层配电柜/箱季度检测、维护内容</w:t>
      </w:r>
    </w:p>
    <w:tbl>
      <w:tblPr>
        <w:tblStyle w:val="4"/>
        <w:tblW w:w="9105" w:type="dxa"/>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8"/>
        <w:gridCol w:w="5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8" w:type="dxa"/>
            <w:noWrap w:val="0"/>
            <w:vAlign w:val="center"/>
          </w:tcPr>
          <w:p>
            <w:pPr>
              <w:pStyle w:val="6"/>
              <w:widowControl/>
              <w:spacing w:line="360" w:lineRule="auto"/>
              <w:ind w:firstLine="44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维护项目</w:t>
            </w:r>
          </w:p>
        </w:tc>
        <w:tc>
          <w:tcPr>
            <w:tcW w:w="5317" w:type="dxa"/>
            <w:noWrap w:val="0"/>
            <w:vAlign w:val="center"/>
          </w:tcPr>
          <w:p>
            <w:pPr>
              <w:pStyle w:val="6"/>
              <w:widowControl/>
              <w:spacing w:line="360" w:lineRule="auto"/>
              <w:ind w:firstLine="44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检测和维护内容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8"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柜门、抽屉触头检查、加油润滑和评估</w:t>
            </w:r>
          </w:p>
        </w:tc>
        <w:tc>
          <w:tcPr>
            <w:tcW w:w="5317"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GCK抽屉的故障烧毁率较高，必须检测和评估。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8"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开关及刀开关机械机构检查和维护</w:t>
            </w:r>
          </w:p>
        </w:tc>
        <w:tc>
          <w:tcPr>
            <w:tcW w:w="5317"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对低压开关动静触头检查和机械机构机械微调和保养使开关保持在最佳状态，减少故障率，开关的进出摇进机构，多次发现不灵活，造成无法合闸，必须检查修复。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8"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低压开关仪表检查</w:t>
            </w:r>
          </w:p>
        </w:tc>
        <w:tc>
          <w:tcPr>
            <w:tcW w:w="5317" w:type="dxa"/>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检查控制显示仪表是否正常，检查多功能表计的电度是否正确。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8"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设备清尘</w:t>
            </w:r>
          </w:p>
        </w:tc>
        <w:tc>
          <w:tcPr>
            <w:tcW w:w="5317"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清除设备积尘、杂物等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8"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设备螺丝紧固</w:t>
            </w:r>
          </w:p>
        </w:tc>
        <w:tc>
          <w:tcPr>
            <w:tcW w:w="5317" w:type="dxa"/>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对设备的紧固件进行复紧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8" w:type="dxa"/>
            <w:noWrap w:val="0"/>
            <w:vAlign w:val="center"/>
          </w:tcPr>
          <w:p>
            <w:pPr>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检查配电柜/箱内部湿度</w:t>
            </w:r>
          </w:p>
        </w:tc>
        <w:tc>
          <w:tcPr>
            <w:tcW w:w="5317" w:type="dxa"/>
            <w:noWrap w:val="0"/>
            <w:vAlign w:val="center"/>
          </w:tcPr>
          <w:p>
            <w:pPr>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及时对柜/箱内部除湿（雨天后及时操作）</w:t>
            </w:r>
          </w:p>
        </w:tc>
      </w:tr>
    </w:tbl>
    <w:p>
      <w:pPr>
        <w:pStyle w:val="6"/>
        <w:tabs>
          <w:tab w:val="left" w:pos="1440"/>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b/>
          <w:bCs/>
          <w:color w:val="auto"/>
          <w:kern w:val="0"/>
          <w:sz w:val="24"/>
          <w:szCs w:val="24"/>
        </w:rPr>
        <w:t>变压器年度检测、维护内容</w:t>
      </w:r>
    </w:p>
    <w:tbl>
      <w:tblPr>
        <w:tblStyle w:val="4"/>
        <w:tblW w:w="9108"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7"/>
        <w:gridCol w:w="5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9108" w:type="dxa"/>
            <w:gridSpan w:val="2"/>
            <w:tcBorders>
              <w:bottom w:val="nil"/>
            </w:tcBorders>
            <w:noWrap w:val="0"/>
            <w:vAlign w:val="center"/>
          </w:tcPr>
          <w:tbl>
            <w:tblPr>
              <w:tblStyle w:val="4"/>
              <w:tblW w:w="1014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2"/>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2"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276" w:lineRule="auto"/>
                    <w:ind w:firstLine="44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维护项目</w:t>
                  </w:r>
                </w:p>
              </w:tc>
              <w:tc>
                <w:tcPr>
                  <w:tcW w:w="6208"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276" w:lineRule="auto"/>
                    <w:ind w:firstLine="960" w:firstLineChars="4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检测和维护内容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932"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耐压试验</w:t>
                  </w:r>
                </w:p>
              </w:tc>
              <w:tc>
                <w:tcPr>
                  <w:tcW w:w="6208"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对电缆进行高压试验，及时发现破损部位和损坏。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932"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直流电阻试验</w:t>
                  </w:r>
                </w:p>
              </w:tc>
              <w:tc>
                <w:tcPr>
                  <w:tcW w:w="6208"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测试变压器内部电阻变化，评估变压器发热状况。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932"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变压器控制二次调试</w:t>
                  </w:r>
                </w:p>
              </w:tc>
              <w:tc>
                <w:tcPr>
                  <w:tcW w:w="6208"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检查瓦斯继电器，温度继电器是否可靠跳闸。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932"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设备清尘</w:t>
                  </w:r>
                </w:p>
              </w:tc>
              <w:tc>
                <w:tcPr>
                  <w:tcW w:w="6208"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清除设备积尘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932"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设备螺丝紧固</w:t>
                  </w:r>
                </w:p>
              </w:tc>
              <w:tc>
                <w:tcPr>
                  <w:tcW w:w="6208"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对设备的紧固件进行复紧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32" w:type="dxa"/>
                  <w:tcBorders>
                    <w:top w:val="single" w:color="auto" w:sz="4" w:space="0"/>
                    <w:left w:val="single" w:color="auto" w:sz="4" w:space="0"/>
                    <w:bottom w:val="single" w:color="auto" w:sz="4" w:space="0"/>
                    <w:right w:val="single" w:color="auto" w:sz="4" w:space="0"/>
                  </w:tcBorders>
                  <w:noWrap w:val="0"/>
                  <w:vAlign w:val="center"/>
                </w:tcPr>
                <w:p>
                  <w:pPr>
                    <w:pStyle w:val="6"/>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变压器油检查</w:t>
                  </w:r>
                </w:p>
              </w:tc>
              <w:tc>
                <w:tcPr>
                  <w:tcW w:w="6208" w:type="dxa"/>
                  <w:tcBorders>
                    <w:top w:val="single" w:color="auto" w:sz="4" w:space="0"/>
                    <w:left w:val="single" w:color="auto" w:sz="4" w:space="0"/>
                    <w:bottom w:val="single" w:color="auto" w:sz="4" w:space="0"/>
                    <w:right w:val="single" w:color="auto" w:sz="4" w:space="0"/>
                  </w:tcBorders>
                  <w:noWrap w:val="0"/>
                  <w:vAlign w:val="center"/>
                </w:tcPr>
                <w:p>
                  <w:pPr>
                    <w:pStyle w:val="6"/>
                    <w:spacing w:line="276"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检查变压器油数量、质量等是否满足要求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32"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箱变系统电气试验</w:t>
                  </w:r>
                </w:p>
              </w:tc>
              <w:tc>
                <w:tcPr>
                  <w:tcW w:w="6208"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电容器，温度保护等系统的可靠动作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32" w:type="dxa"/>
                  <w:tcBorders>
                    <w:top w:val="single" w:color="auto" w:sz="4" w:space="0"/>
                    <w:left w:val="single" w:color="auto" w:sz="4" w:space="0"/>
                    <w:bottom w:val="single" w:color="auto" w:sz="4" w:space="0"/>
                    <w:right w:val="single" w:color="auto" w:sz="4" w:space="0"/>
                  </w:tcBorders>
                  <w:noWrap w:val="0"/>
                  <w:vAlign w:val="center"/>
                </w:tcPr>
                <w:p>
                  <w:pPr>
                    <w:pStyle w:val="6"/>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箱变内变压器、高低压柜检测</w:t>
                  </w:r>
                </w:p>
              </w:tc>
              <w:tc>
                <w:tcPr>
                  <w:tcW w:w="6208" w:type="dxa"/>
                  <w:tcBorders>
                    <w:top w:val="single" w:color="auto" w:sz="4" w:space="0"/>
                    <w:left w:val="single" w:color="auto" w:sz="4" w:space="0"/>
                    <w:bottom w:val="single" w:color="auto" w:sz="4" w:space="0"/>
                    <w:righ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内容及标准同上（同上1、高压柜年度检测、维护内容，3、变压器年度检测、维护内容）</w:t>
                  </w:r>
                </w:p>
              </w:tc>
            </w:tr>
          </w:tbl>
          <w:p>
            <w:pPr>
              <w:pStyle w:val="6"/>
              <w:widowControl/>
              <w:spacing w:line="360" w:lineRule="auto"/>
              <w:rPr>
                <w:rFonts w:hint="eastAsia" w:ascii="宋体" w:hAnsi="宋体" w:eastAsia="宋体" w:cs="宋体"/>
                <w:b/>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9108" w:type="dxa"/>
            <w:gridSpan w:val="2"/>
            <w:tcBorders>
              <w:top w:val="nil"/>
              <w:left w:val="nil"/>
              <w:bottom w:val="single" w:color="auto" w:sz="4" w:space="0"/>
              <w:right w:val="nil"/>
            </w:tcBorders>
            <w:shd w:val="clear" w:color="000000" w:fill="FFFFFF"/>
            <w:noWrap w:val="0"/>
            <w:vAlign w:val="center"/>
          </w:tcPr>
          <w:p>
            <w:pPr>
              <w:pStyle w:val="6"/>
              <w:widowControl/>
              <w:spacing w:line="360" w:lineRule="auto"/>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4、10KV高压电缆、400V低压电缆年度检测、维护内容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667" w:type="dxa"/>
            <w:tcBorders>
              <w:top w:val="single" w:color="auto" w:sz="4" w:space="0"/>
              <w:bottom w:val="single" w:color="auto" w:sz="4" w:space="0"/>
              <w:right w:val="single" w:color="auto" w:sz="4" w:space="0"/>
            </w:tcBorders>
            <w:noWrap w:val="0"/>
            <w:vAlign w:val="top"/>
          </w:tcPr>
          <w:p>
            <w:pPr>
              <w:pStyle w:val="6"/>
              <w:widowControl/>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维护项目</w:t>
            </w:r>
          </w:p>
        </w:tc>
        <w:tc>
          <w:tcPr>
            <w:tcW w:w="5441" w:type="dxa"/>
            <w:tcBorders>
              <w:top w:val="single" w:color="auto" w:sz="4" w:space="0"/>
              <w:left w:val="single" w:color="auto" w:sz="4" w:space="0"/>
              <w:bottom w:val="single" w:color="auto" w:sz="4" w:space="0"/>
            </w:tcBorders>
            <w:noWrap w:val="0"/>
            <w:vAlign w:val="top"/>
          </w:tcPr>
          <w:p>
            <w:pPr>
              <w:pStyle w:val="6"/>
              <w:widowControl/>
              <w:spacing w:line="360" w:lineRule="auto"/>
              <w:ind w:firstLine="1200" w:firstLineChars="50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检测和维护内容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667" w:type="dxa"/>
            <w:tcBorders>
              <w:top w:val="single" w:color="auto" w:sz="4" w:space="0"/>
              <w:bottom w:val="single" w:color="auto" w:sz="4" w:space="0"/>
              <w:right w:val="single" w:color="auto" w:sz="4" w:space="0"/>
            </w:tcBorders>
            <w:noWrap w:val="0"/>
            <w:vAlign w:val="top"/>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高压电缆的耐压检测</w:t>
            </w:r>
          </w:p>
        </w:tc>
        <w:tc>
          <w:tcPr>
            <w:tcW w:w="5441" w:type="dxa"/>
            <w:tcBorders>
              <w:top w:val="single" w:color="auto" w:sz="4" w:space="0"/>
              <w:left w:val="single" w:color="auto" w:sz="4" w:space="0"/>
              <w:bottom w:val="single" w:color="auto" w:sz="4" w:space="0"/>
            </w:tcBorders>
            <w:noWrap w:val="0"/>
            <w:vAlign w:val="top"/>
          </w:tcPr>
          <w:p>
            <w:pPr>
              <w:pStyle w:val="6"/>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对电缆进行高压交流耐压试验，及时发现破损部位和损坏。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667" w:type="dxa"/>
            <w:tcBorders>
              <w:top w:val="single" w:color="auto" w:sz="4" w:space="0"/>
              <w:bottom w:val="single" w:color="auto" w:sz="4" w:space="0"/>
              <w:right w:val="single" w:color="auto" w:sz="4" w:space="0"/>
            </w:tcBorders>
            <w:noWrap w:val="0"/>
            <w:vAlign w:val="top"/>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高压电缆的泄漏电流测量</w:t>
            </w:r>
          </w:p>
        </w:tc>
        <w:tc>
          <w:tcPr>
            <w:tcW w:w="5441" w:type="dxa"/>
            <w:tcBorders>
              <w:top w:val="single" w:color="auto" w:sz="4" w:space="0"/>
              <w:left w:val="single" w:color="auto" w:sz="4" w:space="0"/>
              <w:bottom w:val="single" w:color="auto" w:sz="4" w:space="0"/>
            </w:tcBorders>
            <w:noWrap w:val="0"/>
            <w:vAlign w:val="top"/>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检查高压电缆的泄漏电流值，评估电缆是否能够正常运行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667" w:type="dxa"/>
            <w:tcBorders>
              <w:top w:val="single" w:color="auto" w:sz="4" w:space="0"/>
              <w:bottom w:val="single" w:color="auto" w:sz="4" w:space="0"/>
              <w:right w:val="single" w:color="auto" w:sz="4" w:space="0"/>
            </w:tcBorders>
            <w:noWrap w:val="0"/>
            <w:vAlign w:val="top"/>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低压电缆的绝缘检测</w:t>
            </w:r>
          </w:p>
        </w:tc>
        <w:tc>
          <w:tcPr>
            <w:tcW w:w="5441" w:type="dxa"/>
            <w:tcBorders>
              <w:top w:val="single" w:color="auto" w:sz="4" w:space="0"/>
              <w:left w:val="single" w:color="auto" w:sz="4" w:space="0"/>
              <w:bottom w:val="single" w:color="auto" w:sz="4" w:space="0"/>
            </w:tcBorders>
            <w:noWrap w:val="0"/>
            <w:vAlign w:val="top"/>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对电缆进行绝缘试验，及时发现破损部位和损坏。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108" w:type="dxa"/>
            <w:gridSpan w:val="2"/>
            <w:tcBorders>
              <w:top w:val="single" w:color="auto" w:sz="4" w:space="0"/>
              <w:left w:val="nil"/>
              <w:bottom w:val="single" w:color="auto" w:sz="4" w:space="0"/>
              <w:right w:val="nil"/>
            </w:tcBorders>
            <w:shd w:val="clear" w:color="000000" w:fill="FFFFFF"/>
            <w:noWrap w:val="0"/>
            <w:vAlign w:val="center"/>
          </w:tcPr>
          <w:p>
            <w:pPr>
              <w:pStyle w:val="6"/>
              <w:widowControl/>
              <w:spacing w:line="360" w:lineRule="auto"/>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5、箱变月度检查、维护内容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667" w:type="dxa"/>
            <w:tcBorders>
              <w:top w:val="single" w:color="auto" w:sz="4" w:space="0"/>
              <w:bottom w:val="single" w:color="auto" w:sz="4" w:space="0"/>
              <w:right w:val="single" w:color="auto" w:sz="4" w:space="0"/>
            </w:tcBorders>
            <w:noWrap w:val="0"/>
            <w:vAlign w:val="center"/>
          </w:tcPr>
          <w:p>
            <w:pPr>
              <w:pStyle w:val="6"/>
              <w:widowControl/>
              <w:spacing w:line="360" w:lineRule="auto"/>
              <w:ind w:firstLine="44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维护项目</w:t>
            </w:r>
          </w:p>
        </w:tc>
        <w:tc>
          <w:tcPr>
            <w:tcW w:w="5441" w:type="dxa"/>
            <w:tcBorders>
              <w:top w:val="single" w:color="auto" w:sz="4" w:space="0"/>
              <w:left w:val="single" w:color="auto" w:sz="4" w:space="0"/>
              <w:bottom w:val="single" w:color="auto" w:sz="4" w:space="0"/>
            </w:tcBorders>
            <w:noWrap w:val="0"/>
            <w:vAlign w:val="center"/>
          </w:tcPr>
          <w:p>
            <w:pPr>
              <w:pStyle w:val="6"/>
              <w:widowControl/>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检测和维护内容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667" w:type="dxa"/>
            <w:tcBorders>
              <w:top w:val="single" w:color="auto" w:sz="4" w:space="0"/>
              <w:bottom w:val="single" w:color="auto" w:sz="4" w:space="0"/>
              <w:righ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箱变整体防水，防鼠等</w:t>
            </w:r>
          </w:p>
        </w:tc>
        <w:tc>
          <w:tcPr>
            <w:tcW w:w="5441" w:type="dxa"/>
            <w:tcBorders>
              <w:top w:val="single" w:color="auto" w:sz="4" w:space="0"/>
              <w:left w:val="single" w:color="auto" w:sz="4" w:space="0"/>
              <w:bottom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对设备的密封防雨、防水、防鼠等隐患检查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667" w:type="dxa"/>
            <w:tcBorders>
              <w:top w:val="single" w:color="auto" w:sz="4" w:space="0"/>
              <w:bottom w:val="single" w:color="auto" w:sz="4" w:space="0"/>
              <w:righ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箱变卫生</w:t>
            </w:r>
          </w:p>
        </w:tc>
        <w:tc>
          <w:tcPr>
            <w:tcW w:w="5441" w:type="dxa"/>
            <w:tcBorders>
              <w:top w:val="single" w:color="auto" w:sz="4" w:space="0"/>
              <w:left w:val="single" w:color="auto" w:sz="4" w:space="0"/>
              <w:bottom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检查箱变整体卫生情况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667" w:type="dxa"/>
            <w:tcBorders>
              <w:top w:val="single" w:color="auto" w:sz="4" w:space="0"/>
              <w:right w:val="single" w:color="auto" w:sz="4" w:space="0"/>
            </w:tcBorders>
            <w:noWrap w:val="0"/>
            <w:vAlign w:val="center"/>
          </w:tcPr>
          <w:p>
            <w:pPr>
              <w:pStyle w:val="6"/>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电容柜</w:t>
            </w:r>
          </w:p>
        </w:tc>
        <w:tc>
          <w:tcPr>
            <w:tcW w:w="5441" w:type="dxa"/>
            <w:tcBorders>
              <w:top w:val="single" w:color="auto" w:sz="4" w:space="0"/>
              <w:left w:val="single" w:color="auto" w:sz="4" w:space="0"/>
            </w:tcBorders>
            <w:noWrap w:val="0"/>
            <w:vAlign w:val="center"/>
          </w:tcPr>
          <w:p>
            <w:pPr>
              <w:pStyle w:val="6"/>
              <w:widowControl/>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电容工作状态，无功补偿系数核算</w:t>
            </w:r>
          </w:p>
        </w:tc>
      </w:tr>
    </w:tbl>
    <w:p>
      <w:pPr>
        <w:pStyle w:val="7"/>
        <w:spacing w:line="360" w:lineRule="auto"/>
        <w:ind w:firstLine="0" w:firstLineChars="0"/>
        <w:rPr>
          <w:rFonts w:ascii="宋体" w:hAnsi="宋体" w:eastAsia="宋体"/>
          <w:b/>
          <w:bCs/>
          <w:color w:val="auto"/>
          <w:szCs w:val="28"/>
        </w:rPr>
      </w:pPr>
      <w:r>
        <w:rPr>
          <w:rFonts w:hint="eastAsia" w:ascii="宋体" w:hAnsi="宋体" w:eastAsia="宋体"/>
          <w:b/>
          <w:bCs/>
          <w:color w:val="auto"/>
          <w:szCs w:val="28"/>
        </w:rPr>
        <w:t>四、招标要求   注：甲方：安徽师范大学；乙方：中标单位。</w:t>
      </w:r>
    </w:p>
    <w:p>
      <w:pPr>
        <w:pStyle w:val="6"/>
        <w:tabs>
          <w:tab w:val="left" w:pos="1440"/>
        </w:tabs>
        <w:spacing w:line="360" w:lineRule="auto"/>
        <w:ind w:firstLine="480"/>
        <w:rPr>
          <w:rFonts w:ascii="宋体"/>
          <w:color w:val="auto"/>
          <w:sz w:val="24"/>
          <w:szCs w:val="24"/>
        </w:rPr>
      </w:pPr>
      <w:r>
        <w:rPr>
          <w:rFonts w:hint="eastAsia" w:ascii="宋体" w:hAnsi="宋体" w:cs="宋体"/>
          <w:color w:val="auto"/>
          <w:kern w:val="0"/>
          <w:sz w:val="24"/>
          <w:szCs w:val="24"/>
        </w:rPr>
        <w:t>1、</w:t>
      </w:r>
      <w:r>
        <w:rPr>
          <w:rFonts w:hint="eastAsia" w:ascii="宋体" w:hAnsi="宋体"/>
          <w:color w:val="auto"/>
          <w:sz w:val="24"/>
          <w:szCs w:val="24"/>
        </w:rPr>
        <w:t>投标文件中明确人员数及人员资质材料（不低于岗位要求、资质符合要求）、质量承诺、服务承诺、应急抢修承诺、保证学校正常供电承诺、整个维保期间的工作方案。</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、乙方需按照甲方对区域、时间的要求进行停供电；乙方如需停送电进行作业需提前三天将影响区域和时间报甲方，经甲方批准后方可施工。</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乙方必须承诺依法用工，与聘用员工签定劳动合同，人员工资不得低于芜湖市市区最低工资标准，保险缴纳按国家相关规定执行。依法按时足额核发员工工资和加班费等。承担所有劳务纠纷、工伤、意外伤害事故等所产生的全部责任。</w:t>
      </w:r>
    </w:p>
    <w:p>
      <w:pPr>
        <w:pStyle w:val="6"/>
        <w:tabs>
          <w:tab w:val="left" w:pos="1440"/>
        </w:tabs>
        <w:spacing w:line="360" w:lineRule="auto"/>
        <w:ind w:firstLine="480" w:firstLineChars="200"/>
        <w:rPr>
          <w:rFonts w:asci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、所有员工在岗期间应统一着装，佩戴能明显识别的工号牌，</w:t>
      </w:r>
      <w:r>
        <w:rPr>
          <w:rFonts w:ascii="宋体" w:hAnsi="宋体"/>
          <w:color w:val="auto"/>
          <w:sz w:val="24"/>
          <w:szCs w:val="24"/>
        </w:rPr>
        <w:t>仪表</w:t>
      </w:r>
      <w:r>
        <w:rPr>
          <w:rFonts w:hint="eastAsia" w:ascii="宋体" w:hAnsi="宋体"/>
          <w:color w:val="auto"/>
          <w:sz w:val="24"/>
          <w:szCs w:val="24"/>
        </w:rPr>
        <w:t>行为</w:t>
      </w:r>
      <w:r>
        <w:rPr>
          <w:rFonts w:ascii="宋体" w:hAnsi="宋体"/>
          <w:color w:val="auto"/>
          <w:sz w:val="24"/>
          <w:szCs w:val="24"/>
        </w:rPr>
        <w:t>整洁规范</w:t>
      </w:r>
      <w:r>
        <w:rPr>
          <w:rFonts w:hint="eastAsia" w:ascii="宋体" w:hAnsi="宋体"/>
          <w:color w:val="auto"/>
          <w:sz w:val="24"/>
          <w:szCs w:val="24"/>
        </w:rPr>
        <w:t>，热情耐心服务师生。</w:t>
      </w:r>
    </w:p>
    <w:p>
      <w:pPr>
        <w:pStyle w:val="6"/>
        <w:tabs>
          <w:tab w:val="left" w:pos="1440"/>
        </w:tabs>
        <w:spacing w:line="360" w:lineRule="auto"/>
        <w:ind w:firstLine="480" w:firstLineChars="200"/>
        <w:rPr>
          <w:rFonts w:ascii="宋体" w:hAnsi="宋体" w:cs="宋体"/>
          <w:bCs/>
          <w:color w:val="auto"/>
          <w:kern w:val="0"/>
          <w:sz w:val="24"/>
          <w:szCs w:val="24"/>
        </w:rPr>
      </w:pPr>
      <w:r>
        <w:rPr>
          <w:rFonts w:hint="eastAsia" w:ascii="宋体" w:hAnsi="宋体"/>
          <w:color w:val="auto"/>
          <w:sz w:val="24"/>
          <w:szCs w:val="24"/>
          <w:lang w:val="en-US" w:eastAsia="zh-CN"/>
        </w:rPr>
        <w:t>5</w:t>
      </w:r>
      <w:r>
        <w:rPr>
          <w:rFonts w:hint="eastAsia" w:ascii="宋体" w:hAnsi="宋体"/>
          <w:color w:val="auto"/>
          <w:sz w:val="24"/>
          <w:szCs w:val="24"/>
        </w:rPr>
        <w:t>、</w:t>
      </w:r>
      <w:r>
        <w:rPr>
          <w:rFonts w:hint="eastAsia" w:ascii="宋体" w:hAnsi="宋体" w:cs="宋体"/>
          <w:bCs/>
          <w:color w:val="auto"/>
          <w:kern w:val="0"/>
          <w:sz w:val="24"/>
          <w:szCs w:val="24"/>
        </w:rPr>
        <w:t>乙方进场时须和甲方做好设备等交接，并承担甲方移交的所有设施设备安全保管责任，确保其不丢失和不被人为损坏。</w:t>
      </w:r>
    </w:p>
    <w:p>
      <w:pPr>
        <w:pStyle w:val="6"/>
        <w:tabs>
          <w:tab w:val="left" w:pos="1440"/>
        </w:tabs>
        <w:spacing w:line="360" w:lineRule="auto"/>
        <w:ind w:firstLine="480" w:firstLineChars="200"/>
        <w:rPr>
          <w:rFonts w:ascii="宋体" w:hAnsi="宋体" w:cs="宋体"/>
          <w:bCs/>
          <w:color w:val="auto"/>
          <w:kern w:val="0"/>
          <w:sz w:val="24"/>
          <w:szCs w:val="24"/>
        </w:rPr>
      </w:pPr>
      <w:r>
        <w:rPr>
          <w:rFonts w:hint="eastAsia" w:ascii="宋体" w:hAnsi="宋体" w:cs="宋体"/>
          <w:bCs/>
          <w:color w:val="auto"/>
          <w:kern w:val="0"/>
          <w:sz w:val="24"/>
          <w:szCs w:val="24"/>
          <w:lang w:val="en-US" w:eastAsia="zh-CN"/>
        </w:rPr>
        <w:t>6</w:t>
      </w:r>
      <w:r>
        <w:rPr>
          <w:rFonts w:hint="eastAsia" w:ascii="宋体" w:hAnsi="宋体" w:cs="宋体"/>
          <w:bCs/>
          <w:color w:val="auto"/>
          <w:kern w:val="0"/>
          <w:sz w:val="24"/>
          <w:szCs w:val="24"/>
        </w:rPr>
        <w:t>、付款方式</w:t>
      </w:r>
    </w:p>
    <w:p>
      <w:pPr>
        <w:pStyle w:val="6"/>
        <w:tabs>
          <w:tab w:val="left" w:pos="1440"/>
        </w:tabs>
        <w:spacing w:line="360" w:lineRule="auto"/>
        <w:ind w:firstLine="480" w:firstLineChars="200"/>
        <w:rPr>
          <w:rFonts w:ascii="宋体" w:hAnsi="宋体" w:cs="宋体"/>
          <w:bCs/>
          <w:color w:val="auto"/>
          <w:kern w:val="0"/>
          <w:sz w:val="24"/>
          <w:szCs w:val="24"/>
        </w:rPr>
      </w:pPr>
      <w:r>
        <w:rPr>
          <w:rFonts w:hint="eastAsia" w:ascii="宋体" w:hAnsi="宋体" w:cs="宋体"/>
          <w:bCs/>
          <w:color w:val="auto"/>
          <w:kern w:val="0"/>
          <w:sz w:val="24"/>
          <w:szCs w:val="24"/>
        </w:rPr>
        <w:t>（1）乙方按招投标文件要求，完成当前季度工作后，甲方支付乙方该季度费用。</w:t>
      </w:r>
    </w:p>
    <w:p>
      <w:pPr>
        <w:pStyle w:val="6"/>
        <w:tabs>
          <w:tab w:val="left" w:pos="1440"/>
        </w:tabs>
        <w:spacing w:line="360" w:lineRule="auto"/>
        <w:ind w:firstLine="480" w:firstLineChars="200"/>
        <w:rPr>
          <w:rFonts w:ascii="宋体" w:hAnsi="宋体" w:cs="宋体"/>
          <w:bCs/>
          <w:color w:val="auto"/>
          <w:kern w:val="0"/>
          <w:sz w:val="24"/>
          <w:szCs w:val="24"/>
        </w:rPr>
      </w:pPr>
      <w:r>
        <w:rPr>
          <w:rFonts w:hint="eastAsia" w:ascii="宋体" w:hAnsi="宋体" w:cs="宋体"/>
          <w:bCs/>
          <w:color w:val="auto"/>
          <w:kern w:val="0"/>
          <w:sz w:val="24"/>
          <w:szCs w:val="24"/>
        </w:rPr>
        <w:t>（2）未能按时按质履行养护、报修职责，由甲方安排其它施工队进行养护、维修，所产生的费用甲方将以双倍的金额从乙方后续项目工程款中直接扣除。</w:t>
      </w:r>
    </w:p>
    <w:p>
      <w:pPr>
        <w:pStyle w:val="8"/>
        <w:spacing w:line="400" w:lineRule="exact"/>
        <w:rPr>
          <w:rFonts w:ascii="宋体" w:hAnsi="宋体"/>
          <w:b/>
          <w:color w:val="auto"/>
          <w:sz w:val="28"/>
          <w:szCs w:val="28"/>
        </w:rPr>
      </w:pPr>
      <w:r>
        <w:rPr>
          <w:rFonts w:hint="eastAsia" w:ascii="宋体" w:hAnsi="宋体"/>
          <w:b/>
          <w:color w:val="auto"/>
          <w:sz w:val="28"/>
          <w:szCs w:val="28"/>
        </w:rPr>
        <w:t>五、</w:t>
      </w:r>
      <w:r>
        <w:rPr>
          <w:rFonts w:hint="eastAsia" w:ascii="宋体" w:hAnsi="宋体"/>
          <w:b/>
          <w:color w:val="auto"/>
          <w:sz w:val="28"/>
          <w:szCs w:val="28"/>
          <w:lang w:eastAsia="zh-CN"/>
        </w:rPr>
        <w:t>服务费</w:t>
      </w:r>
      <w:r>
        <w:rPr>
          <w:rFonts w:hint="eastAsia" w:ascii="宋体" w:hAnsi="宋体"/>
          <w:b/>
          <w:color w:val="auto"/>
          <w:sz w:val="28"/>
          <w:szCs w:val="28"/>
        </w:rPr>
        <w:t>扣减规定</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rPr>
        <w:t>1、乙方须按照甲方管理服务标准提供优质服务。乙方未按要求完成的，甲方可要求乙方限时整改，若乙方按要求及时整改完成并通过甲方验收，甲方可对乙方免于扣减</w:t>
      </w:r>
      <w:r>
        <w:rPr>
          <w:rFonts w:hint="eastAsia" w:ascii="宋体" w:hAnsi="宋体"/>
          <w:color w:val="auto"/>
          <w:sz w:val="24"/>
          <w:szCs w:val="24"/>
          <w:lang w:eastAsia="zh-CN"/>
        </w:rPr>
        <w:t>服务费</w:t>
      </w:r>
      <w:r>
        <w:rPr>
          <w:rFonts w:hint="eastAsia" w:ascii="宋体" w:hAnsi="宋体"/>
          <w:color w:val="auto"/>
          <w:sz w:val="24"/>
          <w:szCs w:val="24"/>
        </w:rPr>
        <w:t>；如乙方未进行整改或整改不彻底的，甲方可依照本规定对乙方予以扣减</w:t>
      </w:r>
      <w:r>
        <w:rPr>
          <w:rFonts w:hint="eastAsia" w:ascii="宋体" w:hAnsi="宋体"/>
          <w:color w:val="auto"/>
          <w:sz w:val="24"/>
          <w:szCs w:val="24"/>
          <w:lang w:eastAsia="zh-CN"/>
        </w:rPr>
        <w:t>服务费</w:t>
      </w:r>
      <w:r>
        <w:rPr>
          <w:rFonts w:hint="eastAsia" w:ascii="宋体" w:hAnsi="宋体"/>
          <w:color w:val="auto"/>
          <w:sz w:val="24"/>
          <w:szCs w:val="24"/>
        </w:rPr>
        <w:t>。</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rPr>
        <w:t>2、乙方总公司副总经理以上人员不能每季度到学校实地检查指导维保服务工作的，每次扣减3000元。</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rPr>
        <w:t>3、管理、服务人员违反招标文件文件约定人数的，每少1人当月扣减5000元。</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rPr>
        <w:t>4、经甲方随时检查，乙方未达到约定服务标准的，每项(每次、每处)扣减1000元；使用单位投诉安全生产问题属实的，每项(每次、每处)扣减2000元；甲方校领导检查工作时发现安全生产问题，每项(每次、每处)扣减5000元。</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rPr>
        <w:t>5、未经甲方书面同意，乙方在合同约定的服务范围内向服务对象收取费用的，除要求乙方全额清退外，甲方按照所收取金额的5倍对乙方予以处罚，从</w:t>
      </w:r>
      <w:r>
        <w:rPr>
          <w:rFonts w:hint="eastAsia" w:ascii="宋体" w:hAnsi="宋体"/>
          <w:color w:val="auto"/>
          <w:sz w:val="24"/>
          <w:szCs w:val="24"/>
          <w:lang w:eastAsia="zh-CN"/>
        </w:rPr>
        <w:t>服务费</w:t>
      </w:r>
      <w:r>
        <w:rPr>
          <w:rFonts w:hint="eastAsia" w:ascii="宋体" w:hAnsi="宋体"/>
          <w:color w:val="auto"/>
          <w:sz w:val="24"/>
          <w:szCs w:val="24"/>
        </w:rPr>
        <w:t>中扣减。</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rPr>
        <w:t>6、出现供电责任事故或安全责任事故造成重大损失或影响的，除赔偿损失外，视情节轻重一次性处罚5万-10万元，直至扣减全部</w:t>
      </w:r>
      <w:r>
        <w:rPr>
          <w:rFonts w:hint="eastAsia" w:ascii="宋体" w:hAnsi="宋体"/>
          <w:color w:val="auto"/>
          <w:sz w:val="24"/>
          <w:szCs w:val="24"/>
          <w:lang w:eastAsia="zh-CN"/>
        </w:rPr>
        <w:t>服务费</w:t>
      </w:r>
      <w:r>
        <w:rPr>
          <w:rFonts w:hint="eastAsia" w:ascii="宋体" w:hAnsi="宋体"/>
          <w:color w:val="auto"/>
          <w:sz w:val="24"/>
          <w:szCs w:val="24"/>
        </w:rPr>
        <w:t>并解除合同。</w:t>
      </w:r>
    </w:p>
    <w:p>
      <w:pPr>
        <w:pStyle w:val="6"/>
        <w:tabs>
          <w:tab w:val="left" w:pos="1440"/>
        </w:tabs>
        <w:spacing w:line="360" w:lineRule="auto"/>
        <w:ind w:firstLine="480" w:firstLineChars="200"/>
        <w:rPr>
          <w:rFonts w:ascii="宋体" w:hAnsi="宋体"/>
          <w:color w:val="auto"/>
          <w:sz w:val="24"/>
          <w:szCs w:val="24"/>
        </w:rPr>
      </w:pPr>
      <w:r>
        <w:rPr>
          <w:rFonts w:hint="eastAsia" w:ascii="宋体" w:hAnsi="宋体"/>
          <w:color w:val="auto"/>
          <w:sz w:val="24"/>
          <w:szCs w:val="24"/>
        </w:rPr>
        <w:t>7、开闭所值班。甲方检查时，乙方电力值班人员不在岗或有饮酒现象，每项(每次、每处)扣减10000元。</w:t>
      </w:r>
    </w:p>
    <w:p>
      <w:pPr>
        <w:pStyle w:val="8"/>
        <w:spacing w:line="360" w:lineRule="auto"/>
        <w:ind w:firstLine="480" w:firstLineChars="200"/>
        <w:jc w:val="left"/>
        <w:rPr>
          <w:rFonts w:ascii="宋体" w:hAnsi="宋体"/>
          <w:color w:val="auto"/>
          <w:sz w:val="24"/>
          <w:szCs w:val="24"/>
        </w:rPr>
      </w:pPr>
      <w:r>
        <w:rPr>
          <w:rFonts w:hint="eastAsia" w:ascii="宋体" w:hAnsi="宋体"/>
          <w:color w:val="auto"/>
          <w:sz w:val="24"/>
          <w:szCs w:val="24"/>
        </w:rPr>
        <w:t>8、日常检修。日常检修每月无法完成或由于工作不认真造成停电事故，每项(每次、每处)扣减5000元，三次以上甲方有权解除合同；未按规定完成低压柜、箱变、环网柜、分支箱、楼栋配电间、楼层配电柜/箱季度检测、维护内容，每项(每次、每处)扣减5000元，三次以上甲方有权解除合同。</w:t>
      </w:r>
    </w:p>
    <w:p>
      <w:pPr>
        <w:pStyle w:val="8"/>
        <w:spacing w:line="360" w:lineRule="auto"/>
        <w:ind w:firstLine="480" w:firstLineChars="200"/>
        <w:jc w:val="left"/>
        <w:rPr>
          <w:rFonts w:ascii="宋体" w:hAnsi="宋体"/>
          <w:color w:val="auto"/>
          <w:sz w:val="24"/>
          <w:szCs w:val="24"/>
        </w:rPr>
      </w:pPr>
      <w:r>
        <w:rPr>
          <w:rFonts w:hint="eastAsia" w:ascii="宋体" w:hAnsi="宋体"/>
          <w:color w:val="auto"/>
          <w:sz w:val="24"/>
          <w:szCs w:val="24"/>
        </w:rPr>
        <w:t>9、应急抢修。应急抢修未在甲方规定的时间内完成，每项(每次、每处)扣减10000元，三次以上甲方有权解除合同。</w:t>
      </w:r>
    </w:p>
    <w:p>
      <w:pPr>
        <w:pStyle w:val="8"/>
        <w:spacing w:line="360" w:lineRule="auto"/>
        <w:ind w:firstLine="480" w:firstLineChars="200"/>
        <w:jc w:val="left"/>
        <w:rPr>
          <w:rFonts w:ascii="宋体" w:hAnsi="宋体"/>
          <w:color w:val="auto"/>
          <w:sz w:val="24"/>
          <w:szCs w:val="24"/>
        </w:rPr>
      </w:pPr>
      <w:r>
        <w:rPr>
          <w:rFonts w:hint="eastAsia" w:ascii="宋体" w:hAnsi="宋体"/>
          <w:color w:val="auto"/>
          <w:sz w:val="24"/>
          <w:szCs w:val="24"/>
        </w:rPr>
        <w:t>10、本规定中的“每项(每次、每处)”是指条款中所述事项之一。</w:t>
      </w:r>
    </w:p>
    <w:p>
      <w:pPr>
        <w:pStyle w:val="8"/>
        <w:spacing w:line="360" w:lineRule="auto"/>
        <w:ind w:firstLine="480" w:firstLineChars="200"/>
        <w:jc w:val="left"/>
        <w:rPr>
          <w:rFonts w:ascii="宋体" w:hAnsi="宋体" w:cs="宋体"/>
          <w:color w:val="auto"/>
          <w:kern w:val="0"/>
          <w:sz w:val="24"/>
          <w:szCs w:val="24"/>
          <w:lang w:bidi="ar"/>
        </w:rPr>
      </w:pPr>
      <w:r>
        <w:rPr>
          <w:rFonts w:hint="eastAsia" w:ascii="宋体" w:hAnsi="宋体"/>
          <w:color w:val="auto"/>
          <w:sz w:val="24"/>
          <w:szCs w:val="24"/>
        </w:rPr>
        <w:t>11、乙方未能按时按质履行养护、报修职责，由甲方安排其它施工队进行养护、维修，所产生的费用甲方将以双倍的金额从乙方后续项目工程款中直接扣除。</w:t>
      </w:r>
    </w:p>
    <w:p>
      <w:pPr>
        <w:pStyle w:val="7"/>
        <w:spacing w:line="360" w:lineRule="auto"/>
        <w:ind w:firstLine="0" w:firstLineChars="0"/>
        <w:rPr>
          <w:rFonts w:ascii="宋体" w:hAnsi="宋体" w:eastAsia="宋体"/>
          <w:b/>
          <w:bCs/>
          <w:color w:val="auto"/>
          <w:szCs w:val="28"/>
        </w:rPr>
      </w:pPr>
      <w:r>
        <w:rPr>
          <w:rFonts w:hint="eastAsia" w:ascii="宋体" w:hAnsi="宋体" w:eastAsia="宋体"/>
          <w:b/>
          <w:bCs/>
          <w:color w:val="auto"/>
          <w:szCs w:val="28"/>
        </w:rPr>
        <w:t>六、技术要求</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1、遵守国家有关电力运行维护规程和规定，维保内容如有不详尽内容，可以参照以下法律法规：</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（1）中华人民共和国电力法</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（2）电力设施保护条例</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（3）电力设施保护条例实施细则</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（4）架空送电线路运行规程</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（5）送电专业生产工作管理制度</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（6）电业安全工程规程（电力线路部分）</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（7）电业生产事故调查规程</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（8）电业生产人员培训制度</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（9）交流电气装置的过电压保护和绝缘配合</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（10）带电作业技术管理制度</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（11）电网调度管理规程</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（12）电网调度管理条例</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（13）电网调度管理条例实施办法</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2、必须保存相关资料，并保持完整、连续和准确，应保持线路运行图表及资料与现场实际相符。</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3、加强对设备维护、故障的管理，制定维护计划，做好维护记录，定期进行统计分析，提出处理意见，并按要求定期上报。</w:t>
      </w:r>
    </w:p>
    <w:p>
      <w:pPr>
        <w:pStyle w:val="6"/>
        <w:tabs>
          <w:tab w:val="left" w:pos="1440"/>
        </w:tabs>
        <w:spacing w:line="360" w:lineRule="auto"/>
        <w:ind w:firstLine="480" w:firstLineChars="200"/>
        <w:rPr>
          <w:rFonts w:hint="eastAsia" w:ascii="宋体" w:hAnsi="宋体"/>
          <w:color w:val="auto"/>
          <w:sz w:val="24"/>
          <w:szCs w:val="24"/>
        </w:rPr>
      </w:pPr>
      <w:r>
        <w:rPr>
          <w:rFonts w:hint="eastAsia" w:ascii="宋体" w:hAnsi="宋体"/>
          <w:color w:val="auto"/>
          <w:sz w:val="24"/>
          <w:szCs w:val="24"/>
        </w:rPr>
        <w:t>4、应加强工作人员人身安全培训，提高安全意识，配备齐各项防护装置，制定带电作业各项规章制度并严格执行。</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FFF6F4"/>
    <w:multiLevelType w:val="singleLevel"/>
    <w:tmpl w:val="B6FFF6F4"/>
    <w:lvl w:ilvl="0" w:tentative="0">
      <w:start w:val="3"/>
      <w:numFmt w:val="chineseCounting"/>
      <w:suff w:val="nothing"/>
      <w:lvlText w:val="%1、"/>
      <w:lvlJc w:val="left"/>
      <w:rPr>
        <w:rFonts w:hint="eastAsia"/>
      </w:rPr>
    </w:lvl>
  </w:abstractNum>
  <w:abstractNum w:abstractNumId="1">
    <w:nsid w:val="76710BAF"/>
    <w:multiLevelType w:val="singleLevel"/>
    <w:tmpl w:val="76710BAF"/>
    <w:lvl w:ilvl="0" w:tentative="0">
      <w:start w:val="1"/>
      <w:numFmt w:val="decimal"/>
      <w:suff w:val="nothing"/>
      <w:lvlText w:val="%1、"/>
      <w:lvlJc w:val="left"/>
      <w:rPr>
        <w:rFonts w:cs="Times New Roman"/>
      </w:rPr>
    </w:lvl>
  </w:abstractNum>
  <w:abstractNum w:abstractNumId="2">
    <w:nsid w:val="76710BB0"/>
    <w:multiLevelType w:val="singleLevel"/>
    <w:tmpl w:val="76710BB0"/>
    <w:lvl w:ilvl="0" w:tentative="0">
      <w:start w:val="4"/>
      <w:numFmt w:val="decimal"/>
      <w:suff w:val="nothing"/>
      <w:lvlText w:val="%1、"/>
      <w:lvlJc w:val="left"/>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0NjFmYTBiM2NkMTkwMzFkMjMyNzUyZTRlNWMwMTQifQ=="/>
  </w:docVars>
  <w:rsids>
    <w:rsidRoot w:val="00000000"/>
    <w:rsid w:val="409D1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仿宋_GB2312"/>
      <w:spacing w:val="10"/>
      <w:sz w:val="28"/>
      <w:szCs w:val="28"/>
    </w:rPr>
  </w:style>
  <w:style w:type="paragraph" w:customStyle="1" w:styleId="6">
    <w:name w:val="正文_4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
    <w:name w:val="样式 首行缩进:  2 字符"/>
    <w:basedOn w:val="8"/>
    <w:qFormat/>
    <w:uiPriority w:val="99"/>
    <w:pPr>
      <w:spacing w:line="560" w:lineRule="exact"/>
      <w:ind w:firstLine="560" w:firstLineChars="200"/>
    </w:pPr>
    <w:rPr>
      <w:rFonts w:eastAsia="仿宋_GB2312" w:cs="宋体"/>
      <w:sz w:val="28"/>
    </w:rPr>
  </w:style>
  <w:style w:type="paragraph" w:customStyle="1" w:styleId="8">
    <w:name w:val="正文_4"/>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2022-06-28T14:02:58Z</dcterms:created>
  <dc:creator>Administrator</dc:creator>
  <cp:lastModifiedBy>"梦""诺"</cp:lastModifiedBy>
  <dcterms:modified xsi:type="dcterms:W3CDTF">2022-06-28T14:03:05Z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1D873471184349D09FB9213F38A4316E</vt:lpwstr>
  </property>
</Properties>
</file>