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tabs>
          <w:tab w:val="left" w:pos="0"/>
          <w:tab w:val="left" w:pos="420"/>
          <w:tab w:val="center" w:pos="4153"/>
        </w:tabs>
        <w:autoSpaceDE w:val="0"/>
        <w:autoSpaceDN w:val="0"/>
        <w:adjustRightInd w:val="0"/>
        <w:spacing w:line="560" w:lineRule="exact"/>
        <w:jc w:val="center"/>
        <w:outlineLvl w:val="0"/>
        <w:rPr>
          <w:rFonts w:ascii="Times New Roman" w:hAnsi="Times New Roman" w:eastAsia="方正小标宋简体" w:cs="Times New Roman"/>
          <w:bCs/>
          <w:kern w:val="44"/>
          <w:sz w:val="44"/>
          <w:szCs w:val="44"/>
        </w:rPr>
      </w:pPr>
      <w:bookmarkStart w:id="0" w:name="OLE_LINK3"/>
      <w:bookmarkStart w:id="1" w:name="OLE_LINK5"/>
      <w:bookmarkStart w:id="2" w:name="OLE_LINK4"/>
      <w:bookmarkStart w:id="3" w:name="OLE_LINK1"/>
      <w:r>
        <w:rPr>
          <w:rFonts w:ascii="Times New Roman" w:hAnsi="Times New Roman" w:eastAsia="方正小标宋简体" w:cs="Times New Roman"/>
          <w:bCs/>
          <w:kern w:val="44"/>
          <w:sz w:val="44"/>
          <w:szCs w:val="44"/>
        </w:rPr>
        <w:t>采办计划公告</w:t>
      </w:r>
    </w:p>
    <w:bookmarkEnd w:id="0"/>
    <w:p>
      <w:pPr>
        <w:tabs>
          <w:tab w:val="left" w:pos="993"/>
          <w:tab w:val="left" w:pos="1134"/>
          <w:tab w:val="left" w:pos="1418"/>
        </w:tabs>
        <w:spacing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为便于供应商及时了解项目采办信息，现将</w:t>
      </w:r>
      <w:r>
        <w:rPr>
          <w:rFonts w:ascii="Times New Roman" w:hAnsi="Times New Roman" w:eastAsia="仿宋_GB2312" w:cs="Times New Roman"/>
          <w:color w:val="000000" w:themeColor="text1"/>
          <w:sz w:val="32"/>
          <w:szCs w:val="32"/>
          <w:u w:val="single"/>
          <w14:textFill>
            <w14:solidFill>
              <w14:schemeClr w14:val="tx1"/>
            </w14:solidFill>
          </w14:textFill>
        </w:rPr>
        <w:t>（</w:t>
      </w:r>
      <w:r>
        <w:rPr>
          <w:rFonts w:hint="eastAsia" w:ascii="仿宋" w:hAnsi="仿宋" w:eastAsia="仿宋"/>
          <w:sz w:val="32"/>
          <w:szCs w:val="32"/>
          <w:u w:val="single"/>
        </w:rPr>
        <w:t>海油发展</w:t>
      </w:r>
      <w:r>
        <w:rPr>
          <w:rFonts w:ascii="Times New Roman" w:hAnsi="Times New Roman" w:eastAsia="等线" w:cs="Times New Roman"/>
          <w:sz w:val="32"/>
          <w:szCs w:val="32"/>
          <w:u w:val="single"/>
        </w:rPr>
        <w:t>-</w:t>
      </w:r>
      <w:r>
        <w:rPr>
          <w:rFonts w:hint="eastAsia" w:ascii="仿宋" w:hAnsi="仿宋" w:eastAsia="仿宋"/>
          <w:sz w:val="32"/>
          <w:szCs w:val="32"/>
          <w:u w:val="single"/>
        </w:rPr>
        <w:t>运维品类部</w:t>
      </w:r>
      <w:r>
        <w:rPr>
          <w:rFonts w:ascii="Times New Roman" w:hAnsi="Times New Roman" w:eastAsia="等线" w:cs="Times New Roman"/>
          <w:sz w:val="32"/>
          <w:szCs w:val="32"/>
          <w:u w:val="single"/>
        </w:rPr>
        <w:t>-</w:t>
      </w:r>
      <w:r>
        <w:rPr>
          <w:rFonts w:hint="eastAsia" w:ascii="Times New Roman" w:hAnsi="Times New Roman" w:eastAsia="仿宋_GB2312" w:cs="Times New Roman"/>
          <w:sz w:val="32"/>
          <w:szCs w:val="32"/>
          <w:u w:val="single"/>
          <w:lang w:eastAsia="zh-CN"/>
        </w:rPr>
        <w:t>探头标定装置等3项</w:t>
      </w:r>
      <w:r>
        <w:rPr>
          <w:rFonts w:ascii="Times New Roman" w:hAnsi="Times New Roman" w:eastAsia="仿宋_GB2312" w:cs="Times New Roman"/>
          <w:sz w:val="32"/>
          <w:szCs w:val="32"/>
          <w:u w:val="single"/>
        </w:rPr>
        <w:t>-202</w:t>
      </w:r>
      <w:r>
        <w:rPr>
          <w:rFonts w:hint="eastAsia" w:ascii="Times New Roman" w:hAnsi="Times New Roman" w:eastAsia="仿宋_GB2312" w:cs="Times New Roman"/>
          <w:sz w:val="32"/>
          <w:szCs w:val="32"/>
          <w:u w:val="single"/>
          <w:lang w:val="en-US" w:eastAsia="zh-CN"/>
        </w:rPr>
        <w:t>50627</w:t>
      </w:r>
      <w:r>
        <w:rPr>
          <w:rFonts w:ascii="Times New Roman" w:hAnsi="Times New Roman" w:eastAsia="仿宋_GB2312" w:cs="Times New Roman"/>
          <w:sz w:val="32"/>
          <w:szCs w:val="32"/>
          <w:u w:val="single"/>
        </w:rPr>
        <w:t>）</w:t>
      </w:r>
      <w:r>
        <w:rPr>
          <w:rFonts w:ascii="Times New Roman" w:hAnsi="Times New Roman" w:eastAsia="仿宋_GB2312" w:cs="Times New Roman"/>
          <w:sz w:val="32"/>
          <w:szCs w:val="32"/>
        </w:rPr>
        <w:t>的采办计</w:t>
      </w:r>
      <w:r>
        <w:rPr>
          <w:rFonts w:ascii="Times New Roman" w:hAnsi="Times New Roman" w:eastAsia="仿宋_GB2312" w:cs="Times New Roman"/>
          <w:color w:val="000000" w:themeColor="text1"/>
          <w:sz w:val="32"/>
          <w:szCs w:val="32"/>
          <w14:textFill>
            <w14:solidFill>
              <w14:schemeClr w14:val="tx1"/>
            </w14:solidFill>
          </w14:textFill>
        </w:rPr>
        <w:t>划公开如下：</w:t>
      </w:r>
    </w:p>
    <w:tbl>
      <w:tblPr>
        <w:tblStyle w:val="11"/>
        <w:tblW w:w="1448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085"/>
        <w:gridCol w:w="3546"/>
        <w:gridCol w:w="2169"/>
        <w:gridCol w:w="6412"/>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序号</w:t>
            </w:r>
          </w:p>
        </w:tc>
        <w:tc>
          <w:tcPr>
            <w:tcW w:w="1085"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采办包</w:t>
            </w:r>
          </w:p>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名称</w:t>
            </w:r>
          </w:p>
        </w:tc>
        <w:tc>
          <w:tcPr>
            <w:tcW w:w="3546"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采购范围与主要技术指标</w:t>
            </w:r>
          </w:p>
        </w:tc>
        <w:tc>
          <w:tcPr>
            <w:tcW w:w="2169"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预计发标时间</w:t>
            </w:r>
          </w:p>
        </w:tc>
        <w:tc>
          <w:tcPr>
            <w:tcW w:w="6412"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供应商资质基本要求</w:t>
            </w:r>
          </w:p>
        </w:tc>
        <w:tc>
          <w:tcPr>
            <w:tcW w:w="708"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568" w:type="dxa"/>
            <w:vAlign w:val="center"/>
          </w:tcPr>
          <w:p>
            <w:pPr>
              <w:jc w:val="center"/>
              <w:rPr>
                <w:rFonts w:ascii="Times New Roman" w:hAnsi="Times New Roman" w:eastAsia="仿宋" w:cs="Times New Roman"/>
                <w:color w:val="000000" w:themeColor="text1"/>
                <w:kern w:val="0"/>
                <w:sz w:val="24"/>
                <w:szCs w:val="24"/>
                <w14:textFill>
                  <w14:solidFill>
                    <w14:schemeClr w14:val="tx1"/>
                  </w14:solidFill>
                </w14:textFill>
              </w:rPr>
            </w:pPr>
            <w:bookmarkStart w:id="4" w:name="OLE_LINK2"/>
            <w:r>
              <w:rPr>
                <w:rFonts w:ascii="Times New Roman" w:hAnsi="Times New Roman" w:eastAsia="仿宋" w:cs="Times New Roman"/>
                <w:color w:val="000000" w:themeColor="text1"/>
                <w:kern w:val="0"/>
                <w:sz w:val="24"/>
                <w:szCs w:val="24"/>
                <w14:textFill>
                  <w14:solidFill>
                    <w14:schemeClr w14:val="tx1"/>
                  </w14:solidFill>
                </w14:textFill>
              </w:rPr>
              <w:t>1</w:t>
            </w:r>
            <w:bookmarkEnd w:id="4"/>
          </w:p>
        </w:tc>
        <w:tc>
          <w:tcPr>
            <w:tcW w:w="1085" w:type="dxa"/>
            <w:vAlign w:val="center"/>
          </w:tcPr>
          <w:p>
            <w:pPr>
              <w:pStyle w:val="16"/>
              <w:widowControl/>
              <w:spacing w:line="360" w:lineRule="auto"/>
              <w:ind w:firstLine="0" w:firstLineChars="0"/>
              <w:rPr>
                <w:rFonts w:hint="eastAsia" w:ascii="Times New Roman" w:hAnsi="Times New Roman" w:eastAsia="仿宋" w:cs="Times New Roman"/>
                <w:color w:val="000000" w:themeColor="text1"/>
                <w:kern w:val="0"/>
                <w:sz w:val="24"/>
                <w:szCs w:val="24"/>
                <w:lang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eastAsia="zh-CN"/>
                <w14:textFill>
                  <w14:solidFill>
                    <w14:schemeClr w14:val="tx1"/>
                  </w14:solidFill>
                </w14:textFill>
              </w:rPr>
              <w:t>探头标定装置等3项</w:t>
            </w:r>
          </w:p>
        </w:tc>
        <w:tc>
          <w:tcPr>
            <w:tcW w:w="3546" w:type="dxa"/>
            <w:vAlign w:val="center"/>
          </w:tcPr>
          <w:p>
            <w:pPr>
              <w:pStyle w:val="16"/>
              <w:widowControl/>
              <w:numPr>
                <w:ilvl w:val="0"/>
                <w:numId w:val="0"/>
              </w:numPr>
              <w:spacing w:line="360" w:lineRule="auto"/>
              <w:rPr>
                <w:rFonts w:hint="eastAsia" w:ascii="Times New Roman" w:hAnsi="Times New Roman" w:eastAsia="仿宋" w:cs="Times New Roman"/>
                <w:color w:val="000000" w:themeColor="text1"/>
                <w:kern w:val="0"/>
                <w:sz w:val="24"/>
                <w:szCs w:val="24"/>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一、</w:t>
            </w:r>
            <w:r>
              <w:rPr>
                <w:rFonts w:hint="eastAsia" w:ascii="Times New Roman" w:hAnsi="Times New Roman" w:eastAsia="仿宋" w:cs="Times New Roman"/>
                <w:color w:val="000000" w:themeColor="text1"/>
                <w:kern w:val="0"/>
                <w:sz w:val="24"/>
                <w:szCs w:val="24"/>
                <w14:textFill>
                  <w14:solidFill>
                    <w14:schemeClr w14:val="tx1"/>
                  </w14:solidFill>
                </w14:textFill>
              </w:rPr>
              <w:t>采购</w:t>
            </w:r>
            <w:r>
              <w:rPr>
                <w:rFonts w:ascii="Times New Roman" w:hAnsi="Times New Roman" w:eastAsia="仿宋" w:cs="Times New Roman"/>
                <w:color w:val="000000" w:themeColor="text1"/>
                <w:kern w:val="0"/>
                <w:sz w:val="24"/>
                <w:szCs w:val="24"/>
                <w14:textFill>
                  <w14:solidFill>
                    <w14:schemeClr w14:val="tx1"/>
                  </w14:solidFill>
                </w14:textFill>
              </w:rPr>
              <w:t>范围：</w:t>
            </w:r>
            <w:r>
              <w:rPr>
                <w:rFonts w:hint="eastAsia" w:ascii="Times New Roman" w:hAnsi="Times New Roman" w:eastAsia="仿宋" w:cs="Times New Roman"/>
                <w:color w:val="000000" w:themeColor="text1"/>
                <w:kern w:val="0"/>
                <w:sz w:val="24"/>
                <w:szCs w:val="24"/>
                <w14:textFill>
                  <w14:solidFill>
                    <w14:schemeClr w14:val="tx1"/>
                  </w14:solidFill>
                </w14:textFill>
              </w:rPr>
              <w:t></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14:textFill>
                  <w14:solidFill>
                    <w14:schemeClr w14:val="tx1"/>
                  </w14:solidFill>
                </w14:textFill>
              </w:rPr>
            </w:pPr>
            <w:r>
              <w:rPr>
                <w:rFonts w:hint="eastAsia" w:ascii="Times New Roman" w:hAnsi="Times New Roman" w:eastAsia="仿宋" w:cs="Times New Roman"/>
                <w:color w:val="000000" w:themeColor="text1"/>
                <w:kern w:val="0"/>
                <w:sz w:val="24"/>
                <w:szCs w:val="24"/>
                <w14:textFill>
                  <w14:solidFill>
                    <w14:schemeClr w14:val="tx1"/>
                  </w14:solidFill>
                </w14:textFill>
              </w:rPr>
              <w:t>探头标定装置等3项</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二、主要技术要求</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1、安装地点：蓬莱19-3油田CEPB平台；</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2、作业环境要求：潮湿、含盐的腐蚀性环境；有凝露、油雾、盐雾和霉菌的影响；有平台作业时所产生的振动和晃动。</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3、证书要求：投标人需委托BV、DNV-GL、ABS、CCS任一船级社对所有批次交付的产品进行检验并获得海上固定平台安全规则19.3.3章节规定的B类设备取证（批次认证），所有费用包含在合同范围内；</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4、交货期：合同签订后45天内。</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5、质量保证：质保期为验收后18个月；</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6、交货地点：天津市塘沽区渤港北一路与东五路交叉口设施中心3号码头；收货人：杜方舟/18722012329。</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lang w:eastAsia="zh-CN"/>
                <w14:textFill>
                  <w14:solidFill>
                    <w14:schemeClr w14:val="tx1"/>
                  </w14:solidFill>
                </w14:textFill>
              </w:rPr>
            </w:pP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 xml:space="preserve">    技术要求详见附件采购技术要求书</w:t>
            </w:r>
            <w:r>
              <w:rPr>
                <w:rFonts w:hint="eastAsia" w:ascii="Times New Roman" w:hAnsi="Times New Roman" w:eastAsia="仿宋" w:cs="Times New Roman"/>
                <w:color w:val="000000" w:themeColor="text1"/>
                <w:kern w:val="0"/>
                <w:sz w:val="24"/>
                <w:szCs w:val="24"/>
                <w:lang w:eastAsia="zh-CN"/>
                <w14:textFill>
                  <w14:solidFill>
                    <w14:schemeClr w14:val="tx1"/>
                  </w14:solidFill>
                </w14:textFill>
              </w:rPr>
              <w:t>。</w:t>
            </w:r>
          </w:p>
        </w:tc>
        <w:tc>
          <w:tcPr>
            <w:tcW w:w="2169" w:type="dxa"/>
            <w:vAlign w:val="center"/>
          </w:tcPr>
          <w:p>
            <w:pPr>
              <w:jc w:val="center"/>
              <w:rPr>
                <w:rFonts w:ascii="Times New Roman" w:hAnsi="Times New Roman" w:eastAsia="仿宋" w:cs="Times New Roman"/>
                <w:color w:val="000000" w:themeColor="text1"/>
                <w:kern w:val="0"/>
                <w:sz w:val="24"/>
                <w:szCs w:val="24"/>
                <w:u w:val="single"/>
                <w14:textFill>
                  <w14:solidFill>
                    <w14:schemeClr w14:val="tx1"/>
                  </w14:solidFill>
                </w14:textFill>
              </w:rPr>
            </w:pPr>
            <w:r>
              <w:rPr>
                <w:rFonts w:ascii="Times New Roman" w:hAnsi="Times New Roman" w:eastAsia="仿宋" w:cs="Times New Roman"/>
                <w:color w:val="000000" w:themeColor="text1"/>
                <w:kern w:val="0"/>
                <w:sz w:val="24"/>
                <w:szCs w:val="24"/>
                <w14:textFill>
                  <w14:solidFill>
                    <w14:schemeClr w14:val="tx1"/>
                  </w14:solidFill>
                </w14:textFill>
              </w:rPr>
              <w:t>202</w:t>
            </w: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5</w:t>
            </w:r>
            <w:r>
              <w:rPr>
                <w:rFonts w:ascii="Times New Roman" w:hAnsi="Times New Roman" w:eastAsia="仿宋" w:cs="Times New Roman"/>
                <w:color w:val="000000" w:themeColor="text1"/>
                <w:kern w:val="0"/>
                <w:sz w:val="24"/>
                <w:szCs w:val="24"/>
                <w14:textFill>
                  <w14:solidFill>
                    <w14:schemeClr w14:val="tx1"/>
                  </w14:solidFill>
                </w14:textFill>
              </w:rPr>
              <w:t>年</w:t>
            </w:r>
            <w:r>
              <w:rPr>
                <w:rFonts w:hint="eastAsia" w:ascii="Times New Roman" w:hAnsi="Times New Roman" w:eastAsia="仿宋" w:cs="Times New Roman"/>
                <w:color w:val="000000" w:themeColor="text1"/>
                <w:kern w:val="0"/>
                <w:sz w:val="24"/>
                <w:szCs w:val="24"/>
                <w:lang w:val="en-US" w:eastAsia="zh-CN"/>
                <w14:textFill>
                  <w14:solidFill>
                    <w14:schemeClr w14:val="tx1"/>
                  </w14:solidFill>
                </w14:textFill>
              </w:rPr>
              <w:t>7</w:t>
            </w:r>
            <w:r>
              <w:rPr>
                <w:rFonts w:ascii="Times New Roman" w:hAnsi="Times New Roman" w:eastAsia="仿宋" w:cs="Times New Roman"/>
                <w:color w:val="000000" w:themeColor="text1"/>
                <w:kern w:val="0"/>
                <w:sz w:val="24"/>
                <w:szCs w:val="24"/>
                <w14:textFill>
                  <w14:solidFill>
                    <w14:schemeClr w14:val="tx1"/>
                  </w14:solidFill>
                </w14:textFill>
              </w:rPr>
              <w:t>月</w:t>
            </w:r>
          </w:p>
        </w:tc>
        <w:tc>
          <w:tcPr>
            <w:tcW w:w="6412" w:type="dxa"/>
            <w:vAlign w:val="center"/>
          </w:tcPr>
          <w:p>
            <w:pPr>
              <w:pStyle w:val="16"/>
              <w:widowControl/>
              <w:numPr>
                <w:ilvl w:val="0"/>
                <w:numId w:val="0"/>
              </w:numPr>
              <w:spacing w:line="360" w:lineRule="auto"/>
              <w:ind w:leftChars="0"/>
              <w:rPr>
                <w:rFonts w:hint="default" w:ascii="Times New Roman" w:hAnsi="Times New Roman" w:eastAsia="仿宋" w:cs="Times New Roman"/>
                <w:color w:val="000000" w:themeColor="text1"/>
                <w:kern w:val="0"/>
                <w:sz w:val="24"/>
                <w:szCs w:val="24"/>
                <w:highlight w:val="none"/>
                <w:lang w:val="en-US"/>
                <w14:textFill>
                  <w14:solidFill>
                    <w14:schemeClr w14:val="tx1"/>
                  </w14:solidFill>
                </w14:textFill>
              </w:rPr>
            </w:pPr>
            <w:r>
              <w:rPr>
                <w:rFonts w:hint="eastAsia" w:ascii="Times New Roman" w:hAnsi="Times New Roman" w:eastAsia="仿宋" w:cs="Times New Roman"/>
                <w:color w:val="000000" w:themeColor="text1"/>
                <w:kern w:val="0"/>
                <w:sz w:val="24"/>
                <w:szCs w:val="24"/>
                <w:highlight w:val="none"/>
                <w:lang w:val="en-US" w:eastAsia="zh-CN"/>
                <w14:textFill>
                  <w14:solidFill>
                    <w14:schemeClr w14:val="tx1"/>
                  </w14:solidFill>
                </w14:textFill>
              </w:rPr>
              <w:t>1、营业执照要求</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highlight w:val="none"/>
                <w:lang w:val="en-US" w:eastAsia="zh-CN"/>
                <w14:textFill>
                  <w14:solidFill>
                    <w14:schemeClr w14:val="tx1"/>
                  </w14:solidFill>
                </w14:textFill>
              </w:rPr>
              <w:t>应答人具有合法有效的企业法人营业执照、税务登记证及组织机构代码证 或证</w:t>
            </w:r>
            <w:bookmarkStart w:id="5" w:name="_GoBack"/>
            <w:bookmarkEnd w:id="5"/>
            <w:r>
              <w:rPr>
                <w:rFonts w:hint="eastAsia" w:ascii="Times New Roman" w:hAnsi="Times New Roman" w:eastAsia="仿宋" w:cs="Times New Roman"/>
                <w:color w:val="000000" w:themeColor="text1"/>
                <w:kern w:val="0"/>
                <w:sz w:val="24"/>
                <w:szCs w:val="24"/>
                <w:highlight w:val="none"/>
                <w:lang w:val="en-US" w:eastAsia="zh-CN"/>
                <w14:textFill>
                  <w14:solidFill>
                    <w14:schemeClr w14:val="tx1"/>
                  </w14:solidFill>
                </w14:textFill>
              </w:rPr>
              <w:t>照合一的营业执照，投标时需提供原件扫描件（原件备查）。应答人为事业单位的，应具有合法有效的事业单位法人证书，投标时需提供原件扫描件（原件备查）。应答人为分公司的，应具有合法有效的营业执照和上级法人单位授权书，分公司与上级法人单位只可一家参与投标，同时参与投标的，投标均无效。提供法定代表人（单位负责人）身份证明，法定代表人授权委托书（如涉及）。</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highlight w:val="none"/>
                <w:lang w:val="en-US" w:eastAsia="zh-CN"/>
                <w14:textFill>
                  <w14:solidFill>
                    <w14:schemeClr w14:val="tx1"/>
                  </w14:solidFill>
                </w14:textFill>
              </w:rPr>
              <w:t>2、允许贸易商、代理商参加</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highlight w:val="none"/>
                <w:lang w:val="en-US" w:eastAsia="zh-CN"/>
                <w14:textFill>
                  <w14:solidFill>
                    <w14:schemeClr w14:val="tx1"/>
                  </w14:solidFill>
                </w14:textFill>
              </w:rPr>
              <w:t>（1）贸易商需满足：1）提供近三年经审计财务报表，且近一年利润不能为负且近一年资产负债率＜80%；2）自有社保人数≥5人，须提供近三月社保证明；3）不得将中国海油作为唯一服务客户，承诺中国海油非其唯一服务客户并提供支持性材料（海油外业绩）。</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highlight w:val="none"/>
                <w:lang w:val="en-US" w:eastAsia="zh-CN"/>
                <w14:textFill>
                  <w14:solidFill>
                    <w14:schemeClr w14:val="tx1"/>
                  </w14:solidFill>
                </w14:textFill>
              </w:rPr>
              <w:t>（2）代理商需满足：1）提供近三年经审计财务报表，且近一年利润不能为负且近一年资产负债率＜80%；2）自有社保人数≥5人，须提供近三月社保证明；3）不得将中国海油作为唯一服务客户，承诺中国海油非其唯一服务客户并提供支持性材料（海油外业绩）；4）具有有效代理证书，且满足资质要求，且不能为项目代理。</w:t>
            </w:r>
          </w:p>
          <w:p>
            <w:pPr>
              <w:pStyle w:val="16"/>
              <w:widowControl/>
              <w:numPr>
                <w:ilvl w:val="0"/>
                <w:numId w:val="0"/>
              </w:numPr>
              <w:spacing w:line="360" w:lineRule="auto"/>
              <w:ind w:leftChars="0"/>
              <w:rPr>
                <w:rFonts w:hint="eastAsia" w:ascii="Times New Roman" w:hAnsi="Times New Roman" w:eastAsia="仿宋" w:cs="Times New Roman"/>
                <w:color w:val="000000" w:themeColor="text1"/>
                <w:kern w:val="0"/>
                <w:sz w:val="24"/>
                <w:szCs w:val="24"/>
                <w:highlight w:val="none"/>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highlight w:val="none"/>
                <w:lang w:val="en-US" w:eastAsia="zh-CN"/>
                <w14:textFill>
                  <w14:solidFill>
                    <w14:schemeClr w14:val="tx1"/>
                  </w14:solidFill>
                </w14:textFill>
              </w:rPr>
              <w:t>3、信誉要求</w:t>
            </w:r>
          </w:p>
          <w:p>
            <w:pPr>
              <w:numPr>
                <w:ilvl w:val="0"/>
                <w:numId w:val="0"/>
              </w:numPr>
              <w:jc w:val="both"/>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t>1.应答人不得是最高人民法院在“信用中国”网站（</w:t>
            </w: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fldChar w:fldCharType="begin"/>
            </w: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instrText xml:space="preserve"> HYPERLINK "http://www.creditchina.gov.cn）或" </w:instrText>
            </w: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fldChar w:fldCharType="separate"/>
            </w: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t>www.creditchina.gov.cn）或“中国执行信息公开网</w:t>
            </w: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fldChar w:fldCharType="end"/>
            </w: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t>”（</w:t>
            </w: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fldChar w:fldCharType="begin"/>
            </w: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instrText xml:space="preserve"> HYPERLINK "http://zxgk.court.gov.cn/）列入失信被执行人名单（应附查询结果复印件并加盖单位章" </w:instrText>
            </w: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fldChar w:fldCharType="separate"/>
            </w: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t>http://zxgk.court.gov.cn/）列入失信被执行人名单</w:t>
            </w: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fldChar w:fldCharType="end"/>
            </w: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t>；</w:t>
            </w:r>
          </w:p>
          <w:p>
            <w:pPr>
              <w:numPr>
                <w:ilvl w:val="0"/>
                <w:numId w:val="0"/>
              </w:numP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t>2.近3年（2022年1月1日-报价截止日前）内应答人或其法定代表人、拟委任的项目负责人不得有行贿犯罪行为，查询网站为“中国裁判文书网”http://wenshu.court.gov.cn）；</w:t>
            </w:r>
          </w:p>
          <w:p>
            <w:pPr>
              <w:jc w:val="both"/>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t>3.应答人不得被工商行政管理机关在全国企业信用信息公示系统（http://www.gsxt.gov.cn）中列入严重违法失信企业名单。事业单位、大学除外。</w:t>
            </w:r>
          </w:p>
          <w:p>
            <w:pPr>
              <w:numPr>
                <w:ilvl w:val="0"/>
                <w:numId w:val="0"/>
              </w:numPr>
              <w:spacing w:line="240" w:lineRule="auto"/>
              <w:jc w:val="left"/>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t>4.应答人与本采购项目其他应答人不得存在控股关系或管理关系、单位负责人为同一人的情形。在非公开采购项目中，严禁存在控股关系或管理关系、单位负责人为同一人、同一自然人同时持有两家公司非公开上市股份的情形。</w:t>
            </w:r>
          </w:p>
          <w:p>
            <w:pPr>
              <w:numPr>
                <w:ilvl w:val="0"/>
                <w:numId w:val="0"/>
              </w:numP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t>5.应答人应在应答文件中提供其公司章程或其他能够体现出资人、股东信息的法定文件，作为评标/评审时的依据。</w:t>
            </w:r>
          </w:p>
          <w:p>
            <w:pPr>
              <w:numPr>
                <w:ilvl w:val="0"/>
                <w:numId w:val="0"/>
              </w:numP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pP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t>6.应答人承诺：中国海油在职员工（不含正式派出的）未有在应答人单位担任股东、法人代表、董事、监事和其他任职人员的情形。</w:t>
            </w:r>
          </w:p>
          <w:p>
            <w:pPr>
              <w:pStyle w:val="16"/>
              <w:widowControl/>
              <w:numPr>
                <w:ilvl w:val="0"/>
                <w:numId w:val="0"/>
              </w:numPr>
              <w:spacing w:line="360" w:lineRule="auto"/>
              <w:ind w:leftChars="0"/>
              <w:rPr>
                <w:rFonts w:hint="default"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仿宋" w:cs="Times New Roman"/>
                <w:color w:val="000000" w:themeColor="text1"/>
                <w:kern w:val="0"/>
                <w:sz w:val="24"/>
                <w:szCs w:val="24"/>
                <w:highlight w:val="none"/>
                <w:lang w:val="en-US" w:eastAsia="zh-CN" w:bidi="ar-SA"/>
                <w14:textFill>
                  <w14:solidFill>
                    <w14:schemeClr w14:val="tx1"/>
                  </w14:solidFill>
                </w14:textFill>
              </w:rPr>
              <w:t>上述要求应答人应提供供应商承诺书。</w:t>
            </w:r>
          </w:p>
        </w:tc>
        <w:tc>
          <w:tcPr>
            <w:tcW w:w="708" w:type="dxa"/>
            <w:vAlign w:val="center"/>
          </w:tcPr>
          <w:p>
            <w:pPr>
              <w:rPr>
                <w:rFonts w:ascii="Times New Roman" w:hAnsi="Times New Roman" w:eastAsia="仿宋" w:cs="Times New Roman"/>
                <w:color w:val="000000" w:themeColor="text1"/>
                <w:kern w:val="0"/>
                <w:sz w:val="24"/>
                <w:szCs w:val="24"/>
                <w:u w:val="single"/>
                <w14:textFill>
                  <w14:solidFill>
                    <w14:schemeClr w14:val="tx1"/>
                  </w14:solidFill>
                </w14:textFill>
              </w:rPr>
            </w:pPr>
          </w:p>
        </w:tc>
      </w:tr>
    </w:tbl>
    <w:p>
      <w:pPr>
        <w:tabs>
          <w:tab w:val="left" w:pos="993"/>
          <w:tab w:val="left" w:pos="1134"/>
          <w:tab w:val="left" w:pos="1418"/>
        </w:tabs>
        <w:spacing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本次公开的采办计划是本项目采办工作的初步安排，实际采购应以相关采购公告和采购文件为准，所有提供和反馈的信息只作为项目采办参考。</w:t>
      </w:r>
    </w:p>
    <w:p>
      <w:pPr>
        <w:tabs>
          <w:tab w:val="left" w:pos="993"/>
          <w:tab w:val="left" w:pos="1134"/>
          <w:tab w:val="left" w:pos="1418"/>
        </w:tabs>
        <w:spacing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本次公告有效期是（</w:t>
      </w:r>
      <w:r>
        <w:rPr>
          <w:rFonts w:ascii="Times New Roman" w:hAnsi="Times New Roman" w:eastAsia="仿宋_GB2312" w:cs="Times New Roman"/>
          <w:color w:val="000000" w:themeColor="text1"/>
          <w:sz w:val="32"/>
          <w:szCs w:val="32"/>
          <w:u w:val="single"/>
          <w14:textFill>
            <w14:solidFill>
              <w14:schemeClr w14:val="tx1"/>
            </w14:solidFill>
          </w14:textFill>
        </w:rPr>
        <w:t>202</w:t>
      </w:r>
      <w:r>
        <w:rPr>
          <w:rFonts w:hint="eastAsia" w:ascii="Times New Roman" w:hAnsi="Times New Roman" w:eastAsia="仿宋_GB2312" w:cs="Times New Roman"/>
          <w:color w:val="000000" w:themeColor="text1"/>
          <w:sz w:val="32"/>
          <w:szCs w:val="32"/>
          <w:u w:val="single"/>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u w:val="single"/>
          <w:lang w:val="en-US" w:eastAsia="zh-CN"/>
          <w14:textFill>
            <w14:solidFill>
              <w14:schemeClr w14:val="tx1"/>
            </w14:solidFill>
          </w14:textFill>
        </w:rPr>
        <w:t>06</w:t>
      </w:r>
      <w:r>
        <w:rPr>
          <w:rFonts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u w:val="single"/>
          <w:lang w:val="en-US" w:eastAsia="zh-CN"/>
          <w14:textFill>
            <w14:solidFill>
              <w14:schemeClr w14:val="tx1"/>
            </w14:solidFill>
          </w14:textFill>
        </w:rPr>
        <w:t>27</w:t>
      </w:r>
      <w:r>
        <w:rPr>
          <w:rFonts w:ascii="Times New Roman" w:hAnsi="Times New Roman" w:eastAsia="仿宋_GB2312" w:cs="Times New Roman"/>
          <w:color w:val="000000" w:themeColor="text1"/>
          <w:sz w:val="32"/>
          <w:szCs w:val="32"/>
          <w14:textFill>
            <w14:solidFill>
              <w14:schemeClr w14:val="tx1"/>
            </w14:solidFill>
          </w14:textFill>
        </w:rPr>
        <w:t>日）至（</w:t>
      </w:r>
      <w:r>
        <w:rPr>
          <w:rFonts w:hint="eastAsia" w:ascii="Times New Roman" w:hAnsi="Times New Roman" w:eastAsia="仿宋_GB2312" w:cs="Times New Roman"/>
          <w:color w:val="000000" w:themeColor="text1"/>
          <w:sz w:val="32"/>
          <w:szCs w:val="32"/>
          <w:u w:val="single"/>
          <w14:textFill>
            <w14:solidFill>
              <w14:schemeClr w14:val="tx1"/>
            </w14:solidFill>
          </w14:textFill>
        </w:rPr>
        <w:t>202</w:t>
      </w:r>
      <w:r>
        <w:rPr>
          <w:rFonts w:hint="eastAsia" w:ascii="Times New Roman" w:hAnsi="Times New Roman" w:eastAsia="仿宋_GB2312" w:cs="Times New Roman"/>
          <w:color w:val="000000" w:themeColor="text1"/>
          <w:sz w:val="32"/>
          <w:szCs w:val="32"/>
          <w:u w:val="single"/>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u w:val="single"/>
          <w:lang w:val="en-US" w:eastAsia="zh-CN"/>
          <w14:textFill>
            <w14:solidFill>
              <w14:schemeClr w14:val="tx1"/>
            </w14:solidFill>
          </w14:textFill>
        </w:rPr>
        <w:t>07</w:t>
      </w:r>
      <w:r>
        <w:rPr>
          <w:rFonts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u w:val="single"/>
          <w:lang w:val="en-US" w:eastAsia="zh-CN"/>
          <w14:textFill>
            <w14:solidFill>
              <w14:schemeClr w14:val="tx1"/>
            </w14:solidFill>
          </w14:textFill>
        </w:rPr>
        <w:t>04</w:t>
      </w:r>
      <w:r>
        <w:rPr>
          <w:rFonts w:hint="eastAsia" w:ascii="Times New Roman" w:hAnsi="Times New Roman" w:eastAsia="仿宋_GB2312" w:cs="Times New Roman"/>
          <w:color w:val="000000" w:themeColor="text1"/>
          <w:sz w:val="32"/>
          <w:szCs w:val="32"/>
          <w:u w:val="single"/>
          <w14:textFill>
            <w14:solidFill>
              <w14:schemeClr w14:val="tx1"/>
            </w14:solidFill>
          </w14:textFill>
        </w:rPr>
        <w:t xml:space="preserve"> </w:t>
      </w:r>
      <w:r>
        <w:rPr>
          <w:rFonts w:ascii="Times New Roman" w:hAnsi="Times New Roman" w:eastAsia="仿宋_GB2312" w:cs="Times New Roman"/>
          <w:color w:val="000000" w:themeColor="text1"/>
          <w:sz w:val="32"/>
          <w:szCs w:val="32"/>
          <w14:textFill>
            <w14:solidFill>
              <w14:schemeClr w14:val="tx1"/>
            </w14:solidFill>
          </w14:textFill>
        </w:rPr>
        <w:t>日）止。在此期间，有意参与某采办包的系统用户可在集团公司采办系统中提交</w:t>
      </w:r>
      <w:r>
        <w:rPr>
          <w:rFonts w:ascii="Times New Roman" w:hAnsi="Times New Roman" w:eastAsia="仿宋_GB2312" w:cs="Times New Roman"/>
          <w:b/>
          <w:bCs/>
          <w:color w:val="FF0000"/>
          <w:sz w:val="32"/>
          <w:szCs w:val="32"/>
        </w:rPr>
        <w:t>反馈材料</w:t>
      </w:r>
      <w:r>
        <w:rPr>
          <w:rFonts w:ascii="Times New Roman" w:hAnsi="Times New Roman" w:eastAsia="仿宋_GB2312" w:cs="Times New Roman"/>
          <w:color w:val="000000" w:themeColor="text1"/>
          <w:sz w:val="32"/>
          <w:szCs w:val="32"/>
          <w14:textFill>
            <w14:solidFill>
              <w14:schemeClr w14:val="tx1"/>
            </w14:solidFill>
          </w14:textFill>
        </w:rPr>
        <w:t>。</w:t>
      </w:r>
    </w:p>
    <w:p>
      <w:pPr>
        <w:tabs>
          <w:tab w:val="left" w:pos="993"/>
          <w:tab w:val="left" w:pos="1134"/>
          <w:tab w:val="left" w:pos="1418"/>
        </w:tabs>
        <w:spacing w:line="560" w:lineRule="exact"/>
        <w:ind w:firstLine="640" w:firstLineChars="200"/>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联系人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刘超  </w:t>
      </w:r>
      <w:r>
        <w:rPr>
          <w:rFonts w:hint="eastAsia" w:ascii="Times New Roman" w:hAnsi="Times New Roman" w:eastAsia="仿宋_GB2312" w:cs="Times New Roman"/>
          <w:color w:val="000000" w:themeColor="text1"/>
          <w:sz w:val="32"/>
          <w:szCs w:val="32"/>
          <w14:textFill>
            <w14:solidFill>
              <w14:schemeClr w14:val="tx1"/>
            </w14:solidFill>
          </w14:textFill>
        </w:rPr>
        <w:t>联系电话</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022-25802265。</w:t>
      </w:r>
    </w:p>
    <w:p>
      <w:pPr>
        <w:tabs>
          <w:tab w:val="left" w:pos="993"/>
          <w:tab w:val="left" w:pos="1134"/>
          <w:tab w:val="left" w:pos="1418"/>
        </w:tabs>
        <w:spacing w:line="560" w:lineRule="exact"/>
        <w:ind w:firstLine="640" w:firstLineChars="200"/>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社会监督电话：022-25802262</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pPr>
        <w:tabs>
          <w:tab w:val="left" w:pos="993"/>
          <w:tab w:val="left" w:pos="1134"/>
          <w:tab w:val="left" w:pos="1418"/>
        </w:tabs>
        <w:spacing w:line="600" w:lineRule="exact"/>
        <w:rPr>
          <w:rFonts w:ascii="Times New Roman" w:hAnsi="Times New Roman" w:eastAsia="仿宋" w:cs="Times New Roman"/>
          <w:color w:val="000000" w:themeColor="text1"/>
          <w:sz w:val="28"/>
          <w:szCs w:val="28"/>
          <w14:textFill>
            <w14:solidFill>
              <w14:schemeClr w14:val="tx1"/>
            </w14:solidFill>
          </w14:textFill>
        </w:rPr>
      </w:pPr>
    </w:p>
    <w:p>
      <w:pPr>
        <w:tabs>
          <w:tab w:val="left" w:pos="993"/>
          <w:tab w:val="left" w:pos="1134"/>
          <w:tab w:val="left" w:pos="1418"/>
        </w:tabs>
        <w:spacing w:line="600" w:lineRule="exact"/>
        <w:ind w:right="1280" w:firstLine="960" w:firstLineChars="300"/>
        <w:jc w:val="center"/>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                                   </w:t>
      </w:r>
      <w:r>
        <w:rPr>
          <w:rFonts w:ascii="Times New Roman" w:hAnsi="Times New Roman" w:eastAsia="仿宋_GB2312" w:cs="Times New Roman"/>
          <w:color w:val="000000" w:themeColor="text1"/>
          <w:sz w:val="32"/>
          <w:szCs w:val="32"/>
          <w14:textFill>
            <w14:solidFill>
              <w14:schemeClr w14:val="tx1"/>
            </w14:solidFill>
          </w14:textFill>
        </w:rPr>
        <w:t>中海油能源发展股份有限公司采办共享中心</w:t>
      </w:r>
    </w:p>
    <w:p>
      <w:pPr>
        <w:tabs>
          <w:tab w:val="left" w:pos="993"/>
          <w:tab w:val="left" w:pos="1134"/>
          <w:tab w:val="left" w:pos="1418"/>
        </w:tabs>
        <w:spacing w:line="600" w:lineRule="exact"/>
        <w:ind w:right="1760" w:firstLine="960" w:firstLineChars="300"/>
        <w:jc w:val="center"/>
        <w:rPr>
          <w:rFonts w:ascii="Times New Roman" w:hAnsi="Times New Roman" w:eastAsia="仿宋_GB2312" w:cs="Times New Roman"/>
          <w:b/>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5</w:t>
      </w:r>
      <w:r>
        <w:rPr>
          <w:rFonts w:ascii="Times New Roman" w:hAnsi="Times New Roman" w:eastAsia="仿宋_GB2312" w:cs="Times New Roman"/>
          <w:color w:val="000000" w:themeColor="text1"/>
          <w:sz w:val="32"/>
          <w:szCs w:val="32"/>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06</w:t>
      </w:r>
      <w:r>
        <w:rPr>
          <w:rFonts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27</w:t>
      </w:r>
      <w:r>
        <w:rPr>
          <w:rFonts w:ascii="Times New Roman" w:hAnsi="Times New Roman" w:eastAsia="仿宋_GB2312" w:cs="Times New Roman"/>
          <w:color w:val="000000" w:themeColor="text1"/>
          <w:sz w:val="32"/>
          <w:szCs w:val="32"/>
          <w14:textFill>
            <w14:solidFill>
              <w14:schemeClr w14:val="tx1"/>
            </w14:solidFill>
          </w14:textFill>
        </w:rPr>
        <w:t>日</w:t>
      </w:r>
      <w:bookmarkEnd w:id="1"/>
      <w:r>
        <w:rPr>
          <w:rFonts w:ascii="Times New Roman" w:hAnsi="Times New Roman" w:eastAsia="仿宋_GB2312" w:cs="Times New Roman"/>
          <w:color w:val="000000" w:themeColor="text1"/>
          <w:sz w:val="32"/>
          <w:szCs w:val="32"/>
          <w14:textFill>
            <w14:solidFill>
              <w14:schemeClr w14:val="tx1"/>
            </w14:solidFill>
          </w14:textFill>
        </w:rPr>
        <w:t xml:space="preserve">  </w:t>
      </w:r>
      <w:bookmarkEnd w:id="2"/>
      <w:bookmarkEnd w:id="3"/>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0AB"/>
    <w:rsid w:val="00016704"/>
    <w:rsid w:val="0002237E"/>
    <w:rsid w:val="000237C5"/>
    <w:rsid w:val="0002516B"/>
    <w:rsid w:val="00063F6F"/>
    <w:rsid w:val="00081F86"/>
    <w:rsid w:val="000B7E26"/>
    <w:rsid w:val="000C296B"/>
    <w:rsid w:val="000D43CF"/>
    <w:rsid w:val="000D79D0"/>
    <w:rsid w:val="00131053"/>
    <w:rsid w:val="001A3DB4"/>
    <w:rsid w:val="001C5C5B"/>
    <w:rsid w:val="00207406"/>
    <w:rsid w:val="0023121F"/>
    <w:rsid w:val="00234188"/>
    <w:rsid w:val="00236370"/>
    <w:rsid w:val="002417B9"/>
    <w:rsid w:val="00245B64"/>
    <w:rsid w:val="00273B6C"/>
    <w:rsid w:val="002E3C4A"/>
    <w:rsid w:val="002E3EAB"/>
    <w:rsid w:val="002E7B21"/>
    <w:rsid w:val="00301850"/>
    <w:rsid w:val="00322F0B"/>
    <w:rsid w:val="00360E74"/>
    <w:rsid w:val="003612A6"/>
    <w:rsid w:val="003752DA"/>
    <w:rsid w:val="00391EDF"/>
    <w:rsid w:val="00392458"/>
    <w:rsid w:val="003D53D2"/>
    <w:rsid w:val="003E35BD"/>
    <w:rsid w:val="004010EF"/>
    <w:rsid w:val="004029A6"/>
    <w:rsid w:val="0041062A"/>
    <w:rsid w:val="0043327C"/>
    <w:rsid w:val="00434B44"/>
    <w:rsid w:val="00456688"/>
    <w:rsid w:val="0046225A"/>
    <w:rsid w:val="004665E1"/>
    <w:rsid w:val="00472EAD"/>
    <w:rsid w:val="0049324D"/>
    <w:rsid w:val="004A4F18"/>
    <w:rsid w:val="004F2DDC"/>
    <w:rsid w:val="00507E38"/>
    <w:rsid w:val="0055012D"/>
    <w:rsid w:val="00573D23"/>
    <w:rsid w:val="005B015B"/>
    <w:rsid w:val="005C5830"/>
    <w:rsid w:val="005E62C7"/>
    <w:rsid w:val="00620775"/>
    <w:rsid w:val="00621D31"/>
    <w:rsid w:val="00697AFE"/>
    <w:rsid w:val="006E4C89"/>
    <w:rsid w:val="007271CB"/>
    <w:rsid w:val="00750CDA"/>
    <w:rsid w:val="00776DB8"/>
    <w:rsid w:val="00806D21"/>
    <w:rsid w:val="00826C06"/>
    <w:rsid w:val="00857DAB"/>
    <w:rsid w:val="008960FD"/>
    <w:rsid w:val="008C3C92"/>
    <w:rsid w:val="008C749C"/>
    <w:rsid w:val="008D7223"/>
    <w:rsid w:val="009070FE"/>
    <w:rsid w:val="00925DDC"/>
    <w:rsid w:val="009420EE"/>
    <w:rsid w:val="009454B2"/>
    <w:rsid w:val="00953B35"/>
    <w:rsid w:val="00964465"/>
    <w:rsid w:val="00967165"/>
    <w:rsid w:val="00986789"/>
    <w:rsid w:val="009C2212"/>
    <w:rsid w:val="009D6E27"/>
    <w:rsid w:val="009F0077"/>
    <w:rsid w:val="00A207A1"/>
    <w:rsid w:val="00AA6B64"/>
    <w:rsid w:val="00AB3D4B"/>
    <w:rsid w:val="00AE20AB"/>
    <w:rsid w:val="00AF432E"/>
    <w:rsid w:val="00B36107"/>
    <w:rsid w:val="00B41AC2"/>
    <w:rsid w:val="00B96FB8"/>
    <w:rsid w:val="00BA58CC"/>
    <w:rsid w:val="00BB046F"/>
    <w:rsid w:val="00BB56A8"/>
    <w:rsid w:val="00BD54DA"/>
    <w:rsid w:val="00BE7363"/>
    <w:rsid w:val="00C54816"/>
    <w:rsid w:val="00C71F55"/>
    <w:rsid w:val="00CA2B1B"/>
    <w:rsid w:val="00CD74A4"/>
    <w:rsid w:val="00CF187F"/>
    <w:rsid w:val="00CF61C6"/>
    <w:rsid w:val="00D05ED1"/>
    <w:rsid w:val="00D4130A"/>
    <w:rsid w:val="00D70C5B"/>
    <w:rsid w:val="00D86DF1"/>
    <w:rsid w:val="00D95B26"/>
    <w:rsid w:val="00D9763F"/>
    <w:rsid w:val="00DB1BE9"/>
    <w:rsid w:val="00DB1C66"/>
    <w:rsid w:val="00DB5208"/>
    <w:rsid w:val="00E02295"/>
    <w:rsid w:val="00E05135"/>
    <w:rsid w:val="00E21BB7"/>
    <w:rsid w:val="00E55729"/>
    <w:rsid w:val="00EA08B0"/>
    <w:rsid w:val="00EA613A"/>
    <w:rsid w:val="00ED277A"/>
    <w:rsid w:val="00ED3C10"/>
    <w:rsid w:val="00EE10E5"/>
    <w:rsid w:val="00EE6A0E"/>
    <w:rsid w:val="00F065F5"/>
    <w:rsid w:val="00F319AD"/>
    <w:rsid w:val="00F35A38"/>
    <w:rsid w:val="00F663BF"/>
    <w:rsid w:val="00F76DA5"/>
    <w:rsid w:val="00FB3E0D"/>
    <w:rsid w:val="00FE225A"/>
    <w:rsid w:val="01322983"/>
    <w:rsid w:val="043232F0"/>
    <w:rsid w:val="04483167"/>
    <w:rsid w:val="04AA67E0"/>
    <w:rsid w:val="04D7187F"/>
    <w:rsid w:val="05197D6A"/>
    <w:rsid w:val="05DB7E28"/>
    <w:rsid w:val="06B264B2"/>
    <w:rsid w:val="073066F8"/>
    <w:rsid w:val="0A4D3F6E"/>
    <w:rsid w:val="0A9C2975"/>
    <w:rsid w:val="0B3550F2"/>
    <w:rsid w:val="0B4D2798"/>
    <w:rsid w:val="0B94510B"/>
    <w:rsid w:val="0E53500F"/>
    <w:rsid w:val="10005FCF"/>
    <w:rsid w:val="104C4DC9"/>
    <w:rsid w:val="107F24D7"/>
    <w:rsid w:val="10E74FC8"/>
    <w:rsid w:val="1186384C"/>
    <w:rsid w:val="120C50A7"/>
    <w:rsid w:val="124F662A"/>
    <w:rsid w:val="140F6AF9"/>
    <w:rsid w:val="14F96D47"/>
    <w:rsid w:val="184E0CEC"/>
    <w:rsid w:val="18B51996"/>
    <w:rsid w:val="18EE1038"/>
    <w:rsid w:val="19430300"/>
    <w:rsid w:val="198B2C6C"/>
    <w:rsid w:val="1A48432A"/>
    <w:rsid w:val="1AAB65CD"/>
    <w:rsid w:val="1BCB5170"/>
    <w:rsid w:val="1C643C8D"/>
    <w:rsid w:val="1CB966AD"/>
    <w:rsid w:val="1CD37257"/>
    <w:rsid w:val="1D503C30"/>
    <w:rsid w:val="1D652143"/>
    <w:rsid w:val="1E1A70C1"/>
    <w:rsid w:val="1E6A6074"/>
    <w:rsid w:val="1FA060F1"/>
    <w:rsid w:val="2039748C"/>
    <w:rsid w:val="20512691"/>
    <w:rsid w:val="20874691"/>
    <w:rsid w:val="2146128B"/>
    <w:rsid w:val="217C49BB"/>
    <w:rsid w:val="22252F42"/>
    <w:rsid w:val="23A53F22"/>
    <w:rsid w:val="23E140A3"/>
    <w:rsid w:val="240927AD"/>
    <w:rsid w:val="251026CF"/>
    <w:rsid w:val="255A0E55"/>
    <w:rsid w:val="271F5D65"/>
    <w:rsid w:val="2B412F72"/>
    <w:rsid w:val="2B534254"/>
    <w:rsid w:val="2B69017C"/>
    <w:rsid w:val="2C2A5604"/>
    <w:rsid w:val="2C7A4785"/>
    <w:rsid w:val="2DB41FB5"/>
    <w:rsid w:val="2EEA5313"/>
    <w:rsid w:val="30413836"/>
    <w:rsid w:val="32534937"/>
    <w:rsid w:val="32F712A8"/>
    <w:rsid w:val="33685ACE"/>
    <w:rsid w:val="33EC1C1F"/>
    <w:rsid w:val="340E22A5"/>
    <w:rsid w:val="34332832"/>
    <w:rsid w:val="34E6495A"/>
    <w:rsid w:val="35203C89"/>
    <w:rsid w:val="35571310"/>
    <w:rsid w:val="35632C21"/>
    <w:rsid w:val="37774D6F"/>
    <w:rsid w:val="389F4AAC"/>
    <w:rsid w:val="38DC500F"/>
    <w:rsid w:val="39926182"/>
    <w:rsid w:val="39C159CC"/>
    <w:rsid w:val="3A2321ED"/>
    <w:rsid w:val="3A58289B"/>
    <w:rsid w:val="3AA23DC1"/>
    <w:rsid w:val="3BDE5D47"/>
    <w:rsid w:val="3CF50961"/>
    <w:rsid w:val="3D282866"/>
    <w:rsid w:val="3FB2668C"/>
    <w:rsid w:val="40094B1C"/>
    <w:rsid w:val="40E9418A"/>
    <w:rsid w:val="43577166"/>
    <w:rsid w:val="44626E27"/>
    <w:rsid w:val="46562673"/>
    <w:rsid w:val="47040E5A"/>
    <w:rsid w:val="47CA2C47"/>
    <w:rsid w:val="48241969"/>
    <w:rsid w:val="48505CB1"/>
    <w:rsid w:val="49333D25"/>
    <w:rsid w:val="493417A6"/>
    <w:rsid w:val="498118A6"/>
    <w:rsid w:val="4ACA7001"/>
    <w:rsid w:val="4DBB5413"/>
    <w:rsid w:val="4E6D0ABA"/>
    <w:rsid w:val="4F87635E"/>
    <w:rsid w:val="52611934"/>
    <w:rsid w:val="53B37582"/>
    <w:rsid w:val="5584117F"/>
    <w:rsid w:val="5708463B"/>
    <w:rsid w:val="57730A07"/>
    <w:rsid w:val="5A170C5A"/>
    <w:rsid w:val="5A2736EE"/>
    <w:rsid w:val="5B0972E9"/>
    <w:rsid w:val="5B7B6323"/>
    <w:rsid w:val="5C4821F4"/>
    <w:rsid w:val="5C606ACE"/>
    <w:rsid w:val="5D1E13F2"/>
    <w:rsid w:val="5D2E11ED"/>
    <w:rsid w:val="5D335675"/>
    <w:rsid w:val="5F8416C1"/>
    <w:rsid w:val="616E24E6"/>
    <w:rsid w:val="61D64494"/>
    <w:rsid w:val="62225869"/>
    <w:rsid w:val="62355C52"/>
    <w:rsid w:val="63153B1C"/>
    <w:rsid w:val="65305047"/>
    <w:rsid w:val="65745F8B"/>
    <w:rsid w:val="681F435A"/>
    <w:rsid w:val="69087CDF"/>
    <w:rsid w:val="69660078"/>
    <w:rsid w:val="69D22C2B"/>
    <w:rsid w:val="69D67433"/>
    <w:rsid w:val="6AC45A36"/>
    <w:rsid w:val="6AF005C7"/>
    <w:rsid w:val="6B030D9E"/>
    <w:rsid w:val="6B410883"/>
    <w:rsid w:val="6D9C5483"/>
    <w:rsid w:val="6EE75201"/>
    <w:rsid w:val="6FD36103"/>
    <w:rsid w:val="70330545"/>
    <w:rsid w:val="74AC62F7"/>
    <w:rsid w:val="762E09F1"/>
    <w:rsid w:val="772F6015"/>
    <w:rsid w:val="77303A97"/>
    <w:rsid w:val="7814538E"/>
    <w:rsid w:val="78CA3838"/>
    <w:rsid w:val="7F5D1B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Times New Roman" w:hAnsi="Times New Roman"/>
      <w:szCs w:val="24"/>
    </w:rPr>
  </w:style>
  <w:style w:type="paragraph" w:styleId="3">
    <w:name w:val="caption"/>
    <w:basedOn w:val="1"/>
    <w:next w:val="1"/>
    <w:qFormat/>
    <w:uiPriority w:val="0"/>
    <w:rPr>
      <w:rFonts w:ascii="Arial" w:hAnsi="Arial" w:eastAsia="黑体" w:cs="Arial"/>
      <w:sz w:val="20"/>
      <w:szCs w:val="20"/>
    </w:rPr>
  </w:style>
  <w:style w:type="paragraph" w:styleId="4">
    <w:name w:val="annotation text"/>
    <w:basedOn w:val="1"/>
    <w:link w:val="21"/>
    <w:unhideWhenUsed/>
    <w:qFormat/>
    <w:uiPriority w:val="99"/>
    <w:pPr>
      <w:jc w:val="left"/>
    </w:pPr>
  </w:style>
  <w:style w:type="paragraph" w:styleId="5">
    <w:name w:val="Body Text"/>
    <w:basedOn w:val="1"/>
    <w:link w:val="20"/>
    <w:unhideWhenUsed/>
    <w:qFormat/>
    <w:uiPriority w:val="1"/>
    <w:pPr>
      <w:spacing w:after="120"/>
    </w:pPr>
    <w:rPr>
      <w:rFonts w:ascii="Times New Roman" w:hAnsi="Times New Roman" w:eastAsia="宋体" w:cs="Times New Roman"/>
      <w:szCs w:val="24"/>
    </w:rPr>
  </w:style>
  <w:style w:type="paragraph" w:styleId="6">
    <w:name w:val="Balloon Text"/>
    <w:basedOn w:val="1"/>
    <w:link w:val="19"/>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1">
    <w:name w:val="Table Grid"/>
    <w:basedOn w:val="10"/>
    <w:qFormat/>
    <w:uiPriority w:val="0"/>
    <w:rPr>
      <w:rFonts w:eastAsia="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semiHidden/>
    <w:unhideWhenUsed/>
    <w:qFormat/>
    <w:uiPriority w:val="99"/>
    <w:rPr>
      <w:color w:val="0000FF"/>
      <w:u w:val="single"/>
    </w:r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styleId="16">
    <w:name w:val="List Paragraph"/>
    <w:basedOn w:val="1"/>
    <w:link w:val="17"/>
    <w:qFormat/>
    <w:uiPriority w:val="99"/>
    <w:pPr>
      <w:ind w:firstLine="420" w:firstLineChars="200"/>
    </w:pPr>
  </w:style>
  <w:style w:type="character" w:customStyle="1" w:styleId="17">
    <w:name w:val="列出段落 Char1"/>
    <w:link w:val="16"/>
    <w:qFormat/>
    <w:locked/>
    <w:uiPriority w:val="34"/>
  </w:style>
  <w:style w:type="character" w:customStyle="1" w:styleId="18">
    <w:name w:val="列出段落 Char"/>
    <w:qFormat/>
    <w:locked/>
    <w:uiPriority w:val="34"/>
    <w:rPr>
      <w:rFonts w:ascii="Calibri" w:hAnsi="Calibri"/>
      <w:kern w:val="2"/>
      <w:sz w:val="21"/>
      <w:szCs w:val="22"/>
    </w:rPr>
  </w:style>
  <w:style w:type="character" w:customStyle="1" w:styleId="19">
    <w:name w:val="批注框文本 Char"/>
    <w:basedOn w:val="12"/>
    <w:link w:val="6"/>
    <w:semiHidden/>
    <w:qFormat/>
    <w:uiPriority w:val="99"/>
    <w:rPr>
      <w:sz w:val="18"/>
      <w:szCs w:val="18"/>
    </w:rPr>
  </w:style>
  <w:style w:type="character" w:customStyle="1" w:styleId="20">
    <w:name w:val="正文文本 Char"/>
    <w:basedOn w:val="12"/>
    <w:link w:val="5"/>
    <w:qFormat/>
    <w:uiPriority w:val="1"/>
    <w:rPr>
      <w:rFonts w:ascii="Times New Roman" w:hAnsi="Times New Roman" w:eastAsia="宋体" w:cs="Times New Roman"/>
      <w:szCs w:val="24"/>
    </w:rPr>
  </w:style>
  <w:style w:type="character" w:customStyle="1" w:styleId="21">
    <w:name w:val="批注文字 Char"/>
    <w:basedOn w:val="12"/>
    <w:link w:val="4"/>
    <w:qFormat/>
    <w:uiPriority w:val="99"/>
  </w:style>
  <w:style w:type="paragraph" w:customStyle="1" w:styleId="22">
    <w:name w:val="Table Paragraph"/>
    <w:basedOn w:val="23"/>
    <w:qFormat/>
    <w:uiPriority w:val="0"/>
    <w:pPr>
      <w:jc w:val="left"/>
    </w:pPr>
    <w:rPr>
      <w:kern w:val="0"/>
      <w:sz w:val="22"/>
      <w:lang w:eastAsia="en-US"/>
    </w:rPr>
  </w:style>
  <w:style w:type="paragraph" w:customStyle="1" w:styleId="23">
    <w:name w:val="正文_1"/>
    <w:next w:val="2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默认段落字体 Para Char"/>
    <w:basedOn w:val="25"/>
    <w:next w:val="25"/>
    <w:qFormat/>
    <w:uiPriority w:val="0"/>
    <w:pPr>
      <w:widowControl w:val="0"/>
      <w:spacing w:before="80" w:after="80" w:line="360" w:lineRule="auto"/>
      <w:jc w:val="both"/>
    </w:pPr>
    <w:rPr>
      <w:rFonts w:ascii="Calibri" w:hAnsi="Calibri" w:cs="Times New Roman"/>
      <w:kern w:val="2"/>
      <w:szCs w:val="20"/>
    </w:rPr>
  </w:style>
  <w:style w:type="paragraph" w:customStyle="1" w:styleId="25">
    <w:name w:val="Normal_1"/>
    <w:next w:val="24"/>
    <w:qFormat/>
    <w:uiPriority w:val="0"/>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128</Words>
  <Characters>734</Characters>
  <Lines>6</Lines>
  <Paragraphs>1</Paragraphs>
  <TotalTime>1</TotalTime>
  <ScaleCrop>false</ScaleCrop>
  <LinksUpToDate>false</LinksUpToDate>
  <CharactersWithSpaces>861</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2021-06-15T09:42:00Z</dcterms:created>
  <dc:creator>季云峰/采办项目组/集团公司机关</dc:creator>
  <cp:lastModifiedBy>liuchao</cp:lastModifiedBy>
  <cp:lastPrinted>2021-06-30T03:16:00Z</cp:lastPrinted>
  <dcterms:modified xsi:type="dcterms:W3CDTF">2025-06-27T08:16:54Z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8D1849ABF4E54407B8FB56808B0B49CF</vt:lpwstr>
  </property>
</Properties>
</file>