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版本号：N510001202500419920260122002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数字智能化产线（第一期）建设（算力基础平台）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N5100012025004199</w:t>
      </w:r>
    </w:p>
    <w:p>
      <w:pPr>
        <w:pStyle w:val="null3"/>
        <w:jc w:val="left"/>
        <w:outlineLvl w:val="2"/>
      </w:pPr>
      <w:r>
        <w:rPr>
          <w:rFonts w:ascii="仿宋_GB2312" w:hAnsi="仿宋_GB2312" w:cs="仿宋_GB2312" w:eastAsia="仿宋_GB2312"/>
          <w:sz w:val="28"/>
          <w:b/>
        </w:rPr>
        <w:t>四川铁道职业学院</w:t>
      </w:r>
    </w:p>
    <w:p>
      <w:pPr>
        <w:pStyle w:val="null3"/>
        <w:jc w:val="center"/>
        <w:outlineLvl w:val="2"/>
      </w:pPr>
      <w:r>
        <w:rPr>
          <w:rFonts w:ascii="仿宋_GB2312" w:hAnsi="仿宋_GB2312" w:cs="仿宋_GB2312" w:eastAsia="仿宋_GB2312"/>
          <w:sz w:val="28"/>
          <w:b/>
        </w:rPr>
        <w:t>四川中泽盛世项目管理有限公司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四川中泽盛世项目管理有限公司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四川铁道职业学院</w:t>
      </w:r>
      <w:r>
        <w:rPr>
          <w:rFonts w:ascii="仿宋_GB2312" w:hAnsi="仿宋_GB2312" w:cs="仿宋_GB2312" w:eastAsia="仿宋_GB2312"/>
        </w:rPr>
        <w:t xml:space="preserve"> 委托，拟对 </w:t>
      </w:r>
      <w:r>
        <w:rPr>
          <w:rFonts w:ascii="仿宋_GB2312" w:hAnsi="仿宋_GB2312" w:cs="仿宋_GB2312" w:eastAsia="仿宋_GB2312"/>
        </w:rPr>
        <w:t>数字智能化产线（第一期）建设（算力基础平台）</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省本级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N5100012025004199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数字智能化产线（第一期）建设（算力基础平台）</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构建高性能算力基础设施，部署专业级大模型训练与推理平台，形成支撑通信专业领域垂类模型的从数据预处理、训练优化到推理部署的全流程开发，提供一站式服务，实现算力精准匹配、数据安全合规与资源高效利用，助力垂类模型落地应用。</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四川铁道职业学院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四川省成都市郫都区安德街道彭温路399号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611732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陆老师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028-68939875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四川中泽盛世项目管理有限公司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成都金牛高新技术产业园区蜀西路46号1栋1单元3楼301号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610036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028-87789977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采购包1：916,700.00元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本采购包履约保证金为合同金额的10.0%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中标人应在合同签订前向采购人缴纳合同总价10%的履约保证金，履约保证金可以以支票、汇票、本票或者金融机构出具的保函等非现金形式提交（包括网银转账，电汇等方式 )。项目终验满一年，且供应商按合同条款履约的，供应商向学校申请并提供收据的14日内，履约保证金一次性无息退还。供应商未按合同条款履约、合同未解除的，履约保证金退还时间重新计算，且不超出项目质保期。</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以中标金额作为计算基数，按照《招标代理服务收费管理暂行办法》（计价格［2002］1980号）和《关于招标代理服务收费有关问题的通知》（发改办价格[2003]857号）文件规定下浮40%收取，由中标人向采购代理机构支付。</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评审委员会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四川铁道职业学院</w:t>
      </w:r>
      <w:r>
        <w:rPr>
          <w:rFonts w:ascii="仿宋_GB2312" w:hAnsi="仿宋_GB2312" w:cs="仿宋_GB2312" w:eastAsia="仿宋_GB2312"/>
        </w:rPr>
        <w:t xml:space="preserve"> 和 </w:t>
      </w:r>
      <w:r>
        <w:rPr>
          <w:rFonts w:ascii="仿宋_GB2312" w:hAnsi="仿宋_GB2312" w:cs="仿宋_GB2312" w:eastAsia="仿宋_GB2312"/>
        </w:rPr>
        <w:t>四川中泽盛世项目管理有限公司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四川铁道职业学院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四川中泽盛世项目管理有限公司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更正后的招标文件上传至交易系统，通过交易系统向已获取招标文件的投标人发送更正通知，在四川政府采购网发布更正公告。更正内容可能影响投标文件编制的，采购人或者代理机构应当在投标截止时间至少 15 日前，通过交易系统向已获取招标文件的投标人发送更正通知；不足 15 日的，采购人或者代理机构应当顺延提交投标文件的截止时间。</w:t>
      </w:r>
    </w:p>
    <w:p>
      <w:pPr>
        <w:pStyle w:val="null3"/>
        <w:ind w:firstLine="480"/>
        <w:jc w:val="left"/>
      </w:pPr>
      <w:r>
        <w:rPr>
          <w:rFonts w:ascii="仿宋_GB2312" w:hAnsi="仿宋_GB2312" w:cs="仿宋_GB2312" w:eastAsia="仿宋_GB2312"/>
        </w:rPr>
        <w:t>三、采购人或者代理机构通过交易系统发出更正通知的同时，即为送达投标人。投标人应当及时查看更正公告、更正信息，并根据更正公告、更正信息要求，获取更正后的招标文件，进行投标文件编制。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投标（响应）客户端提供部分投标文件编制辅助功能，供应商应当认真审查核对编制生成的投标文件，并对投标文件的完整性、准确性和有效性负责。</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投标截止时间后，通过交易系统“开标/开启大厅”网上开标，在线解密投标文件、公布开标结果。</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 xml:space="preserve">项目履约完成，供应商提出验收申请之日起 </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详见验收方案。</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采购文件的技术和商务要求、响应文件的响应和承诺、合同约定内容。</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采购文件的技术和商务要求、响应文件的响应和承诺、合同约定内容。</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1.初验：供应商完成部署后，准备项目产品合格证、实施记录、实施报告、测试报告等材料，向学校提出初验申请。学校在收到申请后3日内组织验收。 2.初验通过后进入试用期，试用期为7日。试用期内，产生产品质量问题，供应商在3日内完成修复，并重新计算试用期。经3次维修仍不能满足要求的，采购人有权解除合同，履约保证金不予退还。 3.终验：试用期通过后7日内，由采购人组织最终验收。验收不通过的，供应商于3日完成整改。经3次整改不通过的，采购人有权解除合同，履约保证金不予退还。</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验收条件： 1.于合同约定一致；所有资料、授权、合格证书齐全。 2.按照招标文件、中标供应商投标文件完成调试通过，无任何异常点。 3.实施资料齐全并完整移交给采购人，包括但不限于设备密码、实施报告、使用手册、测试报告等。 4.履约验收其他事项：履约验收各条款间有不一致时，按较高标准进行。</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（一）不同投标人的投标文件异常一致；</w:t>
      </w:r>
    </w:p>
    <w:p>
      <w:pPr>
        <w:pStyle w:val="null3"/>
        <w:ind w:firstLine="480"/>
        <w:jc w:val="left"/>
      </w:pPr>
      <w:r>
        <w:rPr>
          <w:rFonts w:ascii="仿宋_GB2312" w:hAnsi="仿宋_GB2312" w:cs="仿宋_GB2312" w:eastAsia="仿宋_GB2312"/>
        </w:rPr>
        <w:t>（二）不同投标人的投标报价呈规律性差异；</w:t>
      </w:r>
    </w:p>
    <w:p>
      <w:pPr>
        <w:pStyle w:val="null3"/>
        <w:ind w:firstLine="480"/>
        <w:jc w:val="left"/>
      </w:pPr>
      <w:r>
        <w:rPr>
          <w:rFonts w:ascii="仿宋_GB2312" w:hAnsi="仿宋_GB2312" w:cs="仿宋_GB2312" w:eastAsia="仿宋_GB2312"/>
        </w:rPr>
        <w:t>（三）不同投标人的投标文件相互混装；</w:t>
      </w:r>
    </w:p>
    <w:p>
      <w:pPr>
        <w:pStyle w:val="null3"/>
        <w:ind w:firstLine="480"/>
        <w:jc w:val="left"/>
      </w:pPr>
      <w:r>
        <w:rPr>
          <w:rFonts w:ascii="仿宋_GB2312" w:hAnsi="仿宋_GB2312" w:cs="仿宋_GB2312" w:eastAsia="仿宋_GB2312"/>
        </w:rPr>
        <w:t>（四）不同投标人的投标保证金从同一单位或者个人的账户转出；</w:t>
      </w:r>
    </w:p>
    <w:p>
      <w:pPr>
        <w:pStyle w:val="null3"/>
        <w:ind w:firstLine="480"/>
        <w:jc w:val="left"/>
      </w:pPr>
      <w:r>
        <w:rPr>
          <w:rFonts w:ascii="仿宋_GB2312" w:hAnsi="仿宋_GB2312" w:cs="仿宋_GB2312" w:eastAsia="仿宋_GB2312"/>
        </w:rPr>
        <w:t>（五）不同投标人编制或者提交投标文件的计算机网卡MAC地址、CPU序列号、硬盘序列号等硬件信息均异常一致；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四川铁道职业学院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四川中泽盛世项目管理有限公司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四川中泽盛世项目管理有限公司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联系人：薛老师</w:t>
      </w:r>
    </w:p>
    <w:p>
      <w:pPr>
        <w:pStyle w:val="null3"/>
        <w:jc w:val="left"/>
      </w:pPr>
      <w:r>
        <w:rPr>
          <w:rFonts w:ascii="仿宋_GB2312" w:hAnsi="仿宋_GB2312" w:cs="仿宋_GB2312" w:eastAsia="仿宋_GB2312"/>
        </w:rPr>
        <w:t>联系电话：028-87789977</w:t>
      </w:r>
    </w:p>
    <w:p>
      <w:pPr>
        <w:pStyle w:val="null3"/>
        <w:jc w:val="left"/>
      </w:pPr>
      <w:r>
        <w:rPr>
          <w:rFonts w:ascii="仿宋_GB2312" w:hAnsi="仿宋_GB2312" w:cs="仿宋_GB2312" w:eastAsia="仿宋_GB2312"/>
        </w:rPr>
        <w:t>地址：成都金牛高新技术产业园区蜀西路46号1栋1单元3楼301号</w:t>
      </w:r>
    </w:p>
    <w:p>
      <w:pPr>
        <w:pStyle w:val="null3"/>
        <w:jc w:val="left"/>
      </w:pPr>
      <w:r>
        <w:rPr>
          <w:rFonts w:ascii="仿宋_GB2312" w:hAnsi="仿宋_GB2312" w:cs="仿宋_GB2312" w:eastAsia="仿宋_GB2312"/>
        </w:rPr>
        <w:t>邮编：610036</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联系人：陆老师</w:t>
      </w:r>
    </w:p>
    <w:p>
      <w:pPr>
        <w:pStyle w:val="null3"/>
        <w:jc w:val="left"/>
      </w:pPr>
      <w:r>
        <w:rPr>
          <w:rFonts w:ascii="仿宋_GB2312" w:hAnsi="仿宋_GB2312" w:cs="仿宋_GB2312" w:eastAsia="仿宋_GB2312"/>
        </w:rPr>
        <w:t>联系电话：028-68939875</w:t>
      </w:r>
    </w:p>
    <w:p>
      <w:pPr>
        <w:pStyle w:val="null3"/>
        <w:jc w:val="left"/>
      </w:pPr>
      <w:r>
        <w:rPr>
          <w:rFonts w:ascii="仿宋_GB2312" w:hAnsi="仿宋_GB2312" w:cs="仿宋_GB2312" w:eastAsia="仿宋_GB2312"/>
        </w:rPr>
        <w:t>地址：四川省成都市郫都区安德街道彭温路399号</w:t>
      </w:r>
    </w:p>
    <w:p>
      <w:pPr>
        <w:pStyle w:val="null3"/>
        <w:jc w:val="left"/>
      </w:pPr>
      <w:r>
        <w:rPr>
          <w:rFonts w:ascii="仿宋_GB2312" w:hAnsi="仿宋_GB2312" w:cs="仿宋_GB2312" w:eastAsia="仿宋_GB2312"/>
        </w:rPr>
        <w:t>邮编：611732</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获取招标文件之日。对更正后的招标文件提出质疑的，如质疑内容为更正内容，为发出招标文件更正通知之日；如质疑内容为原招标文件内容，为获取原招标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916,700.00</w:t>
      </w:r>
    </w:p>
    <w:p>
      <w:pPr>
        <w:pStyle w:val="null3"/>
        <w:jc w:val="left"/>
      </w:pPr>
      <w:r>
        <w:rPr>
          <w:rFonts w:ascii="仿宋_GB2312" w:hAnsi="仿宋_GB2312" w:cs="仿宋_GB2312" w:eastAsia="仿宋_GB2312"/>
        </w:rPr>
        <w:t>采购包最高限价（元）: 916,700.00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A02102100 教学仪器</w:t>
            </w:r>
          </w:p>
        </w:tc>
        <w:tc>
          <w:tcPr>
            <w:tcW w:type="dxa" w:w="821"/>
          </w:tcPr>
          <w:p>
            <w:pPr>
              <w:pStyle w:val="null3"/>
              <w:jc w:val="left"/>
            </w:pPr>
            <w:r>
              <w:rPr>
                <w:rFonts w:ascii="仿宋_GB2312" w:hAnsi="仿宋_GB2312" w:cs="仿宋_GB2312" w:eastAsia="仿宋_GB2312"/>
              </w:rPr>
              <w:t>智算资源管理平台</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554,600.00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A02102100 教学仪器</w:t>
            </w:r>
          </w:p>
        </w:tc>
        <w:tc>
          <w:tcPr>
            <w:tcW w:type="dxa" w:w="821"/>
          </w:tcPr>
          <w:p>
            <w:pPr>
              <w:pStyle w:val="null3"/>
              <w:jc w:val="left"/>
            </w:pPr>
            <w:r>
              <w:rPr>
                <w:rFonts w:ascii="仿宋_GB2312" w:hAnsi="仿宋_GB2312" w:cs="仿宋_GB2312" w:eastAsia="仿宋_GB2312"/>
              </w:rPr>
              <w:t>参数面交换机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194,800.00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A02102100 教学仪器</w:t>
            </w:r>
          </w:p>
        </w:tc>
        <w:tc>
          <w:tcPr>
            <w:tcW w:type="dxa" w:w="821"/>
          </w:tcPr>
          <w:p>
            <w:pPr>
              <w:pStyle w:val="null3"/>
              <w:jc w:val="left"/>
            </w:pPr>
            <w:r>
              <w:rPr>
                <w:rFonts w:ascii="仿宋_GB2312" w:hAnsi="仿宋_GB2312" w:cs="仿宋_GB2312" w:eastAsia="仿宋_GB2312"/>
              </w:rPr>
              <w:t>样本面交换机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85,600.00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A02102100 教学仪器</w:t>
            </w:r>
          </w:p>
        </w:tc>
        <w:tc>
          <w:tcPr>
            <w:tcW w:type="dxa" w:w="821"/>
          </w:tcPr>
          <w:p>
            <w:pPr>
              <w:pStyle w:val="null3"/>
              <w:jc w:val="left"/>
            </w:pPr>
            <w:r>
              <w:rPr>
                <w:rFonts w:ascii="仿宋_GB2312" w:hAnsi="仿宋_GB2312" w:cs="仿宋_GB2312" w:eastAsia="仿宋_GB2312"/>
              </w:rPr>
              <w:t>管理/业务交换机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69,500.00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A02102100 教学仪器</w:t>
            </w:r>
          </w:p>
        </w:tc>
        <w:tc>
          <w:tcPr>
            <w:tcW w:type="dxa" w:w="821"/>
          </w:tcPr>
          <w:p>
            <w:pPr>
              <w:pStyle w:val="null3"/>
              <w:jc w:val="left"/>
            </w:pPr>
            <w:r>
              <w:rPr>
                <w:rFonts w:ascii="仿宋_GB2312" w:hAnsi="仿宋_GB2312" w:cs="仿宋_GB2312" w:eastAsia="仿宋_GB2312"/>
              </w:rPr>
              <w:t>硬件管理交换机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12,200.00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智算资源管理平台</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554,600.00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参数面交换机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194,800.00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样本面交换机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85,600.00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管理/业务交换机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69,500.00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硬件管理交换机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12,200.00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A02102100 教学仪器</w:t>
            </w:r>
          </w:p>
        </w:tc>
        <w:tc>
          <w:tcPr>
            <w:tcW w:type="dxa" w:w="2492"/>
          </w:tcPr>
          <w:p>
            <w:pPr>
              <w:pStyle w:val="null3"/>
              <w:jc w:val="left"/>
            </w:pPr>
            <w:r>
              <w:rPr>
                <w:rFonts w:ascii="仿宋_GB2312" w:hAnsi="仿宋_GB2312" w:cs="仿宋_GB2312" w:eastAsia="仿宋_GB2312"/>
              </w:rPr>
              <w:t>智算资源管理平台</w:t>
            </w:r>
          </w:p>
        </w:tc>
        <w:tc>
          <w:tcPr>
            <w:tcW w:type="dxa" w:w="2492"/>
          </w:tcPr>
          <w:p>
            <w:pPr>
              <w:pStyle w:val="null3"/>
              <w:jc w:val="left"/>
            </w:pPr>
            <w:r>
              <w:rPr>
                <w:rFonts w:ascii="仿宋_GB2312" w:hAnsi="仿宋_GB2312" w:cs="仿宋_GB2312" w:eastAsia="仿宋_GB2312"/>
              </w:rPr>
              <w:t>智算资源管理平台</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标的名称：智算资源管理平台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技术要求内容</w:t>
            </w:r>
          </w:p>
        </w:tc>
        <w:tc>
          <w:tcPr>
            <w:tcW w:type="dxa" w:w="5814"/>
          </w:tcPr>
          <w:p>
            <w:pPr>
              <w:pStyle w:val="null3"/>
              <w:jc w:val="left"/>
            </w:pPr>
            <w:r>
              <w:rPr>
                <w:rFonts w:ascii="仿宋_GB2312" w:hAnsi="仿宋_GB2312" w:cs="仿宋_GB2312" w:eastAsia="仿宋_GB2312"/>
                <w:sz w:val="24"/>
                <w:color w:val="000000"/>
              </w:rPr>
              <w:t>智算资源管理平台是资源池内节点、存储、网络等基础设施的管理系统，负责将资源池内节点、存储根据组网要求构建资源池，缓存容器镜像/包、为大模型提供基础设施解决方案。</w:t>
            </w:r>
          </w:p>
          <w:p>
            <w:pPr>
              <w:pStyle w:val="null3"/>
              <w:jc w:val="left"/>
            </w:pPr>
            <w:r>
              <w:rPr>
                <w:rFonts w:ascii="仿宋_GB2312" w:hAnsi="仿宋_GB2312" w:cs="仿宋_GB2312" w:eastAsia="仿宋_GB2312"/>
                <w:sz w:val="24"/>
                <w:color w:val="000000"/>
              </w:rPr>
              <w:t>一、作业管理</w:t>
            </w:r>
          </w:p>
          <w:p>
            <w:pPr>
              <w:pStyle w:val="null3"/>
              <w:jc w:val="left"/>
            </w:pPr>
            <w:r>
              <w:rPr>
                <w:rFonts w:ascii="仿宋_GB2312" w:hAnsi="仿宋_GB2312" w:cs="仿宋_GB2312" w:eastAsia="仿宋_GB2312"/>
                <w:sz w:val="24"/>
                <w:color w:val="000000"/>
              </w:rPr>
              <w:t>1、智算资源管理平台具备根据训练和推理服务器的资源使用状况进行系统的自动调度，无需业务配合，可根据服务器的GPU型号、CPU和内存使用情况、RDMA网卡信息自动进行资源调度。</w:t>
            </w:r>
          </w:p>
          <w:p>
            <w:pPr>
              <w:pStyle w:val="null3"/>
              <w:jc w:val="left"/>
            </w:pPr>
            <w:r>
              <w:rPr>
                <w:rFonts w:ascii="仿宋_GB2312" w:hAnsi="仿宋_GB2312" w:cs="仿宋_GB2312" w:eastAsia="仿宋_GB2312"/>
                <w:sz w:val="24"/>
                <w:color w:val="000000"/>
              </w:rPr>
              <w:t>2、智算调度器支持通过队列调度、资源调度的调度策略，为AI作业选择最合适的节点。</w:t>
            </w:r>
          </w:p>
          <w:p>
            <w:pPr>
              <w:pStyle w:val="null3"/>
              <w:jc w:val="left"/>
            </w:pPr>
            <w:r>
              <w:rPr>
                <w:rFonts w:ascii="仿宋_GB2312" w:hAnsi="仿宋_GB2312" w:cs="仿宋_GB2312" w:eastAsia="仿宋_GB2312"/>
                <w:sz w:val="24"/>
                <w:color w:val="000000"/>
              </w:rPr>
              <w:t>▲3、智算调度器基于Volcano调度器，实现Volcano支持的调度策略，支持包括：Gang调度、Binpack调度、Spread调度。</w:t>
            </w:r>
          </w:p>
          <w:p>
            <w:pPr>
              <w:pStyle w:val="null3"/>
              <w:jc w:val="left"/>
            </w:pPr>
            <w:r>
              <w:rPr>
                <w:rFonts w:ascii="仿宋_GB2312" w:hAnsi="仿宋_GB2312" w:cs="仿宋_GB2312" w:eastAsia="仿宋_GB2312"/>
                <w:sz w:val="24"/>
                <w:color w:val="000000"/>
              </w:rPr>
              <w:t>▲4、智算调度器基于Kubernctes原生的调度器进行功能增强，支持配置多套调度策略，业务可以指定使用的调度配置。</w:t>
            </w:r>
          </w:p>
          <w:p>
            <w:pPr>
              <w:pStyle w:val="null3"/>
              <w:jc w:val="left"/>
            </w:pPr>
            <w:r>
              <w:rPr>
                <w:rFonts w:ascii="仿宋_GB2312" w:hAnsi="仿宋_GB2312" w:cs="仿宋_GB2312" w:eastAsia="仿宋_GB2312"/>
                <w:sz w:val="24"/>
                <w:color w:val="000000"/>
              </w:rPr>
              <w:t>▲5、支持基于GPU的拓扑调度、基于RDMA网卡的调度、基于CPU资源的调度，并支持根据训练推理任务的类型，系统自动指定使用最优的调度策略。</w:t>
            </w:r>
          </w:p>
          <w:p>
            <w:pPr>
              <w:pStyle w:val="null3"/>
              <w:jc w:val="left"/>
            </w:pPr>
            <w:r>
              <w:rPr>
                <w:rFonts w:ascii="仿宋_GB2312" w:hAnsi="仿宋_GB2312" w:cs="仿宋_GB2312" w:eastAsia="仿宋_GB2312"/>
                <w:sz w:val="24"/>
                <w:color w:val="000000"/>
              </w:rPr>
              <w:t>▲6、支持节点内GPU互联拓扑调度，减少GPU之间的通信损耗。</w:t>
            </w:r>
          </w:p>
          <w:p>
            <w:pPr>
              <w:pStyle w:val="null3"/>
              <w:jc w:val="left"/>
            </w:pPr>
            <w:r>
              <w:rPr>
                <w:rFonts w:ascii="仿宋_GB2312" w:hAnsi="仿宋_GB2312" w:cs="仿宋_GB2312" w:eastAsia="仿宋_GB2312"/>
                <w:sz w:val="24"/>
                <w:color w:val="000000"/>
              </w:rPr>
              <w:t>▲7、支持基于节点间GPU互联拓扑调度，GPU之间尽可能的减少交换层次，尽量在同一交换组下面。</w:t>
            </w:r>
          </w:p>
          <w:p>
            <w:pPr>
              <w:pStyle w:val="null3"/>
              <w:jc w:val="left"/>
            </w:pPr>
            <w:r>
              <w:rPr>
                <w:rFonts w:ascii="仿宋_GB2312" w:hAnsi="仿宋_GB2312" w:cs="仿宋_GB2312" w:eastAsia="仿宋_GB2312"/>
                <w:sz w:val="24"/>
                <w:color w:val="000000"/>
              </w:rPr>
              <w:t>▲8、支持RDMA网卡设备调度，根据节点内RDMA网卡与GPU的拓扑关系，为POD选择最优的RDMA网卡。</w:t>
            </w:r>
          </w:p>
          <w:p>
            <w:pPr>
              <w:pStyle w:val="null3"/>
              <w:jc w:val="left"/>
            </w:pPr>
            <w:r>
              <w:rPr>
                <w:rFonts w:ascii="仿宋_GB2312" w:hAnsi="仿宋_GB2312" w:cs="仿宋_GB2312" w:eastAsia="仿宋_GB2312"/>
                <w:sz w:val="24"/>
                <w:color w:val="000000"/>
              </w:rPr>
              <w:t>▲9、支持CPU和GPU混合调度策略，未使用GPU的业务，优先调度到无GPU的节点。</w:t>
            </w:r>
          </w:p>
          <w:p>
            <w:pPr>
              <w:pStyle w:val="null3"/>
              <w:jc w:val="left"/>
            </w:pPr>
            <w:r>
              <w:rPr>
                <w:rFonts w:ascii="仿宋_GB2312" w:hAnsi="仿宋_GB2312" w:cs="仿宋_GB2312" w:eastAsia="仿宋_GB2312"/>
                <w:sz w:val="24"/>
                <w:color w:val="000000"/>
              </w:rPr>
              <w:t>二、数据服务</w:t>
            </w:r>
          </w:p>
          <w:p>
            <w:pPr>
              <w:pStyle w:val="null3"/>
              <w:jc w:val="left"/>
            </w:pPr>
            <w:r>
              <w:rPr>
                <w:rFonts w:ascii="仿宋_GB2312" w:hAnsi="仿宋_GB2312" w:cs="仿宋_GB2312" w:eastAsia="仿宋_GB2312"/>
                <w:sz w:val="24"/>
                <w:color w:val="000000"/>
              </w:rPr>
              <w:t>1、数据服务支持数据预处理、数据增强、数据质量评估、数据标注、数据配比和发布、问答对自动生成；</w:t>
            </w:r>
          </w:p>
          <w:p>
            <w:pPr>
              <w:pStyle w:val="null3"/>
              <w:jc w:val="left"/>
            </w:pPr>
            <w:r>
              <w:rPr>
                <w:rFonts w:ascii="仿宋_GB2312" w:hAnsi="仿宋_GB2312" w:cs="仿宋_GB2312" w:eastAsia="仿宋_GB2312"/>
                <w:sz w:val="24"/>
                <w:color w:val="000000"/>
              </w:rPr>
              <w:t>2、数据服务支持数据集管理和数据版本的生命周期管理；</w:t>
            </w:r>
          </w:p>
          <w:p>
            <w:pPr>
              <w:pStyle w:val="null3"/>
              <w:jc w:val="left"/>
            </w:pPr>
            <w:r>
              <w:rPr>
                <w:rFonts w:ascii="仿宋_GB2312" w:hAnsi="仿宋_GB2312" w:cs="仿宋_GB2312" w:eastAsia="仿宋_GB2312"/>
                <w:sz w:val="24"/>
                <w:color w:val="000000"/>
              </w:rPr>
              <w:t>3、支持创建预训练语料、精调语料、评估语料数据集。支持语料的格式包括不限于：md、html、doc、csv、log、txt、pdf、docx、epub；</w:t>
            </w:r>
          </w:p>
          <w:p>
            <w:pPr>
              <w:pStyle w:val="null3"/>
              <w:jc w:val="left"/>
            </w:pPr>
            <w:r>
              <w:rPr>
                <w:rFonts w:ascii="仿宋_GB2312" w:hAnsi="仿宋_GB2312" w:cs="仿宋_GB2312" w:eastAsia="仿宋_GB2312"/>
                <w:sz w:val="24"/>
                <w:color w:val="000000"/>
              </w:rPr>
              <w:t>▲4、智算平台的数据预处理功能包括通用算子处理及自定义算子处理。通过数据预处理处理完的数据，作为预训练语料，提供给模型进行预训练；</w:t>
            </w:r>
          </w:p>
          <w:p>
            <w:pPr>
              <w:pStyle w:val="null3"/>
              <w:jc w:val="left"/>
            </w:pPr>
            <w:r>
              <w:rPr>
                <w:rFonts w:ascii="仿宋_GB2312" w:hAnsi="仿宋_GB2312" w:cs="仿宋_GB2312" w:eastAsia="仿宋_GB2312"/>
                <w:sz w:val="24"/>
                <w:color w:val="000000"/>
              </w:rPr>
              <w:t>5、通用算子处理指系统针对不同类型的数据，支持一些默认的数据处理，包括数据清洗、脱敏、过滤、去重、去隐私；</w:t>
            </w:r>
          </w:p>
          <w:p>
            <w:pPr>
              <w:pStyle w:val="null3"/>
              <w:jc w:val="left"/>
            </w:pPr>
            <w:r>
              <w:rPr>
                <w:rFonts w:ascii="仿宋_GB2312" w:hAnsi="仿宋_GB2312" w:cs="仿宋_GB2312" w:eastAsia="仿宋_GB2312"/>
                <w:sz w:val="24"/>
                <w:color w:val="000000"/>
              </w:rPr>
              <w:t>▲6、自定义算子数据处理：当通用算子不满足特定场景的需求时，智算平台开放自由实现算子的能力，利用这个开放的能力，开发者可以自由实现自己想要的算子；</w:t>
            </w:r>
          </w:p>
          <w:p>
            <w:pPr>
              <w:pStyle w:val="null3"/>
              <w:jc w:val="left"/>
            </w:pPr>
            <w:r>
              <w:rPr>
                <w:rFonts w:ascii="仿宋_GB2312" w:hAnsi="仿宋_GB2312" w:cs="仿宋_GB2312" w:eastAsia="仿宋_GB2312"/>
                <w:sz w:val="24"/>
                <w:color w:val="000000"/>
              </w:rPr>
              <w:t>7、支持自定义数据处理工作流，管理员可以编排算子及上传脚本，进行自定义数据处理；</w:t>
            </w:r>
          </w:p>
          <w:p>
            <w:pPr>
              <w:pStyle w:val="null3"/>
              <w:jc w:val="left"/>
            </w:pPr>
            <w:r>
              <w:rPr>
                <w:rFonts w:ascii="仿宋_GB2312" w:hAnsi="仿宋_GB2312" w:cs="仿宋_GB2312" w:eastAsia="仿宋_GB2312"/>
                <w:sz w:val="24"/>
                <w:color w:val="000000"/>
              </w:rPr>
              <w:t>8、支持人工标注和智能标注。智能标注支持自动生成问答对；</w:t>
            </w:r>
          </w:p>
          <w:p>
            <w:pPr>
              <w:pStyle w:val="null3"/>
              <w:jc w:val="left"/>
            </w:pPr>
            <w:r>
              <w:rPr>
                <w:rFonts w:ascii="仿宋_GB2312" w:hAnsi="仿宋_GB2312" w:cs="仿宋_GB2312" w:eastAsia="仿宋_GB2312"/>
                <w:sz w:val="24"/>
                <w:color w:val="000000"/>
              </w:rPr>
              <w:t>9、智算平台支持对音频、视频、图片的标注；支持音频分类和音频识别场景训练数据的标注；</w:t>
            </w:r>
          </w:p>
          <w:p>
            <w:pPr>
              <w:pStyle w:val="null3"/>
              <w:jc w:val="left"/>
            </w:pPr>
            <w:r>
              <w:rPr>
                <w:rFonts w:ascii="仿宋_GB2312" w:hAnsi="仿宋_GB2312" w:cs="仿宋_GB2312" w:eastAsia="仿宋_GB2312"/>
                <w:sz w:val="24"/>
                <w:color w:val="000000"/>
              </w:rPr>
              <w:t>10、针对音频数据支持音频分类和音频识别场景训练数据的标注；针对视频数据支持视频分类、目标检测场景训练数据标注，支持按时间段和帧进行数据标注；针对图片支持图片分类、目标检测、图像分割业务场景训练数据标注，支持自定义画笔、多边形框标注工具。</w:t>
            </w:r>
          </w:p>
          <w:p>
            <w:pPr>
              <w:pStyle w:val="null3"/>
              <w:jc w:val="left"/>
            </w:pPr>
            <w:r>
              <w:rPr>
                <w:rFonts w:ascii="仿宋_GB2312" w:hAnsi="仿宋_GB2312" w:cs="仿宋_GB2312" w:eastAsia="仿宋_GB2312"/>
                <w:sz w:val="24"/>
                <w:color w:val="000000"/>
              </w:rPr>
              <w:t>三、模型训练和精调</w:t>
            </w:r>
          </w:p>
          <w:p>
            <w:pPr>
              <w:pStyle w:val="null3"/>
              <w:jc w:val="left"/>
            </w:pPr>
            <w:r>
              <w:rPr>
                <w:rFonts w:ascii="仿宋_GB2312" w:hAnsi="仿宋_GB2312" w:cs="仿宋_GB2312" w:eastAsia="仿宋_GB2312"/>
                <w:sz w:val="24"/>
                <w:color w:val="000000"/>
              </w:rPr>
              <w:t>1、智算管理平台支持全参微调和LORA微调技术，并支持知识蒸馏技术；</w:t>
            </w:r>
          </w:p>
          <w:p>
            <w:pPr>
              <w:pStyle w:val="null3"/>
              <w:jc w:val="left"/>
            </w:pPr>
            <w:r>
              <w:rPr>
                <w:rFonts w:ascii="仿宋_GB2312" w:hAnsi="仿宋_GB2312" w:cs="仿宋_GB2312" w:eastAsia="仿宋_GB2312"/>
                <w:sz w:val="24"/>
                <w:color w:val="000000"/>
              </w:rPr>
              <w:t>2、智算管理平台支持低代码微调和专业模式微调模式；</w:t>
            </w:r>
          </w:p>
          <w:p>
            <w:pPr>
              <w:pStyle w:val="null3"/>
              <w:jc w:val="left"/>
            </w:pPr>
            <w:r>
              <w:rPr>
                <w:rFonts w:ascii="仿宋_GB2312" w:hAnsi="仿宋_GB2312" w:cs="仿宋_GB2312" w:eastAsia="仿宋_GB2312"/>
                <w:sz w:val="24"/>
                <w:color w:val="000000"/>
              </w:rPr>
              <w:t>3、智算管理平台支持大模型预训练或精调任务全生命周期管理，包括任务创建、查询、删除；</w:t>
            </w:r>
          </w:p>
          <w:p>
            <w:pPr>
              <w:pStyle w:val="null3"/>
              <w:jc w:val="left"/>
            </w:pPr>
            <w:r>
              <w:rPr>
                <w:rFonts w:ascii="仿宋_GB2312" w:hAnsi="仿宋_GB2312" w:cs="仿宋_GB2312" w:eastAsia="仿宋_GB2312"/>
                <w:sz w:val="24"/>
                <w:color w:val="000000"/>
              </w:rPr>
              <w:t>4、智算管理平台支持自动并行训练策略，为用户提供大模型训练时，提供并行拆分优化建议。自动并行策略可根据模型、计算资源、网络拓扑自动生成大模型并行策略建议，支持的优化策略包括数据并行、张量并行、流水线并行以及零冗余优化策略；</w:t>
            </w:r>
          </w:p>
          <w:p>
            <w:pPr>
              <w:pStyle w:val="null3"/>
              <w:jc w:val="left"/>
            </w:pPr>
            <w:r>
              <w:rPr>
                <w:rFonts w:ascii="仿宋_GB2312" w:hAnsi="仿宋_GB2312" w:cs="仿宋_GB2312" w:eastAsia="仿宋_GB2312"/>
                <w:sz w:val="24"/>
                <w:color w:val="000000"/>
              </w:rPr>
              <w:t>5、支持按训练任务所需的节点、GPU、CPU、内存资源数量，自动创建训练环境、自动进行资源的智能分配；</w:t>
            </w:r>
          </w:p>
          <w:p>
            <w:pPr>
              <w:pStyle w:val="null3"/>
              <w:jc w:val="left"/>
            </w:pPr>
            <w:r>
              <w:rPr>
                <w:rFonts w:ascii="仿宋_GB2312" w:hAnsi="仿宋_GB2312" w:cs="仿宋_GB2312" w:eastAsia="仿宋_GB2312"/>
                <w:sz w:val="24"/>
                <w:color w:val="000000"/>
              </w:rPr>
              <w:t>6、智算管理平台创建训练或精调任务时，可以配置训练框架、模型保存模式和模型保存策略，可进行基础模型、训练数据集、训练验证集、训练所需资源、超参参数设置。智算管理平台支持的业界多种训练框架，包括不限于Pytorch、DeepSpeed、Megatron-LM、Megatron-DeepSpeed；</w:t>
            </w:r>
          </w:p>
          <w:p>
            <w:pPr>
              <w:pStyle w:val="null3"/>
              <w:jc w:val="left"/>
            </w:pPr>
            <w:r>
              <w:rPr>
                <w:rFonts w:ascii="仿宋_GB2312" w:hAnsi="仿宋_GB2312" w:cs="仿宋_GB2312" w:eastAsia="仿宋_GB2312"/>
                <w:sz w:val="24"/>
                <w:color w:val="000000"/>
              </w:rPr>
              <w:t>7、智算管理平台在进行训练或精调任务时，可自定义数据和验证集比例，以支持不同的训练或精调任务。智算管理平台支持图形化拖拽方式定义训练集的占比，满足灵活自定义数据集占比的需求；</w:t>
            </w:r>
          </w:p>
          <w:p>
            <w:pPr>
              <w:pStyle w:val="null3"/>
              <w:jc w:val="left"/>
            </w:pPr>
            <w:r>
              <w:rPr>
                <w:rFonts w:ascii="仿宋_GB2312" w:hAnsi="仿宋_GB2312" w:cs="仿宋_GB2312" w:eastAsia="仿宋_GB2312"/>
                <w:sz w:val="24"/>
                <w:color w:val="000000"/>
              </w:rPr>
              <w:t>8、智算管理平台支持训练任务优先级排队机制和资源占用时长控制机制，以优化资源调度、提高资源利用率；</w:t>
            </w:r>
          </w:p>
          <w:p>
            <w:pPr>
              <w:pStyle w:val="null3"/>
              <w:jc w:val="left"/>
            </w:pPr>
            <w:r>
              <w:rPr>
                <w:rFonts w:ascii="仿宋_GB2312" w:hAnsi="仿宋_GB2312" w:cs="仿宋_GB2312" w:eastAsia="仿宋_GB2312"/>
                <w:sz w:val="24"/>
                <w:color w:val="000000"/>
              </w:rPr>
              <w:t>9、日志监控：支持训练或推理过程监控，提供看板呈现loss、TGS、MFU指标，能感知训练过程中异常并报警；</w:t>
            </w:r>
          </w:p>
          <w:p>
            <w:pPr>
              <w:pStyle w:val="null3"/>
              <w:jc w:val="left"/>
            </w:pPr>
            <w:r>
              <w:rPr>
                <w:rFonts w:ascii="仿宋_GB2312" w:hAnsi="仿宋_GB2312" w:cs="仿宋_GB2312" w:eastAsia="仿宋_GB2312"/>
                <w:sz w:val="24"/>
                <w:color w:val="000000"/>
              </w:rPr>
              <w:t>10、节点故障保护：支持对节点进行健康检测，出现故障后，能快速定位、隔离故障节点；</w:t>
            </w:r>
          </w:p>
          <w:p>
            <w:pPr>
              <w:pStyle w:val="null3"/>
              <w:jc w:val="left"/>
            </w:pPr>
            <w:r>
              <w:rPr>
                <w:rFonts w:ascii="仿宋_GB2312" w:hAnsi="仿宋_GB2312" w:cs="仿宋_GB2312" w:eastAsia="仿宋_GB2312"/>
                <w:sz w:val="24"/>
                <w:color w:val="000000"/>
              </w:rPr>
              <w:t>11、断点续训：大模型训练过程中遇到异常时，系统自动触发保护机制，自动基于最新的checkpoint文件恢复训练。支持对故障节点的自动隔离和迁移，并支持故障GPU节点自愈，故障GPU节点故障恢复后，可重新加入训练资源池中接受任务调度。</w:t>
            </w:r>
          </w:p>
          <w:p>
            <w:pPr>
              <w:pStyle w:val="null3"/>
              <w:jc w:val="left"/>
            </w:pPr>
            <w:r>
              <w:rPr>
                <w:rFonts w:ascii="仿宋_GB2312" w:hAnsi="仿宋_GB2312" w:cs="仿宋_GB2312" w:eastAsia="仿宋_GB2312"/>
                <w:sz w:val="24"/>
                <w:color w:val="000000"/>
              </w:rPr>
              <w:t>四、模型评估</w:t>
            </w:r>
          </w:p>
          <w:p>
            <w:pPr>
              <w:pStyle w:val="null3"/>
              <w:jc w:val="left"/>
            </w:pPr>
            <w:r>
              <w:rPr>
                <w:rFonts w:ascii="仿宋_GB2312" w:hAnsi="仿宋_GB2312" w:cs="仿宋_GB2312" w:eastAsia="仿宋_GB2312"/>
                <w:sz w:val="24"/>
                <w:color w:val="000000"/>
              </w:rPr>
              <w:t>1、支持启动大模型自动评估任务，任务会自动进行评估数据集的模型推理、推理数据后处理、评估指标打分，并生成数据集-待评估模型-评估指标维度的细粒度评估数据，便于后续的自动评估报告生成；</w:t>
            </w:r>
          </w:p>
          <w:p>
            <w:pPr>
              <w:pStyle w:val="null3"/>
              <w:jc w:val="left"/>
            </w:pPr>
            <w:r>
              <w:rPr>
                <w:rFonts w:ascii="仿宋_GB2312" w:hAnsi="仿宋_GB2312" w:cs="仿宋_GB2312" w:eastAsia="仿宋_GB2312"/>
                <w:sz w:val="24"/>
                <w:color w:val="000000"/>
              </w:rPr>
              <w:t>2、智算管理平台的模型评估模块内置多种业界常见评估数据集，至少包括MMLU、AGIEval、C-Eval、SafetyBench数据集；</w:t>
            </w:r>
          </w:p>
          <w:p>
            <w:pPr>
              <w:pStyle w:val="null3"/>
              <w:jc w:val="left"/>
            </w:pPr>
            <w:r>
              <w:rPr>
                <w:rFonts w:ascii="仿宋_GB2312" w:hAnsi="仿宋_GB2312" w:cs="仿宋_GB2312" w:eastAsia="仿宋_GB2312"/>
                <w:sz w:val="24"/>
                <w:color w:val="000000"/>
              </w:rPr>
              <w:t>3、智算管理平台同时支持自定义评估数据集，以方便用户根据业务需要扩展模型评估范围。</w:t>
            </w:r>
          </w:p>
          <w:p>
            <w:pPr>
              <w:pStyle w:val="null3"/>
              <w:jc w:val="left"/>
            </w:pPr>
            <w:r>
              <w:rPr>
                <w:rFonts w:ascii="仿宋_GB2312" w:hAnsi="仿宋_GB2312" w:cs="仿宋_GB2312" w:eastAsia="仿宋_GB2312"/>
                <w:sz w:val="24"/>
                <w:color w:val="000000"/>
              </w:rPr>
              <w:t>五、模型推理</w:t>
            </w:r>
          </w:p>
          <w:p>
            <w:pPr>
              <w:pStyle w:val="null3"/>
              <w:jc w:val="left"/>
            </w:pPr>
            <w:r>
              <w:rPr>
                <w:rFonts w:ascii="仿宋_GB2312" w:hAnsi="仿宋_GB2312" w:cs="仿宋_GB2312" w:eastAsia="仿宋_GB2312"/>
                <w:sz w:val="24"/>
                <w:color w:val="000000"/>
              </w:rPr>
              <w:t>1、智算管理平台支持新建、修改、删除、启停推理服务，支持查看服务详情、服务日志和服务地址，并支持对推理服务进行升级、回滚、撤销推理服务功能；</w:t>
            </w:r>
          </w:p>
          <w:p>
            <w:pPr>
              <w:pStyle w:val="null3"/>
              <w:jc w:val="left"/>
            </w:pPr>
            <w:r>
              <w:rPr>
                <w:rFonts w:ascii="仿宋_GB2312" w:hAnsi="仿宋_GB2312" w:cs="仿宋_GB2312" w:eastAsia="仿宋_GB2312"/>
                <w:sz w:val="24"/>
                <w:color w:val="000000"/>
              </w:rPr>
              <w:t>2、支持按业务负荷自动弹缩推理服务实例，弹缩推理服务时，推理任务不中断；</w:t>
            </w:r>
          </w:p>
          <w:p>
            <w:pPr>
              <w:pStyle w:val="null3"/>
              <w:jc w:val="left"/>
            </w:pPr>
            <w:r>
              <w:rPr>
                <w:rFonts w:ascii="仿宋_GB2312" w:hAnsi="仿宋_GB2312" w:cs="仿宋_GB2312" w:eastAsia="仿宋_GB2312"/>
                <w:sz w:val="24"/>
                <w:color w:val="000000"/>
              </w:rPr>
              <w:t>3、智算管理平台支持将训练好的模型，基于目标设备进行编译、优化并转换成目标设备可以运行的模型文件；</w:t>
            </w:r>
          </w:p>
          <w:p>
            <w:pPr>
              <w:pStyle w:val="null3"/>
              <w:jc w:val="left"/>
            </w:pPr>
            <w:r>
              <w:rPr>
                <w:rFonts w:ascii="仿宋_GB2312" w:hAnsi="仿宋_GB2312" w:cs="仿宋_GB2312" w:eastAsia="仿宋_GB2312"/>
                <w:sz w:val="24"/>
                <w:color w:val="000000"/>
              </w:rPr>
              <w:t>★4、智算管理平台支持分布式推理服务，可同时纳管多个推理服务，支持异构GPU算力资源的推理服务，支持根据推理服务实例负荷进行消息调度；</w:t>
            </w:r>
          </w:p>
          <w:p>
            <w:pPr>
              <w:pStyle w:val="null3"/>
              <w:jc w:val="left"/>
            </w:pPr>
            <w:r>
              <w:rPr>
                <w:rFonts w:ascii="仿宋_GB2312" w:hAnsi="仿宋_GB2312" w:cs="仿宋_GB2312" w:eastAsia="仿宋_GB2312"/>
                <w:sz w:val="24"/>
                <w:color w:val="000000"/>
              </w:rPr>
              <w:t>5、推理服务支持内生安全护栏功能，可对输入输出内容进行合规校验和核查；</w:t>
            </w:r>
          </w:p>
          <w:p>
            <w:pPr>
              <w:pStyle w:val="null3"/>
              <w:jc w:val="left"/>
            </w:pPr>
            <w:r>
              <w:rPr>
                <w:rFonts w:ascii="仿宋_GB2312" w:hAnsi="仿宋_GB2312" w:cs="仿宋_GB2312" w:eastAsia="仿宋_GB2312"/>
                <w:sz w:val="24"/>
                <w:color w:val="000000"/>
              </w:rPr>
              <w:t>6、推理服务支持Prompt/Prefix Cache技术；</w:t>
            </w:r>
          </w:p>
          <w:p>
            <w:pPr>
              <w:pStyle w:val="null3"/>
              <w:jc w:val="left"/>
            </w:pPr>
            <w:r>
              <w:rPr>
                <w:rFonts w:ascii="仿宋_GB2312" w:hAnsi="仿宋_GB2312" w:cs="仿宋_GB2312" w:eastAsia="仿宋_GB2312"/>
                <w:sz w:val="24"/>
                <w:color w:val="000000"/>
              </w:rPr>
              <w:t>7、智算管理平台支持主流推理引擎或框架，包括vLLM、SGLang、suInfer、MagicMind、XTRT-LLM。</w:t>
            </w:r>
          </w:p>
          <w:p>
            <w:pPr>
              <w:pStyle w:val="null3"/>
              <w:jc w:val="left"/>
            </w:pPr>
            <w:r>
              <w:rPr>
                <w:rFonts w:ascii="仿宋_GB2312" w:hAnsi="仿宋_GB2312" w:cs="仿宋_GB2312" w:eastAsia="仿宋_GB2312"/>
                <w:sz w:val="24"/>
                <w:color w:val="000000"/>
              </w:rPr>
              <w:t>六、平台基础能力</w:t>
            </w:r>
          </w:p>
          <w:p>
            <w:pPr>
              <w:pStyle w:val="null3"/>
              <w:jc w:val="left"/>
            </w:pPr>
            <w:r>
              <w:rPr>
                <w:rFonts w:ascii="仿宋_GB2312" w:hAnsi="仿宋_GB2312" w:cs="仿宋_GB2312" w:eastAsia="仿宋_GB2312"/>
                <w:sz w:val="24"/>
                <w:color w:val="000000"/>
              </w:rPr>
              <w:t>1、GPU资源管理：支持运行在X86或C86服务器环境，管理所有GPU卡；</w:t>
            </w:r>
          </w:p>
          <w:p>
            <w:pPr>
              <w:pStyle w:val="null3"/>
              <w:jc w:val="left"/>
            </w:pPr>
            <w:r>
              <w:rPr>
                <w:rFonts w:ascii="仿宋_GB2312" w:hAnsi="仿宋_GB2312" w:cs="仿宋_GB2312" w:eastAsia="仿宋_GB2312"/>
                <w:sz w:val="24"/>
                <w:color w:val="000000"/>
              </w:rPr>
              <w:t>2、智算运维监控系统：支持智算任务观测，观测任务包括智算任务指标（GPU算力使用率、算力分配量）、事件、运行日志和操作日志；</w:t>
            </w:r>
          </w:p>
          <w:p>
            <w:pPr>
              <w:pStyle w:val="null3"/>
              <w:jc w:val="left"/>
            </w:pPr>
            <w:r>
              <w:rPr>
                <w:rFonts w:ascii="仿宋_GB2312" w:hAnsi="仿宋_GB2312" w:cs="仿宋_GB2312" w:eastAsia="仿宋_GB2312"/>
                <w:sz w:val="24"/>
                <w:color w:val="000000"/>
              </w:rPr>
              <w:t>3、智算网络：</w:t>
            </w:r>
          </w:p>
          <w:p>
            <w:pPr>
              <w:pStyle w:val="null3"/>
              <w:jc w:val="left"/>
            </w:pPr>
            <w:r>
              <w:rPr>
                <w:rFonts w:ascii="仿宋_GB2312" w:hAnsi="仿宋_GB2312" w:cs="仿宋_GB2312" w:eastAsia="仿宋_GB2312"/>
                <w:sz w:val="24"/>
                <w:color w:val="000000"/>
              </w:rPr>
              <w:t>3.1、智算网络参数面、样本面网络支持采用RoCE/IB高性能无损网络技术进行组网；</w:t>
            </w:r>
          </w:p>
          <w:p>
            <w:pPr>
              <w:pStyle w:val="null3"/>
              <w:jc w:val="left"/>
            </w:pPr>
            <w:r>
              <w:rPr>
                <w:rFonts w:ascii="仿宋_GB2312" w:hAnsi="仿宋_GB2312" w:cs="仿宋_GB2312" w:eastAsia="仿宋_GB2312"/>
                <w:sz w:val="24"/>
                <w:color w:val="000000"/>
              </w:rPr>
              <w:t>★3.2、支持一套网络管控系统同时纳管业务面、RDMA参数面和RDMA样本面网络，实现网络的统一管控，便于网络管理和运维；</w:t>
            </w:r>
          </w:p>
          <w:p>
            <w:pPr>
              <w:pStyle w:val="null3"/>
              <w:jc w:val="left"/>
            </w:pPr>
            <w:r>
              <w:rPr>
                <w:rFonts w:ascii="仿宋_GB2312" w:hAnsi="仿宋_GB2312" w:cs="仿宋_GB2312" w:eastAsia="仿宋_GB2312"/>
                <w:sz w:val="24"/>
                <w:color w:val="000000"/>
              </w:rPr>
              <w:t>▲3.3、智算平台支持RDMA参数面网络的自动化按需部署，实现云网联动，支持AI业务的高效部署；</w:t>
            </w:r>
          </w:p>
          <w:p>
            <w:pPr>
              <w:pStyle w:val="null3"/>
              <w:jc w:val="left"/>
            </w:pPr>
            <w:r>
              <w:rPr>
                <w:rFonts w:ascii="仿宋_GB2312" w:hAnsi="仿宋_GB2312" w:cs="仿宋_GB2312" w:eastAsia="仿宋_GB2312"/>
                <w:sz w:val="24"/>
                <w:color w:val="000000"/>
              </w:rPr>
              <w:t>▲3.4、AI任务的部署支持按照网络拓扑进行基础资源的调度，自动优化AI任务网络通信；</w:t>
            </w:r>
          </w:p>
          <w:p>
            <w:pPr>
              <w:pStyle w:val="null3"/>
              <w:jc w:val="left"/>
            </w:pPr>
            <w:r>
              <w:rPr>
                <w:rFonts w:ascii="仿宋_GB2312" w:hAnsi="仿宋_GB2312" w:cs="仿宋_GB2312" w:eastAsia="仿宋_GB2312"/>
                <w:sz w:val="24"/>
                <w:color w:val="000000"/>
              </w:rPr>
              <w:t>▲3.5、为了确保网络最优转发，网络管控系统支持对交换机的RDMA相关参数进行配置，比如PFC阈值、ECN水线；</w:t>
            </w:r>
          </w:p>
          <w:p>
            <w:pPr>
              <w:pStyle w:val="null3"/>
              <w:jc w:val="left"/>
            </w:pPr>
            <w:r>
              <w:rPr>
                <w:rFonts w:ascii="仿宋_GB2312" w:hAnsi="仿宋_GB2312" w:cs="仿宋_GB2312" w:eastAsia="仿宋_GB2312"/>
                <w:sz w:val="24"/>
                <w:color w:val="000000"/>
              </w:rPr>
              <w:t>3.6、支持对RoCE、IB交换机的设备管理、拓扑管理运维能力；</w:t>
            </w:r>
          </w:p>
          <w:p>
            <w:pPr>
              <w:pStyle w:val="null3"/>
              <w:jc w:val="left"/>
            </w:pPr>
            <w:r>
              <w:rPr>
                <w:rFonts w:ascii="仿宋_GB2312" w:hAnsi="仿宋_GB2312" w:cs="仿宋_GB2312" w:eastAsia="仿宋_GB2312"/>
                <w:sz w:val="24"/>
                <w:color w:val="000000"/>
              </w:rPr>
              <w:t>▲3.7、支持对交换机的RDMA无损网络关键指标进行监控，支持从设备、端口、队列维度进行监控，监控指标包括流量速率、接收PFC反压帧数、发送PFC反压帧数、ECN报文数；</w:t>
            </w:r>
          </w:p>
          <w:p>
            <w:pPr>
              <w:pStyle w:val="null3"/>
              <w:jc w:val="left"/>
            </w:pPr>
            <w:r>
              <w:rPr>
                <w:rFonts w:ascii="仿宋_GB2312" w:hAnsi="仿宋_GB2312" w:cs="仿宋_GB2312" w:eastAsia="仿宋_GB2312"/>
                <w:sz w:val="24"/>
                <w:color w:val="000000"/>
              </w:rPr>
              <w:t>3.8、智算网络支持ECN水线智能动态调节功能，通过对网络状态进行实时监控，预测网络流量变化，从而动态智能地调整ECN控制参数，以达到在不丢包情况下网络状态最大吞吐、最小延时的传输目标；</w:t>
            </w:r>
          </w:p>
          <w:p>
            <w:pPr>
              <w:pStyle w:val="null3"/>
              <w:jc w:val="left"/>
            </w:pPr>
            <w:r>
              <w:rPr>
                <w:rFonts w:ascii="仿宋_GB2312" w:hAnsi="仿宋_GB2312" w:cs="仿宋_GB2312" w:eastAsia="仿宋_GB2312"/>
                <w:sz w:val="24"/>
                <w:color w:val="000000"/>
              </w:rPr>
              <w:t>▲3.9、支持监控和展示交换机的队列缓存大小、丢包数、已使用Headroom缓存、已使用Guaranteed缓存；</w:t>
            </w:r>
          </w:p>
          <w:p>
            <w:pPr>
              <w:pStyle w:val="null3"/>
              <w:jc w:val="left"/>
            </w:pPr>
            <w:r>
              <w:rPr>
                <w:rFonts w:ascii="仿宋_GB2312" w:hAnsi="仿宋_GB2312" w:cs="仿宋_GB2312" w:eastAsia="仿宋_GB2312"/>
                <w:sz w:val="24"/>
                <w:color w:val="000000"/>
              </w:rPr>
              <w:t>3.10、支持对交换机的MOD丢包事件进行监控，可以查看丢包详情；</w:t>
            </w:r>
          </w:p>
          <w:p>
            <w:pPr>
              <w:pStyle w:val="null3"/>
              <w:jc w:val="left"/>
            </w:pPr>
            <w:r>
              <w:rPr>
                <w:rFonts w:ascii="仿宋_GB2312" w:hAnsi="仿宋_GB2312" w:cs="仿宋_GB2312" w:eastAsia="仿宋_GB2312"/>
                <w:sz w:val="24"/>
                <w:color w:val="000000"/>
              </w:rPr>
              <w:t>3.11、智算网络的参数面支持采用双平面组网，GPU可通过两个独立的物理网络互通，任何一个网络故障，不影响另一个网络的正常运行；</w:t>
            </w:r>
          </w:p>
          <w:p>
            <w:pPr>
              <w:pStyle w:val="null3"/>
              <w:jc w:val="left"/>
            </w:pPr>
            <w:r>
              <w:rPr>
                <w:rFonts w:ascii="仿宋_GB2312" w:hAnsi="仿宋_GB2312" w:cs="仿宋_GB2312" w:eastAsia="仿宋_GB2312"/>
                <w:sz w:val="24"/>
                <w:color w:val="000000"/>
              </w:rPr>
              <w:t>4、AI平台预置超级智能体典型应用：</w:t>
            </w:r>
          </w:p>
          <w:p>
            <w:pPr>
              <w:pStyle w:val="null3"/>
              <w:jc w:val="left"/>
            </w:pPr>
            <w:r>
              <w:rPr>
                <w:rFonts w:ascii="仿宋_GB2312" w:hAnsi="仿宋_GB2312" w:cs="仿宋_GB2312" w:eastAsia="仿宋_GB2312"/>
                <w:sz w:val="24"/>
                <w:color w:val="000000"/>
              </w:rPr>
              <w:t>▲4.1、支持多Agent协作用户任务规划分解及执行；</w:t>
            </w:r>
          </w:p>
          <w:p>
            <w:pPr>
              <w:pStyle w:val="null3"/>
              <w:jc w:val="left"/>
            </w:pPr>
            <w:r>
              <w:rPr>
                <w:rFonts w:ascii="仿宋_GB2312" w:hAnsi="仿宋_GB2312" w:cs="仿宋_GB2312" w:eastAsia="仿宋_GB2312"/>
                <w:sz w:val="24"/>
                <w:color w:val="000000"/>
              </w:rPr>
              <w:t>▲4.2、支持全局任务生命周期及状态的统一管理和维护；</w:t>
            </w:r>
          </w:p>
          <w:p>
            <w:pPr>
              <w:pStyle w:val="null3"/>
              <w:jc w:val="left"/>
            </w:pPr>
            <w:r>
              <w:rPr>
                <w:rFonts w:ascii="仿宋_GB2312" w:hAnsi="仿宋_GB2312" w:cs="仿宋_GB2312" w:eastAsia="仿宋_GB2312"/>
                <w:sz w:val="24"/>
                <w:color w:val="000000"/>
              </w:rPr>
              <w:t>▲4.3、支持用户任务一次性全局规划，支持子任务动态规划；</w:t>
            </w:r>
          </w:p>
          <w:p>
            <w:pPr>
              <w:pStyle w:val="null3"/>
              <w:jc w:val="left"/>
            </w:pPr>
            <w:r>
              <w:rPr>
                <w:rFonts w:ascii="仿宋_GB2312" w:hAnsi="仿宋_GB2312" w:cs="仿宋_GB2312" w:eastAsia="仿宋_GB2312"/>
                <w:sz w:val="24"/>
                <w:color w:val="000000"/>
              </w:rPr>
              <w:t>▲4.4、全局任务规划支持基于子任务动态规划进行调整和自动更新；</w:t>
            </w:r>
          </w:p>
          <w:p>
            <w:pPr>
              <w:pStyle w:val="null3"/>
              <w:jc w:val="left"/>
            </w:pPr>
            <w:r>
              <w:rPr>
                <w:rFonts w:ascii="仿宋_GB2312" w:hAnsi="仿宋_GB2312" w:cs="仿宋_GB2312" w:eastAsia="仿宋_GB2312"/>
                <w:sz w:val="24"/>
                <w:color w:val="000000"/>
              </w:rPr>
              <w:t>▲4.5、支持任务计划的生成与调用工具完成任务分离；</w:t>
            </w:r>
          </w:p>
          <w:p>
            <w:pPr>
              <w:pStyle w:val="null3"/>
              <w:jc w:val="left"/>
            </w:pPr>
            <w:r>
              <w:rPr>
                <w:rFonts w:ascii="仿宋_GB2312" w:hAnsi="仿宋_GB2312" w:cs="仿宋_GB2312" w:eastAsia="仿宋_GB2312"/>
                <w:sz w:val="24"/>
                <w:color w:val="000000"/>
              </w:rPr>
              <w:t>▲4.6、支持子任务的独立执行和长短期记忆隔离功能；</w:t>
            </w:r>
          </w:p>
          <w:p>
            <w:pPr>
              <w:pStyle w:val="null3"/>
              <w:jc w:val="left"/>
            </w:pPr>
            <w:r>
              <w:rPr>
                <w:rFonts w:ascii="仿宋_GB2312" w:hAnsi="仿宋_GB2312" w:cs="仿宋_GB2312" w:eastAsia="仿宋_GB2312"/>
                <w:sz w:val="24"/>
                <w:color w:val="000000"/>
              </w:rPr>
              <w:t>▲4.7、子任务执行方式支持包括串行、DAG以及并行多种方式；</w:t>
            </w:r>
          </w:p>
          <w:p>
            <w:pPr>
              <w:pStyle w:val="null3"/>
              <w:jc w:val="left"/>
            </w:pPr>
            <w:r>
              <w:rPr>
                <w:rFonts w:ascii="仿宋_GB2312" w:hAnsi="仿宋_GB2312" w:cs="仿宋_GB2312" w:eastAsia="仿宋_GB2312"/>
                <w:sz w:val="24"/>
                <w:color w:val="000000"/>
              </w:rPr>
              <w:t>▲4.8、支持子任务安全工具调用，外部插件或工具通过沙箱虚拟环境进行隔离调用；</w:t>
            </w:r>
          </w:p>
          <w:p>
            <w:pPr>
              <w:pStyle w:val="null3"/>
              <w:jc w:val="left"/>
            </w:pPr>
            <w:r>
              <w:rPr>
                <w:rFonts w:ascii="仿宋_GB2312" w:hAnsi="仿宋_GB2312" w:cs="仿宋_GB2312" w:eastAsia="仿宋_GB2312"/>
                <w:sz w:val="24"/>
                <w:color w:val="000000"/>
              </w:rPr>
              <w:t>▲4.9、支持第三方主流开源（如MCP类）工具的快速导入和调用；</w:t>
            </w:r>
          </w:p>
          <w:p>
            <w:pPr>
              <w:pStyle w:val="null3"/>
              <w:jc w:val="left"/>
            </w:pPr>
            <w:r>
              <w:rPr>
                <w:rFonts w:ascii="仿宋_GB2312" w:hAnsi="仿宋_GB2312" w:cs="仿宋_GB2312" w:eastAsia="仿宋_GB2312"/>
                <w:sz w:val="24"/>
                <w:color w:val="000000"/>
              </w:rPr>
              <w:t>▲4.10、规划任务收敛支持预定义清单方式、模型能力方式以及自定义方式协同机制；</w:t>
            </w:r>
          </w:p>
          <w:p>
            <w:pPr>
              <w:pStyle w:val="null3"/>
              <w:jc w:val="left"/>
            </w:pPr>
            <w:r>
              <w:rPr>
                <w:rFonts w:ascii="仿宋_GB2312" w:hAnsi="仿宋_GB2312" w:cs="仿宋_GB2312" w:eastAsia="仿宋_GB2312"/>
                <w:sz w:val="24"/>
                <w:color w:val="000000"/>
              </w:rPr>
              <w:t>▲4.11、支持典型通用分析报告生成，包括：行业研究报告、新闻热点分析、旅行计划、综述论文。</w:t>
            </w:r>
          </w:p>
        </w:tc>
      </w:tr>
    </w:tbl>
    <w:p>
      <w:pPr>
        <w:pStyle w:val="null3"/>
        <w:jc w:val="left"/>
      </w:pPr>
      <w:r>
        <w:rPr>
          <w:rFonts w:ascii="仿宋_GB2312" w:hAnsi="仿宋_GB2312" w:cs="仿宋_GB2312" w:eastAsia="仿宋_GB2312"/>
        </w:rPr>
        <w:t>标的名称：参数面交换机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技术要求内容</w:t>
            </w:r>
          </w:p>
        </w:tc>
        <w:tc>
          <w:tcPr>
            <w:tcW w:type="dxa" w:w="5814"/>
          </w:tcPr>
          <w:p>
            <w:pPr>
              <w:pStyle w:val="null3"/>
              <w:spacing w:before="135"/>
              <w:jc w:val="left"/>
            </w:pPr>
            <w:r>
              <w:rPr>
                <w:rFonts w:ascii="仿宋_GB2312" w:hAnsi="仿宋_GB2312" w:cs="仿宋_GB2312" w:eastAsia="仿宋_GB2312"/>
                <w:sz w:val="24"/>
                <w:color w:val="000000"/>
              </w:rPr>
              <w:t>1.交换容量≥8Tbps，包转发率≥2800Mpps（提供制造商官网截图）。</w:t>
            </w:r>
          </w:p>
          <w:p>
            <w:pPr>
              <w:pStyle w:val="null3"/>
              <w:spacing w:before="135"/>
              <w:jc w:val="left"/>
            </w:pPr>
            <w:r>
              <w:rPr>
                <w:rFonts w:ascii="仿宋_GB2312" w:hAnsi="仿宋_GB2312" w:cs="仿宋_GB2312" w:eastAsia="仿宋_GB2312"/>
                <w:sz w:val="24"/>
                <w:color w:val="000000"/>
              </w:rPr>
              <w:t>2.支持高密25GE\100GE线卡，整机最大支持32*100GE或96*25GE。本次每台配置3块8口100GE光子卡，24个多模100G光模块。</w:t>
            </w:r>
          </w:p>
          <w:p>
            <w:pPr>
              <w:pStyle w:val="null3"/>
              <w:spacing w:before="135"/>
              <w:jc w:val="left"/>
            </w:pPr>
            <w:r>
              <w:rPr>
                <w:rFonts w:ascii="仿宋_GB2312" w:hAnsi="仿宋_GB2312" w:cs="仿宋_GB2312" w:eastAsia="仿宋_GB2312"/>
                <w:sz w:val="24"/>
                <w:color w:val="000000"/>
              </w:rPr>
              <w:t>▲3.CPU自主可控，提供具有CMA（中国计量认证）资质的检测机构的测评报告。</w:t>
            </w:r>
          </w:p>
          <w:p>
            <w:pPr>
              <w:pStyle w:val="null3"/>
              <w:spacing w:before="135"/>
              <w:jc w:val="left"/>
            </w:pPr>
            <w:r>
              <w:rPr>
                <w:rFonts w:ascii="仿宋_GB2312" w:hAnsi="仿宋_GB2312" w:cs="仿宋_GB2312" w:eastAsia="仿宋_GB2312"/>
                <w:sz w:val="24"/>
                <w:color w:val="000000"/>
              </w:rPr>
              <w:t>4.业务线卡槽位≥4个</w:t>
            </w:r>
          </w:p>
          <w:p>
            <w:pPr>
              <w:pStyle w:val="null3"/>
              <w:spacing w:before="135"/>
              <w:jc w:val="left"/>
            </w:pPr>
            <w:r>
              <w:rPr>
                <w:rFonts w:ascii="仿宋_GB2312" w:hAnsi="仿宋_GB2312" w:cs="仿宋_GB2312" w:eastAsia="仿宋_GB2312"/>
                <w:sz w:val="24"/>
                <w:color w:val="000000"/>
              </w:rPr>
              <w:t>5.风扇2+1冗余</w:t>
            </w:r>
          </w:p>
          <w:p>
            <w:pPr>
              <w:pStyle w:val="null3"/>
              <w:spacing w:before="135"/>
              <w:jc w:val="left"/>
            </w:pPr>
            <w:r>
              <w:rPr>
                <w:rFonts w:ascii="仿宋_GB2312" w:hAnsi="仿宋_GB2312" w:cs="仿宋_GB2312" w:eastAsia="仿宋_GB2312"/>
                <w:sz w:val="24"/>
                <w:color w:val="000000"/>
              </w:rPr>
              <w:t>6.支持交流、直流和高压直流供电。本次每台配置交换1+1冗余模式。</w:t>
            </w:r>
          </w:p>
          <w:p>
            <w:pPr>
              <w:pStyle w:val="null3"/>
              <w:spacing w:before="135"/>
              <w:jc w:val="left"/>
            </w:pPr>
            <w:r>
              <w:rPr>
                <w:rFonts w:ascii="仿宋_GB2312" w:hAnsi="仿宋_GB2312" w:cs="仿宋_GB2312" w:eastAsia="仿宋_GB2312"/>
                <w:sz w:val="24"/>
                <w:color w:val="000000"/>
              </w:rPr>
              <w:t>7.前后风向的风道设计，多通风孔设计，冷热风道完全隔离，提升30%散热效率</w:t>
            </w:r>
          </w:p>
          <w:p>
            <w:pPr>
              <w:pStyle w:val="null3"/>
              <w:spacing w:before="135"/>
              <w:jc w:val="left"/>
            </w:pPr>
            <w:r>
              <w:rPr>
                <w:rFonts w:ascii="仿宋_GB2312" w:hAnsi="仿宋_GB2312" w:cs="仿宋_GB2312" w:eastAsia="仿宋_GB2312"/>
                <w:sz w:val="24"/>
                <w:color w:val="000000"/>
              </w:rPr>
              <w:t>8.支持256字节及以上报文线速转发</w:t>
            </w:r>
          </w:p>
          <w:p>
            <w:pPr>
              <w:pStyle w:val="null3"/>
              <w:spacing w:before="135"/>
              <w:jc w:val="left"/>
            </w:pPr>
            <w:r>
              <w:rPr>
                <w:rFonts w:ascii="仿宋_GB2312" w:hAnsi="仿宋_GB2312" w:cs="仿宋_GB2312" w:eastAsia="仿宋_GB2312"/>
                <w:sz w:val="24"/>
                <w:color w:val="000000"/>
              </w:rPr>
              <w:t>9.支持多虚一功能。</w:t>
            </w:r>
          </w:p>
          <w:p>
            <w:pPr>
              <w:pStyle w:val="null3"/>
              <w:spacing w:before="135"/>
              <w:jc w:val="left"/>
            </w:pPr>
            <w:r>
              <w:rPr>
                <w:rFonts w:ascii="仿宋_GB2312" w:hAnsi="仿宋_GB2312" w:cs="仿宋_GB2312" w:eastAsia="仿宋_GB2312"/>
                <w:sz w:val="24"/>
                <w:color w:val="000000"/>
              </w:rPr>
              <w:t>10.支持MC-LAG（跨设备链路聚合）；</w:t>
            </w:r>
          </w:p>
          <w:p>
            <w:pPr>
              <w:pStyle w:val="null3"/>
              <w:spacing w:before="135"/>
              <w:jc w:val="left"/>
            </w:pPr>
            <w:r>
              <w:rPr>
                <w:rFonts w:ascii="仿宋_GB2312" w:hAnsi="仿宋_GB2312" w:cs="仿宋_GB2312" w:eastAsia="仿宋_GB2312"/>
                <w:sz w:val="24"/>
                <w:color w:val="000000"/>
              </w:rPr>
              <w:t>11.支持netconf接口协议</w:t>
            </w:r>
          </w:p>
          <w:p>
            <w:pPr>
              <w:pStyle w:val="null3"/>
              <w:spacing w:before="135"/>
              <w:jc w:val="left"/>
            </w:pPr>
            <w:r>
              <w:rPr>
                <w:rFonts w:ascii="仿宋_GB2312" w:hAnsi="仿宋_GB2312" w:cs="仿宋_GB2312" w:eastAsia="仿宋_GB2312"/>
                <w:sz w:val="24"/>
                <w:color w:val="000000"/>
              </w:rPr>
              <w:t>12.支持PFC和ECN功能，构建RDMA/RoCE无损高性能数据中心网络</w:t>
            </w:r>
          </w:p>
          <w:p>
            <w:pPr>
              <w:pStyle w:val="null3"/>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支持Telemetry功能，实现设备和数据中心网络状态实时可视化监控。</w:t>
            </w:r>
          </w:p>
        </w:tc>
      </w:tr>
    </w:tbl>
    <w:p>
      <w:pPr>
        <w:pStyle w:val="null3"/>
        <w:jc w:val="left"/>
      </w:pPr>
      <w:r>
        <w:rPr>
          <w:rFonts w:ascii="仿宋_GB2312" w:hAnsi="仿宋_GB2312" w:cs="仿宋_GB2312" w:eastAsia="仿宋_GB2312"/>
        </w:rPr>
        <w:t>标的名称：样本面交换机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技术要求内容</w:t>
            </w:r>
          </w:p>
        </w:tc>
        <w:tc>
          <w:tcPr>
            <w:tcW w:type="dxa" w:w="5814"/>
          </w:tcPr>
          <w:p>
            <w:pPr>
              <w:pStyle w:val="null3"/>
              <w:spacing w:before="135"/>
              <w:jc w:val="left"/>
            </w:pPr>
            <w:r>
              <w:rPr>
                <w:rFonts w:ascii="仿宋_GB2312" w:hAnsi="仿宋_GB2312" w:cs="仿宋_GB2312" w:eastAsia="仿宋_GB2312"/>
                <w:sz w:val="24"/>
                <w:color w:val="000000"/>
              </w:rPr>
              <w:t>1.交换容量≥8Tbps，包转发率≥2800Mpps（提供制造商官网截图）。</w:t>
            </w:r>
          </w:p>
          <w:p>
            <w:pPr>
              <w:pStyle w:val="null3"/>
              <w:spacing w:before="135"/>
              <w:jc w:val="left"/>
            </w:pPr>
            <w:r>
              <w:rPr>
                <w:rFonts w:ascii="仿宋_GB2312" w:hAnsi="仿宋_GB2312" w:cs="仿宋_GB2312" w:eastAsia="仿宋_GB2312"/>
                <w:sz w:val="24"/>
                <w:color w:val="000000"/>
              </w:rPr>
              <w:t>2.支持高密25GE\100GE线卡，整机最大支持32*100GE或96*25GE。本次每台配置1块8口100GE光子卡，8个多模100G光模块。</w:t>
            </w:r>
          </w:p>
          <w:p>
            <w:pPr>
              <w:pStyle w:val="null3"/>
              <w:spacing w:before="135"/>
              <w:jc w:val="left"/>
            </w:pPr>
            <w:r>
              <w:rPr>
                <w:rFonts w:ascii="仿宋_GB2312" w:hAnsi="仿宋_GB2312" w:cs="仿宋_GB2312" w:eastAsia="仿宋_GB2312"/>
                <w:sz w:val="24"/>
                <w:color w:val="000000"/>
              </w:rPr>
              <w:t>▲3.CPU自主可控，提供具有CMA（中国计量认证）资质的检测机构的测评报告。</w:t>
            </w:r>
          </w:p>
          <w:p>
            <w:pPr>
              <w:pStyle w:val="null3"/>
              <w:spacing w:before="135"/>
              <w:jc w:val="left"/>
            </w:pPr>
            <w:r>
              <w:rPr>
                <w:rFonts w:ascii="仿宋_GB2312" w:hAnsi="仿宋_GB2312" w:cs="仿宋_GB2312" w:eastAsia="仿宋_GB2312"/>
                <w:sz w:val="24"/>
                <w:color w:val="000000"/>
              </w:rPr>
              <w:t>4.业务线卡槽位≥4个</w:t>
            </w:r>
          </w:p>
          <w:p>
            <w:pPr>
              <w:pStyle w:val="null3"/>
              <w:spacing w:before="135"/>
              <w:jc w:val="left"/>
            </w:pPr>
            <w:r>
              <w:rPr>
                <w:rFonts w:ascii="仿宋_GB2312" w:hAnsi="仿宋_GB2312" w:cs="仿宋_GB2312" w:eastAsia="仿宋_GB2312"/>
                <w:sz w:val="24"/>
                <w:color w:val="000000"/>
              </w:rPr>
              <w:t>5.风扇2+1冗余</w:t>
            </w:r>
          </w:p>
          <w:p>
            <w:pPr>
              <w:pStyle w:val="null3"/>
              <w:spacing w:before="135"/>
              <w:jc w:val="left"/>
            </w:pPr>
            <w:r>
              <w:rPr>
                <w:rFonts w:ascii="仿宋_GB2312" w:hAnsi="仿宋_GB2312" w:cs="仿宋_GB2312" w:eastAsia="仿宋_GB2312"/>
                <w:sz w:val="24"/>
                <w:color w:val="000000"/>
              </w:rPr>
              <w:t>6.支持交流、直流和高压直流供电。本次每台配置交换1+1冗余模式。</w:t>
            </w:r>
          </w:p>
          <w:p>
            <w:pPr>
              <w:pStyle w:val="null3"/>
              <w:spacing w:before="135"/>
              <w:jc w:val="left"/>
            </w:pPr>
            <w:r>
              <w:rPr>
                <w:rFonts w:ascii="仿宋_GB2312" w:hAnsi="仿宋_GB2312" w:cs="仿宋_GB2312" w:eastAsia="仿宋_GB2312"/>
                <w:sz w:val="24"/>
                <w:color w:val="000000"/>
              </w:rPr>
              <w:t>7.前后风向的风道设计，多通风孔设计，冷热风道完全隔离，提升30%散热效率</w:t>
            </w:r>
          </w:p>
          <w:p>
            <w:pPr>
              <w:pStyle w:val="null3"/>
              <w:spacing w:before="135"/>
              <w:jc w:val="left"/>
            </w:pPr>
            <w:r>
              <w:rPr>
                <w:rFonts w:ascii="仿宋_GB2312" w:hAnsi="仿宋_GB2312" w:cs="仿宋_GB2312" w:eastAsia="仿宋_GB2312"/>
                <w:sz w:val="24"/>
                <w:color w:val="000000"/>
              </w:rPr>
              <w:t>8.支持256字节及以上报文线速转发</w:t>
            </w:r>
          </w:p>
          <w:p>
            <w:pPr>
              <w:pStyle w:val="null3"/>
              <w:spacing w:before="135"/>
              <w:jc w:val="left"/>
            </w:pPr>
            <w:r>
              <w:rPr>
                <w:rFonts w:ascii="仿宋_GB2312" w:hAnsi="仿宋_GB2312" w:cs="仿宋_GB2312" w:eastAsia="仿宋_GB2312"/>
                <w:sz w:val="24"/>
                <w:color w:val="000000"/>
              </w:rPr>
              <w:t>9.支持多虚一功能。</w:t>
            </w:r>
          </w:p>
          <w:p>
            <w:pPr>
              <w:pStyle w:val="null3"/>
              <w:spacing w:before="135"/>
              <w:jc w:val="left"/>
            </w:pPr>
            <w:r>
              <w:rPr>
                <w:rFonts w:ascii="仿宋_GB2312" w:hAnsi="仿宋_GB2312" w:cs="仿宋_GB2312" w:eastAsia="仿宋_GB2312"/>
                <w:sz w:val="24"/>
                <w:color w:val="000000"/>
              </w:rPr>
              <w:t>10.支持MC-LAG（跨设备链路聚合）；</w:t>
            </w:r>
          </w:p>
          <w:p>
            <w:pPr>
              <w:pStyle w:val="null3"/>
              <w:spacing w:before="135"/>
              <w:jc w:val="left"/>
            </w:pPr>
            <w:r>
              <w:rPr>
                <w:rFonts w:ascii="仿宋_GB2312" w:hAnsi="仿宋_GB2312" w:cs="仿宋_GB2312" w:eastAsia="仿宋_GB2312"/>
                <w:sz w:val="24"/>
                <w:color w:val="000000"/>
              </w:rPr>
              <w:t>11.支持netconf接口协议</w:t>
            </w:r>
          </w:p>
          <w:p>
            <w:pPr>
              <w:pStyle w:val="null3"/>
              <w:spacing w:before="135"/>
              <w:jc w:val="left"/>
            </w:pPr>
            <w:r>
              <w:rPr>
                <w:rFonts w:ascii="仿宋_GB2312" w:hAnsi="仿宋_GB2312" w:cs="仿宋_GB2312" w:eastAsia="仿宋_GB2312"/>
                <w:sz w:val="24"/>
                <w:color w:val="000000"/>
              </w:rPr>
              <w:t>12.支持PFC和ECN功能，构建RDMA/RoCE无损高性能数据中心网络</w:t>
            </w:r>
          </w:p>
          <w:p>
            <w:pPr>
              <w:pStyle w:val="null3"/>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支持Telemetry功能，实现设备和数据中心网络状态实时可视化监控。</w:t>
            </w:r>
          </w:p>
        </w:tc>
      </w:tr>
    </w:tbl>
    <w:p>
      <w:pPr>
        <w:pStyle w:val="null3"/>
        <w:jc w:val="left"/>
      </w:pPr>
      <w:r>
        <w:rPr>
          <w:rFonts w:ascii="仿宋_GB2312" w:hAnsi="仿宋_GB2312" w:cs="仿宋_GB2312" w:eastAsia="仿宋_GB2312"/>
        </w:rPr>
        <w:t>标的名称：管理/业务交换机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技术要求内容</w:t>
            </w:r>
          </w:p>
        </w:tc>
        <w:tc>
          <w:tcPr>
            <w:tcW w:type="dxa" w:w="5814"/>
          </w:tcPr>
          <w:p>
            <w:pPr>
              <w:pStyle w:val="null3"/>
              <w:spacing w:before="135"/>
              <w:jc w:val="left"/>
            </w:pPr>
            <w:r>
              <w:rPr>
                <w:rFonts w:ascii="仿宋_GB2312" w:hAnsi="仿宋_GB2312" w:cs="仿宋_GB2312" w:eastAsia="仿宋_GB2312"/>
                <w:sz w:val="24"/>
                <w:color w:val="000000"/>
              </w:rPr>
              <w:t>1.接口要求：支持≥48个25GE端口，≥8个100GE端口。</w:t>
            </w:r>
          </w:p>
          <w:p>
            <w:pPr>
              <w:pStyle w:val="null3"/>
              <w:spacing w:before="135"/>
              <w:jc w:val="left"/>
            </w:pPr>
            <w:r>
              <w:rPr>
                <w:rFonts w:ascii="仿宋_GB2312" w:hAnsi="仿宋_GB2312" w:cs="仿宋_GB2312" w:eastAsia="仿宋_GB2312"/>
                <w:sz w:val="24"/>
                <w:color w:val="000000"/>
              </w:rPr>
              <w:t>2.100GE端口可以降速为40GE，25GE端口可以降速为10GE（支持单端口降速），本次每台配置8*10GE + 40*25GE + 8*100GE多模光模块。</w:t>
            </w:r>
          </w:p>
          <w:p>
            <w:pPr>
              <w:pStyle w:val="null3"/>
              <w:spacing w:before="135"/>
              <w:jc w:val="left"/>
            </w:pPr>
            <w:r>
              <w:rPr>
                <w:rFonts w:ascii="仿宋_GB2312" w:hAnsi="仿宋_GB2312" w:cs="仿宋_GB2312" w:eastAsia="仿宋_GB2312"/>
                <w:sz w:val="24"/>
                <w:color w:val="000000"/>
              </w:rPr>
              <w:t>3.转发性能：交换容量≥8Tbps，包转发率≥2800Mpps（提供制造商官网截图）。</w:t>
            </w:r>
          </w:p>
          <w:p>
            <w:pPr>
              <w:pStyle w:val="null3"/>
              <w:spacing w:before="135"/>
              <w:jc w:val="left"/>
            </w:pPr>
            <w:r>
              <w:rPr>
                <w:rFonts w:ascii="仿宋_GB2312" w:hAnsi="仿宋_GB2312" w:cs="仿宋_GB2312" w:eastAsia="仿宋_GB2312"/>
                <w:sz w:val="24"/>
                <w:color w:val="000000"/>
              </w:rPr>
              <w:t>▲4.CPU自主可控，提供具有CMA（中国计量认证）资质的检测机构的测评报告。</w:t>
            </w:r>
          </w:p>
          <w:p>
            <w:pPr>
              <w:pStyle w:val="null3"/>
              <w:spacing w:before="135"/>
              <w:jc w:val="left"/>
            </w:pPr>
            <w:r>
              <w:rPr>
                <w:rFonts w:ascii="仿宋_GB2312" w:hAnsi="仿宋_GB2312" w:cs="仿宋_GB2312" w:eastAsia="仿宋_GB2312"/>
                <w:sz w:val="24"/>
                <w:color w:val="000000"/>
              </w:rPr>
              <w:t>▲5.支持直流、交流和高压直流供电模式，电源支持1+1冗余备份。本次每台配置交换1+1冗余模式。</w:t>
            </w:r>
          </w:p>
          <w:p>
            <w:pPr>
              <w:pStyle w:val="null3"/>
              <w:spacing w:before="135"/>
              <w:jc w:val="left"/>
            </w:pPr>
            <w:r>
              <w:rPr>
                <w:rFonts w:ascii="仿宋_GB2312" w:hAnsi="仿宋_GB2312" w:cs="仿宋_GB2312" w:eastAsia="仿宋_GB2312"/>
                <w:sz w:val="24"/>
                <w:color w:val="000000"/>
              </w:rPr>
              <w:t>6.支持风扇模块≥4。</w:t>
            </w:r>
          </w:p>
          <w:p>
            <w:pPr>
              <w:pStyle w:val="null3"/>
              <w:spacing w:before="135"/>
              <w:jc w:val="left"/>
            </w:pPr>
            <w:r>
              <w:rPr>
                <w:rFonts w:ascii="仿宋_GB2312" w:hAnsi="仿宋_GB2312" w:cs="仿宋_GB2312" w:eastAsia="仿宋_GB2312"/>
                <w:sz w:val="24"/>
                <w:color w:val="000000"/>
              </w:rPr>
              <w:t>▲7.MAC地址容量≥287K</w:t>
            </w:r>
          </w:p>
          <w:p>
            <w:pPr>
              <w:pStyle w:val="null3"/>
              <w:spacing w:before="135"/>
              <w:jc w:val="left"/>
            </w:pPr>
            <w:r>
              <w:rPr>
                <w:rFonts w:ascii="仿宋_GB2312" w:hAnsi="仿宋_GB2312" w:cs="仿宋_GB2312" w:eastAsia="仿宋_GB2312"/>
                <w:sz w:val="24"/>
                <w:color w:val="000000"/>
              </w:rPr>
              <w:t>▲8.ARP/ND表项容量≥256K</w:t>
            </w:r>
          </w:p>
          <w:p>
            <w:pPr>
              <w:pStyle w:val="null3"/>
              <w:spacing w:before="135"/>
              <w:jc w:val="left"/>
            </w:pPr>
            <w:r>
              <w:rPr>
                <w:rFonts w:ascii="仿宋_GB2312" w:hAnsi="仿宋_GB2312" w:cs="仿宋_GB2312" w:eastAsia="仿宋_GB2312"/>
                <w:sz w:val="24"/>
                <w:color w:val="000000"/>
              </w:rPr>
              <w:t>▲9.IPv4路由表容量≥256K</w:t>
            </w:r>
          </w:p>
          <w:p>
            <w:pPr>
              <w:pStyle w:val="null3"/>
              <w:spacing w:before="135"/>
              <w:jc w:val="left"/>
            </w:pPr>
            <w:r>
              <w:rPr>
                <w:rFonts w:ascii="仿宋_GB2312" w:hAnsi="仿宋_GB2312" w:cs="仿宋_GB2312" w:eastAsia="仿宋_GB2312"/>
                <w:sz w:val="24"/>
                <w:color w:val="000000"/>
              </w:rPr>
              <w:t>▲10.IPv6路由表容量≥256K</w:t>
            </w:r>
          </w:p>
          <w:p>
            <w:pPr>
              <w:pStyle w:val="null3"/>
              <w:spacing w:before="135"/>
              <w:jc w:val="left"/>
            </w:pPr>
            <w:r>
              <w:rPr>
                <w:rFonts w:ascii="仿宋_GB2312" w:hAnsi="仿宋_GB2312" w:cs="仿宋_GB2312" w:eastAsia="仿宋_GB2312"/>
                <w:sz w:val="24"/>
                <w:color w:val="000000"/>
              </w:rPr>
              <w:t>▲11.支持GB级大缓存，在数据中心流量突发情况下，保障数据不会丢失</w:t>
            </w:r>
          </w:p>
          <w:p>
            <w:pPr>
              <w:pStyle w:val="null3"/>
              <w:spacing w:before="135"/>
              <w:jc w:val="left"/>
            </w:pPr>
            <w:r>
              <w:rPr>
                <w:rFonts w:ascii="仿宋_GB2312" w:hAnsi="仿宋_GB2312" w:cs="仿宋_GB2312" w:eastAsia="仿宋_GB2312"/>
                <w:sz w:val="24"/>
                <w:color w:val="000000"/>
              </w:rPr>
              <w:t>12.支持MC-LAG功能</w:t>
            </w:r>
          </w:p>
          <w:p>
            <w:pPr>
              <w:pStyle w:val="null3"/>
              <w:spacing w:before="135"/>
              <w:jc w:val="left"/>
            </w:pPr>
            <w:r>
              <w:rPr>
                <w:rFonts w:ascii="仿宋_GB2312" w:hAnsi="仿宋_GB2312" w:cs="仿宋_GB2312" w:eastAsia="仿宋_GB2312"/>
                <w:sz w:val="24"/>
                <w:color w:val="000000"/>
              </w:rPr>
              <w:t>13.支持Netconf功能</w:t>
            </w:r>
          </w:p>
          <w:p>
            <w:pPr>
              <w:pStyle w:val="null3"/>
              <w:spacing w:before="135"/>
              <w:jc w:val="left"/>
            </w:pPr>
            <w:r>
              <w:rPr>
                <w:rFonts w:ascii="仿宋_GB2312" w:hAnsi="仿宋_GB2312" w:cs="仿宋_GB2312" w:eastAsia="仿宋_GB2312"/>
                <w:sz w:val="24"/>
                <w:color w:val="000000"/>
              </w:rPr>
              <w:t>14.支持VxLAN隧道 over IPv6</w:t>
            </w:r>
          </w:p>
          <w:p>
            <w:pPr>
              <w:pStyle w:val="null3"/>
              <w:spacing w:before="135"/>
              <w:jc w:val="left"/>
            </w:pPr>
            <w:r>
              <w:rPr>
                <w:rFonts w:ascii="仿宋_GB2312" w:hAnsi="仿宋_GB2312" w:cs="仿宋_GB2312" w:eastAsia="仿宋_GB2312"/>
                <w:sz w:val="24"/>
                <w:color w:val="000000"/>
              </w:rPr>
              <w:t>15.支持VXLAN二层网关，VXLAN三层网关</w:t>
            </w:r>
          </w:p>
          <w:p>
            <w:pPr>
              <w:pStyle w:val="null3"/>
              <w:spacing w:before="135"/>
              <w:jc w:val="left"/>
            </w:pPr>
            <w:r>
              <w:rPr>
                <w:rFonts w:ascii="仿宋_GB2312" w:hAnsi="仿宋_GB2312" w:cs="仿宋_GB2312" w:eastAsia="仿宋_GB2312"/>
                <w:sz w:val="24"/>
                <w:color w:val="000000"/>
              </w:rPr>
              <w:t>16.支持EVPN VXLAN功能测试，ARP广播抑制功能</w:t>
            </w:r>
          </w:p>
          <w:p>
            <w:pPr>
              <w:pStyle w:val="null3"/>
              <w:spacing w:before="135"/>
              <w:jc w:val="left"/>
            </w:pPr>
            <w:r>
              <w:rPr>
                <w:rFonts w:ascii="仿宋_GB2312" w:hAnsi="仿宋_GB2312" w:cs="仿宋_GB2312" w:eastAsia="仿宋_GB2312"/>
                <w:sz w:val="24"/>
                <w:color w:val="000000"/>
              </w:rPr>
              <w:t>17.支持 IPv6 over IPv4 VXLAN隧道</w:t>
            </w:r>
          </w:p>
          <w:p>
            <w:pPr>
              <w:pStyle w:val="null3"/>
              <w:spacing w:before="135"/>
              <w:jc w:val="left"/>
            </w:pPr>
            <w:r>
              <w:rPr>
                <w:rFonts w:ascii="仿宋_GB2312" w:hAnsi="仿宋_GB2312" w:cs="仿宋_GB2312" w:eastAsia="仿宋_GB2312"/>
                <w:sz w:val="24"/>
                <w:color w:val="000000"/>
              </w:rPr>
              <w:t>协议与功能</w:t>
            </w:r>
          </w:p>
          <w:p>
            <w:pPr>
              <w:pStyle w:val="null3"/>
              <w:spacing w:before="135"/>
              <w:jc w:val="left"/>
            </w:pPr>
            <w:r>
              <w:rPr>
                <w:rFonts w:ascii="仿宋_GB2312" w:hAnsi="仿宋_GB2312" w:cs="仿宋_GB2312" w:eastAsia="仿宋_GB2312"/>
                <w:sz w:val="24"/>
                <w:color w:val="000000"/>
              </w:rPr>
              <w:t>18.3.3ms BFD，实现快速保护切换和快速收敛</w:t>
            </w:r>
          </w:p>
          <w:p>
            <w:pPr>
              <w:pStyle w:val="null3"/>
              <w:spacing w:before="135"/>
              <w:jc w:val="left"/>
            </w:pPr>
            <w:r>
              <w:rPr>
                <w:rFonts w:ascii="仿宋_GB2312" w:hAnsi="仿宋_GB2312" w:cs="仿宋_GB2312" w:eastAsia="仿宋_GB2312"/>
                <w:sz w:val="24"/>
                <w:color w:val="000000"/>
              </w:rPr>
              <w:t>19.支持VSC堆叠功能</w:t>
            </w:r>
          </w:p>
          <w:p>
            <w:pPr>
              <w:pStyle w:val="null3"/>
              <w:spacing w:before="135"/>
              <w:jc w:val="left"/>
            </w:pPr>
            <w:r>
              <w:rPr>
                <w:rFonts w:ascii="仿宋_GB2312" w:hAnsi="仿宋_GB2312" w:cs="仿宋_GB2312" w:eastAsia="仿宋_GB2312"/>
                <w:sz w:val="24"/>
                <w:color w:val="000000"/>
              </w:rPr>
              <w:t>20.支持Telemetry功能</w:t>
            </w:r>
          </w:p>
          <w:p>
            <w:pPr>
              <w:pStyle w:val="null3"/>
              <w:jc w:val="left"/>
            </w:pPr>
            <w:r>
              <w:rPr>
                <w:rFonts w:ascii="仿宋_GB2312" w:hAnsi="仿宋_GB2312" w:cs="仿宋_GB2312" w:eastAsia="仿宋_GB2312"/>
                <w:sz w:val="24"/>
                <w:color w:val="000000"/>
              </w:rPr>
              <w:t>21.支持Netflow功能</w:t>
            </w:r>
          </w:p>
        </w:tc>
      </w:tr>
    </w:tbl>
    <w:p>
      <w:pPr>
        <w:pStyle w:val="null3"/>
        <w:jc w:val="left"/>
      </w:pPr>
      <w:r>
        <w:rPr>
          <w:rFonts w:ascii="仿宋_GB2312" w:hAnsi="仿宋_GB2312" w:cs="仿宋_GB2312" w:eastAsia="仿宋_GB2312"/>
        </w:rPr>
        <w:t>标的名称：硬件管理交换机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技术要求内容</w:t>
            </w:r>
          </w:p>
        </w:tc>
        <w:tc>
          <w:tcPr>
            <w:tcW w:type="dxa" w:w="5814"/>
          </w:tcPr>
          <w:p>
            <w:pPr>
              <w:pStyle w:val="null3"/>
              <w:spacing w:before="135"/>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交换容量≥176Gbps</w:t>
            </w:r>
          </w:p>
          <w:p>
            <w:pPr>
              <w:pStyle w:val="null3"/>
              <w:spacing w:before="135"/>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包转发率≥132Mpps</w:t>
            </w:r>
          </w:p>
          <w:p>
            <w:pPr>
              <w:pStyle w:val="null3"/>
              <w:spacing w:before="135"/>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支持48个千兆电口， 4个万兆光口；本次配置48个GE电口，4个10GE光口，4个10G多模光模块。</w:t>
            </w:r>
          </w:p>
          <w:p>
            <w:pPr>
              <w:pStyle w:val="null3"/>
              <w:spacing w:before="135"/>
              <w:jc w:val="left"/>
            </w:pPr>
            <w:r>
              <w:rPr>
                <w:rFonts w:ascii="仿宋_GB2312" w:hAnsi="仿宋_GB2312" w:cs="仿宋_GB2312" w:eastAsia="仿宋_GB2312"/>
                <w:sz w:val="24"/>
                <w:color w:val="000000"/>
              </w:rPr>
              <w:t>▲4.支持模块化电源，支持电源个数≥2，支持240V高压直流（提供承诺函加盖公章）。</w:t>
            </w:r>
          </w:p>
          <w:p>
            <w:pPr>
              <w:pStyle w:val="null3"/>
              <w:spacing w:before="135"/>
              <w:jc w:val="left"/>
            </w:pPr>
            <w:r>
              <w:rPr>
                <w:rFonts w:ascii="仿宋_GB2312" w:hAnsi="仿宋_GB2312" w:cs="仿宋_GB2312" w:eastAsia="仿宋_GB2312"/>
                <w:sz w:val="24"/>
                <w:color w:val="000000"/>
              </w:rPr>
              <w:t>▲5.可通过面板指示灯获取各种设备重要信息，包括端口/内存/CPU使用状态（提供承诺函加盖公章）。</w:t>
            </w:r>
          </w:p>
          <w:p>
            <w:pPr>
              <w:pStyle w:val="null3"/>
              <w:spacing w:before="135"/>
              <w:jc w:val="left"/>
            </w:pPr>
            <w:r>
              <w:rPr>
                <w:rFonts w:ascii="仿宋_GB2312" w:hAnsi="仿宋_GB2312" w:cs="仿宋_GB2312" w:eastAsia="仿宋_GB2312"/>
                <w:sz w:val="24"/>
                <w:color w:val="000000"/>
              </w:rPr>
              <w:t>▲6.CPU、转发交换芯片、CPLD、内存为自主可控芯片（提供承诺函加盖公章）</w:t>
            </w:r>
          </w:p>
          <w:p>
            <w:pPr>
              <w:pStyle w:val="null3"/>
              <w:spacing w:before="135"/>
              <w:jc w:val="left"/>
            </w:pPr>
            <w:r>
              <w:rPr>
                <w:rFonts w:ascii="仿宋_GB2312" w:hAnsi="仿宋_GB2312" w:cs="仿宋_GB2312" w:eastAsia="仿宋_GB2312"/>
                <w:sz w:val="24"/>
                <w:color w:val="000000"/>
              </w:rPr>
              <w:t>★7.操作系统和协议栈为国产（提供承诺函加盖公章）。</w:t>
            </w:r>
          </w:p>
          <w:p>
            <w:pPr>
              <w:pStyle w:val="null3"/>
              <w:spacing w:before="135"/>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支持横向虚拟化技术，将多台设备虚拟为一台</w:t>
            </w:r>
          </w:p>
          <w:p>
            <w:pPr>
              <w:pStyle w:val="null3"/>
              <w:spacing w:before="135"/>
              <w:jc w:val="left"/>
            </w:pPr>
            <w:r>
              <w:rPr>
                <w:rFonts w:ascii="仿宋_GB2312" w:hAnsi="仿宋_GB2312" w:cs="仿宋_GB2312" w:eastAsia="仿宋_GB2312"/>
                <w:sz w:val="24"/>
                <w:color w:val="000000"/>
              </w:rPr>
              <w:t>9.支持4K个VLAN，支持Voice VLAN，基于端口的VLAN，基于协议的VLAN</w:t>
            </w:r>
          </w:p>
          <w:p>
            <w:pPr>
              <w:pStyle w:val="null3"/>
              <w:spacing w:before="135"/>
              <w:jc w:val="left"/>
            </w:pPr>
            <w:r>
              <w:rPr>
                <w:rFonts w:ascii="仿宋_GB2312" w:hAnsi="仿宋_GB2312" w:cs="仿宋_GB2312" w:eastAsia="仿宋_GB2312"/>
                <w:sz w:val="24"/>
                <w:color w:val="000000"/>
              </w:rPr>
              <w:t>10.支持MAC地址≥64K。</w:t>
            </w:r>
          </w:p>
          <w:p>
            <w:pPr>
              <w:pStyle w:val="null3"/>
              <w:spacing w:before="135"/>
              <w:jc w:val="left"/>
            </w:pPr>
            <w:r>
              <w:rPr>
                <w:rFonts w:ascii="仿宋_GB2312" w:hAnsi="仿宋_GB2312" w:cs="仿宋_GB2312" w:eastAsia="仿宋_GB2312"/>
                <w:sz w:val="24"/>
                <w:color w:val="000000"/>
              </w:rPr>
              <w:t xml:space="preserve">11.支持端口聚合，每个聚合组至少8个端口  </w:t>
            </w:r>
          </w:p>
          <w:p>
            <w:pPr>
              <w:pStyle w:val="null3"/>
              <w:spacing w:before="135"/>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 xml:space="preserve">支持静态路由，RIPv1/v2，RIPng,OSPFv2/v3， ISIS，ISISv6, BGP4,BGP4+,支持ECMP。                       </w:t>
            </w:r>
          </w:p>
          <w:p>
            <w:pPr>
              <w:pStyle w:val="null3"/>
              <w:spacing w:before="135"/>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路由表容量≥48K（提供国家认可的第三方检测机构出具的检测报告复印件加盖投标人公章）。</w:t>
            </w:r>
          </w:p>
          <w:p>
            <w:pPr>
              <w:pStyle w:val="null3"/>
              <w:spacing w:before="135"/>
              <w:jc w:val="left"/>
            </w:pPr>
            <w:r>
              <w:rPr>
                <w:rFonts w:ascii="仿宋_GB2312" w:hAnsi="仿宋_GB2312" w:cs="仿宋_GB2312" w:eastAsia="仿宋_GB2312"/>
                <w:sz w:val="24"/>
                <w:color w:val="000000"/>
              </w:rPr>
              <w:t>14.支持IPv6特性，包括支持ND、IPv6 Ping、IPv6 Telnet、手工tunnel、6to4 tunnel、v6 GRE tunnel、IPv6 ACL、MLD Snooping、DHCPv6 snooping</w:t>
            </w:r>
          </w:p>
          <w:p>
            <w:pPr>
              <w:pStyle w:val="null3"/>
              <w:spacing w:before="135"/>
              <w:jc w:val="left"/>
            </w:pPr>
            <w:r>
              <w:rPr>
                <w:rFonts w:ascii="仿宋_GB2312" w:hAnsi="仿宋_GB2312" w:cs="仿宋_GB2312" w:eastAsia="仿宋_GB2312"/>
                <w:sz w:val="24"/>
                <w:color w:val="000000"/>
              </w:rPr>
              <w:t>15.支持IGMPv1/v2/v3 snooping，MLD Snooping，PIM Snooping，IGMPv1/v2/v3，PIM SM/DM/SSM</w:t>
            </w:r>
          </w:p>
          <w:p>
            <w:pPr>
              <w:pStyle w:val="null3"/>
              <w:spacing w:before="135"/>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支持802.1x认证、Radius认证多种方式</w:t>
            </w:r>
          </w:p>
          <w:p>
            <w:pPr>
              <w:pStyle w:val="null3"/>
              <w:spacing w:before="135"/>
              <w:jc w:val="left"/>
            </w:pPr>
            <w:r>
              <w:rPr>
                <w:rFonts w:ascii="仿宋_GB2312" w:hAnsi="仿宋_GB2312" w:cs="仿宋_GB2312" w:eastAsia="仿宋_GB2312"/>
                <w:sz w:val="24"/>
                <w:color w:val="000000"/>
              </w:rPr>
              <w:t>17.</w:t>
            </w:r>
            <w:r>
              <w:rPr>
                <w:rFonts w:ascii="仿宋_GB2312" w:hAnsi="仿宋_GB2312" w:cs="仿宋_GB2312" w:eastAsia="仿宋_GB2312"/>
                <w:sz w:val="24"/>
                <w:color w:val="000000"/>
              </w:rPr>
              <w:t>支持端口隔离，用户分级管理和口令保护，CPU防攻击、CPU过载保护，uRPF单播逆向路由检查功能</w:t>
            </w:r>
          </w:p>
          <w:p>
            <w:pPr>
              <w:pStyle w:val="null3"/>
              <w:spacing w:before="135"/>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每端口支持8个硬件队列，支持SP、WRR、SP+WRR等队列调度算法</w:t>
            </w:r>
          </w:p>
          <w:p>
            <w:pPr>
              <w:pStyle w:val="null3"/>
              <w:spacing w:before="135"/>
              <w:jc w:val="left"/>
            </w:pPr>
            <w:r>
              <w:rPr>
                <w:rFonts w:ascii="仿宋_GB2312" w:hAnsi="仿宋_GB2312" w:cs="仿宋_GB2312" w:eastAsia="仿宋_GB2312"/>
                <w:sz w:val="24"/>
                <w:color w:val="000000"/>
              </w:rPr>
              <w:t>19.</w:t>
            </w:r>
            <w:r>
              <w:rPr>
                <w:rFonts w:ascii="仿宋_GB2312" w:hAnsi="仿宋_GB2312" w:cs="仿宋_GB2312" w:eastAsia="仿宋_GB2312"/>
                <w:sz w:val="24"/>
                <w:color w:val="000000"/>
              </w:rPr>
              <w:t>支持ERPS以太环保护协议</w:t>
            </w:r>
          </w:p>
          <w:p>
            <w:pPr>
              <w:pStyle w:val="null3"/>
              <w:spacing w:before="135"/>
              <w:jc w:val="left"/>
            </w:pPr>
            <w:r>
              <w:rPr>
                <w:rFonts w:ascii="仿宋_GB2312" w:hAnsi="仿宋_GB2312" w:cs="仿宋_GB2312" w:eastAsia="仿宋_GB2312"/>
                <w:sz w:val="24"/>
                <w:color w:val="000000"/>
              </w:rPr>
              <w:t>20.</w:t>
            </w:r>
            <w:r>
              <w:rPr>
                <w:rFonts w:ascii="仿宋_GB2312" w:hAnsi="仿宋_GB2312" w:cs="仿宋_GB2312" w:eastAsia="仿宋_GB2312"/>
                <w:sz w:val="24"/>
                <w:color w:val="000000"/>
              </w:rPr>
              <w:t>支持能效以太网标准（EEE）</w:t>
            </w:r>
          </w:p>
          <w:p>
            <w:pPr>
              <w:pStyle w:val="null3"/>
              <w:jc w:val="left"/>
            </w:pPr>
            <w:r>
              <w:rPr>
                <w:rFonts w:ascii="仿宋_GB2312" w:hAnsi="仿宋_GB2312" w:cs="仿宋_GB2312" w:eastAsia="仿宋_GB2312"/>
                <w:sz w:val="24"/>
                <w:color w:val="000000"/>
              </w:rPr>
              <w:t>21.</w:t>
            </w:r>
            <w:r>
              <w:rPr>
                <w:rFonts w:ascii="仿宋_GB2312" w:hAnsi="仿宋_GB2312" w:cs="仿宋_GB2312" w:eastAsia="仿宋_GB2312"/>
                <w:sz w:val="24"/>
                <w:color w:val="000000"/>
              </w:rPr>
              <w:t>支持SNMP v1/v2/v3、Telnet远程维护、网管系统管理</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sz w:val="24"/>
                <w:color w:val="000000"/>
              </w:rPr>
              <w:t>★1、智算资源管理平台、交换机为同一品牌。</w:t>
            </w:r>
          </w:p>
          <w:p>
            <w:pPr>
              <w:pStyle w:val="null3"/>
              <w:jc w:val="left"/>
            </w:pPr>
            <w:r>
              <w:rPr>
                <w:rFonts w:ascii="仿宋_GB2312" w:hAnsi="仿宋_GB2312" w:cs="仿宋_GB2312" w:eastAsia="仿宋_GB2312"/>
                <w:sz w:val="24"/>
                <w:color w:val="000000"/>
              </w:rPr>
              <w:t>★2、为保证系统兼容性及完整性，资源管理调度软件、交换机为同一品牌，且资源管理调度软件完全自主研发。</w:t>
            </w:r>
          </w:p>
          <w:p>
            <w:pPr>
              <w:pStyle w:val="null3"/>
              <w:jc w:val="left"/>
            </w:pPr>
            <w:r>
              <w:rPr>
                <w:rFonts w:ascii="仿宋_GB2312" w:hAnsi="仿宋_GB2312" w:cs="仿宋_GB2312" w:eastAsia="仿宋_GB2312"/>
                <w:sz w:val="24"/>
                <w:color w:val="000000"/>
              </w:rPr>
              <w:t>★3、根据教育部《关于征集职业教育专业领域垂类模型建设项目(第一批)合作学校的通告》(教职中心〔2025〕20号)要求，供应商所投资源管理调度软件、交换机支持中兴星云大模型的部署、训练和推理应用。</w:t>
            </w:r>
          </w:p>
          <w:p>
            <w:pPr>
              <w:pStyle w:val="null3"/>
              <w:spacing w:after="120"/>
              <w:jc w:val="left"/>
            </w:pPr>
            <w:r>
              <w:rPr>
                <w:rFonts w:ascii="仿宋_GB2312" w:hAnsi="仿宋_GB2312" w:cs="仿宋_GB2312" w:eastAsia="仿宋_GB2312"/>
                <w:sz w:val="21"/>
                <w:color w:val="000000"/>
              </w:rPr>
              <w:t>★4、项目启动后按照约定的时间，派遣项目经理驻场实施，直至设备正常运行方可结束驻场工作（提供承诺函加盖公章）。</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4"/>
                <w:color w:val="000000"/>
              </w:rPr>
              <w:t>投标人拟投入本项目的团队人员至少3人（包含驻场项目经理）（提供承诺函加盖公章）</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4"/>
                <w:color w:val="000000"/>
              </w:rPr>
              <w:t>★6、投标人承诺，取得中标通知书后10日内在采购人成都校区使用投标产品完成中兴星云大模型的部署、训练和推理应用测试。若所投产品无法支持中兴星云大模型的部署、训练和推理应用,则视为虚假应标。（投标人提供承诺函并加盖投标人公章）</w:t>
            </w:r>
          </w:p>
          <w:p>
            <w:pPr>
              <w:pStyle w:val="null3"/>
              <w:jc w:val="left"/>
            </w:pPr>
            <w:r>
              <w:rPr>
                <w:rFonts w:ascii="仿宋_GB2312" w:hAnsi="仿宋_GB2312" w:cs="仿宋_GB2312" w:eastAsia="仿宋_GB2312"/>
                <w:sz w:val="24"/>
              </w:rPr>
              <w:t>★7.所有交换机提供工信部入网证书(提供有效的证书复印件加盖公章)</w:t>
            </w:r>
          </w:p>
          <w:p>
            <w:pPr>
              <w:pStyle w:val="null3"/>
              <w:jc w:val="left"/>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sz w:val="24"/>
              </w:rPr>
              <w:t>1.售后服务方案</w:t>
            </w:r>
            <w:r>
              <w:rPr>
                <w:rFonts w:ascii="仿宋_GB2312" w:hAnsi="仿宋_GB2312" w:cs="仿宋_GB2312" w:eastAsia="仿宋_GB2312"/>
                <w:sz w:val="24"/>
                <w:color w:val="000000"/>
              </w:rPr>
              <w:t>包括：①服务响应流程及范围；②备品备件服务流程及范围；③使用培训方案；④设备定期维护计划；</w:t>
            </w:r>
          </w:p>
          <w:p>
            <w:pPr>
              <w:pStyle w:val="null3"/>
              <w:jc w:val="left"/>
            </w:pPr>
            <w:r>
              <w:rPr>
                <w:rFonts w:ascii="仿宋_GB2312" w:hAnsi="仿宋_GB2312" w:cs="仿宋_GB2312" w:eastAsia="仿宋_GB2312"/>
                <w:sz w:val="24"/>
                <w:color w:val="000000"/>
              </w:rPr>
              <w:t>2.技术方案包括</w:t>
            </w:r>
            <w:r>
              <w:rPr>
                <w:rFonts w:ascii="仿宋_GB2312" w:hAnsi="仿宋_GB2312" w:cs="仿宋_GB2312" w:eastAsia="仿宋_GB2312"/>
                <w:sz w:val="24"/>
                <w:color w:val="000000"/>
              </w:rPr>
              <w:t>：①产品概述；②产品说明；③建设方案以及产品亮点；</w:t>
            </w:r>
          </w:p>
          <w:p>
            <w:pPr>
              <w:pStyle w:val="null3"/>
              <w:jc w:val="left"/>
            </w:pPr>
            <w:r>
              <w:rPr>
                <w:rFonts w:ascii="仿宋_GB2312" w:hAnsi="仿宋_GB2312" w:cs="仿宋_GB2312" w:eastAsia="仿宋_GB2312"/>
                <w:sz w:val="24"/>
              </w:rPr>
              <w:t>3.服务团队配备情况；</w:t>
            </w:r>
          </w:p>
          <w:p>
            <w:pPr>
              <w:pStyle w:val="null3"/>
              <w:jc w:val="left"/>
            </w:pPr>
            <w:r>
              <w:rPr>
                <w:rFonts w:ascii="仿宋_GB2312" w:hAnsi="仿宋_GB2312" w:cs="仿宋_GB2312" w:eastAsia="仿宋_GB2312"/>
                <w:sz w:val="24"/>
              </w:rPr>
              <w:t>4.管理与安全保障能力；</w:t>
            </w:r>
          </w:p>
          <w:p>
            <w:pPr>
              <w:pStyle w:val="null3"/>
              <w:jc w:val="left"/>
            </w:pPr>
            <w:r>
              <w:rPr>
                <w:rFonts w:ascii="仿宋_GB2312" w:hAnsi="仿宋_GB2312" w:cs="仿宋_GB2312" w:eastAsia="仿宋_GB2312"/>
                <w:sz w:val="24"/>
              </w:rPr>
              <w:t>5.自2022年1月1日以来，投标人或制造商所投产品类似项目已完成案例</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合同签订后45日历天内，完成设备的安装、部署、调试，并向学校提出初验申请</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四川铁道职业学院校内。</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1、进度款，合同签订后，收到供应商提供合法、完整、有效的付款凭证后款凭证后 （以提交到计划财务处的日期为准），达到付款条件起14日内，支付合同总金额的30.00%</w:t>
            </w:r>
          </w:p>
          <w:p>
            <w:pPr>
              <w:pStyle w:val="null3"/>
              <w:jc w:val="left"/>
            </w:pPr>
            <w:r>
              <w:rPr>
                <w:rFonts w:ascii="仿宋_GB2312" w:hAnsi="仿宋_GB2312" w:cs="仿宋_GB2312" w:eastAsia="仿宋_GB2312"/>
              </w:rPr>
              <w:t>2、进度款，初验通过后 ，采购人在收到中标供应商提供合法、完整、有效的付款凭证（以提交到计划财务处的日期为准），达到付款条件起14日内，支付合同总金额的30.00%</w:t>
            </w:r>
          </w:p>
          <w:p>
            <w:pPr>
              <w:pStyle w:val="null3"/>
              <w:jc w:val="left"/>
            </w:pPr>
            <w:r>
              <w:rPr>
                <w:rFonts w:ascii="仿宋_GB2312" w:hAnsi="仿宋_GB2312" w:cs="仿宋_GB2312" w:eastAsia="仿宋_GB2312"/>
              </w:rPr>
              <w:t>3、尾款，最终验收通过后，采购人在收到中标供应商提供合法、完整、有效的付款凭证（以提交到计划财务处的日期为准），达到付款条件起14日内，支付合同总金额的40.00%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1.初验：供应商完成部署后，准备项目产品合格证、实施记录、实施报告、测试报告等材料，向学校提出初验申请。学校在收到申请后3日内组织验收。 2.初验通过后进入试用期，试用期为7日。试用期内，产生产品质量问题，供应商在3日内完成修复，并重新计算试用期。经3次维修仍不能满足要求的，采购人有权解除合同，履约保证金不予退还。 3.终验：试用期通过后7日内，由采购人组织最终验收。验收不通过的，供应商于3日完成整改。经3次整改不通过的，采购人有权解除合同，履约保证金不予退还。 4.验收条件： 4.1满足招标文件、中标供应商投标文件，且于合同约定一致；所有资料、授权、合格证书齐全。 4.2按照招标文件、中标供应商投标文件完成调试通过，无任何异常点。 4.3实施资料齐全并完整移交给采购人，包括但不限于设备密码、实施报告、使用手册、测试报告等。</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本项目质保期三年，以终验合格之日起计算。质保期内，中标供应商提供维护、技术支持、安全维护和系统培训服务，保障系统安全稳定的运行，不另外收取费用。质保期满，双方协商软件维护服务费，另行签订维护服务协议，维护服不得超过合同金额的5%和财政要求当年政策标准孰低者。 2、保障服务：中标供应商为学校提供设备保障服务，为本项目所有设备进行定期巡检、设备故障处置等服务，每年不少于4次。 3、即时响应服务：提供7*24小时即时服务，每周7天、每天24小时无间断的响应学校的服务请求。</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1、因货物的质量问题发生争议，由质量技术监督部门或其指定的质量鉴定机构进行质量鉴定。货物符合标准的，鉴定费由甲方承担；货物不符合质量标准的，鉴定费由乙方承担。 2、合同履行期间,若双方发生争议，可协商或由有关部门调解解决，协商或调解不成的，由当事人依法向甲方住所地有管辖权法院起诉。</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1.合同签订后45日历天内，完成设备的安装、部署、调试，并向学校提出初验申请。不能完成部署的，视为无法履约，自动放弃本项目，双方合同解除，履约保证金不予退还；因此造成采购人损失，由投标人承担；投标人同时承担因施工引起的修复责任。中标候选人按照顺位取得中标资格，并与学校签订合同（提供承诺函加盖电子章）。2.因系统固化原因，本项目确定中标人名单按此执行：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优先选择少数民族地区的投标人。评审得分且投标报价且提供的经评审认定有效的优先采购产品认证证书数量相同且均为少数民族地区投标人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若投标人为企业法人的，提供具有统一社会信用代码的“营业执照”复印件，未换证的提供“营业执照、税务登记证、组织机构代码证”复印件；②若投标人为事业法人的，提供具有统一社会信用代码的“法人登记证书”复印件；未换证的提交“事业法人登记证书、组织机构代码证”复印件；③若投标人为其他组织的，提供对应主管部门颁发的准许执业的证明文件或营业执照复印件；④若投标人为自然人的，提供相关“身份证明材料”。投标人需在项目电子化交易系统中按要求上传相应证明文件并进行电子签章。</w:t>
            </w:r>
          </w:p>
        </w:tc>
        <w:tc>
          <w:tcPr>
            <w:tcW w:type="dxa" w:w="1661"/>
          </w:tcPr>
          <w:p>
            <w:pPr>
              <w:pStyle w:val="null3"/>
              <w:jc w:val="left"/>
            </w:pPr>
            <w:r>
              <w:rPr>
                <w:rFonts w:ascii="仿宋_GB2312" w:hAnsi="仿宋_GB2312" w:cs="仿宋_GB2312" w:eastAsia="仿宋_GB2312"/>
              </w:rPr>
              <w:t>投标人应提交的相关证明材料,投标文件封面,投标（响应）函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661"/>
          </w:tcPr>
          <w:p>
            <w:pPr>
              <w:pStyle w:val="null3"/>
              <w:jc w:val="left"/>
            </w:pPr>
            <w:r>
              <w:rPr>
                <w:rFonts w:ascii="仿宋_GB2312" w:hAnsi="仿宋_GB2312" w:cs="仿宋_GB2312" w:eastAsia="仿宋_GB2312"/>
              </w:rPr>
              <w:t>投标（响应）函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投标截止时间前三年内任意一年经审计的财务报告复印件（包含审计报告和审计报告中所涉及的财务报表和报表附注）；②也可提供投标截止时间前三年内任意一年投标人内部的年度财务报表复印件（至少包含资产负债表和利润表）；③也可提供投标截止时间前一年内银行出具的有效资信证明；④投标人注册时间距投标截止时间不足一年的，也可提供在工商备案的公司章程复印件。⑤投标人为事业单位或其他组织（不具备法人条件的组织，如合伙组织、个体工商户、农村承包经营户等）或自然人时，可只提供承诺函；（注：具备健全的财务会计制度的证明材料中第①-⑤项具有同等效力，投标人可根据自身实际情况选择提供其中任意一项）。投标人需在项目电子化交易系统中按要求上传相应证明文件并进行电子签章。</w:t>
            </w:r>
          </w:p>
        </w:tc>
        <w:tc>
          <w:tcPr>
            <w:tcW w:type="dxa" w:w="1661"/>
          </w:tcPr>
          <w:p>
            <w:pPr>
              <w:pStyle w:val="null3"/>
              <w:jc w:val="left"/>
            </w:pPr>
            <w:r>
              <w:rPr>
                <w:rFonts w:ascii="仿宋_GB2312" w:hAnsi="仿宋_GB2312" w:cs="仿宋_GB2312" w:eastAsia="仿宋_GB2312"/>
              </w:rPr>
              <w:t>投标人应提交的相关证明材料,投标（响应）函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661"/>
          </w:tcPr>
          <w:p>
            <w:pPr>
              <w:pStyle w:val="null3"/>
              <w:jc w:val="left"/>
            </w:pPr>
            <w:r>
              <w:rPr>
                <w:rFonts w:ascii="仿宋_GB2312" w:hAnsi="仿宋_GB2312" w:cs="仿宋_GB2312" w:eastAsia="仿宋_GB2312"/>
              </w:rPr>
              <w:t>投标（响应）函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661"/>
          </w:tcPr>
          <w:p>
            <w:pPr>
              <w:pStyle w:val="null3"/>
              <w:jc w:val="left"/>
            </w:pPr>
            <w:r>
              <w:rPr>
                <w:rFonts w:ascii="仿宋_GB2312" w:hAnsi="仿宋_GB2312" w:cs="仿宋_GB2312" w:eastAsia="仿宋_GB2312"/>
              </w:rPr>
              <w:t>投标（响应）函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661"/>
          </w:tcPr>
          <w:p>
            <w:pPr>
              <w:pStyle w:val="null3"/>
              <w:jc w:val="left"/>
            </w:pPr>
            <w:r>
              <w:rPr>
                <w:rFonts w:ascii="仿宋_GB2312" w:hAnsi="仿宋_GB2312" w:cs="仿宋_GB2312" w:eastAsia="仿宋_GB2312"/>
              </w:rPr>
              <w:t>投标（响应）函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符合《中华人民共和国政府采购法实施条例》第十八条第一款规定。</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661"/>
          </w:tcPr>
          <w:p>
            <w:pPr>
              <w:pStyle w:val="null3"/>
              <w:jc w:val="left"/>
            </w:pPr>
            <w:r>
              <w:rPr>
                <w:rFonts w:ascii="仿宋_GB2312" w:hAnsi="仿宋_GB2312" w:cs="仿宋_GB2312" w:eastAsia="仿宋_GB2312"/>
              </w:rPr>
              <w:t>投标（响应）函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661"/>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评审报告为准。评标过程中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投标文件，按规定重新组建评审委员会，解封投标文件后，开展评审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编制、提交投标文件的计算机网卡MAC地址、CPU序列号、硬盘序列号等硬件信息由投标人在提交投标文件时进行确认，评标委员会通过开标记录表进行查看。</w:t>
            </w:r>
          </w:p>
        </w:tc>
        <w:tc>
          <w:tcPr>
            <w:tcW w:type="dxa" w:w="1661"/>
          </w:tcPr>
          <w:p>
            <w:pPr>
              <w:pStyle w:val="null3"/>
              <w:jc w:val="left"/>
            </w:pPr>
            <w:r>
              <w:rPr>
                <w:rFonts w:ascii="仿宋_GB2312" w:hAnsi="仿宋_GB2312" w:cs="仿宋_GB2312" w:eastAsia="仿宋_GB2312"/>
              </w:rPr>
              <w:t>投标（响应）函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符合招标文件的商务要求</w:t>
            </w:r>
          </w:p>
        </w:tc>
        <w:tc>
          <w:tcPr>
            <w:tcW w:type="dxa" w:w="3322"/>
          </w:tcPr>
          <w:p>
            <w:pPr>
              <w:pStyle w:val="null3"/>
              <w:jc w:val="left"/>
            </w:pPr>
            <w:r>
              <w:rPr>
                <w:rFonts w:ascii="仿宋_GB2312" w:hAnsi="仿宋_GB2312" w:cs="仿宋_GB2312" w:eastAsia="仿宋_GB2312"/>
              </w:rPr>
              <w:t>投标人按照招标文件的商务要求进行响应</w:t>
            </w:r>
          </w:p>
        </w:tc>
        <w:tc>
          <w:tcPr>
            <w:tcW w:type="dxa" w:w="1661"/>
          </w:tcPr>
          <w:p>
            <w:pPr>
              <w:pStyle w:val="null3"/>
              <w:jc w:val="left"/>
            </w:pPr>
            <w:r>
              <w:rPr>
                <w:rFonts w:ascii="仿宋_GB2312" w:hAnsi="仿宋_GB2312" w:cs="仿宋_GB2312" w:eastAsia="仿宋_GB2312"/>
              </w:rPr>
              <w:t>投标人认为需要提交的资料（格式自拟）,商务要求应答表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招标文件的技术、服务要求或其他要求</w:t>
            </w:r>
          </w:p>
        </w:tc>
        <w:tc>
          <w:tcPr>
            <w:tcW w:type="dxa" w:w="3322"/>
          </w:tcPr>
          <w:p>
            <w:pPr>
              <w:pStyle w:val="null3"/>
              <w:jc w:val="left"/>
            </w:pPr>
            <w:r>
              <w:rPr>
                <w:rFonts w:ascii="仿宋_GB2312" w:hAnsi="仿宋_GB2312" w:cs="仿宋_GB2312" w:eastAsia="仿宋_GB2312"/>
              </w:rPr>
              <w:t>投标人按照招标文件的技术、服务要求或其他要求进行响应</w:t>
            </w:r>
          </w:p>
        </w:tc>
        <w:tc>
          <w:tcPr>
            <w:tcW w:type="dxa" w:w="1661"/>
          </w:tcPr>
          <w:p>
            <w:pPr>
              <w:pStyle w:val="null3"/>
              <w:jc w:val="left"/>
            </w:pPr>
            <w:r>
              <w:rPr>
                <w:rFonts w:ascii="仿宋_GB2312" w:hAnsi="仿宋_GB2312" w:cs="仿宋_GB2312" w:eastAsia="仿宋_GB2312"/>
              </w:rPr>
              <w:t>技术、服务及其他要求应答表,产品技术参数响应表,投标人认为需要提交的资料（格式自拟）,服务应答表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需要投标人提供证明材料的实质性要求</w:t>
            </w:r>
          </w:p>
        </w:tc>
        <w:tc>
          <w:tcPr>
            <w:tcW w:type="dxa" w:w="3322"/>
          </w:tcPr>
          <w:p>
            <w:pPr>
              <w:pStyle w:val="null3"/>
              <w:jc w:val="left"/>
            </w:pPr>
            <w:r>
              <w:rPr>
                <w:rFonts w:ascii="仿宋_GB2312" w:hAnsi="仿宋_GB2312" w:cs="仿宋_GB2312" w:eastAsia="仿宋_GB2312"/>
              </w:rPr>
              <w:t>投标人需按照招标文件的要求提供证明材料</w:t>
            </w:r>
          </w:p>
        </w:tc>
        <w:tc>
          <w:tcPr>
            <w:tcW w:type="dxa" w:w="1661"/>
          </w:tcPr>
          <w:p>
            <w:pPr>
              <w:pStyle w:val="null3"/>
              <w:jc w:val="left"/>
            </w:pPr>
            <w:r>
              <w:rPr>
                <w:rFonts w:ascii="仿宋_GB2312" w:hAnsi="仿宋_GB2312" w:cs="仿宋_GB2312" w:eastAsia="仿宋_GB2312"/>
              </w:rPr>
              <w:t>投标人认为需要提交的资料（格式自拟）</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或符合性审查完成后，评标委员会发现投标人还存在未响应招标文件实质性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评标委员会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评分汇总结束后，评标委员会成员复核、确认各自评审意见，汇总形成评审结果，对拟推荐为中标候选人的、报价最低的、投标文件被认定为无效的进行重点复核。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未被推荐为中标候选人的投标人不再递补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未被推荐为中标候选人的投标人不再递补为中标候选人。</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审结果经代理机构核对无误后，评标委员会成员应当在评标报告中签字或加盖电子印章确认。评标报告签署前，评标委员会成员可以对已评环节的评标意见进行修改调整，并在评标报告中进行记录。评标报告签署后，评标意见生效，除符合政府采购法律制度规定情形外，任何单位和个人不得擅自改变评标结果。评标委员会成员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明确不同意见及理由，否则视同无意见。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质保期内各供应商针对本项目的售后服务，包括：①服务响应流程及范围；②备品备件服务流程及范围；③使用培训方案；④设备定期维护计划。完全满足上述方案要求的得8分，每缺少一项扣2分，每有一项内容错误或缺陷扣1分，扣完为止。 注∶内容错误或缺陷系指以下情形中的任意一项：指项目名称、实施地点、涉及的相关国家、行业标准、规范与本项目要求不一致、提供的方案与项目无关或方案内容不满足项目实际需求；不具备实施的可能性，流程服务设置不合理；只是简单的复制粘贴内容等任意一种情形。</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投标人认为需要提交的资料（格式自拟）</w:t>
            </w:r>
          </w:p>
        </w:tc>
      </w:tr>
      <w:tr>
        <w:tc>
          <w:tcPr>
            <w:tcW w:type="dxa" w:w="831"/>
            <w:vMerge/>
          </w:tcPr>
          <w:p/>
        </w:tc>
        <w:tc>
          <w:tcPr>
            <w:tcW w:type="dxa" w:w="1661"/>
          </w:tcPr>
          <w:p>
            <w:pPr>
              <w:pStyle w:val="null3"/>
              <w:jc w:val="left"/>
            </w:pPr>
            <w:r>
              <w:rPr>
                <w:rFonts w:ascii="仿宋_GB2312" w:hAnsi="仿宋_GB2312" w:cs="仿宋_GB2312" w:eastAsia="仿宋_GB2312"/>
              </w:rPr>
              <w:t>技术方案</w:t>
            </w:r>
          </w:p>
        </w:tc>
        <w:tc>
          <w:tcPr>
            <w:tcW w:type="dxa" w:w="2575"/>
          </w:tcPr>
          <w:p>
            <w:pPr>
              <w:pStyle w:val="null3"/>
              <w:jc w:val="left"/>
            </w:pPr>
            <w:r>
              <w:rPr>
                <w:rFonts w:ascii="仿宋_GB2312" w:hAnsi="仿宋_GB2312" w:cs="仿宋_GB2312" w:eastAsia="仿宋_GB2312"/>
              </w:rPr>
              <w:t>根据各供应商针对本项目的技术方案，包括：①产品概述；②产品说明；③建设方案以及产品亮点；完全满足上述方案要求的得6分，每缺少一项扣2分，每有一项内容错误或缺陷扣1分，扣完为止。 注∶内容错误或缺陷系指以下情形中的任意一项：指项目名称、实施地点、涉及的相关国家、行业标准、规范与本项目要求不一致、提供的方案与项目无关或方案内容不满足项目实际需求；不具备实施的可能性，流程服务设置不合理；只是简单的复制粘贴内容等任意一种情形。</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投标人认为需要提交的资料（格式自拟）</w:t>
            </w:r>
          </w:p>
        </w:tc>
      </w:tr>
      <w:tr>
        <w:tc>
          <w:tcPr>
            <w:tcW w:type="dxa" w:w="831"/>
            <w:vMerge/>
          </w:tcPr>
          <w:p/>
        </w:tc>
        <w:tc>
          <w:tcPr>
            <w:tcW w:type="dxa" w:w="1661"/>
          </w:tcPr>
          <w:p>
            <w:pPr>
              <w:pStyle w:val="null3"/>
              <w:jc w:val="left"/>
            </w:pPr>
            <w:r>
              <w:rPr>
                <w:rFonts w:ascii="仿宋_GB2312" w:hAnsi="仿宋_GB2312" w:cs="仿宋_GB2312" w:eastAsia="仿宋_GB2312"/>
              </w:rPr>
              <w:t>服务团队配备情况</w:t>
            </w:r>
          </w:p>
        </w:tc>
        <w:tc>
          <w:tcPr>
            <w:tcW w:type="dxa" w:w="2575"/>
          </w:tcPr>
          <w:p>
            <w:pPr>
              <w:pStyle w:val="null3"/>
              <w:jc w:val="left"/>
            </w:pPr>
            <w:r>
              <w:rPr>
                <w:rFonts w:ascii="仿宋_GB2312" w:hAnsi="仿宋_GB2312" w:cs="仿宋_GB2312" w:eastAsia="仿宋_GB2312"/>
              </w:rPr>
              <w:t>根据投标人配备情况进行评审： 1、响应能力（3分）： 投标人承诺：在中标后15个日历日内，于项目所在地（或省级行政区域内）设立常驻技术服务团队并建立本地备件库，确保满足以下服务响应标准：①故障报修后2小时内远程响应；②4小时内工程师抵达现场；③关键部件（如电源、风扇、主控板、GPU、交换芯片）8小时内更换到位。提供承诺函且包含以上服务响应标准。每满足一项得1分，最多3分。 2、团队组成（3分）： （1）在满足服务要求的基础上每增加一人的得0.3分，本小项最多1.2分； （2）其中每有一人具有具有机电工程或电子工程相关领域高级及以上工程师证书的人员的得1分；每有一人具有具有机电工程或电子工程相关领域中级工程师证书的人员的得0.5分，本小项最多得2分。同一人员提供多份证书仅按最高级别计算1次。 本项最多得3.2分。（提供人员安排表及有效的相关证书复印件加盖公章）</w:t>
            </w:r>
          </w:p>
        </w:tc>
        <w:tc>
          <w:tcPr>
            <w:tcW w:type="dxa" w:w="831"/>
          </w:tcPr>
          <w:p>
            <w:pPr>
              <w:pStyle w:val="null3"/>
              <w:jc w:val="center"/>
            </w:pPr>
            <w:r>
              <w:rPr>
                <w:rFonts w:ascii="仿宋_GB2312" w:hAnsi="仿宋_GB2312" w:cs="仿宋_GB2312" w:eastAsia="仿宋_GB2312"/>
              </w:rPr>
              <w:t>6.2000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投标人认为需要提交的资料（格式自拟）</w:t>
            </w:r>
          </w:p>
        </w:tc>
      </w:tr>
      <w:tr>
        <w:tc>
          <w:tcPr>
            <w:tcW w:type="dxa" w:w="831"/>
            <w:vMerge/>
          </w:tcPr>
          <w:p/>
        </w:tc>
        <w:tc>
          <w:tcPr>
            <w:tcW w:type="dxa" w:w="1661"/>
          </w:tcPr>
          <w:p>
            <w:pPr>
              <w:pStyle w:val="null3"/>
              <w:jc w:val="left"/>
            </w:pPr>
            <w:r>
              <w:rPr>
                <w:rFonts w:ascii="仿宋_GB2312" w:hAnsi="仿宋_GB2312" w:cs="仿宋_GB2312" w:eastAsia="仿宋_GB2312"/>
              </w:rPr>
              <w:t>管理与安全保障能力</w:t>
            </w:r>
          </w:p>
        </w:tc>
        <w:tc>
          <w:tcPr>
            <w:tcW w:type="dxa" w:w="2575"/>
          </w:tcPr>
          <w:p>
            <w:pPr>
              <w:pStyle w:val="null3"/>
              <w:jc w:val="left"/>
            </w:pPr>
            <w:r>
              <w:rPr>
                <w:rFonts w:ascii="仿宋_GB2312" w:hAnsi="仿宋_GB2312" w:cs="仿宋_GB2312" w:eastAsia="仿宋_GB2312"/>
              </w:rPr>
              <w:t>投标人须提供以下任一项材料得1分，最多得5分: 1.提供所投软件在研发或交付过程中实施的安全检测与供应链安全管理相关记录，提供以下材料任意一项复印件即可：源代码静态扫描报告、开源组件依赖分析清单、已知漏洞修复记录、第三方组件来源追溯表，证明其具备软件供应链安全管控能力； 2.提供近三年内未发生重大网络安全事件的书面承诺，并附本单位网络安全应急响应机制文件（含组织架构、响应流程、演练计划及至少一次演练记录）； 3.提供所投产品在安全可控方面的技术实现说明，包括：核心功能模块自主研发情况、关键技术自主率说明、核心代码研发团队构成及研发地点说明，并附相关研发人员名单或合同摘要作为支撑； 4.提供软件全生命周期安全管理机制说明，涵盖需求、设计、开发、测试、部署、运维各阶段的安全控制措施，重点说明如何识别和防范境外禁运技术或组件引入； 5.提供本单位信息安全管理体系运行情况说明，提供以下材料任意一项即可：网络安全级保护制度落实情况、内部安全审计机制内容。 以上材料需加盖投标人电子章。</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投标人认为需要提交的资料（格式自拟）</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自2022年1月1日以来，投标人或制造商所投产品类似项目已完成案例，提供一个得1分，满分3分，不满足得0分。 注：所投产品类似人工智能项目已完成案例，是指投标人或制造商的所投产品业绩，以合同复印件（包含合同首页、产品型号规格、合同总金额、签订日期、签字盖章页，资料不全或未提供者均不得分）加盖公章，以合同签订时间为准。</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投标人认为需要提交的资料（格式自拟）</w:t>
            </w:r>
          </w:p>
          <w:p>
            <w:pPr>
              <w:pStyle w:val="null3"/>
              <w:jc w:val="left"/>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left"/>
            </w:pPr>
            <w:r>
              <w:rPr>
                <w:rFonts w:ascii="仿宋_GB2312" w:hAnsi="仿宋_GB2312" w:cs="仿宋_GB2312" w:eastAsia="仿宋_GB2312"/>
              </w:rPr>
              <w:t>技术部分</w:t>
            </w:r>
          </w:p>
        </w:tc>
        <w:tc>
          <w:tcPr>
            <w:tcW w:type="dxa" w:w="2575"/>
          </w:tcPr>
          <w:p>
            <w:pPr>
              <w:pStyle w:val="null3"/>
              <w:jc w:val="left"/>
            </w:pPr>
            <w:r>
              <w:rPr>
                <w:rFonts w:ascii="仿宋_GB2312" w:hAnsi="仿宋_GB2312" w:cs="仿宋_GB2312" w:eastAsia="仿宋_GB2312"/>
              </w:rPr>
              <w:t>起评分： 有效投标人的起评分为41.8分。 扣分条款： 1) 一般性技术参数（标注▲的参数）达不到招标文件要求的,每负偏离1条从起评分中扣除0.5分（共36条），共计18分，扣完为止。 2) 其它参数（非★号、非▲号条款）达不到招标文件要求的,每负偏离1条从起评分中扣除0.15分（共92条），共计13.8分，扣完为止。 3) 所投智算资源管理平台需供应商对如下功能进行演示。供应商将演示的内容录制成视频统一制作成一个U盘递交。全部满足要求得10分，一个一分： ①知识库构建：知识库服务主要支持以下功能：新建知识库；查看知识库；导出知识库；知识库评测：一键评估数据库质量，帮助用户生成高质量知识库。 ②检索工作流：包括检索工作流配置和检索工作流评测。 ③智能体编排：智能体编排组件提供智能体创建和管理服务，用户可以根据不同业务场景进行智能体创建和配置，并完成智能体发布。 ④训练引擎：内置训练引擎为模型开发者提供高效并行计算、内存优化和算子优化等功能。 ⑤推理引擎：内置推理引擎支持主流开源推理框架，包括Pytorch、TensorFlow、vLLM、SGLang等框架，同时支持AI芯片厂家的私有推理框架。 ⑥模型训练：支持对模型训练的全过程进行管理，包括模型构建、模型精调、超参数调优和训练过程监控等过程的管理。模型训练支持训练任务管理、训练资源调度、AI自动训练等功能。 ⑦模型推理：提供推理服务的管理功能的推理能力。通过推理调度、推理引擎服务层、引擎层、算子层三层优化，优化推理性能。 ⑧模型评估：对训练输出的最终模型，使用一些指标和方法来评价它的泛化能力。模型评估方法一般包括功能评估、性能评估，还包括其他方面评估，如模型的稳定性、可控性、安全性的评估。 ⑨资源管理与优化：包括算力调度和资源管理优化等功能。 ⑩智能运维：主要包括看板功能、监控告警、内置AI助手。</w:t>
            </w:r>
          </w:p>
        </w:tc>
        <w:tc>
          <w:tcPr>
            <w:tcW w:type="dxa" w:w="831"/>
          </w:tcPr>
          <w:p>
            <w:pPr>
              <w:pStyle w:val="null3"/>
              <w:jc w:val="center"/>
            </w:pPr>
            <w:r>
              <w:rPr>
                <w:rFonts w:ascii="仿宋_GB2312" w:hAnsi="仿宋_GB2312" w:cs="仿宋_GB2312" w:eastAsia="仿宋_GB2312"/>
              </w:rPr>
              <w:t>41.8000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投标人认为需要提交的资料（格式自拟）</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报价分</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具体标准和要求</w:t>
            </w:r>
          </w:p>
        </w:tc>
        <w:tc>
          <w:tcPr>
            <w:tcW w:type="dxa" w:w="2955"/>
          </w:tcPr>
          <w:p>
            <w:pPr>
              <w:pStyle w:val="null3"/>
              <w:jc w:val="center"/>
            </w:pPr>
            <w:r>
              <w:rPr>
                <w:rFonts w:ascii="仿宋_GB2312" w:hAnsi="仿宋_GB2312" w:cs="仿宋_GB2312" w:eastAsia="仿宋_GB2312"/>
                <w:b/>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详见附件：投标人认为需要提交的资料（格式自拟）</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详见附件：商务要求应答表</w:t>
      </w:r>
    </w:p>
    <w:p>
      <w:pPr>
        <w:pStyle w:val="null3"/>
        <w:ind w:firstLine="960"/>
        <w:jc w:val="left"/>
      </w:pPr>
      <w:r>
        <w:rPr>
          <w:rFonts w:ascii="仿宋_GB2312" w:hAnsi="仿宋_GB2312" w:cs="仿宋_GB2312" w:eastAsia="仿宋_GB2312"/>
        </w:rPr>
        <w:t>详见附件：技术、服务及其他要求应答表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pPr>
      <w:r>
        <w:rPr>
          <w:rFonts w:ascii="仿宋_GB2312" w:hAnsi="仿宋_GB2312" w:cs="仿宋_GB2312" w:eastAsia="仿宋_GB2312"/>
        </w:rPr>
        <w:t>详见附件：合同草案 数字智能化产线（第一期）建设（算力基础平台）.docx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