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b/>
          <w:bCs/>
          <w:sz w:val="28"/>
          <w:szCs w:val="36"/>
        </w:rPr>
      </w:pPr>
      <w:r>
        <w:rPr>
          <w:rFonts w:hint="eastAsia" w:ascii="仿宋" w:hAnsi="仿宋" w:eastAsia="仿宋"/>
          <w:b/>
          <w:bCs/>
          <w:sz w:val="28"/>
          <w:szCs w:val="36"/>
        </w:rPr>
        <w:t>中交路</w:t>
      </w:r>
      <w:r>
        <w:rPr>
          <w:rFonts w:hint="eastAsia" w:ascii="仿宋" w:hAnsi="仿宋" w:eastAsia="仿宋"/>
          <w:b/>
          <w:bCs/>
          <w:sz w:val="28"/>
          <w:szCs w:val="36"/>
          <w:lang w:val="en-US" w:eastAsia="zh-CN"/>
        </w:rPr>
        <w:t>建张靖皋长江大桥A3标</w:t>
      </w:r>
      <w:r>
        <w:rPr>
          <w:rFonts w:hint="eastAsia" w:ascii="仿宋" w:hAnsi="仿宋" w:eastAsia="仿宋"/>
          <w:b/>
          <w:bCs/>
          <w:sz w:val="28"/>
          <w:szCs w:val="36"/>
        </w:rPr>
        <w:t>项目</w:t>
      </w:r>
      <w:r>
        <w:rPr>
          <w:rFonts w:hint="eastAsia" w:ascii="仿宋" w:hAnsi="仿宋" w:eastAsia="仿宋"/>
          <w:b/>
          <w:bCs/>
          <w:sz w:val="28"/>
          <w:szCs w:val="36"/>
          <w:lang w:val="en-US" w:eastAsia="zh-CN"/>
        </w:rPr>
        <w:t>防雨门</w:t>
      </w:r>
      <w:r>
        <w:rPr>
          <w:rFonts w:hint="eastAsia" w:ascii="仿宋" w:hAnsi="仿宋" w:eastAsia="仿宋"/>
          <w:b/>
          <w:bCs/>
          <w:sz w:val="28"/>
          <w:szCs w:val="36"/>
        </w:rPr>
        <w:t>询价采购通知书</w:t>
      </w:r>
    </w:p>
    <w:p>
      <w:pPr>
        <w:rPr>
          <w:rFonts w:ascii="仿宋" w:hAnsi="仿宋" w:eastAsia="仿宋"/>
          <w:b/>
          <w:bCs/>
          <w:sz w:val="24"/>
          <w:szCs w:val="24"/>
        </w:rPr>
      </w:pPr>
      <w:r>
        <w:rPr>
          <w:rFonts w:hint="eastAsia" w:ascii="仿宋" w:hAnsi="仿宋" w:eastAsia="仿宋"/>
          <w:b/>
          <w:bCs/>
          <w:sz w:val="24"/>
          <w:szCs w:val="24"/>
        </w:rPr>
        <w:t>采购方案编号：</w:t>
      </w:r>
      <w:r>
        <w:rPr>
          <w:rFonts w:hint="eastAsia" w:ascii="仿宋" w:hAnsi="仿宋" w:eastAsia="仿宋" w:cs="仿宋"/>
          <w:b/>
          <w:bCs/>
          <w:i w:val="0"/>
          <w:iCs w:val="0"/>
          <w:caps w:val="0"/>
          <w:color w:val="4A4A4A"/>
          <w:spacing w:val="0"/>
          <w:sz w:val="24"/>
          <w:szCs w:val="24"/>
          <w:shd w:val="clear" w:fill="FFFFFF"/>
        </w:rPr>
        <w:t>FA00000343762</w:t>
      </w:r>
    </w:p>
    <w:p>
      <w:pPr>
        <w:spacing w:line="360" w:lineRule="auto"/>
        <w:jc w:val="both"/>
        <w:rPr>
          <w:rFonts w:hint="default" w:ascii="仿宋" w:hAnsi="仿宋" w:eastAsia="仿宋"/>
          <w:sz w:val="24"/>
          <w:szCs w:val="24"/>
          <w:lang w:val="en-US" w:eastAsia="zh-CN"/>
        </w:rPr>
      </w:pPr>
      <w:r>
        <w:rPr>
          <w:rFonts w:hint="eastAsia" w:ascii="仿宋" w:hAnsi="仿宋" w:eastAsia="仿宋"/>
        </w:rPr>
        <w:t xml:space="preserve">   </w:t>
      </w:r>
      <w:r>
        <w:rPr>
          <w:rFonts w:hint="eastAsia" w:ascii="仿宋" w:hAnsi="仿宋" w:eastAsia="仿宋"/>
          <w:sz w:val="24"/>
          <w:szCs w:val="24"/>
        </w:rPr>
        <w:t xml:space="preserve"> </w:t>
      </w:r>
      <w:r>
        <w:rPr>
          <w:rFonts w:hint="eastAsia" w:ascii="仿宋" w:hAnsi="仿宋" w:eastAsia="仿宋"/>
          <w:sz w:val="24"/>
          <w:szCs w:val="24"/>
          <w:u w:val="single"/>
        </w:rPr>
        <w:t>中交路桥建设有限公司</w:t>
      </w:r>
      <w:r>
        <w:rPr>
          <w:rFonts w:hint="eastAsia" w:ascii="仿宋" w:hAnsi="仿宋" w:eastAsia="仿宋"/>
          <w:sz w:val="24"/>
          <w:szCs w:val="24"/>
          <w:u w:val="single"/>
          <w:lang w:val="en-US" w:eastAsia="zh-CN"/>
        </w:rPr>
        <w:t>张靖皋长江大桥A3标段项目经理部</w:t>
      </w:r>
      <w:r>
        <w:rPr>
          <w:rFonts w:hint="eastAsia" w:ascii="仿宋" w:hAnsi="仿宋" w:eastAsia="仿宋"/>
          <w:sz w:val="24"/>
          <w:szCs w:val="24"/>
        </w:rPr>
        <w:t>建设资金已落实，项目需用的</w:t>
      </w:r>
      <w:r>
        <w:rPr>
          <w:rFonts w:hint="eastAsia" w:ascii="仿宋" w:hAnsi="仿宋" w:eastAsia="仿宋"/>
          <w:sz w:val="24"/>
          <w:szCs w:val="24"/>
          <w:u w:val="single"/>
          <w:lang w:val="en-US" w:eastAsia="zh-CN"/>
        </w:rPr>
        <w:t xml:space="preserve"> 防雨门及节安螺栓 </w:t>
      </w:r>
      <w:r>
        <w:rPr>
          <w:rFonts w:hint="eastAsia" w:ascii="仿宋" w:hAnsi="仿宋" w:eastAsia="仿宋"/>
          <w:sz w:val="24"/>
          <w:szCs w:val="24"/>
        </w:rPr>
        <w:t>已具备采购条件，采用在中交集团招采网（网址：https://zjzcw.iccec.cn）</w:t>
      </w:r>
      <w:bookmarkStart w:id="0" w:name="_GoBack"/>
      <w:bookmarkEnd w:id="0"/>
      <w:r>
        <w:rPr>
          <w:rFonts w:hint="eastAsia" w:ascii="仿宋" w:hAnsi="仿宋" w:eastAsia="仿宋"/>
          <w:sz w:val="24"/>
          <w:szCs w:val="24"/>
        </w:rPr>
        <w:t>进行电子公开询价采购。</w:t>
      </w:r>
      <w:r>
        <w:rPr>
          <w:rFonts w:hint="eastAsia" w:ascii="仿宋" w:hAnsi="仿宋" w:eastAsia="仿宋"/>
          <w:sz w:val="24"/>
          <w:szCs w:val="24"/>
          <w:lang w:val="en-US" w:eastAsia="zh-CN"/>
        </w:rPr>
        <w:t>本次采购的物资名称、规格型号、数量等详见《物资需求一览表》。</w:t>
      </w:r>
    </w:p>
    <w:tbl>
      <w:tblPr>
        <w:tblStyle w:val="5"/>
        <w:tblW w:w="102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68"/>
        <w:gridCol w:w="79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20" w:hRule="atLeast"/>
          <w:jc w:val="center"/>
        </w:trPr>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项目概况</w:t>
            </w:r>
          </w:p>
        </w:tc>
        <w:tc>
          <w:tcPr>
            <w:tcW w:w="79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张靖皋过江通道起在如皋市石庄镇焦庄村东侧，并设置石庄收费站与王石线连接，上跨S336，经石庄工业园东北、如皋港东升石材产业园东侧，路线转向南偏东，后于如皋华泰重工厂区架桥，采用主跨1208m双塔悬索桥跨越福北水道，进入如皋中汊，经马洲岛，于张皋汽渡西侧进入长江主江，采用主跨2300m双塔悬索桥跨越主江浏海沙水道，终点于北沿规划及现状的S259布线，上跨港丰公路、沿江公路。跨江段工程采用桥梁过江方案，设置主跨2300m悬索桥跨越福姜沙水道、主跨1208m悬索桥跨越福北水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2" w:hRule="atLeast"/>
          <w:jc w:val="center"/>
        </w:trPr>
        <w:tc>
          <w:tcPr>
            <w:tcW w:w="2268"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质量标准</w:t>
            </w:r>
          </w:p>
        </w:tc>
        <w:tc>
          <w:tcPr>
            <w:tcW w:w="7932" w:type="dxa"/>
            <w:tcBorders>
              <w:top w:val="single" w:color="auto" w:sz="4" w:space="0"/>
              <w:left w:val="single" w:color="000000" w:sz="8" w:space="0"/>
              <w:bottom w:val="single" w:color="000000" w:sz="8" w:space="0"/>
              <w:right w:val="single" w:color="000000" w:sz="8" w:space="0"/>
            </w:tcBorders>
            <w:shd w:val="clear" w:color="auto" w:fill="auto"/>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after="0" w:line="240" w:lineRule="auto"/>
              <w:ind w:left="0" w:leftChars="0" w:firstLine="0" w:firstLineChars="0"/>
              <w:jc w:val="both"/>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所有材料必须符合国安相关标准和规范，同时还应满足本项目施工图纸要求。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jc w:val="center"/>
        </w:trPr>
        <w:tc>
          <w:tcPr>
            <w:tcW w:w="226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验收方式</w:t>
            </w:r>
          </w:p>
        </w:tc>
        <w:tc>
          <w:tcPr>
            <w:tcW w:w="79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货到项目指定地点点数、检尺验收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0" w:hRule="atLeast"/>
          <w:jc w:val="center"/>
        </w:trPr>
        <w:tc>
          <w:tcPr>
            <w:tcW w:w="2268"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b w:val="0"/>
                <w:bCs w:val="0"/>
                <w:sz w:val="21"/>
                <w:szCs w:val="21"/>
                <w:u w:val="none"/>
                <w:vertAlign w:val="baseline"/>
                <w:lang w:val="en-US" w:eastAsia="zh-CN"/>
              </w:rPr>
              <w:t>单价计算方式</w:t>
            </w:r>
          </w:p>
        </w:tc>
        <w:tc>
          <w:tcPr>
            <w:tcW w:w="7932"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ind w:firstLine="420" w:firstLineChars="20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b w:val="0"/>
                <w:bCs w:val="0"/>
                <w:sz w:val="21"/>
                <w:szCs w:val="21"/>
                <w:u w:val="none"/>
                <w:vertAlign w:val="baseline"/>
                <w:lang w:val="en-US" w:eastAsia="zh-CN"/>
              </w:rPr>
              <w:t>采用固定含税单价，单价为货到项目指定地点的一票制含税价格，已经包含出厂单价、运杂费、税费、利润等与之相关的所有费用。材料市场价格风险及国家政策调整风险系数一并计入本单价里，除补充协议外在合同执行期间本合同综合单价不做调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jc w:val="center"/>
        </w:trPr>
        <w:tc>
          <w:tcPr>
            <w:tcW w:w="2268" w:type="dxa"/>
            <w:tcBorders>
              <w:top w:val="nil"/>
              <w:left w:val="single" w:color="000000" w:sz="8" w:space="0"/>
              <w:bottom w:val="single" w:color="000000"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结算支付方式</w:t>
            </w:r>
          </w:p>
        </w:tc>
        <w:tc>
          <w:tcPr>
            <w:tcW w:w="79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固定单价月结，上月16日至本月15日为一个结算周期，每期结算核对无误后供应方按需求方要求开具相应金额的增值税专用发票，需方收到供方发票并验证无误完成入账后30日内，需方以银行转账方式支付至当期结算货款的97%；剩余3%作为质保金，该款项在所有物资供货完成后6个月内需方一次支付给供应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 w:hRule="atLeast"/>
          <w:jc w:val="center"/>
        </w:trPr>
        <w:tc>
          <w:tcPr>
            <w:tcW w:w="2268" w:type="dxa"/>
            <w:tcBorders>
              <w:top w:val="nil"/>
              <w:left w:val="single" w:color="000000" w:sz="8" w:space="0"/>
              <w:bottom w:val="single" w:color="000000"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报价货币</w:t>
            </w:r>
          </w:p>
        </w:tc>
        <w:tc>
          <w:tcPr>
            <w:tcW w:w="79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以人民币报价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6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发票种类</w:t>
            </w:r>
          </w:p>
        </w:tc>
        <w:tc>
          <w:tcPr>
            <w:tcW w:w="7932"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增值税专用发票，一票制，税率13%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226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资格证明材料</w:t>
            </w:r>
          </w:p>
        </w:tc>
        <w:tc>
          <w:tcPr>
            <w:tcW w:w="79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营业执照、增值税证明、法定代表人身份证、</w:t>
            </w:r>
            <w:r>
              <w:rPr>
                <w:rFonts w:hint="eastAsia" w:ascii="仿宋" w:hAnsi="仿宋" w:eastAsia="仿宋" w:cs="仿宋"/>
                <w:i w:val="0"/>
                <w:iCs w:val="0"/>
                <w:color w:val="000000"/>
                <w:kern w:val="0"/>
                <w:sz w:val="21"/>
                <w:szCs w:val="21"/>
                <w:u w:val="single"/>
                <w:lang w:val="en-US" w:eastAsia="zh-CN" w:bidi="ar"/>
              </w:rPr>
              <w:t>法定代表人授权书、代理人身份证（代理人适用）</w:t>
            </w:r>
            <w:r>
              <w:rPr>
                <w:rFonts w:hint="eastAsia" w:ascii="仿宋" w:hAnsi="仿宋" w:eastAsia="仿宋" w:cs="仿宋"/>
                <w:i w:val="0"/>
                <w:iCs w:val="0"/>
                <w:color w:val="000000"/>
                <w:kern w:val="0"/>
                <w:sz w:val="21"/>
                <w:szCs w:val="21"/>
                <w:u w:val="none"/>
                <w:lang w:val="en-US" w:eastAsia="zh-CN" w:bidi="ar"/>
              </w:rPr>
              <w:t>扫描件（打印后盖单位公章）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jc w:val="center"/>
        </w:trPr>
        <w:tc>
          <w:tcPr>
            <w:tcW w:w="2268"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1"/>
                <w:szCs w:val="21"/>
                <w:u w:val="none"/>
              </w:rPr>
            </w:pPr>
            <w:r>
              <w:rPr>
                <w:rFonts w:hint="eastAsia" w:ascii="仿宋" w:hAnsi="仿宋" w:eastAsia="仿宋" w:cs="仿宋"/>
                <w:b/>
                <w:bCs/>
                <w:sz w:val="21"/>
                <w:szCs w:val="21"/>
              </w:rPr>
              <w:t>报价递交材料</w:t>
            </w:r>
          </w:p>
        </w:tc>
        <w:tc>
          <w:tcPr>
            <w:tcW w:w="7932" w:type="dxa"/>
            <w:tcBorders>
              <w:top w:val="nil"/>
              <w:left w:val="single" w:color="000000" w:sz="8" w:space="0"/>
              <w:bottom w:val="single" w:color="000000" w:sz="8" w:space="0"/>
              <w:right w:val="single" w:color="000000" w:sz="8" w:space="0"/>
            </w:tcBorders>
            <w:shd w:val="clear" w:color="auto" w:fill="auto"/>
            <w:vAlign w:val="center"/>
          </w:tcPr>
          <w:p>
            <w:pPr>
              <w:ind w:firstLine="422" w:firstLineChars="200"/>
              <w:jc w:val="left"/>
              <w:rPr>
                <w:rFonts w:hint="eastAsia" w:ascii="仿宋" w:hAnsi="仿宋" w:eastAsia="仿宋" w:cs="仿宋"/>
                <w:i w:val="0"/>
                <w:iCs w:val="0"/>
                <w:color w:val="000000"/>
                <w:sz w:val="21"/>
                <w:szCs w:val="21"/>
                <w:u w:val="none"/>
              </w:rPr>
            </w:pPr>
            <w:r>
              <w:rPr>
                <w:rFonts w:hint="eastAsia" w:ascii="仿宋" w:hAnsi="仿宋" w:eastAsia="仿宋" w:cs="仿宋"/>
                <w:b/>
                <w:bCs/>
                <w:sz w:val="21"/>
                <w:szCs w:val="21"/>
              </w:rPr>
              <w:t>各供应商应在截止时间前通过</w:t>
            </w:r>
            <w:r>
              <w:rPr>
                <w:rFonts w:hint="eastAsia" w:ascii="仿宋" w:hAnsi="仿宋" w:eastAsia="仿宋" w:cs="仿宋"/>
                <w:b/>
                <w:bCs/>
                <w:sz w:val="21"/>
                <w:szCs w:val="21"/>
                <w:lang w:eastAsia="zh-CN"/>
              </w:rPr>
              <w:t>中交集团招采网</w:t>
            </w:r>
            <w:r>
              <w:rPr>
                <w:rFonts w:hint="eastAsia" w:ascii="仿宋" w:hAnsi="仿宋" w:eastAsia="仿宋" w:cs="仿宋"/>
                <w:b/>
                <w:bCs/>
                <w:sz w:val="21"/>
                <w:szCs w:val="21"/>
              </w:rPr>
              <w:t>填报电子报价表，并将签字盖章齐全的纸质报价表与加盖单位公章的资格证明资料一起扫描上传至</w:t>
            </w:r>
            <w:r>
              <w:rPr>
                <w:rFonts w:hint="eastAsia" w:ascii="仿宋" w:hAnsi="仿宋" w:eastAsia="仿宋" w:cs="仿宋"/>
                <w:b/>
                <w:bCs/>
                <w:sz w:val="21"/>
                <w:szCs w:val="21"/>
                <w:lang w:val="en-US" w:eastAsia="zh-CN"/>
              </w:rPr>
              <w:t>中交集团招采网</w:t>
            </w:r>
            <w:r>
              <w:rPr>
                <w:rFonts w:hint="eastAsia" w:ascii="仿宋" w:hAnsi="仿宋" w:eastAsia="仿宋" w:cs="仿宋"/>
                <w:b/>
                <w:bCs/>
                <w:sz w:val="21"/>
                <w:szCs w:val="21"/>
              </w:rPr>
              <w:t>。当电子报价表与纸质报价表扫描件的报价不一致时，以电子报价表为准。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jc w:val="center"/>
        </w:trPr>
        <w:tc>
          <w:tcPr>
            <w:tcW w:w="226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报价截止时间</w:t>
            </w:r>
          </w:p>
        </w:tc>
        <w:tc>
          <w:tcPr>
            <w:tcW w:w="79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2025年8月1日15时00分（北京时间）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jc w:val="center"/>
        </w:trPr>
        <w:tc>
          <w:tcPr>
            <w:tcW w:w="226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评审办法</w:t>
            </w:r>
          </w:p>
        </w:tc>
        <w:tc>
          <w:tcPr>
            <w:tcW w:w="79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最低有效报价法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jc w:val="center"/>
        </w:trPr>
        <w:tc>
          <w:tcPr>
            <w:tcW w:w="226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联系方式</w:t>
            </w:r>
          </w:p>
        </w:tc>
        <w:tc>
          <w:tcPr>
            <w:tcW w:w="79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xml:space="preserve">项目联系人：王可峰         联系电话：13731288894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26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备注</w:t>
            </w:r>
          </w:p>
        </w:tc>
        <w:tc>
          <w:tcPr>
            <w:tcW w:w="79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p>
        </w:tc>
      </w:tr>
    </w:tbl>
    <w:p>
      <w:pPr>
        <w:spacing w:line="360" w:lineRule="auto"/>
        <w:jc w:val="both"/>
        <w:rPr>
          <w:rFonts w:ascii="仿宋" w:hAnsi="仿宋" w:eastAsia="仿宋"/>
        </w:rPr>
      </w:pPr>
      <w:r>
        <w:rPr>
          <w:rFonts w:hint="eastAsia" w:ascii="仿宋" w:hAnsi="仿宋" w:eastAsia="仿宋"/>
        </w:rPr>
        <w:t xml:space="preserve">                    </w:t>
      </w:r>
    </w:p>
    <w:p>
      <w:pPr>
        <w:spacing w:line="360" w:lineRule="auto"/>
        <w:jc w:val="right"/>
        <w:rPr>
          <w:rFonts w:hint="eastAsia" w:ascii="仿宋" w:hAnsi="仿宋" w:eastAsia="仿宋" w:cs="宋体"/>
          <w:b/>
          <w:bCs/>
          <w:sz w:val="24"/>
          <w:szCs w:val="32"/>
        </w:rPr>
      </w:pPr>
      <w:r>
        <w:rPr>
          <w:rFonts w:hint="eastAsia" w:ascii="仿宋" w:hAnsi="仿宋" w:eastAsia="仿宋"/>
        </w:rPr>
        <w:t xml:space="preserve">   </w:t>
      </w:r>
      <w:r>
        <w:rPr>
          <w:rFonts w:hint="eastAsia" w:ascii="仿宋" w:hAnsi="仿宋" w:eastAsia="仿宋" w:cs="宋体"/>
          <w:b/>
          <w:bCs/>
          <w:sz w:val="24"/>
          <w:szCs w:val="32"/>
        </w:rPr>
        <w:t>询价单位：中交路桥建设有限公司</w:t>
      </w:r>
    </w:p>
    <w:p>
      <w:pPr>
        <w:spacing w:line="360" w:lineRule="auto"/>
        <w:jc w:val="right"/>
        <w:rPr>
          <w:rFonts w:hint="eastAsia" w:ascii="仿宋" w:hAnsi="仿宋" w:eastAsia="仿宋"/>
          <w:b/>
          <w:bCs/>
          <w:sz w:val="24"/>
          <w:szCs w:val="32"/>
        </w:rPr>
      </w:pPr>
      <w:r>
        <w:rPr>
          <w:rFonts w:hint="eastAsia" w:ascii="仿宋" w:hAnsi="仿宋" w:eastAsia="仿宋"/>
          <w:b/>
          <w:bCs/>
          <w:sz w:val="24"/>
          <w:szCs w:val="32"/>
          <w:lang w:val="en-US" w:eastAsia="zh-CN"/>
        </w:rPr>
        <w:t>日    期</w:t>
      </w:r>
      <w:r>
        <w:rPr>
          <w:rFonts w:hint="eastAsia" w:ascii="仿宋" w:hAnsi="仿宋" w:eastAsia="仿宋"/>
          <w:b/>
          <w:bCs/>
          <w:sz w:val="24"/>
          <w:szCs w:val="32"/>
        </w:rPr>
        <w:t>：</w:t>
      </w:r>
      <w:r>
        <w:rPr>
          <w:rFonts w:hint="eastAsia" w:ascii="仿宋" w:hAnsi="仿宋" w:eastAsia="仿宋"/>
          <w:b/>
          <w:bCs/>
          <w:sz w:val="24"/>
          <w:szCs w:val="32"/>
          <w:lang w:val="en-US" w:eastAsia="zh-CN"/>
        </w:rPr>
        <w:t xml:space="preserve">   </w:t>
      </w:r>
      <w:r>
        <w:rPr>
          <w:rFonts w:hint="eastAsia" w:ascii="仿宋" w:hAnsi="仿宋" w:eastAsia="仿宋"/>
          <w:b/>
          <w:bCs/>
          <w:sz w:val="24"/>
          <w:szCs w:val="32"/>
        </w:rPr>
        <w:t xml:space="preserve"> 202</w:t>
      </w:r>
      <w:r>
        <w:rPr>
          <w:rFonts w:hint="eastAsia" w:ascii="仿宋" w:hAnsi="仿宋" w:eastAsia="仿宋"/>
          <w:b/>
          <w:bCs/>
          <w:sz w:val="24"/>
          <w:szCs w:val="32"/>
          <w:lang w:val="en-US" w:eastAsia="zh-CN"/>
        </w:rPr>
        <w:t>5</w:t>
      </w:r>
      <w:r>
        <w:rPr>
          <w:rFonts w:hint="eastAsia" w:ascii="仿宋" w:hAnsi="仿宋" w:eastAsia="仿宋"/>
          <w:b/>
          <w:bCs/>
          <w:sz w:val="24"/>
          <w:szCs w:val="32"/>
        </w:rPr>
        <w:t>年</w:t>
      </w:r>
      <w:r>
        <w:rPr>
          <w:rFonts w:hint="eastAsia" w:ascii="仿宋" w:hAnsi="仿宋" w:eastAsia="仿宋"/>
          <w:b/>
          <w:bCs/>
          <w:sz w:val="24"/>
          <w:szCs w:val="32"/>
          <w:lang w:val="en-US" w:eastAsia="zh-CN"/>
        </w:rPr>
        <w:t>7</w:t>
      </w:r>
      <w:r>
        <w:rPr>
          <w:rFonts w:hint="eastAsia" w:ascii="仿宋" w:hAnsi="仿宋" w:eastAsia="仿宋"/>
          <w:b/>
          <w:bCs/>
          <w:sz w:val="24"/>
          <w:szCs w:val="32"/>
        </w:rPr>
        <w:t>月</w:t>
      </w:r>
      <w:r>
        <w:rPr>
          <w:rFonts w:hint="eastAsia" w:ascii="仿宋" w:hAnsi="仿宋" w:eastAsia="仿宋"/>
          <w:b/>
          <w:bCs/>
          <w:sz w:val="24"/>
          <w:szCs w:val="32"/>
          <w:lang w:val="en-US" w:eastAsia="zh-CN"/>
        </w:rPr>
        <w:t>28</w:t>
      </w:r>
      <w:r>
        <w:rPr>
          <w:rFonts w:hint="eastAsia" w:ascii="仿宋" w:hAnsi="仿宋" w:eastAsia="仿宋"/>
          <w:b/>
          <w:bCs/>
          <w:sz w:val="24"/>
          <w:szCs w:val="32"/>
        </w:rPr>
        <w:t>日</w:t>
      </w:r>
    </w:p>
    <w:p>
      <w:pPr>
        <w:spacing w:line="360" w:lineRule="auto"/>
        <w:jc w:val="both"/>
        <w:rPr>
          <w:rFonts w:hint="eastAsia" w:ascii="仿宋" w:hAnsi="仿宋" w:eastAsia="仿宋"/>
          <w:b/>
          <w:bCs/>
          <w:sz w:val="24"/>
          <w:szCs w:val="32"/>
          <w:lang w:val="en-US" w:eastAsia="zh-CN"/>
        </w:rPr>
      </w:pPr>
    </w:p>
    <w:p>
      <w:pPr>
        <w:spacing w:line="360" w:lineRule="auto"/>
        <w:jc w:val="both"/>
        <w:rPr>
          <w:rFonts w:hint="eastAsia" w:ascii="仿宋" w:hAnsi="仿宋" w:eastAsia="仿宋"/>
          <w:b/>
          <w:bCs/>
          <w:sz w:val="24"/>
          <w:szCs w:val="32"/>
          <w:lang w:val="en-US" w:eastAsia="zh-CN"/>
        </w:rPr>
      </w:pPr>
    </w:p>
    <w:p>
      <w:pPr>
        <w:spacing w:line="360" w:lineRule="auto"/>
        <w:jc w:val="both"/>
        <w:rPr>
          <w:rFonts w:hint="eastAsia" w:ascii="仿宋" w:hAnsi="仿宋" w:eastAsia="仿宋"/>
          <w:b/>
          <w:bCs/>
          <w:sz w:val="24"/>
          <w:szCs w:val="32"/>
          <w:lang w:val="en-US" w:eastAsia="zh-CN"/>
        </w:rPr>
      </w:pPr>
      <w:r>
        <w:rPr>
          <w:rFonts w:hint="eastAsia" w:ascii="仿宋" w:hAnsi="仿宋" w:eastAsia="仿宋"/>
          <w:b/>
          <w:bCs/>
          <w:sz w:val="24"/>
          <w:szCs w:val="32"/>
          <w:lang w:val="en-US" w:eastAsia="zh-CN"/>
        </w:rPr>
        <w:t>附表：</w:t>
      </w:r>
    </w:p>
    <w:p>
      <w:pPr>
        <w:rPr>
          <w:rFonts w:hint="eastAsia" w:ascii="仿宋" w:hAnsi="仿宋" w:eastAsia="仿宋"/>
          <w:b/>
          <w:bCs/>
          <w:sz w:val="24"/>
          <w:szCs w:val="32"/>
          <w:lang w:val="en-US" w:eastAsia="zh-CN"/>
        </w:rPr>
      </w:pPr>
      <w:r>
        <w:rPr>
          <w:rFonts w:hint="eastAsia" w:ascii="仿宋" w:hAnsi="仿宋" w:eastAsia="仿宋"/>
          <w:b/>
          <w:bCs/>
          <w:sz w:val="24"/>
          <w:szCs w:val="32"/>
          <w:lang w:val="en-US" w:eastAsia="zh-CN"/>
        </w:rPr>
        <w:t>物资需求一览表</w:t>
      </w:r>
    </w:p>
    <w:tbl>
      <w:tblPr>
        <w:tblStyle w:val="5"/>
        <w:tblW w:w="102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8"/>
        <w:gridCol w:w="1590"/>
        <w:gridCol w:w="1788"/>
        <w:gridCol w:w="804"/>
        <w:gridCol w:w="1110"/>
        <w:gridCol w:w="2274"/>
        <w:gridCol w:w="1104"/>
        <w:gridCol w:w="8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jc w:val="center"/>
        </w:trPr>
        <w:tc>
          <w:tcPr>
            <w:tcW w:w="67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15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物资名称</w:t>
            </w:r>
          </w:p>
        </w:tc>
        <w:tc>
          <w:tcPr>
            <w:tcW w:w="178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规格型号</w:t>
            </w:r>
          </w:p>
        </w:tc>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计量单位</w:t>
            </w:r>
          </w:p>
        </w:tc>
        <w:tc>
          <w:tcPr>
            <w:tcW w:w="111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数量</w:t>
            </w:r>
          </w:p>
        </w:tc>
        <w:tc>
          <w:tcPr>
            <w:tcW w:w="227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交货地点</w:t>
            </w:r>
          </w:p>
        </w:tc>
        <w:tc>
          <w:tcPr>
            <w:tcW w:w="11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预计开始交货时间</w:t>
            </w:r>
          </w:p>
        </w:tc>
        <w:tc>
          <w:tcPr>
            <w:tcW w:w="8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6" w:hRule="atLeast"/>
          <w:jc w:val="center"/>
        </w:trPr>
        <w:tc>
          <w:tcPr>
            <w:tcW w:w="6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5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节安螺栓</w:t>
            </w:r>
          </w:p>
        </w:tc>
        <w:tc>
          <w:tcPr>
            <w:tcW w:w="178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Φ37,L=550</w:t>
            </w:r>
          </w:p>
        </w:tc>
        <w:tc>
          <w:tcPr>
            <w:tcW w:w="80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件</w:t>
            </w:r>
          </w:p>
        </w:tc>
        <w:tc>
          <w:tcPr>
            <w:tcW w:w="11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1100</w:t>
            </w:r>
          </w:p>
        </w:tc>
        <w:tc>
          <w:tcPr>
            <w:tcW w:w="2274"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江苏省南通市如皋市民主沙岛中交路建张靖皋长江大桥A3标项目指定施工地点</w:t>
            </w:r>
          </w:p>
        </w:tc>
        <w:tc>
          <w:tcPr>
            <w:tcW w:w="1104"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2025.08</w:t>
            </w:r>
          </w:p>
        </w:tc>
        <w:tc>
          <w:tcPr>
            <w:tcW w:w="852"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159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防雨门</w:t>
            </w:r>
          </w:p>
        </w:tc>
        <w:tc>
          <w:tcPr>
            <w:tcW w:w="178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铁质双开1500*2000</w:t>
            </w:r>
          </w:p>
        </w:tc>
        <w:tc>
          <w:tcPr>
            <w:tcW w:w="80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扇</w:t>
            </w:r>
          </w:p>
        </w:tc>
        <w:tc>
          <w:tcPr>
            <w:tcW w:w="11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w:t>
            </w:r>
          </w:p>
        </w:tc>
        <w:tc>
          <w:tcPr>
            <w:tcW w:w="2274"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1104"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852"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bl>
    <w:p>
      <w:pPr>
        <w:pStyle w:val="2"/>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mYWE0YjJiM2IwNmQ0M2JiODYwNDExMmFmNzk2ZmMifQ=="/>
  </w:docVars>
  <w:rsids>
    <w:rsidRoot w:val="00D66B02"/>
    <w:rsid w:val="00023138"/>
    <w:rsid w:val="00204498"/>
    <w:rsid w:val="002B4BCF"/>
    <w:rsid w:val="0031425F"/>
    <w:rsid w:val="00475D44"/>
    <w:rsid w:val="004B6677"/>
    <w:rsid w:val="004F73D8"/>
    <w:rsid w:val="005E14DA"/>
    <w:rsid w:val="006C6165"/>
    <w:rsid w:val="007F2C24"/>
    <w:rsid w:val="0085606A"/>
    <w:rsid w:val="009B3108"/>
    <w:rsid w:val="00A51AFC"/>
    <w:rsid w:val="00A731CD"/>
    <w:rsid w:val="00B6075D"/>
    <w:rsid w:val="00CC1817"/>
    <w:rsid w:val="00CD51E0"/>
    <w:rsid w:val="00CE49B7"/>
    <w:rsid w:val="00D66B02"/>
    <w:rsid w:val="00D81F7F"/>
    <w:rsid w:val="00D82D29"/>
    <w:rsid w:val="00D975EE"/>
    <w:rsid w:val="00DF41B2"/>
    <w:rsid w:val="00E645F8"/>
    <w:rsid w:val="00F6455E"/>
    <w:rsid w:val="01051B51"/>
    <w:rsid w:val="015E009C"/>
    <w:rsid w:val="01E307AA"/>
    <w:rsid w:val="01E847E5"/>
    <w:rsid w:val="02377801"/>
    <w:rsid w:val="027A76EE"/>
    <w:rsid w:val="03321274"/>
    <w:rsid w:val="041871BE"/>
    <w:rsid w:val="04EA2A9E"/>
    <w:rsid w:val="04F4706B"/>
    <w:rsid w:val="054A784B"/>
    <w:rsid w:val="0574717F"/>
    <w:rsid w:val="0603240D"/>
    <w:rsid w:val="064E10CF"/>
    <w:rsid w:val="06551747"/>
    <w:rsid w:val="06AB60C8"/>
    <w:rsid w:val="06C502EA"/>
    <w:rsid w:val="073C7668"/>
    <w:rsid w:val="07B21412"/>
    <w:rsid w:val="08122176"/>
    <w:rsid w:val="0992356F"/>
    <w:rsid w:val="0A0213CF"/>
    <w:rsid w:val="0AB67731"/>
    <w:rsid w:val="0C4B5C57"/>
    <w:rsid w:val="0C9F46C4"/>
    <w:rsid w:val="0CE045F1"/>
    <w:rsid w:val="0EB16245"/>
    <w:rsid w:val="0F8F0563"/>
    <w:rsid w:val="0FC1183C"/>
    <w:rsid w:val="0FE443F8"/>
    <w:rsid w:val="10926055"/>
    <w:rsid w:val="114875EB"/>
    <w:rsid w:val="11E84674"/>
    <w:rsid w:val="127072B9"/>
    <w:rsid w:val="12B40364"/>
    <w:rsid w:val="12EA2F48"/>
    <w:rsid w:val="13594CD4"/>
    <w:rsid w:val="136C5A3D"/>
    <w:rsid w:val="138D454E"/>
    <w:rsid w:val="139346F2"/>
    <w:rsid w:val="13ED34DC"/>
    <w:rsid w:val="14CA796F"/>
    <w:rsid w:val="152754B3"/>
    <w:rsid w:val="15282FD9"/>
    <w:rsid w:val="169800A0"/>
    <w:rsid w:val="17AD0A0A"/>
    <w:rsid w:val="17DD00AB"/>
    <w:rsid w:val="17E70F2A"/>
    <w:rsid w:val="180F43E7"/>
    <w:rsid w:val="18296CD0"/>
    <w:rsid w:val="193E3E78"/>
    <w:rsid w:val="19582824"/>
    <w:rsid w:val="19B951B8"/>
    <w:rsid w:val="19DC49AA"/>
    <w:rsid w:val="1A170B15"/>
    <w:rsid w:val="1A5959E3"/>
    <w:rsid w:val="1AB858FC"/>
    <w:rsid w:val="1AEC6857"/>
    <w:rsid w:val="1C04599F"/>
    <w:rsid w:val="1C2C076B"/>
    <w:rsid w:val="1C302575"/>
    <w:rsid w:val="1C7134B8"/>
    <w:rsid w:val="1D4209B0"/>
    <w:rsid w:val="1D6F4321"/>
    <w:rsid w:val="1D8C186A"/>
    <w:rsid w:val="1E081FD5"/>
    <w:rsid w:val="1EAE27A1"/>
    <w:rsid w:val="1ED931D6"/>
    <w:rsid w:val="1F0E79CE"/>
    <w:rsid w:val="1F625158"/>
    <w:rsid w:val="1FED4E93"/>
    <w:rsid w:val="20336CE1"/>
    <w:rsid w:val="203B0065"/>
    <w:rsid w:val="20595F19"/>
    <w:rsid w:val="209F55DD"/>
    <w:rsid w:val="20FA3C52"/>
    <w:rsid w:val="21115B35"/>
    <w:rsid w:val="213A60F3"/>
    <w:rsid w:val="220B3A67"/>
    <w:rsid w:val="222236B0"/>
    <w:rsid w:val="226F3FF6"/>
    <w:rsid w:val="23CD36CA"/>
    <w:rsid w:val="246A716A"/>
    <w:rsid w:val="255B0862"/>
    <w:rsid w:val="25CE197B"/>
    <w:rsid w:val="2609650F"/>
    <w:rsid w:val="265754CC"/>
    <w:rsid w:val="26B9414A"/>
    <w:rsid w:val="275E288B"/>
    <w:rsid w:val="27A2014B"/>
    <w:rsid w:val="27BF575C"/>
    <w:rsid w:val="27DF2480"/>
    <w:rsid w:val="292D1814"/>
    <w:rsid w:val="29713D8D"/>
    <w:rsid w:val="29D325A8"/>
    <w:rsid w:val="29D766CC"/>
    <w:rsid w:val="2B0F2424"/>
    <w:rsid w:val="2B1B0506"/>
    <w:rsid w:val="2B4D6E9E"/>
    <w:rsid w:val="2B536BAA"/>
    <w:rsid w:val="2B5E72FD"/>
    <w:rsid w:val="2BC61AE8"/>
    <w:rsid w:val="2BDA4BD6"/>
    <w:rsid w:val="2C3F2C8B"/>
    <w:rsid w:val="2C47131A"/>
    <w:rsid w:val="2C772FFC"/>
    <w:rsid w:val="2CFC5EAA"/>
    <w:rsid w:val="2D6279EA"/>
    <w:rsid w:val="2E5F5866"/>
    <w:rsid w:val="2FD23E16"/>
    <w:rsid w:val="3033042B"/>
    <w:rsid w:val="30C65728"/>
    <w:rsid w:val="30D92D14"/>
    <w:rsid w:val="30D96334"/>
    <w:rsid w:val="31CB51FE"/>
    <w:rsid w:val="31DB4CF3"/>
    <w:rsid w:val="3209113A"/>
    <w:rsid w:val="33BC1F90"/>
    <w:rsid w:val="33DF1C4A"/>
    <w:rsid w:val="33E365F1"/>
    <w:rsid w:val="34F26044"/>
    <w:rsid w:val="351B2E8A"/>
    <w:rsid w:val="352A5FEE"/>
    <w:rsid w:val="352E5F92"/>
    <w:rsid w:val="355552CD"/>
    <w:rsid w:val="36301D2A"/>
    <w:rsid w:val="36453593"/>
    <w:rsid w:val="368C0AAA"/>
    <w:rsid w:val="36C362E4"/>
    <w:rsid w:val="37BA68D2"/>
    <w:rsid w:val="37E34E12"/>
    <w:rsid w:val="385E26EA"/>
    <w:rsid w:val="38BE762D"/>
    <w:rsid w:val="38E27663"/>
    <w:rsid w:val="38E526AB"/>
    <w:rsid w:val="393F251C"/>
    <w:rsid w:val="39991893"/>
    <w:rsid w:val="39B0719B"/>
    <w:rsid w:val="3A2B22D6"/>
    <w:rsid w:val="3AB840A9"/>
    <w:rsid w:val="3AC57DCA"/>
    <w:rsid w:val="3AE50EA1"/>
    <w:rsid w:val="3C0637C5"/>
    <w:rsid w:val="3CEF0A06"/>
    <w:rsid w:val="3E4E6850"/>
    <w:rsid w:val="3F511418"/>
    <w:rsid w:val="3FD76801"/>
    <w:rsid w:val="3FED6835"/>
    <w:rsid w:val="40167D4F"/>
    <w:rsid w:val="406127E8"/>
    <w:rsid w:val="41407088"/>
    <w:rsid w:val="41880811"/>
    <w:rsid w:val="41AD4658"/>
    <w:rsid w:val="420456B1"/>
    <w:rsid w:val="429A6A15"/>
    <w:rsid w:val="435D3B52"/>
    <w:rsid w:val="44544F63"/>
    <w:rsid w:val="455235D7"/>
    <w:rsid w:val="45525385"/>
    <w:rsid w:val="45C36283"/>
    <w:rsid w:val="45CF69D6"/>
    <w:rsid w:val="463466C0"/>
    <w:rsid w:val="46511AE0"/>
    <w:rsid w:val="4662784A"/>
    <w:rsid w:val="473B624D"/>
    <w:rsid w:val="475B3361"/>
    <w:rsid w:val="477C3E4E"/>
    <w:rsid w:val="47B36A89"/>
    <w:rsid w:val="47D743D0"/>
    <w:rsid w:val="47E22A2D"/>
    <w:rsid w:val="483D231C"/>
    <w:rsid w:val="48711FC6"/>
    <w:rsid w:val="48C04CFB"/>
    <w:rsid w:val="4957740E"/>
    <w:rsid w:val="497148DC"/>
    <w:rsid w:val="4A4467A5"/>
    <w:rsid w:val="4A5E47CC"/>
    <w:rsid w:val="4A910A23"/>
    <w:rsid w:val="4AAC3789"/>
    <w:rsid w:val="4ACE3700"/>
    <w:rsid w:val="4B571947"/>
    <w:rsid w:val="4B7D030F"/>
    <w:rsid w:val="4C1E2465"/>
    <w:rsid w:val="4C4D4AF8"/>
    <w:rsid w:val="4CA578DF"/>
    <w:rsid w:val="4DF777D1"/>
    <w:rsid w:val="4EE723A0"/>
    <w:rsid w:val="4F2A49D9"/>
    <w:rsid w:val="4F337FD5"/>
    <w:rsid w:val="4FC92795"/>
    <w:rsid w:val="4FFD0618"/>
    <w:rsid w:val="500D6A78"/>
    <w:rsid w:val="50E40335"/>
    <w:rsid w:val="513B19EF"/>
    <w:rsid w:val="524B7D2C"/>
    <w:rsid w:val="527A04F6"/>
    <w:rsid w:val="536611E1"/>
    <w:rsid w:val="53D82DBE"/>
    <w:rsid w:val="53DA0DAE"/>
    <w:rsid w:val="53F40419"/>
    <w:rsid w:val="54586888"/>
    <w:rsid w:val="546E1AAF"/>
    <w:rsid w:val="549D6F1D"/>
    <w:rsid w:val="549E126E"/>
    <w:rsid w:val="54D45DB6"/>
    <w:rsid w:val="554D5B69"/>
    <w:rsid w:val="55AB0D30"/>
    <w:rsid w:val="56125A69"/>
    <w:rsid w:val="56D17597"/>
    <w:rsid w:val="56E33DB6"/>
    <w:rsid w:val="56F97D56"/>
    <w:rsid w:val="57084C89"/>
    <w:rsid w:val="57344551"/>
    <w:rsid w:val="57833AC4"/>
    <w:rsid w:val="58337298"/>
    <w:rsid w:val="585B1260"/>
    <w:rsid w:val="585B665C"/>
    <w:rsid w:val="59ED49A4"/>
    <w:rsid w:val="5ADC3C17"/>
    <w:rsid w:val="5BBC1DED"/>
    <w:rsid w:val="5C207B33"/>
    <w:rsid w:val="5D8D11F8"/>
    <w:rsid w:val="5DD706C5"/>
    <w:rsid w:val="5F913283"/>
    <w:rsid w:val="600D4AFA"/>
    <w:rsid w:val="60A96349"/>
    <w:rsid w:val="62AD3EC5"/>
    <w:rsid w:val="630C2BBF"/>
    <w:rsid w:val="6353778B"/>
    <w:rsid w:val="63D576EE"/>
    <w:rsid w:val="63DE61AD"/>
    <w:rsid w:val="64375FD4"/>
    <w:rsid w:val="64793BAB"/>
    <w:rsid w:val="64AA08E2"/>
    <w:rsid w:val="656F26F4"/>
    <w:rsid w:val="656F7435"/>
    <w:rsid w:val="66051D03"/>
    <w:rsid w:val="66867A28"/>
    <w:rsid w:val="67202B41"/>
    <w:rsid w:val="674A015A"/>
    <w:rsid w:val="67627252"/>
    <w:rsid w:val="676E66FC"/>
    <w:rsid w:val="67780AC5"/>
    <w:rsid w:val="681D761D"/>
    <w:rsid w:val="683010FE"/>
    <w:rsid w:val="68692862"/>
    <w:rsid w:val="68DE6DAC"/>
    <w:rsid w:val="6A3F7D1E"/>
    <w:rsid w:val="6A9F7D42"/>
    <w:rsid w:val="6ABA5906"/>
    <w:rsid w:val="6ACB15B2"/>
    <w:rsid w:val="6B6A2B79"/>
    <w:rsid w:val="6BB81B36"/>
    <w:rsid w:val="6DB427D1"/>
    <w:rsid w:val="6DED6D75"/>
    <w:rsid w:val="6DF06EFA"/>
    <w:rsid w:val="6E167B81"/>
    <w:rsid w:val="6E387BA0"/>
    <w:rsid w:val="6E554ED3"/>
    <w:rsid w:val="6ED67B7F"/>
    <w:rsid w:val="6F963F3C"/>
    <w:rsid w:val="6FF2313D"/>
    <w:rsid w:val="6FF525B4"/>
    <w:rsid w:val="70DA60AB"/>
    <w:rsid w:val="70F133F4"/>
    <w:rsid w:val="71A22036"/>
    <w:rsid w:val="72044B3A"/>
    <w:rsid w:val="725A0209"/>
    <w:rsid w:val="732875F7"/>
    <w:rsid w:val="74A9617D"/>
    <w:rsid w:val="74AA7F93"/>
    <w:rsid w:val="74EB56D5"/>
    <w:rsid w:val="74FB4FF8"/>
    <w:rsid w:val="752D7A52"/>
    <w:rsid w:val="76516E0F"/>
    <w:rsid w:val="771C36DF"/>
    <w:rsid w:val="77F04406"/>
    <w:rsid w:val="78B401C6"/>
    <w:rsid w:val="78D92CF4"/>
    <w:rsid w:val="79A13C04"/>
    <w:rsid w:val="7A446928"/>
    <w:rsid w:val="7B5341A6"/>
    <w:rsid w:val="7BAB1AAD"/>
    <w:rsid w:val="7BD61EF1"/>
    <w:rsid w:val="7C12098E"/>
    <w:rsid w:val="7CA67789"/>
    <w:rsid w:val="7D485317"/>
    <w:rsid w:val="7FAE52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center"/>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9"/>
    <w:pPr>
      <w:keepNext/>
      <w:keepLines/>
      <w:spacing w:before="260" w:after="260" w:line="416" w:lineRule="auto"/>
      <w:outlineLvl w:val="2"/>
    </w:pPr>
    <w:rPr>
      <w:b/>
      <w:bCs/>
      <w:sz w:val="32"/>
      <w:szCs w:val="32"/>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3"/>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qFormat/>
    <w:uiPriority w:val="0"/>
    <w:rPr>
      <w:color w:val="0000FF"/>
      <w:u w:val="single"/>
    </w:rPr>
  </w:style>
  <w:style w:type="paragraph" w:customStyle="1" w:styleId="11">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12">
    <w:name w:val="页眉 字符"/>
    <w:basedOn w:val="7"/>
    <w:link w:val="4"/>
    <w:qFormat/>
    <w:uiPriority w:val="0"/>
    <w:rPr>
      <w:rFonts w:asciiTheme="minorHAnsi" w:hAnsiTheme="minorHAnsi" w:eastAsiaTheme="minorEastAsia" w:cstheme="minorBidi"/>
      <w:kern w:val="2"/>
      <w:sz w:val="18"/>
      <w:szCs w:val="18"/>
    </w:rPr>
  </w:style>
  <w:style w:type="character" w:customStyle="1" w:styleId="13">
    <w:name w:val="页脚 字符"/>
    <w:basedOn w:val="7"/>
    <w:link w:val="3"/>
    <w:qFormat/>
    <w:uiPriority w:val="0"/>
    <w:rPr>
      <w:rFonts w:asciiTheme="minorHAnsi" w:hAnsiTheme="minorHAnsi" w:eastAsiaTheme="minorEastAsia" w:cstheme="minorBidi"/>
      <w:kern w:val="2"/>
      <w:sz w:val="18"/>
      <w:szCs w:val="18"/>
    </w:rPr>
  </w:style>
  <w:style w:type="character" w:customStyle="1" w:styleId="14">
    <w:name w:val="font41"/>
    <w:basedOn w:val="7"/>
    <w:qFormat/>
    <w:uiPriority w:val="0"/>
    <w:rPr>
      <w:rFonts w:hint="eastAsia" w:ascii="仿宋" w:hAnsi="仿宋" w:eastAsia="仿宋" w:cs="仿宋"/>
      <w:color w:val="000000"/>
      <w:sz w:val="21"/>
      <w:szCs w:val="21"/>
      <w:u w:val="single"/>
    </w:rPr>
  </w:style>
  <w:style w:type="character" w:customStyle="1" w:styleId="15">
    <w:name w:val="font11"/>
    <w:basedOn w:val="7"/>
    <w:qFormat/>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1098</Words>
  <Characters>1249</Characters>
  <Lines>21</Lines>
  <Paragraphs>6</Paragraphs>
  <TotalTime>15</TotalTime>
  <ScaleCrop>false</ScaleCrop>
  <LinksUpToDate>false</LinksUpToDate>
  <CharactersWithSpaces>1297</CharactersWithSpaces>
  <Application>WPS Office_11.8.0.16970_F1E327BC-269C-435d-A152-05C5408002CA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2020-12-09T01:40:00Z</dcterms:created>
  <dc:creator>think</dc:creator>
  <cp:lastModifiedBy>唐春利</cp:lastModifiedBy>
  <dcterms:modified xsi:type="dcterms:W3CDTF">2025-07-27T07:24:35Z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2052-11.8.0.16970</vt:lpwstr>
  </property>
  <property fmtid="{D5CDD505-2E9C-101B-9397-08002B2CF9AE}" pid="3" name="ICV">
    <vt:lpwstr>7BDE8A4B6D094FEFA1C6EAFEA62C587C_13</vt:lpwstr>
  </property>
  <property fmtid="{D5CDD505-2E9C-101B-9397-08002B2CF9AE}" pid="4" name="commondata">
    <vt:lpwstr>eyJoZGlkIjoiYjk0M2E1YmE2ZTg3N2NiNzdkNjBmMWU5OGZkMmRhYzgifQ==</vt:lpwstr>
  </property>
  <property fmtid="{D5CDD505-2E9C-101B-9397-08002B2CF9AE}" pid="5" name="KSOTemplateDocerSaveRecord">
    <vt:lpwstr>eyJoZGlkIjoiMGEzODNkMjA1MDc0NGJmMjRiNGM2ZWEzNzhjNThkN2EiLCJ1c2VySWQiOiI3MTQ4MjM1MzYifQ==</vt:lpwstr>
  </property>
</Properties>
</file>